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9"/>
          <w:rFonts w:hint="eastAsia" w:ascii="ˎ̥" w:hAnsi="ˎ̥"/>
          <w:b/>
          <w:bCs/>
          <w:color w:val="000000"/>
          <w:sz w:val="41"/>
          <w:szCs w:val="41"/>
        </w:rPr>
      </w:pPr>
    </w:p>
    <w:p>
      <w:pPr>
        <w:ind w:firstLine="412" w:firstLineChars="100"/>
        <w:jc w:val="center"/>
        <w:rPr>
          <w:rStyle w:val="9"/>
          <w:rFonts w:hint="eastAsia" w:ascii="ˎ̥" w:hAnsi="ˎ̥"/>
          <w:b/>
          <w:bCs/>
          <w:color w:val="000000"/>
          <w:sz w:val="41"/>
          <w:szCs w:val="41"/>
        </w:rPr>
      </w:pPr>
      <w:r>
        <w:rPr>
          <w:rStyle w:val="9"/>
          <w:rFonts w:hint="eastAsia" w:ascii="ˎ̥" w:hAnsi="ˎ̥"/>
          <w:b/>
          <w:bCs/>
          <w:color w:val="000000"/>
          <w:sz w:val="41"/>
          <w:szCs w:val="41"/>
        </w:rPr>
        <w:t>中国共产党德阳市罗江</w:t>
      </w:r>
      <w:r>
        <w:rPr>
          <w:rStyle w:val="9"/>
          <w:rFonts w:hint="eastAsia" w:ascii="ˎ̥" w:hAnsi="ˎ̥"/>
          <w:b/>
          <w:bCs/>
          <w:color w:val="000000"/>
          <w:sz w:val="41"/>
          <w:szCs w:val="41"/>
          <w:lang w:eastAsia="zh-CN"/>
        </w:rPr>
        <w:t>区</w:t>
      </w:r>
      <w:r>
        <w:rPr>
          <w:rStyle w:val="9"/>
          <w:rFonts w:hint="eastAsia" w:ascii="ˎ̥" w:hAnsi="ˎ̥"/>
          <w:b/>
          <w:bCs/>
          <w:color w:val="000000"/>
          <w:sz w:val="41"/>
          <w:szCs w:val="41"/>
          <w:lang w:val="en-US" w:eastAsia="zh-CN"/>
        </w:rPr>
        <w:t>委员会统一战线工作部</w:t>
      </w:r>
      <w:r>
        <w:rPr>
          <w:rStyle w:val="9"/>
          <w:rFonts w:ascii="ˎ̥" w:hAnsi="ˎ̥"/>
          <w:b/>
          <w:bCs/>
          <w:color w:val="000000"/>
          <w:sz w:val="41"/>
          <w:szCs w:val="41"/>
        </w:rPr>
        <w:t>20</w:t>
      </w:r>
      <w:r>
        <w:rPr>
          <w:rStyle w:val="9"/>
          <w:rFonts w:hint="eastAsia" w:ascii="ˎ̥" w:hAnsi="ˎ̥"/>
          <w:b/>
          <w:bCs/>
          <w:color w:val="000000"/>
          <w:sz w:val="41"/>
          <w:szCs w:val="41"/>
        </w:rPr>
        <w:t>24</w:t>
      </w:r>
      <w:r>
        <w:rPr>
          <w:rStyle w:val="9"/>
          <w:rFonts w:ascii="ˎ̥" w:hAnsi="ˎ̥"/>
          <w:b/>
          <w:bCs/>
          <w:color w:val="000000"/>
          <w:sz w:val="41"/>
          <w:szCs w:val="41"/>
        </w:rPr>
        <w:t>年部门预算编制说明</w:t>
      </w:r>
    </w:p>
    <w:p>
      <w:pPr>
        <w:ind w:firstLine="412" w:firstLineChars="100"/>
        <w:jc w:val="center"/>
        <w:rPr>
          <w:rStyle w:val="9"/>
          <w:rFonts w:hint="eastAsia" w:ascii="ˎ̥" w:hAnsi="ˎ̥"/>
          <w:b/>
          <w:bCs/>
          <w:color w:val="000000"/>
          <w:sz w:val="41"/>
          <w:szCs w:val="41"/>
        </w:rPr>
      </w:pPr>
    </w:p>
    <w:p>
      <w:pPr>
        <w:ind w:firstLine="412" w:firstLineChars="100"/>
        <w:jc w:val="center"/>
        <w:rPr>
          <w:rStyle w:val="9"/>
          <w:rFonts w:hint="eastAsia" w:ascii="ˎ̥" w:hAnsi="ˎ̥"/>
          <w:b/>
          <w:bCs/>
          <w:color w:val="000000"/>
          <w:sz w:val="41"/>
          <w:szCs w:val="41"/>
        </w:rPr>
      </w:pPr>
      <w:r>
        <w:rPr>
          <w:rStyle w:val="9"/>
          <w:rFonts w:hint="eastAsia" w:ascii="ˎ̥" w:hAnsi="ˎ̥"/>
          <w:b/>
          <w:bCs/>
          <w:color w:val="000000"/>
          <w:sz w:val="41"/>
          <w:szCs w:val="41"/>
        </w:rPr>
        <w:t>目录</w:t>
      </w:r>
    </w:p>
    <w:p>
      <w:pPr>
        <w:ind w:firstLine="300" w:firstLineChars="100"/>
        <w:jc w:val="center"/>
        <w:rPr>
          <w:rStyle w:val="9"/>
          <w:rFonts w:hint="eastAsia" w:ascii="ˎ̥" w:hAnsi="ˎ̥"/>
          <w:bCs/>
          <w:color w:val="000000"/>
          <w:sz w:val="30"/>
          <w:szCs w:val="30"/>
        </w:rPr>
      </w:pPr>
      <w:r>
        <w:rPr>
          <w:rStyle w:val="9"/>
          <w:rFonts w:hint="eastAsia" w:ascii="ˎ̥" w:hAnsi="ˎ̥"/>
          <w:bCs/>
          <w:color w:val="000000"/>
          <w:sz w:val="30"/>
          <w:szCs w:val="30"/>
        </w:rPr>
        <w:t>公开时间：2024年1月29日</w:t>
      </w:r>
    </w:p>
    <w:sdt>
      <w:sdtPr>
        <w:rPr>
          <w:rFonts w:hAnsi="宋体"/>
          <w:sz w:val="21"/>
        </w:rPr>
        <w:id w:val="147471545"/>
      </w:sdtPr>
      <w:sdtEndPr>
        <w:rPr>
          <w:rFonts w:hint="eastAsia" w:ascii="ˎ̥" w:hAnsi="ˎ̥"/>
          <w:b/>
          <w:bCs/>
          <w:color w:val="000000"/>
          <w:sz w:val="48"/>
          <w:szCs w:val="41"/>
        </w:rPr>
      </w:sdtEndPr>
      <w:sdtContent>
        <w:p>
          <w:pPr>
            <w:jc w:val="center"/>
            <w:rPr>
              <w:rFonts w:hAnsi="宋体"/>
              <w:sz w:val="21"/>
            </w:rPr>
          </w:pPr>
        </w:p>
        <w:p>
          <w:pPr>
            <w:pStyle w:val="15"/>
            <w:tabs>
              <w:tab w:val="right" w:leader="dot" w:pos="8845"/>
            </w:tabs>
            <w:rPr>
              <w:b/>
            </w:rPr>
          </w:pPr>
          <w:r>
            <w:rPr>
              <w:rStyle w:val="9"/>
              <w:rFonts w:hint="eastAsia"/>
              <w:sz w:val="41"/>
            </w:rPr>
            <w:fldChar w:fldCharType="begin"/>
          </w:r>
          <w:r>
            <w:rPr>
              <w:rStyle w:val="9"/>
              <w:rFonts w:hint="eastAsia" w:ascii="ˎ̥" w:hAnsi="ˎ̥"/>
              <w:b/>
              <w:bCs/>
              <w:color w:val="000000"/>
              <w:sz w:val="41"/>
              <w:szCs w:val="41"/>
            </w:rPr>
            <w:instrText xml:space="preserve">TOC \o "1-2" \h \u </w:instrText>
          </w:r>
          <w:r>
            <w:rPr>
              <w:rStyle w:val="9"/>
              <w:rFonts w:hint="eastAsia"/>
              <w:sz w:val="41"/>
            </w:rPr>
            <w:fldChar w:fldCharType="separate"/>
          </w:r>
          <w:r>
            <w:fldChar w:fldCharType="begin"/>
          </w:r>
          <w:r>
            <w:instrText xml:space="preserve"> HYPERLINK \l "_Toc28770" </w:instrText>
          </w:r>
          <w:r>
            <w:fldChar w:fldCharType="separate"/>
          </w:r>
          <w:r>
            <w:rPr>
              <w:rFonts w:hint="eastAsia" w:ascii="黑体" w:hAnsi="黑体" w:eastAsia="黑体" w:cs="黑体"/>
              <w:b/>
              <w:szCs w:val="32"/>
            </w:rPr>
            <w:t>一、基本职能及主要工作</w:t>
          </w:r>
          <w:r>
            <w:rPr>
              <w:b/>
            </w:rPr>
            <w:tab/>
          </w:r>
          <w:r>
            <w:rPr>
              <w:rFonts w:hint="eastAsia"/>
              <w:b/>
            </w:rPr>
            <w:t>2</w:t>
          </w:r>
          <w:r>
            <w:rPr>
              <w:rFonts w:hint="eastAsia"/>
              <w:b/>
            </w:rPr>
            <w:fldChar w:fldCharType="end"/>
          </w:r>
          <w:r>
            <w:rPr>
              <w:rFonts w:hint="eastAsia" w:ascii="ˎ̥" w:hAnsi="ˎ̥"/>
              <w:b/>
              <w:bCs/>
              <w:color w:val="000000"/>
              <w:szCs w:val="41"/>
            </w:rPr>
            <w:t>-3</w:t>
          </w:r>
        </w:p>
        <w:p>
          <w:pPr>
            <w:pStyle w:val="16"/>
            <w:tabs>
              <w:tab w:val="right" w:leader="dot" w:pos="8845"/>
            </w:tabs>
            <w:ind w:left="0" w:leftChars="0" w:firstLine="400" w:firstLineChars="200"/>
          </w:pPr>
          <w:r>
            <w:fldChar w:fldCharType="begin"/>
          </w:r>
          <w:r>
            <w:instrText xml:space="preserve"> HYPERLINK \l "_Toc21884" </w:instrText>
          </w:r>
          <w:r>
            <w:fldChar w:fldCharType="separate"/>
          </w:r>
          <w:r>
            <w:rPr>
              <w:rFonts w:hint="eastAsia" w:ascii="楷体_GB2312" w:hAnsi="楷体_GB2312" w:eastAsia="楷体_GB2312" w:cs="楷体_GB2312"/>
              <w:bCs/>
              <w:szCs w:val="32"/>
            </w:rPr>
            <w:t>（一）机构设置及主要职责</w:t>
          </w:r>
          <w:r>
            <w:tab/>
          </w:r>
          <w:r>
            <w:rPr>
              <w:rFonts w:hint="eastAsia"/>
            </w:rPr>
            <w:t>2</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"_Toc818" </w:instrText>
          </w:r>
          <w:r>
            <w:fldChar w:fldCharType="separate"/>
          </w:r>
          <w:r>
            <w:rPr>
              <w:rFonts w:hint="eastAsia" w:ascii="楷体_GB2312" w:hAnsi="楷体_GB2312" w:eastAsia="楷体_GB2312" w:cs="楷体_GB2312"/>
              <w:bCs/>
              <w:szCs w:val="32"/>
            </w:rPr>
            <w:t>（二）2024年重点工作</w:t>
          </w:r>
          <w:r>
            <w:tab/>
          </w:r>
          <w:r>
            <w:fldChar w:fldCharType="end"/>
          </w:r>
          <w:r>
            <w:rPr>
              <w:rFonts w:hint="eastAsia" w:ascii="ˎ̥" w:hAnsi="ˎ̥"/>
              <w:bCs/>
              <w:color w:val="000000"/>
              <w:szCs w:val="41"/>
            </w:rPr>
            <w:t>3</w:t>
          </w:r>
        </w:p>
        <w:p>
          <w:pPr>
            <w:pStyle w:val="15"/>
            <w:tabs>
              <w:tab w:val="right" w:leader="dot" w:pos="8845"/>
            </w:tabs>
            <w:rPr>
              <w:b/>
            </w:rPr>
          </w:pPr>
          <w:r>
            <w:fldChar w:fldCharType="begin"/>
          </w:r>
          <w:r>
            <w:instrText xml:space="preserve"> HYPERLINK \l "_Toc27442" </w:instrText>
          </w:r>
          <w:r>
            <w:fldChar w:fldCharType="separate"/>
          </w:r>
          <w:r>
            <w:rPr>
              <w:rFonts w:hint="eastAsia" w:ascii="黑体" w:hAnsi="黑体" w:eastAsia="黑体" w:cs="黑体"/>
              <w:b/>
              <w:szCs w:val="32"/>
            </w:rPr>
            <w:t>二、部门预算单位构成</w:t>
          </w:r>
          <w:r>
            <w:rPr>
              <w:b/>
            </w:rPr>
            <w:tab/>
          </w:r>
          <w:r>
            <w:rPr>
              <w:b/>
            </w:rPr>
            <w:fldChar w:fldCharType="end"/>
          </w:r>
          <w:r>
            <w:rPr>
              <w:rFonts w:hint="eastAsia" w:ascii="ˎ̥" w:hAnsi="ˎ̥"/>
              <w:b/>
              <w:bCs/>
              <w:color w:val="000000"/>
              <w:szCs w:val="41"/>
            </w:rPr>
            <w:t>3</w:t>
          </w:r>
        </w:p>
        <w:p>
          <w:pPr>
            <w:pStyle w:val="15"/>
            <w:tabs>
              <w:tab w:val="right" w:leader="dot" w:pos="8845"/>
            </w:tabs>
            <w:rPr>
              <w:b/>
            </w:rPr>
          </w:pPr>
          <w:r>
            <w:fldChar w:fldCharType="begin"/>
          </w:r>
          <w:r>
            <w:instrText xml:space="preserve"> HYPERLINK \l "_Toc1848" </w:instrText>
          </w:r>
          <w:r>
            <w:fldChar w:fldCharType="separate"/>
          </w:r>
          <w:r>
            <w:rPr>
              <w:rFonts w:hint="eastAsia" w:ascii="黑体" w:hAnsi="黑体" w:eastAsia="黑体" w:cs="黑体"/>
              <w:b/>
              <w:szCs w:val="32"/>
            </w:rPr>
            <w:t>三、收支预算增减变化情况说明</w:t>
          </w:r>
          <w:r>
            <w:rPr>
              <w:b/>
            </w:rPr>
            <w:tab/>
          </w:r>
          <w:r>
            <w:rPr>
              <w:rFonts w:hint="eastAsia"/>
              <w:b/>
            </w:rPr>
            <w:t>4</w:t>
          </w:r>
          <w:r>
            <w:rPr>
              <w:rFonts w:hint="eastAsia"/>
              <w:b/>
            </w:rPr>
            <w:fldChar w:fldCharType="end"/>
          </w:r>
        </w:p>
        <w:p>
          <w:pPr>
            <w:pStyle w:val="16"/>
            <w:tabs>
              <w:tab w:val="right" w:leader="dot" w:pos="8845"/>
            </w:tabs>
            <w:ind w:left="0" w:leftChars="0" w:firstLine="400" w:firstLineChars="200"/>
          </w:pPr>
          <w:r>
            <w:fldChar w:fldCharType="begin"/>
          </w:r>
          <w:r>
            <w:instrText xml:space="preserve"> HYPERLINK \l "_Toc193" </w:instrText>
          </w:r>
          <w:r>
            <w:fldChar w:fldCharType="separate"/>
          </w:r>
          <w:r>
            <w:rPr>
              <w:rFonts w:hint="eastAsia" w:ascii="楷体_GB2312" w:hAnsi="楷体_GB2312" w:eastAsia="楷体_GB2312" w:cs="楷体_GB2312"/>
              <w:bCs/>
              <w:szCs w:val="32"/>
            </w:rPr>
            <w:t>（一）收入预算情况</w:t>
          </w:r>
          <w:r>
            <w:tab/>
          </w:r>
          <w:r>
            <w:rPr>
              <w:rFonts w:hint="eastAsia"/>
            </w:rPr>
            <w:t>4</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"_Toc3651" </w:instrText>
          </w:r>
          <w:r>
            <w:fldChar w:fldCharType="separate"/>
          </w:r>
          <w:r>
            <w:rPr>
              <w:rFonts w:hint="eastAsia" w:ascii="楷体_GB2312" w:hAnsi="楷体_GB2312" w:eastAsia="楷体_GB2312" w:cs="楷体_GB2312"/>
              <w:bCs/>
              <w:szCs w:val="32"/>
            </w:rPr>
            <w:t>（二）支出预算情况</w:t>
          </w:r>
          <w:r>
            <w:tab/>
          </w:r>
          <w:r>
            <w:fldChar w:fldCharType="end"/>
          </w:r>
          <w:r>
            <w:rPr>
              <w:rFonts w:hint="eastAsia"/>
            </w:rPr>
            <w:t>4</w:t>
          </w:r>
        </w:p>
        <w:p>
          <w:pPr>
            <w:pStyle w:val="15"/>
            <w:tabs>
              <w:tab w:val="right" w:leader="dot" w:pos="8845"/>
            </w:tabs>
            <w:rPr>
              <w:b/>
            </w:rPr>
          </w:pPr>
          <w:r>
            <w:fldChar w:fldCharType="begin"/>
          </w:r>
          <w:r>
            <w:instrText xml:space="preserve"> HYPERLINK \l "_Toc3738" </w:instrText>
          </w:r>
          <w:r>
            <w:fldChar w:fldCharType="separate"/>
          </w:r>
          <w:r>
            <w:rPr>
              <w:rFonts w:hint="eastAsia" w:ascii="黑体" w:hAnsi="黑体" w:eastAsia="黑体" w:cs="黑体"/>
              <w:b/>
              <w:szCs w:val="32"/>
            </w:rPr>
            <w:t>四、财政拨款收支预算情况说明</w:t>
          </w:r>
          <w:r>
            <w:rPr>
              <w:b/>
            </w:rPr>
            <w:tab/>
          </w:r>
          <w:r>
            <w:rPr>
              <w:rFonts w:hint="eastAsia"/>
              <w:b/>
            </w:rPr>
            <w:t>4-5</w:t>
          </w:r>
          <w:r>
            <w:rPr>
              <w:rFonts w:hint="eastAsia"/>
              <w:b/>
            </w:rPr>
            <w:fldChar w:fldCharType="end"/>
          </w:r>
        </w:p>
        <w:p>
          <w:pPr>
            <w:pStyle w:val="15"/>
            <w:tabs>
              <w:tab w:val="right" w:leader="dot" w:pos="8845"/>
            </w:tabs>
            <w:rPr>
              <w:b/>
            </w:rPr>
          </w:pPr>
          <w:r>
            <w:fldChar w:fldCharType="begin"/>
          </w:r>
          <w:r>
            <w:instrText xml:space="preserve"> HYPERLINK \l "_Toc3440" </w:instrText>
          </w:r>
          <w:r>
            <w:fldChar w:fldCharType="separate"/>
          </w:r>
          <w:r>
            <w:rPr>
              <w:rFonts w:hint="eastAsia" w:ascii="黑体" w:hAnsi="黑体" w:eastAsia="黑体" w:cs="黑体"/>
              <w:b/>
              <w:szCs w:val="32"/>
            </w:rPr>
            <w:t>五、一般公共预算当年拨款情况说明</w:t>
          </w:r>
          <w:r>
            <w:rPr>
              <w:b/>
            </w:rPr>
            <w:tab/>
          </w:r>
          <w:r>
            <w:rPr>
              <w:rFonts w:hint="eastAsia"/>
              <w:b/>
            </w:rPr>
            <w:t>5</w:t>
          </w:r>
          <w:r>
            <w:rPr>
              <w:rFonts w:hint="eastAsia"/>
              <w:b/>
            </w:rPr>
            <w:fldChar w:fldCharType="end"/>
          </w:r>
          <w:r>
            <w:rPr>
              <w:rFonts w:hint="eastAsia" w:ascii="ˎ̥" w:hAnsi="ˎ̥"/>
              <w:b/>
              <w:bCs/>
              <w:color w:val="000000"/>
              <w:szCs w:val="41"/>
            </w:rPr>
            <w:t>-6</w:t>
          </w:r>
        </w:p>
        <w:p>
          <w:pPr>
            <w:pStyle w:val="16"/>
            <w:tabs>
              <w:tab w:val="right" w:leader="dot" w:pos="8845"/>
            </w:tabs>
            <w:ind w:left="0" w:leftChars="0" w:firstLine="400" w:firstLineChars="200"/>
          </w:pPr>
          <w:r>
            <w:fldChar w:fldCharType="begin"/>
          </w:r>
          <w:r>
            <w:instrText xml:space="preserve"> HYPERLINK \l "_Toc25098" </w:instrText>
          </w:r>
          <w:r>
            <w:fldChar w:fldCharType="separate"/>
          </w:r>
          <w:r>
            <w:rPr>
              <w:rFonts w:hint="eastAsia" w:ascii="楷体_GB2312" w:hAnsi="楷体_GB2312" w:eastAsia="楷体_GB2312" w:cs="楷体_GB2312"/>
              <w:bCs/>
              <w:szCs w:val="32"/>
            </w:rPr>
            <w:t>（一）一般公共预算当年拨款规模变化情况</w:t>
          </w:r>
          <w:r>
            <w:tab/>
          </w:r>
          <w:r>
            <w:rPr>
              <w:rFonts w:hint="eastAsia"/>
            </w:rPr>
            <w:t>5</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"_Toc16092" </w:instrText>
          </w:r>
          <w:r>
            <w:fldChar w:fldCharType="separate"/>
          </w:r>
          <w:r>
            <w:rPr>
              <w:rFonts w:hint="eastAsia" w:ascii="仿宋_GB2312" w:hAnsi="仿宋_GB2312" w:eastAsia="仿宋_GB2312"/>
              <w:bCs/>
              <w:szCs w:val="32"/>
            </w:rPr>
            <w:t>（二）一般公共预算当年拨款结构情况(按照功能科目类写)</w:t>
          </w:r>
          <w:r>
            <w:tab/>
          </w:r>
          <w:r>
            <w:rPr>
              <w:rFonts w:hint="eastAsia"/>
            </w:rPr>
            <w:t>5</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"_Toc28341" </w:instrText>
          </w:r>
          <w: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eastAsia"/>
            </w:rPr>
            <w:t>5</w:t>
          </w:r>
          <w:r>
            <w:rPr>
              <w:rFonts w:hint="eastAsia"/>
            </w:rPr>
            <w:fldChar w:fldCharType="end"/>
          </w:r>
          <w:r>
            <w:rPr>
              <w:rFonts w:hint="eastAsia" w:ascii="ˎ̥" w:hAnsi="ˎ̥"/>
              <w:bCs/>
              <w:color w:val="000000"/>
              <w:szCs w:val="41"/>
            </w:rPr>
            <w:t>-6</w:t>
          </w:r>
        </w:p>
        <w:p>
          <w:pPr>
            <w:pStyle w:val="15"/>
            <w:tabs>
              <w:tab w:val="right" w:leader="dot" w:pos="8845"/>
            </w:tabs>
            <w:rPr>
              <w:b/>
            </w:rPr>
          </w:pPr>
          <w:r>
            <w:fldChar w:fldCharType="begin"/>
          </w:r>
          <w:r>
            <w:instrText xml:space="preserve"> HYPERLINK \l "_Toc18858" </w:instrText>
          </w:r>
          <w:r>
            <w:fldChar w:fldCharType="separate"/>
          </w:r>
          <w:r>
            <w:rPr>
              <w:rFonts w:hint="eastAsia" w:ascii="黑体" w:hAnsi="黑体" w:eastAsia="黑体" w:cs="黑体"/>
              <w:b/>
              <w:szCs w:val="32"/>
            </w:rPr>
            <w:t>六、一般公共预算基本支出情况说明</w:t>
          </w:r>
          <w:r>
            <w:rPr>
              <w:b/>
            </w:rPr>
            <w:tab/>
          </w:r>
          <w:r>
            <w:rPr>
              <w:b/>
            </w:rPr>
            <w:fldChar w:fldCharType="end"/>
          </w:r>
          <w:r>
            <w:rPr>
              <w:rFonts w:hint="eastAsia" w:ascii="ˎ̥" w:hAnsi="ˎ̥"/>
              <w:b/>
              <w:bCs/>
              <w:color w:val="000000"/>
              <w:szCs w:val="41"/>
            </w:rPr>
            <w:t>-6</w:t>
          </w:r>
        </w:p>
        <w:p>
          <w:pPr>
            <w:pStyle w:val="15"/>
            <w:tabs>
              <w:tab w:val="right" w:leader="dot" w:pos="8845"/>
            </w:tabs>
            <w:rPr>
              <w:b/>
            </w:rPr>
          </w:pPr>
          <w:r>
            <w:fldChar w:fldCharType="begin"/>
          </w:r>
          <w:r>
            <w:instrText xml:space="preserve"> HYPERLINK \l "_Toc256" </w:instrText>
          </w:r>
          <w:r>
            <w:fldChar w:fldCharType="separate"/>
          </w:r>
          <w:r>
            <w:rPr>
              <w:rFonts w:hint="eastAsia" w:ascii="黑体" w:hAnsi="黑体" w:eastAsia="黑体" w:cs="黑体"/>
              <w:b/>
              <w:szCs w:val="32"/>
            </w:rPr>
            <w:t>七、“三公”经费财政拨款预算安排情况说明</w:t>
          </w:r>
          <w:r>
            <w:rPr>
              <w:b/>
            </w:rPr>
            <w:tab/>
          </w:r>
          <w:r>
            <w:rPr>
              <w:rFonts w:hint="eastAsia"/>
              <w:b/>
            </w:rPr>
            <w:t>6-7</w:t>
          </w:r>
          <w:r>
            <w:rPr>
              <w:rFonts w:hint="eastAsia"/>
              <w:b/>
            </w:rPr>
            <w:fldChar w:fldCharType="end"/>
          </w:r>
        </w:p>
        <w:p>
          <w:pPr>
            <w:pStyle w:val="15"/>
            <w:tabs>
              <w:tab w:val="right" w:leader="dot" w:pos="8845"/>
            </w:tabs>
            <w:rPr>
              <w:b/>
            </w:rPr>
          </w:pPr>
          <w:r>
            <w:fldChar w:fldCharType="begin"/>
          </w:r>
          <w:r>
            <w:instrText xml:space="preserve"> HYPERLINK \l "_Toc11086" </w:instrText>
          </w:r>
          <w:r>
            <w:fldChar w:fldCharType="separate"/>
          </w:r>
          <w:r>
            <w:rPr>
              <w:rFonts w:hint="eastAsia" w:ascii="黑体" w:hAnsi="黑体" w:eastAsia="黑体" w:cs="黑体"/>
              <w:b/>
              <w:szCs w:val="32"/>
            </w:rPr>
            <w:t>八、政府性基金预算收支情况说明</w:t>
          </w:r>
          <w:r>
            <w:rPr>
              <w:b/>
            </w:rPr>
            <w:tab/>
          </w:r>
          <w:r>
            <w:rPr>
              <w:rFonts w:hint="eastAsia"/>
              <w:b/>
            </w:rPr>
            <w:t>7</w:t>
          </w:r>
          <w:r>
            <w:rPr>
              <w:rFonts w:hint="eastAsia"/>
              <w:b/>
            </w:rPr>
            <w:fldChar w:fldCharType="end"/>
          </w:r>
        </w:p>
        <w:p>
          <w:pPr>
            <w:pStyle w:val="15"/>
            <w:tabs>
              <w:tab w:val="right" w:leader="dot" w:pos="8845"/>
            </w:tabs>
            <w:rPr>
              <w:b/>
            </w:rPr>
          </w:pPr>
          <w:r>
            <w:fldChar w:fldCharType="begin"/>
          </w:r>
          <w:r>
            <w:instrText xml:space="preserve"> HYPERLINK \l "_Toc165" </w:instrText>
          </w:r>
          <w:r>
            <w:fldChar w:fldCharType="separate"/>
          </w:r>
          <w:r>
            <w:rPr>
              <w:rFonts w:hint="eastAsia" w:ascii="黑体" w:hAnsi="黑体" w:eastAsia="黑体" w:cs="黑体"/>
              <w:b/>
              <w:szCs w:val="32"/>
            </w:rPr>
            <w:t>九、国有资本经营预算支出情况说明</w:t>
          </w:r>
          <w:r>
            <w:rPr>
              <w:b/>
            </w:rPr>
            <w:tab/>
          </w:r>
          <w:r>
            <w:rPr>
              <w:rFonts w:hint="eastAsia"/>
              <w:b/>
            </w:rPr>
            <w:t>8</w:t>
          </w:r>
          <w:r>
            <w:rPr>
              <w:rFonts w:hint="eastAsia"/>
              <w:b/>
            </w:rPr>
            <w:fldChar w:fldCharType="end"/>
          </w:r>
        </w:p>
        <w:p>
          <w:pPr>
            <w:pStyle w:val="15"/>
            <w:tabs>
              <w:tab w:val="right" w:leader="dot" w:pos="8845"/>
            </w:tabs>
            <w:rPr>
              <w:b/>
            </w:rPr>
          </w:pPr>
          <w:r>
            <w:fldChar w:fldCharType="begin"/>
          </w:r>
          <w:r>
            <w:instrText xml:space="preserve"> HYPERLINK \l "_Toc29771" </w:instrText>
          </w:r>
          <w:r>
            <w:fldChar w:fldCharType="separate"/>
          </w:r>
          <w:r>
            <w:rPr>
              <w:rFonts w:hint="eastAsia" w:ascii="黑体" w:hAnsi="黑体" w:eastAsia="黑体" w:cs="黑体"/>
              <w:b/>
              <w:szCs w:val="32"/>
            </w:rPr>
            <w:t>十、其他重要事项的情况说明</w:t>
          </w:r>
          <w:r>
            <w:rPr>
              <w:b/>
            </w:rPr>
            <w:tab/>
          </w:r>
          <w:r>
            <w:rPr>
              <w:rFonts w:hint="eastAsia"/>
              <w:b/>
            </w:rPr>
            <w:t>8</w:t>
          </w:r>
          <w:r>
            <w:rPr>
              <w:rFonts w:hint="eastAsia"/>
              <w:b/>
            </w:rPr>
            <w:fldChar w:fldCharType="end"/>
          </w:r>
        </w:p>
        <w:p>
          <w:pPr>
            <w:pStyle w:val="16"/>
            <w:tabs>
              <w:tab w:val="right" w:leader="dot" w:pos="8845"/>
            </w:tabs>
            <w:ind w:left="0" w:leftChars="0" w:firstLine="400" w:firstLineChars="200"/>
          </w:pPr>
          <w:r>
            <w:fldChar w:fldCharType="begin"/>
          </w:r>
          <w:r>
            <w:instrText xml:space="preserve"> HYPERLINK \l "_Toc11525" </w:instrText>
          </w:r>
          <w:r>
            <w:fldChar w:fldCharType="separate"/>
          </w:r>
          <w:r>
            <w:rPr>
              <w:rFonts w:hint="eastAsia" w:ascii="仿宋_GB2312" w:hAnsi="仿宋_GB2312" w:eastAsia="仿宋_GB2312"/>
              <w:szCs w:val="32"/>
            </w:rPr>
            <w:t>（一）机关运行经费</w:t>
          </w:r>
          <w:r>
            <w:tab/>
          </w:r>
          <w:r>
            <w:rPr>
              <w:rFonts w:hint="eastAsia"/>
            </w:rPr>
            <w:t>8</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"_Toc15299" </w:instrText>
          </w:r>
          <w:r>
            <w:fldChar w:fldCharType="separate"/>
          </w:r>
          <w:r>
            <w:rPr>
              <w:rFonts w:hint="eastAsia" w:ascii="仿宋_GB2312" w:hAnsi="仿宋_GB2312" w:eastAsia="仿宋_GB2312"/>
              <w:szCs w:val="32"/>
            </w:rPr>
            <w:t>（二）政府采购情况</w:t>
          </w:r>
          <w:r>
            <w:tab/>
          </w:r>
          <w:r>
            <w:rPr>
              <w:rFonts w:hint="eastAsia"/>
            </w:rPr>
            <w:t>8</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"_Toc18679" </w:instrText>
          </w:r>
          <w:r>
            <w:fldChar w:fldCharType="separate"/>
          </w:r>
          <w:r>
            <w:rPr>
              <w:rFonts w:hint="eastAsia" w:ascii="仿宋_GB2312" w:hAnsi="仿宋_GB2312" w:eastAsia="仿宋_GB2312"/>
              <w:szCs w:val="32"/>
            </w:rPr>
            <w:t>（三）国有资产占有使用情况</w:t>
          </w:r>
          <w:r>
            <w:tab/>
          </w:r>
          <w:r>
            <w:rPr>
              <w:rFonts w:hint="eastAsia"/>
            </w:rPr>
            <w:t>8</w:t>
          </w:r>
          <w:r>
            <w:rPr>
              <w:rFonts w:hint="eastAsia"/>
            </w:rPr>
            <w:fldChar w:fldCharType="end"/>
          </w:r>
        </w:p>
        <w:p>
          <w:pPr>
            <w:pStyle w:val="16"/>
            <w:tabs>
              <w:tab w:val="right" w:leader="dot" w:pos="8845"/>
            </w:tabs>
            <w:ind w:left="0" w:leftChars="0" w:firstLine="400" w:firstLineChars="200"/>
          </w:pPr>
          <w:r>
            <w:fldChar w:fldCharType="begin"/>
          </w:r>
          <w:r>
            <w:instrText xml:space="preserve"> HYPERLINK \l "_Toc2176" </w:instrText>
          </w:r>
          <w:r>
            <w:fldChar w:fldCharType="separate"/>
          </w:r>
          <w:r>
            <w:rPr>
              <w:rFonts w:hint="eastAsia" w:ascii="仿宋_GB2312" w:hAnsi="仿宋_GB2312" w:eastAsia="仿宋_GB2312"/>
              <w:szCs w:val="32"/>
            </w:rPr>
            <w:t>（四）绩效目标设置情况</w:t>
          </w:r>
          <w:r>
            <w:tab/>
          </w:r>
          <w:r>
            <w:rPr>
              <w:rFonts w:hint="eastAsia"/>
            </w:rPr>
            <w:t>8</w:t>
          </w:r>
          <w:r>
            <w:rPr>
              <w:rFonts w:hint="eastAsia"/>
            </w:rPr>
            <w:fldChar w:fldCharType="end"/>
          </w:r>
        </w:p>
        <w:p>
          <w:pPr>
            <w:pStyle w:val="15"/>
            <w:tabs>
              <w:tab w:val="right" w:leader="dot" w:pos="8845"/>
            </w:tabs>
            <w:rPr>
              <w:b/>
            </w:rPr>
          </w:pPr>
          <w:r>
            <w:fldChar w:fldCharType="begin"/>
          </w:r>
          <w:r>
            <w:instrText xml:space="preserve"> HYPERLINK \l "_Toc6693" </w:instrText>
          </w:r>
          <w:r>
            <w:fldChar w:fldCharType="separate"/>
          </w:r>
          <w:r>
            <w:rPr>
              <w:rFonts w:hint="eastAsia" w:ascii="仿宋_GB2312" w:hAnsi="仿宋_GB2312" w:eastAsia="仿宋_GB2312"/>
              <w:b/>
              <w:szCs w:val="32"/>
            </w:rPr>
            <w:t>十一、名词解释</w:t>
          </w:r>
          <w:r>
            <w:rPr>
              <w:b/>
            </w:rPr>
            <w:tab/>
          </w:r>
          <w:r>
            <w:rPr>
              <w:rFonts w:hint="eastAsia"/>
              <w:b/>
            </w:rPr>
            <w:t>9</w:t>
          </w:r>
          <w:r>
            <w:rPr>
              <w:rFonts w:hint="eastAsia"/>
              <w:b/>
            </w:rPr>
            <w:fldChar w:fldCharType="end"/>
          </w:r>
        </w:p>
        <w:p>
          <w:pPr>
            <w:rPr>
              <w:rFonts w:hint="eastAsia" w:ascii="ˎ̥" w:hAnsi="ˎ̥"/>
              <w:b/>
              <w:bCs/>
              <w:color w:val="000000"/>
              <w:szCs w:val="41"/>
            </w:rPr>
          </w:pPr>
          <w:r>
            <w:rPr>
              <w:rFonts w:hint="eastAsia" w:ascii="ˎ̥" w:hAnsi="ˎ̥"/>
              <w:b/>
              <w:bCs/>
              <w:color w:val="000000"/>
              <w:szCs w:val="41"/>
            </w:rPr>
            <w:fldChar w:fldCharType="end"/>
          </w:r>
        </w:p>
      </w:sdtContent>
    </w:sdt>
    <w:p>
      <w:pPr>
        <w:adjustRightInd w:val="0"/>
        <w:snapToGrid w:val="0"/>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一、基本职能及主要工作</w:t>
      </w:r>
    </w:p>
    <w:p>
      <w:pPr>
        <w:adjustRightInd w:val="0"/>
        <w:snapToGrid w:val="0"/>
        <w:spacing w:line="560" w:lineRule="exact"/>
        <w:ind w:firstLine="560" w:firstLineChars="175"/>
        <w:rPr>
          <w:rFonts w:ascii="楷体_GB2312" w:hAnsi="楷体" w:eastAsia="楷体_GB2312" w:cs="楷体"/>
          <w:sz w:val="32"/>
          <w:szCs w:val="32"/>
        </w:rPr>
      </w:pPr>
      <w:r>
        <w:rPr>
          <w:rFonts w:hint="eastAsia" w:ascii="楷体_GB2312" w:hAnsi="楷体" w:eastAsia="楷体_GB2312" w:cs="楷体"/>
          <w:sz w:val="32"/>
          <w:szCs w:val="32"/>
        </w:rPr>
        <w:t>（一）机构设置及主要职责</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是区委主管全区统一战线工作的职能部门（与德阳市罗江区民族宗教事务局合署办公），其主要职责是：组织贯彻执行中央、省委、市委和区委关于统一战线的方针、政策；负责联系区内各民主党派、有关人民团体和无党派代表人士，及时通报情况，了解和反映他们的意见和建议；负责我区党外人士的政治安排，协助做好实职安排；指导、协助对宗教事务的依法管理，检查督促民族、宗教政策的执行，联系少数民族和宗教界代表人物；指导、帮助区工商联和民间商会开展工作，组织进行非公有制经济代表人士思想政治工作，促进非公有制经济健康发展；调研我区党外知识分子情况，反映意见，协调关系，提出政策性建议；团结、引导我区新的社会阶层代表人士；负责开展以祖国统一为重点，有利于扩大我区对外开放，发展经贸海外统战工作。</w:t>
      </w:r>
    </w:p>
    <w:p>
      <w:pPr>
        <w:adjustRightInd w:val="0"/>
        <w:snapToGrid w:val="0"/>
        <w:spacing w:line="560" w:lineRule="exact"/>
        <w:ind w:firstLine="560" w:firstLineChars="175"/>
        <w:rPr>
          <w:rFonts w:ascii="楷体_GB2312" w:hAnsi="楷体" w:eastAsia="楷体_GB2312" w:cs="楷体"/>
          <w:sz w:val="32"/>
          <w:szCs w:val="32"/>
        </w:rPr>
      </w:pPr>
      <w:r>
        <w:rPr>
          <w:rFonts w:hint="eastAsia" w:ascii="楷体_GB2312" w:hAnsi="楷体" w:eastAsia="楷体_GB2312" w:cs="楷体"/>
          <w:sz w:val="32"/>
          <w:szCs w:val="32"/>
        </w:rPr>
        <w:t>（二）</w:t>
      </w:r>
      <w:r>
        <w:rPr>
          <w:rFonts w:hint="eastAsia" w:ascii="楷体_GB2312" w:hAnsi="仿宋" w:eastAsia="楷体_GB2312" w:cs="仿宋"/>
          <w:sz w:val="32"/>
          <w:szCs w:val="32"/>
        </w:rPr>
        <w:t>中国共产党德阳市罗江区委员会统一战线工作部</w:t>
      </w:r>
      <w:r>
        <w:rPr>
          <w:rFonts w:hint="eastAsia" w:ascii="楷体_GB2312" w:hAnsi="楷体" w:eastAsia="楷体_GB2312" w:cs="楷体"/>
          <w:sz w:val="32"/>
          <w:szCs w:val="32"/>
        </w:rPr>
        <w:t>202</w:t>
      </w:r>
      <w:r>
        <w:rPr>
          <w:rFonts w:hint="eastAsia" w:ascii="楷体_GB2312" w:hAnsi="楷体" w:eastAsia="楷体_GB2312" w:cs="楷体"/>
          <w:sz w:val="32"/>
          <w:szCs w:val="32"/>
          <w:lang w:val="en-US" w:eastAsia="zh-CN"/>
        </w:rPr>
        <w:t>4</w:t>
      </w:r>
      <w:r>
        <w:rPr>
          <w:rFonts w:hint="eastAsia" w:ascii="楷体_GB2312" w:hAnsi="楷体" w:eastAsia="楷体_GB2312" w:cs="楷体"/>
          <w:sz w:val="32"/>
          <w:szCs w:val="32"/>
        </w:rPr>
        <w:t>年重点工作</w:t>
      </w:r>
    </w:p>
    <w:p>
      <w:pPr>
        <w:pStyle w:val="19"/>
        <w:pageBreakBefore w:val="0"/>
        <w:kinsoku/>
        <w:wordWrap/>
        <w:overflowPunct/>
        <w:topLinePunct w:val="0"/>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2024年是中华人民共和国成立75周年，是实现“十四五”规划目标任务的关键一年。全区统一战线工作总体要求是：坚定以习近平新时代中国特色社会主义思想为指导，全面贯彻落实党的二十大和二十届三中全会精神，深刻领悟“两个确立”的决定性意义，增强“四个意识”、坚定“四个自信”、做到两个维护，深入学习贯彻习近平总书记关于做好新时代党的统一战线工作的重要思想和对四川工作系列重要指示精神，坚决落实党中央、省委、市委和区委关于统战工作各项决策部署，围绕区委中心工作，以实施“同心共建·六大聚力”行动为抓手，为全力推动罗江现代化建设凝心聚力。</w:t>
      </w:r>
    </w:p>
    <w:p>
      <w:pPr>
        <w:pStyle w:val="19"/>
        <w:pageBreakBefore w:val="0"/>
        <w:numPr>
          <w:ilvl w:val="0"/>
          <w:numId w:val="0"/>
        </w:numPr>
        <w:kinsoku/>
        <w:wordWrap/>
        <w:overflowPunct/>
        <w:topLinePunct w:val="0"/>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一、聚力思想共识，同心共建“大讲堂”</w:t>
      </w:r>
    </w:p>
    <w:p>
      <w:pPr>
        <w:numPr>
          <w:ilvl w:val="0"/>
          <w:numId w:val="0"/>
        </w:numPr>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持续推动统一战线理论、会议精神、政策文件的学习贯彻，及时提请区委常委会、统战工作领导小组会等传达</w:t>
      </w:r>
      <w:r>
        <w:rPr>
          <w:rFonts w:hint="eastAsia" w:ascii="Times New Roman" w:hAnsi="Times New Roman" w:eastAsia="仿宋_GB2312" w:cs="Times New Roman"/>
          <w:b w:val="0"/>
          <w:bCs w:val="0"/>
          <w:color w:val="auto"/>
          <w:kern w:val="2"/>
          <w:sz w:val="32"/>
          <w:szCs w:val="32"/>
          <w:lang w:val="en-US" w:eastAsia="zh-CN" w:bidi="ar-SA"/>
        </w:rPr>
        <w:t>学习</w:t>
      </w:r>
      <w:r>
        <w:rPr>
          <w:rFonts w:hint="default" w:ascii="Times New Roman" w:hAnsi="Times New Roman" w:eastAsia="仿宋_GB2312" w:cs="Times New Roman"/>
          <w:b w:val="0"/>
          <w:bCs w:val="0"/>
          <w:color w:val="auto"/>
          <w:kern w:val="2"/>
          <w:sz w:val="32"/>
          <w:szCs w:val="32"/>
          <w:lang w:val="en-US" w:eastAsia="zh-CN" w:bidi="ar-SA"/>
        </w:rPr>
        <w:t>。有计划有步骤地组织实施统战成员教育培训，推动统战干部纳入区委党校主体班、重点班培训计划。坚持把铸牢中华民族共同体意识作为党的民族工作主线，大力开展铸牢中华民族共同体意识教育，加大“道中华”推广力度。扎实开展抵御境外宗教专项行动和治理非法宗教活动专项工作。深入贯彻落实《互联网宗教信息服务管理办法》，严防利用互联网进行宗教渗透。严格落实宗教工作“三级网格两级责任制”。常态化开展安全隐患排查整治。</w:t>
      </w:r>
    </w:p>
    <w:p>
      <w:pPr>
        <w:pStyle w:val="19"/>
        <w:pageBreakBefore w:val="0"/>
        <w:numPr>
          <w:ilvl w:val="0"/>
          <w:numId w:val="0"/>
        </w:numPr>
        <w:kinsoku/>
        <w:wordWrap/>
        <w:overflowPunct/>
        <w:topLinePunct w:val="0"/>
        <w:bidi w:val="0"/>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二、聚力城乡融合，同心共建“智囊团”</w:t>
      </w:r>
    </w:p>
    <w:p>
      <w:pPr>
        <w:numPr>
          <w:ilvl w:val="0"/>
          <w:numId w:val="0"/>
        </w:numPr>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建强德阳乡村振兴研究院，汇集党外知识分子智慧力量围绕“全域推进城乡融合发展”和“创建国家乡村振兴示范县”等中心领域确定调研课题，开展调研活动，为区委献良策。强化提升乡村振兴智囊团，大力组建党外人士专家工作室。围绕全省“两项创新”课题精准选题方向，组建写作专班、建立奖励机制，完成理论和实践创新课题，强化部门联动，团体联合，发挥</w:t>
      </w:r>
      <w:r>
        <w:rPr>
          <w:rFonts w:hint="eastAsia" w:ascii="Times New Roman" w:hAnsi="Times New Roman" w:eastAsia="仿宋_GB2312" w:cs="Times New Roman"/>
          <w:b w:val="0"/>
          <w:bCs w:val="0"/>
          <w:color w:val="auto"/>
          <w:kern w:val="2"/>
          <w:sz w:val="32"/>
          <w:szCs w:val="32"/>
          <w:lang w:val="en-US" w:eastAsia="zh-CN" w:bidi="ar-SA"/>
        </w:rPr>
        <w:t>作用</w:t>
      </w:r>
      <w:r>
        <w:rPr>
          <w:rFonts w:hint="default" w:ascii="Times New Roman" w:hAnsi="Times New Roman" w:eastAsia="仿宋_GB2312" w:cs="Times New Roman"/>
          <w:b w:val="0"/>
          <w:bCs w:val="0"/>
          <w:color w:val="auto"/>
          <w:kern w:val="2"/>
          <w:sz w:val="32"/>
          <w:szCs w:val="32"/>
          <w:lang w:val="en-US" w:eastAsia="zh-CN" w:bidi="ar-SA"/>
        </w:rPr>
        <w:t>，统筹宣传稿件报送，保持信息宣传工作优势，提升罗江统战知名度和影响力。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00"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华文楷体" w:cs="Times New Roman"/>
          <w:b w:val="0"/>
          <w:bCs w:val="0"/>
          <w:color w:val="auto"/>
          <w:kern w:val="2"/>
          <w:sz w:val="30"/>
          <w:szCs w:val="30"/>
          <w:lang w:val="en-US" w:eastAsia="zh-CN" w:bidi="ar-SA"/>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黑体" w:cs="Times New Roman"/>
          <w:b w:val="0"/>
          <w:bCs w:val="0"/>
          <w:color w:val="auto"/>
          <w:kern w:val="2"/>
          <w:sz w:val="32"/>
          <w:szCs w:val="32"/>
          <w:highlight w:val="none"/>
          <w:lang w:val="en-US" w:eastAsia="zh-CN" w:bidi="ar-SA"/>
        </w:rPr>
        <w:t>三、聚力开放交流，同心共建“直通车”</w:t>
      </w:r>
    </w:p>
    <w:p>
      <w:pPr>
        <w:pStyle w:val="19"/>
        <w:pageBreakBefore w:val="0"/>
        <w:kinsoku/>
        <w:wordWrap/>
        <w:overflowPunct/>
        <w:topLinePunct w:val="0"/>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邀请市内外上级统战系统相关领导</w:t>
      </w:r>
      <w:r>
        <w:rPr>
          <w:rFonts w:hint="eastAsia" w:ascii="Times New Roman" w:eastAsia="仿宋_GB2312" w:cs="Times New Roman"/>
          <w:b w:val="0"/>
          <w:bCs w:val="0"/>
          <w:color w:val="auto"/>
          <w:kern w:val="2"/>
          <w:sz w:val="32"/>
          <w:szCs w:val="32"/>
          <w:lang w:val="en-US" w:eastAsia="zh-CN" w:bidi="ar-SA"/>
        </w:rPr>
        <w:t>莅</w:t>
      </w:r>
      <w:r>
        <w:rPr>
          <w:rFonts w:hint="default" w:ascii="Times New Roman" w:hAnsi="Times New Roman" w:eastAsia="仿宋_GB2312" w:cs="Times New Roman"/>
          <w:b w:val="0"/>
          <w:bCs w:val="0"/>
          <w:color w:val="auto"/>
          <w:kern w:val="2"/>
          <w:sz w:val="32"/>
          <w:szCs w:val="32"/>
          <w:lang w:val="en-US" w:eastAsia="zh-CN" w:bidi="ar-SA"/>
        </w:rPr>
        <w:t>罗调研考察、交流学习、授课辅导等。整合资源力量，集中开展统一战线助力经济发展的社会服务活动。持续开展统战基地建设，按照“统战+”模式，加快推进范家大院党外人士廉政教育基地、侨文化交流基地、职教社社员之家、民建</w:t>
      </w:r>
      <w:r>
        <w:rPr>
          <w:rFonts w:hint="eastAsia" w:ascii="Times New Roman" w:eastAsia="仿宋_GB2312" w:cs="Times New Roman"/>
          <w:b w:val="0"/>
          <w:bCs w:val="0"/>
          <w:color w:val="auto"/>
          <w:kern w:val="2"/>
          <w:sz w:val="32"/>
          <w:szCs w:val="32"/>
          <w:lang w:val="en-US" w:eastAsia="zh-CN" w:bidi="ar-SA"/>
        </w:rPr>
        <w:t>罗江支部</w:t>
      </w:r>
      <w:r>
        <w:rPr>
          <w:rFonts w:hint="default" w:ascii="Times New Roman" w:hAnsi="Times New Roman" w:eastAsia="仿宋_GB2312" w:cs="Times New Roman"/>
          <w:b w:val="0"/>
          <w:bCs w:val="0"/>
          <w:color w:val="auto"/>
          <w:kern w:val="2"/>
          <w:sz w:val="32"/>
          <w:szCs w:val="32"/>
          <w:lang w:val="en-US" w:eastAsia="zh-CN" w:bidi="ar-SA"/>
        </w:rPr>
        <w:t>校地合作等基地建设，提档升级民主党派推进乡村振兴基地、滨江华府新的社会阶层人士</w:t>
      </w:r>
      <w:r>
        <w:rPr>
          <w:rFonts w:hint="eastAsia" w:ascii="Times New Roman" w:eastAsia="仿宋_GB2312" w:cs="Times New Roman"/>
          <w:b w:val="0"/>
          <w:bCs w:val="0"/>
          <w:color w:val="auto"/>
          <w:kern w:val="2"/>
          <w:sz w:val="32"/>
          <w:szCs w:val="32"/>
          <w:lang w:val="en-US" w:eastAsia="zh-CN" w:bidi="ar-SA"/>
        </w:rPr>
        <w:t>活动</w:t>
      </w:r>
      <w:r>
        <w:rPr>
          <w:rFonts w:hint="default" w:ascii="Times New Roman" w:hAnsi="Times New Roman" w:eastAsia="仿宋_GB2312" w:cs="Times New Roman"/>
          <w:b w:val="0"/>
          <w:bCs w:val="0"/>
          <w:color w:val="auto"/>
          <w:kern w:val="2"/>
          <w:sz w:val="32"/>
          <w:szCs w:val="32"/>
          <w:lang w:val="en-US" w:eastAsia="zh-CN" w:bidi="ar-SA"/>
        </w:rPr>
        <w:t>阵地等。</w:t>
      </w:r>
    </w:p>
    <w:p>
      <w:pPr>
        <w:pStyle w:val="19"/>
        <w:pageBreakBefore w:val="0"/>
        <w:numPr>
          <w:ilvl w:val="0"/>
          <w:numId w:val="0"/>
        </w:numPr>
        <w:kinsoku/>
        <w:wordWrap/>
        <w:overflowPunct/>
        <w:topLinePunct w:val="0"/>
        <w:bidi w:val="0"/>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四、聚力示范提升，同心共建“主阵地”</w:t>
      </w:r>
    </w:p>
    <w:p>
      <w:pPr>
        <w:pStyle w:val="19"/>
        <w:pageBreakBefore w:val="0"/>
        <w:kinsoku/>
        <w:wordWrap/>
        <w:overflowPunct/>
        <w:topLinePunct w:val="0"/>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将中心所在与统战所长结合，发挥统一战线人才荟萃、智力密集的优势，汇聚党外智慧助力乡村振兴。依托德阳乡村振兴研究院，聚焦特色产业，引导农技专家深入田间地头开展指导服务，帮助新农民解决技术难题。积极服务经济高质量发展，开展区委统战部部长与统战代表人士沟通协商“面对面”活动。扎实推动乡镇商会建设，确保完成目标任务。深入开展“万企兴万村”行动，培树示范典型企业。探索推进“法院+工商联+商（协）会”调解机制，依法维护企业合法权益。落实全市推广的“统战+商会+金融”发展机制，助企解决融资难问题。发挥工商联桥梁纽带作用，协助招商引资。</w:t>
      </w:r>
    </w:p>
    <w:p>
      <w:pPr>
        <w:pStyle w:val="6"/>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五、聚力两支队伍，同心共建“人才库”</w:t>
      </w:r>
    </w:p>
    <w:p>
      <w:pPr>
        <w:numPr>
          <w:ilvl w:val="0"/>
          <w:numId w:val="0"/>
        </w:numPr>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积极构建党外代表人士“选育用管联”全链条培养体系，建立党外干部选育用管联机制，形成制度文件。推动“有意识有计划把一部分优秀人才留在党外”政策要求落到实处，分类做好各领域代表人士调训培训，深化党外干部实践锻炼，形成数量充足、结构合理、素质优良的党外人才储备库。深化党外干部对外交流，做好第六批党外干部区外挂职锻炼工作。按照市级要求做好无党派人士年度增补工作。系统性统筹推进宗教领域人才队伍建设。加强统战干部对外交流，挂职锻炼，提升履职能力。开展统战委员、党外干部述职，建立统战系统培训机制，切实提高“两支队伍”履职能力。</w:t>
      </w:r>
    </w:p>
    <w:p>
      <w:pPr>
        <w:pStyle w:val="6"/>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六、聚力基层基础，同心共建“大格局”</w:t>
      </w:r>
    </w:p>
    <w:p>
      <w:pPr>
        <w:ind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用好领导小组机制，推动解决重难点问题。建立完善各领域协作机制和联席会议机制，推动成员单位提高统战意识、强化统战思维、加强工作协同，不断提高大统战工作格局的质效。全面贯彻中央、省委、市委关于落实统战工作责任制的安排部署，推动完善服务民营经济、统战基地建设、信息宣传等工作方案和二级以上公立医院知联会全覆盖。完成新建网联会、民族促进会等统战组织建设。稳妥做好香港专项工作、对台专项工作。务实开展好涉台教育进机关、进学校、进企业工作。持续开展服务台资企业走访活动。落实好惠侨政策，切实保护华侨归侨侨眷合法权益。</w:t>
      </w:r>
    </w:p>
    <w:p>
      <w:pPr>
        <w:adjustRightInd w:val="0"/>
        <w:snapToGrid w:val="0"/>
        <w:spacing w:line="560" w:lineRule="exact"/>
        <w:ind w:firstLine="560" w:firstLineChars="175"/>
        <w:rPr>
          <w:rFonts w:ascii="仿宋_GB2312" w:hAnsi="仿宋_GB2312" w:eastAsia="仿宋_GB2312"/>
          <w:sz w:val="32"/>
          <w:szCs w:val="32"/>
        </w:rPr>
      </w:pPr>
      <w:r>
        <w:rPr>
          <w:rFonts w:hint="eastAsia" w:ascii="黑体" w:hAnsi="黑体" w:eastAsia="黑体" w:cs="黑体"/>
          <w:sz w:val="32"/>
          <w:szCs w:val="32"/>
        </w:rPr>
        <w:t>二、部门预算单位构成</w:t>
      </w:r>
    </w:p>
    <w:p>
      <w:pPr>
        <w:adjustRightInd w:val="0"/>
        <w:snapToGrid w:val="0"/>
        <w:spacing w:line="56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中国共产党德阳市罗江区委员会统一战线工作部与德阳市罗江区民族宗教事务局合署办公，无下属二级预算单位。</w:t>
      </w:r>
    </w:p>
    <w:p>
      <w:pPr>
        <w:adjustRightInd w:val="0"/>
        <w:snapToGrid w:val="0"/>
        <w:spacing w:line="56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中国共产党德阳市罗江区委员会统一战线工作部总编制12名，其中行政编制7名，事业编制5名，工勤编制0名。在职人员总数11人，其中：行政人员7人，事业人员4人；离退休人员</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人，其中：退休人员</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人。本次公开数据包括所有下属二级单位数据。</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三、收支预算增减变化情况说明</w:t>
      </w:r>
    </w:p>
    <w:p>
      <w:pPr>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按照综合预算的原则，中国共产党德阳市罗江区委员会统一战线工作部所有收支均包含下属单位数据，全部纳入部门预算管理。</w:t>
      </w:r>
      <w:r>
        <w:rPr>
          <w:rFonts w:hint="eastAsia" w:ascii="仿宋_GB2312" w:hAnsi="仿宋_GB2312" w:eastAsia="仿宋_GB2312"/>
          <w:sz w:val="32"/>
          <w:szCs w:val="32"/>
        </w:rPr>
        <w:t>收入包括：</w:t>
      </w:r>
      <w:r>
        <w:rPr>
          <w:rFonts w:hint="eastAsia" w:ascii="仿宋_GB2312" w:hAnsi="仿宋" w:eastAsia="仿宋_GB2312" w:cs="仿宋"/>
          <w:sz w:val="32"/>
          <w:szCs w:val="32"/>
        </w:rPr>
        <w:t>当年财政拨款收入</w:t>
      </w:r>
      <w:r>
        <w:rPr>
          <w:rFonts w:hint="eastAsia" w:ascii="仿宋_GB2312" w:hAnsi="仿宋_GB2312" w:eastAsia="仿宋_GB2312"/>
          <w:color w:val="000000" w:themeColor="text1"/>
          <w:sz w:val="32"/>
          <w:szCs w:val="32"/>
          <w:lang w:val="en-US" w:eastAsia="zh-CN"/>
        </w:rPr>
        <w:t>307</w:t>
      </w:r>
      <w:r>
        <w:rPr>
          <w:rFonts w:hint="eastAsia" w:ascii="仿宋_GB2312" w:hAnsi="仿宋" w:eastAsia="仿宋_GB2312" w:cs="仿宋"/>
          <w:sz w:val="32"/>
          <w:szCs w:val="32"/>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年预算数增加</w:t>
      </w:r>
      <w:r>
        <w:rPr>
          <w:rFonts w:hint="eastAsia" w:ascii="仿宋_GB2312" w:hAnsi="仿宋_GB2312" w:eastAsia="仿宋_GB2312"/>
          <w:color w:val="000000" w:themeColor="text1"/>
          <w:sz w:val="32"/>
          <w:szCs w:val="32"/>
          <w:lang w:val="en-US" w:eastAsia="zh-CN"/>
        </w:rPr>
        <w:t>21.88</w:t>
      </w:r>
      <w:r>
        <w:rPr>
          <w:rFonts w:hint="eastAsia" w:ascii="仿宋_GB2312" w:hAnsi="仿宋_GB2312" w:eastAsia="仿宋_GB2312"/>
          <w:sz w:val="32"/>
          <w:szCs w:val="32"/>
        </w:rPr>
        <w:t>万元，增加人员导致增加基本工资等人员经费和公用经费；支出包括：</w:t>
      </w:r>
      <w:r>
        <w:rPr>
          <w:rFonts w:hint="eastAsia" w:ascii="仿宋_GB2312" w:hAnsi="仿宋" w:eastAsia="仿宋_GB2312" w:cs="仿宋"/>
          <w:sz w:val="32"/>
          <w:szCs w:val="32"/>
        </w:rPr>
        <w:t>支出预算</w:t>
      </w:r>
      <w:r>
        <w:rPr>
          <w:rFonts w:hint="eastAsia" w:ascii="仿宋_GB2312" w:hAnsi="仿宋_GB2312" w:eastAsia="仿宋_GB2312"/>
          <w:color w:val="000000" w:themeColor="text1"/>
          <w:sz w:val="32"/>
          <w:szCs w:val="32"/>
          <w:lang w:val="en-US" w:eastAsia="zh-CN"/>
        </w:rPr>
        <w:t>307</w:t>
      </w:r>
      <w:r>
        <w:rPr>
          <w:rFonts w:hint="eastAsia" w:ascii="仿宋_GB2312" w:hAnsi="仿宋" w:eastAsia="仿宋_GB2312" w:cs="仿宋"/>
          <w:sz w:val="32"/>
          <w:szCs w:val="32"/>
        </w:rPr>
        <w:t>万元，其中：一般公共服务支出</w:t>
      </w:r>
      <w:r>
        <w:rPr>
          <w:rFonts w:hint="eastAsia" w:ascii="仿宋_GB2312" w:hAnsi="仿宋" w:eastAsia="仿宋_GB2312" w:cs="仿宋"/>
          <w:color w:val="000000" w:themeColor="text1"/>
          <w:sz w:val="32"/>
          <w:szCs w:val="32"/>
          <w:lang w:val="en-US" w:eastAsia="zh-CN"/>
        </w:rPr>
        <w:t>243.69</w:t>
      </w:r>
      <w:r>
        <w:rPr>
          <w:rFonts w:hint="eastAsia" w:ascii="仿宋_GB2312" w:hAnsi="仿宋" w:eastAsia="仿宋_GB2312" w:cs="仿宋"/>
          <w:sz w:val="32"/>
          <w:szCs w:val="32"/>
        </w:rPr>
        <w:t>万元，社会保障和就业支出</w:t>
      </w:r>
      <w:r>
        <w:rPr>
          <w:rFonts w:hint="eastAsia" w:ascii="仿宋_GB2312" w:hAnsi="仿宋" w:eastAsia="仿宋_GB2312" w:cs="仿宋"/>
          <w:color w:val="000000" w:themeColor="text1"/>
          <w:sz w:val="32"/>
          <w:szCs w:val="32"/>
          <w:lang w:val="en-US" w:eastAsia="zh-CN"/>
        </w:rPr>
        <w:t>38.33</w:t>
      </w:r>
      <w:r>
        <w:rPr>
          <w:rFonts w:hint="eastAsia" w:ascii="仿宋_GB2312" w:hAnsi="仿宋" w:eastAsia="仿宋_GB2312" w:cs="仿宋"/>
          <w:sz w:val="32"/>
          <w:szCs w:val="32"/>
        </w:rPr>
        <w:t>万元，卫生健康支出</w:t>
      </w:r>
      <w:r>
        <w:rPr>
          <w:rFonts w:hint="eastAsia" w:ascii="仿宋_GB2312" w:hAnsi="仿宋" w:eastAsia="仿宋_GB2312" w:cs="仿宋"/>
          <w:color w:val="000000" w:themeColor="text1"/>
          <w:sz w:val="32"/>
          <w:szCs w:val="32"/>
          <w:lang w:val="en-US" w:eastAsia="zh-CN"/>
        </w:rPr>
        <w:t>8.32</w:t>
      </w:r>
      <w:r>
        <w:rPr>
          <w:rFonts w:hint="eastAsia" w:ascii="仿宋_GB2312" w:hAnsi="仿宋" w:eastAsia="仿宋_GB2312" w:cs="仿宋"/>
          <w:sz w:val="32"/>
          <w:szCs w:val="32"/>
        </w:rPr>
        <w:t>万元，住房保障支出</w:t>
      </w:r>
      <w:r>
        <w:rPr>
          <w:rFonts w:hint="eastAsia" w:ascii="仿宋_GB2312" w:hAnsi="仿宋" w:eastAsia="仿宋_GB2312" w:cs="仿宋"/>
          <w:color w:val="000000" w:themeColor="text1"/>
          <w:sz w:val="32"/>
          <w:szCs w:val="32"/>
          <w:lang w:val="en-US" w:eastAsia="zh-CN"/>
        </w:rPr>
        <w:t>16.67</w:t>
      </w:r>
      <w:r>
        <w:rPr>
          <w:rFonts w:hint="eastAsia" w:ascii="仿宋_GB2312" w:hAnsi="仿宋" w:eastAsia="仿宋_GB2312" w:cs="仿宋"/>
          <w:sz w:val="32"/>
          <w:szCs w:val="32"/>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年预算数增加</w:t>
      </w:r>
      <w:r>
        <w:rPr>
          <w:rFonts w:hint="eastAsia" w:ascii="仿宋_GB2312" w:hAnsi="仿宋_GB2312" w:eastAsia="仿宋_GB2312"/>
          <w:color w:val="000000" w:themeColor="text1"/>
          <w:sz w:val="32"/>
          <w:szCs w:val="32"/>
          <w:lang w:val="en-US" w:eastAsia="zh-CN"/>
        </w:rPr>
        <w:t>21.88</w:t>
      </w:r>
      <w:r>
        <w:rPr>
          <w:rFonts w:hint="eastAsia" w:ascii="仿宋_GB2312" w:hAnsi="仿宋_GB2312" w:eastAsia="仿宋_GB2312"/>
          <w:sz w:val="32"/>
          <w:szCs w:val="32"/>
        </w:rPr>
        <w:t>万元，主要是用于宗教场所维修补助、统战代表人士学习考察、新增人员支出共计增加</w:t>
      </w:r>
      <w:r>
        <w:rPr>
          <w:rFonts w:hint="eastAsia" w:ascii="仿宋_GB2312" w:hAnsi="仿宋_GB2312" w:eastAsia="仿宋_GB2312"/>
          <w:color w:val="000000" w:themeColor="text1"/>
          <w:sz w:val="32"/>
          <w:szCs w:val="32"/>
          <w:lang w:val="en-US" w:eastAsia="zh-CN"/>
        </w:rPr>
        <w:t>21.88</w:t>
      </w:r>
      <w:r>
        <w:rPr>
          <w:rFonts w:hint="eastAsia" w:ascii="仿宋_GB2312" w:hAnsi="仿宋_GB2312" w:eastAsia="仿宋_GB2312"/>
          <w:sz w:val="32"/>
          <w:szCs w:val="32"/>
        </w:rPr>
        <w:t>万元。</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年收支总预算</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pPr>
        <w:adjustRightInd w:val="0"/>
        <w:snapToGrid w:val="0"/>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4</w:t>
      </w:r>
      <w:r>
        <w:rPr>
          <w:rFonts w:ascii="仿宋_GB2312" w:hAnsi="仿宋_GB2312" w:eastAsia="仿宋_GB2312"/>
          <w:sz w:val="32"/>
          <w:szCs w:val="32"/>
        </w:rPr>
        <w:t>年收入预算</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w:t>
      </w:r>
      <w:r>
        <w:rPr>
          <w:rFonts w:ascii="仿宋_GB2312" w:hAnsi="仿宋_GB2312" w:eastAsia="仿宋_GB2312"/>
          <w:sz w:val="32"/>
          <w:szCs w:val="32"/>
        </w:rPr>
        <w:t>，其中：一般公共预算拨款收入</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sz w:val="32"/>
          <w:szCs w:val="32"/>
        </w:rPr>
        <w:t>100</w:t>
      </w:r>
      <w:r>
        <w:rPr>
          <w:rFonts w:ascii="仿宋_GB2312" w:hAnsi="仿宋_GB2312" w:eastAsia="仿宋_GB2312"/>
          <w:sz w:val="32"/>
          <w:szCs w:val="32"/>
        </w:rPr>
        <w:t>%。</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pPr>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4</w:t>
      </w:r>
      <w:r>
        <w:rPr>
          <w:rFonts w:ascii="仿宋_GB2312" w:hAnsi="仿宋_GB2312" w:eastAsia="仿宋_GB2312"/>
          <w:sz w:val="32"/>
          <w:szCs w:val="32"/>
        </w:rPr>
        <w:t>年支出预算</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w:t>
      </w:r>
      <w:r>
        <w:rPr>
          <w:rFonts w:ascii="仿宋_GB2312" w:hAnsi="仿宋_GB2312" w:eastAsia="仿宋_GB2312"/>
          <w:sz w:val="32"/>
          <w:szCs w:val="32"/>
        </w:rPr>
        <w:t>，其中：基本支出</w:t>
      </w:r>
      <w:r>
        <w:rPr>
          <w:rFonts w:hint="eastAsia" w:ascii="仿宋_GB2312" w:hAnsi="仿宋_GB2312" w:eastAsia="仿宋_GB2312"/>
          <w:color w:val="000000" w:themeColor="text1"/>
          <w:sz w:val="32"/>
          <w:szCs w:val="32"/>
          <w:lang w:val="en-US" w:eastAsia="zh-CN"/>
        </w:rPr>
        <w:t>231.88</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color w:val="000000" w:themeColor="text1"/>
          <w:sz w:val="32"/>
          <w:szCs w:val="32"/>
          <w:lang w:val="en-US" w:eastAsia="zh-CN"/>
        </w:rPr>
        <w:t>75.53</w:t>
      </w:r>
      <w:r>
        <w:rPr>
          <w:rFonts w:hint="eastAsia" w:ascii="仿宋_GB2312" w:hAnsi="仿宋_GB2312" w:eastAsia="仿宋_GB2312"/>
          <w:sz w:val="32"/>
          <w:szCs w:val="32"/>
        </w:rPr>
        <w:t>%</w:t>
      </w:r>
      <w:r>
        <w:rPr>
          <w:rFonts w:ascii="仿宋_GB2312" w:hAnsi="仿宋_GB2312" w:eastAsia="仿宋_GB2312"/>
          <w:sz w:val="32"/>
          <w:szCs w:val="32"/>
        </w:rPr>
        <w:t>；项目支出</w:t>
      </w:r>
      <w:r>
        <w:rPr>
          <w:rFonts w:hint="eastAsia" w:ascii="仿宋_GB2312" w:hAnsi="仿宋_GB2312" w:eastAsia="仿宋_GB2312"/>
          <w:color w:val="000000" w:themeColor="text1"/>
          <w:sz w:val="32"/>
          <w:szCs w:val="32"/>
          <w:lang w:val="en-US" w:eastAsia="zh-CN"/>
        </w:rPr>
        <w:t>75.12</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color w:val="000000" w:themeColor="text1"/>
          <w:sz w:val="32"/>
          <w:szCs w:val="32"/>
          <w:lang w:val="en-US" w:eastAsia="zh-CN"/>
        </w:rPr>
        <w:t>24.47</w:t>
      </w:r>
      <w:r>
        <w:rPr>
          <w:rFonts w:hint="eastAsia" w:ascii="仿宋_GB2312" w:hAnsi="仿宋_GB2312" w:eastAsia="仿宋_GB2312"/>
          <w:sz w:val="32"/>
          <w:szCs w:val="32"/>
        </w:rPr>
        <w:t>%</w:t>
      </w:r>
      <w:r>
        <w:rPr>
          <w:rFonts w:ascii="仿宋_GB2312" w:hAnsi="仿宋_GB2312" w:eastAsia="仿宋_GB2312"/>
          <w:sz w:val="32"/>
          <w:szCs w:val="32"/>
        </w:rPr>
        <w:t>。</w:t>
      </w:r>
    </w:p>
    <w:p>
      <w:pPr>
        <w:spacing w:line="560" w:lineRule="exact"/>
        <w:ind w:firstLine="560" w:firstLineChars="175"/>
        <w:rPr>
          <w:rFonts w:ascii="仿宋_GB2312" w:hAnsi="仿宋_GB2312" w:eastAsia="仿宋_GB2312"/>
          <w:sz w:val="32"/>
          <w:szCs w:val="32"/>
        </w:rPr>
      </w:pPr>
      <w:r>
        <w:rPr>
          <w:rFonts w:hint="eastAsia" w:ascii="黑体" w:hAnsi="黑体" w:eastAsia="黑体" w:cs="黑体"/>
          <w:sz w:val="32"/>
          <w:szCs w:val="32"/>
        </w:rPr>
        <w:t>四、财政拨款收支预算情况说明</w:t>
      </w:r>
    </w:p>
    <w:p>
      <w:pPr>
        <w:spacing w:line="560" w:lineRule="exact"/>
        <w:ind w:firstLine="560" w:firstLineChars="175"/>
        <w:rPr>
          <w:rFonts w:asci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年财政拨款收支总预算</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w:t>
      </w:r>
      <w:r>
        <w:rPr>
          <w:rFonts w:hint="eastAsia" w:ascii="仿宋_GB2312" w:eastAsia="仿宋_GB2312"/>
          <w:color w:val="000000"/>
          <w:sz w:val="32"/>
          <w:szCs w:val="32"/>
        </w:rPr>
        <w:t>比202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年财政拨款收支总预算</w:t>
      </w:r>
      <w:r>
        <w:rPr>
          <w:rFonts w:hint="eastAsia" w:ascii="仿宋_GB2312" w:eastAsia="仿宋_GB2312"/>
          <w:sz w:val="32"/>
          <w:szCs w:val="32"/>
        </w:rPr>
        <w:t>增加</w:t>
      </w:r>
      <w:r>
        <w:rPr>
          <w:rFonts w:hint="eastAsia" w:ascii="仿宋_GB2312" w:eastAsia="仿宋_GB2312"/>
          <w:color w:val="000000" w:themeColor="text1"/>
          <w:sz w:val="32"/>
          <w:szCs w:val="32"/>
          <w:lang w:val="en-US" w:eastAsia="zh-CN"/>
        </w:rPr>
        <w:t>21.88</w:t>
      </w:r>
      <w:r>
        <w:rPr>
          <w:rFonts w:hint="eastAsia" w:ascii="仿宋_GB2312" w:eastAsia="仿宋_GB2312"/>
          <w:sz w:val="32"/>
          <w:szCs w:val="32"/>
        </w:rPr>
        <w:t>万元，</w:t>
      </w:r>
      <w:r>
        <w:rPr>
          <w:rFonts w:hint="eastAsia" w:ascii="仿宋_GB2312" w:eastAsia="仿宋_GB2312"/>
          <w:color w:val="000000"/>
          <w:sz w:val="32"/>
          <w:szCs w:val="32"/>
        </w:rPr>
        <w:t>主要是</w:t>
      </w:r>
      <w:r>
        <w:rPr>
          <w:rFonts w:hint="eastAsia" w:ascii="仿宋_GB2312" w:hAnsi="仿宋_GB2312" w:eastAsia="仿宋_GB2312"/>
          <w:sz w:val="32"/>
          <w:szCs w:val="32"/>
        </w:rPr>
        <w:t>增加人员导致增加基本工资等人员经费和公用经费</w:t>
      </w:r>
      <w:r>
        <w:rPr>
          <w:rFonts w:hint="eastAsia" w:ascii="仿宋_GB2312" w:hAnsi="仿宋_GB2312" w:eastAsia="仿宋_GB2312"/>
          <w:color w:val="000000" w:themeColor="text1"/>
          <w:sz w:val="32"/>
          <w:szCs w:val="32"/>
          <w:lang w:val="en-US" w:eastAsia="zh-CN"/>
        </w:rPr>
        <w:t>21.88</w:t>
      </w:r>
      <w:r>
        <w:rPr>
          <w:rFonts w:hint="eastAsia" w:ascii="仿宋_GB2312" w:hAnsi="仿宋_GB2312" w:eastAsia="仿宋_GB2312"/>
          <w:sz w:val="32"/>
          <w:szCs w:val="32"/>
        </w:rPr>
        <w:t>万元。</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收入包括：本年一般公共预算拨款收入</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万元；支出包括：</w:t>
      </w:r>
      <w:r>
        <w:rPr>
          <w:rFonts w:hint="eastAsia" w:ascii="仿宋_GB2312" w:hAnsi="仿宋" w:eastAsia="仿宋_GB2312" w:cs="仿宋"/>
          <w:sz w:val="32"/>
          <w:szCs w:val="32"/>
        </w:rPr>
        <w:t>一般公共服务支出</w:t>
      </w:r>
      <w:r>
        <w:rPr>
          <w:rFonts w:hint="eastAsia" w:ascii="仿宋_GB2312" w:hAnsi="仿宋" w:eastAsia="仿宋_GB2312" w:cs="仿宋"/>
          <w:color w:val="000000" w:themeColor="text1"/>
          <w:sz w:val="32"/>
          <w:szCs w:val="32"/>
          <w:lang w:val="en-US" w:eastAsia="zh-CN"/>
        </w:rPr>
        <w:t>243.69</w:t>
      </w:r>
      <w:r>
        <w:rPr>
          <w:rFonts w:hint="eastAsia" w:ascii="仿宋_GB2312" w:hAnsi="仿宋" w:eastAsia="仿宋_GB2312" w:cs="仿宋"/>
          <w:sz w:val="32"/>
          <w:szCs w:val="32"/>
        </w:rPr>
        <w:t>万元，社会保障和就业支出</w:t>
      </w:r>
      <w:r>
        <w:rPr>
          <w:rFonts w:hint="eastAsia" w:ascii="仿宋_GB2312" w:hAnsi="仿宋" w:eastAsia="仿宋_GB2312" w:cs="仿宋"/>
          <w:color w:val="000000" w:themeColor="text1"/>
          <w:sz w:val="32"/>
          <w:szCs w:val="32"/>
          <w:lang w:val="en-US" w:eastAsia="zh-CN"/>
        </w:rPr>
        <w:t>38.33</w:t>
      </w:r>
      <w:r>
        <w:rPr>
          <w:rFonts w:hint="eastAsia" w:ascii="仿宋_GB2312" w:hAnsi="仿宋" w:eastAsia="仿宋_GB2312" w:cs="仿宋"/>
          <w:sz w:val="32"/>
          <w:szCs w:val="32"/>
        </w:rPr>
        <w:t>万元，卫生健康支出</w:t>
      </w:r>
      <w:r>
        <w:rPr>
          <w:rFonts w:hint="eastAsia" w:ascii="仿宋_GB2312" w:hAnsi="仿宋" w:eastAsia="仿宋_GB2312" w:cs="仿宋"/>
          <w:color w:val="000000" w:themeColor="text1"/>
          <w:sz w:val="32"/>
          <w:szCs w:val="32"/>
          <w:lang w:val="en-US" w:eastAsia="zh-CN"/>
        </w:rPr>
        <w:t>8.32</w:t>
      </w:r>
      <w:r>
        <w:rPr>
          <w:rFonts w:hint="eastAsia" w:ascii="仿宋_GB2312" w:hAnsi="仿宋" w:eastAsia="仿宋_GB2312" w:cs="仿宋"/>
          <w:sz w:val="32"/>
          <w:szCs w:val="32"/>
        </w:rPr>
        <w:t>万元，住房保障支出</w:t>
      </w:r>
      <w:r>
        <w:rPr>
          <w:rFonts w:hint="eastAsia" w:ascii="仿宋_GB2312" w:hAnsi="仿宋" w:eastAsia="仿宋_GB2312" w:cs="仿宋"/>
          <w:color w:val="000000" w:themeColor="text1"/>
          <w:sz w:val="32"/>
          <w:szCs w:val="32"/>
          <w:lang w:val="en-US" w:eastAsia="zh-CN"/>
        </w:rPr>
        <w:t>16.67</w:t>
      </w:r>
      <w:r>
        <w:rPr>
          <w:rFonts w:hint="eastAsia" w:ascii="仿宋_GB2312" w:hAnsi="仿宋" w:eastAsia="仿宋_GB2312" w:cs="仿宋"/>
          <w:sz w:val="32"/>
          <w:szCs w:val="32"/>
        </w:rPr>
        <w:t>万元。</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五、一般公共预算当年拨款情况说明</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年一般公共预算当年拨款</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年预算数增加</w:t>
      </w:r>
      <w:r>
        <w:rPr>
          <w:rFonts w:hint="eastAsia" w:ascii="仿宋_GB2312" w:hAnsi="仿宋_GB2312" w:eastAsia="仿宋_GB2312"/>
          <w:color w:val="000000" w:themeColor="text1"/>
          <w:sz w:val="32"/>
          <w:szCs w:val="32"/>
          <w:lang w:val="en-US" w:eastAsia="zh-CN"/>
        </w:rPr>
        <w:t>21.88</w:t>
      </w:r>
      <w:r>
        <w:rPr>
          <w:rFonts w:hint="eastAsia" w:ascii="仿宋_GB2312" w:hAnsi="仿宋_GB2312" w:eastAsia="仿宋_GB2312"/>
          <w:sz w:val="32"/>
          <w:szCs w:val="32"/>
        </w:rPr>
        <w:t>万元，增加人员导致增加基本工资等人员经费和公用经费</w:t>
      </w:r>
      <w:r>
        <w:rPr>
          <w:rFonts w:hint="eastAsia" w:ascii="仿宋_GB2312" w:hAnsi="仿宋_GB2312" w:eastAsia="仿宋_GB2312"/>
          <w:color w:val="000000" w:themeColor="text1"/>
          <w:sz w:val="32"/>
          <w:szCs w:val="32"/>
          <w:lang w:val="en-US" w:eastAsia="zh-CN"/>
        </w:rPr>
        <w:t>21.88</w:t>
      </w:r>
      <w:r>
        <w:rPr>
          <w:rFonts w:hint="eastAsia" w:ascii="仿宋_GB2312" w:hAnsi="仿宋_GB2312" w:eastAsia="仿宋_GB2312"/>
          <w:sz w:val="32"/>
          <w:szCs w:val="32"/>
        </w:rPr>
        <w:t>万元。</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一般公共服务支出</w:t>
      </w:r>
      <w:r>
        <w:rPr>
          <w:rFonts w:hint="eastAsia" w:ascii="仿宋_GB2312" w:hAnsi="仿宋_GB2312" w:eastAsia="仿宋_GB2312"/>
          <w:color w:val="000000" w:themeColor="text1"/>
          <w:sz w:val="32"/>
          <w:szCs w:val="32"/>
          <w:lang w:val="en-US" w:eastAsia="zh-CN"/>
        </w:rPr>
        <w:t>243.69</w:t>
      </w:r>
      <w:r>
        <w:rPr>
          <w:rFonts w:hint="eastAsia" w:ascii="仿宋_GB2312" w:hAnsi="仿宋_GB2312" w:eastAsia="仿宋_GB2312"/>
          <w:sz w:val="32"/>
          <w:szCs w:val="32"/>
        </w:rPr>
        <w:t>万元，占</w:t>
      </w:r>
      <w:r>
        <w:rPr>
          <w:rFonts w:hint="eastAsia" w:ascii="仿宋_GB2312" w:hAnsi="仿宋_GB2312" w:eastAsia="仿宋_GB2312"/>
          <w:color w:val="000000" w:themeColor="text1"/>
          <w:sz w:val="32"/>
          <w:szCs w:val="32"/>
          <w:lang w:val="en-US" w:eastAsia="zh-CN"/>
        </w:rPr>
        <w:t>79.37</w:t>
      </w:r>
      <w:r>
        <w:rPr>
          <w:rFonts w:hint="eastAsia" w:ascii="仿宋_GB2312" w:hAnsi="仿宋_GB2312" w:eastAsia="仿宋_GB2312"/>
          <w:sz w:val="32"/>
          <w:szCs w:val="32"/>
        </w:rPr>
        <w:t>%；</w:t>
      </w:r>
      <w:r>
        <w:rPr>
          <w:rFonts w:hint="eastAsia" w:ascii="仿宋_GB2312" w:hAnsi="仿宋" w:eastAsia="仿宋_GB2312" w:cs="仿宋"/>
          <w:sz w:val="32"/>
          <w:szCs w:val="32"/>
        </w:rPr>
        <w:t>社会保障和就业支出</w:t>
      </w:r>
      <w:r>
        <w:rPr>
          <w:rFonts w:hint="eastAsia" w:ascii="仿宋_GB2312" w:hAnsi="仿宋" w:eastAsia="仿宋_GB2312" w:cs="仿宋"/>
          <w:color w:val="000000" w:themeColor="text1"/>
          <w:sz w:val="32"/>
          <w:szCs w:val="32"/>
          <w:lang w:val="en-US" w:eastAsia="zh-CN"/>
        </w:rPr>
        <w:t>38.33</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lang w:val="en-US" w:eastAsia="zh-CN"/>
        </w:rPr>
        <w:t>12.48</w:t>
      </w:r>
      <w:r>
        <w:rPr>
          <w:rFonts w:hint="eastAsia" w:ascii="仿宋_GB2312" w:hAnsi="仿宋" w:eastAsia="仿宋_GB2312" w:cs="仿宋"/>
          <w:sz w:val="32"/>
          <w:szCs w:val="32"/>
        </w:rPr>
        <w:t>%，卫生健康支出</w:t>
      </w:r>
      <w:r>
        <w:rPr>
          <w:rFonts w:hint="eastAsia" w:ascii="仿宋_GB2312" w:hAnsi="仿宋" w:eastAsia="仿宋_GB2312" w:cs="仿宋"/>
          <w:color w:val="000000" w:themeColor="text1"/>
          <w:sz w:val="32"/>
          <w:szCs w:val="32"/>
          <w:lang w:val="en-US" w:eastAsia="zh-CN"/>
        </w:rPr>
        <w:t>8.32</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lang w:val="en-US" w:eastAsia="zh-CN"/>
        </w:rPr>
        <w:t>2.71</w:t>
      </w:r>
      <w:r>
        <w:rPr>
          <w:rFonts w:hint="eastAsia" w:ascii="仿宋_GB2312" w:hAnsi="仿宋" w:eastAsia="仿宋_GB2312" w:cs="仿宋"/>
          <w:sz w:val="32"/>
          <w:szCs w:val="32"/>
        </w:rPr>
        <w:t>%，住房保障支出</w:t>
      </w:r>
      <w:r>
        <w:rPr>
          <w:rFonts w:hint="eastAsia" w:ascii="仿宋_GB2312" w:hAnsi="仿宋" w:eastAsia="仿宋_GB2312" w:cs="仿宋"/>
          <w:color w:val="000000" w:themeColor="text1"/>
          <w:sz w:val="32"/>
          <w:szCs w:val="32"/>
          <w:lang w:val="en-US" w:eastAsia="zh-CN"/>
        </w:rPr>
        <w:t>16.67</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lang w:val="en-US" w:eastAsia="zh-CN"/>
        </w:rPr>
        <w:t>5.42</w:t>
      </w:r>
      <w:r>
        <w:rPr>
          <w:rFonts w:hint="eastAsia" w:ascii="仿宋_GB2312" w:hAnsi="仿宋" w:eastAsia="仿宋_GB2312" w:cs="仿宋"/>
          <w:sz w:val="32"/>
          <w:szCs w:val="32"/>
        </w:rPr>
        <w:t>%。</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1.一般公共服务（类）</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民族事务（款）民族工作专项（支出项）202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rPr>
        <w:t>5.00</w:t>
      </w:r>
      <w:r>
        <w:rPr>
          <w:rFonts w:hint="eastAsia" w:ascii="仿宋_GB2312" w:hAnsi="仿宋_GB2312" w:eastAsia="仿宋_GB2312"/>
          <w:sz w:val="32"/>
          <w:szCs w:val="32"/>
        </w:rPr>
        <w:t>万元，主要用于开展我区少数民族工作发生的支出。</w:t>
      </w:r>
    </w:p>
    <w:p>
      <w:pPr>
        <w:pStyle w:val="19"/>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统战事务（款）行政运行（支出项）202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117.47</w:t>
      </w:r>
      <w:r>
        <w:rPr>
          <w:rFonts w:hint="eastAsia" w:ascii="仿宋_GB2312" w:hAnsi="仿宋_GB2312" w:eastAsia="仿宋_GB2312"/>
          <w:sz w:val="32"/>
          <w:szCs w:val="32"/>
        </w:rPr>
        <w:t>万元，主要用于区委统战部机关公务人员运行的基本工资、津补贴、奖金、办公费、印刷费、邮电费、差旅费、会议费、公务接待费、劳务费、工会经费、其他交通运行维护费、其他商品和服务支出、退休费、医疗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统战事务（款）一般行政管理事务（支出项）202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rPr>
        <w:t>5.75</w:t>
      </w:r>
      <w:r>
        <w:rPr>
          <w:rFonts w:hint="eastAsia" w:ascii="仿宋_GB2312" w:hAnsi="仿宋_GB2312" w:eastAsia="仿宋_GB2312"/>
          <w:sz w:val="32"/>
          <w:szCs w:val="32"/>
        </w:rPr>
        <w:t>万元，主要用于组织我区统战成员开展学习培训、考察调研工作经费；主要用于</w:t>
      </w:r>
      <w:r>
        <w:rPr>
          <w:rFonts w:hint="eastAsia" w:ascii="仿宋_GB2312" w:eastAsia="仿宋_GB2312"/>
          <w:sz w:val="32"/>
          <w:szCs w:val="32"/>
        </w:rPr>
        <w:t>贯彻落实党和国家的对台方针政策，协调对台经贸工作和各领域交流合作事宜，联系服务我区台胞台属促进两岸交流，进一步扩大罗江对外交流合作</w:t>
      </w:r>
      <w:r>
        <w:rPr>
          <w:rFonts w:hint="eastAsia" w:ascii="仿宋_GB2312" w:hAnsi="仿宋_GB2312" w:eastAsia="仿宋_GB2312"/>
          <w:sz w:val="32"/>
          <w:szCs w:val="32"/>
        </w:rPr>
        <w:t>。</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统战事务（款）宗教事务（支出项）202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14.12</w:t>
      </w:r>
      <w:r>
        <w:rPr>
          <w:rFonts w:hint="eastAsia" w:ascii="仿宋_GB2312" w:hAnsi="仿宋_GB2312" w:eastAsia="仿宋_GB2312"/>
          <w:sz w:val="32"/>
          <w:szCs w:val="32"/>
        </w:rPr>
        <w:t>万元，主要用于我区民族宗教界代表人士生活补助、宗教场所维修补助专项经费、宗教工作经费；支持和指导民主党派、工商联等统战成员开展学习、调研活动；好宗教领域各项工作，促进我区宗教工作有序开展，社会和谐稳定。</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统战事务（款）其他统战事务支出（支出项）202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rPr>
        <w:t>13.00</w:t>
      </w:r>
      <w:r>
        <w:rPr>
          <w:rFonts w:hint="eastAsia" w:ascii="仿宋_GB2312" w:hAnsi="仿宋_GB2312" w:eastAsia="仿宋_GB2312"/>
          <w:sz w:val="32"/>
          <w:szCs w:val="32"/>
        </w:rPr>
        <w:t>万元，主要用于我区民族宗教界代表人士生活补助、宗教场所维修补助专项经费、宗教工作经费。</w:t>
      </w:r>
    </w:p>
    <w:p>
      <w:pPr>
        <w:pStyle w:val="19"/>
        <w:spacing w:line="560" w:lineRule="exact"/>
        <w:ind w:firstLine="560" w:firstLineChars="175"/>
      </w:pPr>
      <w:r>
        <w:rPr>
          <w:rFonts w:hint="eastAsia" w:ascii="仿宋_GB2312" w:hAnsi="仿宋_GB2312" w:eastAsia="仿宋_GB2312"/>
          <w:color w:val="auto"/>
          <w:sz w:val="32"/>
          <w:szCs w:val="32"/>
        </w:rPr>
        <w:t>统战事务（款）事业运行（支出项）202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48.35</w:t>
      </w:r>
      <w:r>
        <w:rPr>
          <w:rFonts w:hint="eastAsia" w:ascii="仿宋_GB2312" w:hAnsi="仿宋_GB2312" w:eastAsia="仿宋_GB2312"/>
          <w:color w:val="auto"/>
          <w:sz w:val="32"/>
          <w:szCs w:val="32"/>
        </w:rPr>
        <w:t>万元，</w:t>
      </w:r>
      <w:r>
        <w:rPr>
          <w:rFonts w:hint="eastAsia" w:ascii="仿宋_GB2312" w:hAnsi="仿宋_GB2312" w:eastAsia="仿宋_GB2312"/>
          <w:sz w:val="32"/>
          <w:szCs w:val="32"/>
        </w:rPr>
        <w:t>主要用于区委统战部机关事业人员运行的基本工资、津补贴、奖金、办公费、印刷费、邮电费、差旅费、会议费、公务接待费、劳务费、工会经费、其他交通运行维护费、其他商品和服务支出、退休费、医疗费。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2.社会保障和就业支出（类）</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行政事业单位养老保险支出（款）机关事业单位基本养老保险缴费支出（支出项）202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19.93</w:t>
      </w:r>
      <w:r>
        <w:rPr>
          <w:rFonts w:hint="eastAsia" w:ascii="仿宋_GB2312" w:hAnsi="仿宋_GB2312" w:eastAsia="仿宋_GB2312"/>
          <w:sz w:val="32"/>
          <w:szCs w:val="32"/>
        </w:rPr>
        <w:t>万元，主要用于区委统战部机关单位养老保险缴费。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行政事业单位养老保险支出（款）机关事业单位职业年金缴费支出（支出项）202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9.97</w:t>
      </w:r>
      <w:r>
        <w:rPr>
          <w:rFonts w:hint="eastAsia" w:ascii="仿宋_GB2312" w:hAnsi="仿宋_GB2312" w:eastAsia="仿宋_GB2312"/>
          <w:sz w:val="32"/>
          <w:szCs w:val="32"/>
        </w:rPr>
        <w:t>万元，主要用于区委统战部机关单位职业年金缴费。</w:t>
      </w:r>
    </w:p>
    <w:p>
      <w:pPr>
        <w:adjustRightInd w:val="0"/>
        <w:snapToGrid w:val="0"/>
        <w:spacing w:line="560" w:lineRule="exact"/>
        <w:ind w:firstLine="560" w:firstLineChars="175"/>
      </w:pPr>
      <w:r>
        <w:rPr>
          <w:rFonts w:hint="eastAsia" w:ascii="仿宋_GB2312" w:hAnsi="仿宋_GB2312" w:eastAsia="仿宋_GB2312"/>
          <w:sz w:val="32"/>
          <w:szCs w:val="32"/>
        </w:rPr>
        <w:t>行政事业单位养老保险支出（款）其他行政事业单位养老保险支出（支出项）202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sz w:val="32"/>
          <w:szCs w:val="32"/>
        </w:rPr>
        <w:t>万元，主要用于区委统战部机关离退休人员支出。</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其他社会保障和就业支出（款）其他社会保障和就业支出（支出项）202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0.42</w:t>
      </w:r>
      <w:r>
        <w:rPr>
          <w:rFonts w:hint="eastAsia" w:ascii="仿宋_GB2312" w:hAnsi="仿宋_GB2312" w:eastAsia="仿宋_GB2312"/>
          <w:sz w:val="32"/>
          <w:szCs w:val="32"/>
        </w:rPr>
        <w:t>万元，主要用于区委统战部机关离退休人员相关支出。</w:t>
      </w:r>
    </w:p>
    <w:p>
      <w:pPr>
        <w:tabs>
          <w:tab w:val="left" w:pos="312"/>
        </w:tabs>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3.卫生健康支出</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行政事业单位医疗（款）行政单位医疗（支出项）202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5.83</w:t>
      </w:r>
      <w:r>
        <w:rPr>
          <w:rFonts w:hint="eastAsia" w:ascii="仿宋_GB2312" w:hAnsi="仿宋_GB2312" w:eastAsia="仿宋_GB2312"/>
          <w:sz w:val="32"/>
          <w:szCs w:val="32"/>
        </w:rPr>
        <w:t>万元，主要用于区委统战部机关行政人员医疗保险缴费。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行政事业单位医疗（款）事业单位医疗（支出项）202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2.49</w:t>
      </w:r>
      <w:r>
        <w:rPr>
          <w:rFonts w:hint="eastAsia" w:ascii="仿宋_GB2312" w:hAnsi="仿宋_GB2312" w:eastAsia="仿宋_GB2312"/>
          <w:sz w:val="32"/>
          <w:szCs w:val="32"/>
        </w:rPr>
        <w:t>万元，主要用于区委统战部机关事业人员医疗保险缴费。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4.住房保障支出（类）</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住房改革支出（款）住房公积金（支出项）202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16.67</w:t>
      </w:r>
      <w:r>
        <w:rPr>
          <w:rFonts w:hint="eastAsia" w:ascii="仿宋_GB2312" w:hAnsi="仿宋_GB2312" w:eastAsia="仿宋_GB2312"/>
          <w:sz w:val="32"/>
          <w:szCs w:val="32"/>
        </w:rPr>
        <w:t>万元，主要用于区委统战部机关住房公积金缴纳。</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六、一般公共预算基本支出情况说明</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年一般公共预算基本支出</w:t>
      </w:r>
      <w:r>
        <w:rPr>
          <w:rFonts w:hint="eastAsia" w:ascii="仿宋_GB2312" w:hAnsi="仿宋_GB2312" w:eastAsia="仿宋_GB2312"/>
          <w:color w:val="000000" w:themeColor="text1"/>
          <w:sz w:val="32"/>
          <w:szCs w:val="32"/>
          <w:lang w:val="en-US" w:eastAsia="zh-CN"/>
          <w14:textFill>
            <w14:solidFill>
              <w14:schemeClr w14:val="tx1"/>
            </w14:solidFill>
          </w14:textFill>
        </w:rPr>
        <w:t>231.88</w:t>
      </w:r>
      <w:r>
        <w:rPr>
          <w:rFonts w:hint="eastAsia" w:ascii="仿宋_GB2312" w:hAnsi="仿宋_GB2312" w:eastAsia="仿宋_GB2312"/>
          <w:sz w:val="32"/>
          <w:szCs w:val="32"/>
        </w:rPr>
        <w:t>万元，其中：</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人员经费</w:t>
      </w:r>
      <w:r>
        <w:rPr>
          <w:rFonts w:hint="eastAsia" w:ascii="仿宋_GB2312" w:hAnsi="仿宋_GB2312" w:eastAsia="仿宋_GB2312"/>
          <w:color w:val="000000" w:themeColor="text1"/>
          <w:sz w:val="32"/>
          <w:szCs w:val="32"/>
          <w:lang w:val="en-US" w:eastAsia="zh-CN"/>
          <w14:textFill>
            <w14:solidFill>
              <w14:schemeClr w14:val="tx1"/>
            </w14:solidFill>
          </w14:textFill>
        </w:rPr>
        <w:t>205.58</w:t>
      </w:r>
      <w:r>
        <w:rPr>
          <w:rFonts w:hint="eastAsia" w:ascii="仿宋_GB2312" w:hAnsi="仿宋_GB2312" w:eastAsia="仿宋_GB2312"/>
          <w:sz w:val="32"/>
          <w:szCs w:val="32"/>
        </w:rPr>
        <w:t>万元，主要包括：基本工资、津贴补贴、奖金、社会保险缴费、绩效工资、机关事业单位基本养老保险缴费、职业年金缴费、住房公积金支出、离退休人员生活补助。</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color w:val="000000" w:themeColor="text1"/>
          <w:sz w:val="32"/>
          <w:szCs w:val="32"/>
          <w14:textFill>
            <w14:solidFill>
              <w14:schemeClr w14:val="tx1"/>
            </w14:solidFill>
          </w14:textFill>
        </w:rPr>
        <w:t>26.3</w:t>
      </w:r>
      <w:r>
        <w:rPr>
          <w:rFonts w:hint="eastAsia" w:ascii="仿宋_GB2312" w:hAnsi="仿宋_GB2312" w:eastAsia="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sz w:val="32"/>
          <w:szCs w:val="32"/>
        </w:rPr>
        <w:t>元，主要包括：办公费、印刷费、水电费、邮电费、差旅费、维修（护）费、会议费、培训费、劳务费、工会经费、其他交通工具运行维护费、其他商品和服务支出。</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七、“三公”经费财政拨款预算安排情况说明</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年“三公”经费财政拨款预算数</w:t>
      </w:r>
      <w:r>
        <w:rPr>
          <w:rFonts w:hint="eastAsia" w:ascii="仿宋_GB2312" w:hAnsi="仿宋_GB2312" w:eastAsia="仿宋_GB2312"/>
          <w:color w:val="000000" w:themeColor="text1"/>
          <w:sz w:val="32"/>
          <w:szCs w:val="32"/>
          <w14:textFill>
            <w14:solidFill>
              <w14:schemeClr w14:val="tx1"/>
            </w14:solidFill>
          </w14:textFill>
        </w:rPr>
        <w:t>1.80</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color w:val="000000" w:themeColor="text1"/>
          <w:sz w:val="32"/>
          <w:szCs w:val="32"/>
          <w14:textFill>
            <w14:solidFill>
              <w14:schemeClr w14:val="tx1"/>
            </w14:solidFill>
          </w14:textFill>
        </w:rPr>
        <w:t>1.80</w:t>
      </w:r>
      <w:r>
        <w:rPr>
          <w:rFonts w:hint="eastAsia" w:ascii="仿宋_GB2312" w:hAnsi="仿宋_GB2312" w:eastAsia="仿宋_GB2312"/>
          <w:sz w:val="32"/>
          <w:szCs w:val="32"/>
        </w:rPr>
        <w:t>万元，公务用车购置及运行维护费0万元。</w:t>
      </w:r>
    </w:p>
    <w:p>
      <w:pPr>
        <w:spacing w:line="560" w:lineRule="exact"/>
        <w:ind w:firstLine="560" w:firstLineChars="175"/>
        <w:rPr>
          <w:rFonts w:ascii="仿宋_GB2312" w:hAnsi="仿宋_GB2312" w:eastAsia="仿宋_GB2312"/>
          <w:sz w:val="32"/>
          <w:szCs w:val="32"/>
        </w:rPr>
      </w:pPr>
      <w:r>
        <w:rPr>
          <w:rFonts w:hint="eastAsia" w:ascii="楷体_GB2312" w:eastAsia="楷体_GB2312"/>
          <w:bCs/>
          <w:sz w:val="32"/>
          <w:szCs w:val="32"/>
        </w:rPr>
        <w:t>（一）因公出国（境）经费与202</w:t>
      </w:r>
      <w:r>
        <w:rPr>
          <w:rFonts w:hint="eastAsia" w:ascii="楷体_GB2312" w:eastAsia="楷体_GB2312"/>
          <w:bCs/>
          <w:sz w:val="32"/>
          <w:szCs w:val="32"/>
          <w:lang w:val="en-US" w:eastAsia="zh-CN"/>
        </w:rPr>
        <w:t>3</w:t>
      </w:r>
      <w:r>
        <w:rPr>
          <w:rFonts w:hint="eastAsia" w:ascii="楷体_GB2312" w:eastAsia="楷体_GB2312"/>
          <w:bCs/>
          <w:sz w:val="32"/>
          <w:szCs w:val="32"/>
        </w:rPr>
        <w:t>年预算持平。</w:t>
      </w:r>
      <w:r>
        <w:rPr>
          <w:rFonts w:hint="eastAsia" w:ascii="仿宋_GB2312" w:hAnsi="仿宋_GB2312" w:eastAsia="仿宋_GB2312"/>
          <w:sz w:val="32"/>
          <w:szCs w:val="32"/>
        </w:rPr>
        <w:t>主要原因是202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年未安排因公出国计划。</w:t>
      </w:r>
    </w:p>
    <w:p>
      <w:pPr>
        <w:adjustRightInd w:val="0"/>
        <w:snapToGrid w:val="0"/>
        <w:spacing w:line="560" w:lineRule="exact"/>
        <w:ind w:firstLine="560" w:firstLineChars="175"/>
        <w:rPr>
          <w:rFonts w:ascii="仿宋_GB2312" w:hAnsi="仿宋_GB2312" w:eastAsia="仿宋_GB2312"/>
          <w:sz w:val="32"/>
          <w:szCs w:val="32"/>
        </w:rPr>
      </w:pPr>
      <w:r>
        <w:rPr>
          <w:rFonts w:hint="eastAsia" w:ascii="楷体_GB2312" w:hAnsi="仿宋_GB2312" w:eastAsia="楷体_GB2312"/>
          <w:sz w:val="32"/>
          <w:szCs w:val="32"/>
        </w:rPr>
        <w:t>（二）</w:t>
      </w:r>
      <w:r>
        <w:rPr>
          <w:rFonts w:hint="eastAsia" w:ascii="楷体_GB2312" w:eastAsia="楷体_GB2312"/>
          <w:bCs/>
          <w:sz w:val="32"/>
          <w:szCs w:val="32"/>
        </w:rPr>
        <w:t>公务接待费与202</w:t>
      </w:r>
      <w:r>
        <w:rPr>
          <w:rFonts w:hint="eastAsia" w:ascii="楷体_GB2312" w:eastAsia="楷体_GB2312"/>
          <w:bCs/>
          <w:sz w:val="32"/>
          <w:szCs w:val="32"/>
          <w:lang w:val="en-US" w:eastAsia="zh-CN"/>
        </w:rPr>
        <w:t>3</w:t>
      </w:r>
      <w:r>
        <w:rPr>
          <w:rFonts w:hint="eastAsia" w:ascii="楷体_GB2312" w:eastAsia="楷体_GB2312"/>
          <w:bCs/>
          <w:sz w:val="32"/>
          <w:szCs w:val="32"/>
        </w:rPr>
        <w:t>年预算相比减少</w:t>
      </w:r>
      <w:r>
        <w:rPr>
          <w:rFonts w:hint="eastAsia" w:ascii="楷体_GB2312" w:eastAsia="楷体_GB2312"/>
          <w:bCs/>
          <w:color w:val="000000" w:themeColor="text1"/>
          <w:sz w:val="32"/>
          <w:szCs w:val="32"/>
          <w14:textFill>
            <w14:solidFill>
              <w14:schemeClr w14:val="tx1"/>
            </w14:solidFill>
          </w14:textFill>
        </w:rPr>
        <w:t>5.26</w:t>
      </w:r>
      <w:r>
        <w:rPr>
          <w:rFonts w:hint="eastAsia" w:ascii="楷体_GB2312" w:eastAsia="楷体_GB2312"/>
          <w:bCs/>
          <w:sz w:val="32"/>
          <w:szCs w:val="32"/>
        </w:rPr>
        <w:t>%。</w:t>
      </w:r>
      <w:r>
        <w:rPr>
          <w:rFonts w:hint="eastAsia" w:ascii="仿宋_GB2312" w:hAnsi="仿宋_GB2312" w:eastAsia="仿宋_GB2312"/>
          <w:sz w:val="32"/>
          <w:szCs w:val="32"/>
        </w:rPr>
        <w:t>主要原因是公务接待经费方面在以前年度压缩后，本年按照压缩一般性支出要求再次压缩，202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年预计同上级统战部门对接时接待次数稍减少，导致减少</w:t>
      </w:r>
      <w:r>
        <w:rPr>
          <w:rFonts w:hint="eastAsia" w:ascii="仿宋_GB2312" w:hAnsi="仿宋_GB2312" w:eastAsia="仿宋_GB2312"/>
          <w:color w:val="000000" w:themeColor="text1"/>
          <w:sz w:val="32"/>
          <w:szCs w:val="32"/>
          <w14:textFill>
            <w14:solidFill>
              <w14:schemeClr w14:val="tx1"/>
            </w14:solidFill>
          </w14:textFill>
        </w:rPr>
        <w:t>0.10</w:t>
      </w:r>
      <w:r>
        <w:rPr>
          <w:rFonts w:hint="eastAsia" w:ascii="仿宋_GB2312" w:hAnsi="仿宋_GB2312" w:eastAsia="仿宋_GB2312"/>
          <w:sz w:val="32"/>
          <w:szCs w:val="32"/>
        </w:rPr>
        <w:t>万元经费。</w:t>
      </w:r>
    </w:p>
    <w:p>
      <w:pPr>
        <w:adjustRightInd w:val="0"/>
        <w:snapToGrid w:val="0"/>
        <w:spacing w:line="560" w:lineRule="exact"/>
        <w:ind w:firstLine="560" w:firstLineChars="175"/>
        <w:rPr>
          <w:rFonts w:ascii="仿宋_GB2312" w:hAnsi="仿宋_GB2312" w:eastAsia="仿宋_GB2312"/>
          <w:sz w:val="32"/>
          <w:szCs w:val="32"/>
        </w:rPr>
      </w:pPr>
      <w:r>
        <w:rPr>
          <w:rFonts w:hint="eastAsia" w:ascii="楷体_GB2312" w:hAnsi="仿宋_GB2312" w:eastAsia="楷体_GB2312"/>
          <w:sz w:val="32"/>
          <w:szCs w:val="32"/>
        </w:rPr>
        <w:t>（三）</w:t>
      </w:r>
      <w:r>
        <w:rPr>
          <w:rFonts w:hint="eastAsia" w:ascii="楷体_GB2312" w:eastAsia="楷体_GB2312"/>
          <w:bCs/>
          <w:sz w:val="32"/>
          <w:szCs w:val="32"/>
        </w:rPr>
        <w:t>公务用车购置及运行维护费与202</w:t>
      </w:r>
      <w:r>
        <w:rPr>
          <w:rFonts w:hint="eastAsia" w:ascii="楷体_GB2312" w:eastAsia="楷体_GB2312"/>
          <w:bCs/>
          <w:sz w:val="32"/>
          <w:szCs w:val="32"/>
          <w:lang w:val="en-US" w:eastAsia="zh-CN"/>
        </w:rPr>
        <w:t>3</w:t>
      </w:r>
      <w:r>
        <w:rPr>
          <w:rFonts w:hint="eastAsia" w:ascii="楷体_GB2312" w:eastAsia="楷体_GB2312"/>
          <w:bCs/>
          <w:sz w:val="32"/>
          <w:szCs w:val="32"/>
        </w:rPr>
        <w:t>年预算持平。</w:t>
      </w:r>
      <w:r>
        <w:rPr>
          <w:rFonts w:hint="eastAsia" w:ascii="仿宋_GB2312" w:hAnsi="仿宋_GB2312" w:eastAsia="仿宋_GB2312"/>
          <w:sz w:val="32"/>
          <w:szCs w:val="32"/>
        </w:rPr>
        <w:t>主要原因是因公务用车改革，我单位现无公务用车。</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八、政府性基金预算收支情况说明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无</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九、国有资本经营预算支出情况说明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无</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十、其他重要事项的情况说明</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的机关运行经费财政拨款预算为</w:t>
      </w:r>
      <w:r>
        <w:rPr>
          <w:rFonts w:hint="eastAsia" w:ascii="仿宋_GB2312" w:hAnsi="仿宋_GB2312" w:eastAsia="仿宋_GB2312"/>
          <w:color w:val="000000" w:themeColor="text1"/>
          <w:sz w:val="32"/>
          <w:szCs w:val="32"/>
          <w14:textFill>
            <w14:solidFill>
              <w14:schemeClr w14:val="tx1"/>
            </w14:solidFill>
          </w14:textFill>
        </w:rPr>
        <w:t>26.3</w:t>
      </w:r>
      <w:r>
        <w:rPr>
          <w:rFonts w:hint="eastAsia" w:ascii="仿宋_GB2312" w:hAnsi="仿宋_GB2312" w:eastAsia="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减少</w:t>
      </w:r>
      <w:r>
        <w:rPr>
          <w:rFonts w:hint="eastAsia" w:ascii="仿宋_GB2312" w:hAnsi="仿宋_GB2312" w:eastAsia="仿宋_GB2312"/>
          <w:color w:val="000000" w:themeColor="text1"/>
          <w:sz w:val="32"/>
          <w:szCs w:val="32"/>
          <w14:textFill>
            <w14:solidFill>
              <w14:schemeClr w14:val="tx1"/>
            </w14:solidFill>
          </w14:textFill>
        </w:rPr>
        <w:t>0.0</w:t>
      </w:r>
      <w:r>
        <w:rPr>
          <w:rFonts w:hint="eastAsia" w:ascii="仿宋_GB2312" w:hAnsi="仿宋_GB2312" w:eastAsia="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sz w:val="32"/>
          <w:szCs w:val="32"/>
        </w:rPr>
        <w:t>万元，增加</w:t>
      </w:r>
      <w:r>
        <w:rPr>
          <w:rFonts w:hint="eastAsia" w:ascii="仿宋_GB2312" w:hAnsi="仿宋_GB2312" w:eastAsia="仿宋_GB2312"/>
          <w:color w:val="000000" w:themeColor="text1"/>
          <w:sz w:val="32"/>
          <w:szCs w:val="32"/>
          <w:lang w:val="en-US" w:eastAsia="zh-CN"/>
          <w14:textFill>
            <w14:solidFill>
              <w14:schemeClr w14:val="tx1"/>
            </w14:solidFill>
          </w14:textFill>
        </w:rPr>
        <w:t>0.01</w:t>
      </w:r>
      <w:r>
        <w:rPr>
          <w:rFonts w:hint="eastAsia" w:ascii="仿宋_GB2312" w:hAnsi="仿宋_GB2312" w:eastAsia="仿宋_GB2312"/>
          <w:sz w:val="32"/>
          <w:szCs w:val="32"/>
        </w:rPr>
        <w:t>%，主要是压缩机关运行经费，品跌后减少。</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 w:eastAsia="仿宋_GB2312" w:cs="仿宋"/>
          <w:sz w:val="32"/>
          <w:szCs w:val="32"/>
        </w:rPr>
        <w:t>中国共产党德阳市罗江区委员会统一战线工作部</w:t>
      </w:r>
      <w:r>
        <w:rPr>
          <w:rFonts w:hint="eastAsia" w:ascii="仿宋" w:hAnsi="仿宋" w:eastAsia="仿宋" w:cs="仿宋"/>
          <w:sz w:val="32"/>
          <w:szCs w:val="32"/>
        </w:rPr>
        <w:t>未</w:t>
      </w:r>
      <w:r>
        <w:rPr>
          <w:rFonts w:hint="eastAsia" w:ascii="仿宋_GB2312" w:hAnsi="仿宋_GB2312" w:eastAsia="仿宋_GB2312"/>
          <w:sz w:val="32"/>
          <w:szCs w:val="32"/>
        </w:rPr>
        <w:t>安排政府采购预算。</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截至202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年底，</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共有固定资产总额</w:t>
      </w:r>
      <w:r>
        <w:rPr>
          <w:rFonts w:hint="eastAsia" w:ascii="仿宋_GB2312" w:hAnsi="仿宋_GB2312" w:eastAsia="仿宋_GB2312"/>
          <w:color w:val="000000" w:themeColor="text1"/>
          <w:sz w:val="32"/>
          <w:szCs w:val="32"/>
          <w14:textFill>
            <w14:solidFill>
              <w14:schemeClr w14:val="tx1"/>
            </w14:solidFill>
          </w14:textFill>
        </w:rPr>
        <w:t>10.64</w:t>
      </w:r>
      <w:r>
        <w:rPr>
          <w:rFonts w:hint="eastAsia" w:ascii="仿宋_GB2312" w:hAnsi="仿宋_GB2312" w:eastAsia="仿宋_GB2312"/>
          <w:sz w:val="32"/>
          <w:szCs w:val="32"/>
        </w:rPr>
        <w:t>万元，其中公务用车0辆，房屋价值0万元，其他固定资产</w:t>
      </w:r>
      <w:r>
        <w:rPr>
          <w:rFonts w:hint="eastAsia" w:ascii="仿宋_GB2312" w:hAnsi="仿宋_GB2312" w:eastAsia="仿宋_GB2312"/>
          <w:color w:val="000000" w:themeColor="text1"/>
          <w:sz w:val="32"/>
          <w:szCs w:val="32"/>
          <w14:textFill>
            <w14:solidFill>
              <w14:schemeClr w14:val="tx1"/>
            </w14:solidFill>
          </w14:textFill>
        </w:rPr>
        <w:t>10.64</w:t>
      </w:r>
      <w:r>
        <w:rPr>
          <w:rFonts w:hint="eastAsia" w:ascii="仿宋_GB2312" w:hAnsi="仿宋_GB2312" w:eastAsia="仿宋_GB2312"/>
          <w:sz w:val="32"/>
          <w:szCs w:val="32"/>
        </w:rPr>
        <w:t>万元。</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年部门预算未安排购置车辆及单位价值200万元以上大型设备。</w:t>
      </w:r>
    </w:p>
    <w:p>
      <w:pPr>
        <w:spacing w:line="560" w:lineRule="exact"/>
        <w:ind w:firstLine="560" w:firstLineChars="175"/>
        <w:rPr>
          <w:rFonts w:ascii="仿宋_GB2312" w:hAnsi="仿宋_GB2312" w:eastAsia="仿宋_GB2312"/>
          <w:sz w:val="32"/>
          <w:szCs w:val="32"/>
        </w:rPr>
      </w:pPr>
      <w:r>
        <w:rPr>
          <w:rFonts w:hint="eastAsia" w:ascii="楷体_GB2312" w:hAnsi="楷体_GB2312" w:eastAsia="楷体_GB2312" w:cs="楷体_GB2312"/>
          <w:sz w:val="32"/>
          <w:szCs w:val="32"/>
        </w:rPr>
        <w:t>（四）绩效目标设置情况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通用项目和专用项目均按要求实行绩效目标管理，涉及一般公共预算当年拨款</w:t>
      </w:r>
      <w:bookmarkStart w:id="0" w:name="_GoBack"/>
      <w:r>
        <w:rPr>
          <w:rFonts w:hint="eastAsia" w:ascii="仿宋_GB2312" w:hAnsi="仿宋_GB2312" w:eastAsia="仿宋_GB2312"/>
          <w:color w:val="000000" w:themeColor="text1"/>
          <w:sz w:val="32"/>
          <w:szCs w:val="32"/>
          <w:lang w:val="en-US" w:eastAsia="zh-CN"/>
          <w14:textFill>
            <w14:solidFill>
              <w14:schemeClr w14:val="tx1"/>
            </w14:solidFill>
          </w14:textFill>
        </w:rPr>
        <w:t>75.12</w:t>
      </w:r>
      <w:bookmarkEnd w:id="0"/>
      <w:r>
        <w:rPr>
          <w:rFonts w:hint="eastAsia" w:ascii="仿宋_GB2312" w:hAnsi="仿宋_GB2312" w:eastAsia="仿宋_GB2312"/>
          <w:sz w:val="32"/>
          <w:szCs w:val="32"/>
        </w:rPr>
        <w:t>万元。</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十、名词解释</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（一）一般公共预算拨款收入：指区级财政当年拨付的资金。</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（二）上年结转：指以前年度尚未完成、结转到本年仍按原规定用途继续使用的资金。</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（三）基本支出：指为保障机构正常运转、完成日常工作任务所必需的人员经费和日常公用经费。</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（四）项目支出：指在基本支出之外，为完成特定的行政工作任务或事业发展目标所发生的支出。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（六）社会保障和就业支出—行政事业单位离退休—机关事业单位基本养老保险缴费支出：反映机关事业单位实施养老保险制度由单位缴纳的基本养老保险费支出。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（七）社会保障和就业支出—其他社会保障和就业支出—其他社会保障和就业支出:反映除上述项目以外其他社会保障和就业方面的支出。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（八）卫生健康支出—行政事业单位医疗—事业单位医疗:反映财政部门集中安排的事业单位基本医疗保险缴费经费，未参加医疗保险的事业单位的公费医疗经费，按国家规定享受离休人员待遇的医疗经费。</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（九）.住房保障支出—住房改革支出—住房公积金:反映行政事业单位按人力资源和社会保障部、财政部规定的基本工资和津补贴以及规定比例为职工缴纳的住房公积金。</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一）.统战工作经费：开展多党合作、经济统战、党外代表人士、新的社会阶层人士、党外代表人士队伍建设、党外知识分子等统战各领域工作，推动全区统一战线事业蓬勃发展。组织民主党派基层组织领导班子成员集中开展政治学习教育（包括坚持和发展中国特色社会主义学习活动），提升我区党外代表人士思想政治素质和参政议政能力，夯实全区统一战线共同团结奋斗思想基础。</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(十二)</w:t>
      </w:r>
      <w:r>
        <w:rPr>
          <w:rFonts w:hint="eastAsia" w:ascii="仿宋_GB2312" w:eastAsia="仿宋_GB2312"/>
          <w:sz w:val="32"/>
          <w:szCs w:val="32"/>
        </w:rPr>
        <w:t>一般公共服务-民族事务-民族工作专项：指用于民族事务管理方面的专项支出。</w:t>
      </w:r>
    </w:p>
    <w:p>
      <w:pPr>
        <w:spacing w:line="560" w:lineRule="exact"/>
        <w:ind w:firstLine="640" w:firstLineChars="200"/>
        <w:rPr>
          <w:rFonts w:hint="eastAsia" w:ascii="仿宋_GB2312" w:eastAsia="仿宋_GB2312"/>
          <w:sz w:val="32"/>
          <w:szCs w:val="32"/>
        </w:rPr>
      </w:pPr>
    </w:p>
    <w:p>
      <w:pPr>
        <w:ind w:left="1280" w:hanging="1280" w:hangingChars="400"/>
        <w:rPr>
          <w:rFonts w:hint="eastAsia" w:ascii="仿宋" w:hAnsi="仿宋" w:eastAsia="仿宋"/>
          <w:sz w:val="32"/>
          <w:szCs w:val="32"/>
        </w:rPr>
      </w:pPr>
      <w:r>
        <w:rPr>
          <w:rFonts w:hint="eastAsia" w:ascii="仿宋" w:hAnsi="仿宋" w:eastAsia="仿宋"/>
          <w:sz w:val="32"/>
          <w:szCs w:val="32"/>
        </w:rPr>
        <w:t>附件： 中共德阳市罗江区</w:t>
      </w:r>
      <w:r>
        <w:rPr>
          <w:rFonts w:hint="eastAsia" w:ascii="仿宋" w:hAnsi="仿宋" w:eastAsia="仿宋"/>
          <w:sz w:val="32"/>
          <w:szCs w:val="32"/>
          <w:lang w:eastAsia="zh-CN"/>
        </w:rPr>
        <w:t>委</w:t>
      </w:r>
      <w:r>
        <w:rPr>
          <w:rFonts w:hint="eastAsia" w:ascii="仿宋" w:hAnsi="仿宋" w:eastAsia="仿宋"/>
          <w:sz w:val="32"/>
          <w:szCs w:val="32"/>
          <w:lang w:val="en-US" w:eastAsia="zh-CN"/>
        </w:rPr>
        <w:t>统战部</w:t>
      </w:r>
      <w:r>
        <w:rPr>
          <w:rFonts w:hint="eastAsia" w:ascii="仿宋" w:hAnsi="仿宋" w:eastAsia="仿宋"/>
          <w:sz w:val="32"/>
          <w:szCs w:val="32"/>
        </w:rPr>
        <w:t>2024年部门预算公开表</w:t>
      </w:r>
    </w:p>
    <w:p>
      <w:pPr>
        <w:ind w:left="1109" w:leftChars="231"/>
        <w:rPr>
          <w:rFonts w:ascii="仿宋" w:hAnsi="仿宋" w:eastAsia="仿宋"/>
          <w:sz w:val="32"/>
          <w:szCs w:val="32"/>
        </w:rPr>
      </w:pPr>
      <w:r>
        <w:rPr>
          <w:rFonts w:hint="eastAsia" w:ascii="仿宋" w:hAnsi="仿宋" w:eastAsia="仿宋"/>
          <w:sz w:val="32"/>
          <w:szCs w:val="32"/>
        </w:rPr>
        <w:t>中共德阳市罗江区</w:t>
      </w:r>
      <w:r>
        <w:rPr>
          <w:rFonts w:hint="eastAsia" w:ascii="仿宋" w:hAnsi="仿宋" w:eastAsia="仿宋"/>
          <w:sz w:val="32"/>
          <w:szCs w:val="32"/>
          <w:lang w:eastAsia="zh-CN"/>
        </w:rPr>
        <w:t>委</w:t>
      </w:r>
      <w:r>
        <w:rPr>
          <w:rFonts w:hint="eastAsia" w:ascii="仿宋" w:hAnsi="仿宋" w:eastAsia="仿宋"/>
          <w:sz w:val="32"/>
          <w:szCs w:val="32"/>
          <w:lang w:val="en-US" w:eastAsia="zh-CN"/>
        </w:rPr>
        <w:t>统战部</w:t>
      </w:r>
      <w:r>
        <w:rPr>
          <w:rFonts w:hint="eastAsia" w:ascii="仿宋" w:hAnsi="仿宋" w:eastAsia="仿宋"/>
          <w:sz w:val="32"/>
          <w:szCs w:val="32"/>
        </w:rPr>
        <w:t>2024年部门项目绩效</w:t>
      </w:r>
      <w:r>
        <w:rPr>
          <w:rFonts w:hint="eastAsia" w:ascii="仿宋" w:hAnsi="仿宋" w:eastAsia="仿宋"/>
          <w:sz w:val="32"/>
          <w:szCs w:val="32"/>
          <w:lang w:val="en-US" w:eastAsia="zh-CN"/>
        </w:rPr>
        <w:t>目</w:t>
      </w:r>
      <w:r>
        <w:rPr>
          <w:rFonts w:hint="eastAsia" w:ascii="仿宋" w:hAnsi="仿宋" w:eastAsia="仿宋"/>
          <w:sz w:val="32"/>
          <w:szCs w:val="32"/>
        </w:rPr>
        <w:t>标公开表</w:t>
      </w:r>
    </w:p>
    <w:p>
      <w:pPr>
        <w:ind w:left="1109" w:leftChars="231"/>
        <w:rPr>
          <w:rFonts w:ascii="仿宋" w:hAnsi="仿宋" w:eastAsia="仿宋"/>
          <w:sz w:val="32"/>
          <w:szCs w:val="32"/>
        </w:rPr>
      </w:pPr>
      <w:r>
        <w:rPr>
          <w:rFonts w:hint="eastAsia" w:ascii="仿宋" w:hAnsi="仿宋" w:eastAsia="仿宋"/>
          <w:sz w:val="32"/>
          <w:szCs w:val="32"/>
        </w:rPr>
        <w:t>中共德阳市罗江区</w:t>
      </w:r>
      <w:r>
        <w:rPr>
          <w:rFonts w:hint="eastAsia" w:ascii="仿宋" w:hAnsi="仿宋" w:eastAsia="仿宋"/>
          <w:sz w:val="32"/>
          <w:szCs w:val="32"/>
          <w:lang w:eastAsia="zh-CN"/>
        </w:rPr>
        <w:t>委</w:t>
      </w:r>
      <w:r>
        <w:rPr>
          <w:rFonts w:hint="eastAsia" w:ascii="仿宋" w:hAnsi="仿宋" w:eastAsia="仿宋"/>
          <w:sz w:val="32"/>
          <w:szCs w:val="32"/>
          <w:lang w:val="en-US" w:eastAsia="zh-CN"/>
        </w:rPr>
        <w:t>统战部</w:t>
      </w:r>
      <w:r>
        <w:rPr>
          <w:rFonts w:hint="eastAsia" w:ascii="仿宋" w:hAnsi="仿宋" w:eastAsia="仿宋"/>
          <w:sz w:val="32"/>
          <w:szCs w:val="32"/>
        </w:rPr>
        <w:t>2024年部门整体绩效目标公开表</w:t>
      </w:r>
    </w:p>
    <w:p>
      <w:pPr>
        <w:spacing w:line="560" w:lineRule="exact"/>
        <w:ind w:firstLine="1920" w:firstLineChars="600"/>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ind w:firstLine="1920" w:firstLineChars="600"/>
        <w:rPr>
          <w:rFonts w:ascii="仿宋_GB2312" w:hAnsi="仿宋_GB2312" w:eastAsia="仿宋_GB2312"/>
          <w:sz w:val="32"/>
          <w:szCs w:val="32"/>
        </w:rPr>
      </w:pPr>
    </w:p>
    <w:p>
      <w:pPr>
        <w:spacing w:line="560" w:lineRule="exact"/>
        <w:ind w:firstLine="1920" w:firstLineChars="600"/>
        <w:rPr>
          <w:rFonts w:ascii="仿宋_GB2312" w:hAnsi="仿宋_GB2312" w:eastAsia="仿宋_GB2312"/>
          <w:sz w:val="32"/>
          <w:szCs w:val="32"/>
        </w:rPr>
      </w:pPr>
    </w:p>
    <w:p>
      <w:pPr>
        <w:spacing w:line="560" w:lineRule="exact"/>
        <w:ind w:firstLine="1920" w:firstLineChars="600"/>
        <w:rPr>
          <w:rFonts w:ascii="仿宋_GB2312" w:hAnsi="仿宋_GB2312" w:eastAsia="仿宋_GB2312"/>
          <w:sz w:val="32"/>
          <w:szCs w:val="32"/>
        </w:rPr>
      </w:pPr>
    </w:p>
    <w:p>
      <w:pPr>
        <w:spacing w:line="560" w:lineRule="exact"/>
        <w:ind w:firstLine="1920" w:firstLineChars="600"/>
        <w:rPr>
          <w:rFonts w:ascii="仿宋_GB2312" w:hAnsi="仿宋_GB2312" w:eastAsia="仿宋_GB2312"/>
          <w:sz w:val="32"/>
          <w:szCs w:val="32"/>
        </w:rPr>
      </w:pPr>
    </w:p>
    <w:p>
      <w:pPr>
        <w:spacing w:line="560" w:lineRule="exact"/>
        <w:ind w:firstLine="1920" w:firstLineChars="600"/>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ind w:firstLine="1920" w:firstLineChars="600"/>
        <w:rPr>
          <w:rFonts w:ascii="仿宋_GB2312" w:hAnsi="仿宋_GB2312" w:eastAsia="仿宋_GB2312"/>
          <w:sz w:val="32"/>
          <w:szCs w:val="32"/>
        </w:rPr>
      </w:pPr>
      <w:r>
        <w:rPr>
          <w:rFonts w:hint="eastAsia" w:ascii="仿宋_GB2312" w:hAnsi="仿宋_GB2312" w:eastAsia="仿宋_GB2312"/>
          <w:sz w:val="32"/>
          <w:szCs w:val="32"/>
        </w:rPr>
        <w:t>2024年部门预算公开表目录</w:t>
      </w:r>
    </w:p>
    <w:p>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pPr>
        <w:rPr>
          <w:rFonts w:ascii="仿宋" w:hAnsi="仿宋" w:eastAsia="仿宋"/>
          <w:sz w:val="32"/>
          <w:szCs w:val="32"/>
        </w:rPr>
      </w:pPr>
    </w:p>
    <w:p/>
    <w:p>
      <w:pPr>
        <w:ind w:left="1267" w:leftChars="264"/>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p>
    <w:p/>
    <w:sectPr>
      <w:footerReference r:id="rId3" w:type="default"/>
      <w:pgSz w:w="11906" w:h="16838"/>
      <w:pgMar w:top="1588" w:right="1985"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581469"/>
      <w:docPartObj>
        <w:docPartGallery w:val="autotext"/>
      </w:docPartObj>
    </w:sdtPr>
    <w:sdtContent>
      <w:p>
        <w:pPr>
          <w:pStyle w:val="4"/>
          <w:jc w:val="right"/>
        </w:pPr>
        <w:r>
          <w:fldChar w:fldCharType="begin"/>
        </w:r>
        <w:r>
          <w:instrText xml:space="preserve"> PAGE   \* MERGEFORMAT </w:instrText>
        </w:r>
        <w:r>
          <w:fldChar w:fldCharType="separate"/>
        </w:r>
        <w:r>
          <w:rPr>
            <w:lang w:val="zh-CN"/>
          </w:rPr>
          <w:t>11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A63"/>
    <w:rsid w:val="0002164C"/>
    <w:rsid w:val="00021832"/>
    <w:rsid w:val="00033F9B"/>
    <w:rsid w:val="0003516C"/>
    <w:rsid w:val="0003670B"/>
    <w:rsid w:val="0009010E"/>
    <w:rsid w:val="000938BE"/>
    <w:rsid w:val="000C5D45"/>
    <w:rsid w:val="000E7DE3"/>
    <w:rsid w:val="00101808"/>
    <w:rsid w:val="00103991"/>
    <w:rsid w:val="00107AF7"/>
    <w:rsid w:val="00112C20"/>
    <w:rsid w:val="00120F70"/>
    <w:rsid w:val="00170F7F"/>
    <w:rsid w:val="00184570"/>
    <w:rsid w:val="001A34AB"/>
    <w:rsid w:val="001A5E61"/>
    <w:rsid w:val="001B52A2"/>
    <w:rsid w:val="001C11DD"/>
    <w:rsid w:val="001C4636"/>
    <w:rsid w:val="001E2CF5"/>
    <w:rsid w:val="001F59C4"/>
    <w:rsid w:val="00202A4E"/>
    <w:rsid w:val="002209C4"/>
    <w:rsid w:val="00227A51"/>
    <w:rsid w:val="00234450"/>
    <w:rsid w:val="00245794"/>
    <w:rsid w:val="002601C8"/>
    <w:rsid w:val="00265DD1"/>
    <w:rsid w:val="00285E0F"/>
    <w:rsid w:val="00287DD7"/>
    <w:rsid w:val="002C6AF6"/>
    <w:rsid w:val="002D17ED"/>
    <w:rsid w:val="002E0226"/>
    <w:rsid w:val="002E0E6D"/>
    <w:rsid w:val="002E14F9"/>
    <w:rsid w:val="002F6687"/>
    <w:rsid w:val="00304EB0"/>
    <w:rsid w:val="00312E6E"/>
    <w:rsid w:val="003131A4"/>
    <w:rsid w:val="00325291"/>
    <w:rsid w:val="00334B87"/>
    <w:rsid w:val="00336B03"/>
    <w:rsid w:val="00362234"/>
    <w:rsid w:val="00363AC0"/>
    <w:rsid w:val="00383DB5"/>
    <w:rsid w:val="00385CC8"/>
    <w:rsid w:val="003967F8"/>
    <w:rsid w:val="003B021E"/>
    <w:rsid w:val="003D2EF6"/>
    <w:rsid w:val="00400A65"/>
    <w:rsid w:val="00405EF9"/>
    <w:rsid w:val="00453D39"/>
    <w:rsid w:val="00493119"/>
    <w:rsid w:val="00494478"/>
    <w:rsid w:val="004B52FA"/>
    <w:rsid w:val="004C0B9D"/>
    <w:rsid w:val="004C5410"/>
    <w:rsid w:val="004D53A9"/>
    <w:rsid w:val="004E4A63"/>
    <w:rsid w:val="004F01D1"/>
    <w:rsid w:val="004F7996"/>
    <w:rsid w:val="00504316"/>
    <w:rsid w:val="00507BB7"/>
    <w:rsid w:val="005268AD"/>
    <w:rsid w:val="0054653C"/>
    <w:rsid w:val="00547031"/>
    <w:rsid w:val="00556068"/>
    <w:rsid w:val="00563314"/>
    <w:rsid w:val="0056460F"/>
    <w:rsid w:val="00565255"/>
    <w:rsid w:val="00575C1E"/>
    <w:rsid w:val="0059350C"/>
    <w:rsid w:val="00596982"/>
    <w:rsid w:val="005A0F05"/>
    <w:rsid w:val="005A4C44"/>
    <w:rsid w:val="005B5E88"/>
    <w:rsid w:val="005B65E8"/>
    <w:rsid w:val="005D6E62"/>
    <w:rsid w:val="00603659"/>
    <w:rsid w:val="006055F9"/>
    <w:rsid w:val="00640CC1"/>
    <w:rsid w:val="0066135C"/>
    <w:rsid w:val="0068263C"/>
    <w:rsid w:val="006A14F5"/>
    <w:rsid w:val="006B2861"/>
    <w:rsid w:val="006B7BD1"/>
    <w:rsid w:val="006F210B"/>
    <w:rsid w:val="007225E2"/>
    <w:rsid w:val="007365C4"/>
    <w:rsid w:val="00736793"/>
    <w:rsid w:val="00747836"/>
    <w:rsid w:val="00755A1D"/>
    <w:rsid w:val="0075746D"/>
    <w:rsid w:val="007A16EB"/>
    <w:rsid w:val="007A58D2"/>
    <w:rsid w:val="007B2070"/>
    <w:rsid w:val="007C1F0E"/>
    <w:rsid w:val="007D1731"/>
    <w:rsid w:val="0080360E"/>
    <w:rsid w:val="00843E85"/>
    <w:rsid w:val="00846196"/>
    <w:rsid w:val="00854A3F"/>
    <w:rsid w:val="00877EB0"/>
    <w:rsid w:val="008B10AF"/>
    <w:rsid w:val="008D658D"/>
    <w:rsid w:val="008E0901"/>
    <w:rsid w:val="008F0D43"/>
    <w:rsid w:val="008F70DC"/>
    <w:rsid w:val="009049CB"/>
    <w:rsid w:val="009104F6"/>
    <w:rsid w:val="00924435"/>
    <w:rsid w:val="00933755"/>
    <w:rsid w:val="00955A6E"/>
    <w:rsid w:val="0097751A"/>
    <w:rsid w:val="00994637"/>
    <w:rsid w:val="009C05DA"/>
    <w:rsid w:val="009C4221"/>
    <w:rsid w:val="009D3580"/>
    <w:rsid w:val="009D554C"/>
    <w:rsid w:val="009D6E2C"/>
    <w:rsid w:val="009E62C1"/>
    <w:rsid w:val="00A03DF6"/>
    <w:rsid w:val="00A254FE"/>
    <w:rsid w:val="00A26130"/>
    <w:rsid w:val="00A35F1B"/>
    <w:rsid w:val="00A46B69"/>
    <w:rsid w:val="00A5128D"/>
    <w:rsid w:val="00A538CA"/>
    <w:rsid w:val="00A5551E"/>
    <w:rsid w:val="00A60A56"/>
    <w:rsid w:val="00AA47FE"/>
    <w:rsid w:val="00AD2089"/>
    <w:rsid w:val="00AD3F30"/>
    <w:rsid w:val="00AF4652"/>
    <w:rsid w:val="00AF7A7C"/>
    <w:rsid w:val="00B05121"/>
    <w:rsid w:val="00B16E89"/>
    <w:rsid w:val="00B22CA4"/>
    <w:rsid w:val="00B414EB"/>
    <w:rsid w:val="00B44A3B"/>
    <w:rsid w:val="00B551DA"/>
    <w:rsid w:val="00B71437"/>
    <w:rsid w:val="00B93D7A"/>
    <w:rsid w:val="00BB731E"/>
    <w:rsid w:val="00BD2F55"/>
    <w:rsid w:val="00BD7C8D"/>
    <w:rsid w:val="00BE1F20"/>
    <w:rsid w:val="00C51C70"/>
    <w:rsid w:val="00C62116"/>
    <w:rsid w:val="00C810DE"/>
    <w:rsid w:val="00C84CAB"/>
    <w:rsid w:val="00C87B6F"/>
    <w:rsid w:val="00C96FDA"/>
    <w:rsid w:val="00CC18C1"/>
    <w:rsid w:val="00CD740C"/>
    <w:rsid w:val="00CE15F8"/>
    <w:rsid w:val="00CF3600"/>
    <w:rsid w:val="00CF560C"/>
    <w:rsid w:val="00CF7642"/>
    <w:rsid w:val="00D0414F"/>
    <w:rsid w:val="00D14665"/>
    <w:rsid w:val="00D458EF"/>
    <w:rsid w:val="00D53D04"/>
    <w:rsid w:val="00D54299"/>
    <w:rsid w:val="00D644F1"/>
    <w:rsid w:val="00D7069F"/>
    <w:rsid w:val="00D87EC3"/>
    <w:rsid w:val="00D950C1"/>
    <w:rsid w:val="00DA03B5"/>
    <w:rsid w:val="00DB2282"/>
    <w:rsid w:val="00DC34F5"/>
    <w:rsid w:val="00DC4C62"/>
    <w:rsid w:val="00DE6C12"/>
    <w:rsid w:val="00DF6B82"/>
    <w:rsid w:val="00E50B1A"/>
    <w:rsid w:val="00E95F85"/>
    <w:rsid w:val="00EB27D0"/>
    <w:rsid w:val="00EC6081"/>
    <w:rsid w:val="00ED559B"/>
    <w:rsid w:val="00EE23D3"/>
    <w:rsid w:val="00EF4541"/>
    <w:rsid w:val="00EF4BDF"/>
    <w:rsid w:val="00EF651A"/>
    <w:rsid w:val="00F0157C"/>
    <w:rsid w:val="00F84103"/>
    <w:rsid w:val="00FA6D55"/>
    <w:rsid w:val="00FB0DE6"/>
    <w:rsid w:val="00FB5F96"/>
    <w:rsid w:val="00FD2791"/>
    <w:rsid w:val="00FD2F29"/>
    <w:rsid w:val="00FD5BF4"/>
    <w:rsid w:val="00FF3598"/>
    <w:rsid w:val="00FF359F"/>
    <w:rsid w:val="00FF51A5"/>
    <w:rsid w:val="01931A7A"/>
    <w:rsid w:val="04AE6E54"/>
    <w:rsid w:val="07094E10"/>
    <w:rsid w:val="07B93E51"/>
    <w:rsid w:val="0CBC3A4D"/>
    <w:rsid w:val="0DB177E9"/>
    <w:rsid w:val="13522181"/>
    <w:rsid w:val="155E66F2"/>
    <w:rsid w:val="1A8B57AF"/>
    <w:rsid w:val="1D336E86"/>
    <w:rsid w:val="1FCE268A"/>
    <w:rsid w:val="262A3461"/>
    <w:rsid w:val="26C71577"/>
    <w:rsid w:val="27F84BA1"/>
    <w:rsid w:val="28AE105E"/>
    <w:rsid w:val="2CBD72B2"/>
    <w:rsid w:val="2D5A3BB1"/>
    <w:rsid w:val="2F555BA4"/>
    <w:rsid w:val="35C45DC1"/>
    <w:rsid w:val="3C1152B0"/>
    <w:rsid w:val="3CEA5163"/>
    <w:rsid w:val="3E790BB8"/>
    <w:rsid w:val="401361A7"/>
    <w:rsid w:val="42991D01"/>
    <w:rsid w:val="44E1584B"/>
    <w:rsid w:val="48AC1D7D"/>
    <w:rsid w:val="4A4B6F59"/>
    <w:rsid w:val="4CA32063"/>
    <w:rsid w:val="4EB65DA4"/>
    <w:rsid w:val="51113A0E"/>
    <w:rsid w:val="59A545F6"/>
    <w:rsid w:val="5A7C0B96"/>
    <w:rsid w:val="61A3395D"/>
    <w:rsid w:val="655E520D"/>
    <w:rsid w:val="6A8651DE"/>
    <w:rsid w:val="6B284748"/>
    <w:rsid w:val="6B3345E7"/>
    <w:rsid w:val="6F9D54EF"/>
    <w:rsid w:val="77103EEA"/>
    <w:rsid w:val="78CB2B2E"/>
    <w:rsid w:val="7B4E7614"/>
    <w:rsid w:val="7BDF2523"/>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4"/>
    <w:qFormat/>
    <w:uiPriority w:val="99"/>
    <w:pPr>
      <w:spacing w:beforeLines="30"/>
    </w:pPr>
    <w:rPr>
      <w:rFonts w:ascii="仿宋_GB2312" w:eastAsia="仿宋_GB2312"/>
      <w:sz w:val="3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Emphasis"/>
    <w:basedOn w:val="7"/>
    <w:qFormat/>
    <w:uiPriority w:val="20"/>
  </w:style>
  <w:style w:type="paragraph" w:styleId="11">
    <w:name w:val="List Paragraph"/>
    <w:basedOn w:val="1"/>
    <w:qFormat/>
    <w:uiPriority w:val="34"/>
    <w:pPr>
      <w:ind w:firstLine="420" w:firstLineChars="200"/>
    </w:pPr>
  </w:style>
  <w:style w:type="character" w:customStyle="1" w:styleId="12">
    <w:name w:val="页眉 Char"/>
    <w:basedOn w:val="7"/>
    <w:link w:val="5"/>
    <w:qFormat/>
    <w:uiPriority w:val="99"/>
    <w:rPr>
      <w:rFonts w:ascii="宋体" w:hAnsi="Times New Roman" w:eastAsia="宋体" w:cs="Times New Roman"/>
      <w:sz w:val="18"/>
      <w:szCs w:val="18"/>
    </w:rPr>
  </w:style>
  <w:style w:type="character" w:customStyle="1" w:styleId="13">
    <w:name w:val="页脚 Char"/>
    <w:basedOn w:val="7"/>
    <w:link w:val="4"/>
    <w:qFormat/>
    <w:uiPriority w:val="99"/>
    <w:rPr>
      <w:rFonts w:ascii="宋体" w:hAnsi="Times New Roman" w:eastAsia="宋体" w:cs="Times New Roman"/>
      <w:sz w:val="18"/>
      <w:szCs w:val="18"/>
    </w:rPr>
  </w:style>
  <w:style w:type="character" w:customStyle="1" w:styleId="14">
    <w:name w:val="正文文本 Char"/>
    <w:basedOn w:val="7"/>
    <w:link w:val="2"/>
    <w:qFormat/>
    <w:uiPriority w:val="99"/>
    <w:rPr>
      <w:rFonts w:ascii="仿宋_GB2312" w:hAnsi="Times New Roman" w:eastAsia="仿宋_GB2312" w:cs="Times New Roman"/>
      <w:kern w:val="2"/>
      <w:sz w:val="30"/>
      <w:szCs w:val="24"/>
    </w:rPr>
  </w:style>
  <w:style w:type="paragraph" w:customStyle="1" w:styleId="15">
    <w:name w:val="WPSOffice手动目录 1"/>
    <w:qFormat/>
    <w:uiPriority w:val="0"/>
    <w:rPr>
      <w:rFonts w:ascii="Calibri" w:hAnsi="Calibri" w:eastAsia="宋体" w:cs="Times New Roman"/>
      <w:lang w:val="en-US" w:eastAsia="zh-CN" w:bidi="ar-SA"/>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 w:type="character" w:customStyle="1" w:styleId="17">
    <w:name w:val="标题 1 Char"/>
    <w:basedOn w:val="7"/>
    <w:link w:val="3"/>
    <w:qFormat/>
    <w:uiPriority w:val="9"/>
    <w:rPr>
      <w:rFonts w:ascii="宋体" w:hAnsi="Times New Roman" w:eastAsia="宋体" w:cs="Times New Roman"/>
      <w:b/>
      <w:bCs/>
      <w:kern w:val="44"/>
      <w:sz w:val="44"/>
      <w:szCs w:val="44"/>
    </w:rPr>
  </w:style>
  <w:style w:type="paragraph" w:customStyle="1" w:styleId="18">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9">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2657A-CC0F-4660-9DE6-B2B706B63E5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800</Words>
  <Characters>4564</Characters>
  <Lines>38</Lines>
  <Paragraphs>10</Paragraphs>
  <TotalTime>10</TotalTime>
  <ScaleCrop>false</ScaleCrop>
  <LinksUpToDate>false</LinksUpToDate>
  <CharactersWithSpaces>5354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2024-01-18T07:57:00Z</dcterms:created>
  <dc:creator>null,null,总收发</dc:creator>
  <cp:lastModifiedBy>Administrator</cp:lastModifiedBy>
  <cp:lastPrinted>2023-03-02T03:49:00Z</cp:lastPrinted>
  <dcterms:modified xsi:type="dcterms:W3CDTF">2024-10-31T06:59:19Z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