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69D14">
      <w:pPr>
        <w:spacing w:line="600" w:lineRule="exact"/>
        <w:jc w:val="center"/>
        <w:outlineLvl w:val="9"/>
        <w:rPr>
          <w:rFonts w:ascii="方正小标宋简体" w:hAnsi="宋体" w:eastAsia="方正小标宋简体"/>
          <w:sz w:val="72"/>
          <w:szCs w:val="72"/>
        </w:rPr>
      </w:pPr>
      <w:bookmarkStart w:id="0" w:name="_Toc15396597"/>
      <w:bookmarkStart w:id="1" w:name="_Toc15377425"/>
      <w:bookmarkStart w:id="2" w:name="_Toc15378441"/>
      <w:bookmarkStart w:id="3" w:name="_Toc15377193"/>
      <w:bookmarkStart w:id="4" w:name="_Toc15396475"/>
      <w:bookmarkStart w:id="5" w:name="_Toc15306267"/>
    </w:p>
    <w:p w14:paraId="2C3FF9AD">
      <w:pPr>
        <w:pStyle w:val="8"/>
        <w:spacing w:before="93"/>
      </w:pPr>
    </w:p>
    <w:p w14:paraId="7513FC71">
      <w:pPr>
        <w:spacing w:line="600" w:lineRule="exact"/>
        <w:jc w:val="center"/>
        <w:outlineLvl w:val="9"/>
        <w:rPr>
          <w:rFonts w:ascii="方正小标宋简体" w:hAnsi="宋体" w:eastAsia="方正小标宋简体"/>
          <w:sz w:val="72"/>
          <w:szCs w:val="72"/>
        </w:rPr>
      </w:pPr>
    </w:p>
    <w:p w14:paraId="39B771CB">
      <w:pPr>
        <w:spacing w:line="600" w:lineRule="exact"/>
        <w:jc w:val="center"/>
        <w:outlineLvl w:val="9"/>
        <w:rPr>
          <w:rFonts w:ascii="方正小标宋简体" w:hAnsi="宋体" w:eastAsia="方正小标宋简体"/>
          <w:sz w:val="72"/>
          <w:szCs w:val="72"/>
        </w:rPr>
      </w:pPr>
    </w:p>
    <w:p w14:paraId="1763C1E7">
      <w:pPr>
        <w:adjustRightInd w:val="0"/>
        <w:snapToGrid w:val="0"/>
        <w:spacing w:line="360" w:lineRule="auto"/>
        <w:jc w:val="center"/>
        <w:outlineLvl w:val="9"/>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bookmarkEnd w:id="0"/>
      <w:bookmarkEnd w:id="1"/>
      <w:bookmarkEnd w:id="2"/>
      <w:bookmarkEnd w:id="3"/>
      <w:bookmarkEnd w:id="4"/>
    </w:p>
    <w:bookmarkEnd w:id="5"/>
    <w:p w14:paraId="0FB902A8">
      <w:pPr>
        <w:adjustRightInd w:val="0"/>
        <w:snapToGrid w:val="0"/>
        <w:spacing w:line="360" w:lineRule="auto"/>
        <w:jc w:val="center"/>
        <w:outlineLvl w:val="9"/>
        <w:rPr>
          <w:rFonts w:ascii="方正小标宋简体" w:hAnsi="方正小标宋简体" w:eastAsia="方正小标宋简体" w:cs="方正小标宋简体"/>
          <w:sz w:val="72"/>
          <w:szCs w:val="72"/>
        </w:rPr>
      </w:pPr>
      <w:bookmarkStart w:id="6" w:name="_Toc15378442"/>
      <w:bookmarkStart w:id="7" w:name="_Toc15377194"/>
      <w:bookmarkStart w:id="8" w:name="_Toc15396476"/>
      <w:bookmarkStart w:id="9" w:name="_Toc15396598"/>
      <w:bookmarkStart w:id="10" w:name="_Toc15306268"/>
      <w:bookmarkStart w:id="11" w:name="_Toc15377426"/>
      <w:r>
        <w:rPr>
          <w:rFonts w:hint="eastAsia" w:ascii="方正小标宋简体" w:hAnsi="方正小标宋简体" w:eastAsia="方正小标宋简体" w:cs="方正小标宋简体"/>
          <w:sz w:val="72"/>
          <w:szCs w:val="72"/>
          <w:lang w:val="zh-CN"/>
        </w:rPr>
        <w:t>德阳市罗江区地方气象服务中心</w:t>
      </w:r>
      <w:r>
        <w:rPr>
          <w:rFonts w:hint="eastAsia" w:ascii="方正小标宋简体" w:hAnsi="方正小标宋简体" w:eastAsia="方正小标宋简体" w:cs="方正小标宋简体"/>
          <w:sz w:val="72"/>
          <w:szCs w:val="72"/>
          <w:lang w:val="en-US" w:eastAsia="zh-CN"/>
        </w:rPr>
        <w:t>部门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4897C4AD">
      <w:pPr>
        <w:tabs>
          <w:tab w:val="right" w:leader="dot" w:pos="8296"/>
        </w:tabs>
        <w:spacing w:before="93"/>
        <w:ind w:firstLine="1920" w:firstLineChars="600"/>
        <w:jc w:val="both"/>
        <w:rPr>
          <w:rFonts w:hint="eastAsia" w:ascii="楷体_GB2312" w:hAnsi="楷体_GB2312" w:eastAsia="楷体_GB2312" w:cs="楷体_GB2312"/>
          <w:color w:val="auto"/>
          <w:kern w:val="2"/>
          <w:sz w:val="32"/>
          <w:szCs w:val="28"/>
          <w:lang w:val="zh-CN"/>
        </w:rPr>
      </w:pPr>
      <w:bookmarkStart w:id="12" w:name="_Toc15396599"/>
      <w:bookmarkStart w:id="13" w:name="_Toc15377196"/>
    </w:p>
    <w:p w14:paraId="796E16DB">
      <w:pPr>
        <w:tabs>
          <w:tab w:val="right" w:leader="dot" w:pos="8296"/>
        </w:tabs>
        <w:spacing w:before="93"/>
        <w:ind w:firstLine="1920" w:firstLineChars="600"/>
        <w:jc w:val="both"/>
        <w:rPr>
          <w:rFonts w:hint="eastAsia" w:ascii="楷体_GB2312" w:hAnsi="楷体_GB2312" w:eastAsia="楷体_GB2312" w:cs="楷体_GB2312"/>
          <w:color w:val="auto"/>
          <w:kern w:val="2"/>
          <w:sz w:val="32"/>
          <w:szCs w:val="28"/>
          <w:lang w:val="zh-CN"/>
        </w:rPr>
      </w:pPr>
    </w:p>
    <w:p w14:paraId="4C962910">
      <w:pPr>
        <w:tabs>
          <w:tab w:val="right" w:leader="dot" w:pos="8296"/>
        </w:tabs>
        <w:spacing w:before="93"/>
        <w:ind w:firstLine="1920" w:firstLineChars="600"/>
        <w:jc w:val="both"/>
        <w:rPr>
          <w:rFonts w:hint="eastAsia" w:ascii="楷体_GB2312" w:hAnsi="楷体_GB2312" w:eastAsia="楷体_GB2312" w:cs="楷体_GB2312"/>
          <w:color w:val="auto"/>
          <w:kern w:val="2"/>
          <w:sz w:val="32"/>
          <w:szCs w:val="28"/>
          <w:lang w:val="zh-CN"/>
        </w:rPr>
      </w:pPr>
    </w:p>
    <w:p w14:paraId="36EA287F">
      <w:pPr>
        <w:tabs>
          <w:tab w:val="right" w:leader="dot" w:pos="8296"/>
        </w:tabs>
        <w:spacing w:before="93"/>
        <w:ind w:firstLine="1920" w:firstLineChars="600"/>
        <w:jc w:val="both"/>
        <w:rPr>
          <w:rFonts w:hint="eastAsia" w:ascii="楷体_GB2312" w:hAnsi="楷体_GB2312" w:eastAsia="楷体_GB2312" w:cs="楷体_GB2312"/>
          <w:color w:val="auto"/>
          <w:kern w:val="2"/>
          <w:sz w:val="32"/>
          <w:szCs w:val="28"/>
          <w:lang w:val="zh-CN"/>
        </w:rPr>
      </w:pPr>
    </w:p>
    <w:p w14:paraId="1FE73790">
      <w:pPr>
        <w:tabs>
          <w:tab w:val="right" w:leader="dot" w:pos="8296"/>
        </w:tabs>
        <w:spacing w:before="93"/>
        <w:ind w:firstLine="1920" w:firstLineChars="600"/>
        <w:jc w:val="both"/>
        <w:rPr>
          <w:rFonts w:hint="eastAsia" w:ascii="楷体_GB2312" w:hAnsi="楷体_GB2312" w:eastAsia="楷体_GB2312" w:cs="楷体_GB2312"/>
          <w:color w:val="auto"/>
          <w:kern w:val="2"/>
          <w:sz w:val="32"/>
          <w:szCs w:val="28"/>
          <w:lang w:val="zh-CN"/>
        </w:rPr>
      </w:pPr>
    </w:p>
    <w:p w14:paraId="5C7D657F">
      <w:pPr>
        <w:tabs>
          <w:tab w:val="right" w:leader="dot" w:pos="8296"/>
        </w:tabs>
        <w:spacing w:before="93"/>
        <w:ind w:firstLine="1920" w:firstLineChars="600"/>
        <w:jc w:val="both"/>
        <w:rPr>
          <w:rFonts w:hint="eastAsia" w:ascii="楷体_GB2312" w:hAnsi="楷体_GB2312" w:eastAsia="楷体_GB2312" w:cs="楷体_GB2312"/>
          <w:color w:val="auto"/>
          <w:kern w:val="2"/>
          <w:sz w:val="32"/>
          <w:szCs w:val="28"/>
          <w:lang w:val="zh-CN"/>
        </w:rPr>
      </w:pPr>
    </w:p>
    <w:p w14:paraId="732D4F70">
      <w:pPr>
        <w:tabs>
          <w:tab w:val="right" w:leader="dot" w:pos="8296"/>
        </w:tabs>
        <w:spacing w:before="93"/>
        <w:ind w:firstLine="1920" w:firstLineChars="600"/>
        <w:jc w:val="both"/>
        <w:rPr>
          <w:rFonts w:hint="eastAsia" w:ascii="楷体_GB2312" w:hAnsi="楷体_GB2312" w:eastAsia="楷体_GB2312" w:cs="楷体_GB2312"/>
          <w:color w:val="auto"/>
          <w:kern w:val="2"/>
          <w:sz w:val="32"/>
          <w:szCs w:val="28"/>
          <w:lang w:val="zh-CN"/>
        </w:rPr>
      </w:pPr>
    </w:p>
    <w:p w14:paraId="41DDA3CA">
      <w:pPr>
        <w:tabs>
          <w:tab w:val="right" w:leader="dot" w:pos="8296"/>
        </w:tabs>
        <w:spacing w:before="93"/>
        <w:ind w:firstLine="1920" w:firstLineChars="600"/>
        <w:jc w:val="both"/>
        <w:rPr>
          <w:rFonts w:hint="eastAsia" w:ascii="楷体_GB2312" w:hAnsi="楷体_GB2312" w:eastAsia="楷体_GB2312" w:cs="楷体_GB2312"/>
          <w:color w:val="auto"/>
          <w:kern w:val="2"/>
          <w:sz w:val="32"/>
          <w:szCs w:val="28"/>
          <w:lang w:val="zh-CN"/>
        </w:rPr>
      </w:pPr>
    </w:p>
    <w:p w14:paraId="4D619F01">
      <w:pPr>
        <w:tabs>
          <w:tab w:val="right" w:leader="dot" w:pos="8296"/>
        </w:tabs>
        <w:spacing w:before="93"/>
        <w:ind w:firstLine="1920" w:firstLineChars="600"/>
        <w:jc w:val="both"/>
        <w:rPr>
          <w:rFonts w:hint="eastAsia" w:ascii="楷体_GB2312" w:hAnsi="楷体_GB2312" w:eastAsia="楷体_GB2312" w:cs="楷体_GB2312"/>
          <w:color w:val="auto"/>
          <w:kern w:val="2"/>
          <w:sz w:val="32"/>
          <w:szCs w:val="28"/>
          <w:lang w:val="zh-CN"/>
        </w:rPr>
      </w:pPr>
    </w:p>
    <w:p w14:paraId="2D624970">
      <w:pPr>
        <w:tabs>
          <w:tab w:val="right" w:leader="dot" w:pos="8296"/>
        </w:tabs>
        <w:spacing w:before="93"/>
        <w:ind w:firstLine="3360" w:firstLineChars="700"/>
        <w:jc w:val="left"/>
        <w:rPr>
          <w:rFonts w:hint="eastAsia" w:ascii="楷体_GB2312" w:hAnsi="楷体_GB2312" w:eastAsia="楷体_GB2312" w:cs="楷体_GB2312"/>
          <w:color w:val="auto"/>
          <w:kern w:val="2"/>
          <w:sz w:val="32"/>
          <w:szCs w:val="28"/>
          <w:lang w:val="zh-CN"/>
        </w:rPr>
      </w:pP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14:paraId="21E3A62B">
      <w:pPr>
        <w:pStyle w:val="2"/>
        <w:rPr>
          <w:rFonts w:hint="eastAsia" w:ascii="仿宋_GB2312" w:hAnsi="仿宋_GB2312" w:eastAsia="仿宋_GB2312" w:cs="仿宋_GB2312"/>
          <w:sz w:val="28"/>
          <w:szCs w:val="28"/>
          <w:lang w:val="en-US" w:eastAsia="zh-CN"/>
        </w:rPr>
      </w:pPr>
      <w:r>
        <w:rPr>
          <w:rFonts w:hint="eastAsia"/>
          <w:lang w:val="en-US" w:eastAsia="zh-CN"/>
        </w:rPr>
        <w:t xml:space="preserve">              </w:t>
      </w:r>
      <w:r>
        <w:rPr>
          <w:rFonts w:hint="eastAsia" w:ascii="仿宋_GB2312" w:hAnsi="仿宋_GB2312" w:eastAsia="仿宋_GB2312" w:cs="仿宋_GB2312"/>
          <w:sz w:val="28"/>
          <w:szCs w:val="28"/>
        </w:rPr>
        <w:t>公开时间：20</w:t>
      </w:r>
      <w:r>
        <w:rPr>
          <w:rFonts w:hint="eastAsia" w:hAnsi="仿宋_GB2312" w:eastAsia="仿宋_GB2312" w:cs="仿宋_GB2312"/>
          <w:sz w:val="28"/>
          <w:szCs w:val="28"/>
          <w:lang w:val="en-US" w:eastAsia="zh-CN"/>
        </w:rPr>
        <w:t>24</w:t>
      </w:r>
      <w:r>
        <w:rPr>
          <w:rFonts w:hint="eastAsia" w:ascii="仿宋_GB2312" w:hAnsi="仿宋_GB2312" w:eastAsia="仿宋_GB2312" w:cs="仿宋_GB2312"/>
          <w:sz w:val="28"/>
          <w:szCs w:val="28"/>
        </w:rPr>
        <w:t>年</w:t>
      </w:r>
      <w:r>
        <w:rPr>
          <w:rFonts w:hint="eastAsia"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hAnsi="仿宋_GB2312" w:eastAsia="仿宋_GB2312" w:cs="仿宋_GB2312"/>
          <w:sz w:val="28"/>
          <w:szCs w:val="28"/>
          <w:lang w:val="en-US" w:eastAsia="zh-CN"/>
        </w:rPr>
        <w:t>25</w:t>
      </w:r>
      <w:r>
        <w:rPr>
          <w:rFonts w:hint="eastAsia" w:ascii="仿宋_GB2312" w:hAnsi="仿宋_GB2312" w:eastAsia="仿宋_GB2312" w:cs="仿宋_GB2312"/>
          <w:sz w:val="28"/>
          <w:szCs w:val="28"/>
        </w:rPr>
        <w:t>日</w:t>
      </w:r>
    </w:p>
    <w:sdt>
      <w:sdtPr>
        <w:rPr>
          <w:rFonts w:ascii="宋体" w:hAnsi="宋体" w:eastAsia="宋体" w:cs="Times New Roman"/>
          <w:kern w:val="2"/>
          <w:sz w:val="21"/>
          <w:szCs w:val="24"/>
          <w:lang w:val="en-US" w:eastAsia="zh-CN" w:bidi="ar-SA"/>
        </w:rPr>
        <w:id w:val="147468165"/>
        <w15:color w:val="DBDBDB"/>
        <w:docPartObj>
          <w:docPartGallery w:val="Table of Contents"/>
          <w:docPartUnique/>
        </w:docPartObj>
      </w:sdtPr>
      <w:sdtEndPr>
        <w:rPr>
          <w:rFonts w:ascii="Arial" w:hAnsi="Arial" w:eastAsia="黑体" w:cs="Times New Roman"/>
          <w:b/>
          <w:kern w:val="2"/>
          <w:sz w:val="24"/>
          <w:szCs w:val="28"/>
          <w:lang w:val="en-US" w:eastAsia="zh-CN" w:bidi="ar-SA"/>
        </w:rPr>
      </w:sdtEndPr>
      <w:sdtContent>
        <w:p w14:paraId="55E5101D">
          <w:pPr>
            <w:spacing w:before="0" w:beforeLines="0" w:after="0" w:afterLines="0" w:line="240" w:lineRule="auto"/>
            <w:ind w:left="0" w:leftChars="0" w:right="0" w:rightChars="0" w:firstLine="0" w:firstLineChars="0"/>
            <w:jc w:val="center"/>
          </w:pPr>
        </w:p>
        <w:p w14:paraId="39C1A6C6">
          <w:pPr>
            <w:pStyle w:val="13"/>
            <w:tabs>
              <w:tab w:val="right" w:leader="dot" w:pos="8306"/>
              <w:tab w:val="clear" w:pos="8296"/>
            </w:tabs>
          </w:pPr>
          <w:r>
            <w:fldChar w:fldCharType="begin"/>
          </w:r>
          <w:r>
            <w:instrText xml:space="preserve">TOC \o "1-3" \h \u </w:instrText>
          </w:r>
          <w: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_Toc26191 </w:instrText>
          </w:r>
          <w:r>
            <w:rPr>
              <w:rFonts w:hint="eastAsia" w:ascii="仿宋" w:hAnsi="仿宋" w:eastAsia="仿宋" w:cs="仿宋"/>
              <w:sz w:val="24"/>
              <w:szCs w:val="24"/>
            </w:rPr>
            <w:fldChar w:fldCharType="separate"/>
          </w:r>
          <w:r>
            <w:rPr>
              <w:rFonts w:hint="eastAsia" w:ascii="仿宋" w:hAnsi="仿宋" w:eastAsia="仿宋" w:cs="仿宋"/>
              <w:sz w:val="24"/>
              <w:szCs w:val="24"/>
            </w:rPr>
            <w:t xml:space="preserve">第一部分 </w:t>
          </w:r>
          <w:r>
            <w:rPr>
              <w:rFonts w:hint="eastAsia" w:ascii="仿宋" w:hAnsi="仿宋" w:eastAsia="仿宋" w:cs="仿宋"/>
              <w:bCs w:val="0"/>
              <w:sz w:val="24"/>
              <w:szCs w:val="24"/>
            </w:rPr>
            <w:t>部门概况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_Toc26191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5FDB280">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_Toc29754 </w:instrText>
          </w:r>
          <w:r>
            <w:rPr>
              <w:rFonts w:hint="eastAsia" w:ascii="宋体" w:hAnsi="宋体" w:eastAsia="宋体" w:cs="宋体"/>
              <w:sz w:val="24"/>
              <w:szCs w:val="24"/>
            </w:rPr>
            <w:fldChar w:fldCharType="separate"/>
          </w:r>
          <w:r>
            <w:rPr>
              <w:rFonts w:hint="eastAsia" w:ascii="宋体" w:hAnsi="宋体" w:eastAsia="宋体" w:cs="宋体"/>
              <w:sz w:val="24"/>
              <w:szCs w:val="24"/>
            </w:rPr>
            <w:t>一、 部门职责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_Toc29754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591CD39">
          <w:pPr>
            <w:pStyle w:val="14"/>
            <w:tabs>
              <w:tab w:val="right" w:leader="dot" w:pos="8306"/>
              <w:tab w:val="clear" w:pos="829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_Toc17745 </w:instrText>
          </w:r>
          <w:r>
            <w:rPr>
              <w:rFonts w:hint="eastAsia" w:ascii="宋体" w:hAnsi="宋体" w:eastAsia="宋体" w:cs="宋体"/>
              <w:sz w:val="24"/>
              <w:szCs w:val="24"/>
            </w:rPr>
            <w:fldChar w:fldCharType="separate"/>
          </w:r>
          <w:r>
            <w:rPr>
              <w:rFonts w:hint="eastAsia" w:ascii="宋体" w:hAnsi="宋体" w:eastAsia="宋体" w:cs="宋体"/>
              <w:sz w:val="24"/>
              <w:szCs w:val="24"/>
            </w:rPr>
            <w:t>二、机</w:t>
          </w:r>
          <w:r>
            <w:rPr>
              <w:rFonts w:hint="eastAsia" w:ascii="宋体" w:hAnsi="宋体" w:eastAsia="宋体" w:cs="宋体"/>
              <w:bCs w:val="0"/>
              <w:sz w:val="24"/>
              <w:szCs w:val="24"/>
            </w:rPr>
            <w:t>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_Toc17745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8D75B1">
          <w:pPr>
            <w:pStyle w:val="13"/>
            <w:tabs>
              <w:tab w:val="right" w:leader="dot" w:pos="8306"/>
              <w:tab w:val="clear" w:pos="829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_Toc10742 </w:instrText>
          </w:r>
          <w:r>
            <w:rPr>
              <w:rFonts w:hint="eastAsia" w:ascii="仿宋" w:hAnsi="仿宋" w:eastAsia="仿宋" w:cs="仿宋"/>
              <w:sz w:val="24"/>
              <w:szCs w:val="24"/>
            </w:rPr>
            <w:fldChar w:fldCharType="separate"/>
          </w:r>
          <w:r>
            <w:rPr>
              <w:rFonts w:hint="eastAsia" w:ascii="仿宋" w:hAnsi="仿宋" w:eastAsia="仿宋" w:cs="仿宋"/>
              <w:sz w:val="24"/>
              <w:szCs w:val="24"/>
            </w:rPr>
            <w:t>第二部分 2023年度</w:t>
          </w:r>
          <w:r>
            <w:rPr>
              <w:rFonts w:hint="eastAsia" w:ascii="仿宋" w:hAnsi="仿宋" w:eastAsia="仿宋" w:cs="仿宋"/>
              <w:bCs/>
              <w:sz w:val="24"/>
              <w:szCs w:val="24"/>
            </w:rPr>
            <w:t>单位决算情况说明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_Toc10742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917175D">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_Toc23291 </w:instrText>
          </w:r>
          <w:r>
            <w:rPr>
              <w:rFonts w:hint="eastAsia" w:ascii="宋体" w:hAnsi="宋体" w:eastAsia="宋体" w:cs="宋体"/>
              <w:sz w:val="24"/>
              <w:szCs w:val="24"/>
            </w:rPr>
            <w:fldChar w:fldCharType="separate"/>
          </w:r>
          <w:r>
            <w:rPr>
              <w:rFonts w:hint="eastAsia" w:ascii="宋体" w:hAnsi="宋体" w:eastAsia="宋体" w:cs="宋体"/>
              <w:sz w:val="24"/>
              <w:szCs w:val="24"/>
            </w:rPr>
            <w:t>一、 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_Toc23291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C35B307">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_Toc14084 </w:instrText>
          </w:r>
          <w:r>
            <w:rPr>
              <w:rFonts w:hint="eastAsia" w:ascii="宋体" w:hAnsi="宋体" w:eastAsia="宋体" w:cs="宋体"/>
              <w:sz w:val="24"/>
              <w:szCs w:val="24"/>
            </w:rPr>
            <w:fldChar w:fldCharType="separate"/>
          </w:r>
          <w:r>
            <w:rPr>
              <w:rFonts w:hint="eastAsia" w:ascii="宋体" w:hAnsi="宋体" w:eastAsia="宋体" w:cs="宋体"/>
              <w:sz w:val="24"/>
              <w:szCs w:val="24"/>
            </w:rPr>
            <w:t>二、 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_Toc14084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4C5722">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_Toc29133 </w:instrText>
          </w:r>
          <w:r>
            <w:rPr>
              <w:rFonts w:hint="eastAsia" w:ascii="宋体" w:hAnsi="宋体" w:eastAsia="宋体" w:cs="宋体"/>
              <w:sz w:val="24"/>
              <w:szCs w:val="24"/>
            </w:rPr>
            <w:fldChar w:fldCharType="separate"/>
          </w:r>
          <w:r>
            <w:rPr>
              <w:rFonts w:hint="eastAsia" w:ascii="宋体" w:hAnsi="宋体" w:eastAsia="宋体" w:cs="宋体"/>
              <w:sz w:val="24"/>
              <w:szCs w:val="24"/>
            </w:rPr>
            <w:t>三、 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_Toc29133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93E53F">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_Toc16436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_Toc16436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293BB4D">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_Toc22117 </w:instrText>
          </w:r>
          <w:r>
            <w:rPr>
              <w:rFonts w:hint="eastAsia" w:ascii="宋体" w:hAnsi="宋体" w:eastAsia="宋体" w:cs="宋体"/>
              <w:sz w:val="24"/>
              <w:szCs w:val="24"/>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_Toc22117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9E0E637">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_Toc22164 </w:instrText>
          </w:r>
          <w:r>
            <w:rPr>
              <w:rFonts w:hint="eastAsia" w:ascii="宋体" w:hAnsi="宋体" w:eastAsia="宋体" w:cs="宋体"/>
              <w:sz w:val="24"/>
              <w:szCs w:val="24"/>
            </w:rPr>
            <w:fldChar w:fldCharType="separate"/>
          </w:r>
          <w:r>
            <w:rPr>
              <w:rFonts w:hint="eastAsia" w:ascii="宋体" w:hAnsi="宋体" w:eastAsia="宋体" w:cs="宋体"/>
              <w:sz w:val="24"/>
              <w:szCs w:val="24"/>
            </w:rPr>
            <w:t>（一）一般公共预算财政拨款支出决算总体情况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_Toc22164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52A87DC">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_Toc30964 </w:instrText>
          </w:r>
          <w:r>
            <w:rPr>
              <w:rFonts w:hint="eastAsia" w:ascii="宋体" w:hAnsi="宋体" w:eastAsia="宋体" w:cs="宋体"/>
              <w:sz w:val="24"/>
              <w:szCs w:val="24"/>
            </w:rPr>
            <w:fldChar w:fldCharType="separate"/>
          </w:r>
          <w:r>
            <w:rPr>
              <w:rFonts w:hint="eastAsia" w:ascii="宋体" w:hAnsi="宋体" w:eastAsia="宋体" w:cs="宋体"/>
              <w:sz w:val="24"/>
              <w:szCs w:val="24"/>
            </w:rPr>
            <w:t>（二）一般公共预算财政拨款支出决算结构情况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_Toc30964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EFD84F2">
          <w:pPr>
            <w:pStyle w:val="9"/>
            <w:tabs>
              <w:tab w:val="right" w:leader="dot" w:pos="8306"/>
              <w:tab w:val="clear" w:pos="829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_Toc10108 </w:instrText>
          </w:r>
          <w:r>
            <w:rPr>
              <w:rFonts w:hint="eastAsia" w:ascii="宋体" w:hAnsi="宋体" w:eastAsia="宋体" w:cs="宋体"/>
              <w:sz w:val="24"/>
              <w:szCs w:val="24"/>
            </w:rPr>
            <w:fldChar w:fldCharType="separate"/>
          </w:r>
          <w:r>
            <w:rPr>
              <w:rFonts w:hint="eastAsia" w:ascii="宋体" w:hAnsi="宋体" w:eastAsia="宋体" w:cs="宋体"/>
              <w:sz w:val="24"/>
              <w:szCs w:val="24"/>
            </w:rPr>
            <w:t>（三）一般公共预算财政拨款支出决算具体情况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_Toc10108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3BD67E">
          <w:pPr>
            <w:pStyle w:val="14"/>
            <w:tabs>
              <w:tab w:val="right" w:leader="dot" w:pos="8306"/>
              <w:tab w:val="clear" w:pos="829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_Toc8089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_Toc8089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8AB827">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_Toc7702 </w:instrText>
          </w:r>
          <w:r>
            <w:rPr>
              <w:rFonts w:hint="eastAsia" w:ascii="宋体" w:hAnsi="宋体" w:eastAsia="宋体" w:cs="宋体"/>
              <w:sz w:val="24"/>
              <w:szCs w:val="24"/>
            </w:rPr>
            <w:fldChar w:fldCharType="separate"/>
          </w:r>
          <w:r>
            <w:rPr>
              <w:rFonts w:hint="eastAsia" w:ascii="宋体" w:hAnsi="宋体" w:eastAsia="宋体" w:cs="宋体"/>
              <w:sz w:val="24"/>
              <w:szCs w:val="24"/>
            </w:rPr>
            <w:t>七、财政拨款“三公”经费支出决算情况说明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_Toc7702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04234AC">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_Toc22608 </w:instrText>
          </w:r>
          <w:r>
            <w:rPr>
              <w:rFonts w:hint="eastAsia" w:ascii="宋体" w:hAnsi="宋体" w:eastAsia="宋体" w:cs="宋体"/>
              <w:sz w:val="24"/>
              <w:szCs w:val="24"/>
            </w:rPr>
            <w:fldChar w:fldCharType="separate"/>
          </w:r>
          <w:r>
            <w:rPr>
              <w:rFonts w:hint="eastAsia" w:ascii="宋体" w:hAnsi="宋体" w:eastAsia="宋体" w:cs="宋体"/>
              <w:sz w:val="24"/>
              <w:szCs w:val="24"/>
            </w:rPr>
            <w:t>（一）“三公”经费财政拨款支出决算总体情况说明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_Toc22608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86A3A5">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_Toc2557 </w:instrText>
          </w:r>
          <w:r>
            <w:rPr>
              <w:rFonts w:hint="eastAsia" w:ascii="宋体" w:hAnsi="宋体" w:eastAsia="宋体" w:cs="宋体"/>
              <w:sz w:val="24"/>
              <w:szCs w:val="24"/>
            </w:rPr>
            <w:fldChar w:fldCharType="separate"/>
          </w:r>
          <w:r>
            <w:rPr>
              <w:rFonts w:hint="eastAsia" w:ascii="宋体" w:hAnsi="宋体" w:eastAsia="宋体" w:cs="宋体"/>
              <w:sz w:val="24"/>
              <w:szCs w:val="24"/>
            </w:rPr>
            <w:t>（二）“三公”经费财政拨款支出决算具体情况说明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_Toc2557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C726BC">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_Toc3989 </w:instrText>
          </w:r>
          <w:r>
            <w:rPr>
              <w:rFonts w:hint="eastAsia" w:ascii="宋体" w:hAnsi="宋体" w:eastAsia="宋体" w:cs="宋体"/>
              <w:sz w:val="24"/>
              <w:szCs w:val="24"/>
            </w:rP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_Toc3989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CE94523">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_Toc15329 </w:instrText>
          </w:r>
          <w:r>
            <w:rPr>
              <w:rFonts w:hint="eastAsia" w:ascii="宋体" w:hAnsi="宋体" w:eastAsia="宋体" w:cs="宋体"/>
              <w:sz w:val="24"/>
              <w:szCs w:val="24"/>
            </w:rPr>
            <w:fldChar w:fldCharType="separate"/>
          </w:r>
          <w:r>
            <w:rPr>
              <w:rFonts w:hint="eastAsia" w:ascii="宋体" w:hAnsi="宋体" w:eastAsia="宋体" w:cs="宋体"/>
              <w:sz w:val="24"/>
              <w:szCs w:val="24"/>
            </w:rPr>
            <w:t>九、 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_Toc15329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40CF2C6">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_Toc6384 </w:instrText>
          </w:r>
          <w:r>
            <w:rPr>
              <w:rFonts w:hint="eastAsia" w:ascii="宋体" w:hAnsi="宋体" w:eastAsia="宋体" w:cs="宋体"/>
              <w:sz w:val="24"/>
              <w:szCs w:val="24"/>
            </w:rPr>
            <w:fldChar w:fldCharType="separate"/>
          </w:r>
          <w:r>
            <w:rPr>
              <w:rFonts w:hint="eastAsia" w:ascii="宋体" w:hAnsi="宋体" w:eastAsia="宋体" w:cs="宋体"/>
              <w:sz w:val="24"/>
              <w:szCs w:val="24"/>
            </w:rPr>
            <w:t>十、 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_Toc6384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74E512D">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_Toc20572 </w:instrText>
          </w:r>
          <w:r>
            <w:rPr>
              <w:rFonts w:hint="eastAsia" w:ascii="宋体" w:hAnsi="宋体" w:eastAsia="宋体" w:cs="宋体"/>
              <w:sz w:val="24"/>
              <w:szCs w:val="24"/>
            </w:rPr>
            <w:fldChar w:fldCharType="separate"/>
          </w:r>
          <w:r>
            <w:rPr>
              <w:rFonts w:hint="eastAsia" w:ascii="宋体" w:hAnsi="宋体" w:eastAsia="宋体" w:cs="宋体"/>
              <w:sz w:val="24"/>
              <w:szCs w:val="24"/>
            </w:rPr>
            <w:t>（一）机关运行经费支出情况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_Toc20572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BB0098">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_Toc8446 </w:instrText>
          </w:r>
          <w:r>
            <w:rPr>
              <w:rFonts w:hint="eastAsia" w:ascii="宋体" w:hAnsi="宋体" w:eastAsia="宋体" w:cs="宋体"/>
              <w:sz w:val="24"/>
              <w:szCs w:val="24"/>
            </w:rPr>
            <w:fldChar w:fldCharType="separate"/>
          </w:r>
          <w:r>
            <w:rPr>
              <w:rFonts w:hint="eastAsia" w:ascii="宋体" w:hAnsi="宋体" w:eastAsia="宋体" w:cs="宋体"/>
              <w:sz w:val="24"/>
              <w:szCs w:val="24"/>
            </w:rPr>
            <w:t>（二）政府采购支出情况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_Toc8446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E6B64F">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_Toc25175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（三）国有资产占有使用情况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_Toc25175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7C2FBCF">
          <w:pPr>
            <w:pStyle w:val="9"/>
            <w:tabs>
              <w:tab w:val="right" w:leader="dot" w:pos="8306"/>
              <w:tab w:val="clear" w:pos="829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_Toc31931 </w:instrText>
          </w:r>
          <w:r>
            <w:rPr>
              <w:rFonts w:hint="eastAsia" w:ascii="宋体" w:hAnsi="宋体" w:eastAsia="宋体" w:cs="宋体"/>
              <w:sz w:val="24"/>
              <w:szCs w:val="24"/>
            </w:rPr>
            <w:fldChar w:fldCharType="separate"/>
          </w:r>
          <w:r>
            <w:rPr>
              <w:rFonts w:hint="eastAsia" w:ascii="宋体" w:hAnsi="宋体" w:eastAsia="宋体" w:cs="宋体"/>
              <w:sz w:val="24"/>
              <w:szCs w:val="24"/>
            </w:rPr>
            <w:t>（四）预算绩效管理情况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_Toc31931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AAD1108">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_Toc27059 </w:instrText>
          </w:r>
          <w:r>
            <w:rPr>
              <w:rFonts w:hint="eastAsia" w:ascii="仿宋" w:hAnsi="仿宋" w:eastAsia="仿宋" w:cs="仿宋"/>
              <w:sz w:val="24"/>
              <w:szCs w:val="24"/>
            </w:rPr>
            <w:fldChar w:fldCharType="separate"/>
          </w:r>
          <w:r>
            <w:rPr>
              <w:rFonts w:hint="eastAsia" w:ascii="仿宋" w:hAnsi="仿宋" w:eastAsia="仿宋" w:cs="仿宋"/>
              <w:sz w:val="24"/>
              <w:szCs w:val="24"/>
            </w:rPr>
            <w:t>第三部分 名词解释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_Toc27059 \h </w:instrText>
          </w:r>
          <w:r>
            <w:rPr>
              <w:rFonts w:hint="eastAsia" w:ascii="仿宋" w:hAnsi="仿宋" w:eastAsia="仿宋" w:cs="仿宋"/>
              <w:sz w:val="24"/>
              <w:szCs w:val="24"/>
            </w:rPr>
            <w:fldChar w:fldCharType="separate"/>
          </w:r>
          <w:r>
            <w:rPr>
              <w:rFonts w:hint="eastAsia" w:ascii="仿宋" w:hAnsi="仿宋" w:eastAsia="仿宋" w:cs="仿宋"/>
              <w:sz w:val="24"/>
              <w:szCs w:val="24"/>
            </w:rPr>
            <w:t>13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B4C012">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_Toc10258 </w:instrText>
          </w:r>
          <w:r>
            <w:rPr>
              <w:rFonts w:hint="eastAsia" w:ascii="仿宋" w:hAnsi="仿宋" w:eastAsia="仿宋" w:cs="仿宋"/>
              <w:sz w:val="24"/>
              <w:szCs w:val="24"/>
            </w:rPr>
            <w:fldChar w:fldCharType="separate"/>
          </w:r>
          <w:r>
            <w:rPr>
              <w:rFonts w:hint="eastAsia" w:ascii="仿宋" w:hAnsi="仿宋" w:eastAsia="仿宋" w:cs="仿宋"/>
              <w:sz w:val="24"/>
              <w:szCs w:val="24"/>
            </w:rPr>
            <w:t>第四部分 附件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_Toc10258 \h </w:instrText>
          </w:r>
          <w:r>
            <w:rPr>
              <w:rFonts w:hint="eastAsia" w:ascii="仿宋" w:hAnsi="仿宋" w:eastAsia="仿宋" w:cs="仿宋"/>
              <w:sz w:val="24"/>
              <w:szCs w:val="24"/>
            </w:rPr>
            <w:fldChar w:fldCharType="separate"/>
          </w:r>
          <w:r>
            <w:rPr>
              <w:rFonts w:hint="eastAsia" w:ascii="仿宋" w:hAnsi="仿宋" w:eastAsia="仿宋" w:cs="仿宋"/>
              <w:sz w:val="24"/>
              <w:szCs w:val="24"/>
            </w:rPr>
            <w:t>17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8E84576">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_Toc5636 </w:instrText>
          </w:r>
          <w:r>
            <w:rPr>
              <w:rFonts w:hint="eastAsia" w:ascii="宋体" w:hAnsi="宋体" w:eastAsia="宋体" w:cs="宋体"/>
              <w:sz w:val="24"/>
              <w:szCs w:val="24"/>
            </w:rPr>
            <w:fldChar w:fldCharType="separate"/>
          </w:r>
          <w:r>
            <w:rPr>
              <w:rFonts w:hint="eastAsia" w:ascii="宋体" w:hAnsi="宋体" w:eastAsia="宋体" w:cs="宋体"/>
              <w:sz w:val="24"/>
              <w:szCs w:val="24"/>
            </w:rPr>
            <w:t>一、部门（单位）基本情况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_Toc5636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09B1157">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_Toc21722 </w:instrText>
          </w:r>
          <w:r>
            <w:rPr>
              <w:rFonts w:hint="eastAsia" w:ascii="宋体" w:hAnsi="宋体" w:eastAsia="宋体" w:cs="宋体"/>
              <w:sz w:val="24"/>
              <w:szCs w:val="24"/>
            </w:rPr>
            <w:fldChar w:fldCharType="separate"/>
          </w:r>
          <w:r>
            <w:rPr>
              <w:rFonts w:hint="eastAsia" w:ascii="宋体" w:hAnsi="宋体" w:eastAsia="宋体" w:cs="宋体"/>
              <w:sz w:val="24"/>
              <w:szCs w:val="24"/>
              <w:lang w:val="zh-CN"/>
            </w:rPr>
            <w:t>（一）机构组成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_Toc21722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EC77A57">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_Toc18142 </w:instrText>
          </w:r>
          <w:r>
            <w:rPr>
              <w:rFonts w:hint="eastAsia" w:ascii="宋体" w:hAnsi="宋体" w:eastAsia="宋体" w:cs="宋体"/>
              <w:sz w:val="24"/>
              <w:szCs w:val="24"/>
            </w:rPr>
            <w:fldChar w:fldCharType="separate"/>
          </w:r>
          <w:r>
            <w:rPr>
              <w:rFonts w:hint="eastAsia" w:ascii="宋体" w:hAnsi="宋体" w:eastAsia="宋体" w:cs="宋体"/>
              <w:sz w:val="24"/>
              <w:szCs w:val="24"/>
            </w:rPr>
            <w:t>（二） 机构职能。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_Toc18142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8AE936">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_Toc25389 </w:instrText>
          </w:r>
          <w:r>
            <w:rPr>
              <w:rFonts w:hint="eastAsia" w:ascii="宋体" w:hAnsi="宋体" w:eastAsia="宋体" w:cs="宋体"/>
              <w:sz w:val="24"/>
              <w:szCs w:val="24"/>
            </w:rPr>
            <w:fldChar w:fldCharType="separate"/>
          </w:r>
          <w:r>
            <w:rPr>
              <w:rFonts w:hint="eastAsia" w:ascii="宋体" w:hAnsi="宋体" w:eastAsia="宋体" w:cs="宋体"/>
              <w:sz w:val="24"/>
              <w:szCs w:val="24"/>
            </w:rPr>
            <w:t>（三）人员概况。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_Toc25389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58AC413">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_Toc32094 </w:instrText>
          </w:r>
          <w:r>
            <w:rPr>
              <w:rFonts w:hint="eastAsia" w:ascii="宋体" w:hAnsi="宋体" w:eastAsia="宋体" w:cs="宋体"/>
              <w:sz w:val="24"/>
              <w:szCs w:val="24"/>
            </w:rPr>
            <w:fldChar w:fldCharType="separate"/>
          </w:r>
          <w:r>
            <w:rPr>
              <w:rFonts w:hint="eastAsia" w:ascii="宋体" w:hAnsi="宋体" w:eastAsia="宋体" w:cs="宋体"/>
              <w:sz w:val="24"/>
              <w:szCs w:val="24"/>
            </w:rPr>
            <w:t>二、部门资金收支情况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_Toc32094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0F14B58">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_Toc20197 </w:instrText>
          </w:r>
          <w:r>
            <w:rPr>
              <w:rFonts w:hint="eastAsia" w:ascii="宋体" w:hAnsi="宋体" w:eastAsia="宋体" w:cs="宋体"/>
              <w:sz w:val="24"/>
              <w:szCs w:val="24"/>
            </w:rPr>
            <w:fldChar w:fldCharType="separate"/>
          </w:r>
          <w:r>
            <w:rPr>
              <w:rFonts w:hint="eastAsia" w:ascii="宋体" w:hAnsi="宋体" w:eastAsia="宋体" w:cs="宋体"/>
              <w:sz w:val="24"/>
              <w:szCs w:val="24"/>
            </w:rPr>
            <w:t>（一）收入情况。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_Toc20197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57022E">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_Toc29105 </w:instrText>
          </w:r>
          <w:r>
            <w:rPr>
              <w:rFonts w:hint="eastAsia" w:ascii="宋体" w:hAnsi="宋体" w:eastAsia="宋体" w:cs="宋体"/>
              <w:sz w:val="24"/>
              <w:szCs w:val="24"/>
            </w:rPr>
            <w:fldChar w:fldCharType="separate"/>
          </w:r>
          <w:r>
            <w:rPr>
              <w:rFonts w:hint="eastAsia" w:ascii="宋体" w:hAnsi="宋体" w:eastAsia="宋体" w:cs="宋体"/>
              <w:sz w:val="24"/>
              <w:szCs w:val="24"/>
            </w:rPr>
            <w:t>（三） 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_Toc29105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DB6620D">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_Toc7192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en-US" w:eastAsia="zh-CN" w:bidi="ar-SA"/>
            </w:rPr>
            <w:t xml:space="preserve">（四） </w:t>
          </w:r>
          <w:r>
            <w:rPr>
              <w:rFonts w:hint="eastAsia" w:ascii="宋体" w:hAnsi="宋体" w:eastAsia="宋体" w:cs="宋体"/>
              <w:bCs w:val="0"/>
              <w:sz w:val="24"/>
              <w:szCs w:val="24"/>
            </w:rPr>
            <w:t>结余分配和结转结余情况。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_Toc7192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D2C9199">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_Toc6577 </w:instrText>
          </w:r>
          <w:r>
            <w:rPr>
              <w:rFonts w:hint="eastAsia" w:ascii="宋体" w:hAnsi="宋体" w:eastAsia="宋体" w:cs="宋体"/>
              <w:sz w:val="24"/>
              <w:szCs w:val="24"/>
            </w:rPr>
            <w:fldChar w:fldCharType="separate"/>
          </w:r>
          <w:r>
            <w:rPr>
              <w:rFonts w:hint="eastAsia" w:ascii="宋体" w:hAnsi="宋体" w:eastAsia="宋体" w:cs="宋体"/>
              <w:sz w:val="24"/>
              <w:szCs w:val="24"/>
            </w:rPr>
            <w:t>三、部门预算绩效分析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_Toc6577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39E261B">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_Toc19181 </w:instrText>
          </w:r>
          <w:r>
            <w:rPr>
              <w:rFonts w:hint="eastAsia" w:ascii="宋体" w:hAnsi="宋体" w:eastAsia="宋体" w:cs="宋体"/>
              <w:sz w:val="24"/>
              <w:szCs w:val="24"/>
            </w:rPr>
            <w:fldChar w:fldCharType="separate"/>
          </w:r>
          <w:r>
            <w:rPr>
              <w:rFonts w:hint="eastAsia" w:ascii="宋体" w:hAnsi="宋体" w:eastAsia="宋体" w:cs="宋体"/>
              <w:sz w:val="24"/>
              <w:szCs w:val="24"/>
            </w:rPr>
            <w:t>（一）部门预算总体绩效分析。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_Toc19181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DEB642">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_Toc6096 </w:instrText>
          </w:r>
          <w:r>
            <w:rPr>
              <w:rFonts w:hint="eastAsia" w:ascii="宋体" w:hAnsi="宋体" w:eastAsia="宋体" w:cs="宋体"/>
              <w:sz w:val="24"/>
              <w:szCs w:val="24"/>
            </w:rPr>
            <w:fldChar w:fldCharType="separate"/>
          </w:r>
          <w:r>
            <w:rPr>
              <w:rFonts w:hint="eastAsia" w:ascii="宋体" w:hAnsi="宋体" w:eastAsia="宋体" w:cs="宋体"/>
              <w:sz w:val="24"/>
              <w:szCs w:val="24"/>
            </w:rPr>
            <w:t>（二）部门预算项目绩效分析。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_Toc6096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ABDF81">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_Toc13135 </w:instrText>
          </w:r>
          <w:r>
            <w:rPr>
              <w:rFonts w:hint="eastAsia" w:ascii="宋体" w:hAnsi="宋体" w:eastAsia="宋体" w:cs="宋体"/>
              <w:sz w:val="24"/>
              <w:szCs w:val="24"/>
            </w:rPr>
            <w:fldChar w:fldCharType="separate"/>
          </w:r>
          <w:r>
            <w:rPr>
              <w:rFonts w:hint="eastAsia" w:ascii="宋体" w:hAnsi="宋体" w:eastAsia="宋体" w:cs="宋体"/>
              <w:kern w:val="2"/>
              <w:sz w:val="24"/>
              <w:szCs w:val="24"/>
              <w:lang w:val="zh-CN" w:eastAsia="zh-CN" w:bidi="ar-SA"/>
            </w:rPr>
            <w:t xml:space="preserve">（三） </w:t>
          </w:r>
          <w:r>
            <w:rPr>
              <w:rFonts w:hint="eastAsia" w:ascii="宋体" w:hAnsi="宋体" w:eastAsia="宋体" w:cs="宋体"/>
              <w:sz w:val="24"/>
              <w:szCs w:val="24"/>
            </w:rPr>
            <w:t>重点领域绩效分析。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_Toc13135 \h </w:instrText>
          </w:r>
          <w:r>
            <w:rPr>
              <w:rFonts w:hint="eastAsia" w:ascii="宋体" w:hAnsi="宋体" w:eastAsia="宋体" w:cs="宋体"/>
              <w:sz w:val="24"/>
              <w:szCs w:val="24"/>
            </w:rPr>
            <w:fldChar w:fldCharType="separate"/>
          </w:r>
          <w:r>
            <w:rPr>
              <w:rFonts w:hint="eastAsia" w:ascii="宋体" w:hAnsi="宋体" w:eastAsia="宋体" w:cs="宋体"/>
              <w:sz w:val="24"/>
              <w:szCs w:val="24"/>
            </w:rPr>
            <w:t>20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425B2B7">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_Toc5908 </w:instrText>
          </w:r>
          <w:r>
            <w:rPr>
              <w:rFonts w:hint="eastAsia" w:ascii="宋体" w:hAnsi="宋体" w:eastAsia="宋体" w:cs="宋体"/>
              <w:sz w:val="24"/>
              <w:szCs w:val="24"/>
            </w:rPr>
            <w:fldChar w:fldCharType="separate"/>
          </w:r>
          <w:r>
            <w:rPr>
              <w:rFonts w:hint="eastAsia" w:ascii="宋体" w:hAnsi="宋体" w:eastAsia="宋体" w:cs="宋体"/>
              <w:sz w:val="24"/>
              <w:szCs w:val="24"/>
            </w:rPr>
            <w:t>（四） 绩效结果应用情况。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_Toc5908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A2F6FF">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_Toc17515 </w:instrText>
          </w:r>
          <w:r>
            <w:rPr>
              <w:rFonts w:hint="eastAsia" w:ascii="宋体" w:hAnsi="宋体" w:eastAsia="宋体" w:cs="宋体"/>
              <w:sz w:val="24"/>
              <w:szCs w:val="24"/>
            </w:rPr>
            <w:fldChar w:fldCharType="separate"/>
          </w:r>
          <w:r>
            <w:rPr>
              <w:rFonts w:hint="eastAsia" w:ascii="宋体" w:hAnsi="宋体" w:eastAsia="宋体" w:cs="宋体"/>
              <w:sz w:val="24"/>
              <w:szCs w:val="24"/>
            </w:rPr>
            <w:t>四、评价结论及建议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_Toc17515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C41FC4F">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_Toc26259 </w:instrText>
          </w:r>
          <w:r>
            <w:rPr>
              <w:rFonts w:hint="eastAsia" w:ascii="宋体" w:hAnsi="宋体" w:eastAsia="宋体" w:cs="宋体"/>
              <w:sz w:val="24"/>
              <w:szCs w:val="24"/>
            </w:rPr>
            <w:fldChar w:fldCharType="separate"/>
          </w:r>
          <w:r>
            <w:rPr>
              <w:rFonts w:hint="eastAsia" w:ascii="宋体" w:hAnsi="宋体" w:eastAsia="宋体" w:cs="宋体"/>
              <w:sz w:val="24"/>
              <w:szCs w:val="24"/>
            </w:rPr>
            <w:t>（一）评价结论。</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_Toc26259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A137CB7">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_Toc9407 </w:instrText>
          </w:r>
          <w:r>
            <w:rPr>
              <w:rFonts w:hint="eastAsia" w:ascii="宋体" w:hAnsi="宋体" w:eastAsia="宋体" w:cs="宋体"/>
              <w:sz w:val="24"/>
              <w:szCs w:val="24"/>
            </w:rPr>
            <w:fldChar w:fldCharType="separate"/>
          </w:r>
          <w:r>
            <w:rPr>
              <w:rFonts w:hint="eastAsia" w:ascii="宋体" w:hAnsi="宋体" w:eastAsia="宋体" w:cs="宋体"/>
              <w:sz w:val="24"/>
              <w:szCs w:val="24"/>
            </w:rPr>
            <w:t>（二） 存在问题。</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_Toc9407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86C41B3">
          <w:pPr>
            <w:pStyle w:val="9"/>
            <w:tabs>
              <w:tab w:val="right" w:leader="dot" w:pos="8306"/>
              <w:tab w:val="clear" w:pos="829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_Toc21187 </w:instrText>
          </w:r>
          <w:r>
            <w:rPr>
              <w:rFonts w:hint="eastAsia" w:ascii="宋体" w:hAnsi="宋体" w:eastAsia="宋体" w:cs="宋体"/>
              <w:sz w:val="24"/>
              <w:szCs w:val="24"/>
            </w:rPr>
            <w:fldChar w:fldCharType="separate"/>
          </w:r>
          <w:r>
            <w:rPr>
              <w:rFonts w:hint="eastAsia" w:ascii="宋体" w:hAnsi="宋体" w:eastAsia="宋体" w:cs="宋体"/>
              <w:sz w:val="24"/>
              <w:szCs w:val="24"/>
            </w:rPr>
            <w:t>（三） 改进建议。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_Toc21187 \h </w:instrText>
          </w:r>
          <w:r>
            <w:rPr>
              <w:rFonts w:hint="eastAsia" w:ascii="宋体" w:hAnsi="宋体" w:eastAsia="宋体" w:cs="宋体"/>
              <w:sz w:val="24"/>
              <w:szCs w:val="24"/>
            </w:rPr>
            <w:fldChar w:fldCharType="separate"/>
          </w:r>
          <w:r>
            <w:rPr>
              <w:rFonts w:hint="eastAsia" w:ascii="宋体" w:hAnsi="宋体" w:eastAsia="宋体" w:cs="宋体"/>
              <w:sz w:val="24"/>
              <w:szCs w:val="24"/>
            </w:rPr>
            <w:t>21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FA94909">
          <w:pPr>
            <w:pStyle w:val="13"/>
            <w:tabs>
              <w:tab w:val="right" w:leader="dot" w:pos="8306"/>
              <w:tab w:val="clear" w:pos="829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_Toc16674 </w:instrText>
          </w:r>
          <w:r>
            <w:rPr>
              <w:rFonts w:hint="eastAsia" w:ascii="仿宋" w:hAnsi="仿宋" w:eastAsia="仿宋" w:cs="仿宋"/>
              <w:sz w:val="24"/>
              <w:szCs w:val="24"/>
            </w:rPr>
            <w:fldChar w:fldCharType="separate"/>
          </w:r>
          <w:r>
            <w:rPr>
              <w:rFonts w:hint="eastAsia" w:ascii="仿宋" w:hAnsi="仿宋" w:eastAsia="仿宋" w:cs="仿宋"/>
              <w:sz w:val="24"/>
              <w:szCs w:val="24"/>
            </w:rPr>
            <w:t>第五部分 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_Toc16674 \h </w:instrText>
          </w:r>
          <w:r>
            <w:rPr>
              <w:rFonts w:hint="eastAsia" w:ascii="仿宋" w:hAnsi="仿宋" w:eastAsia="仿宋" w:cs="仿宋"/>
              <w:sz w:val="24"/>
              <w:szCs w:val="24"/>
            </w:rPr>
            <w:fldChar w:fldCharType="separate"/>
          </w:r>
          <w:r>
            <w:rPr>
              <w:rFonts w:hint="eastAsia" w:ascii="仿宋" w:hAnsi="仿宋" w:eastAsia="仿宋" w:cs="仿宋"/>
              <w:sz w:val="24"/>
              <w:szCs w:val="24"/>
            </w:rPr>
            <w:t>41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9DF6CF7">
          <w:pPr>
            <w:pStyle w:val="20"/>
            <w:rPr>
              <w:rFonts w:ascii="Arial" w:hAnsi="Arial" w:eastAsia="黑体" w:cs="Times New Roman"/>
              <w:b/>
              <w:kern w:val="2"/>
              <w:sz w:val="24"/>
              <w:szCs w:val="28"/>
              <w:lang w:val="en-US" w:eastAsia="zh-CN" w:bidi="ar-SA"/>
            </w:rPr>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pPr>
          <w:r>
            <w:fldChar w:fldCharType="end"/>
          </w:r>
          <w:bookmarkStart w:id="102" w:name="_GoBack"/>
          <w:bookmarkEnd w:id="102"/>
        </w:p>
      </w:sdtContent>
    </w:sdt>
    <w:p w14:paraId="13AC263E"/>
    <w:p w14:paraId="47471557">
      <w:pPr>
        <w:pStyle w:val="4"/>
        <w:jc w:val="center"/>
        <w:rPr>
          <w:rStyle w:val="29"/>
          <w:rFonts w:ascii="黑体" w:hAnsi="黑体" w:eastAsia="黑体"/>
          <w:b/>
          <w:bCs w:val="0"/>
        </w:rPr>
      </w:pPr>
      <w:bookmarkStart w:id="14" w:name="_Toc26191"/>
      <w:r>
        <w:rPr>
          <w:rFonts w:hint="eastAsia" w:ascii="黑体" w:hAnsi="黑体" w:eastAsia="黑体"/>
          <w:b w:val="0"/>
        </w:rPr>
        <w:t xml:space="preserve">第一部分 </w:t>
      </w:r>
      <w:r>
        <w:rPr>
          <w:rStyle w:val="29"/>
          <w:rFonts w:hint="eastAsia" w:ascii="黑体" w:hAnsi="黑体" w:eastAsia="黑体"/>
          <w:b w:val="0"/>
          <w:bCs w:val="0"/>
        </w:rPr>
        <w:t>部门概况</w:t>
      </w:r>
      <w:bookmarkEnd w:id="12"/>
      <w:bookmarkEnd w:id="13"/>
      <w:bookmarkEnd w:id="14"/>
    </w:p>
    <w:p w14:paraId="4F4467E8">
      <w:pPr>
        <w:pStyle w:val="5"/>
        <w:numPr>
          <w:ilvl w:val="0"/>
          <w:numId w:val="1"/>
        </w:numPr>
      </w:pPr>
      <w:bookmarkStart w:id="15" w:name="_Toc29754"/>
      <w:r>
        <w:rPr>
          <w:rFonts w:hint="eastAsia" w:ascii="黑体" w:hAnsi="黑体" w:eastAsia="黑体"/>
          <w:b w:val="0"/>
        </w:rPr>
        <w:t>部门职责</w:t>
      </w:r>
      <w:bookmarkEnd w:id="15"/>
    </w:p>
    <w:p w14:paraId="57AD33B5">
      <w:pPr>
        <w:pStyle w:val="8"/>
        <w:snapToGrid w:val="0"/>
        <w:spacing w:beforeLines="0" w:line="560" w:lineRule="exact"/>
        <w:ind w:firstLine="640" w:firstLineChars="200"/>
        <w:jc w:val="both"/>
        <w:rPr>
          <w:rFonts w:hint="eastAsia" w:hAnsi="仿宋_GB2312" w:cs="仿宋_GB2312"/>
          <w:color w:val="000000"/>
          <w:sz w:val="32"/>
          <w:szCs w:val="24"/>
        </w:rPr>
      </w:pPr>
      <w:bookmarkStart w:id="16" w:name="_Toc16999"/>
      <w:r>
        <w:rPr>
          <w:rFonts w:hint="eastAsia" w:hAnsi="仿宋_GB2312" w:cs="仿宋_GB2312"/>
          <w:color w:val="000000"/>
          <w:sz w:val="32"/>
          <w:szCs w:val="24"/>
        </w:rPr>
        <w:t>1</w:t>
      </w:r>
      <w:r>
        <w:rPr>
          <w:rFonts w:hint="eastAsia" w:hAnsi="仿宋_GB2312" w:cs="仿宋_GB2312"/>
          <w:color w:val="000000"/>
          <w:sz w:val="32"/>
          <w:szCs w:val="24"/>
          <w:lang w:val="en-US" w:eastAsia="zh-CN"/>
        </w:rPr>
        <w:t>.</w:t>
      </w:r>
      <w:r>
        <w:rPr>
          <w:rFonts w:hint="eastAsia" w:hAnsi="仿宋_GB2312" w:cs="仿宋_GB2312"/>
          <w:color w:val="000000"/>
          <w:sz w:val="32"/>
          <w:szCs w:val="24"/>
        </w:rPr>
        <w:t>负责全</w:t>
      </w:r>
      <w:r>
        <w:rPr>
          <w:rFonts w:hint="eastAsia" w:hAnsi="仿宋_GB2312" w:cs="仿宋_GB2312"/>
          <w:color w:val="000000"/>
          <w:sz w:val="32"/>
          <w:szCs w:val="24"/>
          <w:lang w:eastAsia="zh-CN"/>
        </w:rPr>
        <w:t>区</w:t>
      </w:r>
      <w:r>
        <w:rPr>
          <w:rFonts w:hint="eastAsia" w:hAnsi="仿宋_GB2312" w:cs="仿宋_GB2312"/>
          <w:color w:val="000000"/>
          <w:sz w:val="32"/>
          <w:szCs w:val="24"/>
        </w:rPr>
        <w:t>人工影响天气作业工作的组织管理。负责组织实施人工影响天气作业，承担全</w:t>
      </w:r>
      <w:r>
        <w:rPr>
          <w:rFonts w:hint="eastAsia" w:hAnsi="仿宋_GB2312" w:cs="仿宋_GB2312"/>
          <w:color w:val="000000"/>
          <w:sz w:val="32"/>
          <w:szCs w:val="24"/>
          <w:lang w:eastAsia="zh-CN"/>
        </w:rPr>
        <w:t>区</w:t>
      </w:r>
      <w:r>
        <w:rPr>
          <w:rFonts w:hint="eastAsia" w:hAnsi="仿宋_GB2312" w:cs="仿宋_GB2312"/>
          <w:color w:val="000000"/>
          <w:sz w:val="32"/>
          <w:szCs w:val="24"/>
        </w:rPr>
        <w:t>人工影响天气轨道业务。负责全</w:t>
      </w:r>
      <w:r>
        <w:rPr>
          <w:rFonts w:hint="eastAsia" w:hAnsi="仿宋_GB2312" w:cs="仿宋_GB2312"/>
          <w:color w:val="000000"/>
          <w:sz w:val="32"/>
          <w:szCs w:val="24"/>
          <w:lang w:eastAsia="zh-CN"/>
        </w:rPr>
        <w:t>区</w:t>
      </w:r>
      <w:r>
        <w:rPr>
          <w:rFonts w:hint="eastAsia" w:hAnsi="仿宋_GB2312" w:cs="仿宋_GB2312"/>
          <w:color w:val="000000"/>
          <w:sz w:val="32"/>
          <w:szCs w:val="24"/>
        </w:rPr>
        <w:t>人工影响天气工作的组织管理和协调；负责全</w:t>
      </w:r>
      <w:r>
        <w:rPr>
          <w:rFonts w:hint="eastAsia" w:hAnsi="仿宋_GB2312" w:cs="仿宋_GB2312"/>
          <w:color w:val="000000"/>
          <w:sz w:val="32"/>
          <w:szCs w:val="24"/>
          <w:lang w:eastAsia="zh-CN"/>
        </w:rPr>
        <w:t>区</w:t>
      </w:r>
      <w:r>
        <w:rPr>
          <w:rFonts w:hint="eastAsia" w:hAnsi="仿宋_GB2312" w:cs="仿宋_GB2312"/>
          <w:color w:val="000000"/>
          <w:sz w:val="32"/>
          <w:szCs w:val="24"/>
        </w:rPr>
        <w:t>人工影响天气人员的安全教育和培训；负责制定高炮、火箭等人工增雨作业计划并组织实施；承担人工影响天气作业情况的统计、效益评估等工作。</w:t>
      </w:r>
      <w:bookmarkEnd w:id="16"/>
    </w:p>
    <w:p w14:paraId="1A023DA0">
      <w:pPr>
        <w:pStyle w:val="8"/>
        <w:snapToGrid w:val="0"/>
        <w:spacing w:beforeLines="0" w:line="560" w:lineRule="exact"/>
        <w:ind w:firstLine="640" w:firstLineChars="200"/>
        <w:jc w:val="both"/>
        <w:rPr>
          <w:rFonts w:hint="eastAsia" w:hAnsi="仿宋_GB2312" w:cs="仿宋_GB2312"/>
          <w:color w:val="000000"/>
          <w:sz w:val="32"/>
          <w:szCs w:val="24"/>
        </w:rPr>
      </w:pPr>
      <w:bookmarkStart w:id="17" w:name="_Toc10775"/>
      <w:r>
        <w:rPr>
          <w:rFonts w:hint="eastAsia" w:hAnsi="仿宋_GB2312" w:cs="仿宋_GB2312"/>
          <w:color w:val="000000"/>
          <w:sz w:val="32"/>
          <w:szCs w:val="24"/>
        </w:rPr>
        <w:t>2</w:t>
      </w:r>
      <w:r>
        <w:rPr>
          <w:rFonts w:hint="eastAsia" w:hAnsi="仿宋_GB2312" w:cs="仿宋_GB2312"/>
          <w:color w:val="000000"/>
          <w:sz w:val="32"/>
          <w:szCs w:val="24"/>
          <w:lang w:val="en-US" w:eastAsia="zh-CN"/>
        </w:rPr>
        <w:t>.</w:t>
      </w:r>
      <w:r>
        <w:rPr>
          <w:rFonts w:hint="eastAsia" w:hAnsi="仿宋_GB2312" w:cs="仿宋_GB2312"/>
          <w:color w:val="000000"/>
          <w:sz w:val="32"/>
          <w:szCs w:val="24"/>
        </w:rPr>
        <w:t>负责全</w:t>
      </w:r>
      <w:r>
        <w:rPr>
          <w:rFonts w:hint="eastAsia" w:hAnsi="仿宋_GB2312" w:cs="仿宋_GB2312"/>
          <w:color w:val="000000"/>
          <w:sz w:val="32"/>
          <w:szCs w:val="24"/>
          <w:lang w:eastAsia="zh-CN"/>
        </w:rPr>
        <w:t>区</w:t>
      </w:r>
      <w:r>
        <w:rPr>
          <w:rFonts w:hint="eastAsia" w:hAnsi="仿宋_GB2312" w:cs="仿宋_GB2312"/>
          <w:color w:val="000000"/>
          <w:sz w:val="32"/>
          <w:szCs w:val="24"/>
        </w:rPr>
        <w:t>雷电灾害防御工作的组织管理。承担全</w:t>
      </w:r>
      <w:r>
        <w:rPr>
          <w:rFonts w:hint="eastAsia" w:hAnsi="仿宋_GB2312" w:cs="仿宋_GB2312"/>
          <w:color w:val="000000"/>
          <w:sz w:val="32"/>
          <w:szCs w:val="24"/>
          <w:lang w:eastAsia="zh-CN"/>
        </w:rPr>
        <w:t>区</w:t>
      </w:r>
      <w:r>
        <w:rPr>
          <w:rFonts w:hint="eastAsia" w:hAnsi="仿宋_GB2312" w:cs="仿宋_GB2312"/>
          <w:color w:val="000000"/>
          <w:sz w:val="32"/>
          <w:szCs w:val="24"/>
        </w:rPr>
        <w:t>防雷减灾业务技术的指导和技术培训工作；承担雷电灾害评估、雷击风险评估及重大雷电灾害事故的坚定工作。</w:t>
      </w:r>
      <w:bookmarkEnd w:id="17"/>
    </w:p>
    <w:p w14:paraId="0F33C9FE">
      <w:pPr>
        <w:pStyle w:val="8"/>
        <w:snapToGrid w:val="0"/>
        <w:spacing w:beforeLines="0" w:line="560" w:lineRule="exact"/>
        <w:ind w:firstLine="640" w:firstLineChars="200"/>
        <w:jc w:val="both"/>
        <w:rPr>
          <w:rFonts w:hint="eastAsia" w:hAnsi="仿宋_GB2312" w:cs="仿宋_GB2312"/>
          <w:color w:val="000000"/>
          <w:sz w:val="32"/>
          <w:szCs w:val="24"/>
        </w:rPr>
      </w:pPr>
      <w:bookmarkStart w:id="18" w:name="_Toc30555"/>
      <w:r>
        <w:rPr>
          <w:rFonts w:hint="eastAsia" w:hAnsi="仿宋_GB2312" w:cs="仿宋_GB2312"/>
          <w:color w:val="000000"/>
          <w:sz w:val="32"/>
          <w:szCs w:val="24"/>
        </w:rPr>
        <w:t>3</w:t>
      </w:r>
      <w:r>
        <w:rPr>
          <w:rFonts w:hint="eastAsia" w:hAnsi="仿宋_GB2312" w:cs="仿宋_GB2312"/>
          <w:color w:val="000000"/>
          <w:sz w:val="32"/>
          <w:szCs w:val="24"/>
          <w:lang w:val="en-US" w:eastAsia="zh-CN"/>
        </w:rPr>
        <w:t>.</w:t>
      </w:r>
      <w:r>
        <w:rPr>
          <w:rFonts w:hint="eastAsia" w:hAnsi="仿宋_GB2312" w:cs="仿宋_GB2312"/>
          <w:color w:val="000000"/>
          <w:sz w:val="32"/>
          <w:szCs w:val="24"/>
        </w:rPr>
        <w:t>负责全</w:t>
      </w:r>
      <w:r>
        <w:rPr>
          <w:rFonts w:hint="eastAsia" w:hAnsi="仿宋_GB2312" w:cs="仿宋_GB2312"/>
          <w:color w:val="000000"/>
          <w:sz w:val="32"/>
          <w:szCs w:val="24"/>
          <w:lang w:eastAsia="zh-CN"/>
        </w:rPr>
        <w:t>区</w:t>
      </w:r>
      <w:r>
        <w:rPr>
          <w:rFonts w:hint="eastAsia" w:hAnsi="仿宋_GB2312" w:cs="仿宋_GB2312"/>
          <w:color w:val="000000"/>
          <w:sz w:val="32"/>
          <w:szCs w:val="24"/>
        </w:rPr>
        <w:t>农业气象综合服务。</w:t>
      </w:r>
      <w:bookmarkEnd w:id="18"/>
    </w:p>
    <w:p w14:paraId="208A5044">
      <w:pPr>
        <w:pStyle w:val="8"/>
        <w:snapToGrid w:val="0"/>
        <w:spacing w:beforeLines="0" w:line="560" w:lineRule="exact"/>
        <w:ind w:firstLine="640" w:firstLineChars="200"/>
        <w:jc w:val="both"/>
      </w:pPr>
      <w:bookmarkStart w:id="19" w:name="_Toc17096"/>
      <w:r>
        <w:rPr>
          <w:rFonts w:hint="eastAsia" w:hAnsi="仿宋_GB2312" w:cs="仿宋_GB2312"/>
          <w:color w:val="000000"/>
          <w:sz w:val="32"/>
          <w:szCs w:val="24"/>
        </w:rPr>
        <w:t>4</w:t>
      </w:r>
      <w:r>
        <w:rPr>
          <w:rFonts w:hint="eastAsia" w:hAnsi="仿宋_GB2312" w:cs="仿宋_GB2312"/>
          <w:color w:val="000000"/>
          <w:sz w:val="32"/>
          <w:szCs w:val="24"/>
          <w:lang w:val="en-US" w:eastAsia="zh-CN"/>
        </w:rPr>
        <w:t>.</w:t>
      </w:r>
      <w:r>
        <w:rPr>
          <w:rFonts w:hint="eastAsia" w:hAnsi="仿宋_GB2312" w:cs="仿宋_GB2312"/>
          <w:color w:val="000000"/>
          <w:sz w:val="32"/>
          <w:szCs w:val="24"/>
        </w:rPr>
        <w:t>负责全</w:t>
      </w:r>
      <w:r>
        <w:rPr>
          <w:rFonts w:hint="eastAsia" w:hAnsi="仿宋_GB2312" w:cs="仿宋_GB2312"/>
          <w:color w:val="000000"/>
          <w:sz w:val="32"/>
          <w:szCs w:val="24"/>
          <w:lang w:eastAsia="zh-CN"/>
        </w:rPr>
        <w:t>区</w:t>
      </w:r>
      <w:r>
        <w:rPr>
          <w:rFonts w:hint="eastAsia" w:hAnsi="仿宋_GB2312" w:cs="仿宋_GB2312"/>
          <w:color w:val="000000"/>
          <w:sz w:val="32"/>
          <w:szCs w:val="24"/>
        </w:rPr>
        <w:t>灌充施放系留气球或升空气球的技术指导。</w:t>
      </w:r>
      <w:bookmarkEnd w:id="19"/>
    </w:p>
    <w:p w14:paraId="7C64D6F0">
      <w:pPr>
        <w:pStyle w:val="5"/>
        <w:rPr>
          <w:rStyle w:val="30"/>
          <w:rFonts w:hint="eastAsia" w:ascii="黑体" w:hAnsi="黑体" w:eastAsia="黑体"/>
          <w:b w:val="0"/>
          <w:bCs w:val="0"/>
        </w:rPr>
      </w:pPr>
      <w:bookmarkStart w:id="20" w:name="_Toc15396601"/>
      <w:bookmarkStart w:id="21" w:name="_Toc15377200"/>
      <w:bookmarkStart w:id="22" w:name="_Toc17745"/>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20"/>
      <w:bookmarkEnd w:id="21"/>
      <w:bookmarkEnd w:id="22"/>
    </w:p>
    <w:p w14:paraId="4B322AB6">
      <w:pPr>
        <w:ind w:firstLine="640" w:firstLineChars="200"/>
        <w:outlineLvl w:val="9"/>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德阳市罗江区地方气象服务中心本级下属二级预算单位1个，其中行政单位0个，参照公务员法管理的事业单位0个，其他事业单位0个。</w:t>
      </w:r>
    </w:p>
    <w:p w14:paraId="28E10111">
      <w:pPr>
        <w:ind w:firstLine="640" w:firstLineChars="200"/>
        <w:outlineLvl w:val="9"/>
        <w:rPr>
          <w:rFonts w:hint="eastAsia" w:ascii="仿宋" w:hAnsi="仿宋" w:eastAsia="仿宋" w:cs="Times New Roman"/>
          <w:sz w:val="32"/>
          <w:szCs w:val="32"/>
        </w:rPr>
      </w:pPr>
      <w:r>
        <w:rPr>
          <w:rFonts w:hint="eastAsia" w:ascii="仿宋" w:hAnsi="仿宋" w:eastAsia="仿宋" w:cs="Times New Roman"/>
          <w:sz w:val="32"/>
          <w:szCs w:val="32"/>
        </w:rPr>
        <w:t>纳入德阳市罗江区地方气象服务中心本级2023年度部门决算编制范围的二级预算单位包括：</w:t>
      </w:r>
    </w:p>
    <w:p w14:paraId="3FBB2922">
      <w:pPr>
        <w:widowControl/>
        <w:ind w:firstLine="960" w:firstLineChars="300"/>
        <w:jc w:val="left"/>
        <w:outlineLvl w:val="9"/>
        <w:rPr>
          <w:rFonts w:ascii="仿宋" w:hAnsi="仿宋" w:eastAsia="仿宋"/>
          <w:kern w:val="0"/>
          <w:sz w:val="32"/>
          <w:szCs w:val="32"/>
        </w:rPr>
      </w:pPr>
      <w:r>
        <w:rPr>
          <w:rFonts w:hint="eastAsia" w:ascii="仿宋" w:hAnsi="仿宋" w:eastAsia="仿宋" w:cs="Times New Roman"/>
          <w:sz w:val="32"/>
          <w:szCs w:val="32"/>
        </w:rPr>
        <w:t>德阳市罗江区地方气象服务中心</w:t>
      </w:r>
      <w:r>
        <w:rPr>
          <w:rFonts w:ascii="仿宋" w:hAnsi="仿宋" w:eastAsia="仿宋"/>
          <w:sz w:val="32"/>
          <w:szCs w:val="32"/>
        </w:rPr>
        <w:br w:type="page"/>
      </w:r>
    </w:p>
    <w:p w14:paraId="0200A192">
      <w:pPr>
        <w:pStyle w:val="4"/>
        <w:ind w:right="440"/>
        <w:jc w:val="center"/>
        <w:rPr>
          <w:rStyle w:val="29"/>
          <w:rFonts w:ascii="黑体" w:hAnsi="黑体" w:eastAsia="黑体"/>
          <w:b w:val="0"/>
          <w:bCs/>
        </w:rPr>
      </w:pPr>
      <w:bookmarkStart w:id="23" w:name="_Toc15396602"/>
      <w:bookmarkStart w:id="24" w:name="_Toc15377204"/>
      <w:bookmarkStart w:id="25" w:name="_Toc10742"/>
      <w:r>
        <w:rPr>
          <w:rFonts w:hint="eastAsia" w:ascii="黑体" w:hAnsi="黑体" w:eastAsia="黑体"/>
          <w:b w:val="0"/>
        </w:rPr>
        <w:t>第二部分 2023年度</w:t>
      </w:r>
      <w:r>
        <w:rPr>
          <w:rStyle w:val="29"/>
          <w:rFonts w:hint="eastAsia" w:ascii="黑体" w:hAnsi="黑体" w:eastAsia="黑体"/>
          <w:b w:val="0"/>
          <w:bCs/>
        </w:rPr>
        <w:t>单位决算情况说明</w:t>
      </w:r>
      <w:bookmarkEnd w:id="23"/>
      <w:bookmarkEnd w:id="24"/>
      <w:bookmarkEnd w:id="25"/>
    </w:p>
    <w:p w14:paraId="182876FE"/>
    <w:p w14:paraId="2AB29B7F">
      <w:pPr>
        <w:pStyle w:val="28"/>
        <w:numPr>
          <w:ilvl w:val="0"/>
          <w:numId w:val="2"/>
        </w:numPr>
        <w:spacing w:line="600" w:lineRule="exact"/>
        <w:ind w:firstLineChars="0"/>
        <w:outlineLvl w:val="1"/>
        <w:rPr>
          <w:rStyle w:val="30"/>
          <w:rFonts w:ascii="黑体" w:hAnsi="黑体" w:eastAsia="黑体"/>
          <w:b w:val="0"/>
        </w:rPr>
      </w:pPr>
      <w:bookmarkStart w:id="26" w:name="_Toc23291"/>
      <w:bookmarkStart w:id="27" w:name="_Toc15377205"/>
      <w:bookmarkStart w:id="28" w:name="_Toc15396603"/>
      <w:r>
        <w:rPr>
          <w:rFonts w:hint="eastAsia" w:ascii="黑体" w:hAnsi="黑体" w:eastAsia="黑体"/>
          <w:sz w:val="32"/>
          <w:szCs w:val="32"/>
        </w:rPr>
        <w:t>收</w:t>
      </w:r>
      <w:r>
        <w:rPr>
          <w:rStyle w:val="30"/>
          <w:rFonts w:hint="eastAsia" w:ascii="黑体" w:hAnsi="黑体" w:eastAsia="黑体"/>
          <w:b w:val="0"/>
        </w:rPr>
        <w:t>入支出决算总体情况说明</w:t>
      </w:r>
      <w:bookmarkEnd w:id="26"/>
      <w:bookmarkEnd w:id="27"/>
      <w:bookmarkEnd w:id="28"/>
    </w:p>
    <w:p w14:paraId="44B9B30E">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cs="Times New Roman"/>
          <w:sz w:val="32"/>
          <w:szCs w:val="32"/>
        </w:rPr>
        <w:t>250.38</w:t>
      </w:r>
      <w:r>
        <w:rPr>
          <w:rFonts w:hint="eastAsia" w:ascii="仿宋" w:hAnsi="仿宋" w:eastAsia="仿宋"/>
          <w:sz w:val="32"/>
          <w:szCs w:val="32"/>
        </w:rPr>
        <w:t>万元。与2022年度相比，收</w:t>
      </w:r>
      <w:r>
        <w:rPr>
          <w:rFonts w:hint="eastAsia" w:ascii="仿宋" w:hAnsi="仿宋" w:eastAsia="仿宋"/>
          <w:sz w:val="32"/>
          <w:szCs w:val="32"/>
          <w:lang w:val="en-US" w:eastAsia="zh-CN"/>
        </w:rPr>
        <w:t>入</w:t>
      </w:r>
      <w:r>
        <w:rPr>
          <w:rFonts w:hint="eastAsia" w:ascii="仿宋" w:hAnsi="仿宋" w:eastAsia="仿宋"/>
          <w:sz w:val="32"/>
          <w:szCs w:val="32"/>
        </w:rPr>
        <w:t>总计增长增加</w:t>
      </w:r>
      <w:r>
        <w:rPr>
          <w:rFonts w:hint="eastAsia" w:ascii="仿宋" w:hAnsi="仿宋" w:eastAsia="仿宋"/>
          <w:sz w:val="32"/>
          <w:szCs w:val="32"/>
          <w:lang w:val="en-US" w:eastAsia="zh-CN"/>
        </w:rPr>
        <w:t>57.24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支出</w:t>
      </w:r>
      <w:r>
        <w:rPr>
          <w:rFonts w:hint="eastAsia" w:ascii="仿宋" w:hAnsi="仿宋" w:eastAsia="仿宋"/>
          <w:sz w:val="32"/>
          <w:szCs w:val="32"/>
        </w:rPr>
        <w:t>总计增长增加</w:t>
      </w:r>
      <w:r>
        <w:rPr>
          <w:rFonts w:hint="eastAsia" w:ascii="仿宋" w:hAnsi="仿宋" w:eastAsia="仿宋"/>
          <w:sz w:val="32"/>
          <w:szCs w:val="32"/>
          <w:lang w:val="en-US" w:eastAsia="zh-CN"/>
        </w:rPr>
        <w:t>57.24</w:t>
      </w:r>
      <w:r>
        <w:rPr>
          <w:rFonts w:hint="eastAsia" w:ascii="仿宋" w:hAnsi="仿宋" w:eastAsia="仿宋"/>
          <w:sz w:val="32"/>
          <w:szCs w:val="32"/>
        </w:rPr>
        <w:t>万元。</w:t>
      </w:r>
      <w:commentRangeStart w:id="0"/>
      <w:r>
        <w:rPr>
          <w:rFonts w:hint="eastAsia" w:ascii="仿宋" w:hAnsi="仿宋" w:eastAsia="仿宋"/>
          <w:sz w:val="32"/>
          <w:szCs w:val="32"/>
        </w:rPr>
        <w:t>主要变动原因是</w:t>
      </w:r>
      <w:r>
        <w:rPr>
          <w:rFonts w:hint="eastAsia" w:ascii="仿宋" w:hAnsi="仿宋" w:eastAsia="仿宋"/>
          <w:sz w:val="32"/>
          <w:szCs w:val="32"/>
          <w:lang w:val="en-US" w:eastAsia="zh-CN"/>
        </w:rPr>
        <w:t>2023年人员增加导致基本支出增加4.49万元，新增防风险补短板项目导致特殊类项目支出增加52.75万元</w:t>
      </w:r>
      <w:r>
        <w:rPr>
          <w:rFonts w:hint="eastAsia" w:ascii="仿宋" w:hAnsi="仿宋" w:eastAsia="仿宋"/>
          <w:sz w:val="32"/>
          <w:szCs w:val="32"/>
        </w:rPr>
        <w:t>。</w:t>
      </w:r>
      <w:commentRangeEnd w:id="0"/>
      <w:r>
        <w:commentReference w:id="0"/>
      </w:r>
    </w:p>
    <w:p w14:paraId="65F5A2A8">
      <w:pPr>
        <w:pStyle w:val="2"/>
      </w:pPr>
      <w:r>
        <w:commentReference w:id="1"/>
      </w:r>
      <w:r>
        <w:drawing>
          <wp:inline distT="0" distB="0" distL="114300" distR="114300">
            <wp:extent cx="4827905" cy="2743200"/>
            <wp:effectExtent l="4445" t="4445" r="13970"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F124CD">
      <w:pPr>
        <w:spacing w:line="560" w:lineRule="exact"/>
        <w:jc w:val="center"/>
        <w:rPr>
          <w:rFonts w:hint="eastAsia" w:ascii="仿宋" w:hAnsi="仿宋" w:eastAsia="仿宋"/>
          <w:color w:val="auto"/>
          <w:kern w:val="2"/>
          <w:sz w:val="24"/>
          <w:szCs w:val="24"/>
          <w:lang w:val="en-US" w:eastAsia="zh-CN"/>
        </w:rPr>
      </w:pPr>
      <w:r>
        <w:rPr>
          <w:rFonts w:hint="eastAsia" w:ascii="仿宋" w:hAnsi="仿宋" w:eastAsia="仿宋"/>
          <w:color w:val="auto"/>
          <w:kern w:val="2"/>
          <w:sz w:val="24"/>
          <w:szCs w:val="24"/>
          <w:lang w:val="en-US"/>
        </w:rPr>
        <w:t>图1：收、支决算总计变动情况图</w:t>
      </w:r>
      <w:r>
        <w:rPr>
          <w:rFonts w:hint="eastAsia" w:ascii="仿宋" w:hAnsi="仿宋" w:eastAsia="仿宋"/>
          <w:color w:val="auto"/>
          <w:kern w:val="2"/>
          <w:sz w:val="24"/>
          <w:szCs w:val="24"/>
          <w:lang w:val="en-US" w:eastAsia="zh-CN"/>
        </w:rPr>
        <w:t>（金额单位：万元）</w:t>
      </w:r>
    </w:p>
    <w:p w14:paraId="7BE1A921">
      <w:pPr>
        <w:spacing w:line="600" w:lineRule="exact"/>
        <w:ind w:firstLine="640" w:firstLineChars="200"/>
        <w:jc w:val="left"/>
        <w:rPr>
          <w:rFonts w:ascii="仿宋_GB2312" w:eastAsia="仿宋_GB2312"/>
          <w:sz w:val="32"/>
          <w:szCs w:val="32"/>
        </w:rPr>
      </w:pPr>
    </w:p>
    <w:p w14:paraId="6F371F48">
      <w:pPr>
        <w:pStyle w:val="28"/>
        <w:numPr>
          <w:ilvl w:val="0"/>
          <w:numId w:val="2"/>
        </w:numPr>
        <w:spacing w:line="600" w:lineRule="exact"/>
        <w:ind w:firstLineChars="0"/>
        <w:outlineLvl w:val="1"/>
        <w:rPr>
          <w:rStyle w:val="30"/>
          <w:rFonts w:ascii="黑体" w:hAnsi="黑体" w:eastAsia="黑体"/>
          <w:b w:val="0"/>
        </w:rPr>
      </w:pPr>
      <w:bookmarkStart w:id="29" w:name="_Toc15377206"/>
      <w:bookmarkStart w:id="30" w:name="_Toc15396604"/>
      <w:bookmarkStart w:id="31" w:name="_Toc14084"/>
      <w:r>
        <w:rPr>
          <w:rFonts w:hint="eastAsia" w:ascii="黑体" w:hAnsi="黑体" w:eastAsia="黑体"/>
          <w:sz w:val="32"/>
          <w:szCs w:val="32"/>
        </w:rPr>
        <w:t>收</w:t>
      </w:r>
      <w:r>
        <w:rPr>
          <w:rStyle w:val="30"/>
          <w:rFonts w:hint="eastAsia" w:ascii="黑体" w:hAnsi="黑体" w:eastAsia="黑体"/>
          <w:b w:val="0"/>
        </w:rPr>
        <w:t>入决算情况说明</w:t>
      </w:r>
      <w:bookmarkEnd w:id="29"/>
      <w:bookmarkEnd w:id="30"/>
      <w:bookmarkEnd w:id="31"/>
    </w:p>
    <w:p w14:paraId="086FDB41">
      <w:pPr>
        <w:spacing w:line="600" w:lineRule="exact"/>
        <w:ind w:firstLine="640" w:firstLineChars="200"/>
        <w:outlineLvl w:val="9"/>
        <w:rPr>
          <w:rFonts w:hint="eastAsia" w:ascii="仿宋" w:hAnsi="仿宋" w:eastAsia="仿宋" w:cs="Times New Roman"/>
          <w:sz w:val="32"/>
          <w:szCs w:val="32"/>
          <w:lang w:eastAsia="zh-CN"/>
        </w:rPr>
      </w:pPr>
      <w:r>
        <w:rPr>
          <w:rFonts w:hint="eastAsia" w:ascii="仿宋" w:hAnsi="仿宋" w:eastAsia="仿宋"/>
          <w:sz w:val="32"/>
          <w:szCs w:val="32"/>
        </w:rPr>
        <w:t>2023年度本年收入合计</w:t>
      </w:r>
      <w:r>
        <w:rPr>
          <w:rFonts w:hint="eastAsia" w:ascii="仿宋" w:hAnsi="仿宋" w:eastAsia="仿宋" w:cs="Times New Roman"/>
          <w:sz w:val="32"/>
          <w:szCs w:val="32"/>
        </w:rPr>
        <w:t>248.46万元，其中：一般公共预算财政拨款收入248.46万元，占100%；政府性基金预算财政拨款收入0万元，占0%；国有资本经营预算财政拨款收入0万元，占0%；上级补助收入0万元，占0%；事业收入0万元，占0%；经营收入0万元，占0%；附属单位上缴收入0</w:t>
      </w:r>
      <w:r>
        <w:rPr>
          <w:rFonts w:hint="eastAsia" w:ascii="仿宋" w:hAnsi="仿宋" w:eastAsia="仿宋"/>
          <w:sz w:val="32"/>
          <w:szCs w:val="32"/>
        </w:rPr>
        <w:t>万元，</w:t>
      </w:r>
      <w:r>
        <w:rPr>
          <w:rFonts w:hint="eastAsia" w:ascii="仿宋" w:hAnsi="仿宋" w:eastAsia="仿宋" w:cs="Times New Roman"/>
          <w:sz w:val="32"/>
          <w:szCs w:val="32"/>
        </w:rPr>
        <w:t>占0%；其他收入0万元，占0%</w:t>
      </w:r>
      <w:r>
        <w:rPr>
          <w:rFonts w:hint="eastAsia" w:ascii="仿宋" w:hAnsi="仿宋" w:eastAsia="仿宋" w:cs="Times New Roman"/>
          <w:sz w:val="32"/>
          <w:szCs w:val="32"/>
          <w:lang w:eastAsia="zh-CN"/>
        </w:rPr>
        <w:t>。</w:t>
      </w:r>
    </w:p>
    <w:p w14:paraId="720508CE">
      <w:pPr>
        <w:pStyle w:val="2"/>
        <w:ind w:left="3570" w:leftChars="400" w:hanging="2730" w:hangingChars="1300"/>
        <w:jc w:val="left"/>
      </w:pPr>
      <w:r>
        <w:drawing>
          <wp:inline distT="0" distB="0" distL="114300" distR="114300">
            <wp:extent cx="4827905" cy="2743200"/>
            <wp:effectExtent l="4445" t="4445" r="13970"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979788">
      <w:pPr>
        <w:pStyle w:val="2"/>
        <w:ind w:left="3956" w:leftChars="1084" w:hanging="1680" w:hangingChars="700"/>
        <w:jc w:val="left"/>
        <w:rPr>
          <w:rFonts w:hint="eastAsia" w:ascii="仿宋" w:hAnsi="仿宋" w:eastAsia="仿宋"/>
          <w:color w:val="auto"/>
          <w:kern w:val="2"/>
          <w:sz w:val="24"/>
          <w:szCs w:val="24"/>
          <w:lang w:val="en-US" w:eastAsia="zh-CN"/>
        </w:rPr>
      </w:pPr>
      <w:r>
        <w:rPr>
          <w:rFonts w:hint="eastAsia" w:ascii="仿宋" w:hAnsi="仿宋" w:eastAsia="仿宋"/>
          <w:color w:val="auto"/>
          <w:kern w:val="2"/>
          <w:sz w:val="24"/>
          <w:szCs w:val="24"/>
          <w:lang w:val="en-US"/>
        </w:rPr>
        <w:t>图2：收入决算结构图</w:t>
      </w:r>
      <w:r>
        <w:rPr>
          <w:rFonts w:hint="eastAsia" w:ascii="仿宋" w:hAnsi="仿宋" w:eastAsia="仿宋"/>
          <w:color w:val="auto"/>
          <w:kern w:val="2"/>
          <w:sz w:val="24"/>
          <w:szCs w:val="24"/>
          <w:lang w:val="en-US" w:eastAsia="zh-CN"/>
        </w:rPr>
        <w:t>（金额单位：万元）</w:t>
      </w:r>
    </w:p>
    <w:p w14:paraId="32B75A3E">
      <w:pPr>
        <w:pStyle w:val="28"/>
        <w:numPr>
          <w:ilvl w:val="0"/>
          <w:numId w:val="2"/>
        </w:numPr>
        <w:spacing w:line="600" w:lineRule="exact"/>
        <w:ind w:firstLineChars="0"/>
        <w:outlineLvl w:val="1"/>
        <w:rPr>
          <w:rStyle w:val="30"/>
          <w:rFonts w:ascii="黑体" w:hAnsi="黑体" w:eastAsia="黑体"/>
          <w:b w:val="0"/>
        </w:rPr>
      </w:pPr>
      <w:bookmarkStart w:id="32" w:name="_Toc15396605"/>
      <w:bookmarkStart w:id="33" w:name="_Toc29133"/>
      <w:bookmarkStart w:id="34" w:name="_Toc15377207"/>
      <w:r>
        <w:rPr>
          <w:rFonts w:hint="eastAsia" w:ascii="黑体" w:hAnsi="黑体" w:eastAsia="黑体"/>
          <w:sz w:val="32"/>
          <w:szCs w:val="32"/>
        </w:rPr>
        <w:t>支</w:t>
      </w:r>
      <w:r>
        <w:rPr>
          <w:rStyle w:val="30"/>
          <w:rFonts w:hint="eastAsia" w:ascii="黑体" w:hAnsi="黑体" w:eastAsia="黑体"/>
          <w:b w:val="0"/>
        </w:rPr>
        <w:t>出决算情况说明</w:t>
      </w:r>
      <w:bookmarkEnd w:id="32"/>
      <w:bookmarkEnd w:id="33"/>
      <w:bookmarkEnd w:id="34"/>
    </w:p>
    <w:p w14:paraId="585EB676">
      <w:pPr>
        <w:spacing w:line="600" w:lineRule="exact"/>
        <w:ind w:firstLine="640" w:firstLineChars="200"/>
        <w:outlineLvl w:val="9"/>
        <w:rPr>
          <w:rFonts w:hint="eastAsia" w:ascii="仿宋" w:hAnsi="仿宋" w:eastAsia="仿宋" w:cs="Times New Roman"/>
          <w:sz w:val="32"/>
          <w:szCs w:val="32"/>
        </w:rPr>
      </w:pPr>
      <w:r>
        <w:rPr>
          <w:rFonts w:hint="eastAsia" w:ascii="仿宋" w:hAnsi="仿宋" w:eastAsia="仿宋"/>
          <w:sz w:val="32"/>
          <w:szCs w:val="32"/>
        </w:rPr>
        <w:t>2023年度本年</w:t>
      </w:r>
      <w:r>
        <w:rPr>
          <w:rFonts w:hint="eastAsia" w:ascii="仿宋" w:hAnsi="仿宋" w:eastAsia="仿宋" w:cs="Times New Roman"/>
          <w:sz w:val="32"/>
          <w:szCs w:val="32"/>
        </w:rPr>
        <w:t>支出合计250.38万元，其中：基本支出117.62万元，占46.97%；项目支出132.76万元，占53.02%；上缴上级支出0万元，占0%；经营支出0万元，占0%；对附属单位补助支出0万元，占0%。</w:t>
      </w:r>
    </w:p>
    <w:p w14:paraId="28D15059">
      <w:pPr>
        <w:pStyle w:val="2"/>
        <w:ind w:left="3150" w:leftChars="400" w:hanging="2310" w:hangingChars="1100"/>
      </w:pPr>
      <w:r>
        <w:drawing>
          <wp:inline distT="0" distB="0" distL="114300" distR="114300">
            <wp:extent cx="4692015" cy="2700655"/>
            <wp:effectExtent l="4445" t="4445" r="12700" b="53340"/>
            <wp:docPr id="1" name="图表 5" descr="7b0a202020202263686172745265734964223a202232303437363737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commentReference w:id="2"/>
      </w:r>
    </w:p>
    <w:p w14:paraId="011C5BEA">
      <w:pPr>
        <w:pStyle w:val="2"/>
        <w:ind w:left="3476" w:leftChars="1084" w:hanging="1200" w:hangingChars="500"/>
        <w:rPr>
          <w:rFonts w:ascii="仿宋_GB2312" w:eastAsia="仿宋_GB2312"/>
          <w:sz w:val="32"/>
          <w:szCs w:val="32"/>
        </w:rPr>
      </w:pPr>
      <w:r>
        <w:rPr>
          <w:rFonts w:hint="eastAsia" w:ascii="仿宋" w:hAnsi="仿宋" w:eastAsia="仿宋"/>
          <w:color w:val="auto"/>
          <w:kern w:val="2"/>
          <w:sz w:val="24"/>
          <w:szCs w:val="24"/>
          <w:lang w:val="en-US"/>
        </w:rPr>
        <w:t>图3：支出决算结构图</w:t>
      </w:r>
      <w:r>
        <w:rPr>
          <w:rFonts w:hint="eastAsia" w:ascii="仿宋" w:hAnsi="仿宋" w:eastAsia="仿宋"/>
          <w:color w:val="auto"/>
          <w:kern w:val="2"/>
          <w:sz w:val="24"/>
          <w:szCs w:val="24"/>
          <w:lang w:val="en-US" w:eastAsia="zh-CN"/>
        </w:rPr>
        <w:t>（金额单位：万元）</w:t>
      </w:r>
    </w:p>
    <w:p w14:paraId="2E45ECFA">
      <w:pPr>
        <w:spacing w:line="600" w:lineRule="exact"/>
        <w:ind w:firstLine="640" w:firstLineChars="200"/>
        <w:outlineLvl w:val="1"/>
        <w:rPr>
          <w:rStyle w:val="30"/>
          <w:rFonts w:ascii="黑体" w:hAnsi="黑体" w:eastAsia="黑体"/>
          <w:b w:val="0"/>
        </w:rPr>
      </w:pPr>
      <w:bookmarkStart w:id="35" w:name="_Toc15377208"/>
      <w:bookmarkStart w:id="36" w:name="_Toc16436"/>
      <w:bookmarkStart w:id="37" w:name="_Toc15396606"/>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35"/>
      <w:bookmarkEnd w:id="36"/>
      <w:bookmarkEnd w:id="37"/>
    </w:p>
    <w:p w14:paraId="17ECA33A">
      <w:pPr>
        <w:spacing w:line="600" w:lineRule="exact"/>
        <w:ind w:firstLine="640"/>
        <w:rPr>
          <w:rFonts w:hint="eastAsia" w:ascii="仿宋" w:hAnsi="仿宋" w:eastAsia="仿宋" w:cs="Times New Roman"/>
          <w:sz w:val="32"/>
          <w:szCs w:val="32"/>
        </w:rPr>
      </w:pPr>
      <w:r>
        <w:rPr>
          <w:rFonts w:hint="eastAsia" w:ascii="仿宋" w:hAnsi="仿宋" w:eastAsia="仿宋"/>
          <w:sz w:val="32"/>
          <w:szCs w:val="32"/>
        </w:rPr>
        <w:t>2023年</w:t>
      </w:r>
      <w:r>
        <w:rPr>
          <w:rFonts w:hint="eastAsia" w:ascii="仿宋" w:hAnsi="仿宋" w:eastAsia="仿宋" w:cs="Times New Roman"/>
          <w:sz w:val="32"/>
          <w:szCs w:val="32"/>
        </w:rPr>
        <w:t>度财政拨款收、支总计均为248.46万元。与2022年度相比，财政拨款收</w:t>
      </w:r>
      <w:r>
        <w:rPr>
          <w:rFonts w:hint="eastAsia" w:ascii="仿宋" w:hAnsi="仿宋" w:eastAsia="仿宋" w:cs="Times New Roman"/>
          <w:sz w:val="32"/>
          <w:szCs w:val="32"/>
          <w:lang w:val="en-US" w:eastAsia="zh-CN"/>
        </w:rPr>
        <w:t>入</w:t>
      </w:r>
      <w:r>
        <w:rPr>
          <w:rFonts w:hint="eastAsia" w:ascii="仿宋" w:hAnsi="仿宋" w:eastAsia="仿宋" w:cs="Times New Roman"/>
          <w:sz w:val="32"/>
          <w:szCs w:val="32"/>
        </w:rPr>
        <w:t>总计增长增加</w:t>
      </w:r>
      <w:r>
        <w:rPr>
          <w:rFonts w:hint="eastAsia" w:ascii="仿宋" w:hAnsi="仿宋" w:eastAsia="仿宋" w:cs="Times New Roman"/>
          <w:sz w:val="32"/>
          <w:szCs w:val="32"/>
          <w:lang w:val="en-US" w:eastAsia="zh-CN"/>
        </w:rPr>
        <w:t>61.69</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w:t>
      </w:r>
      <w:r>
        <w:rPr>
          <w:rFonts w:hint="eastAsia" w:ascii="仿宋" w:hAnsi="仿宋" w:eastAsia="仿宋" w:cs="Times New Roman"/>
          <w:sz w:val="32"/>
          <w:szCs w:val="32"/>
        </w:rPr>
        <w:t>财政拨款</w:t>
      </w:r>
      <w:r>
        <w:rPr>
          <w:rFonts w:hint="eastAsia" w:ascii="仿宋" w:hAnsi="仿宋" w:eastAsia="仿宋" w:cs="Times New Roman"/>
          <w:sz w:val="32"/>
          <w:szCs w:val="32"/>
          <w:lang w:val="en-US" w:eastAsia="zh-CN"/>
        </w:rPr>
        <w:t>支出</w:t>
      </w:r>
      <w:r>
        <w:rPr>
          <w:rFonts w:hint="eastAsia" w:ascii="仿宋" w:hAnsi="仿宋" w:eastAsia="仿宋" w:cs="Times New Roman"/>
          <w:sz w:val="32"/>
          <w:szCs w:val="32"/>
        </w:rPr>
        <w:t>总计增加</w:t>
      </w:r>
      <w:r>
        <w:rPr>
          <w:rFonts w:hint="eastAsia" w:ascii="仿宋" w:hAnsi="仿宋" w:eastAsia="仿宋" w:cs="Times New Roman"/>
          <w:sz w:val="32"/>
          <w:szCs w:val="32"/>
          <w:lang w:val="en-US" w:eastAsia="zh-CN"/>
        </w:rPr>
        <w:t>61.69</w:t>
      </w:r>
      <w:r>
        <w:rPr>
          <w:rFonts w:hint="eastAsia" w:ascii="仿宋" w:hAnsi="仿宋" w:eastAsia="仿宋" w:cs="Times New Roman"/>
          <w:sz w:val="32"/>
          <w:szCs w:val="32"/>
        </w:rPr>
        <w:t>万元。主要变动原因是</w:t>
      </w:r>
      <w:r>
        <w:rPr>
          <w:rFonts w:hint="eastAsia" w:ascii="仿宋" w:hAnsi="仿宋" w:eastAsia="仿宋" w:cs="Times New Roman"/>
          <w:sz w:val="32"/>
          <w:szCs w:val="32"/>
          <w:lang w:val="en-US" w:eastAsia="zh-CN"/>
        </w:rPr>
        <w:t>2023年增加项目“气象检测预警防风险、补短板”，导致</w:t>
      </w:r>
      <w:r>
        <w:rPr>
          <w:rFonts w:hint="eastAsia" w:ascii="仿宋" w:hAnsi="仿宋" w:eastAsia="仿宋" w:cs="Times New Roman"/>
          <w:sz w:val="32"/>
          <w:szCs w:val="32"/>
        </w:rPr>
        <w:t>财政拨款</w:t>
      </w:r>
      <w:r>
        <w:rPr>
          <w:rFonts w:hint="eastAsia" w:ascii="仿宋" w:hAnsi="仿宋" w:eastAsia="仿宋" w:cs="Times New Roman"/>
          <w:sz w:val="32"/>
          <w:szCs w:val="32"/>
          <w:lang w:val="en-US" w:eastAsia="zh-CN"/>
        </w:rPr>
        <w:t>总体支出整体增加</w:t>
      </w:r>
      <w:r>
        <w:rPr>
          <w:rFonts w:hint="eastAsia" w:ascii="仿宋" w:hAnsi="仿宋" w:eastAsia="仿宋" w:cs="Times New Roman"/>
          <w:sz w:val="32"/>
          <w:szCs w:val="32"/>
        </w:rPr>
        <w:t>。</w:t>
      </w:r>
    </w:p>
    <w:p w14:paraId="10677E8D">
      <w:pPr>
        <w:pStyle w:val="2"/>
        <w:ind w:left="1470" w:leftChars="400" w:hanging="630" w:hangingChars="300"/>
        <w:rPr>
          <w:rFonts w:ascii="仿宋" w:hAnsi="仿宋" w:eastAsia="仿宋"/>
          <w:sz w:val="24"/>
          <w:szCs w:val="24"/>
        </w:rPr>
      </w:pPr>
      <w:r>
        <w:drawing>
          <wp:inline distT="0" distB="0" distL="114300" distR="114300">
            <wp:extent cx="4827905" cy="2743200"/>
            <wp:effectExtent l="4445" t="4445" r="13970" b="1079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commentReference w:id="3"/>
      </w:r>
      <w:r>
        <w:rPr>
          <w:rFonts w:hint="eastAsia" w:ascii="仿宋" w:hAnsi="仿宋" w:eastAsia="仿宋"/>
          <w:sz w:val="24"/>
          <w:szCs w:val="24"/>
        </w:rPr>
        <w:t>图4：财政拨款收、支决算总计变动情况</w:t>
      </w:r>
      <w:r>
        <w:rPr>
          <w:rFonts w:hint="eastAsia" w:ascii="仿宋" w:hAnsi="仿宋" w:eastAsia="仿宋"/>
          <w:sz w:val="24"/>
          <w:szCs w:val="24"/>
          <w:lang w:val="en-US" w:eastAsia="zh-CN"/>
        </w:rPr>
        <w:t>图</w:t>
      </w:r>
      <w:r>
        <w:rPr>
          <w:rFonts w:hint="eastAsia" w:ascii="仿宋" w:hAnsi="仿宋" w:eastAsia="仿宋"/>
          <w:color w:val="auto"/>
          <w:kern w:val="2"/>
          <w:sz w:val="24"/>
          <w:szCs w:val="24"/>
          <w:lang w:val="en-US" w:eastAsia="zh-CN"/>
        </w:rPr>
        <w:t>（金额单位：万元）</w:t>
      </w:r>
    </w:p>
    <w:p w14:paraId="407E7307">
      <w:pPr>
        <w:spacing w:line="600" w:lineRule="exact"/>
        <w:ind w:firstLine="640"/>
        <w:rPr>
          <w:rFonts w:ascii="仿宋" w:hAnsi="仿宋" w:eastAsia="仿宋"/>
          <w:b/>
          <w:sz w:val="32"/>
          <w:szCs w:val="32"/>
        </w:rPr>
      </w:pPr>
    </w:p>
    <w:p w14:paraId="7936774F">
      <w:pPr>
        <w:spacing w:line="600" w:lineRule="exact"/>
        <w:ind w:firstLine="640" w:firstLineChars="200"/>
        <w:outlineLvl w:val="1"/>
        <w:rPr>
          <w:rStyle w:val="30"/>
          <w:rFonts w:ascii="黑体" w:hAnsi="黑体" w:eastAsia="黑体"/>
          <w:b w:val="0"/>
        </w:rPr>
      </w:pPr>
      <w:bookmarkStart w:id="38" w:name="_Toc22117"/>
      <w:bookmarkStart w:id="39" w:name="_Toc15377209"/>
      <w:bookmarkStart w:id="40" w:name="_Toc15396607"/>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38"/>
      <w:bookmarkEnd w:id="39"/>
      <w:bookmarkEnd w:id="40"/>
    </w:p>
    <w:p w14:paraId="5F240BA9">
      <w:pPr>
        <w:spacing w:line="600" w:lineRule="exact"/>
        <w:ind w:firstLine="643" w:firstLineChars="200"/>
        <w:outlineLvl w:val="2"/>
        <w:rPr>
          <w:rFonts w:ascii="仿宋" w:hAnsi="仿宋" w:eastAsia="仿宋"/>
          <w:b/>
          <w:sz w:val="32"/>
          <w:szCs w:val="32"/>
        </w:rPr>
      </w:pPr>
      <w:bookmarkStart w:id="41" w:name="_Toc22164"/>
      <w:bookmarkStart w:id="42" w:name="_Toc15377210"/>
      <w:r>
        <w:rPr>
          <w:rFonts w:hint="eastAsia" w:ascii="仿宋" w:hAnsi="仿宋" w:eastAsia="仿宋"/>
          <w:b/>
          <w:sz w:val="32"/>
          <w:szCs w:val="32"/>
        </w:rPr>
        <w:t>（一）一般公共预算财政拨款支出决算总体情况</w:t>
      </w:r>
      <w:bookmarkEnd w:id="41"/>
      <w:bookmarkEnd w:id="42"/>
    </w:p>
    <w:p w14:paraId="66F46EA6">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2023年度一般公共预算财政拨款支出248.46万元，占本年支出合计的99.23%。与2022年度相比，一般公共预算财政拨款支出增加</w:t>
      </w:r>
      <w:r>
        <w:rPr>
          <w:rFonts w:hint="eastAsia" w:ascii="仿宋" w:hAnsi="仿宋" w:eastAsia="仿宋" w:cs="Times New Roman"/>
          <w:sz w:val="32"/>
          <w:szCs w:val="32"/>
          <w:lang w:val="en-US" w:eastAsia="zh-CN"/>
        </w:rPr>
        <w:t>61.69</w:t>
      </w:r>
      <w:r>
        <w:rPr>
          <w:rFonts w:hint="eastAsia" w:ascii="仿宋" w:hAnsi="仿宋" w:eastAsia="仿宋" w:cs="Times New Roman"/>
          <w:sz w:val="32"/>
          <w:szCs w:val="32"/>
        </w:rPr>
        <w:t>万元，增长</w:t>
      </w:r>
      <w:r>
        <w:rPr>
          <w:rFonts w:hint="eastAsia" w:ascii="仿宋" w:hAnsi="仿宋" w:eastAsia="仿宋" w:cs="Times New Roman"/>
          <w:sz w:val="32"/>
          <w:szCs w:val="32"/>
          <w:lang w:val="en-US" w:eastAsia="zh-CN"/>
        </w:rPr>
        <w:t>33.03</w:t>
      </w:r>
      <w:r>
        <w:rPr>
          <w:rFonts w:hint="eastAsia" w:ascii="仿宋" w:hAnsi="仿宋" w:eastAsia="仿宋" w:cs="Times New Roman"/>
          <w:sz w:val="32"/>
          <w:szCs w:val="32"/>
        </w:rPr>
        <w:t>%。主要变动原因是</w:t>
      </w:r>
      <w:r>
        <w:rPr>
          <w:rFonts w:hint="eastAsia" w:ascii="仿宋" w:hAnsi="仿宋" w:eastAsia="仿宋" w:cs="Times New Roman"/>
          <w:sz w:val="32"/>
          <w:szCs w:val="32"/>
          <w:lang w:val="en-US" w:eastAsia="zh-CN"/>
        </w:rPr>
        <w:t>2023年增加项目“气象检测预警防风险、补短板”，导致</w:t>
      </w:r>
      <w:r>
        <w:rPr>
          <w:rFonts w:hint="eastAsia" w:ascii="仿宋" w:hAnsi="仿宋" w:eastAsia="仿宋" w:cs="Times New Roman"/>
          <w:sz w:val="32"/>
          <w:szCs w:val="32"/>
        </w:rPr>
        <w:t>一般公共预算财政拨款</w:t>
      </w:r>
      <w:r>
        <w:rPr>
          <w:rFonts w:hint="eastAsia" w:ascii="仿宋" w:hAnsi="仿宋" w:eastAsia="仿宋" w:cs="Times New Roman"/>
          <w:sz w:val="32"/>
          <w:szCs w:val="32"/>
          <w:lang w:val="en-US" w:eastAsia="zh-CN"/>
        </w:rPr>
        <w:t>支出整体增加</w:t>
      </w:r>
      <w:r>
        <w:rPr>
          <w:rFonts w:hint="eastAsia" w:ascii="仿宋" w:hAnsi="仿宋" w:eastAsia="仿宋" w:cs="Times New Roman"/>
          <w:sz w:val="32"/>
          <w:szCs w:val="32"/>
        </w:rPr>
        <w:t>。</w:t>
      </w:r>
    </w:p>
    <w:p w14:paraId="43146F53">
      <w:pPr>
        <w:pStyle w:val="2"/>
        <w:ind w:left="1260" w:leftChars="400" w:hanging="420" w:hangingChars="200"/>
        <w:rPr>
          <w:rFonts w:ascii="仿宋" w:hAnsi="仿宋" w:eastAsia="仿宋"/>
          <w:sz w:val="32"/>
          <w:szCs w:val="32"/>
        </w:rPr>
      </w:pPr>
      <w:r>
        <w:drawing>
          <wp:inline distT="0" distB="0" distL="114300" distR="114300">
            <wp:extent cx="4827905" cy="2743200"/>
            <wp:effectExtent l="4445" t="4445" r="13970" b="1079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commentReference w:id="4"/>
      </w:r>
      <w:r>
        <w:rPr>
          <w:rFonts w:hint="eastAsia" w:ascii="仿宋" w:hAnsi="仿宋" w:eastAsia="仿宋" w:cs="Times New Roman"/>
          <w:color w:val="auto"/>
          <w:kern w:val="2"/>
          <w:sz w:val="24"/>
          <w:szCs w:val="24"/>
          <w:lang w:val="en-US" w:eastAsia="zh-CN"/>
        </w:rPr>
        <w:t>图5：一般公共预算财政拨款支出决算变动情况图</w:t>
      </w:r>
      <w:r>
        <w:rPr>
          <w:rFonts w:hint="eastAsia" w:ascii="仿宋" w:hAnsi="仿宋" w:eastAsia="仿宋"/>
          <w:color w:val="auto"/>
          <w:kern w:val="2"/>
          <w:sz w:val="24"/>
          <w:szCs w:val="24"/>
          <w:lang w:val="en-US" w:eastAsia="zh-CN"/>
        </w:rPr>
        <w:t>（金额单位：万元）</w:t>
      </w:r>
    </w:p>
    <w:p w14:paraId="6B4F60AA">
      <w:pPr>
        <w:spacing w:line="600" w:lineRule="exact"/>
        <w:ind w:firstLine="643" w:firstLineChars="200"/>
        <w:outlineLvl w:val="2"/>
        <w:rPr>
          <w:rFonts w:ascii="仿宋" w:hAnsi="仿宋" w:eastAsia="仿宋"/>
          <w:b/>
          <w:sz w:val="32"/>
          <w:szCs w:val="32"/>
        </w:rPr>
      </w:pPr>
      <w:bookmarkStart w:id="43" w:name="_Toc30964"/>
      <w:bookmarkStart w:id="44" w:name="_Toc15377211"/>
      <w:r>
        <w:rPr>
          <w:rFonts w:hint="eastAsia" w:ascii="仿宋" w:hAnsi="仿宋" w:eastAsia="仿宋"/>
          <w:b/>
          <w:sz w:val="32"/>
          <w:szCs w:val="32"/>
        </w:rPr>
        <w:t>（二）一般公共预算财政拨款支出决算结构情况</w:t>
      </w:r>
      <w:bookmarkEnd w:id="43"/>
      <w:bookmarkEnd w:id="44"/>
    </w:p>
    <w:p w14:paraId="4B8CE94A">
      <w:pPr>
        <w:spacing w:line="600" w:lineRule="exact"/>
        <w:ind w:firstLine="640"/>
        <w:rPr>
          <w:rFonts w:hint="eastAsia" w:ascii="仿宋" w:hAnsi="仿宋" w:eastAsia="仿宋" w:cs="Times New Roman"/>
          <w:sz w:val="32"/>
          <w:szCs w:val="32"/>
        </w:rPr>
      </w:pPr>
      <w:r>
        <w:rPr>
          <w:rFonts w:hint="eastAsia" w:ascii="仿宋" w:hAnsi="仿宋" w:eastAsia="仿宋"/>
          <w:sz w:val="32"/>
          <w:szCs w:val="32"/>
        </w:rPr>
        <w:t>2023年度一般公共预算财政拨款支出</w:t>
      </w:r>
      <w:r>
        <w:rPr>
          <w:rFonts w:hint="eastAsia" w:ascii="仿宋" w:hAnsi="仿宋" w:eastAsia="仿宋" w:cs="Times New Roman"/>
          <w:sz w:val="32"/>
          <w:szCs w:val="32"/>
        </w:rPr>
        <w:t>248.46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cs="Times New Roman"/>
          <w:sz w:val="32"/>
          <w:szCs w:val="32"/>
        </w:rPr>
        <w:t>社会保障和就业支出</w:t>
      </w:r>
      <w:r>
        <w:rPr>
          <w:rFonts w:hint="eastAsia" w:ascii="仿宋" w:hAnsi="仿宋" w:eastAsia="仿宋" w:cs="Times New Roman"/>
          <w:sz w:val="32"/>
          <w:szCs w:val="32"/>
          <w:lang w:val="en-US" w:eastAsia="zh-CN"/>
        </w:rPr>
        <w:t>10.93</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4.40</w:t>
      </w:r>
      <w:r>
        <w:rPr>
          <w:rFonts w:hint="eastAsia" w:ascii="仿宋" w:hAnsi="仿宋" w:eastAsia="仿宋" w:cs="Times New Roman"/>
          <w:sz w:val="32"/>
          <w:szCs w:val="32"/>
        </w:rPr>
        <w:t>%；</w:t>
      </w:r>
      <w:r>
        <w:rPr>
          <w:rFonts w:hint="eastAsia" w:ascii="仿宋" w:hAnsi="仿宋" w:eastAsia="仿宋" w:cs="Times New Roman"/>
          <w:sz w:val="32"/>
          <w:szCs w:val="32"/>
          <w:lang w:val="zh-CN"/>
        </w:rPr>
        <w:t>自然资源海洋气象等支出</w:t>
      </w:r>
      <w:r>
        <w:rPr>
          <w:rFonts w:hint="eastAsia" w:ascii="仿宋" w:hAnsi="仿宋" w:eastAsia="仿宋" w:cs="Times New Roman"/>
          <w:sz w:val="32"/>
          <w:szCs w:val="32"/>
          <w:lang w:val="en-US" w:eastAsia="zh-CN"/>
        </w:rPr>
        <w:t>230.25</w:t>
      </w:r>
      <w:r>
        <w:rPr>
          <w:rFonts w:hint="eastAsia" w:ascii="仿宋" w:hAnsi="仿宋" w:eastAsia="仿宋" w:cs="Times New Roman"/>
          <w:sz w:val="32"/>
          <w:szCs w:val="32"/>
          <w:lang w:val="zh-CN"/>
        </w:rPr>
        <w:t>万元，占9</w:t>
      </w:r>
      <w:r>
        <w:rPr>
          <w:rFonts w:hint="eastAsia" w:ascii="仿宋" w:hAnsi="仿宋" w:eastAsia="仿宋" w:cs="Times New Roman"/>
          <w:sz w:val="32"/>
          <w:szCs w:val="32"/>
          <w:lang w:val="en-US" w:eastAsia="zh-CN"/>
        </w:rPr>
        <w:t>2.67</w:t>
      </w:r>
      <w:r>
        <w:rPr>
          <w:rFonts w:hint="eastAsia" w:ascii="仿宋" w:hAnsi="仿宋" w:eastAsia="仿宋" w:cs="Times New Roman"/>
          <w:sz w:val="32"/>
          <w:szCs w:val="32"/>
          <w:lang w:val="zh-CN"/>
        </w:rPr>
        <w:t>%；</w:t>
      </w:r>
      <w:r>
        <w:rPr>
          <w:rFonts w:hint="eastAsia" w:ascii="仿宋" w:hAnsi="仿宋" w:eastAsia="仿宋" w:cs="Times New Roman"/>
          <w:sz w:val="32"/>
          <w:szCs w:val="32"/>
        </w:rPr>
        <w:t>卫生健康支出</w:t>
      </w:r>
      <w:r>
        <w:rPr>
          <w:rFonts w:hint="eastAsia" w:ascii="仿宋" w:hAnsi="仿宋" w:eastAsia="仿宋" w:cs="Times New Roman"/>
          <w:sz w:val="32"/>
          <w:szCs w:val="32"/>
          <w:lang w:val="en-US" w:eastAsia="zh-CN"/>
        </w:rPr>
        <w:t>2.49</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rPr>
        <w:t>%；住房保障支出</w:t>
      </w:r>
      <w:r>
        <w:rPr>
          <w:rFonts w:hint="eastAsia" w:ascii="仿宋" w:hAnsi="仿宋" w:eastAsia="仿宋" w:cs="Times New Roman"/>
          <w:sz w:val="32"/>
          <w:szCs w:val="32"/>
          <w:lang w:val="en-US" w:eastAsia="zh-CN"/>
        </w:rPr>
        <w:t>4.79</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1.93</w:t>
      </w:r>
      <w:r>
        <w:rPr>
          <w:rFonts w:hint="eastAsia" w:ascii="仿宋" w:hAnsi="仿宋" w:eastAsia="仿宋" w:cs="Times New Roman"/>
          <w:sz w:val="32"/>
          <w:szCs w:val="32"/>
        </w:rPr>
        <w:t>%。</w:t>
      </w:r>
    </w:p>
    <w:p w14:paraId="75F55ADB">
      <w:pPr>
        <w:spacing w:line="600" w:lineRule="exact"/>
        <w:rPr>
          <w:rFonts w:ascii="仿宋" w:hAnsi="仿宋" w:eastAsia="仿宋"/>
          <w:sz w:val="32"/>
          <w:szCs w:val="32"/>
        </w:rPr>
      </w:pPr>
    </w:p>
    <w:p w14:paraId="06BC065A">
      <w:pPr>
        <w:pStyle w:val="2"/>
      </w:pPr>
      <w:r>
        <w:drawing>
          <wp:inline distT="0" distB="0" distL="114300" distR="114300">
            <wp:extent cx="4625340" cy="2683510"/>
            <wp:effectExtent l="4445" t="4445" r="18415" b="40005"/>
            <wp:docPr id="9" name="图表 8" descr="7b0a202020202263686172745265734964223a202232303437363039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commentReference w:id="5"/>
      </w:r>
    </w:p>
    <w:p w14:paraId="6E084021">
      <w:pPr>
        <w:pStyle w:val="2"/>
        <w:ind w:left="1319" w:leftChars="628" w:firstLine="0" w:firstLineChars="0"/>
        <w:rPr>
          <w:rFonts w:ascii="仿宋" w:hAnsi="仿宋" w:eastAsia="仿宋"/>
          <w:sz w:val="32"/>
          <w:szCs w:val="32"/>
        </w:rPr>
      </w:pPr>
      <w:r>
        <w:rPr>
          <w:rFonts w:hint="eastAsia" w:ascii="仿宋" w:hAnsi="仿宋" w:eastAsia="仿宋"/>
          <w:sz w:val="24"/>
          <w:szCs w:val="24"/>
        </w:rPr>
        <w:t>图6：一般公共预算财政拨款支出决算结构</w:t>
      </w:r>
      <w:r>
        <w:rPr>
          <w:rFonts w:hint="eastAsia" w:ascii="仿宋" w:hAnsi="仿宋" w:eastAsia="仿宋"/>
          <w:sz w:val="24"/>
          <w:szCs w:val="24"/>
          <w:lang w:val="en-US" w:eastAsia="zh-CN"/>
        </w:rPr>
        <w:t>图</w:t>
      </w:r>
      <w:r>
        <w:rPr>
          <w:rFonts w:hint="eastAsia" w:ascii="仿宋" w:hAnsi="仿宋" w:eastAsia="仿宋"/>
          <w:color w:val="auto"/>
          <w:kern w:val="2"/>
          <w:sz w:val="24"/>
          <w:szCs w:val="24"/>
          <w:lang w:val="en-US" w:eastAsia="zh-CN"/>
        </w:rPr>
        <w:t>（金额单位：万元）</w:t>
      </w:r>
    </w:p>
    <w:p w14:paraId="55A67A07">
      <w:pPr>
        <w:spacing w:line="600" w:lineRule="exact"/>
        <w:ind w:firstLine="640" w:firstLineChars="200"/>
        <w:rPr>
          <w:rFonts w:ascii="仿宋" w:hAnsi="仿宋" w:eastAsia="仿宋"/>
          <w:sz w:val="32"/>
          <w:szCs w:val="32"/>
        </w:rPr>
      </w:pPr>
    </w:p>
    <w:p w14:paraId="16A11AF6">
      <w:pPr>
        <w:spacing w:line="600" w:lineRule="exact"/>
        <w:ind w:firstLine="643" w:firstLineChars="200"/>
        <w:outlineLvl w:val="2"/>
        <w:rPr>
          <w:rFonts w:ascii="仿宋" w:hAnsi="仿宋" w:eastAsia="仿宋"/>
          <w:b/>
          <w:sz w:val="32"/>
          <w:szCs w:val="32"/>
        </w:rPr>
      </w:pPr>
      <w:bookmarkStart w:id="45" w:name="_Toc15377212"/>
      <w:bookmarkStart w:id="46" w:name="_Toc10108"/>
      <w:r>
        <w:rPr>
          <w:rFonts w:hint="eastAsia" w:ascii="仿宋" w:hAnsi="仿宋" w:eastAsia="仿宋"/>
          <w:b/>
          <w:sz w:val="32"/>
          <w:szCs w:val="32"/>
        </w:rPr>
        <w:t>（三）一般公共预算财政拨款支出决算具体情况</w:t>
      </w:r>
      <w:bookmarkEnd w:id="45"/>
      <w:bookmarkEnd w:id="46"/>
    </w:p>
    <w:p w14:paraId="5BDF0A33">
      <w:pPr>
        <w:spacing w:line="600" w:lineRule="exact"/>
        <w:ind w:firstLine="640"/>
        <w:rPr>
          <w:rFonts w:hint="eastAsia" w:ascii="仿宋" w:hAnsi="仿宋" w:eastAsia="仿宋" w:cs="Times New Roman"/>
          <w:sz w:val="32"/>
          <w:szCs w:val="32"/>
          <w:lang w:val="zh-CN"/>
        </w:rPr>
      </w:pPr>
      <w:bookmarkStart w:id="47" w:name="_Toc15378460"/>
      <w:bookmarkStart w:id="48" w:name="_Toc15377213"/>
      <w:bookmarkStart w:id="49" w:name="_Toc15377444"/>
      <w:r>
        <w:rPr>
          <w:rFonts w:hint="eastAsia" w:ascii="仿宋" w:hAnsi="仿宋" w:eastAsia="仿宋" w:cs="Times New Roman"/>
          <w:sz w:val="32"/>
          <w:szCs w:val="32"/>
          <w:lang w:val="zh-CN"/>
        </w:rPr>
        <w:t>2023年度一般公共预算支出决算数为248.46</w:t>
      </w:r>
      <w:r>
        <w:commentReference w:id="6"/>
      </w:r>
      <w:r>
        <w:rPr>
          <w:rFonts w:hint="eastAsia" w:ascii="仿宋" w:hAnsi="仿宋" w:eastAsia="仿宋" w:cs="Times New Roman"/>
          <w:sz w:val="32"/>
          <w:szCs w:val="32"/>
          <w:lang w:val="en-US" w:eastAsia="zh-CN"/>
        </w:rPr>
        <w:t>万元</w:t>
      </w:r>
      <w:r>
        <w:rPr>
          <w:rFonts w:hint="eastAsia" w:ascii="仿宋" w:hAnsi="仿宋" w:eastAsia="仿宋" w:cs="Times New Roman"/>
          <w:sz w:val="32"/>
          <w:szCs w:val="32"/>
          <w:lang w:val="zh-CN"/>
        </w:rPr>
        <w:t>，完成预算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%。其中：</w:t>
      </w:r>
      <w:bookmarkEnd w:id="47"/>
      <w:bookmarkEnd w:id="48"/>
      <w:bookmarkEnd w:id="49"/>
    </w:p>
    <w:p w14:paraId="39609938">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val="zh-CN"/>
        </w:rPr>
        <w:t>社会保障和就业支出（类）行政事业单位养老支出（款）机关事业单位基本养老保险缴费支出（项）: 支出决算为</w:t>
      </w:r>
      <w:r>
        <w:rPr>
          <w:rFonts w:hint="eastAsia" w:ascii="仿宋" w:hAnsi="仿宋" w:eastAsia="仿宋" w:cs="Times New Roman"/>
          <w:sz w:val="32"/>
          <w:szCs w:val="32"/>
          <w:lang w:val="en-US" w:eastAsia="zh-CN"/>
        </w:rPr>
        <w:t>5.77</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64DA7BCB">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val="zh-CN"/>
        </w:rPr>
        <w:t>社会保障和就业支出（类）行政事业单位养老支出（款）机关事业单位职业年金缴费支出（项）: 支出决算为</w:t>
      </w:r>
      <w:r>
        <w:rPr>
          <w:rFonts w:hint="eastAsia" w:ascii="仿宋" w:hAnsi="仿宋" w:eastAsia="仿宋" w:cs="Times New Roman"/>
          <w:sz w:val="32"/>
          <w:szCs w:val="32"/>
          <w:lang w:val="en-US" w:eastAsia="zh-CN"/>
        </w:rPr>
        <w:t>2.73</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6FD76A26">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val="zh-CN"/>
        </w:rPr>
        <w:t>社会保障和就业支出（类）行政事业单位养老支出（款）</w:t>
      </w:r>
      <w:r>
        <w:rPr>
          <w:rFonts w:hint="eastAsia" w:ascii="仿宋" w:hAnsi="仿宋" w:eastAsia="仿宋" w:cs="Times New Roman"/>
          <w:sz w:val="32"/>
          <w:szCs w:val="32"/>
          <w:lang w:val="zh-CN" w:eastAsia="zh-CN"/>
        </w:rPr>
        <w:t>其他</w:t>
      </w:r>
      <w:r>
        <w:rPr>
          <w:rFonts w:hint="eastAsia" w:ascii="仿宋" w:hAnsi="仿宋" w:eastAsia="仿宋" w:cs="Times New Roman"/>
          <w:sz w:val="32"/>
          <w:szCs w:val="32"/>
          <w:lang w:val="zh-CN"/>
        </w:rPr>
        <w:t>行政事业单位养老支出（项）: 支出决算为</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69BC970E">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lang w:val="zh-CN"/>
        </w:rPr>
        <w:t>.社会保障和就业支出（类）其他社会保障和就业支出（款）其他社会保障和就业支出（项）: 支出决算为</w:t>
      </w:r>
      <w:r>
        <w:rPr>
          <w:rFonts w:hint="eastAsia" w:ascii="仿宋" w:hAnsi="仿宋" w:eastAsia="仿宋" w:cs="Times New Roman"/>
          <w:sz w:val="32"/>
          <w:szCs w:val="32"/>
          <w:lang w:val="en-US" w:eastAsia="zh-CN"/>
        </w:rPr>
        <w:t>0.44</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2ECB8B57">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5</w:t>
      </w:r>
      <w:r>
        <w:rPr>
          <w:rFonts w:hint="eastAsia" w:ascii="仿宋" w:hAnsi="仿宋" w:eastAsia="仿宋" w:cs="Times New Roman"/>
          <w:sz w:val="32"/>
          <w:szCs w:val="32"/>
          <w:lang w:val="zh-CN"/>
        </w:rPr>
        <w:t>.卫生健康支出（类）行政事业单位医疗（款）事业单位医疗（项）: 支出决算为</w:t>
      </w:r>
      <w:r>
        <w:rPr>
          <w:rFonts w:hint="eastAsia" w:ascii="仿宋" w:hAnsi="仿宋" w:eastAsia="仿宋" w:cs="Times New Roman"/>
          <w:sz w:val="32"/>
          <w:szCs w:val="32"/>
          <w:lang w:val="en-US" w:eastAsia="zh-CN"/>
        </w:rPr>
        <w:t>2.49</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579A4866">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6</w:t>
      </w:r>
      <w:r>
        <w:rPr>
          <w:rFonts w:hint="eastAsia" w:ascii="仿宋" w:hAnsi="仿宋" w:eastAsia="仿宋" w:cs="Times New Roman"/>
          <w:sz w:val="32"/>
          <w:szCs w:val="32"/>
          <w:lang w:val="zh-CN"/>
        </w:rPr>
        <w:t>.自然资源海洋气象等支出（类）气象事务（款）气象事业机构（项）:支出决算为</w:t>
      </w:r>
      <w:r>
        <w:rPr>
          <w:rFonts w:hint="eastAsia" w:ascii="仿宋" w:hAnsi="仿宋" w:eastAsia="仿宋" w:cs="Times New Roman"/>
          <w:sz w:val="32"/>
          <w:szCs w:val="32"/>
          <w:lang w:val="en-US" w:eastAsia="zh-CN"/>
        </w:rPr>
        <w:t>99.40</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1B293394">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7.</w:t>
      </w:r>
      <w:r>
        <w:rPr>
          <w:rFonts w:hint="eastAsia" w:ascii="仿宋" w:hAnsi="仿宋" w:eastAsia="仿宋" w:cs="Times New Roman"/>
          <w:sz w:val="32"/>
          <w:szCs w:val="32"/>
          <w:lang w:val="zh-CN"/>
        </w:rPr>
        <w:t>自然资源海洋气象等支出（类）气象事务（款）气象预报预测（项）:支出决算为</w:t>
      </w:r>
      <w:r>
        <w:rPr>
          <w:rFonts w:hint="eastAsia" w:ascii="仿宋" w:hAnsi="仿宋" w:eastAsia="仿宋" w:cs="Times New Roman"/>
          <w:sz w:val="32"/>
          <w:szCs w:val="32"/>
          <w:lang w:val="en-US" w:eastAsia="zh-CN"/>
        </w:rPr>
        <w:t>4.8</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796BA112">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8.</w:t>
      </w:r>
      <w:r>
        <w:rPr>
          <w:rFonts w:hint="eastAsia" w:ascii="仿宋" w:hAnsi="仿宋" w:eastAsia="仿宋" w:cs="Times New Roman"/>
          <w:sz w:val="32"/>
          <w:szCs w:val="32"/>
          <w:lang w:val="zh-CN"/>
        </w:rPr>
        <w:t>自然资源海洋气象等支出（类）气象事务（款）气象信息传输及管理（项）:支出决算为</w:t>
      </w:r>
      <w:r>
        <w:rPr>
          <w:rFonts w:hint="eastAsia" w:ascii="仿宋" w:hAnsi="仿宋" w:eastAsia="仿宋" w:cs="Times New Roman"/>
          <w:sz w:val="32"/>
          <w:szCs w:val="32"/>
          <w:lang w:val="en-US" w:eastAsia="zh-CN"/>
        </w:rPr>
        <w:t>4.8</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06304484">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9.</w:t>
      </w:r>
      <w:r>
        <w:rPr>
          <w:rFonts w:hint="eastAsia" w:ascii="仿宋" w:hAnsi="仿宋" w:eastAsia="仿宋" w:cs="Times New Roman"/>
          <w:sz w:val="32"/>
          <w:szCs w:val="32"/>
          <w:lang w:val="zh-CN"/>
        </w:rPr>
        <w:t>自然资源海洋气象等支出（类）气象事务（款）气象装备保障维护（项）:支出决算为</w:t>
      </w:r>
      <w:r>
        <w:rPr>
          <w:rFonts w:hint="eastAsia" w:ascii="仿宋" w:hAnsi="仿宋" w:eastAsia="仿宋" w:cs="Times New Roman"/>
          <w:sz w:val="32"/>
          <w:szCs w:val="32"/>
          <w:lang w:val="en-US" w:eastAsia="zh-CN"/>
        </w:rPr>
        <w:t>11.5</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71EB2733">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10.</w:t>
      </w:r>
      <w:r>
        <w:rPr>
          <w:rFonts w:hint="eastAsia" w:ascii="仿宋" w:hAnsi="仿宋" w:eastAsia="仿宋" w:cs="Times New Roman"/>
          <w:sz w:val="32"/>
          <w:szCs w:val="32"/>
          <w:lang w:val="zh-CN"/>
        </w:rPr>
        <w:t>自然资源海洋气象等支出（类）气象事务（款）气象服务（项）:支出决算为</w:t>
      </w:r>
      <w:r>
        <w:rPr>
          <w:rFonts w:hint="eastAsia" w:ascii="仿宋" w:hAnsi="仿宋" w:eastAsia="仿宋" w:cs="Times New Roman"/>
          <w:sz w:val="32"/>
          <w:szCs w:val="32"/>
          <w:lang w:val="en-US" w:eastAsia="zh-CN"/>
        </w:rPr>
        <w:t>10.12</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101B5062">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11.</w:t>
      </w:r>
      <w:r>
        <w:rPr>
          <w:rFonts w:hint="eastAsia" w:ascii="仿宋" w:hAnsi="仿宋" w:eastAsia="仿宋" w:cs="Times New Roman"/>
          <w:sz w:val="32"/>
          <w:szCs w:val="32"/>
          <w:lang w:val="zh-CN"/>
        </w:rPr>
        <w:t>自然资源海洋气象等支出（类）气象事务（款）其他气象事务支出（项）:支出决算为</w:t>
      </w:r>
      <w:r>
        <w:rPr>
          <w:rFonts w:hint="eastAsia" w:ascii="仿宋" w:hAnsi="仿宋" w:eastAsia="仿宋" w:cs="Times New Roman"/>
          <w:sz w:val="32"/>
          <w:szCs w:val="32"/>
          <w:lang w:val="en-US" w:eastAsia="zh-CN"/>
        </w:rPr>
        <w:t>19.83</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0B85EF24">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12.</w:t>
      </w:r>
      <w:r>
        <w:rPr>
          <w:rFonts w:hint="eastAsia" w:ascii="仿宋" w:hAnsi="仿宋" w:eastAsia="仿宋" w:cs="Times New Roman"/>
          <w:sz w:val="32"/>
          <w:szCs w:val="32"/>
          <w:lang w:val="zh-CN"/>
        </w:rPr>
        <w:t>自然资源海洋气象等支出（类）气象事务（款）气象基础设施建设与维修（项）:支出决算为</w:t>
      </w:r>
      <w:r>
        <w:rPr>
          <w:rFonts w:hint="eastAsia" w:ascii="仿宋" w:hAnsi="仿宋" w:eastAsia="仿宋" w:cs="Times New Roman"/>
          <w:sz w:val="32"/>
          <w:szCs w:val="32"/>
          <w:lang w:val="en-US" w:eastAsia="zh-CN"/>
        </w:rPr>
        <w:t>79.8</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3F3BFCBE">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13.</w:t>
      </w:r>
      <w:r>
        <w:rPr>
          <w:rFonts w:hint="eastAsia" w:ascii="仿宋" w:hAnsi="仿宋" w:eastAsia="仿宋" w:cs="Times New Roman"/>
          <w:sz w:val="32"/>
          <w:szCs w:val="32"/>
          <w:lang w:val="zh-CN"/>
        </w:rPr>
        <w:t>住房保障支出（类）住房</w:t>
      </w:r>
      <w:r>
        <w:rPr>
          <w:rFonts w:hint="eastAsia" w:ascii="仿宋" w:hAnsi="仿宋" w:eastAsia="仿宋" w:cs="Times New Roman"/>
          <w:sz w:val="32"/>
          <w:szCs w:val="32"/>
          <w:lang w:val="en-US" w:eastAsia="zh-CN"/>
        </w:rPr>
        <w:t>改革</w:t>
      </w:r>
      <w:r>
        <w:rPr>
          <w:rFonts w:hint="eastAsia" w:ascii="仿宋" w:hAnsi="仿宋" w:eastAsia="仿宋" w:cs="Times New Roman"/>
          <w:sz w:val="32"/>
          <w:szCs w:val="32"/>
          <w:lang w:val="zh-CN"/>
        </w:rPr>
        <w:t>支出（款）住房公积金（项）:支出决算为</w:t>
      </w:r>
      <w:r>
        <w:rPr>
          <w:rFonts w:hint="eastAsia" w:ascii="仿宋" w:hAnsi="仿宋" w:eastAsia="仿宋" w:cs="Times New Roman"/>
          <w:sz w:val="32"/>
          <w:szCs w:val="32"/>
          <w:lang w:val="en-US" w:eastAsia="zh-CN"/>
        </w:rPr>
        <w:t>4.79</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79EEB5DA">
      <w:pPr>
        <w:tabs>
          <w:tab w:val="right" w:pos="8306"/>
        </w:tabs>
        <w:spacing w:line="600" w:lineRule="exact"/>
        <w:ind w:firstLine="640"/>
        <w:outlineLvl w:val="1"/>
        <w:rPr>
          <w:rStyle w:val="30"/>
        </w:rPr>
      </w:pPr>
      <w:bookmarkStart w:id="50" w:name="_Toc15396608"/>
      <w:bookmarkStart w:id="51" w:name="_Toc15377214"/>
      <w:bookmarkStart w:id="52" w:name="_Toc8089"/>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50"/>
      <w:bookmarkEnd w:id="51"/>
      <w:bookmarkEnd w:id="52"/>
      <w:r>
        <w:rPr>
          <w:rStyle w:val="30"/>
          <w:rFonts w:ascii="黑体" w:hAnsi="黑体" w:eastAsia="黑体"/>
          <w:b w:val="0"/>
        </w:rPr>
        <w:tab/>
      </w:r>
    </w:p>
    <w:p w14:paraId="4AED5296">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cs="Times New Roman"/>
          <w:sz w:val="32"/>
          <w:szCs w:val="32"/>
        </w:rPr>
        <w:t>117.62</w:t>
      </w:r>
      <w:r>
        <w:rPr>
          <w:rFonts w:hint="eastAsia" w:ascii="仿宋" w:hAnsi="仿宋" w:eastAsia="仿宋"/>
          <w:sz w:val="32"/>
          <w:szCs w:val="32"/>
        </w:rPr>
        <w:t>万元，其中：</w:t>
      </w:r>
    </w:p>
    <w:p w14:paraId="2E2DBE68">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cs="Times New Roman"/>
          <w:sz w:val="32"/>
          <w:szCs w:val="32"/>
        </w:rPr>
        <w:t>110.55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 w:hAnsi="仿宋" w:eastAsia="仿宋" w:cs="Times New Roman"/>
          <w:sz w:val="32"/>
          <w:szCs w:val="32"/>
        </w:rPr>
        <w:br w:type="textWrapping"/>
      </w:r>
      <w:r>
        <w:rPr>
          <w:rFonts w:hint="eastAsia" w:ascii="仿宋" w:hAnsi="仿宋" w:eastAsia="仿宋" w:cs="Times New Roman"/>
          <w:sz w:val="32"/>
          <w:szCs w:val="32"/>
        </w:rPr>
        <w:t>　　公用经费7.06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D1527DC">
      <w:pPr>
        <w:spacing w:line="600" w:lineRule="exact"/>
        <w:ind w:firstLine="640"/>
        <w:outlineLvl w:val="1"/>
        <w:rPr>
          <w:rStyle w:val="30"/>
          <w:rFonts w:ascii="黑体" w:hAnsi="黑体" w:eastAsia="黑体"/>
          <w:b w:val="0"/>
        </w:rPr>
      </w:pPr>
      <w:bookmarkStart w:id="53" w:name="_Toc15377215"/>
      <w:bookmarkStart w:id="54" w:name="_Toc15396609"/>
      <w:bookmarkStart w:id="55" w:name="_Toc7702"/>
      <w:r>
        <w:rPr>
          <w:rFonts w:hint="eastAsia" w:ascii="黑体" w:eastAsia="黑体"/>
          <w:sz w:val="32"/>
          <w:szCs w:val="32"/>
        </w:rPr>
        <w:t>七、</w:t>
      </w:r>
      <w:r>
        <w:rPr>
          <w:rStyle w:val="30"/>
          <w:rFonts w:hint="eastAsia" w:ascii="黑体" w:hAnsi="黑体" w:eastAsia="黑体"/>
          <w:b w:val="0"/>
        </w:rPr>
        <w:t>财政拨款</w:t>
      </w:r>
      <w:r>
        <w:rPr>
          <w:rStyle w:val="30"/>
          <w:rFonts w:hint="eastAsia" w:ascii="黑体" w:hAnsi="黑体" w:eastAsia="黑体"/>
        </w:rPr>
        <w:t>“</w:t>
      </w:r>
      <w:r>
        <w:rPr>
          <w:rStyle w:val="30"/>
          <w:rFonts w:hint="eastAsia" w:ascii="黑体" w:hAnsi="黑体" w:eastAsia="黑体"/>
          <w:b w:val="0"/>
        </w:rPr>
        <w:t>三公”经费支出决算情况说明</w:t>
      </w:r>
      <w:bookmarkEnd w:id="53"/>
      <w:bookmarkEnd w:id="54"/>
      <w:bookmarkEnd w:id="55"/>
    </w:p>
    <w:p w14:paraId="7218291B">
      <w:pPr>
        <w:spacing w:line="600" w:lineRule="exact"/>
        <w:ind w:firstLine="640"/>
        <w:outlineLvl w:val="2"/>
        <w:rPr>
          <w:rFonts w:ascii="仿宋" w:hAnsi="仿宋" w:eastAsia="仿宋"/>
          <w:b/>
          <w:sz w:val="32"/>
          <w:szCs w:val="32"/>
        </w:rPr>
      </w:pPr>
      <w:bookmarkStart w:id="56" w:name="_Toc15377216"/>
      <w:bookmarkStart w:id="57" w:name="_Toc22608"/>
      <w:r>
        <w:rPr>
          <w:rFonts w:hint="eastAsia" w:ascii="仿宋" w:hAnsi="仿宋" w:eastAsia="仿宋"/>
          <w:b/>
          <w:sz w:val="32"/>
          <w:szCs w:val="32"/>
        </w:rPr>
        <w:t>（一）“三公”经费财政拨款支出决算总体情况说明</w:t>
      </w:r>
      <w:bookmarkEnd w:id="56"/>
      <w:bookmarkEnd w:id="57"/>
    </w:p>
    <w:p w14:paraId="1BAE6BD5">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2023年度“三公”经费财政拨款支出决算为0.8万元，完成预算100%，较上年度减少0.48万元，下降37.5%</w:t>
      </w:r>
      <w:r>
        <w:rPr>
          <w:rFonts w:hint="eastAsia" w:ascii="仿宋" w:hAnsi="仿宋" w:eastAsia="仿宋" w:cs="Times New Roman"/>
          <w:sz w:val="32"/>
          <w:szCs w:val="32"/>
          <w:lang w:val="zh-CN" w:eastAsia="zh-CN"/>
        </w:rPr>
        <w:t>。</w:t>
      </w:r>
      <w:r>
        <w:rPr>
          <w:rFonts w:hint="eastAsia" w:ascii="仿宋" w:hAnsi="仿宋" w:eastAsia="仿宋" w:cs="Times New Roman"/>
          <w:sz w:val="32"/>
          <w:szCs w:val="32"/>
          <w:lang w:val="en-US" w:eastAsia="zh-CN"/>
        </w:rPr>
        <w:t>决算数与预算数持平。变动原因是因本年度无公务用车运行维护费，导致“三公”经费财政拨款支出减少。</w:t>
      </w:r>
    </w:p>
    <w:p w14:paraId="2F770FC8">
      <w:pPr>
        <w:spacing w:line="600" w:lineRule="exact"/>
        <w:ind w:firstLine="640"/>
        <w:outlineLvl w:val="2"/>
        <w:rPr>
          <w:rFonts w:ascii="仿宋" w:hAnsi="仿宋" w:eastAsia="仿宋"/>
          <w:b/>
          <w:sz w:val="32"/>
          <w:szCs w:val="32"/>
        </w:rPr>
      </w:pPr>
      <w:bookmarkStart w:id="58" w:name="_Toc15377217"/>
      <w:bookmarkStart w:id="59" w:name="_Toc2557"/>
      <w:r>
        <w:rPr>
          <w:rFonts w:hint="eastAsia" w:ascii="仿宋" w:hAnsi="仿宋" w:eastAsia="仿宋"/>
          <w:b/>
          <w:sz w:val="32"/>
          <w:szCs w:val="32"/>
        </w:rPr>
        <w:t>（二）“三公”经费财政拨款支出决算具体情况说明</w:t>
      </w:r>
      <w:bookmarkEnd w:id="58"/>
      <w:bookmarkEnd w:id="59"/>
    </w:p>
    <w:p w14:paraId="64001CED">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eastAsia="仿宋"/>
          <w:sz w:val="32"/>
          <w:szCs w:val="32"/>
          <w:lang w:val="en-US" w:eastAsia="zh-CN"/>
        </w:rPr>
        <w:t>0.8</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14:paraId="32995581">
      <w:pPr>
        <w:spacing w:line="600" w:lineRule="exact"/>
        <w:ind w:firstLine="640"/>
        <w:rPr>
          <w:rFonts w:hint="eastAsia" w:ascii="仿宋" w:hAnsi="仿宋" w:eastAsia="仿宋" w:cs="Times New Roman"/>
          <w:sz w:val="32"/>
          <w:szCs w:val="32"/>
        </w:rPr>
      </w:pPr>
      <w:r>
        <w:commentReference w:id="7"/>
      </w:r>
    </w:p>
    <w:p w14:paraId="42AC6ED6">
      <w:pPr>
        <w:pStyle w:val="2"/>
        <w:ind w:left="1470" w:leftChars="400" w:hanging="630" w:hangingChars="300"/>
        <w:rPr>
          <w:rFonts w:hint="eastAsia" w:ascii="仿宋" w:hAnsi="仿宋" w:eastAsia="仿宋"/>
          <w:color w:val="auto"/>
          <w:kern w:val="2"/>
          <w:sz w:val="24"/>
          <w:szCs w:val="24"/>
          <w:lang w:val="en-US" w:eastAsia="zh-CN"/>
        </w:rPr>
      </w:pPr>
      <w:r>
        <w:drawing>
          <wp:inline distT="0" distB="0" distL="114300" distR="114300">
            <wp:extent cx="4827905" cy="2743200"/>
            <wp:effectExtent l="4445" t="4445" r="13970" b="1079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hint="eastAsia" w:ascii="仿宋" w:hAnsi="仿宋" w:eastAsia="仿宋" w:cs="Times New Roman"/>
          <w:kern w:val="2"/>
          <w:sz w:val="24"/>
          <w:szCs w:val="24"/>
          <w:lang w:val="en-US" w:eastAsia="zh-CN" w:bidi="ar-SA"/>
        </w:rPr>
        <w:t>图7：“三公”经费财政拨款支出结构</w:t>
      </w:r>
      <w:bookmarkStart w:id="60" w:name="_Toc15377218"/>
      <w:bookmarkStart w:id="61" w:name="_Toc15396610"/>
      <w:r>
        <w:rPr>
          <w:rFonts w:hint="eastAsia" w:ascii="仿宋" w:hAnsi="仿宋" w:eastAsia="仿宋" w:cs="Times New Roman"/>
          <w:kern w:val="2"/>
          <w:sz w:val="24"/>
          <w:szCs w:val="24"/>
          <w:lang w:val="en-US" w:eastAsia="zh-CN" w:bidi="ar-SA"/>
        </w:rPr>
        <w:t>图</w:t>
      </w:r>
      <w:r>
        <w:rPr>
          <w:rFonts w:hint="eastAsia" w:ascii="仿宋" w:hAnsi="仿宋" w:eastAsia="仿宋"/>
          <w:color w:val="auto"/>
          <w:kern w:val="2"/>
          <w:sz w:val="24"/>
          <w:szCs w:val="24"/>
          <w:lang w:val="en-US" w:eastAsia="zh-CN"/>
        </w:rPr>
        <w:t>（金额单位：万元）</w:t>
      </w:r>
    </w:p>
    <w:p w14:paraId="1445C287">
      <w:pPr>
        <w:spacing w:line="600" w:lineRule="exact"/>
        <w:ind w:firstLine="64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1.因公出国（境）经费支出0万元，完成预算0%。全年安排因公出国（境）团组0次，出国（境）0人。较上年无变化。</w:t>
      </w:r>
    </w:p>
    <w:p w14:paraId="476FA107">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2.公务用车购置及运行维护费支出0万元,完成预算0%。公务用车购置及运行维护费支出决算比2022年度减少0.5万元，下降100%。主要原因是本年度无公务用车运行维护费预算项目。</w:t>
      </w:r>
    </w:p>
    <w:p w14:paraId="42604421">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其中：公务用车购置支出0万元。全年按规定更新购置公务用车0辆，其中：轿车0辆、金额0万元，越野车0辆、金额0万元，载客汽车0辆、金额0万元。截至2023年12月31日，单位共有公务用车2辆，其中：轿车1辆、越野车0辆、载客汽车0辆，</w:t>
      </w:r>
      <w:r>
        <w:rPr>
          <w:rFonts w:hint="eastAsia" w:ascii="仿宋" w:hAnsi="仿宋" w:eastAsia="仿宋" w:cs="Times New Roman"/>
          <w:sz w:val="32"/>
          <w:szCs w:val="32"/>
          <w:lang w:val="zh-CN" w:eastAsia="zh-CN"/>
        </w:rPr>
        <w:t>其他车型</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val="zh-CN" w:eastAsia="zh-CN"/>
        </w:rPr>
        <w:t>辆。</w:t>
      </w:r>
    </w:p>
    <w:p w14:paraId="586E0C2B">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公务用车运行维护费支出0万元。主要用于工作所需的公务用车燃料费、维修费、过路过桥费、保险费等支出。</w:t>
      </w:r>
    </w:p>
    <w:p w14:paraId="2A818E45">
      <w:pPr>
        <w:spacing w:line="600" w:lineRule="exact"/>
        <w:ind w:firstLine="640"/>
        <w:rPr>
          <w:rFonts w:hint="eastAsia" w:ascii="仿宋" w:hAnsi="仿宋" w:eastAsia="仿宋" w:cs="Times New Roman"/>
          <w:sz w:val="32"/>
          <w:szCs w:val="32"/>
          <w:lang w:val="en-US" w:eastAsia="zh-CN"/>
        </w:rPr>
      </w:pPr>
    </w:p>
    <w:p w14:paraId="6E8A18B2">
      <w:pPr>
        <w:spacing w:line="600" w:lineRule="exact"/>
        <w:ind w:firstLine="64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3.公务接待费支出0.8万元，完成预算100%。公务接待费支出决算较上年无变化。</w:t>
      </w:r>
    </w:p>
    <w:p w14:paraId="1B3C3BBF">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国内公务接待支出0.8万元，主要用于执行公务、开展业务活动开支的交通费、住宿费、用餐费等。国内公务接待19批次，108人次（不包括陪同人员），共计支出0.8万元，具体内容包括：四川省气象局灾防中心到我单位安装卫星平台及其他业务指导接待费0.3万元，德阳市局、其他市州、区县气象局到我单位进行业务指导及交流学习接待费0.5万元。</w:t>
      </w:r>
    </w:p>
    <w:p w14:paraId="4B143588">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外事接待支出0万元，外事接待0批次，0人次（不包括陪同人员），共计支出0万元。</w:t>
      </w:r>
    </w:p>
    <w:p w14:paraId="6C4E544A">
      <w:pPr>
        <w:spacing w:line="600" w:lineRule="exact"/>
        <w:ind w:firstLine="640"/>
        <w:outlineLvl w:val="1"/>
        <w:rPr>
          <w:rStyle w:val="30"/>
          <w:rFonts w:ascii="黑体" w:hAnsi="黑体" w:eastAsia="黑体"/>
        </w:rPr>
      </w:pPr>
      <w:bookmarkStart w:id="62" w:name="_Toc3989"/>
      <w:r>
        <w:rPr>
          <w:rFonts w:hint="eastAsia" w:ascii="黑体" w:eastAsia="黑体"/>
          <w:sz w:val="32"/>
          <w:szCs w:val="32"/>
        </w:rPr>
        <w:t>八、</w:t>
      </w:r>
      <w:r>
        <w:rPr>
          <w:rStyle w:val="30"/>
          <w:rFonts w:hint="eastAsia" w:ascii="黑体" w:hAnsi="黑体" w:eastAsia="黑体"/>
          <w:b w:val="0"/>
        </w:rPr>
        <w:t>政府性基金预算支出决算情况说明</w:t>
      </w:r>
      <w:bookmarkEnd w:id="60"/>
      <w:bookmarkEnd w:id="61"/>
      <w:bookmarkEnd w:id="62"/>
    </w:p>
    <w:p w14:paraId="1890BB96">
      <w:pPr>
        <w:spacing w:line="576" w:lineRule="exact"/>
        <w:ind w:firstLine="640"/>
        <w:jc w:val="both"/>
        <w:rPr>
          <w:rFonts w:ascii="仿宋_GB2312" w:eastAsia="仿宋_GB2312"/>
          <w:sz w:val="32"/>
          <w:szCs w:val="32"/>
        </w:rPr>
      </w:pPr>
      <w:r>
        <w:rPr>
          <w:rFonts w:hint="eastAsia" w:ascii="仿宋_GB2312" w:hAnsi="Cambria" w:eastAsia="仿宋_GB2312"/>
          <w:color w:val="000000"/>
          <w:sz w:val="32"/>
          <w:szCs w:val="24"/>
          <w:lang w:val="zh-CN"/>
        </w:rPr>
        <w:t>德阳市罗江区地方气象服务中心202</w:t>
      </w:r>
      <w:r>
        <w:rPr>
          <w:rFonts w:hint="eastAsia" w:ascii="仿宋_GB2312" w:hAnsi="Cambria" w:eastAsia="仿宋_GB2312"/>
          <w:color w:val="000000"/>
          <w:sz w:val="32"/>
          <w:szCs w:val="24"/>
          <w:lang w:val="en-US" w:eastAsia="zh-CN"/>
        </w:rPr>
        <w:t>3</w:t>
      </w:r>
      <w:r>
        <w:rPr>
          <w:rFonts w:hint="eastAsia" w:ascii="仿宋_GB2312" w:hAnsi="Cambria" w:eastAsia="仿宋_GB2312"/>
          <w:color w:val="000000"/>
          <w:sz w:val="32"/>
          <w:szCs w:val="24"/>
          <w:lang w:val="zh-CN"/>
        </w:rPr>
        <w:t>年无政府性基金预算财政拨款支出。</w:t>
      </w:r>
    </w:p>
    <w:p w14:paraId="07D8E212">
      <w:pPr>
        <w:numPr>
          <w:ilvl w:val="0"/>
          <w:numId w:val="3"/>
        </w:numPr>
        <w:spacing w:line="600" w:lineRule="exact"/>
        <w:ind w:firstLine="640"/>
        <w:outlineLvl w:val="1"/>
        <w:rPr>
          <w:rStyle w:val="30"/>
          <w:rFonts w:ascii="黑体" w:hAnsi="黑体" w:eastAsia="黑体"/>
          <w:b w:val="0"/>
        </w:rPr>
      </w:pPr>
      <w:bookmarkStart w:id="63" w:name="_Toc15396611"/>
      <w:bookmarkStart w:id="64" w:name="_Toc15329"/>
      <w:bookmarkStart w:id="65" w:name="_Toc15377219"/>
      <w:r>
        <w:rPr>
          <w:rStyle w:val="30"/>
          <w:rFonts w:hint="eastAsia" w:ascii="黑体" w:hAnsi="黑体" w:eastAsia="黑体"/>
          <w:b w:val="0"/>
        </w:rPr>
        <w:t>国有资本经营预算支出决算情况说明</w:t>
      </w:r>
      <w:bookmarkEnd w:id="63"/>
      <w:bookmarkEnd w:id="64"/>
      <w:bookmarkEnd w:id="65"/>
    </w:p>
    <w:p w14:paraId="3E2FE96B">
      <w:pPr>
        <w:spacing w:line="576" w:lineRule="exact"/>
        <w:ind w:firstLine="640"/>
        <w:jc w:val="both"/>
        <w:rPr>
          <w:rFonts w:hint="eastAsia" w:ascii="仿宋_GB2312" w:hAnsi="仿宋_GB2312" w:eastAsia="仿宋_GB2312"/>
          <w:color w:val="000000"/>
          <w:kern w:val="2"/>
          <w:sz w:val="32"/>
          <w:szCs w:val="24"/>
          <w:lang w:val="zh-CN"/>
        </w:rPr>
      </w:pPr>
      <w:bookmarkStart w:id="66" w:name="_Toc15396612"/>
      <w:bookmarkStart w:id="67" w:name="_Toc15377221"/>
      <w:r>
        <w:rPr>
          <w:rFonts w:hint="eastAsia" w:ascii="仿宋_GB2312" w:hAnsi="Cambria" w:eastAsia="仿宋_GB2312"/>
          <w:color w:val="000000"/>
          <w:sz w:val="32"/>
          <w:szCs w:val="24"/>
          <w:lang w:val="zh-CN"/>
        </w:rPr>
        <w:t>德阳市罗江区地方气象服务中心202</w:t>
      </w:r>
      <w:r>
        <w:rPr>
          <w:rFonts w:hint="eastAsia" w:ascii="仿宋_GB2312" w:hAnsi="Cambria" w:eastAsia="仿宋_GB2312"/>
          <w:color w:val="000000"/>
          <w:sz w:val="32"/>
          <w:szCs w:val="24"/>
          <w:lang w:val="en-US" w:eastAsia="zh-CN"/>
        </w:rPr>
        <w:t>3</w:t>
      </w:r>
      <w:r>
        <w:rPr>
          <w:rFonts w:hint="eastAsia" w:ascii="仿宋_GB2312" w:hAnsi="Cambria" w:eastAsia="仿宋_GB2312"/>
          <w:color w:val="000000"/>
          <w:sz w:val="32"/>
          <w:szCs w:val="24"/>
          <w:lang w:val="zh-CN"/>
        </w:rPr>
        <w:t>年无</w:t>
      </w:r>
      <w:r>
        <w:rPr>
          <w:rFonts w:hint="eastAsia" w:ascii="仿宋_GB2312" w:hAnsi="仿宋_GB2312" w:eastAsia="仿宋_GB2312"/>
          <w:color w:val="000000"/>
          <w:kern w:val="2"/>
          <w:sz w:val="32"/>
          <w:szCs w:val="24"/>
          <w:lang w:val="zh-CN"/>
        </w:rPr>
        <w:t>国有资本经营预算拨款支出。</w:t>
      </w:r>
    </w:p>
    <w:p w14:paraId="1FA5B056">
      <w:pPr>
        <w:numPr>
          <w:ilvl w:val="0"/>
          <w:numId w:val="3"/>
        </w:numPr>
        <w:spacing w:line="600" w:lineRule="exact"/>
        <w:ind w:firstLine="640"/>
        <w:outlineLvl w:val="1"/>
        <w:rPr>
          <w:rStyle w:val="30"/>
          <w:rFonts w:ascii="黑体" w:hAnsi="黑体" w:eastAsia="黑体"/>
          <w:b w:val="0"/>
        </w:rPr>
      </w:pPr>
      <w:bookmarkStart w:id="68" w:name="_Toc6384"/>
      <w:r>
        <w:rPr>
          <w:rStyle w:val="30"/>
          <w:rFonts w:hint="eastAsia" w:ascii="黑体" w:hAnsi="黑体" w:eastAsia="黑体"/>
          <w:b w:val="0"/>
        </w:rPr>
        <w:t>其他重要事项的情况说明</w:t>
      </w:r>
      <w:bookmarkEnd w:id="66"/>
      <w:bookmarkEnd w:id="67"/>
      <w:bookmarkEnd w:id="68"/>
    </w:p>
    <w:p w14:paraId="3888B968">
      <w:pPr>
        <w:spacing w:line="600" w:lineRule="exact"/>
        <w:ind w:firstLine="643" w:firstLineChars="200"/>
        <w:outlineLvl w:val="2"/>
        <w:rPr>
          <w:rFonts w:ascii="仿宋" w:hAnsi="仿宋" w:eastAsia="仿宋"/>
          <w:sz w:val="32"/>
          <w:szCs w:val="32"/>
        </w:rPr>
      </w:pPr>
      <w:bookmarkStart w:id="69" w:name="_Toc15377222"/>
      <w:bookmarkStart w:id="70" w:name="_Toc20572"/>
      <w:r>
        <w:rPr>
          <w:rFonts w:hint="eastAsia" w:ascii="仿宋" w:hAnsi="仿宋" w:eastAsia="仿宋"/>
          <w:b/>
          <w:sz w:val="32"/>
          <w:szCs w:val="32"/>
        </w:rPr>
        <w:t>（一）机关运行经费支出情况</w:t>
      </w:r>
      <w:bookmarkEnd w:id="69"/>
      <w:bookmarkEnd w:id="70"/>
    </w:p>
    <w:p w14:paraId="392E46B0">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ascii="仿宋_GB2312" w:hAnsi="仿宋_GB2312" w:eastAsia="仿宋_GB2312" w:cs="Times New Roman"/>
          <w:color w:val="auto"/>
          <w:kern w:val="2"/>
          <w:sz w:val="32"/>
          <w:szCs w:val="24"/>
          <w:lang w:val="en-US" w:eastAsia="zh-CN"/>
        </w:rPr>
        <w:t>德阳市罗江区地方气象服务中心机关运行经费支出0万元，与2022年决算数持平</w:t>
      </w:r>
      <w:r>
        <w:rPr>
          <w:rFonts w:hint="eastAsia" w:ascii="仿宋_GB2312" w:hAnsi="仿宋_GB2312" w:eastAsia="仿宋_GB2312" w:cs="Times New Roman"/>
          <w:color w:val="auto"/>
          <w:kern w:val="2"/>
          <w:sz w:val="32"/>
          <w:szCs w:val="24"/>
          <w:lang w:val="zh-CN" w:eastAsia="zh-CN"/>
        </w:rPr>
        <w:t>。主要原因是德阳市罗江区地方气象服务中心</w:t>
      </w:r>
      <w:r>
        <w:rPr>
          <w:rFonts w:hint="eastAsia" w:ascii="仿宋_GB2312" w:hAnsi="仿宋_GB2312" w:eastAsia="仿宋_GB2312" w:cs="Times New Roman"/>
          <w:color w:val="auto"/>
          <w:kern w:val="2"/>
          <w:sz w:val="32"/>
          <w:szCs w:val="24"/>
          <w:lang w:val="en-US" w:eastAsia="zh-CN"/>
        </w:rPr>
        <w:t>无</w:t>
      </w:r>
      <w:r>
        <w:rPr>
          <w:rFonts w:hint="eastAsia" w:ascii="仿宋_GB2312" w:hAnsi="仿宋_GB2312" w:eastAsia="仿宋_GB2312" w:cs="Times New Roman"/>
          <w:color w:val="auto"/>
          <w:kern w:val="2"/>
          <w:sz w:val="32"/>
          <w:szCs w:val="24"/>
          <w:lang w:val="zh-CN" w:eastAsia="zh-CN"/>
        </w:rPr>
        <w:t>机关运行</w:t>
      </w:r>
      <w:r>
        <w:rPr>
          <w:rFonts w:hint="eastAsia" w:ascii="仿宋_GB2312" w:hAnsi="仿宋_GB2312" w:eastAsia="仿宋_GB2312"/>
          <w:color w:val="000000"/>
          <w:kern w:val="2"/>
          <w:sz w:val="32"/>
          <w:szCs w:val="24"/>
          <w:lang w:val="zh-CN"/>
        </w:rPr>
        <w:t>经费。</w:t>
      </w:r>
    </w:p>
    <w:p w14:paraId="12DBCAF4">
      <w:pPr>
        <w:autoSpaceDE w:val="0"/>
        <w:autoSpaceDN w:val="0"/>
        <w:adjustRightInd w:val="0"/>
        <w:spacing w:line="600" w:lineRule="exact"/>
        <w:ind w:firstLine="643" w:firstLineChars="200"/>
        <w:jc w:val="left"/>
        <w:outlineLvl w:val="2"/>
        <w:rPr>
          <w:rFonts w:ascii="仿宋" w:hAnsi="仿宋" w:eastAsia="仿宋"/>
          <w:b/>
          <w:sz w:val="32"/>
          <w:szCs w:val="32"/>
        </w:rPr>
      </w:pPr>
      <w:bookmarkStart w:id="71" w:name="_Toc8446"/>
      <w:bookmarkStart w:id="72" w:name="_Toc15377223"/>
      <w:r>
        <w:rPr>
          <w:rFonts w:hint="eastAsia" w:ascii="仿宋" w:hAnsi="仿宋" w:eastAsia="仿宋"/>
          <w:b/>
          <w:sz w:val="32"/>
          <w:szCs w:val="32"/>
        </w:rPr>
        <w:t>（二）政府采购支出情况</w:t>
      </w:r>
      <w:bookmarkEnd w:id="71"/>
      <w:bookmarkEnd w:id="72"/>
    </w:p>
    <w:p w14:paraId="2EE8D2B5">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2023年度，德阳市罗江区地方气象服务中心政府采购支出总额79.8万元，其中：政府采购货物支出79.8万元、政府采购工程支出0万元、政府采购服务支出0万元。主要用于气象基础设施建设与维修。授予中小企业合同金额0万元，占政府采购支出总额的0%，其中：授予小微企业合同金额0万元，占政府采购支出总额的0%。</w:t>
      </w:r>
    </w:p>
    <w:p w14:paraId="3AAD099F">
      <w:pPr>
        <w:autoSpaceDE w:val="0"/>
        <w:autoSpaceDN w:val="0"/>
        <w:adjustRightInd w:val="0"/>
        <w:spacing w:line="600" w:lineRule="exact"/>
        <w:ind w:firstLine="643" w:firstLineChars="200"/>
        <w:jc w:val="left"/>
        <w:outlineLvl w:val="2"/>
        <w:rPr>
          <w:rFonts w:ascii="仿宋" w:hAnsi="仿宋" w:eastAsia="仿宋"/>
          <w:b/>
          <w:bCs w:val="0"/>
          <w:sz w:val="32"/>
          <w:szCs w:val="32"/>
        </w:rPr>
      </w:pPr>
      <w:bookmarkStart w:id="73" w:name="_Toc25175"/>
      <w:bookmarkStart w:id="74" w:name="_Toc15377224"/>
      <w:r>
        <w:rPr>
          <w:rFonts w:hint="eastAsia" w:ascii="仿宋" w:hAnsi="仿宋" w:eastAsia="仿宋"/>
          <w:b/>
          <w:bCs w:val="0"/>
          <w:sz w:val="32"/>
          <w:szCs w:val="32"/>
        </w:rPr>
        <w:t>（三）国有资产占有使用情况</w:t>
      </w:r>
      <w:bookmarkEnd w:id="73"/>
      <w:bookmarkEnd w:id="74"/>
    </w:p>
    <w:p w14:paraId="2C66A2F0">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hAnsi="仿宋_GB2312" w:eastAsia="仿宋_GB2312"/>
          <w:color w:val="000000"/>
          <w:kern w:val="2"/>
          <w:sz w:val="32"/>
          <w:szCs w:val="24"/>
          <w:lang w:val="zh-CN"/>
        </w:rPr>
        <w:t>德阳市罗江区地方气象服务中心共有车辆</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辆，其中：副部（省）级及以上领导用车0辆、主要领导干部用车0辆、机要通信用车0辆、</w:t>
      </w:r>
      <w:r>
        <w:rPr>
          <w:rFonts w:hint="eastAsia" w:ascii="仿宋_GB2312" w:hAnsi="仿宋_GB2312" w:eastAsia="仿宋_GB2312"/>
          <w:color w:val="auto"/>
          <w:kern w:val="2"/>
          <w:sz w:val="32"/>
          <w:szCs w:val="24"/>
          <w:lang w:val="zh-CN"/>
        </w:rPr>
        <w:t>应急保障用车</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zh-CN"/>
        </w:rPr>
        <w:t>辆、执法执勤用车0辆、特种专业技术用车</w:t>
      </w:r>
      <w:r>
        <w:rPr>
          <w:rFonts w:hint="eastAsia" w:ascii="仿宋_GB2312" w:hAnsi="仿宋_GB2312" w:eastAsia="仿宋_GB2312"/>
          <w:color w:val="auto"/>
          <w:kern w:val="2"/>
          <w:sz w:val="32"/>
          <w:szCs w:val="24"/>
          <w:lang w:val="en-US" w:eastAsia="zh-CN"/>
        </w:rPr>
        <w:t>1</w:t>
      </w:r>
      <w:r>
        <w:rPr>
          <w:rFonts w:hint="eastAsia" w:ascii="仿宋_GB2312" w:hAnsi="仿宋_GB2312" w:eastAsia="仿宋_GB2312"/>
          <w:color w:val="auto"/>
          <w:kern w:val="2"/>
          <w:sz w:val="32"/>
          <w:szCs w:val="24"/>
          <w:lang w:val="zh-CN"/>
        </w:rPr>
        <w:t>辆、</w:t>
      </w:r>
      <w:r>
        <w:rPr>
          <w:rFonts w:hint="eastAsia" w:ascii="仿宋_GB2312" w:hAnsi="仿宋_GB2312" w:eastAsia="仿宋_GB2312"/>
          <w:color w:val="000000"/>
          <w:kern w:val="2"/>
          <w:sz w:val="32"/>
          <w:szCs w:val="24"/>
          <w:lang w:val="zh-CN"/>
        </w:rPr>
        <w:t>离退休干部用车0辆、其他用车</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辆。单价100万元（含）以上设备0台（套)。</w:t>
      </w:r>
    </w:p>
    <w:p w14:paraId="551978F1">
      <w:pPr>
        <w:autoSpaceDE w:val="0"/>
        <w:autoSpaceDN w:val="0"/>
        <w:adjustRightInd w:val="0"/>
        <w:spacing w:line="600" w:lineRule="exact"/>
        <w:ind w:firstLine="643" w:firstLineChars="200"/>
        <w:jc w:val="left"/>
        <w:outlineLvl w:val="2"/>
        <w:rPr>
          <w:rFonts w:ascii="仿宋" w:hAnsi="仿宋" w:eastAsia="仿宋"/>
          <w:b/>
          <w:sz w:val="32"/>
          <w:szCs w:val="32"/>
        </w:rPr>
      </w:pPr>
      <w:bookmarkStart w:id="75" w:name="_Toc31931"/>
      <w:r>
        <w:rPr>
          <w:rFonts w:hint="eastAsia" w:ascii="仿宋" w:hAnsi="仿宋" w:eastAsia="仿宋"/>
          <w:b/>
          <w:sz w:val="32"/>
          <w:szCs w:val="32"/>
        </w:rPr>
        <w:t>（四）预算绩效管理情况</w:t>
      </w:r>
      <w:bookmarkEnd w:id="75"/>
    </w:p>
    <w:p w14:paraId="2C83D09C">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eastAsia="zh-CN"/>
        </w:rPr>
        <w:t>《</w:t>
      </w:r>
      <w:r>
        <w:rPr>
          <w:rFonts w:hint="eastAsia" w:ascii="仿宋_GB2312" w:eastAsia="仿宋_GB2312"/>
          <w:sz w:val="32"/>
          <w:szCs w:val="32"/>
          <w:lang w:val="en-US" w:eastAsia="zh-CN"/>
        </w:rPr>
        <w:t>电视天气预报》、《决策天气服务信息费》、《气象防灾减灾、为农服务、科普、新时代文明实践缺口经费》、《气象检测预警“防风险、补短板”》、《人工影响天气》</w:t>
      </w:r>
      <w:r>
        <w:rPr>
          <w:rFonts w:hint="eastAsia" w:ascii="仿宋_GB2312" w:eastAsia="仿宋_GB2312"/>
          <w:sz w:val="32"/>
          <w:szCs w:val="32"/>
        </w:rPr>
        <w:t>等</w:t>
      </w:r>
      <w:r>
        <w:rPr>
          <w:rFonts w:hint="eastAsia" w:ascii="仿宋_GB2312" w:eastAsia="仿宋_GB2312"/>
          <w:sz w:val="32"/>
          <w:szCs w:val="32"/>
          <w:lang w:val="en-US" w:eastAsia="zh-CN"/>
        </w:rPr>
        <w:t>5</w:t>
      </w:r>
      <w:r>
        <w:rPr>
          <w:rFonts w:hint="eastAsia" w:ascii="仿宋_GB2312" w:eastAsia="仿宋_GB2312"/>
          <w:sz w:val="32"/>
          <w:szCs w:val="32"/>
        </w:rPr>
        <w:t>个项目开展了预算事前绩效评估，对</w:t>
      </w:r>
      <w:commentRangeStart w:id="8"/>
      <w:r>
        <w:rPr>
          <w:rFonts w:hint="eastAsia" w:ascii="仿宋_GB2312" w:eastAsia="仿宋_GB2312"/>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w:t>
      </w:r>
      <w:r>
        <w:rPr>
          <w:rFonts w:hint="eastAsia" w:ascii="仿宋_GB2312" w:eastAsia="仿宋_GB2312"/>
          <w:sz w:val="32"/>
          <w:szCs w:val="32"/>
        </w:rPr>
        <w:t>个项目</w:t>
      </w:r>
      <w:commentRangeEnd w:id="8"/>
      <w:r>
        <w:commentReference w:id="8"/>
      </w:r>
      <w:r>
        <w:rPr>
          <w:rFonts w:hint="eastAsia" w:ascii="仿宋_GB2312" w:eastAsia="仿宋_GB2312"/>
          <w:sz w:val="32"/>
          <w:szCs w:val="32"/>
        </w:rPr>
        <w:t>开展绩效监控。</w:t>
      </w:r>
    </w:p>
    <w:p w14:paraId="68AA65BF">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组织对2023年度一般公共预算</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全面开展绩效自评，形成</w:t>
      </w:r>
      <w:r>
        <w:rPr>
          <w:rFonts w:hint="eastAsia" w:ascii="仿宋_GB2312" w:hAnsi="仿宋_GB2312" w:eastAsia="仿宋_GB2312" w:cs="仿宋_GB2312"/>
          <w:sz w:val="32"/>
          <w:szCs w:val="32"/>
          <w:lang w:val="en-US" w:eastAsia="zh-CN"/>
        </w:rPr>
        <w:t>德阳市罗江区地方气象服务中心</w:t>
      </w:r>
      <w:r>
        <w:rPr>
          <w:rFonts w:hint="eastAsia" w:ascii="仿宋_GB2312" w:hAnsi="仿宋_GB2312" w:eastAsia="仿宋_GB2312" w:cs="仿宋_GB2312"/>
          <w:sz w:val="32"/>
          <w:szCs w:val="32"/>
        </w:rPr>
        <w:t>部门整体（含部门预算项目）绩效自评报告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德阳市罗江区地方气象服务中心</w:t>
      </w:r>
      <w:r>
        <w:rPr>
          <w:rFonts w:hint="eastAsia" w:ascii="仿宋_GB2312" w:hAnsi="仿宋_GB2312" w:eastAsia="仿宋_GB2312" w:cs="仿宋_GB2312"/>
          <w:sz w:val="32"/>
          <w:szCs w:val="32"/>
        </w:rPr>
        <w:t>部门整体绩效自评得分为</w:t>
      </w:r>
      <w:r>
        <w:rPr>
          <w:rFonts w:hint="eastAsia" w:ascii="仿宋_GB2312" w:hAnsi="仿宋_GB2312" w:eastAsia="仿宋_GB2312" w:cs="仿宋_GB2312"/>
          <w:sz w:val="32"/>
          <w:szCs w:val="32"/>
          <w:lang w:val="en-US" w:eastAsia="zh-CN"/>
        </w:rPr>
        <w:t>优秀，</w:t>
      </w:r>
      <w:r>
        <w:rPr>
          <w:rFonts w:hint="eastAsia" w:ascii="仿宋_GB2312" w:hAnsi="Cambria" w:eastAsia="仿宋_GB2312" w:cs="仿宋_GB2312"/>
          <w:sz w:val="32"/>
          <w:szCs w:val="32"/>
          <w:highlight w:val="none"/>
        </w:rPr>
        <w:t>2023年我部门整体支出绩效自评结果良好，全年基本支出保证了部门的正常运转，项目支出保障了重点工作的开展）</w:t>
      </w:r>
      <w:r>
        <w:rPr>
          <w:rFonts w:hint="eastAsia" w:ascii="仿宋_GB2312" w:hAnsi="Cambria"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基本支出</w:t>
      </w:r>
      <w:r>
        <w:rPr>
          <w:rFonts w:hint="eastAsia" w:ascii="仿宋_GB2312" w:hAnsi="仿宋_GB2312" w:eastAsia="仿宋_GB2312" w:cs="仿宋_GB2312"/>
          <w:sz w:val="32"/>
          <w:szCs w:val="32"/>
        </w:rPr>
        <w:t>专项预算项目绩效自评得分为</w:t>
      </w:r>
      <w:r>
        <w:rPr>
          <w:rFonts w:hint="eastAsia" w:ascii="仿宋_GB2312" w:hAnsi="仿宋_GB2312" w:eastAsia="仿宋_GB2312" w:cs="仿宋_GB2312"/>
          <w:sz w:val="32"/>
          <w:szCs w:val="32"/>
          <w:lang w:val="en-US" w:eastAsia="zh-CN"/>
        </w:rPr>
        <w:t>优秀，</w:t>
      </w:r>
      <w:r>
        <w:rPr>
          <w:rFonts w:hint="eastAsia" w:ascii="仿宋_GB2312" w:hAnsi="Cambria" w:eastAsia="仿宋_GB2312" w:cs="仿宋_GB2312"/>
          <w:sz w:val="32"/>
          <w:szCs w:val="32"/>
          <w:highlight w:val="none"/>
        </w:rPr>
        <w:t>截止2023年12月底</w:t>
      </w:r>
      <w:r>
        <w:rPr>
          <w:rFonts w:hint="eastAsia" w:ascii="仿宋_GB2312" w:hAnsi="Cambria" w:eastAsia="仿宋_GB2312" w:cs="仿宋_GB2312"/>
          <w:sz w:val="32"/>
          <w:szCs w:val="32"/>
          <w:highlight w:val="none"/>
          <w:lang w:eastAsia="zh-CN"/>
        </w:rPr>
        <w:t>，</w:t>
      </w:r>
      <w:r>
        <w:rPr>
          <w:rFonts w:hint="eastAsia" w:ascii="仿宋_GB2312" w:hAnsi="Cambria" w:eastAsia="仿宋_GB2312" w:cs="仿宋_GB2312"/>
          <w:sz w:val="32"/>
          <w:szCs w:val="32"/>
          <w:highlight w:val="none"/>
        </w:rPr>
        <w:t>未出现项目</w:t>
      </w:r>
      <w:r>
        <w:rPr>
          <w:rFonts w:hint="eastAsia" w:ascii="仿宋_GB2312" w:hAnsi="Cambria" w:eastAsia="仿宋_GB2312" w:cs="仿宋_GB2312"/>
          <w:sz w:val="32"/>
          <w:szCs w:val="32"/>
          <w:highlight w:val="none"/>
          <w:lang w:val="en-US" w:eastAsia="zh-CN"/>
        </w:rPr>
        <w:t>支出</w:t>
      </w:r>
      <w:r>
        <w:rPr>
          <w:rFonts w:hint="eastAsia" w:ascii="仿宋_GB2312" w:hAnsi="Cambria" w:eastAsia="仿宋_GB2312" w:cs="仿宋_GB2312"/>
          <w:sz w:val="32"/>
          <w:szCs w:val="32"/>
          <w:highlight w:val="none"/>
        </w:rPr>
        <w:t>偏差</w:t>
      </w:r>
      <w:r>
        <w:rPr>
          <w:rFonts w:hint="eastAsia" w:ascii="仿宋_GB2312" w:hAnsi="Cambria" w:eastAsia="仿宋_GB2312" w:cs="仿宋_GB2312"/>
          <w:sz w:val="32"/>
          <w:szCs w:val="32"/>
          <w:highlight w:val="none"/>
          <w:lang w:eastAsia="zh-CN"/>
        </w:rPr>
        <w:t>，</w:t>
      </w:r>
      <w:commentRangeStart w:id="9"/>
      <w:r>
        <w:rPr>
          <w:rFonts w:hint="eastAsia" w:ascii="仿宋_GB2312" w:hAnsi="Cambria" w:eastAsia="仿宋_GB2312" w:cs="仿宋_GB2312"/>
          <w:sz w:val="32"/>
          <w:szCs w:val="32"/>
          <w:highlight w:val="none"/>
        </w:rPr>
        <w:t>具体绩效自评报告详见第四部分附件</w:t>
      </w:r>
      <w:r>
        <w:rPr>
          <w:rFonts w:hint="eastAsia" w:ascii="仿宋_GB2312" w:hAnsi="Cambria" w:eastAsia="仿宋_GB2312" w:cs="仿宋_GB2312"/>
          <w:sz w:val="32"/>
          <w:szCs w:val="32"/>
        </w:rPr>
        <w:t>。</w:t>
      </w:r>
      <w:commentRangeEnd w:id="9"/>
      <w:r>
        <w:commentReference w:id="9"/>
      </w:r>
      <w:r>
        <w:rPr>
          <w:rFonts w:hint="eastAsia" w:ascii="仿宋_GB2312" w:eastAsia="仿宋_GB2312"/>
          <w:sz w:val="32"/>
          <w:szCs w:val="32"/>
        </w:rPr>
        <w:br w:type="page"/>
      </w:r>
    </w:p>
    <w:p w14:paraId="5568E5EF">
      <w:pPr>
        <w:numPr>
          <w:ilvl w:val="0"/>
          <w:numId w:val="4"/>
        </w:numPr>
        <w:spacing w:line="600" w:lineRule="exact"/>
        <w:ind w:firstLine="660" w:firstLineChars="150"/>
        <w:jc w:val="center"/>
        <w:outlineLvl w:val="0"/>
        <w:rPr>
          <w:rStyle w:val="29"/>
          <w:rFonts w:ascii="黑体" w:hAnsi="黑体" w:eastAsia="黑体"/>
          <w:b w:val="0"/>
        </w:rPr>
      </w:pPr>
      <w:bookmarkStart w:id="76" w:name="_Toc15377225"/>
      <w:bookmarkStart w:id="77" w:name="_Toc27059"/>
      <w:bookmarkStart w:id="78" w:name="_Toc15396613"/>
      <w:r>
        <w:rPr>
          <w:rFonts w:hint="eastAsia" w:ascii="黑体" w:hAnsi="黑体" w:eastAsia="黑体"/>
          <w:sz w:val="44"/>
          <w:szCs w:val="44"/>
        </w:rPr>
        <w:t>名</w:t>
      </w:r>
      <w:r>
        <w:rPr>
          <w:rStyle w:val="29"/>
          <w:rFonts w:hint="eastAsia" w:ascii="黑体" w:hAnsi="黑体" w:eastAsia="黑体"/>
          <w:b w:val="0"/>
        </w:rPr>
        <w:t>词解释</w:t>
      </w:r>
      <w:bookmarkEnd w:id="76"/>
      <w:bookmarkEnd w:id="77"/>
      <w:bookmarkEnd w:id="78"/>
    </w:p>
    <w:p w14:paraId="4F23BAC6">
      <w:pPr>
        <w:spacing w:line="600" w:lineRule="exact"/>
        <w:jc w:val="left"/>
        <w:rPr>
          <w:rFonts w:ascii="宋体"/>
          <w:b/>
          <w:sz w:val="44"/>
          <w:szCs w:val="44"/>
        </w:rPr>
      </w:pPr>
    </w:p>
    <w:p w14:paraId="4FD9A8D7">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1.财政拨款收入：指县级财政当年拨付的资金。</w:t>
      </w:r>
    </w:p>
    <w:p w14:paraId="1C3A3ABF">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2.经营收入：指事业单位在专业业务活动及其辅助活动之外开展非独立核算经营活动取得的收入。如防雷设施年检，灌充施放系留气球或升空气球的技术指导等。</w:t>
      </w:r>
    </w:p>
    <w:p w14:paraId="34101B1D">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3.其他收入：指除上述“财政拨款收入”、“事业收入”、“经营收入”等以外的收入。主要是利息收入等。</w:t>
      </w:r>
    </w:p>
    <w:p w14:paraId="57A0A7BD">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4.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B52CA0E">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5.年初结转和结余：指以前年度尚未完成、结转到本年按有关规定继续使用的资金。</w:t>
      </w:r>
    </w:p>
    <w:p w14:paraId="5F77B8E2">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6.社会保障和就业支出:反应机关事业单位实施养老保险制度由单位缴纳的基本养老保险费支出。</w:t>
      </w:r>
    </w:p>
    <w:p w14:paraId="716F91CF">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7.社会保障和就业支出:反应机关事业单位实施养老保险制度由单位缴纳的职业年金支出。</w:t>
      </w:r>
    </w:p>
    <w:p w14:paraId="63E8D877">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8.医疗卫生与计划生育支出: 反应财政部门集中安排的事业单位基本医疗保险缴费经费，未参加医疗保险的事业单位的公费医疗经费，按国家规定享受离休人员待遇人员的医疗经费。</w:t>
      </w:r>
    </w:p>
    <w:p w14:paraId="1390580F">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9.国土海洋气象等支出:反应行政单位（包括实行公务员管理的事业单位）的基本支出。</w:t>
      </w:r>
    </w:p>
    <w:p w14:paraId="49F7421D">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10.国土海洋气象等支出:反应除上述项目以外其他用于气象事务方面的支出。</w:t>
      </w:r>
    </w:p>
    <w:p w14:paraId="28077928">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11.住房保障支出支出:反应行政事业单位按人力资源和社会保障部、财政部规定的基本工资和津贴补贴以及规定比例为职工缴纳的住房公积金。</w:t>
      </w:r>
    </w:p>
    <w:p w14:paraId="1391991C">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12.结余分配：指事业单位按规定提取的职工福利基金、事业基金和缴纳的所得税，以及建设单位按规定应交回的基本建设竣工项目结余资金。</w:t>
      </w:r>
    </w:p>
    <w:p w14:paraId="68E13FB9">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13.年末结转和结余：指本年度或以前年度预算安排、因客观条件发生变化无法按原计划实施，需延迟到以后年度按有关规定继续使用的资金。</w:t>
      </w:r>
    </w:p>
    <w:p w14:paraId="266DD741">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14.基本支出：指为保障机构正常运转、完成日常工作任务而发生的人员支出和公用支出。</w:t>
      </w:r>
    </w:p>
    <w:p w14:paraId="4346344B">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15.项目支出：指在基本支出之外为完成特定行政任务和事业发展目标所发生的支出。</w:t>
      </w:r>
    </w:p>
    <w:p w14:paraId="10B542DA">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16.经营支出：指事业单位在专业业务活动及其辅助活动之外开展非独立核算经营活动发生的支出。</w:t>
      </w:r>
    </w:p>
    <w:p w14:paraId="2579360F">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17.“三公”经费：纳入县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8A34655">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89FC98A">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19.人工影响天气：指用人为手段使天气现象朝着人们预定的方向转化，如人工增雨、人工防雹、人工消云、人工消雾、人工削弱台风、人工抑制雷电、人工防霜冻等。</w:t>
      </w:r>
    </w:p>
    <w:p w14:paraId="0875753A">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20.政府采购：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67CAA99B">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21.国有资产：是法律上确定为国家所有并能为国家提供经济和社会效益的各种经济资源的总和。</w:t>
      </w:r>
    </w:p>
    <w:p w14:paraId="3BD49850">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22.一般公共预算财政拨款收入：指县级财政当年拨付的一般公共预算资金。</w:t>
      </w:r>
    </w:p>
    <w:p w14:paraId="6626C890">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23.社会保障和就业（类）行政事业单位离退休（款）机关事业单位基本养老保险缴费支出（项）: 是指用于养老保险缴费方面的支出。</w:t>
      </w:r>
    </w:p>
    <w:p w14:paraId="4366E33C">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24.社会保障和就业（类）行政事业单位离退休（款）机关事业单位职业年金缴费支出（项）: 是指用于职业年金缴费方面的支出。</w:t>
      </w:r>
    </w:p>
    <w:p w14:paraId="3B6019A2">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25.社会保障和就业（类）其他社会保障和就业支出（款）其他社会保障和就业支出（项）:是指用于其他社会保障和就业支出方面的支出。</w:t>
      </w:r>
    </w:p>
    <w:p w14:paraId="01190944">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26.卫生健康（类）行政事业单位医疗（款）事业单位医疗（项）:是指用于医疗保险缴费方面的支出。</w:t>
      </w:r>
    </w:p>
    <w:p w14:paraId="2190AEE7">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27.卫生健康（类）行政事业单位医疗（款）其他行政事业单位医疗支出（项）:是指用于其他行政事业单位医疗行医疗方面的支出。</w:t>
      </w:r>
    </w:p>
    <w:p w14:paraId="22185412">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28.住房保障支出（类）住房改革支出（款）住房公积金（项）是指反应用于职工按规定缴纳的住房公积金方面的支出。</w:t>
      </w:r>
    </w:p>
    <w:p w14:paraId="30DFD42D">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29.自然资源海洋气象等支出（类）气象事务（款）气象事业机构（项）是指反应气象事业单位的基本支出。</w:t>
      </w:r>
    </w:p>
    <w:p w14:paraId="489F2D29">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3</w:t>
      </w:r>
      <w:r>
        <w:rPr>
          <w:rFonts w:hint="eastAsia" w:ascii="仿宋_GB2312" w:hAnsi="仿宋_GB2312" w:eastAsia="仿宋_GB2312"/>
          <w:color w:val="auto"/>
          <w:sz w:val="32"/>
          <w:szCs w:val="24"/>
          <w:lang w:val="en-US" w:eastAsia="zh-CN"/>
        </w:rPr>
        <w:t>0</w:t>
      </w:r>
      <w:r>
        <w:rPr>
          <w:rFonts w:hint="eastAsia" w:ascii="仿宋_GB2312" w:hAnsi="仿宋_GB2312" w:eastAsia="仿宋_GB2312"/>
          <w:color w:val="auto"/>
          <w:sz w:val="32"/>
          <w:szCs w:val="24"/>
        </w:rPr>
        <w:t>.自然资源海洋气象等支出（类）气象事务（款）气象装备保障维护（项）是指反应气象技术装备保障系统的建设、改造、更新和维护等方面的支出。</w:t>
      </w:r>
    </w:p>
    <w:p w14:paraId="4FC2AC70">
      <w:pPr>
        <w:spacing w:line="560" w:lineRule="exact"/>
        <w:ind w:firstLine="640" w:firstLineChars="200"/>
        <w:jc w:val="both"/>
        <w:outlineLvl w:val="9"/>
        <w:rPr>
          <w:rFonts w:hint="eastAsia" w:ascii="仿宋" w:hAnsi="仿宋" w:eastAsia="仿宋"/>
          <w:b/>
          <w:color w:val="auto"/>
          <w:sz w:val="32"/>
          <w:szCs w:val="24"/>
        </w:rPr>
      </w:pPr>
      <w:r>
        <w:rPr>
          <w:rFonts w:hint="eastAsia" w:ascii="仿宋_GB2312" w:hAnsi="仿宋_GB2312" w:eastAsia="仿宋_GB2312"/>
          <w:color w:val="auto"/>
          <w:sz w:val="32"/>
          <w:szCs w:val="24"/>
        </w:rPr>
        <w:t>3</w:t>
      </w:r>
      <w:r>
        <w:rPr>
          <w:rFonts w:hint="eastAsia" w:ascii="仿宋_GB2312" w:hAnsi="仿宋_GB2312" w:eastAsia="仿宋_GB2312"/>
          <w:color w:val="auto"/>
          <w:sz w:val="32"/>
          <w:szCs w:val="24"/>
          <w:lang w:val="en-US" w:eastAsia="zh-CN"/>
        </w:rPr>
        <w:t>1</w:t>
      </w:r>
      <w:r>
        <w:rPr>
          <w:rFonts w:hint="eastAsia" w:ascii="仿宋_GB2312" w:hAnsi="仿宋_GB2312" w:eastAsia="仿宋_GB2312"/>
          <w:color w:val="auto"/>
          <w:sz w:val="32"/>
          <w:szCs w:val="24"/>
        </w:rPr>
        <w:t>.  国土海洋气象等支出（类）气象事务（款）其他气象事务支出（项）:是指反应除其他用于气象事务方面的支出。</w:t>
      </w:r>
    </w:p>
    <w:p w14:paraId="29639845">
      <w:pPr>
        <w:ind w:firstLine="643" w:firstLineChars="200"/>
        <w:rPr>
          <w:rFonts w:ascii="仿宋" w:hAnsi="仿宋" w:eastAsia="仿宋"/>
          <w:b/>
          <w:sz w:val="32"/>
          <w:szCs w:val="32"/>
        </w:rPr>
      </w:pPr>
      <w:r>
        <w:rPr>
          <w:rFonts w:ascii="仿宋" w:hAnsi="仿宋" w:eastAsia="仿宋"/>
          <w:b/>
          <w:sz w:val="32"/>
          <w:szCs w:val="32"/>
        </w:rPr>
        <w:br w:type="page"/>
      </w:r>
    </w:p>
    <w:p w14:paraId="7E87C979">
      <w:pPr>
        <w:pStyle w:val="4"/>
        <w:jc w:val="center"/>
        <w:rPr>
          <w:rFonts w:ascii="黑体" w:hAnsi="黑体" w:eastAsia="黑体"/>
          <w:b w:val="0"/>
        </w:rPr>
      </w:pPr>
      <w:bookmarkStart w:id="79" w:name="_Toc10258"/>
      <w:r>
        <w:rPr>
          <w:rFonts w:hint="eastAsia" w:ascii="黑体" w:hAnsi="黑体" w:eastAsia="黑体"/>
          <w:b w:val="0"/>
        </w:rPr>
        <w:t>第四部分 附件</w:t>
      </w:r>
      <w:bookmarkEnd w:id="79"/>
    </w:p>
    <w:p w14:paraId="2FE047FE"/>
    <w:p w14:paraId="10B85E33">
      <w:pPr>
        <w:outlineLvl w:val="1"/>
        <w:rPr>
          <w:rFonts w:ascii="黑体" w:hAnsi="黑体" w:eastAsia="黑体"/>
          <w:sz w:val="32"/>
          <w:szCs w:val="32"/>
        </w:rPr>
      </w:pPr>
      <w:bookmarkStart w:id="80" w:name="_Toc28685"/>
      <w:r>
        <w:rPr>
          <w:rFonts w:hint="eastAsia" w:ascii="黑体" w:hAnsi="黑体" w:eastAsia="黑体"/>
          <w:sz w:val="32"/>
          <w:szCs w:val="32"/>
        </w:rPr>
        <w:t>附件1</w:t>
      </w:r>
      <w:bookmarkEnd w:id="80"/>
    </w:p>
    <w:p w14:paraId="0B1C8E89">
      <w:pPr>
        <w:jc w:val="center"/>
      </w:pPr>
      <w:r>
        <w:rPr>
          <w:rFonts w:hint="eastAsia" w:ascii="方正小标宋简体" w:hAnsi="方正小标宋简体" w:eastAsia="方正小标宋简体"/>
          <w:sz w:val="44"/>
          <w:szCs w:val="44"/>
        </w:rPr>
        <w:t>部门预算绩效评价报告</w:t>
      </w:r>
    </w:p>
    <w:p w14:paraId="66756698">
      <w:pPr>
        <w:outlineLvl w:val="1"/>
        <w:rPr>
          <w:rFonts w:ascii="黑体" w:hAnsi="黑体" w:eastAsia="黑体"/>
          <w:sz w:val="32"/>
          <w:szCs w:val="32"/>
        </w:rPr>
      </w:pPr>
      <w:bookmarkStart w:id="81" w:name="_Toc5636"/>
      <w:r>
        <w:rPr>
          <w:rFonts w:hint="eastAsia" w:ascii="黑体" w:hAnsi="黑体" w:eastAsia="黑体"/>
          <w:sz w:val="32"/>
          <w:szCs w:val="32"/>
        </w:rPr>
        <w:t>一、部门（单位）基本情况</w:t>
      </w:r>
      <w:bookmarkEnd w:id="81"/>
    </w:p>
    <w:p w14:paraId="5073C7D4">
      <w:pPr>
        <w:keepNext/>
        <w:keepLines/>
        <w:spacing w:line="560" w:lineRule="exact"/>
        <w:ind w:firstLine="643"/>
        <w:outlineLvl w:val="2"/>
        <w:rPr>
          <w:rFonts w:hint="eastAsia" w:ascii="楷体_GB2312" w:hAnsi="楷体_GB2312" w:eastAsia="楷体_GB2312"/>
          <w:b/>
          <w:color w:val="auto"/>
          <w:sz w:val="32"/>
          <w:szCs w:val="24"/>
          <w:lang w:val="zh-CN"/>
        </w:rPr>
      </w:pPr>
      <w:bookmarkStart w:id="82" w:name="_Toc21722"/>
      <w:r>
        <w:rPr>
          <w:rFonts w:hint="eastAsia" w:ascii="楷体_GB2312" w:hAnsi="楷体_GB2312" w:eastAsia="楷体_GB2312"/>
          <w:b/>
          <w:color w:val="auto"/>
          <w:sz w:val="32"/>
          <w:szCs w:val="24"/>
          <w:lang w:val="zh-CN"/>
        </w:rPr>
        <w:t>（一）机构组成</w:t>
      </w:r>
      <w:bookmarkEnd w:id="82"/>
    </w:p>
    <w:p w14:paraId="73663E37">
      <w:pPr>
        <w:ind w:firstLine="640" w:firstLineChars="200"/>
        <w:rPr>
          <w:rFonts w:hint="eastAsia" w:ascii="仿宋_GB2312" w:hAnsi="宋体" w:eastAsia="仿宋_GB2312"/>
          <w:color w:val="000000"/>
          <w:sz w:val="32"/>
          <w:szCs w:val="24"/>
          <w:shd w:val="clear" w:color="auto" w:fill="FFFFFF"/>
          <w:lang w:val="zh-CN"/>
        </w:rPr>
      </w:pPr>
      <w:r>
        <w:rPr>
          <w:rFonts w:hint="eastAsia" w:ascii="仿宋_GB2312" w:hAnsi="宋体" w:eastAsia="仿宋_GB2312"/>
          <w:color w:val="000000"/>
          <w:sz w:val="32"/>
          <w:szCs w:val="24"/>
          <w:shd w:val="clear" w:color="auto" w:fill="FFFFFF"/>
        </w:rPr>
        <w:t>德阳市罗江区地方气象服务中心独立编制机构共1个，其中一级预算单位1个（单位性质为全额拨款事业单位），下属二级预算单位0个，</w:t>
      </w:r>
      <w:r>
        <w:rPr>
          <w:rFonts w:hint="eastAsia" w:ascii="仿宋_GB2312" w:hAnsi="宋体" w:eastAsia="仿宋_GB2312"/>
          <w:color w:val="000000"/>
          <w:sz w:val="32"/>
          <w:szCs w:val="24"/>
          <w:shd w:val="clear" w:color="auto" w:fill="FFFFFF"/>
          <w:lang w:val="zh-CN"/>
        </w:rPr>
        <w:t>其中行政单位</w:t>
      </w:r>
      <w:r>
        <w:rPr>
          <w:rFonts w:hint="eastAsia" w:ascii="仿宋_GB2312" w:hAnsi="宋体" w:eastAsia="仿宋_GB2312"/>
          <w:color w:val="000000"/>
          <w:sz w:val="32"/>
          <w:szCs w:val="24"/>
          <w:shd w:val="clear" w:color="auto" w:fill="FFFFFF"/>
        </w:rPr>
        <w:t>0</w:t>
      </w:r>
      <w:r>
        <w:rPr>
          <w:rFonts w:hint="eastAsia" w:ascii="仿宋_GB2312" w:hAnsi="宋体" w:eastAsia="仿宋_GB2312"/>
          <w:color w:val="000000"/>
          <w:sz w:val="32"/>
          <w:szCs w:val="24"/>
          <w:shd w:val="clear" w:color="auto" w:fill="FFFFFF"/>
          <w:lang w:val="zh-CN"/>
        </w:rPr>
        <w:t>个，参照公务员法管理的事业单位</w:t>
      </w:r>
      <w:r>
        <w:rPr>
          <w:rFonts w:hint="eastAsia" w:ascii="仿宋_GB2312" w:hAnsi="宋体" w:eastAsia="仿宋_GB2312"/>
          <w:color w:val="000000"/>
          <w:sz w:val="32"/>
          <w:szCs w:val="24"/>
          <w:shd w:val="clear" w:color="auto" w:fill="FFFFFF"/>
        </w:rPr>
        <w:t>0</w:t>
      </w:r>
      <w:r>
        <w:rPr>
          <w:rFonts w:hint="eastAsia" w:ascii="仿宋_GB2312" w:hAnsi="宋体" w:eastAsia="仿宋_GB2312"/>
          <w:color w:val="000000"/>
          <w:sz w:val="32"/>
          <w:szCs w:val="24"/>
          <w:shd w:val="clear" w:color="auto" w:fill="FFFFFF"/>
          <w:lang w:val="zh-CN"/>
        </w:rPr>
        <w:t>个，其他事业单位</w:t>
      </w:r>
      <w:r>
        <w:rPr>
          <w:rFonts w:hint="eastAsia" w:ascii="仿宋_GB2312" w:hAnsi="宋体" w:eastAsia="仿宋_GB2312"/>
          <w:color w:val="000000"/>
          <w:sz w:val="32"/>
          <w:szCs w:val="24"/>
          <w:shd w:val="clear" w:color="auto" w:fill="FFFFFF"/>
        </w:rPr>
        <w:t>0</w:t>
      </w:r>
      <w:r>
        <w:rPr>
          <w:rFonts w:hint="eastAsia" w:ascii="仿宋_GB2312" w:hAnsi="宋体" w:eastAsia="仿宋_GB2312"/>
          <w:color w:val="000000"/>
          <w:sz w:val="32"/>
          <w:szCs w:val="24"/>
          <w:shd w:val="clear" w:color="auto" w:fill="FFFFFF"/>
          <w:lang w:val="zh-CN"/>
        </w:rPr>
        <w:t>个。</w:t>
      </w:r>
    </w:p>
    <w:p w14:paraId="7A611869">
      <w:pPr>
        <w:numPr>
          <w:ilvl w:val="0"/>
          <w:numId w:val="5"/>
        </w:numPr>
        <w:ind w:firstLine="643" w:firstLineChars="200"/>
        <w:outlineLvl w:val="2"/>
        <w:rPr>
          <w:rFonts w:hint="eastAsia" w:ascii="楷体_GB2312" w:eastAsia="楷体_GB2312"/>
          <w:b/>
          <w:sz w:val="32"/>
          <w:szCs w:val="32"/>
        </w:rPr>
      </w:pPr>
      <w:bookmarkStart w:id="83" w:name="_Toc18142"/>
      <w:r>
        <w:rPr>
          <w:rFonts w:hint="eastAsia" w:ascii="楷体_GB2312" w:eastAsia="楷体_GB2312"/>
          <w:b/>
          <w:sz w:val="32"/>
          <w:szCs w:val="32"/>
        </w:rPr>
        <w:t>机构职能。</w:t>
      </w:r>
      <w:bookmarkEnd w:id="83"/>
    </w:p>
    <w:p w14:paraId="33C7421F">
      <w:pPr>
        <w:pStyle w:val="15"/>
        <w:widowControl/>
        <w:numPr>
          <w:ilvl w:val="0"/>
          <w:numId w:val="0"/>
        </w:numPr>
        <w:autoSpaceDE/>
        <w:autoSpaceDN/>
        <w:spacing w:before="0" w:beforeAutospacing="0" w:after="0" w:afterAutospacing="0" w:line="560" w:lineRule="exact"/>
        <w:ind w:firstLine="640" w:firstLineChars="200"/>
        <w:jc w:val="both"/>
        <w:rPr>
          <w:rFonts w:hint="eastAsia" w:ascii="仿宋_GB2312" w:hAnsi="宋体" w:eastAsia="仿宋_GB2312"/>
          <w:color w:val="000000"/>
          <w:sz w:val="32"/>
          <w:szCs w:val="24"/>
          <w:shd w:val="clear" w:color="auto" w:fill="FFFFFF"/>
          <w:lang w:val="zh-CN"/>
        </w:rPr>
      </w:pPr>
      <w:r>
        <w:rPr>
          <w:rFonts w:hint="eastAsia" w:ascii="仿宋_GB2312" w:hAnsi="宋体" w:eastAsia="仿宋_GB2312"/>
          <w:color w:val="000000"/>
          <w:sz w:val="32"/>
          <w:szCs w:val="24"/>
          <w:shd w:val="clear" w:color="auto" w:fill="FFFFFF"/>
          <w:lang w:val="zh-CN"/>
        </w:rPr>
        <w:t>1</w:t>
      </w:r>
      <w:r>
        <w:rPr>
          <w:rFonts w:hint="eastAsia" w:ascii="宋体" w:hAnsi="宋体" w:eastAsia="宋体"/>
          <w:color w:val="000000"/>
          <w:sz w:val="32"/>
          <w:szCs w:val="24"/>
          <w:shd w:val="clear" w:color="auto" w:fill="FFFFFF"/>
        </w:rPr>
        <w:t>.</w:t>
      </w:r>
      <w:r>
        <w:rPr>
          <w:rFonts w:hint="eastAsia" w:ascii="仿宋_GB2312" w:hAnsi="宋体" w:eastAsia="仿宋_GB2312"/>
          <w:color w:val="000000"/>
          <w:sz w:val="32"/>
          <w:szCs w:val="24"/>
          <w:shd w:val="clear" w:color="auto" w:fill="FFFFFF"/>
          <w:lang w:val="zh-CN"/>
        </w:rPr>
        <w:t>负责全</w:t>
      </w:r>
      <w:r>
        <w:rPr>
          <w:rFonts w:hint="eastAsia" w:ascii="宋体" w:hAnsi="宋体" w:eastAsia="宋体"/>
          <w:color w:val="000000"/>
          <w:sz w:val="32"/>
          <w:szCs w:val="24"/>
          <w:shd w:val="clear" w:color="auto" w:fill="FFFFFF"/>
          <w:lang w:val="zh-CN"/>
        </w:rPr>
        <w:t>区</w:t>
      </w:r>
      <w:r>
        <w:rPr>
          <w:rFonts w:hint="eastAsia" w:ascii="仿宋_GB2312" w:hAnsi="宋体" w:eastAsia="仿宋_GB2312"/>
          <w:color w:val="000000"/>
          <w:sz w:val="32"/>
          <w:szCs w:val="24"/>
          <w:shd w:val="clear" w:color="auto" w:fill="FFFFFF"/>
          <w:lang w:val="zh-CN"/>
        </w:rPr>
        <w:t>人工影响天气作业工作的组织管理。负责组织实施人工影响天气作业，承担全县人工影响天气轨道业务。负责全县人工影响天气工作的组织管理和协调；负责全县人工影响天气人员的安全教育和培训；负责制定高炮、火箭等人工增雨作业计划并组织实施；承担人工影响天气作业情况的统计、效益评估等工作。</w:t>
      </w:r>
    </w:p>
    <w:p w14:paraId="1582CC4A">
      <w:pPr>
        <w:pStyle w:val="15"/>
        <w:widowControl/>
        <w:autoSpaceDE/>
        <w:autoSpaceDN/>
        <w:spacing w:before="0" w:beforeAutospacing="0" w:after="0" w:afterAutospacing="0" w:line="560" w:lineRule="exact"/>
        <w:ind w:firstLine="640" w:firstLineChars="200"/>
        <w:jc w:val="both"/>
        <w:rPr>
          <w:rFonts w:hint="eastAsia" w:ascii="仿宋_GB2312" w:hAnsi="宋体" w:eastAsia="仿宋_GB2312"/>
          <w:color w:val="000000"/>
          <w:sz w:val="32"/>
          <w:szCs w:val="24"/>
          <w:shd w:val="clear" w:color="auto" w:fill="FFFFFF"/>
          <w:lang w:val="zh-CN"/>
        </w:rPr>
      </w:pPr>
      <w:r>
        <w:rPr>
          <w:rFonts w:hint="eastAsia" w:ascii="仿宋_GB2312" w:hAnsi="宋体" w:eastAsia="仿宋_GB2312"/>
          <w:color w:val="000000"/>
          <w:sz w:val="32"/>
          <w:szCs w:val="24"/>
          <w:shd w:val="clear" w:color="auto" w:fill="FFFFFF"/>
          <w:lang w:val="zh-CN"/>
        </w:rPr>
        <w:t>2</w:t>
      </w:r>
      <w:r>
        <w:rPr>
          <w:rFonts w:hint="eastAsia" w:ascii="宋体" w:hAnsi="宋体" w:eastAsia="宋体"/>
          <w:color w:val="000000"/>
          <w:sz w:val="32"/>
          <w:szCs w:val="24"/>
          <w:shd w:val="clear" w:color="auto" w:fill="FFFFFF"/>
        </w:rPr>
        <w:t>.</w:t>
      </w:r>
      <w:r>
        <w:rPr>
          <w:rFonts w:hint="eastAsia" w:ascii="仿宋_GB2312" w:hAnsi="宋体" w:eastAsia="仿宋_GB2312"/>
          <w:color w:val="000000"/>
          <w:sz w:val="32"/>
          <w:szCs w:val="24"/>
          <w:shd w:val="clear" w:color="auto" w:fill="FFFFFF"/>
          <w:lang w:val="zh-CN"/>
        </w:rPr>
        <w:t>负责全</w:t>
      </w:r>
      <w:r>
        <w:rPr>
          <w:rFonts w:hint="eastAsia" w:ascii="宋体" w:hAnsi="宋体" w:eastAsia="宋体"/>
          <w:color w:val="000000"/>
          <w:sz w:val="32"/>
          <w:szCs w:val="24"/>
          <w:shd w:val="clear" w:color="auto" w:fill="FFFFFF"/>
          <w:lang w:val="zh-CN"/>
        </w:rPr>
        <w:t>区</w:t>
      </w:r>
      <w:r>
        <w:rPr>
          <w:rFonts w:hint="eastAsia" w:ascii="仿宋_GB2312" w:hAnsi="宋体" w:eastAsia="仿宋_GB2312"/>
          <w:color w:val="000000"/>
          <w:sz w:val="32"/>
          <w:szCs w:val="24"/>
          <w:shd w:val="clear" w:color="auto" w:fill="FFFFFF"/>
          <w:lang w:val="zh-CN"/>
        </w:rPr>
        <w:t>雷电灾害防御工作的组织管理。承担全县防雷减灾业务技术的指导和技术培训工作；承担雷电灾害评估、雷击风险评估及重大雷电灾害事故的坚定工作。</w:t>
      </w:r>
    </w:p>
    <w:p w14:paraId="6AE65C2B">
      <w:pPr>
        <w:pStyle w:val="15"/>
        <w:widowControl/>
        <w:autoSpaceDE/>
        <w:autoSpaceDN/>
        <w:spacing w:before="0" w:beforeAutospacing="0" w:after="0" w:afterAutospacing="0" w:line="560" w:lineRule="exact"/>
        <w:ind w:firstLine="640" w:firstLineChars="200"/>
        <w:jc w:val="both"/>
        <w:rPr>
          <w:rFonts w:hint="eastAsia" w:ascii="仿宋_GB2312" w:hAnsi="宋体" w:eastAsia="仿宋_GB2312"/>
          <w:color w:val="000000"/>
          <w:sz w:val="32"/>
          <w:szCs w:val="24"/>
          <w:shd w:val="clear" w:color="auto" w:fill="FFFFFF"/>
          <w:lang w:val="zh-CN"/>
        </w:rPr>
      </w:pPr>
      <w:r>
        <w:rPr>
          <w:rFonts w:hint="eastAsia" w:ascii="仿宋_GB2312" w:hAnsi="宋体" w:eastAsia="仿宋_GB2312"/>
          <w:color w:val="000000"/>
          <w:sz w:val="32"/>
          <w:szCs w:val="24"/>
          <w:shd w:val="clear" w:color="auto" w:fill="FFFFFF"/>
          <w:lang w:val="zh-CN"/>
        </w:rPr>
        <w:t>3</w:t>
      </w:r>
      <w:r>
        <w:rPr>
          <w:rFonts w:hint="eastAsia" w:ascii="宋体" w:hAnsi="宋体" w:eastAsia="宋体"/>
          <w:color w:val="000000"/>
          <w:sz w:val="32"/>
          <w:szCs w:val="24"/>
          <w:shd w:val="clear" w:color="auto" w:fill="FFFFFF"/>
        </w:rPr>
        <w:t>.</w:t>
      </w:r>
      <w:r>
        <w:rPr>
          <w:rFonts w:hint="eastAsia" w:ascii="仿宋_GB2312" w:hAnsi="宋体" w:eastAsia="仿宋_GB2312"/>
          <w:color w:val="000000"/>
          <w:sz w:val="32"/>
          <w:szCs w:val="24"/>
          <w:shd w:val="clear" w:color="auto" w:fill="FFFFFF"/>
          <w:lang w:val="zh-CN"/>
        </w:rPr>
        <w:t>负责全</w:t>
      </w:r>
      <w:r>
        <w:rPr>
          <w:rFonts w:hint="eastAsia" w:ascii="宋体" w:hAnsi="宋体" w:eastAsia="宋体"/>
          <w:color w:val="000000"/>
          <w:sz w:val="32"/>
          <w:szCs w:val="24"/>
          <w:shd w:val="clear" w:color="auto" w:fill="FFFFFF"/>
          <w:lang w:val="zh-CN"/>
        </w:rPr>
        <w:t>区</w:t>
      </w:r>
      <w:r>
        <w:rPr>
          <w:rFonts w:hint="eastAsia" w:ascii="仿宋_GB2312" w:hAnsi="宋体" w:eastAsia="仿宋_GB2312"/>
          <w:color w:val="000000"/>
          <w:sz w:val="32"/>
          <w:szCs w:val="24"/>
          <w:shd w:val="clear" w:color="auto" w:fill="FFFFFF"/>
          <w:lang w:val="zh-CN"/>
        </w:rPr>
        <w:t>农业气象综合服务。</w:t>
      </w:r>
    </w:p>
    <w:p w14:paraId="67449AFC">
      <w:pPr>
        <w:spacing w:line="560" w:lineRule="exact"/>
        <w:ind w:firstLine="640" w:firstLineChars="200"/>
        <w:jc w:val="both"/>
        <w:rPr>
          <w:rFonts w:hint="eastAsia" w:ascii="仿宋_GB2312" w:hAnsi="仿宋_GB2312" w:eastAsia="仿宋_GB2312" w:cs="仿宋_GB2312"/>
          <w:color w:val="000000"/>
          <w:sz w:val="32"/>
          <w:szCs w:val="24"/>
          <w:shd w:val="clear" w:color="auto" w:fill="FFFFFF"/>
          <w:lang w:val="zh-CN" w:eastAsia="zh-CN"/>
        </w:rPr>
      </w:pPr>
      <w:r>
        <w:rPr>
          <w:rFonts w:hint="eastAsia" w:ascii="仿宋_GB2312" w:hAnsi="仿宋_GB2312" w:eastAsia="仿宋_GB2312" w:cs="仿宋_GB2312"/>
          <w:color w:val="000000"/>
          <w:sz w:val="32"/>
          <w:szCs w:val="24"/>
          <w:shd w:val="clear" w:color="auto" w:fill="FFFFFF"/>
          <w:lang w:val="zh-CN" w:eastAsia="zh-CN"/>
        </w:rPr>
        <w:t>4</w:t>
      </w:r>
      <w:r>
        <w:rPr>
          <w:rFonts w:hint="eastAsia" w:ascii="仿宋_GB2312" w:hAnsi="仿宋_GB2312" w:eastAsia="仿宋_GB2312" w:cs="仿宋_GB2312"/>
          <w:color w:val="000000"/>
          <w:sz w:val="32"/>
          <w:szCs w:val="24"/>
          <w:shd w:val="clear" w:color="auto" w:fill="FFFFFF"/>
          <w:lang w:val="en-US" w:eastAsia="zh-CN"/>
        </w:rPr>
        <w:t>.</w:t>
      </w:r>
      <w:r>
        <w:rPr>
          <w:rFonts w:hint="eastAsia" w:ascii="仿宋_GB2312" w:hAnsi="仿宋_GB2312" w:eastAsia="仿宋_GB2312" w:cs="仿宋_GB2312"/>
          <w:color w:val="000000"/>
          <w:sz w:val="32"/>
          <w:szCs w:val="24"/>
          <w:shd w:val="clear" w:color="auto" w:fill="FFFFFF"/>
          <w:lang w:val="zh-CN" w:eastAsia="zh-CN"/>
        </w:rPr>
        <w:t>负责全区灌充施放系留气球或升空气球的技术指导。</w:t>
      </w:r>
    </w:p>
    <w:p w14:paraId="3A900CD2">
      <w:pPr>
        <w:pStyle w:val="2"/>
        <w:numPr>
          <w:ilvl w:val="0"/>
          <w:numId w:val="0"/>
        </w:numPr>
        <w:ind w:leftChars="400"/>
        <w:outlineLvl w:val="2"/>
        <w:rPr>
          <w:rFonts w:hint="eastAsia" w:ascii="楷体_GB2312" w:eastAsia="楷体_GB2312"/>
          <w:b/>
          <w:sz w:val="32"/>
          <w:szCs w:val="32"/>
        </w:rPr>
      </w:pPr>
      <w:bookmarkStart w:id="84" w:name="_Toc25389"/>
      <w:r>
        <w:rPr>
          <w:rFonts w:hint="eastAsia" w:ascii="楷体_GB2312" w:eastAsia="楷体_GB2312"/>
          <w:b/>
          <w:sz w:val="32"/>
          <w:szCs w:val="32"/>
        </w:rPr>
        <w:t>（三）人员概况。</w:t>
      </w:r>
      <w:bookmarkEnd w:id="84"/>
    </w:p>
    <w:p w14:paraId="1716733A">
      <w:pPr>
        <w:pStyle w:val="2"/>
        <w:numPr>
          <w:ilvl w:val="0"/>
          <w:numId w:val="0"/>
        </w:numPr>
        <w:ind w:leftChars="400"/>
        <w:rPr>
          <w:rFonts w:ascii="仿宋_GB2312" w:eastAsia="仿宋_GB2312"/>
          <w:sz w:val="32"/>
          <w:szCs w:val="32"/>
        </w:rPr>
      </w:pPr>
      <w:r>
        <w:commentReference w:id="10"/>
      </w:r>
      <w:r>
        <w:rPr>
          <w:rFonts w:hint="eastAsia" w:ascii="仿宋_GB2312" w:hAnsi="仿宋_GB2312" w:eastAsia="仿宋_GB2312" w:cs="仿宋_GB2312"/>
          <w:color w:val="auto"/>
          <w:sz w:val="32"/>
          <w:szCs w:val="24"/>
          <w:shd w:val="clear" w:color="auto" w:fill="FFFFFF"/>
          <w:lang w:val="zh-CN"/>
        </w:rPr>
        <w:t xml:space="preserve">德阳市罗江区地方气象服务中心总编制 4 名，其中行政编制 0 名，事业编制 4 名，工勤编制 </w:t>
      </w:r>
      <w:r>
        <w:rPr>
          <w:rFonts w:hint="eastAsia" w:hAnsi="仿宋_GB2312" w:eastAsia="仿宋_GB2312" w:cs="仿宋_GB2312"/>
          <w:color w:val="auto"/>
          <w:sz w:val="32"/>
          <w:szCs w:val="24"/>
          <w:shd w:val="clear" w:color="auto" w:fill="FFFFFF"/>
          <w:lang w:val="en-US" w:eastAsia="zh-CN"/>
        </w:rPr>
        <w:t>0</w:t>
      </w:r>
      <w:r>
        <w:rPr>
          <w:rFonts w:hint="eastAsia" w:ascii="仿宋_GB2312" w:hAnsi="仿宋_GB2312" w:eastAsia="仿宋_GB2312" w:cs="仿宋_GB2312"/>
          <w:color w:val="auto"/>
          <w:sz w:val="32"/>
          <w:szCs w:val="24"/>
          <w:shd w:val="clear" w:color="auto" w:fill="FFFFFF"/>
          <w:lang w:val="zh-CN"/>
        </w:rPr>
        <w:t xml:space="preserve"> 名。在职人员总数 </w:t>
      </w:r>
      <w:r>
        <w:rPr>
          <w:rFonts w:hint="eastAsia" w:hAnsi="仿宋_GB2312" w:eastAsia="仿宋_GB2312" w:cs="仿宋_GB2312"/>
          <w:color w:val="auto"/>
          <w:sz w:val="32"/>
          <w:szCs w:val="24"/>
          <w:shd w:val="clear" w:color="auto" w:fill="FFFFFF"/>
          <w:lang w:val="en-US" w:eastAsia="zh-CN"/>
        </w:rPr>
        <w:t>8</w:t>
      </w:r>
      <w:r>
        <w:rPr>
          <w:rFonts w:hint="eastAsia" w:ascii="仿宋_GB2312" w:hAnsi="仿宋_GB2312" w:eastAsia="仿宋_GB2312" w:cs="仿宋_GB2312"/>
          <w:color w:val="auto"/>
          <w:sz w:val="32"/>
          <w:szCs w:val="24"/>
          <w:shd w:val="clear" w:color="auto" w:fill="FFFFFF"/>
          <w:lang w:val="zh-CN"/>
        </w:rPr>
        <w:t xml:space="preserve"> 人，其中：行政人员 0 人，事业人员 </w:t>
      </w:r>
      <w:r>
        <w:rPr>
          <w:rFonts w:hint="eastAsia" w:hAnsi="仿宋_GB2312" w:eastAsia="仿宋_GB2312" w:cs="仿宋_GB2312"/>
          <w:color w:val="auto"/>
          <w:sz w:val="32"/>
          <w:szCs w:val="24"/>
          <w:shd w:val="clear" w:color="auto" w:fill="FFFFFF"/>
          <w:lang w:val="en-US" w:eastAsia="zh-CN"/>
        </w:rPr>
        <w:t>4</w:t>
      </w:r>
      <w:r>
        <w:rPr>
          <w:rFonts w:hint="eastAsia" w:ascii="仿宋_GB2312" w:hAnsi="仿宋_GB2312" w:eastAsia="仿宋_GB2312" w:cs="仿宋_GB2312"/>
          <w:color w:val="auto"/>
          <w:sz w:val="32"/>
          <w:szCs w:val="24"/>
          <w:shd w:val="clear" w:color="auto" w:fill="FFFFFF"/>
          <w:lang w:val="zh-CN"/>
        </w:rPr>
        <w:t xml:space="preserve"> 人，工勤人员 </w:t>
      </w:r>
      <w:r>
        <w:rPr>
          <w:rFonts w:hint="eastAsia" w:hAnsi="仿宋_GB2312" w:eastAsia="仿宋_GB2312" w:cs="仿宋_GB2312"/>
          <w:color w:val="auto"/>
          <w:sz w:val="32"/>
          <w:szCs w:val="24"/>
          <w:shd w:val="clear" w:color="auto" w:fill="FFFFFF"/>
          <w:lang w:val="en-US" w:eastAsia="zh-CN"/>
        </w:rPr>
        <w:t>0</w:t>
      </w:r>
      <w:r>
        <w:rPr>
          <w:rFonts w:hint="eastAsia" w:ascii="仿宋_GB2312" w:hAnsi="仿宋_GB2312" w:eastAsia="仿宋_GB2312" w:cs="仿宋_GB2312"/>
          <w:color w:val="auto"/>
          <w:sz w:val="32"/>
          <w:szCs w:val="24"/>
          <w:shd w:val="clear" w:color="auto" w:fill="FFFFFF"/>
          <w:lang w:val="zh-CN"/>
        </w:rPr>
        <w:t>人；离退休人员 0 人，其中：退休人员 0 人。</w:t>
      </w:r>
    </w:p>
    <w:p w14:paraId="36ACE773">
      <w:pPr>
        <w:outlineLvl w:val="1"/>
        <w:rPr>
          <w:rFonts w:ascii="黑体" w:hAnsi="黑体" w:eastAsia="黑体"/>
          <w:sz w:val="32"/>
          <w:szCs w:val="32"/>
        </w:rPr>
      </w:pPr>
      <w:bookmarkStart w:id="85" w:name="_Toc32094"/>
      <w:r>
        <w:rPr>
          <w:rFonts w:hint="eastAsia" w:ascii="黑体" w:hAnsi="黑体" w:eastAsia="黑体"/>
          <w:sz w:val="32"/>
          <w:szCs w:val="32"/>
        </w:rPr>
        <w:t>二、部门资金收支情况</w:t>
      </w:r>
      <w:bookmarkEnd w:id="85"/>
    </w:p>
    <w:p w14:paraId="2BBF7B2B">
      <w:pPr>
        <w:ind w:firstLine="643" w:firstLineChars="200"/>
        <w:outlineLvl w:val="2"/>
        <w:rPr>
          <w:rFonts w:hint="eastAsia" w:ascii="楷体_GB2312" w:eastAsia="楷体_GB2312"/>
          <w:b/>
          <w:sz w:val="32"/>
          <w:szCs w:val="32"/>
        </w:rPr>
      </w:pPr>
      <w:bookmarkStart w:id="86" w:name="_Toc20197"/>
      <w:r>
        <w:rPr>
          <w:rFonts w:hint="eastAsia" w:ascii="楷体_GB2312" w:eastAsia="楷体_GB2312"/>
          <w:b/>
          <w:sz w:val="32"/>
          <w:szCs w:val="32"/>
        </w:rPr>
        <w:t>（一）收入情况。</w:t>
      </w:r>
      <w:bookmarkEnd w:id="86"/>
    </w:p>
    <w:p w14:paraId="32B902ED">
      <w:pPr>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color w:val="auto"/>
          <w:sz w:val="32"/>
          <w:szCs w:val="24"/>
          <w:shd w:val="clear" w:color="auto" w:fill="FFFFFF"/>
          <w:lang w:val="zh-CN"/>
        </w:rPr>
        <w:t>德阳市罗江区地方气象服务中心</w:t>
      </w:r>
      <w:r>
        <w:rPr>
          <w:rFonts w:hint="eastAsia" w:ascii="仿宋_GB2312" w:eastAsia="仿宋_GB2312"/>
          <w:sz w:val="32"/>
          <w:szCs w:val="32"/>
          <w:highlight w:val="none"/>
        </w:rPr>
        <w:t>2023年度本部门年初预算收入</w:t>
      </w:r>
      <w:r>
        <w:rPr>
          <w:rFonts w:hint="eastAsia" w:ascii="仿宋_GB2312" w:eastAsia="仿宋_GB2312"/>
          <w:sz w:val="32"/>
          <w:szCs w:val="32"/>
          <w:highlight w:val="none"/>
          <w:lang w:val="en-US" w:eastAsia="zh-CN"/>
        </w:rPr>
        <w:t>250.38</w:t>
      </w:r>
      <w:r>
        <w:rPr>
          <w:rFonts w:hint="eastAsia" w:ascii="仿宋_GB2312" w:eastAsia="仿宋_GB2312"/>
          <w:sz w:val="32"/>
          <w:szCs w:val="32"/>
          <w:highlight w:val="none"/>
        </w:rPr>
        <w:t>万元，决算报表总收入</w:t>
      </w:r>
      <w:r>
        <w:rPr>
          <w:rFonts w:hint="eastAsia" w:ascii="仿宋_GB2312" w:eastAsia="仿宋_GB2312"/>
          <w:sz w:val="32"/>
          <w:szCs w:val="32"/>
          <w:highlight w:val="none"/>
          <w:lang w:val="en-US" w:eastAsia="zh-CN"/>
        </w:rPr>
        <w:t>248.46</w:t>
      </w:r>
      <w:r>
        <w:rPr>
          <w:rFonts w:hint="eastAsia" w:ascii="仿宋_GB2312" w:eastAsia="仿宋_GB2312"/>
          <w:sz w:val="32"/>
          <w:szCs w:val="32"/>
          <w:highlight w:val="none"/>
        </w:rPr>
        <w:t>万元，其中:一般公共预算财政拨款年初预算收入</w:t>
      </w:r>
      <w:r>
        <w:rPr>
          <w:rFonts w:hint="eastAsia" w:ascii="仿宋_GB2312" w:eastAsia="仿宋_GB2312"/>
          <w:sz w:val="32"/>
          <w:szCs w:val="32"/>
          <w:highlight w:val="none"/>
          <w:lang w:val="en-US" w:eastAsia="zh-CN"/>
        </w:rPr>
        <w:t>248.46</w:t>
      </w:r>
      <w:r>
        <w:rPr>
          <w:rFonts w:hint="eastAsia" w:ascii="仿宋_GB2312" w:eastAsia="仿宋_GB2312"/>
          <w:sz w:val="32"/>
          <w:szCs w:val="32"/>
          <w:highlight w:val="none"/>
        </w:rPr>
        <w:t>万元，决算报表收入</w:t>
      </w:r>
      <w:r>
        <w:rPr>
          <w:rFonts w:hint="eastAsia" w:ascii="仿宋_GB2312" w:eastAsia="仿宋_GB2312"/>
          <w:sz w:val="32"/>
          <w:szCs w:val="32"/>
          <w:highlight w:val="none"/>
          <w:lang w:val="en-US" w:eastAsia="zh-CN"/>
        </w:rPr>
        <w:t>248.46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14:paraId="416B68C6">
      <w:pPr>
        <w:numPr>
          <w:ilvl w:val="0"/>
          <w:numId w:val="5"/>
        </w:numPr>
        <w:ind w:left="0" w:leftChars="0" w:firstLine="643" w:firstLineChars="200"/>
        <w:outlineLvl w:val="2"/>
        <w:rPr>
          <w:rFonts w:hint="eastAsia" w:ascii="楷体_GB2312" w:eastAsia="楷体_GB2312"/>
          <w:b/>
          <w:sz w:val="32"/>
          <w:szCs w:val="32"/>
        </w:rPr>
      </w:pPr>
      <w:bookmarkStart w:id="87" w:name="_Toc29105"/>
      <w:r>
        <w:rPr>
          <w:rFonts w:hint="eastAsia" w:ascii="楷体_GB2312" w:eastAsia="楷体_GB2312"/>
          <w:b/>
          <w:sz w:val="32"/>
          <w:szCs w:val="32"/>
        </w:rPr>
        <w:t>支出情况。</w:t>
      </w:r>
      <w:bookmarkEnd w:id="87"/>
    </w:p>
    <w:p w14:paraId="0ADB767C">
      <w:pPr>
        <w:spacing w:line="600" w:lineRule="exact"/>
        <w:ind w:firstLine="640" w:firstLineChars="200"/>
      </w:pPr>
      <w:r>
        <w:rPr>
          <w:rFonts w:hint="eastAsia" w:ascii="仿宋_GB2312" w:hAnsi="仿宋_GB2312" w:eastAsia="仿宋_GB2312" w:cs="仿宋_GB2312"/>
          <w:color w:val="auto"/>
          <w:sz w:val="32"/>
          <w:szCs w:val="24"/>
          <w:highlight w:val="none"/>
          <w:shd w:val="clear" w:color="auto" w:fill="FFFFFF"/>
          <w:lang w:val="zh-CN"/>
        </w:rPr>
        <w:t>德阳市罗江区地方气象服务中心</w:t>
      </w:r>
      <w:r>
        <w:rPr>
          <w:rFonts w:hint="eastAsia" w:ascii="仿宋_GB2312" w:eastAsia="仿宋_GB2312"/>
          <w:sz w:val="32"/>
          <w:szCs w:val="32"/>
          <w:highlight w:val="none"/>
        </w:rPr>
        <w:t>2023年度本部门年初预算支出</w:t>
      </w:r>
      <w:r>
        <w:rPr>
          <w:rFonts w:hint="eastAsia" w:ascii="仿宋_GB2312" w:eastAsia="仿宋_GB2312"/>
          <w:sz w:val="32"/>
          <w:szCs w:val="32"/>
          <w:highlight w:val="none"/>
          <w:lang w:val="en-US" w:eastAsia="zh-CN"/>
        </w:rPr>
        <w:t>250.38</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250.38</w:t>
      </w:r>
      <w:r>
        <w:rPr>
          <w:rFonts w:hint="eastAsia" w:ascii="仿宋_GB2312" w:eastAsia="仿宋_GB2312"/>
          <w:sz w:val="32"/>
          <w:szCs w:val="32"/>
          <w:highlight w:val="none"/>
        </w:rPr>
        <w:t>万元。其中，按支出性质分类，基本支出年初预算支出</w:t>
      </w:r>
      <w:r>
        <w:rPr>
          <w:rFonts w:hint="eastAsia" w:ascii="仿宋_GB2312" w:eastAsia="仿宋_GB2312"/>
          <w:sz w:val="32"/>
          <w:szCs w:val="32"/>
          <w:highlight w:val="none"/>
          <w:lang w:val="en-US" w:eastAsia="zh-CN"/>
        </w:rPr>
        <w:t>117.62</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117.62</w:t>
      </w:r>
      <w:r>
        <w:rPr>
          <w:rFonts w:hint="eastAsia" w:ascii="仿宋_GB2312" w:eastAsia="仿宋_GB2312"/>
          <w:sz w:val="32"/>
          <w:szCs w:val="32"/>
          <w:highlight w:val="none"/>
        </w:rPr>
        <w:t>万元(其中:人员经费年初预算支出</w:t>
      </w:r>
      <w:r>
        <w:rPr>
          <w:rFonts w:hint="eastAsia" w:ascii="仿宋_GB2312" w:eastAsia="仿宋_GB2312"/>
          <w:sz w:val="32"/>
          <w:szCs w:val="32"/>
          <w:highlight w:val="none"/>
          <w:lang w:val="en-US" w:eastAsia="zh-CN"/>
        </w:rPr>
        <w:t>110.55</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110.55</w:t>
      </w:r>
      <w:r>
        <w:rPr>
          <w:rFonts w:hint="eastAsia" w:ascii="仿宋_GB2312" w:eastAsia="仿宋_GB2312"/>
          <w:sz w:val="32"/>
          <w:szCs w:val="32"/>
          <w:highlight w:val="none"/>
        </w:rPr>
        <w:t>万元；公用经费年初预算支出</w:t>
      </w:r>
      <w:r>
        <w:rPr>
          <w:rFonts w:hint="eastAsia" w:ascii="仿宋_GB2312" w:eastAsia="仿宋_GB2312"/>
          <w:sz w:val="32"/>
          <w:szCs w:val="32"/>
          <w:highlight w:val="none"/>
          <w:lang w:val="en-US" w:eastAsia="zh-CN"/>
        </w:rPr>
        <w:t>7.06</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7.06</w:t>
      </w:r>
      <w:r>
        <w:rPr>
          <w:rFonts w:hint="eastAsia" w:ascii="仿宋_GB2312" w:eastAsia="仿宋_GB2312"/>
          <w:sz w:val="32"/>
          <w:szCs w:val="32"/>
          <w:highlight w:val="none"/>
        </w:rPr>
        <w:t>万元)，项目支出年初预算支出</w:t>
      </w:r>
      <w:r>
        <w:rPr>
          <w:rFonts w:hint="eastAsia" w:ascii="仿宋_GB2312" w:eastAsia="仿宋_GB2312"/>
          <w:sz w:val="32"/>
          <w:szCs w:val="32"/>
          <w:highlight w:val="none"/>
          <w:lang w:val="en-US" w:eastAsia="zh-CN"/>
        </w:rPr>
        <w:t>130.84</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130.84</w:t>
      </w:r>
      <w:r>
        <w:rPr>
          <w:rFonts w:hint="eastAsia" w:ascii="仿宋_GB2312" w:eastAsia="仿宋_GB2312"/>
          <w:sz w:val="32"/>
          <w:szCs w:val="32"/>
          <w:highlight w:val="none"/>
        </w:rPr>
        <w:t>万元(其中:基本建设类项目年初预算支出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万元);按支出经济分类，工资福利支出年初预算支出</w:t>
      </w:r>
      <w:r>
        <w:rPr>
          <w:rFonts w:hint="eastAsia" w:ascii="仿宋_GB2312" w:eastAsia="仿宋_GB2312"/>
          <w:sz w:val="32"/>
          <w:szCs w:val="32"/>
          <w:highlight w:val="none"/>
          <w:lang w:val="en-US" w:eastAsia="zh-CN"/>
        </w:rPr>
        <w:t>108.31</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108.31</w:t>
      </w:r>
      <w:r>
        <w:rPr>
          <w:rFonts w:hint="eastAsia" w:ascii="仿宋_GB2312" w:eastAsia="仿宋_GB2312"/>
          <w:sz w:val="32"/>
          <w:szCs w:val="32"/>
          <w:highlight w:val="none"/>
        </w:rPr>
        <w:t>万元；商品服务支出年初预算支出</w:t>
      </w:r>
      <w:r>
        <w:rPr>
          <w:rFonts w:hint="eastAsia" w:ascii="仿宋_GB2312" w:eastAsia="仿宋_GB2312"/>
          <w:sz w:val="32"/>
          <w:szCs w:val="32"/>
          <w:highlight w:val="none"/>
          <w:lang w:val="en-US" w:eastAsia="zh-CN"/>
        </w:rPr>
        <w:t>7.06</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7.06</w:t>
      </w:r>
      <w:r>
        <w:rPr>
          <w:rFonts w:hint="eastAsia" w:ascii="仿宋_GB2312" w:eastAsia="仿宋_GB2312"/>
          <w:sz w:val="32"/>
          <w:szCs w:val="32"/>
          <w:highlight w:val="none"/>
        </w:rPr>
        <w:t>万元；对个人及家庭补助支出年初预算支出</w:t>
      </w:r>
      <w:r>
        <w:rPr>
          <w:rFonts w:hint="eastAsia" w:ascii="仿宋_GB2312" w:eastAsia="仿宋_GB2312"/>
          <w:sz w:val="32"/>
          <w:szCs w:val="32"/>
          <w:highlight w:val="none"/>
          <w:lang w:val="en-US" w:eastAsia="zh-CN"/>
        </w:rPr>
        <w:t>0.24</w:t>
      </w:r>
      <w:r>
        <w:rPr>
          <w:rFonts w:hint="eastAsia" w:ascii="仿宋_GB2312" w:eastAsia="仿宋_GB2312"/>
          <w:sz w:val="32"/>
          <w:szCs w:val="32"/>
          <w:highlight w:val="none"/>
        </w:rPr>
        <w:t>万元，决算报表支出</w:t>
      </w:r>
      <w:r>
        <w:rPr>
          <w:rFonts w:hint="eastAsia" w:ascii="仿宋_GB2312" w:eastAsia="仿宋_GB2312"/>
          <w:sz w:val="32"/>
          <w:szCs w:val="32"/>
          <w:highlight w:val="none"/>
          <w:lang w:val="en-US" w:eastAsia="zh-CN"/>
        </w:rPr>
        <w:t>0.24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14:paraId="2BF72D93">
      <w:pPr>
        <w:numPr>
          <w:ilvl w:val="0"/>
          <w:numId w:val="5"/>
        </w:numPr>
        <w:ind w:left="0" w:leftChars="0" w:firstLine="643" w:firstLineChars="200"/>
        <w:outlineLvl w:val="2"/>
        <w:rPr>
          <w:rFonts w:hint="eastAsia" w:ascii="仿宋_GB2312" w:hAnsi="Times New Roman" w:eastAsia="仿宋_GB2312" w:cs="Times New Roman"/>
          <w:b/>
          <w:bCs w:val="0"/>
          <w:kern w:val="2"/>
          <w:sz w:val="32"/>
          <w:szCs w:val="32"/>
          <w:highlight w:val="none"/>
          <w:lang w:val="en-US" w:eastAsia="zh-CN" w:bidi="ar-SA"/>
        </w:rPr>
      </w:pPr>
      <w:bookmarkStart w:id="88" w:name="_Toc7192"/>
      <w:r>
        <w:rPr>
          <w:rFonts w:hint="eastAsia" w:ascii="楷体_GB2312" w:eastAsia="楷体_GB2312"/>
          <w:b/>
          <w:bCs w:val="0"/>
          <w:sz w:val="32"/>
          <w:szCs w:val="32"/>
        </w:rPr>
        <w:t>结余分配和结转结余情况。</w:t>
      </w:r>
      <w:bookmarkEnd w:id="88"/>
    </w:p>
    <w:p w14:paraId="37FB4AF3">
      <w:pPr>
        <w:numPr>
          <w:ilvl w:val="0"/>
          <w:numId w:val="0"/>
        </w:numPr>
        <w:ind w:firstLine="640" w:firstLineChars="200"/>
        <w:rPr>
          <w:highlight w:val="none"/>
        </w:rPr>
      </w:pPr>
      <w:r>
        <w:rPr>
          <w:rFonts w:hint="eastAsia" w:ascii="仿宋_GB2312" w:hAnsi="Times New Roman" w:eastAsia="仿宋_GB2312" w:cs="Times New Roman"/>
          <w:b w:val="0"/>
          <w:kern w:val="2"/>
          <w:sz w:val="32"/>
          <w:szCs w:val="32"/>
          <w:highlight w:val="none"/>
          <w:lang w:val="zh-CN" w:eastAsia="zh-CN" w:bidi="ar-SA"/>
        </w:rPr>
        <w:t>德阳市罗江区地方气象服务中心</w:t>
      </w:r>
      <w:r>
        <w:rPr>
          <w:rFonts w:hint="eastAsia" w:ascii="仿宋_GB2312" w:eastAsia="仿宋_GB2312"/>
          <w:sz w:val="32"/>
          <w:szCs w:val="32"/>
          <w:highlight w:val="none"/>
        </w:rPr>
        <w:t>2023年本部门决算无财政拨款资金结余。</w:t>
      </w:r>
    </w:p>
    <w:p w14:paraId="5CE989D4">
      <w:pPr>
        <w:outlineLvl w:val="1"/>
        <w:rPr>
          <w:rFonts w:ascii="黑体" w:hAnsi="黑体" w:eastAsia="黑体"/>
          <w:sz w:val="32"/>
          <w:szCs w:val="32"/>
        </w:rPr>
      </w:pPr>
      <w:bookmarkStart w:id="89" w:name="_Toc6577"/>
      <w:r>
        <w:rPr>
          <w:rFonts w:hint="eastAsia" w:ascii="黑体" w:hAnsi="黑体" w:eastAsia="黑体"/>
          <w:sz w:val="32"/>
          <w:szCs w:val="32"/>
        </w:rPr>
        <w:t>三、部门预算绩效分析</w:t>
      </w:r>
      <w:bookmarkEnd w:id="89"/>
    </w:p>
    <w:p w14:paraId="241EAAFE">
      <w:pPr>
        <w:outlineLvl w:val="2"/>
        <w:rPr>
          <w:rFonts w:hint="eastAsia" w:ascii="楷体_GB2312" w:eastAsia="楷体_GB2312"/>
          <w:b/>
          <w:sz w:val="32"/>
          <w:szCs w:val="32"/>
        </w:rPr>
      </w:pPr>
      <w:bookmarkStart w:id="90" w:name="_Toc19181"/>
      <w:r>
        <w:rPr>
          <w:rFonts w:hint="eastAsia" w:ascii="楷体_GB2312" w:eastAsia="楷体_GB2312"/>
          <w:b/>
          <w:sz w:val="32"/>
          <w:szCs w:val="32"/>
        </w:rPr>
        <w:t>（一）部门预算总体绩效分析。</w:t>
      </w:r>
      <w:bookmarkEnd w:id="90"/>
    </w:p>
    <w:p w14:paraId="33890346">
      <w:pPr>
        <w:pStyle w:val="2"/>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rPr>
        <w:t>1.</w:t>
      </w:r>
      <w:r>
        <w:rPr>
          <w:rFonts w:hint="eastAsia" w:ascii="楷体_GB2312" w:hAnsi="楷体_GB2312" w:eastAsia="楷体_GB2312" w:cs="楷体_GB2312"/>
          <w:color w:val="000000"/>
          <w:kern w:val="0"/>
          <w:sz w:val="32"/>
          <w:szCs w:val="32"/>
          <w:shd w:val="clear" w:color="auto" w:fill="FFFFFF"/>
          <w:lang w:val="zh-CN"/>
        </w:rPr>
        <w:t>履职</w:t>
      </w:r>
      <w:r>
        <w:rPr>
          <w:rFonts w:hint="eastAsia" w:ascii="楷体_GB2312" w:hAnsi="楷体_GB2312" w:eastAsia="楷体_GB2312" w:cs="楷体_GB2312"/>
          <w:color w:val="000000"/>
          <w:kern w:val="0"/>
          <w:sz w:val="32"/>
          <w:szCs w:val="32"/>
          <w:shd w:val="clear" w:color="auto" w:fill="FFFFFF"/>
        </w:rPr>
        <w:t>效能</w:t>
      </w:r>
      <w:r>
        <w:rPr>
          <w:rFonts w:hint="eastAsia" w:ascii="楷体_GB2312" w:hAnsi="楷体_GB2312" w:eastAsia="楷体_GB2312" w:cs="楷体_GB2312"/>
          <w:color w:val="000000"/>
          <w:kern w:val="0"/>
          <w:sz w:val="32"/>
          <w:szCs w:val="32"/>
          <w:shd w:val="clear" w:color="auto" w:fill="FFFFFF"/>
          <w:lang w:val="zh-CN"/>
        </w:rPr>
        <w:t>。</w:t>
      </w:r>
    </w:p>
    <w:p w14:paraId="1A3B5C90">
      <w:pPr>
        <w:pStyle w:val="2"/>
        <w:rPr>
          <w:rFonts w:hint="eastAsia" w:ascii="Times New Roman" w:hAnsi="Times New Roman" w:eastAsia="仿宋_GB2312" w:cs="Times New Roman"/>
          <w:b w:val="0"/>
          <w:kern w:val="2"/>
          <w:sz w:val="32"/>
          <w:szCs w:val="32"/>
          <w:lang w:val="zh-CN" w:eastAsia="zh-CN" w:bidi="ar-SA"/>
        </w:rPr>
      </w:pPr>
      <w:r>
        <w:rPr>
          <w:rFonts w:hint="eastAsia" w:ascii="仿宋_GB2312" w:hAnsi="仿宋_GB2312" w:eastAsia="仿宋_GB2312"/>
          <w:color w:val="auto"/>
          <w:sz w:val="32"/>
          <w:szCs w:val="24"/>
          <w:lang w:val="zh-CN"/>
        </w:rPr>
        <w:t>本部门人员类项目</w:t>
      </w:r>
      <w:r>
        <w:rPr>
          <w:rFonts w:hint="eastAsia" w:hAnsi="仿宋_GB2312" w:eastAsia="仿宋_GB2312"/>
          <w:color w:val="auto"/>
          <w:sz w:val="32"/>
          <w:szCs w:val="24"/>
          <w:lang w:val="en-US" w:eastAsia="zh-CN"/>
        </w:rPr>
        <w:t>全年预算金额</w:t>
      </w:r>
      <w:r>
        <w:rPr>
          <w:rFonts w:hint="eastAsia" w:ascii="仿宋" w:hAnsi="仿宋" w:eastAsia="仿宋" w:cs="Times New Roman"/>
          <w:sz w:val="32"/>
          <w:szCs w:val="32"/>
        </w:rPr>
        <w:t>110.55万元</w:t>
      </w:r>
      <w:r>
        <w:rPr>
          <w:rFonts w:hint="eastAsia" w:ascii="仿宋" w:hAnsi="仿宋" w:eastAsia="仿宋" w:cs="Times New Roman"/>
          <w:sz w:val="32"/>
          <w:szCs w:val="32"/>
          <w:lang w:eastAsia="zh-CN"/>
        </w:rPr>
        <w:t>，</w:t>
      </w:r>
      <w:r>
        <w:rPr>
          <w:rFonts w:hint="eastAsia" w:ascii="仿宋_GB2312" w:hAnsi="仿宋_GB2312" w:eastAsia="仿宋_GB2312"/>
          <w:color w:val="auto"/>
          <w:sz w:val="32"/>
          <w:szCs w:val="24"/>
          <w:lang w:val="zh-CN"/>
        </w:rPr>
        <w:t>完成支付金额</w:t>
      </w:r>
      <w:r>
        <w:rPr>
          <w:rFonts w:hint="eastAsia" w:hAnsi="仿宋_GB2312" w:eastAsia="仿宋_GB2312"/>
          <w:color w:val="auto"/>
          <w:sz w:val="32"/>
          <w:szCs w:val="24"/>
          <w:lang w:val="en-US" w:eastAsia="zh-CN"/>
        </w:rPr>
        <w:t>110.55</w:t>
      </w:r>
      <w:r>
        <w:rPr>
          <w:rFonts w:hint="eastAsia" w:ascii="仿宋_GB2312" w:hAnsi="仿宋_GB2312" w:eastAsia="仿宋_GB2312"/>
          <w:color w:val="auto"/>
          <w:sz w:val="32"/>
          <w:szCs w:val="24"/>
          <w:lang w:val="zh-CN"/>
        </w:rPr>
        <w:t>万元，执行进度</w:t>
      </w:r>
      <w:r>
        <w:rPr>
          <w:rFonts w:hint="eastAsia" w:ascii="仿宋_GB2312" w:hAnsi="仿宋_GB2312" w:eastAsia="仿宋_GB2312"/>
          <w:color w:val="auto"/>
          <w:sz w:val="32"/>
          <w:szCs w:val="24"/>
          <w:lang w:val="en-US" w:eastAsia="zh-CN"/>
        </w:rPr>
        <w:t>100</w:t>
      </w:r>
      <w:r>
        <w:rPr>
          <w:rFonts w:hint="eastAsia" w:ascii="仿宋_GB2312" w:hAnsi="仿宋_GB2312" w:eastAsia="仿宋_GB2312"/>
          <w:color w:val="auto"/>
          <w:sz w:val="32"/>
          <w:szCs w:val="24"/>
          <w:lang w:val="zh-CN"/>
        </w:rPr>
        <w:t>%，预算完成情况较好</w:t>
      </w:r>
      <w:r>
        <w:rPr>
          <w:rFonts w:hint="eastAsia" w:hAnsi="仿宋_GB2312" w:eastAsia="仿宋_GB2312"/>
          <w:color w:val="auto"/>
          <w:sz w:val="32"/>
          <w:szCs w:val="24"/>
          <w:lang w:val="zh-CN"/>
        </w:rPr>
        <w:t>；</w:t>
      </w:r>
      <w:r>
        <w:rPr>
          <w:rFonts w:hint="eastAsia" w:ascii="仿宋_GB2312" w:hAnsi="仿宋_GB2312" w:eastAsia="仿宋_GB2312"/>
          <w:color w:val="auto"/>
          <w:sz w:val="32"/>
          <w:szCs w:val="24"/>
          <w:lang w:val="en-US"/>
        </w:rPr>
        <w:t>本部门</w:t>
      </w:r>
      <w:r>
        <w:rPr>
          <w:rFonts w:hint="eastAsia" w:hAnsi="仿宋_GB2312" w:eastAsia="仿宋_GB2312"/>
          <w:color w:val="auto"/>
          <w:sz w:val="32"/>
          <w:szCs w:val="24"/>
          <w:lang w:val="en-US" w:eastAsia="zh-CN"/>
        </w:rPr>
        <w:t>运转类</w:t>
      </w:r>
      <w:r>
        <w:rPr>
          <w:rFonts w:hint="eastAsia" w:ascii="仿宋_GB2312" w:hAnsi="仿宋_GB2312" w:eastAsia="仿宋_GB2312"/>
          <w:color w:val="auto"/>
          <w:sz w:val="32"/>
          <w:szCs w:val="24"/>
          <w:lang w:val="en-US"/>
        </w:rPr>
        <w:t>公用经费全年预算金额</w:t>
      </w:r>
      <w:r>
        <w:rPr>
          <w:rFonts w:hint="eastAsia" w:hAnsi="仿宋_GB2312" w:eastAsia="仿宋_GB2312"/>
          <w:color w:val="auto"/>
          <w:sz w:val="32"/>
          <w:szCs w:val="24"/>
          <w:lang w:val="en-US" w:eastAsia="zh-CN"/>
        </w:rPr>
        <w:t>7.06</w:t>
      </w:r>
      <w:r>
        <w:rPr>
          <w:rFonts w:hint="eastAsia" w:ascii="仿宋_GB2312" w:hAnsi="仿宋_GB2312" w:eastAsia="仿宋_GB2312"/>
          <w:color w:val="auto"/>
          <w:sz w:val="32"/>
          <w:szCs w:val="24"/>
          <w:lang w:val="en-US"/>
        </w:rPr>
        <w:t>万元，完成支付金额</w:t>
      </w:r>
      <w:r>
        <w:rPr>
          <w:rFonts w:hint="eastAsia" w:hAnsi="仿宋_GB2312" w:eastAsia="仿宋_GB2312"/>
          <w:color w:val="auto"/>
          <w:sz w:val="32"/>
          <w:szCs w:val="24"/>
          <w:lang w:val="en-US" w:eastAsia="zh-CN"/>
        </w:rPr>
        <w:t>7.06万元</w:t>
      </w:r>
      <w:r>
        <w:rPr>
          <w:rFonts w:hint="eastAsia" w:ascii="仿宋_GB2312" w:hAnsi="仿宋_GB2312" w:eastAsia="仿宋_GB2312"/>
          <w:color w:val="auto"/>
          <w:sz w:val="32"/>
          <w:szCs w:val="24"/>
          <w:lang w:val="en-US"/>
        </w:rPr>
        <w:t>，执行进度</w:t>
      </w:r>
      <w:r>
        <w:rPr>
          <w:rFonts w:hint="eastAsia" w:ascii="仿宋_GB2312" w:hAnsi="仿宋_GB2312" w:eastAsia="仿宋_GB2312"/>
          <w:color w:val="auto"/>
          <w:sz w:val="32"/>
          <w:szCs w:val="24"/>
          <w:lang w:val="en-US" w:eastAsia="zh-CN"/>
        </w:rPr>
        <w:t>100</w:t>
      </w:r>
      <w:r>
        <w:rPr>
          <w:rFonts w:hint="eastAsia" w:ascii="仿宋_GB2312" w:hAnsi="仿宋_GB2312" w:eastAsia="仿宋_GB2312"/>
          <w:color w:val="auto"/>
          <w:sz w:val="32"/>
          <w:szCs w:val="24"/>
          <w:lang w:val="en-US"/>
        </w:rPr>
        <w:t>%</w:t>
      </w:r>
      <w:r>
        <w:rPr>
          <w:rFonts w:hint="eastAsia" w:ascii="仿宋_GB2312" w:hAnsi="仿宋_GB2312" w:eastAsia="仿宋_GB2312"/>
          <w:color w:val="auto"/>
          <w:sz w:val="32"/>
          <w:szCs w:val="24"/>
          <w:lang w:val="zh-CN"/>
        </w:rPr>
        <w:t>，预算完成情况较好</w:t>
      </w:r>
      <w:r>
        <w:rPr>
          <w:rFonts w:hint="eastAsia" w:hAnsi="仿宋_GB2312" w:eastAsia="仿宋_GB2312"/>
          <w:color w:val="auto"/>
          <w:sz w:val="32"/>
          <w:szCs w:val="24"/>
          <w:lang w:val="zh-CN"/>
        </w:rPr>
        <w:t>；</w:t>
      </w:r>
      <w:r>
        <w:rPr>
          <w:rFonts w:hint="eastAsia" w:ascii="Times New Roman" w:hAnsi="Times New Roman" w:eastAsia="仿宋_GB2312" w:cs="Times New Roman"/>
          <w:b w:val="0"/>
          <w:kern w:val="2"/>
          <w:sz w:val="32"/>
          <w:szCs w:val="32"/>
          <w:lang w:val="zh-CN" w:eastAsia="zh-CN" w:bidi="ar-SA"/>
        </w:rPr>
        <w:t>本部门</w:t>
      </w:r>
      <w:r>
        <w:rPr>
          <w:rFonts w:hint="eastAsia" w:ascii="Times New Roman" w:hAnsi="Times New Roman" w:eastAsia="仿宋_GB2312" w:cs="Times New Roman"/>
          <w:b w:val="0"/>
          <w:kern w:val="2"/>
          <w:sz w:val="32"/>
          <w:szCs w:val="32"/>
          <w:lang w:val="en-US" w:eastAsia="zh-CN" w:bidi="ar-SA"/>
        </w:rPr>
        <w:t>特定目标类项目</w:t>
      </w:r>
      <w:r>
        <w:rPr>
          <w:rFonts w:hint="eastAsia" w:ascii="Times New Roman" w:hAnsi="Times New Roman" w:eastAsia="仿宋_GB2312" w:cs="Times New Roman"/>
          <w:b w:val="0"/>
          <w:kern w:val="2"/>
          <w:sz w:val="32"/>
          <w:szCs w:val="32"/>
          <w:lang w:val="zh-CN" w:eastAsia="zh-CN" w:bidi="ar-SA"/>
        </w:rPr>
        <w:t>均严格按规定格式和要求填报绩效目标，设定了年度绩效数量指标、成本指标、效益指标等，详细反映了相应项目工作任务、达成的效果，全年预算金额</w:t>
      </w:r>
      <w:r>
        <w:rPr>
          <w:rFonts w:hint="eastAsia" w:ascii="Times New Roman" w:hAnsi="Times New Roman" w:eastAsia="仿宋_GB2312" w:cs="Times New Roman"/>
          <w:b w:val="0"/>
          <w:kern w:val="2"/>
          <w:sz w:val="32"/>
          <w:szCs w:val="32"/>
          <w:lang w:val="en-US" w:eastAsia="zh-CN" w:bidi="ar-SA"/>
        </w:rPr>
        <w:t>130.84</w:t>
      </w:r>
      <w:r>
        <w:rPr>
          <w:rFonts w:hint="eastAsia" w:ascii="Times New Roman" w:hAnsi="Times New Roman" w:eastAsia="仿宋_GB2312" w:cs="Times New Roman"/>
          <w:b w:val="0"/>
          <w:kern w:val="2"/>
          <w:sz w:val="32"/>
          <w:szCs w:val="32"/>
          <w:lang w:val="zh-CN" w:eastAsia="zh-CN" w:bidi="ar-SA"/>
        </w:rPr>
        <w:t>万元，完成支付金额</w:t>
      </w:r>
      <w:r>
        <w:rPr>
          <w:rFonts w:hint="eastAsia" w:ascii="Times New Roman" w:hAnsi="Times New Roman" w:eastAsia="仿宋_GB2312" w:cs="Times New Roman"/>
          <w:b w:val="0"/>
          <w:kern w:val="2"/>
          <w:sz w:val="32"/>
          <w:szCs w:val="32"/>
          <w:lang w:val="en-US" w:eastAsia="zh-CN" w:bidi="ar-SA"/>
        </w:rPr>
        <w:t>130.84</w:t>
      </w:r>
      <w:r>
        <w:rPr>
          <w:rFonts w:hint="eastAsia" w:ascii="Times New Roman" w:hAnsi="Times New Roman" w:eastAsia="仿宋_GB2312" w:cs="Times New Roman"/>
          <w:b w:val="0"/>
          <w:kern w:val="2"/>
          <w:sz w:val="32"/>
          <w:szCs w:val="32"/>
          <w:lang w:val="zh-CN" w:eastAsia="zh-CN" w:bidi="ar-SA"/>
        </w:rPr>
        <w:t>万元，执行进度</w:t>
      </w:r>
      <w:r>
        <w:rPr>
          <w:rFonts w:hint="eastAsia" w:ascii="Times New Roman" w:hAnsi="Times New Roman" w:eastAsia="仿宋_GB2312" w:cs="Times New Roman"/>
          <w:b w:val="0"/>
          <w:kern w:val="2"/>
          <w:sz w:val="32"/>
          <w:szCs w:val="32"/>
          <w:lang w:val="en-US" w:eastAsia="zh-CN" w:bidi="ar-SA"/>
        </w:rPr>
        <w:t>100</w:t>
      </w:r>
      <w:r>
        <w:rPr>
          <w:rFonts w:hint="eastAsia" w:ascii="Times New Roman" w:hAnsi="Times New Roman" w:eastAsia="仿宋_GB2312" w:cs="Times New Roman"/>
          <w:b w:val="0"/>
          <w:kern w:val="2"/>
          <w:sz w:val="32"/>
          <w:szCs w:val="32"/>
          <w:lang w:val="zh-CN" w:eastAsia="zh-CN" w:bidi="ar-SA"/>
        </w:rPr>
        <w:t>%。</w:t>
      </w:r>
    </w:p>
    <w:p w14:paraId="47D00D8E">
      <w:pPr>
        <w:pStyle w:val="2"/>
        <w:numPr>
          <w:ilvl w:val="0"/>
          <w:numId w:val="0"/>
        </w:numPr>
        <w:ind w:leftChars="400"/>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en-US" w:eastAsia="zh-CN"/>
        </w:rPr>
        <w:t>2.</w:t>
      </w:r>
      <w:r>
        <w:rPr>
          <w:rFonts w:hint="eastAsia" w:ascii="楷体_GB2312" w:hAnsi="楷体_GB2312" w:eastAsia="楷体_GB2312" w:cs="楷体_GB2312"/>
          <w:color w:val="000000"/>
          <w:kern w:val="0"/>
          <w:sz w:val="32"/>
          <w:szCs w:val="32"/>
          <w:shd w:val="clear" w:color="auto" w:fill="FFFFFF"/>
          <w:lang w:val="zh-CN"/>
        </w:rPr>
        <w:t>预算管理。</w:t>
      </w:r>
    </w:p>
    <w:p w14:paraId="12E1EFB6">
      <w:pPr>
        <w:pStyle w:val="2"/>
        <w:numPr>
          <w:ilvl w:val="0"/>
          <w:numId w:val="0"/>
        </w:numPr>
        <w:ind w:leftChars="400" w:firstLine="640" w:firstLineChars="200"/>
        <w:rPr>
          <w:rFonts w:ascii="楷体_GB2312" w:hAnsi="楷体_GB2312" w:eastAsia="楷体_GB2312" w:cs="楷体_GB2312"/>
          <w:color w:val="000000"/>
          <w:kern w:val="0"/>
          <w:sz w:val="32"/>
          <w:szCs w:val="32"/>
          <w:shd w:val="clear" w:color="auto" w:fill="FFFFFF"/>
          <w:lang w:val="zh-CN"/>
        </w:rPr>
      </w:pPr>
      <w:r>
        <w:rPr>
          <w:rFonts w:hint="eastAsia" w:eastAsia="仿宋_GB2312"/>
          <w:sz w:val="32"/>
          <w:szCs w:val="32"/>
          <w:lang w:val="en-US" w:eastAsia="zh-CN"/>
        </w:rPr>
        <w:t>本部门年初</w:t>
      </w:r>
      <w:r>
        <w:rPr>
          <w:rFonts w:hint="eastAsia" w:eastAsia="仿宋_GB2312"/>
          <w:sz w:val="32"/>
          <w:szCs w:val="32"/>
          <w:lang w:val="zh-CN"/>
        </w:rPr>
        <w:t>预算编制质量</w:t>
      </w:r>
      <w:r>
        <w:rPr>
          <w:rFonts w:hint="eastAsia" w:eastAsia="仿宋_GB2312"/>
          <w:sz w:val="32"/>
          <w:szCs w:val="32"/>
          <w:lang w:val="en-US" w:eastAsia="zh-CN"/>
        </w:rPr>
        <w:t>较高，完全按照预算编报要求合理编制，基本无资金缺口，也未造成资金浪费；基本</w:t>
      </w:r>
      <w:r>
        <w:rPr>
          <w:rFonts w:hint="eastAsia" w:eastAsia="仿宋_GB2312"/>
          <w:sz w:val="32"/>
          <w:szCs w:val="32"/>
          <w:lang w:val="zh-CN"/>
        </w:rPr>
        <w:t>支出</w:t>
      </w:r>
      <w:r>
        <w:rPr>
          <w:rFonts w:hint="eastAsia" w:eastAsia="仿宋_GB2312"/>
          <w:sz w:val="32"/>
          <w:szCs w:val="32"/>
          <w:lang w:val="en-US" w:eastAsia="zh-CN"/>
        </w:rPr>
        <w:t>按序时</w:t>
      </w:r>
      <w:r>
        <w:rPr>
          <w:rFonts w:hint="eastAsia" w:eastAsia="仿宋_GB2312"/>
          <w:sz w:val="32"/>
          <w:szCs w:val="32"/>
          <w:lang w:val="zh-CN"/>
        </w:rPr>
        <w:t>执行进度</w:t>
      </w:r>
      <w:r>
        <w:rPr>
          <w:rFonts w:hint="eastAsia" w:eastAsia="仿宋_GB2312"/>
          <w:sz w:val="32"/>
          <w:szCs w:val="32"/>
          <w:lang w:val="en-US" w:eastAsia="zh-CN"/>
        </w:rPr>
        <w:t>稳定，项目支出因合同支付时间原因，基本集中于年底支付完成；</w:t>
      </w:r>
      <w:r>
        <w:rPr>
          <w:rFonts w:hint="eastAsia" w:eastAsia="仿宋_GB2312"/>
          <w:sz w:val="32"/>
          <w:szCs w:val="32"/>
          <w:lang w:val="zh-CN"/>
        </w:rPr>
        <w:t>预算</w:t>
      </w:r>
      <w:r>
        <w:rPr>
          <w:rFonts w:hint="eastAsia" w:eastAsia="仿宋_GB2312"/>
          <w:sz w:val="32"/>
          <w:szCs w:val="32"/>
          <w:lang w:val="en-US" w:eastAsia="zh-CN"/>
        </w:rPr>
        <w:t>无</w:t>
      </w:r>
      <w:r>
        <w:rPr>
          <w:rFonts w:hint="eastAsia" w:eastAsia="仿宋_GB2312"/>
          <w:sz w:val="32"/>
          <w:szCs w:val="32"/>
          <w:lang w:val="zh-CN"/>
        </w:rPr>
        <w:t>年终结余。</w:t>
      </w:r>
    </w:p>
    <w:p w14:paraId="05579339">
      <w:pPr>
        <w:numPr>
          <w:ilvl w:val="0"/>
          <w:numId w:val="0"/>
        </w:num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en-US" w:eastAsia="zh-CN"/>
        </w:rPr>
        <w:t>3.</w:t>
      </w:r>
      <w:r>
        <w:rPr>
          <w:rFonts w:hint="eastAsia" w:ascii="楷体_GB2312" w:hAnsi="楷体_GB2312" w:eastAsia="楷体_GB2312" w:cs="楷体_GB2312"/>
          <w:color w:val="000000"/>
          <w:kern w:val="0"/>
          <w:sz w:val="32"/>
          <w:szCs w:val="32"/>
          <w:shd w:val="clear" w:color="auto" w:fill="FFFFFF"/>
          <w:lang w:val="zh-CN"/>
        </w:rPr>
        <w:t>财务管理。</w:t>
      </w:r>
    </w:p>
    <w:p w14:paraId="3240ED3F">
      <w:pPr>
        <w:numPr>
          <w:ilvl w:val="0"/>
          <w:numId w:val="0"/>
        </w:numPr>
        <w:adjustRightInd w:val="0"/>
        <w:snapToGrid w:val="0"/>
        <w:spacing w:line="578" w:lineRule="exact"/>
        <w:ind w:firstLine="640" w:firstLineChars="200"/>
        <w:jc w:val="left"/>
        <w:rPr>
          <w:rFonts w:ascii="楷体_GB2312" w:hAnsi="楷体_GB2312" w:eastAsia="楷体_GB2312" w:cs="楷体_GB2312"/>
          <w:color w:val="000000"/>
          <w:kern w:val="0"/>
          <w:sz w:val="32"/>
          <w:szCs w:val="32"/>
          <w:shd w:val="clear" w:color="auto" w:fill="FFFFFF"/>
          <w:lang w:val="zh-CN"/>
        </w:rPr>
      </w:pPr>
      <w:r>
        <w:rPr>
          <w:rFonts w:hint="eastAsia" w:eastAsia="仿宋_GB2312"/>
          <w:sz w:val="32"/>
          <w:szCs w:val="32"/>
          <w:lang w:val="en-US" w:eastAsia="zh-CN"/>
        </w:rPr>
        <w:t>本部门按照《罗江区气象局财务管理制度》</w:t>
      </w:r>
      <w:r>
        <w:rPr>
          <w:rFonts w:hint="eastAsia" w:eastAsia="仿宋_GB2312"/>
          <w:sz w:val="32"/>
          <w:szCs w:val="32"/>
          <w:lang w:val="zh-CN"/>
        </w:rPr>
        <w:t>围绕财务管理制度</w:t>
      </w:r>
      <w:r>
        <w:rPr>
          <w:rFonts w:hint="eastAsia" w:eastAsia="仿宋_GB2312"/>
          <w:sz w:val="32"/>
          <w:szCs w:val="32"/>
          <w:lang w:val="en-US" w:eastAsia="zh-CN"/>
        </w:rPr>
        <w:t>要求，</w:t>
      </w:r>
      <w:r>
        <w:rPr>
          <w:rFonts w:hint="eastAsia" w:ascii="仿宋_GB2312" w:hAnsi="仿宋_GB2312" w:eastAsia="仿宋_GB2312" w:cs="仿宋_GB2312"/>
          <w:sz w:val="32"/>
          <w:szCs w:val="32"/>
        </w:rPr>
        <w:t>制定完善报销手续，加强对支出凭证的审核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Hans"/>
        </w:rPr>
        <w:t>严格执行国家财经制度的开支范围及标准，对违反规定的支出，财务不予办理。</w:t>
      </w:r>
    </w:p>
    <w:p w14:paraId="623BDDA9">
      <w:pPr>
        <w:numPr>
          <w:ilvl w:val="0"/>
          <w:numId w:val="0"/>
        </w:num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lang w:val="zh-CN"/>
        </w:rPr>
      </w:pPr>
      <w:r>
        <w:rPr>
          <w:rFonts w:hint="eastAsia" w:ascii="楷体_GB2312" w:hAnsi="楷体_GB2312" w:eastAsia="楷体_GB2312" w:cs="楷体_GB2312"/>
          <w:color w:val="000000"/>
          <w:kern w:val="0"/>
          <w:sz w:val="32"/>
          <w:szCs w:val="32"/>
          <w:shd w:val="clear" w:color="auto" w:fill="FFFFFF"/>
          <w:lang w:val="en-US" w:eastAsia="zh-CN"/>
        </w:rPr>
        <w:t>4.</w:t>
      </w:r>
      <w:r>
        <w:rPr>
          <w:rFonts w:hint="eastAsia" w:ascii="楷体_GB2312" w:hAnsi="楷体_GB2312" w:eastAsia="楷体_GB2312" w:cs="楷体_GB2312"/>
          <w:color w:val="000000"/>
          <w:kern w:val="0"/>
          <w:sz w:val="32"/>
          <w:szCs w:val="32"/>
          <w:shd w:val="clear" w:color="auto" w:fill="FFFFFF"/>
          <w:lang w:val="zh-CN"/>
        </w:rPr>
        <w:t>资产管理。</w:t>
      </w:r>
    </w:p>
    <w:p w14:paraId="21D1EBFA">
      <w:pPr>
        <w:numPr>
          <w:ilvl w:val="0"/>
          <w:numId w:val="0"/>
        </w:numPr>
        <w:adjustRightInd w:val="0"/>
        <w:snapToGrid w:val="0"/>
        <w:spacing w:line="578" w:lineRule="exact"/>
        <w:ind w:firstLine="640" w:firstLineChars="200"/>
        <w:jc w:val="left"/>
        <w:rPr>
          <w:rFonts w:hint="eastAsia" w:ascii="Times New Roman" w:hAnsi="Times New Roman" w:eastAsia="仿宋_GB2312" w:cs="Times New Roman"/>
          <w:sz w:val="32"/>
          <w:szCs w:val="32"/>
          <w:lang w:val="zh-CN" w:eastAsia="zh-CN"/>
        </w:rPr>
      </w:pPr>
      <w:commentRangeStart w:id="11"/>
      <w:r>
        <w:rPr>
          <w:rFonts w:hint="eastAsia" w:ascii="Times New Roman" w:hAnsi="Times New Roman" w:eastAsia="仿宋_GB2312" w:cs="Times New Roman"/>
          <w:sz w:val="32"/>
          <w:szCs w:val="32"/>
          <w:lang w:val="en-US" w:eastAsia="zh-CN"/>
        </w:rPr>
        <w:t>本部门2023年度</w:t>
      </w:r>
      <w:r>
        <w:rPr>
          <w:rFonts w:hint="eastAsia" w:ascii="Times New Roman" w:hAnsi="Times New Roman" w:eastAsia="仿宋_GB2312" w:cs="Times New Roman"/>
          <w:sz w:val="32"/>
          <w:szCs w:val="32"/>
          <w:lang w:val="zh-CN" w:eastAsia="zh-CN"/>
        </w:rPr>
        <w:t>人均资产</w:t>
      </w:r>
      <w:r>
        <w:rPr>
          <w:rFonts w:hint="eastAsia" w:ascii="Times New Roman" w:hAnsi="Times New Roman" w:eastAsia="仿宋_GB2312" w:cs="Times New Roman"/>
          <w:sz w:val="32"/>
          <w:szCs w:val="32"/>
          <w:lang w:val="en-US" w:eastAsia="zh-CN"/>
        </w:rPr>
        <w:t>无变化</w:t>
      </w:r>
      <w:r>
        <w:rPr>
          <w:rFonts w:hint="eastAsia" w:ascii="Times New Roman" w:hAnsi="Times New Roman" w:eastAsia="仿宋_GB2312" w:cs="Times New Roman"/>
          <w:sz w:val="32"/>
          <w:szCs w:val="32"/>
          <w:lang w:val="zh-CN" w:eastAsia="zh-CN"/>
        </w:rPr>
        <w:t>、资产利用率</w:t>
      </w:r>
      <w:r>
        <w:rPr>
          <w:rFonts w:hint="eastAsia" w:ascii="Times New Roman" w:hAnsi="Times New Roman" w:eastAsia="仿宋_GB2312" w:cs="Times New Roman"/>
          <w:sz w:val="32"/>
          <w:szCs w:val="32"/>
          <w:lang w:val="en-US" w:eastAsia="zh-CN"/>
        </w:rPr>
        <w:t>高，无闲置资产</w:t>
      </w:r>
      <w:r>
        <w:rPr>
          <w:rFonts w:hint="eastAsia" w:ascii="Times New Roman" w:hAnsi="Times New Roman" w:eastAsia="仿宋_GB2312" w:cs="Times New Roman"/>
          <w:sz w:val="32"/>
          <w:szCs w:val="32"/>
          <w:lang w:val="zh-CN" w:eastAsia="zh-CN"/>
        </w:rPr>
        <w:t>。</w:t>
      </w:r>
    </w:p>
    <w:p w14:paraId="33134DC2">
      <w:pPr>
        <w:numPr>
          <w:ilvl w:val="0"/>
          <w:numId w:val="0"/>
        </w:numPr>
        <w:adjustRightInd w:val="0"/>
        <w:snapToGrid w:val="0"/>
        <w:spacing w:line="578" w:lineRule="exact"/>
        <w:ind w:firstLine="640" w:firstLineChars="200"/>
        <w:jc w:val="left"/>
        <w:rPr>
          <w:rFonts w:hint="eastAsia" w:ascii="楷体_GB2312" w:hAnsi="楷体_GB2312" w:eastAsia="楷体_GB2312" w:cs="楷体_GB2312"/>
          <w:color w:val="000000"/>
          <w:kern w:val="0"/>
          <w:sz w:val="32"/>
          <w:szCs w:val="32"/>
          <w:shd w:val="clear" w:color="auto" w:fill="FFFFFF"/>
          <w:lang w:val="zh-CN"/>
        </w:rPr>
      </w:pP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zh-CN" w:eastAsia="zh-CN"/>
        </w:rPr>
        <w:t>采购管</w:t>
      </w:r>
      <w:r>
        <w:rPr>
          <w:rFonts w:hint="eastAsia" w:ascii="楷体_GB2312" w:hAnsi="楷体_GB2312" w:eastAsia="楷体_GB2312" w:cs="楷体_GB2312"/>
          <w:color w:val="000000"/>
          <w:kern w:val="0"/>
          <w:sz w:val="32"/>
          <w:szCs w:val="32"/>
          <w:shd w:val="clear" w:color="auto" w:fill="FFFFFF"/>
          <w:lang w:val="zh-CN"/>
        </w:rPr>
        <w:t>理。</w:t>
      </w:r>
    </w:p>
    <w:p w14:paraId="1F3C0581">
      <w:pPr>
        <w:numPr>
          <w:ilvl w:val="0"/>
          <w:numId w:val="0"/>
        </w:numPr>
        <w:adjustRightInd w:val="0"/>
        <w:snapToGrid w:val="0"/>
        <w:spacing w:line="578" w:lineRule="exact"/>
        <w:ind w:leftChars="200"/>
        <w:jc w:val="left"/>
        <w:rPr>
          <w:rFonts w:ascii="楷体_GB2312" w:hAnsi="楷体_GB2312" w:eastAsia="楷体_GB2312" w:cs="楷体_GB2312"/>
          <w:color w:val="000000"/>
          <w:kern w:val="0"/>
          <w:sz w:val="32"/>
          <w:szCs w:val="32"/>
          <w:shd w:val="clear" w:color="auto" w:fill="FFFFFF"/>
          <w:lang w:val="zh-CN"/>
        </w:rPr>
      </w:pPr>
      <w:r>
        <w:rPr>
          <w:rFonts w:hint="eastAsia" w:eastAsia="仿宋_GB2312"/>
          <w:sz w:val="32"/>
          <w:szCs w:val="32"/>
          <w:lang w:val="en-US" w:eastAsia="zh-CN"/>
        </w:rPr>
        <w:t>本部门严格按照采购相关要求执行，优选</w:t>
      </w:r>
      <w:r>
        <w:rPr>
          <w:rFonts w:hint="eastAsia" w:eastAsia="仿宋_GB2312"/>
          <w:sz w:val="32"/>
          <w:szCs w:val="32"/>
          <w:lang w:val="zh-CN"/>
        </w:rPr>
        <w:t>中小企业、采购执行率</w:t>
      </w:r>
      <w:r>
        <w:rPr>
          <w:rFonts w:hint="eastAsia" w:eastAsia="仿宋_GB2312"/>
          <w:sz w:val="32"/>
          <w:szCs w:val="32"/>
          <w:lang w:val="en-US" w:eastAsia="zh-CN"/>
        </w:rPr>
        <w:t>高</w:t>
      </w:r>
      <w:r>
        <w:rPr>
          <w:rFonts w:hint="eastAsia" w:eastAsia="仿宋_GB2312"/>
          <w:sz w:val="32"/>
          <w:szCs w:val="32"/>
          <w:lang w:val="zh-CN"/>
        </w:rPr>
        <w:t>。</w:t>
      </w:r>
      <w:commentRangeEnd w:id="11"/>
      <w:r>
        <w:commentReference w:id="11"/>
      </w:r>
    </w:p>
    <w:p w14:paraId="6A0EC518">
      <w:pPr>
        <w:ind w:firstLine="643" w:firstLineChars="200"/>
        <w:outlineLvl w:val="2"/>
        <w:rPr>
          <w:rFonts w:eastAsia="仿宋_GB2312"/>
          <w:sz w:val="32"/>
          <w:szCs w:val="32"/>
          <w:lang w:val="zh-CN"/>
        </w:rPr>
      </w:pPr>
      <w:bookmarkStart w:id="91" w:name="_Toc6096"/>
      <w:r>
        <w:rPr>
          <w:rFonts w:hint="eastAsia" w:ascii="楷体_GB2312" w:eastAsia="楷体_GB2312"/>
          <w:b/>
          <w:sz w:val="32"/>
          <w:szCs w:val="32"/>
        </w:rPr>
        <w:t>（二）部门预算项目绩效分析。</w:t>
      </w:r>
      <w:bookmarkEnd w:id="91"/>
    </w:p>
    <w:p w14:paraId="5D8DB296">
      <w:pPr>
        <w:ind w:firstLine="640" w:firstLineChars="200"/>
        <w:rPr>
          <w:rFonts w:eastAsia="仿宋_GB2312"/>
          <w:sz w:val="32"/>
          <w:szCs w:val="32"/>
          <w:lang w:val="zh-CN"/>
        </w:rPr>
      </w:pPr>
      <w:r>
        <w:rPr>
          <w:rFonts w:hint="eastAsia" w:eastAsia="仿宋_GB2312"/>
          <w:sz w:val="32"/>
          <w:szCs w:val="32"/>
          <w:lang w:val="zh-CN"/>
        </w:rPr>
        <w:t>常年项目总数</w:t>
      </w:r>
      <w:r>
        <w:rPr>
          <w:rFonts w:hint="eastAsia" w:eastAsia="仿宋_GB2312"/>
          <w:sz w:val="32"/>
          <w:szCs w:val="32"/>
          <w:lang w:val="en-US" w:eastAsia="zh-CN"/>
        </w:rPr>
        <w:t>4</w:t>
      </w:r>
      <w:r>
        <w:rPr>
          <w:rFonts w:hint="eastAsia" w:eastAsia="仿宋_GB2312"/>
          <w:sz w:val="32"/>
          <w:szCs w:val="32"/>
          <w:lang w:val="zh-CN"/>
        </w:rPr>
        <w:t>个，涉及预算总金额</w:t>
      </w:r>
      <w:r>
        <w:rPr>
          <w:rFonts w:hint="eastAsia" w:eastAsia="仿宋_GB2312"/>
          <w:sz w:val="32"/>
          <w:szCs w:val="32"/>
          <w:lang w:val="en-US" w:eastAsia="zh-CN"/>
        </w:rPr>
        <w:t>39.54</w:t>
      </w:r>
      <w:r>
        <w:rPr>
          <w:rFonts w:hint="eastAsia" w:eastAsia="仿宋_GB2312"/>
          <w:sz w:val="32"/>
          <w:szCs w:val="32"/>
          <w:lang w:val="zh-CN"/>
        </w:rPr>
        <w:t>万元，1—12月预算执行总体进度为</w:t>
      </w:r>
      <w:r>
        <w:rPr>
          <w:rFonts w:hint="eastAsia" w:eastAsia="仿宋_GB2312"/>
          <w:sz w:val="32"/>
          <w:szCs w:val="32"/>
          <w:lang w:val="en-US" w:eastAsia="zh-CN"/>
        </w:rPr>
        <w:t>100</w:t>
      </w:r>
      <w:r>
        <w:rPr>
          <w:rFonts w:hint="eastAsia" w:eastAsia="仿宋_GB2312"/>
          <w:sz w:val="32"/>
          <w:szCs w:val="32"/>
          <w:lang w:val="zh-CN"/>
        </w:rPr>
        <w:t>%，其中：预算结余率大于10%的项目共计</w:t>
      </w:r>
      <w:r>
        <w:rPr>
          <w:rFonts w:hint="eastAsia" w:eastAsia="仿宋_GB2312"/>
          <w:sz w:val="32"/>
          <w:szCs w:val="32"/>
          <w:lang w:val="en-US" w:eastAsia="zh-CN"/>
        </w:rPr>
        <w:t>0</w:t>
      </w:r>
      <w:r>
        <w:rPr>
          <w:rFonts w:hint="eastAsia" w:eastAsia="仿宋_GB2312"/>
          <w:sz w:val="32"/>
          <w:szCs w:val="32"/>
          <w:lang w:val="zh-CN"/>
        </w:rPr>
        <w:t>个。</w:t>
      </w:r>
    </w:p>
    <w:p w14:paraId="4AAB010C">
      <w:pPr>
        <w:ind w:firstLine="640" w:firstLineChars="200"/>
        <w:rPr>
          <w:rFonts w:eastAsia="仿宋_GB2312"/>
          <w:sz w:val="32"/>
          <w:szCs w:val="32"/>
          <w:lang w:val="zh-CN"/>
        </w:rPr>
      </w:pPr>
      <w:r>
        <w:rPr>
          <w:rFonts w:hint="eastAsia" w:eastAsia="仿宋_GB2312"/>
          <w:sz w:val="32"/>
          <w:szCs w:val="32"/>
          <w:lang w:val="zh-CN"/>
        </w:rPr>
        <w:t>阶段（一次性）项目总数</w:t>
      </w:r>
      <w:r>
        <w:rPr>
          <w:rFonts w:hint="eastAsia" w:eastAsia="仿宋_GB2312"/>
          <w:sz w:val="32"/>
          <w:szCs w:val="32"/>
          <w:lang w:val="en-US" w:eastAsia="zh-CN"/>
        </w:rPr>
        <w:t>1</w:t>
      </w:r>
      <w:r>
        <w:rPr>
          <w:rFonts w:hint="eastAsia" w:eastAsia="仿宋_GB2312"/>
          <w:sz w:val="32"/>
          <w:szCs w:val="32"/>
          <w:lang w:val="zh-CN"/>
        </w:rPr>
        <w:t>个，涉及预算总金额</w:t>
      </w:r>
      <w:r>
        <w:rPr>
          <w:rFonts w:hint="eastAsia" w:eastAsia="仿宋_GB2312"/>
          <w:sz w:val="32"/>
          <w:szCs w:val="32"/>
          <w:lang w:val="en-US" w:eastAsia="zh-CN"/>
        </w:rPr>
        <w:t>79.8</w:t>
      </w:r>
      <w:r>
        <w:rPr>
          <w:rFonts w:hint="eastAsia" w:eastAsia="仿宋_GB2312"/>
          <w:sz w:val="32"/>
          <w:szCs w:val="32"/>
          <w:lang w:val="zh-CN"/>
        </w:rPr>
        <w:t>万元，1—12月预算执行总体进度为</w:t>
      </w:r>
      <w:r>
        <w:rPr>
          <w:rFonts w:hint="eastAsia" w:eastAsia="仿宋_GB2312"/>
          <w:sz w:val="32"/>
          <w:szCs w:val="32"/>
          <w:lang w:val="en-US" w:eastAsia="zh-CN"/>
        </w:rPr>
        <w:t>100</w:t>
      </w:r>
      <w:r>
        <w:rPr>
          <w:rFonts w:hint="eastAsia" w:eastAsia="仿宋_GB2312"/>
          <w:sz w:val="32"/>
          <w:szCs w:val="32"/>
          <w:lang w:val="zh-CN"/>
        </w:rPr>
        <w:t>%，其中：预算结余率大于10%的项目共计</w:t>
      </w:r>
      <w:r>
        <w:rPr>
          <w:rFonts w:hint="eastAsia" w:eastAsia="仿宋_GB2312"/>
          <w:sz w:val="32"/>
          <w:szCs w:val="32"/>
          <w:lang w:val="en-US" w:eastAsia="zh-CN"/>
        </w:rPr>
        <w:t>0</w:t>
      </w:r>
      <w:r>
        <w:rPr>
          <w:rFonts w:hint="eastAsia" w:eastAsia="仿宋_GB2312"/>
          <w:sz w:val="32"/>
          <w:szCs w:val="32"/>
          <w:lang w:val="zh-CN"/>
        </w:rPr>
        <w:t>个。</w:t>
      </w:r>
      <w:r>
        <w:commentReference w:id="12"/>
      </w:r>
    </w:p>
    <w:p w14:paraId="3423C2D2">
      <w:pPr>
        <w:numPr>
          <w:ilvl w:val="0"/>
          <w:numId w:val="6"/>
        </w:numPr>
        <w:ind w:firstLine="643" w:firstLineChars="200"/>
        <w:outlineLvl w:val="2"/>
        <w:rPr>
          <w:rFonts w:hint="eastAsia" w:ascii="Times New Roman" w:hAnsi="Times New Roman" w:eastAsia="仿宋_GB2312" w:cs="Times New Roman"/>
          <w:b w:val="0"/>
          <w:kern w:val="2"/>
          <w:sz w:val="32"/>
          <w:szCs w:val="32"/>
          <w:lang w:val="zh-CN" w:eastAsia="zh-CN" w:bidi="ar-SA"/>
        </w:rPr>
      </w:pPr>
      <w:bookmarkStart w:id="92" w:name="_Toc13135"/>
      <w:r>
        <w:rPr>
          <w:rFonts w:hint="eastAsia" w:ascii="楷体_GB2312" w:eastAsia="楷体_GB2312"/>
          <w:b/>
          <w:sz w:val="32"/>
          <w:szCs w:val="32"/>
        </w:rPr>
        <w:t>重点领域绩效分析。</w:t>
      </w:r>
      <w:bookmarkEnd w:id="92"/>
    </w:p>
    <w:p w14:paraId="5B4769AC">
      <w:pPr>
        <w:numPr>
          <w:ilvl w:val="0"/>
          <w:numId w:val="0"/>
        </w:numPr>
        <w:ind w:firstLine="640" w:firstLineChars="200"/>
        <w:outlineLvl w:val="2"/>
        <w:rPr>
          <w:rFonts w:hint="default" w:eastAsia="仿宋_GB2312"/>
          <w:sz w:val="32"/>
          <w:szCs w:val="32"/>
          <w:lang w:val="en-US" w:eastAsia="zh-CN"/>
        </w:rPr>
      </w:pPr>
      <w:bookmarkStart w:id="93" w:name="_Toc11917"/>
      <w:r>
        <w:rPr>
          <w:rFonts w:hint="eastAsia" w:eastAsia="仿宋_GB2312"/>
          <w:sz w:val="32"/>
          <w:szCs w:val="32"/>
          <w:lang w:val="en-US" w:eastAsia="zh-CN"/>
        </w:rPr>
        <w:t>本部门2023年度</w:t>
      </w:r>
      <w:r>
        <w:rPr>
          <w:rFonts w:hint="eastAsia" w:ascii="Times New Roman" w:hAnsi="Times New Roman" w:eastAsia="仿宋_GB2312" w:cs="Times New Roman"/>
          <w:b w:val="0"/>
          <w:kern w:val="2"/>
          <w:sz w:val="32"/>
          <w:szCs w:val="32"/>
          <w:lang w:val="zh-CN" w:eastAsia="zh-CN" w:bidi="ar-SA"/>
        </w:rPr>
        <w:t>政府采购</w:t>
      </w:r>
      <w:r>
        <w:rPr>
          <w:rFonts w:hint="eastAsia" w:eastAsia="仿宋_GB2312" w:cs="Times New Roman"/>
          <w:b w:val="0"/>
          <w:kern w:val="2"/>
          <w:sz w:val="32"/>
          <w:szCs w:val="32"/>
          <w:lang w:val="en-US" w:eastAsia="zh-CN" w:bidi="ar-SA"/>
        </w:rPr>
        <w:t>项目</w:t>
      </w:r>
      <w:r>
        <w:rPr>
          <w:rFonts w:hint="eastAsia" w:eastAsia="仿宋_GB2312"/>
          <w:sz w:val="32"/>
          <w:szCs w:val="32"/>
          <w:lang w:val="en-US" w:eastAsia="zh-CN"/>
        </w:rPr>
        <w:t>《气象检测预警“防风险、补短板”》预算资金79.8万元，预算执行数79.8万元，执行进度100%，绩效指标完成值100%，绩效自评为优秀。</w:t>
      </w:r>
      <w:bookmarkEnd w:id="93"/>
    </w:p>
    <w:p w14:paraId="53B8F706">
      <w:pPr>
        <w:numPr>
          <w:ilvl w:val="0"/>
          <w:numId w:val="6"/>
        </w:numPr>
        <w:ind w:left="0" w:leftChars="0" w:firstLine="643" w:firstLineChars="200"/>
        <w:outlineLvl w:val="2"/>
        <w:rPr>
          <w:rFonts w:hint="eastAsia" w:ascii="楷体_GB2312" w:eastAsia="楷体_GB2312"/>
          <w:b/>
          <w:sz w:val="32"/>
          <w:szCs w:val="32"/>
        </w:rPr>
      </w:pPr>
      <w:bookmarkStart w:id="94" w:name="_Toc5908"/>
      <w:r>
        <w:rPr>
          <w:rFonts w:hint="eastAsia" w:ascii="楷体_GB2312" w:eastAsia="楷体_GB2312"/>
          <w:b/>
          <w:sz w:val="32"/>
          <w:szCs w:val="32"/>
        </w:rPr>
        <w:t>绩效结果应用情况。</w:t>
      </w:r>
      <w:bookmarkEnd w:id="94"/>
    </w:p>
    <w:p w14:paraId="436308DE">
      <w:pPr>
        <w:numPr>
          <w:ilvl w:val="0"/>
          <w:numId w:val="0"/>
        </w:numPr>
        <w:ind w:firstLine="640" w:firstLineChars="200"/>
        <w:rPr>
          <w:rFonts w:eastAsia="仿宋_GB2312"/>
          <w:sz w:val="32"/>
          <w:szCs w:val="32"/>
          <w:lang w:val="zh-CN"/>
        </w:rPr>
      </w:pPr>
      <w:r>
        <w:rPr>
          <w:rFonts w:hint="eastAsia" w:ascii="仿宋_GB2312" w:hAnsi="仿宋_GB2312" w:eastAsia="仿宋_GB2312"/>
          <w:color w:val="auto"/>
          <w:sz w:val="32"/>
          <w:szCs w:val="24"/>
          <w:lang w:val="zh-CN"/>
        </w:rPr>
        <w:t>本部门将相关股室(单位)预算项目全年预算执行情况纳入了部门绩效管理考评细则中。同时，按照财政部门统一部署安排，于202</w:t>
      </w:r>
      <w:r>
        <w:rPr>
          <w:rFonts w:hint="eastAsia" w:ascii="仿宋_GB2312" w:hAnsi="仿宋_GB2312" w:eastAsia="仿宋_GB2312"/>
          <w:color w:val="auto"/>
          <w:sz w:val="32"/>
          <w:szCs w:val="24"/>
          <w:lang w:val="en-US" w:eastAsia="zh-CN"/>
        </w:rPr>
        <w:t>3</w:t>
      </w:r>
      <w:r>
        <w:rPr>
          <w:rFonts w:hint="eastAsia" w:ascii="仿宋_GB2312" w:hAnsi="仿宋_GB2312" w:eastAsia="仿宋_GB2312"/>
          <w:color w:val="auto"/>
          <w:sz w:val="32"/>
          <w:szCs w:val="24"/>
          <w:lang w:val="zh-CN"/>
        </w:rPr>
        <w:t>年</w:t>
      </w:r>
      <w:r>
        <w:rPr>
          <w:rFonts w:hint="eastAsia" w:ascii="仿宋_GB2312" w:hAnsi="仿宋_GB2312" w:eastAsia="仿宋_GB2312"/>
          <w:color w:val="auto"/>
          <w:sz w:val="32"/>
          <w:szCs w:val="24"/>
          <w:lang w:val="en-US" w:eastAsia="zh-CN"/>
        </w:rPr>
        <w:t>2</w:t>
      </w:r>
      <w:r>
        <w:rPr>
          <w:rFonts w:hint="eastAsia" w:ascii="仿宋_GB2312" w:hAnsi="仿宋_GB2312" w:eastAsia="仿宋_GB2312"/>
          <w:color w:val="auto"/>
          <w:sz w:val="32"/>
          <w:szCs w:val="24"/>
          <w:lang w:val="zh-CN"/>
        </w:rPr>
        <w:t>月</w:t>
      </w:r>
      <w:r>
        <w:rPr>
          <w:rFonts w:hint="eastAsia" w:ascii="仿宋_GB2312" w:hAnsi="仿宋_GB2312" w:eastAsia="仿宋_GB2312"/>
          <w:color w:val="auto"/>
          <w:sz w:val="32"/>
          <w:szCs w:val="24"/>
          <w:lang w:val="en-US" w:eastAsia="zh-CN"/>
        </w:rPr>
        <w:t>13</w:t>
      </w:r>
      <w:r>
        <w:rPr>
          <w:rFonts w:hint="eastAsia" w:ascii="仿宋_GB2312" w:hAnsi="仿宋_GB2312" w:eastAsia="仿宋_GB2312"/>
          <w:color w:val="auto"/>
          <w:sz w:val="32"/>
          <w:szCs w:val="24"/>
          <w:lang w:val="zh-CN"/>
        </w:rPr>
        <w:t>日随同202</w:t>
      </w:r>
      <w:r>
        <w:rPr>
          <w:rFonts w:hint="eastAsia" w:ascii="仿宋_GB2312" w:hAnsi="仿宋_GB2312" w:eastAsia="仿宋_GB2312"/>
          <w:color w:val="auto"/>
          <w:sz w:val="32"/>
          <w:szCs w:val="24"/>
          <w:lang w:val="en-US" w:eastAsia="zh-CN"/>
        </w:rPr>
        <w:t>3</w:t>
      </w:r>
      <w:r>
        <w:rPr>
          <w:rFonts w:hint="eastAsia" w:ascii="仿宋_GB2312" w:hAnsi="仿宋_GB2312" w:eastAsia="仿宋_GB2312"/>
          <w:color w:val="auto"/>
          <w:sz w:val="32"/>
          <w:szCs w:val="24"/>
          <w:lang w:val="zh-CN"/>
        </w:rPr>
        <w:t>年部门预算编制说明公开了绩效目标设置情况，于202</w:t>
      </w:r>
      <w:r>
        <w:rPr>
          <w:rFonts w:hint="eastAsia" w:ascii="仿宋_GB2312" w:hAnsi="仿宋_GB2312" w:eastAsia="仿宋_GB2312"/>
          <w:color w:val="auto"/>
          <w:sz w:val="32"/>
          <w:szCs w:val="24"/>
          <w:lang w:val="en-US" w:eastAsia="zh-CN"/>
        </w:rPr>
        <w:t>3</w:t>
      </w:r>
      <w:r>
        <w:rPr>
          <w:rFonts w:hint="eastAsia" w:ascii="仿宋_GB2312" w:hAnsi="仿宋_GB2312" w:eastAsia="仿宋_GB2312"/>
          <w:color w:val="auto"/>
          <w:sz w:val="32"/>
          <w:szCs w:val="24"/>
          <w:lang w:val="zh-CN"/>
        </w:rPr>
        <w:t>年</w:t>
      </w:r>
      <w:r>
        <w:rPr>
          <w:rFonts w:hint="eastAsia" w:ascii="仿宋_GB2312" w:hAnsi="仿宋_GB2312" w:eastAsia="仿宋_GB2312"/>
          <w:color w:val="auto"/>
          <w:sz w:val="32"/>
          <w:szCs w:val="24"/>
          <w:lang w:val="en-US" w:eastAsia="zh-CN"/>
        </w:rPr>
        <w:t>10</w:t>
      </w:r>
      <w:r>
        <w:rPr>
          <w:rFonts w:hint="eastAsia" w:ascii="仿宋_GB2312" w:hAnsi="仿宋_GB2312" w:eastAsia="仿宋_GB2312"/>
          <w:color w:val="auto"/>
          <w:sz w:val="32"/>
          <w:szCs w:val="24"/>
          <w:lang w:val="zh-CN"/>
        </w:rPr>
        <w:t>月</w:t>
      </w:r>
      <w:r>
        <w:rPr>
          <w:rFonts w:hint="eastAsia" w:ascii="仿宋_GB2312" w:hAnsi="仿宋_GB2312" w:eastAsia="仿宋_GB2312"/>
          <w:color w:val="auto"/>
          <w:sz w:val="32"/>
          <w:szCs w:val="24"/>
          <w:lang w:val="en-US" w:eastAsia="zh-CN"/>
        </w:rPr>
        <w:t>27</w:t>
      </w:r>
      <w:r>
        <w:rPr>
          <w:rFonts w:hint="eastAsia" w:ascii="仿宋_GB2312" w:hAnsi="仿宋_GB2312" w:eastAsia="仿宋_GB2312"/>
          <w:color w:val="auto"/>
          <w:sz w:val="32"/>
          <w:szCs w:val="24"/>
          <w:lang w:val="zh-CN"/>
        </w:rPr>
        <w:t>日随同202</w:t>
      </w:r>
      <w:r>
        <w:rPr>
          <w:rFonts w:hint="eastAsia" w:ascii="仿宋_GB2312" w:hAnsi="仿宋_GB2312" w:eastAsia="仿宋_GB2312"/>
          <w:color w:val="auto"/>
          <w:sz w:val="32"/>
          <w:szCs w:val="24"/>
          <w:lang w:val="en-US" w:eastAsia="zh-CN"/>
        </w:rPr>
        <w:t>2</w:t>
      </w:r>
      <w:r>
        <w:rPr>
          <w:rFonts w:hint="eastAsia" w:ascii="仿宋_GB2312" w:hAnsi="仿宋_GB2312" w:eastAsia="仿宋_GB2312"/>
          <w:color w:val="auto"/>
          <w:sz w:val="32"/>
          <w:szCs w:val="24"/>
          <w:lang w:val="zh-CN"/>
        </w:rPr>
        <w:t>年部门决算说明公开了绩效目标管理情况及部门整体支出绩效自评报告，自觉接受社会公众的监督，进一步提高财政资金管理透明度。</w:t>
      </w:r>
    </w:p>
    <w:p w14:paraId="01719ABA">
      <w:pPr>
        <w:ind w:firstLine="640" w:firstLineChars="200"/>
        <w:outlineLvl w:val="1"/>
        <w:rPr>
          <w:rFonts w:ascii="黑体" w:hAnsi="黑体" w:eastAsia="黑体"/>
          <w:sz w:val="32"/>
          <w:szCs w:val="32"/>
        </w:rPr>
      </w:pPr>
      <w:bookmarkStart w:id="95" w:name="_Toc17515"/>
      <w:r>
        <w:rPr>
          <w:rFonts w:hint="eastAsia" w:ascii="黑体" w:hAnsi="黑体" w:eastAsia="黑体"/>
          <w:sz w:val="32"/>
          <w:szCs w:val="32"/>
        </w:rPr>
        <w:t>四、评价结论及建议</w:t>
      </w:r>
      <w:bookmarkEnd w:id="95"/>
    </w:p>
    <w:p w14:paraId="35B8A2E4">
      <w:pPr>
        <w:spacing w:line="580" w:lineRule="exact"/>
        <w:ind w:firstLine="640"/>
        <w:outlineLvl w:val="2"/>
        <w:rPr>
          <w:rFonts w:hint="eastAsia" w:ascii="楷体_GB2312" w:eastAsia="楷体_GB2312"/>
          <w:b/>
          <w:sz w:val="32"/>
          <w:szCs w:val="32"/>
        </w:rPr>
      </w:pPr>
      <w:bookmarkStart w:id="96" w:name="_Toc26259"/>
      <w:r>
        <w:rPr>
          <w:rFonts w:hint="eastAsia" w:ascii="楷体_GB2312" w:eastAsia="楷体_GB2312"/>
          <w:b/>
          <w:sz w:val="32"/>
          <w:szCs w:val="32"/>
        </w:rPr>
        <w:t>（一）评价结论。</w:t>
      </w:r>
      <w:bookmarkEnd w:id="96"/>
    </w:p>
    <w:p w14:paraId="49D77899">
      <w:pPr>
        <w:spacing w:line="580" w:lineRule="exact"/>
        <w:ind w:firstLine="640"/>
        <w:rPr>
          <w:rFonts w:eastAsia="仿宋_GB2312"/>
          <w:sz w:val="32"/>
          <w:szCs w:val="32"/>
          <w:lang w:val="zh-CN"/>
        </w:rPr>
      </w:pPr>
      <w:r>
        <w:rPr>
          <w:rFonts w:hint="eastAsia" w:ascii="仿宋_GB2312" w:hAnsi="仿宋_GB2312" w:eastAsia="仿宋_GB2312" w:cs="仿宋_GB2312"/>
          <w:sz w:val="32"/>
          <w:szCs w:val="32"/>
          <w:lang w:val="en-US" w:eastAsia="zh-CN"/>
        </w:rPr>
        <w:t>本部门2023年度</w:t>
      </w:r>
      <w:r>
        <w:rPr>
          <w:rFonts w:hint="eastAsia" w:eastAsia="仿宋_GB2312"/>
          <w:sz w:val="32"/>
          <w:szCs w:val="32"/>
          <w:lang w:val="zh-CN"/>
        </w:rPr>
        <w:t>预算绩效自评</w:t>
      </w:r>
      <w:r>
        <w:rPr>
          <w:rFonts w:hint="eastAsia" w:eastAsia="仿宋_GB2312"/>
          <w:sz w:val="32"/>
          <w:szCs w:val="32"/>
          <w:lang w:val="en-US" w:eastAsia="zh-CN"/>
        </w:rPr>
        <w:t>得分99分，</w:t>
      </w:r>
      <w:r>
        <w:rPr>
          <w:rFonts w:hint="eastAsia" w:eastAsia="仿宋_GB2312"/>
          <w:sz w:val="32"/>
          <w:szCs w:val="32"/>
          <w:lang w:val="zh-CN"/>
        </w:rPr>
        <w:t>总体</w:t>
      </w:r>
      <w:r>
        <w:rPr>
          <w:rFonts w:hint="eastAsia" w:eastAsia="仿宋_GB2312"/>
          <w:sz w:val="32"/>
          <w:szCs w:val="32"/>
          <w:lang w:val="en-US" w:eastAsia="zh-CN"/>
        </w:rPr>
        <w:t>优秀</w:t>
      </w:r>
      <w:r>
        <w:rPr>
          <w:rFonts w:hint="eastAsia" w:ascii="仿宋_GB2312" w:hAnsi="仿宋_GB2312" w:eastAsia="仿宋_GB2312" w:cs="仿宋_GB2312"/>
          <w:sz w:val="32"/>
          <w:szCs w:val="32"/>
          <w:lang w:val="zh-CN"/>
        </w:rPr>
        <w:t>、项目绩效</w:t>
      </w:r>
      <w:r>
        <w:rPr>
          <w:rFonts w:hint="eastAsia" w:ascii="仿宋_GB2312" w:hAnsi="仿宋_GB2312" w:eastAsia="仿宋_GB2312" w:cs="仿宋_GB2312"/>
          <w:sz w:val="32"/>
          <w:szCs w:val="32"/>
        </w:rPr>
        <w:t>质量完成度高，社会效益好。</w:t>
      </w:r>
    </w:p>
    <w:p w14:paraId="27FA321F">
      <w:pPr>
        <w:numPr>
          <w:ilvl w:val="0"/>
          <w:numId w:val="7"/>
        </w:numPr>
        <w:ind w:firstLine="643" w:firstLineChars="200"/>
        <w:outlineLvl w:val="2"/>
        <w:rPr>
          <w:rFonts w:hint="eastAsia" w:ascii="楷体_GB2312" w:eastAsia="楷体_GB2312"/>
          <w:b/>
          <w:sz w:val="32"/>
          <w:szCs w:val="32"/>
        </w:rPr>
      </w:pPr>
      <w:bookmarkStart w:id="97" w:name="_Toc9407"/>
      <w:r>
        <w:rPr>
          <w:rFonts w:hint="eastAsia" w:ascii="楷体_GB2312" w:eastAsia="楷体_GB2312"/>
          <w:b/>
          <w:sz w:val="32"/>
          <w:szCs w:val="32"/>
        </w:rPr>
        <w:t>存在问题。</w:t>
      </w:r>
      <w:bookmarkEnd w:id="97"/>
    </w:p>
    <w:p w14:paraId="6B26A04A">
      <w:pPr>
        <w:pStyle w:val="2"/>
        <w:rPr>
          <w:rFonts w:hint="default" w:eastAsia="楷体_GB2312"/>
          <w:lang w:val="en-US" w:eastAsia="zh-CN"/>
        </w:rPr>
      </w:pPr>
      <w:r>
        <w:rPr>
          <w:rFonts w:hint="eastAsia" w:ascii="仿宋_GB2312" w:hAnsi="仿宋_GB2312" w:eastAsia="仿宋_GB2312" w:cs="仿宋_GB2312"/>
          <w:kern w:val="2"/>
          <w:sz w:val="32"/>
          <w:szCs w:val="32"/>
          <w:lang w:val="en-US" w:eastAsia="zh-CN" w:bidi="ar-SA"/>
        </w:rPr>
        <w:t>需进一步提升预算资金使用进度，避免累计到年底集中支付。</w:t>
      </w:r>
    </w:p>
    <w:p w14:paraId="49E00C0E">
      <w:pPr>
        <w:numPr>
          <w:ilvl w:val="0"/>
          <w:numId w:val="7"/>
        </w:numPr>
        <w:ind w:left="0" w:leftChars="0" w:firstLine="643" w:firstLineChars="200"/>
        <w:outlineLvl w:val="2"/>
        <w:rPr>
          <w:rFonts w:hint="eastAsia" w:ascii="楷体_GB2312" w:eastAsia="楷体_GB2312"/>
          <w:b/>
          <w:sz w:val="32"/>
          <w:szCs w:val="32"/>
        </w:rPr>
      </w:pPr>
      <w:bookmarkStart w:id="98" w:name="_Toc21187"/>
      <w:r>
        <w:rPr>
          <w:rFonts w:hint="eastAsia" w:ascii="楷体_GB2312" w:eastAsia="楷体_GB2312"/>
          <w:b/>
          <w:sz w:val="32"/>
          <w:szCs w:val="32"/>
        </w:rPr>
        <w:t>改进建议。</w:t>
      </w:r>
      <w:bookmarkEnd w:id="98"/>
    </w:p>
    <w:p w14:paraId="0087DE83">
      <w:pPr>
        <w:pStyle w:val="2"/>
        <w:numPr>
          <w:ilvl w:val="0"/>
          <w:numId w:val="0"/>
        </w:numPr>
        <w:ind w:left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年初制定好资金支付计划，尽量避免资金支付进度迟缓问题，项目合同签订支付时间尽量避免年底，保障财政资金使用效率。</w:t>
      </w:r>
    </w:p>
    <w:p w14:paraId="09AC8D9A">
      <w:pPr>
        <w:ind w:firstLine="640" w:firstLineChars="200"/>
        <w:rPr>
          <w:rFonts w:eastAsia="仿宋_GB2312"/>
          <w:sz w:val="32"/>
          <w:szCs w:val="32"/>
          <w:lang w:val="zh-CN"/>
        </w:rPr>
      </w:pPr>
    </w:p>
    <w:p w14:paraId="61EEFD9C"/>
    <w:p w14:paraId="5D087320">
      <w:pPr>
        <w:pStyle w:val="2"/>
      </w:pPr>
    </w:p>
    <w:p w14:paraId="308C3386">
      <w:pPr>
        <w:pStyle w:val="2"/>
        <w:ind w:left="0" w:leftChars="0" w:firstLine="0" w:firstLineChars="0"/>
      </w:pPr>
    </w:p>
    <w:p w14:paraId="611AD0DD">
      <w:pPr>
        <w:ind w:firstLine="640" w:firstLineChars="200"/>
        <w:rPr>
          <w:rFonts w:asciiTheme="minorEastAsia" w:hAnsiTheme="minorEastAsia" w:eastAsiaTheme="minorEastAsia"/>
          <w:sz w:val="32"/>
          <w:szCs w:val="32"/>
          <w:lang w:val="zh-CN"/>
        </w:rPr>
      </w:pPr>
      <w:r>
        <w:rPr>
          <w:rFonts w:hint="eastAsia" w:asciiTheme="minorEastAsia" w:hAnsiTheme="minorEastAsia" w:eastAsiaTheme="minorEastAsia"/>
          <w:sz w:val="32"/>
          <w:szCs w:val="32"/>
          <w:lang w:val="zh-CN"/>
        </w:rPr>
        <w:t>附表：</w:t>
      </w:r>
      <w:r>
        <w:rPr>
          <w:rFonts w:hint="eastAsia" w:asciiTheme="minorEastAsia" w:hAnsiTheme="minorEastAsia" w:eastAsiaTheme="minorEastAsia"/>
          <w:sz w:val="32"/>
          <w:szCs w:val="32"/>
        </w:rPr>
        <w:t>部门</w:t>
      </w:r>
      <w:r>
        <w:rPr>
          <w:rFonts w:hint="eastAsia" w:asciiTheme="minorEastAsia" w:hAnsiTheme="minorEastAsia" w:eastAsiaTheme="minorEastAsia"/>
          <w:sz w:val="32"/>
          <w:szCs w:val="32"/>
          <w:lang w:val="zh-CN"/>
        </w:rPr>
        <w:t>预算项目支出绩效自评表（2023年度）</w:t>
      </w:r>
    </w:p>
    <w:tbl>
      <w:tblPr>
        <w:tblStyle w:val="16"/>
        <w:tblpPr w:leftFromText="180" w:rightFromText="180" w:vertAnchor="text" w:horzAnchor="page" w:tblpX="252" w:tblpY="547"/>
        <w:tblOverlap w:val="never"/>
        <w:tblW w:w="105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1"/>
        <w:gridCol w:w="1591"/>
        <w:gridCol w:w="1053"/>
        <w:gridCol w:w="468"/>
        <w:gridCol w:w="1138"/>
        <w:gridCol w:w="481"/>
        <w:gridCol w:w="982"/>
        <w:gridCol w:w="486"/>
        <w:gridCol w:w="410"/>
        <w:gridCol w:w="2294"/>
      </w:tblGrid>
      <w:tr w14:paraId="47D92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5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854135">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14:paraId="4027EEB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F39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EC2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9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D11A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人工影响天气</w:t>
            </w:r>
          </w:p>
        </w:tc>
      </w:tr>
      <w:tr w14:paraId="2975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40A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C53C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德阳市罗江区气象局</w:t>
            </w:r>
          </w:p>
        </w:tc>
        <w:tc>
          <w:tcPr>
            <w:tcW w:w="982" w:type="dxa"/>
            <w:tcBorders>
              <w:top w:val="nil"/>
              <w:left w:val="nil"/>
              <w:bottom w:val="nil"/>
              <w:right w:val="nil"/>
            </w:tcBorders>
            <w:shd w:val="clear" w:color="auto" w:fill="auto"/>
            <w:vAlign w:val="center"/>
          </w:tcPr>
          <w:p w14:paraId="59729FCE">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B98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德阳市罗江区地方气象服务中心</w:t>
            </w:r>
          </w:p>
        </w:tc>
      </w:tr>
      <w:tr w14:paraId="76C4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502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B09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B3E5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C464DD">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BA9A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8857">
            <w:pPr>
              <w:rPr>
                <w:rFonts w:hint="eastAsia" w:ascii="宋体" w:hAnsi="宋体" w:eastAsia="宋体" w:cs="宋体"/>
                <w:i w:val="0"/>
                <w:iCs w:val="0"/>
                <w:color w:val="000000"/>
                <w:sz w:val="18"/>
                <w:szCs w:val="18"/>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EDB6B">
            <w:pPr>
              <w:rPr>
                <w:rFonts w:hint="eastAsia" w:ascii="宋体" w:hAnsi="宋体" w:eastAsia="宋体" w:cs="宋体"/>
                <w:i w:val="0"/>
                <w:iCs w:val="0"/>
                <w:color w:val="000000"/>
                <w:sz w:val="18"/>
                <w:szCs w:val="18"/>
                <w:u w:val="none"/>
              </w:rPr>
            </w:pPr>
          </w:p>
        </w:tc>
        <w:tc>
          <w:tcPr>
            <w:tcW w:w="47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EA4C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本地人工影响天气作业工作开展，做好弹药储存、领用、使用各环节工作，针对可能出现的情况，加强天气监测，抓住机会、适时开展人工增雨作业，完成增雨、防雹作业，为缓解旱情、增加蓄水、促进晒烟、水果等农作物的增产、增收提供有优质的人影保障。</w:t>
            </w:r>
          </w:p>
        </w:tc>
        <w:tc>
          <w:tcPr>
            <w:tcW w:w="41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67A8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常态化做好弹药储存、领用、使用各环节工作，适时开展人工增雨作业，完成增雨、防雹作业。</w:t>
            </w:r>
          </w:p>
        </w:tc>
      </w:tr>
      <w:tr w14:paraId="703A7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A4551">
            <w:pP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B2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90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289F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开展人影作业16次，发射火箭弹59枚，有效增加降水量，起到抗旱、防雹、降尘作用.</w:t>
            </w:r>
          </w:p>
        </w:tc>
      </w:tr>
      <w:tr w14:paraId="5264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03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8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1A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7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DB4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B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A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2F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AD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673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15C98">
            <w:pPr>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E8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A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099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14.94</w:t>
            </w:r>
            <w:commentRangeStart w:id="13"/>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733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commentRangeEnd w:id="13"/>
            <w:r>
              <w:commentReference w:id="13"/>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A0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9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F5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5AC52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0AEA0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5B471">
            <w:pPr>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C7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1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D040">
            <w:pPr>
              <w:jc w:val="center"/>
              <w:rPr>
                <w:rFonts w:hint="eastAsia" w:ascii="宋体" w:hAnsi="宋体" w:eastAsia="宋体" w:cs="宋体"/>
                <w:i w:val="0"/>
                <w:iCs w:val="0"/>
                <w:color w:val="000000"/>
                <w:sz w:val="18"/>
                <w:szCs w:val="18"/>
                <w:u w:val="none"/>
              </w:rPr>
            </w:pP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861A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23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AE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6E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136A3">
            <w:pPr>
              <w:rPr>
                <w:rFonts w:hint="eastAsia" w:ascii="黑体" w:hAnsi="黑体" w:eastAsia="黑体" w:cs="黑体"/>
                <w:i/>
                <w:iCs/>
                <w:color w:val="000000"/>
                <w:sz w:val="18"/>
                <w:szCs w:val="18"/>
                <w:u w:val="none"/>
              </w:rPr>
            </w:pPr>
          </w:p>
        </w:tc>
      </w:tr>
      <w:tr w14:paraId="0BB2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242E5">
            <w:pPr>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DD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7E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02A19">
            <w:pPr>
              <w:jc w:val="center"/>
              <w:rPr>
                <w:rFonts w:hint="eastAsia" w:ascii="宋体" w:hAnsi="宋体" w:eastAsia="宋体" w:cs="宋体"/>
                <w:i w:val="0"/>
                <w:iCs w:val="0"/>
                <w:color w:val="000000"/>
                <w:sz w:val="18"/>
                <w:szCs w:val="18"/>
                <w:u w:val="none"/>
              </w:rPr>
            </w:pP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772333">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1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7D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F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41CD0">
            <w:pPr>
              <w:rPr>
                <w:rFonts w:hint="eastAsia" w:ascii="黑体" w:hAnsi="黑体" w:eastAsia="黑体" w:cs="黑体"/>
                <w:i/>
                <w:iCs/>
                <w:color w:val="000000"/>
                <w:sz w:val="18"/>
                <w:szCs w:val="18"/>
                <w:u w:val="none"/>
              </w:rPr>
            </w:pPr>
          </w:p>
        </w:tc>
      </w:tr>
      <w:tr w14:paraId="5E68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D030E">
            <w:pPr>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1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2E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DFD8">
            <w:pPr>
              <w:jc w:val="center"/>
              <w:rPr>
                <w:rFonts w:hint="eastAsia" w:ascii="宋体" w:hAnsi="宋体" w:eastAsia="宋体" w:cs="宋体"/>
                <w:i w:val="0"/>
                <w:iCs w:val="0"/>
                <w:color w:val="000000"/>
                <w:sz w:val="18"/>
                <w:szCs w:val="18"/>
                <w:u w:val="none"/>
              </w:rPr>
            </w:pP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CC15A">
            <w:pPr>
              <w:jc w:val="center"/>
              <w:rPr>
                <w:rFonts w:hint="eastAsia" w:ascii="宋体" w:hAnsi="宋体" w:eastAsia="宋体" w:cs="宋体"/>
                <w:i w:val="0"/>
                <w:iCs w:val="0"/>
                <w:color w:val="000000"/>
                <w:sz w:val="18"/>
                <w:szCs w:val="18"/>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96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57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C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63C52">
            <w:pPr>
              <w:rPr>
                <w:rFonts w:hint="eastAsia" w:ascii="黑体" w:hAnsi="黑体" w:eastAsia="黑体" w:cs="黑体"/>
                <w:i/>
                <w:iCs/>
                <w:color w:val="000000"/>
                <w:sz w:val="18"/>
                <w:szCs w:val="18"/>
                <w:u w:val="none"/>
              </w:rPr>
            </w:pPr>
          </w:p>
        </w:tc>
      </w:tr>
      <w:tr w14:paraId="544A6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61F82">
            <w:pPr>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B4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0DC7B">
            <w:pPr>
              <w:jc w:val="center"/>
              <w:rPr>
                <w:rFonts w:hint="eastAsia" w:ascii="微软雅黑" w:hAnsi="微软雅黑" w:eastAsia="微软雅黑" w:cs="微软雅黑"/>
                <w:i/>
                <w:iCs/>
                <w:color w:val="000000"/>
                <w:sz w:val="16"/>
                <w:szCs w:val="16"/>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7272">
            <w:pPr>
              <w:jc w:val="center"/>
              <w:rPr>
                <w:rFonts w:hint="eastAsia" w:ascii="微软雅黑" w:hAnsi="微软雅黑" w:eastAsia="微软雅黑" w:cs="微软雅黑"/>
                <w:i/>
                <w:iCs/>
                <w:color w:val="000000"/>
                <w:sz w:val="16"/>
                <w:szCs w:val="16"/>
                <w:u w:val="none"/>
              </w:rPr>
            </w:pPr>
          </w:p>
        </w:tc>
        <w:tc>
          <w:tcPr>
            <w:tcW w:w="2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255CA9">
            <w:pPr>
              <w:jc w:val="center"/>
              <w:rPr>
                <w:rFonts w:hint="eastAsia" w:ascii="微软雅黑" w:hAnsi="微软雅黑" w:eastAsia="微软雅黑" w:cs="微软雅黑"/>
                <w:i/>
                <w:iCs/>
                <w:color w:val="000000"/>
                <w:sz w:val="16"/>
                <w:szCs w:val="16"/>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8065">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E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F5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4669">
            <w:pPr>
              <w:rPr>
                <w:rFonts w:hint="eastAsia" w:ascii="黑体" w:hAnsi="黑体" w:eastAsia="黑体" w:cs="黑体"/>
                <w:i/>
                <w:iCs/>
                <w:color w:val="000000"/>
                <w:sz w:val="18"/>
                <w:szCs w:val="18"/>
                <w:u w:val="none"/>
              </w:rPr>
            </w:pPr>
          </w:p>
        </w:tc>
      </w:tr>
      <w:tr w14:paraId="5BD5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DB4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466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ED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D2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B9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D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42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F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678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C4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5A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267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2098D">
            <w:pPr>
              <w:jc w:val="center"/>
              <w:rPr>
                <w:rFonts w:hint="eastAsia" w:ascii="宋体" w:hAnsi="宋体" w:eastAsia="宋体" w:cs="宋体"/>
                <w:i w:val="0"/>
                <w:iCs w:val="0"/>
                <w:color w:val="000000"/>
                <w:sz w:val="18"/>
                <w:szCs w:val="18"/>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5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DD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EA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人工增雨</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E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B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3400000</w:t>
            </w:r>
          </w:p>
        </w:tc>
        <w:tc>
          <w:tcPr>
            <w:tcW w:w="4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9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立方米</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326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94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67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B7F1">
            <w:pPr>
              <w:jc w:val="center"/>
              <w:rPr>
                <w:rFonts w:hint="eastAsia" w:ascii="微软雅黑" w:hAnsi="微软雅黑" w:eastAsia="微软雅黑" w:cs="微软雅黑"/>
                <w:i/>
                <w:iCs/>
                <w:color w:val="000000"/>
                <w:sz w:val="16"/>
                <w:szCs w:val="16"/>
                <w:u w:val="none"/>
              </w:rPr>
            </w:pPr>
          </w:p>
        </w:tc>
      </w:tr>
      <w:tr w14:paraId="168F8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5874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DB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BF24">
            <w:pPr>
              <w:rPr>
                <w:rFonts w:hint="eastAsia" w:ascii="宋体" w:hAnsi="宋体" w:eastAsia="宋体" w:cs="宋体"/>
                <w:i w:val="0"/>
                <w:iCs w:val="0"/>
                <w:color w:val="000000"/>
                <w:sz w:val="18"/>
                <w:szCs w:val="18"/>
                <w:u w:val="none"/>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CF43E">
            <w:pPr>
              <w:rPr>
                <w:rFonts w:hint="eastAsia" w:ascii="宋体" w:hAnsi="宋体" w:eastAsia="宋体" w:cs="宋体"/>
                <w:i w:val="0"/>
                <w:iCs w:val="0"/>
                <w:color w:val="000000"/>
                <w:sz w:val="18"/>
                <w:szCs w:val="18"/>
                <w:u w:val="none"/>
              </w:rPr>
            </w:pPr>
          </w:p>
        </w:tc>
      </w:tr>
      <w:tr w14:paraId="1018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75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AB55B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常态化做好弹药储存、领用、使用各环节工作，适时开展人工增雨作业，完成增雨、防雹作业。开展人影作业16次，发射火箭弹59枚，有效增加降水量，起到抗旱、防雹、降尘作用.</w:t>
            </w:r>
          </w:p>
        </w:tc>
      </w:tr>
      <w:tr w14:paraId="65CD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7F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C8A949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649B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04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9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0B364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持续做好人工影响天气工作</w:t>
            </w:r>
          </w:p>
        </w:tc>
      </w:tr>
      <w:tr w14:paraId="1C487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7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DF4F4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项目负责人：金丽萍</w:t>
            </w:r>
          </w:p>
        </w:tc>
        <w:tc>
          <w:tcPr>
            <w:tcW w:w="57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83793E">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财务负责人：陈小娟</w:t>
            </w:r>
          </w:p>
        </w:tc>
      </w:tr>
    </w:tbl>
    <w:p w14:paraId="5E9AB245">
      <w:pPr>
        <w:pStyle w:val="2"/>
      </w:pPr>
    </w:p>
    <w:p w14:paraId="41DA61A0">
      <w:pPr>
        <w:pStyle w:val="2"/>
        <w:ind w:left="0" w:leftChars="0" w:firstLine="0" w:firstLineChars="0"/>
      </w:pPr>
    </w:p>
    <w:tbl>
      <w:tblPr>
        <w:tblStyle w:val="16"/>
        <w:tblpPr w:leftFromText="180" w:rightFromText="180" w:vertAnchor="text" w:horzAnchor="page" w:tblpX="252" w:tblpY="-11243"/>
        <w:tblOverlap w:val="never"/>
        <w:tblW w:w="10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0"/>
        <w:gridCol w:w="1591"/>
        <w:gridCol w:w="1052"/>
        <w:gridCol w:w="468"/>
        <w:gridCol w:w="1135"/>
        <w:gridCol w:w="479"/>
        <w:gridCol w:w="980"/>
        <w:gridCol w:w="486"/>
        <w:gridCol w:w="410"/>
        <w:gridCol w:w="2291"/>
      </w:tblGrid>
      <w:tr w14:paraId="5ABD2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5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2E1CCC">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E21B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73C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E47B8C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区域自动气象站设备维护</w:t>
            </w:r>
          </w:p>
        </w:tc>
      </w:tr>
      <w:tr w14:paraId="4B107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BD3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2DA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德阳市罗江区气象局</w:t>
            </w:r>
          </w:p>
        </w:tc>
        <w:tc>
          <w:tcPr>
            <w:tcW w:w="980" w:type="dxa"/>
            <w:tcBorders>
              <w:top w:val="nil"/>
              <w:left w:val="nil"/>
              <w:bottom w:val="nil"/>
              <w:right w:val="nil"/>
            </w:tcBorders>
            <w:shd w:val="clear" w:color="auto" w:fill="auto"/>
            <w:vAlign w:val="center"/>
          </w:tcPr>
          <w:p w14:paraId="4326E8E3">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2B4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德阳市罗江区地方气象服务中心</w:t>
            </w:r>
          </w:p>
        </w:tc>
      </w:tr>
      <w:tr w14:paraId="3722D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BBC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905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221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6FF631">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74A4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011E8">
            <w:pPr>
              <w:rPr>
                <w:rFonts w:hint="eastAsia" w:ascii="宋体" w:hAnsi="宋体" w:eastAsia="宋体" w:cs="宋体"/>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0DAE9">
            <w:pPr>
              <w:rPr>
                <w:rFonts w:hint="eastAsia" w:ascii="宋体" w:hAnsi="宋体" w:eastAsia="宋体" w:cs="宋体"/>
                <w:i w:val="0"/>
                <w:iCs w:val="0"/>
                <w:color w:val="000000"/>
                <w:sz w:val="18"/>
                <w:szCs w:val="18"/>
                <w:u w:val="none"/>
              </w:rPr>
            </w:pPr>
          </w:p>
        </w:tc>
        <w:tc>
          <w:tcPr>
            <w:tcW w:w="4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B2A6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德阳市罗江区内21个区域自动站设备稳定运行率、到报率、数据可用率均达考核指标，不出现一例责任性事故。形成政府主导、部门联动、社会参与、信息共享的防灾减灾工作机制，逐步建成以单雨量站及多气象要素站为依托的监测网络体系，为防灾减灾工作奠定坚实基础。</w:t>
            </w:r>
          </w:p>
        </w:tc>
        <w:tc>
          <w:tcPr>
            <w:tcW w:w="4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6B07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r>
              <w:rPr>
                <w:rFonts w:hint="eastAsia" w:ascii="宋体" w:hAnsi="宋体" w:cs="宋体"/>
                <w:i w:val="0"/>
                <w:iCs w:val="0"/>
                <w:color w:val="000000"/>
                <w:kern w:val="0"/>
                <w:sz w:val="18"/>
                <w:szCs w:val="18"/>
                <w:u w:val="none"/>
                <w:lang w:val="en-US" w:eastAsia="zh-CN" w:bidi="ar"/>
              </w:rPr>
              <w:t>21个</w:t>
            </w:r>
            <w:r>
              <w:rPr>
                <w:rFonts w:ascii="宋体" w:hAnsi="宋体" w:eastAsia="宋体" w:cs="宋体"/>
                <w:i w:val="0"/>
                <w:iCs w:val="0"/>
                <w:color w:val="000000"/>
                <w:kern w:val="0"/>
                <w:sz w:val="18"/>
                <w:szCs w:val="18"/>
                <w:u w:val="none"/>
                <w:lang w:val="en-US" w:eastAsia="zh-CN" w:bidi="ar"/>
              </w:rPr>
              <w:t>自动区域站</w:t>
            </w:r>
            <w:r>
              <w:rPr>
                <w:rFonts w:hint="eastAsia" w:ascii="宋体" w:hAnsi="宋体" w:cs="宋体"/>
                <w:i w:val="0"/>
                <w:iCs w:val="0"/>
                <w:color w:val="000000"/>
                <w:kern w:val="0"/>
                <w:sz w:val="18"/>
                <w:szCs w:val="18"/>
                <w:u w:val="none"/>
                <w:lang w:val="en-US" w:eastAsia="zh-CN" w:bidi="ar"/>
              </w:rPr>
              <w:t>全年维护</w:t>
            </w:r>
            <w:r>
              <w:rPr>
                <w:rFonts w:ascii="宋体" w:hAnsi="宋体" w:eastAsia="宋体" w:cs="宋体"/>
                <w:i w:val="0"/>
                <w:iCs w:val="0"/>
                <w:color w:val="000000"/>
                <w:kern w:val="0"/>
                <w:sz w:val="18"/>
                <w:szCs w:val="18"/>
                <w:u w:val="none"/>
                <w:lang w:val="en-US" w:eastAsia="zh-CN" w:bidi="ar"/>
              </w:rPr>
              <w:t>。</w:t>
            </w:r>
          </w:p>
        </w:tc>
      </w:tr>
      <w:tr w14:paraId="36AF6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756AC">
            <w:pP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85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590DC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完成19个乡镇区域自动气象站和白马关、万安镇金雁社区2个乡镇土壤水分自动监测站全年设备维护</w:t>
            </w:r>
          </w:p>
        </w:tc>
      </w:tr>
      <w:tr w14:paraId="37D1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A03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15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8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D7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A906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8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3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D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3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5AA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40D85">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81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F2F">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3BB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6.70</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353D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DE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71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25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EC8F0">
            <w:pPr>
              <w:keepNext w:val="0"/>
              <w:keepLines w:val="0"/>
              <w:widowControl/>
              <w:suppressLineNumbers w:val="0"/>
              <w:jc w:val="left"/>
              <w:textAlignment w:val="center"/>
              <w:rPr>
                <w:rFonts w:hint="default" w:ascii="黑体" w:hAnsi="黑体" w:eastAsia="黑体" w:cs="黑体"/>
                <w:i/>
                <w:iCs/>
                <w:color w:val="000000"/>
                <w:sz w:val="18"/>
                <w:szCs w:val="18"/>
                <w:u w:val="none"/>
                <w:lang w:val="en-US" w:eastAsia="zh-CN"/>
              </w:rPr>
            </w:pPr>
          </w:p>
        </w:tc>
      </w:tr>
      <w:tr w14:paraId="19A4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7AB48">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8C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F796">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4259">
            <w:pPr>
              <w:jc w:val="center"/>
              <w:rPr>
                <w:rFonts w:hint="eastAsia" w:ascii="宋体" w:hAnsi="宋体" w:eastAsia="宋体" w:cs="宋体"/>
                <w:i w:val="0"/>
                <w:iCs w:val="0"/>
                <w:color w:val="000000"/>
                <w:sz w:val="18"/>
                <w:szCs w:val="18"/>
                <w:u w:val="none"/>
              </w:rPr>
            </w:pP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52ECD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7C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1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F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82419">
            <w:pPr>
              <w:rPr>
                <w:rFonts w:hint="eastAsia" w:ascii="黑体" w:hAnsi="黑体" w:eastAsia="黑体" w:cs="黑体"/>
                <w:i/>
                <w:iCs/>
                <w:color w:val="000000"/>
                <w:sz w:val="18"/>
                <w:szCs w:val="18"/>
                <w:u w:val="none"/>
              </w:rPr>
            </w:pPr>
          </w:p>
        </w:tc>
      </w:tr>
      <w:tr w14:paraId="430F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D00FC">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5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CA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FAE1">
            <w:pPr>
              <w:jc w:val="center"/>
              <w:rPr>
                <w:rFonts w:hint="eastAsia" w:ascii="宋体" w:hAnsi="宋体" w:eastAsia="宋体" w:cs="宋体"/>
                <w:i w:val="0"/>
                <w:iCs w:val="0"/>
                <w:color w:val="000000"/>
                <w:sz w:val="18"/>
                <w:szCs w:val="18"/>
                <w:u w:val="none"/>
              </w:rPr>
            </w:pP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65836F">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B32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682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8F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A10D2">
            <w:pPr>
              <w:rPr>
                <w:rFonts w:hint="eastAsia" w:ascii="黑体" w:hAnsi="黑体" w:eastAsia="黑体" w:cs="黑体"/>
                <w:i/>
                <w:iCs/>
                <w:color w:val="000000"/>
                <w:sz w:val="18"/>
                <w:szCs w:val="18"/>
                <w:u w:val="none"/>
              </w:rPr>
            </w:pPr>
          </w:p>
        </w:tc>
      </w:tr>
      <w:tr w14:paraId="12DD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5AA84">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583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A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3D39">
            <w:pPr>
              <w:jc w:val="center"/>
              <w:rPr>
                <w:rFonts w:hint="eastAsia" w:ascii="宋体" w:hAnsi="宋体" w:eastAsia="宋体" w:cs="宋体"/>
                <w:i w:val="0"/>
                <w:iCs w:val="0"/>
                <w:color w:val="000000"/>
                <w:sz w:val="18"/>
                <w:szCs w:val="18"/>
                <w:u w:val="none"/>
              </w:rPr>
            </w:pP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AA618">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A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A5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7C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E76BA">
            <w:pPr>
              <w:rPr>
                <w:rFonts w:hint="eastAsia" w:ascii="黑体" w:hAnsi="黑体" w:eastAsia="黑体" w:cs="黑体"/>
                <w:i/>
                <w:iCs/>
                <w:color w:val="000000"/>
                <w:sz w:val="18"/>
                <w:szCs w:val="18"/>
                <w:u w:val="none"/>
              </w:rPr>
            </w:pPr>
          </w:p>
        </w:tc>
      </w:tr>
      <w:tr w14:paraId="534E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0E0C8">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CC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B75FF">
            <w:pPr>
              <w:jc w:val="center"/>
              <w:rPr>
                <w:rFonts w:hint="eastAsia" w:ascii="微软雅黑" w:hAnsi="微软雅黑" w:eastAsia="微软雅黑" w:cs="微软雅黑"/>
                <w:i/>
                <w:iCs/>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9D16">
            <w:pPr>
              <w:jc w:val="center"/>
              <w:rPr>
                <w:rFonts w:hint="eastAsia" w:ascii="微软雅黑" w:hAnsi="微软雅黑" w:eastAsia="微软雅黑" w:cs="微软雅黑"/>
                <w:i/>
                <w:iCs/>
                <w:color w:val="000000"/>
                <w:sz w:val="16"/>
                <w:szCs w:val="16"/>
                <w:u w:val="none"/>
              </w:rPr>
            </w:pP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63CD5C">
            <w:pPr>
              <w:jc w:val="center"/>
              <w:rPr>
                <w:rFonts w:hint="eastAsia" w:ascii="微软雅黑" w:hAnsi="微软雅黑" w:eastAsia="微软雅黑" w:cs="微软雅黑"/>
                <w:i/>
                <w:iCs/>
                <w:color w:val="000000"/>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E8E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FB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C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F52A3">
            <w:pPr>
              <w:rPr>
                <w:rFonts w:hint="eastAsia" w:ascii="黑体" w:hAnsi="黑体" w:eastAsia="黑体" w:cs="黑体"/>
                <w:i/>
                <w:iCs/>
                <w:color w:val="000000"/>
                <w:sz w:val="18"/>
                <w:szCs w:val="18"/>
                <w:u w:val="none"/>
              </w:rPr>
            </w:pPr>
          </w:p>
        </w:tc>
      </w:tr>
      <w:tr w14:paraId="752BD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D4D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2B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41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4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9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138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D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B0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B1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8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3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731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534B3">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59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83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数量</w:t>
            </w:r>
            <w:r>
              <w:rPr>
                <w:rFonts w:ascii="宋体" w:hAnsi="宋体" w:eastAsia="宋体" w:cs="宋体"/>
                <w:i w:val="0"/>
                <w:iCs w:val="0"/>
                <w:color w:val="000000"/>
                <w:kern w:val="0"/>
                <w:sz w:val="18"/>
                <w:szCs w:val="18"/>
                <w:u w:val="none"/>
                <w:lang w:val="en-US" w:eastAsia="zh-CN" w:bidi="ar"/>
              </w:rPr>
              <w:t>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45D0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完成设备维护</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6A76">
            <w:pPr>
              <w:keepNext w:val="0"/>
              <w:keepLines w:val="0"/>
              <w:widowControl/>
              <w:suppressLineNumbers w:val="0"/>
              <w:jc w:val="center"/>
              <w:textAlignment w:val="center"/>
              <w:rPr>
                <w:rFonts w:hint="eastAsia"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w:t>
            </w:r>
          </w:p>
          <w:p w14:paraId="73AF2139">
            <w:pPr>
              <w:pStyle w:val="2"/>
              <w:rPr>
                <w:rFonts w:hint="eastAsia"/>
                <w:lang w:val="en-US" w:eastAsia="zh-CN"/>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532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97C6">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3DB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8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4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A4935">
            <w:pPr>
              <w:jc w:val="center"/>
              <w:rPr>
                <w:rFonts w:hint="eastAsia" w:ascii="微软雅黑" w:hAnsi="微软雅黑" w:eastAsia="微软雅黑" w:cs="微软雅黑"/>
                <w:i/>
                <w:iCs/>
                <w:color w:val="000000"/>
                <w:sz w:val="16"/>
                <w:szCs w:val="16"/>
                <w:u w:val="none"/>
              </w:rPr>
            </w:pPr>
          </w:p>
        </w:tc>
      </w:tr>
      <w:tr w14:paraId="56773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3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6BB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F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6E3D">
            <w:pPr>
              <w:rPr>
                <w:rFonts w:hint="eastAsia" w:ascii="宋体" w:hAnsi="宋体" w:eastAsia="宋体" w:cs="宋体"/>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3757">
            <w:pPr>
              <w:rPr>
                <w:rFonts w:hint="eastAsia" w:ascii="宋体" w:hAnsi="宋体" w:eastAsia="宋体" w:cs="宋体"/>
                <w:i w:val="0"/>
                <w:iCs w:val="0"/>
                <w:color w:val="000000"/>
                <w:sz w:val="18"/>
                <w:szCs w:val="18"/>
                <w:u w:val="none"/>
              </w:rPr>
            </w:pPr>
          </w:p>
        </w:tc>
      </w:tr>
      <w:tr w14:paraId="55A1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7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9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7B47D2">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保障德阳市罗江区内21个区域自动站设备稳定运行率、到报率、数据可用率均达考核指标</w:t>
            </w:r>
            <w:r>
              <w:rPr>
                <w:rFonts w:hint="eastAsia" w:ascii="宋体" w:hAnsi="宋体" w:cs="宋体"/>
                <w:i w:val="0"/>
                <w:iCs w:val="0"/>
                <w:color w:val="000000"/>
                <w:kern w:val="0"/>
                <w:sz w:val="18"/>
                <w:szCs w:val="18"/>
                <w:u w:val="none"/>
                <w:lang w:val="en-US" w:eastAsia="zh-CN" w:bidi="ar"/>
              </w:rPr>
              <w:t>。</w:t>
            </w:r>
          </w:p>
        </w:tc>
      </w:tr>
      <w:tr w14:paraId="5AC7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49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9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224A1C5">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AF7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97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9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73A2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3A79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BBC0D">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项目负责人：邓浩</w:t>
            </w:r>
          </w:p>
        </w:tc>
        <w:tc>
          <w:tcPr>
            <w:tcW w:w="57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0BD7C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财务负责人：陈小娟</w:t>
            </w:r>
          </w:p>
        </w:tc>
      </w:tr>
    </w:tbl>
    <w:p w14:paraId="57E306E5">
      <w:pPr>
        <w:pStyle w:val="2"/>
        <w:ind w:left="0" w:leftChars="0" w:firstLine="0" w:firstLineChars="0"/>
      </w:pPr>
    </w:p>
    <w:p w14:paraId="0FB4D6DE"/>
    <w:p w14:paraId="2DE70CD3">
      <w:pPr>
        <w:pStyle w:val="2"/>
      </w:pPr>
    </w:p>
    <w:p w14:paraId="07032429">
      <w:pPr>
        <w:pStyle w:val="2"/>
      </w:pPr>
    </w:p>
    <w:tbl>
      <w:tblPr>
        <w:tblStyle w:val="16"/>
        <w:tblpPr w:leftFromText="180" w:rightFromText="180" w:vertAnchor="text" w:horzAnchor="page" w:tblpX="279" w:tblpY="542"/>
        <w:tblOverlap w:val="never"/>
        <w:tblW w:w="10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0"/>
        <w:gridCol w:w="1590"/>
        <w:gridCol w:w="1052"/>
        <w:gridCol w:w="468"/>
        <w:gridCol w:w="1135"/>
        <w:gridCol w:w="563"/>
        <w:gridCol w:w="864"/>
        <w:gridCol w:w="486"/>
        <w:gridCol w:w="410"/>
        <w:gridCol w:w="2289"/>
      </w:tblGrid>
      <w:tr w14:paraId="3825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5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73609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3B2F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D69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90DC2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电视天气预报</w:t>
            </w:r>
          </w:p>
        </w:tc>
      </w:tr>
      <w:tr w14:paraId="5027A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AB7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4B8A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德阳市罗江区气象局</w:t>
            </w:r>
          </w:p>
        </w:tc>
        <w:tc>
          <w:tcPr>
            <w:tcW w:w="864" w:type="dxa"/>
            <w:tcBorders>
              <w:top w:val="nil"/>
              <w:left w:val="nil"/>
              <w:bottom w:val="nil"/>
              <w:right w:val="nil"/>
            </w:tcBorders>
            <w:shd w:val="clear" w:color="auto" w:fill="auto"/>
            <w:vAlign w:val="center"/>
          </w:tcPr>
          <w:p w14:paraId="600423B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97F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德阳市罗江区地方气象服务中心</w:t>
            </w:r>
          </w:p>
        </w:tc>
      </w:tr>
      <w:tr w14:paraId="54B0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6EE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17DD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38F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FCEC1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D837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5466E">
            <w:pPr>
              <w:rPr>
                <w:rFonts w:hint="eastAsia" w:ascii="宋体" w:hAnsi="宋体" w:eastAsia="宋体" w:cs="宋体"/>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6CF96">
            <w:pPr>
              <w:rPr>
                <w:rFonts w:hint="eastAsia" w:ascii="宋体" w:hAnsi="宋体" w:eastAsia="宋体" w:cs="宋体"/>
                <w:i w:val="0"/>
                <w:iCs w:val="0"/>
                <w:color w:val="000000"/>
                <w:sz w:val="18"/>
                <w:szCs w:val="18"/>
                <w:u w:val="none"/>
              </w:rPr>
            </w:pP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63C4E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天气预报：390个/天*0.1元/天*2条*365天）；预警信息发布：390个/天*0.1元/天*5条*100天；发送气象信息给全区各级领导、相关部门、村社、气象信息员、地质灾害监测员、旅游景点、水上运动安全责任人，实现气象信息发布传播的安全规范、及时有效和全覆盖，解决气象信息传播“最后一公里”的问题。</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C023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完成日常天气预报365天期；预警信息发布：3.9万条；及时发送气象信息，实现气象信息发布传播的安全规范、及时有效和全覆盖。</w:t>
            </w:r>
          </w:p>
        </w:tc>
      </w:tr>
      <w:tr w14:paraId="3994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B14F0">
            <w:pP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AD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51014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态化做好日常天气预报、预警信息发布，发送气象信息给全区各级领导、相关部门、村社、气象信息员、地质灾害监测员、旅游景点、水上运动安全责任人，实现气象信息发布传播的安全规范、及时有效和全覆盖。</w:t>
            </w:r>
          </w:p>
        </w:tc>
      </w:tr>
      <w:tr w14:paraId="3C1FE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95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DA5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A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31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8F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42C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B7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44A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E4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0768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88E40">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7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58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073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4.80</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012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AA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E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BE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60C1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952E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16371">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1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48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B403">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CC0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FC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9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3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04DB3">
            <w:pPr>
              <w:rPr>
                <w:rFonts w:hint="eastAsia" w:ascii="黑体" w:hAnsi="黑体" w:eastAsia="黑体" w:cs="黑体"/>
                <w:i/>
                <w:iCs/>
                <w:color w:val="000000"/>
                <w:sz w:val="18"/>
                <w:szCs w:val="18"/>
                <w:u w:val="none"/>
              </w:rPr>
            </w:pPr>
          </w:p>
        </w:tc>
      </w:tr>
      <w:tr w14:paraId="1D3E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EB6B8">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5DF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A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9E56">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E77F1">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20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43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D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C8803">
            <w:pPr>
              <w:rPr>
                <w:rFonts w:hint="eastAsia" w:ascii="黑体" w:hAnsi="黑体" w:eastAsia="黑体" w:cs="黑体"/>
                <w:i/>
                <w:iCs/>
                <w:color w:val="000000"/>
                <w:sz w:val="18"/>
                <w:szCs w:val="18"/>
                <w:u w:val="none"/>
              </w:rPr>
            </w:pPr>
          </w:p>
        </w:tc>
      </w:tr>
      <w:tr w14:paraId="2FC4A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20B45">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4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E4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A87F">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CD75A">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E5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68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59A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25F8C">
            <w:pPr>
              <w:rPr>
                <w:rFonts w:hint="eastAsia" w:ascii="黑体" w:hAnsi="黑体" w:eastAsia="黑体" w:cs="黑体"/>
                <w:i/>
                <w:iCs/>
                <w:color w:val="000000"/>
                <w:sz w:val="18"/>
                <w:szCs w:val="18"/>
                <w:u w:val="none"/>
              </w:rPr>
            </w:pPr>
          </w:p>
        </w:tc>
      </w:tr>
      <w:tr w14:paraId="62293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5C91A">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E1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D0346">
            <w:pPr>
              <w:jc w:val="center"/>
              <w:rPr>
                <w:rFonts w:hint="eastAsia" w:ascii="微软雅黑" w:hAnsi="微软雅黑" w:eastAsia="微软雅黑" w:cs="微软雅黑"/>
                <w:i/>
                <w:iCs/>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779B">
            <w:pPr>
              <w:jc w:val="center"/>
              <w:rPr>
                <w:rFonts w:hint="eastAsia" w:ascii="微软雅黑" w:hAnsi="微软雅黑" w:eastAsia="微软雅黑" w:cs="微软雅黑"/>
                <w:i/>
                <w:iCs/>
                <w:color w:val="000000"/>
                <w:sz w:val="16"/>
                <w:szCs w:val="16"/>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4F9205">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9EFED">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4E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85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7078B">
            <w:pPr>
              <w:rPr>
                <w:rFonts w:hint="eastAsia" w:ascii="黑体" w:hAnsi="黑体" w:eastAsia="黑体" w:cs="黑体"/>
                <w:i/>
                <w:iCs/>
                <w:color w:val="000000"/>
                <w:sz w:val="18"/>
                <w:szCs w:val="18"/>
                <w:u w:val="none"/>
              </w:rPr>
            </w:pPr>
          </w:p>
        </w:tc>
      </w:tr>
      <w:tr w14:paraId="698D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612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08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5B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CFC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AB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EB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A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B3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4F0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B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5B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3961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6CE48">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B7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4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F5D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发布日常天气预报</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88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32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24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F11E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C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05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1A4B">
            <w:pPr>
              <w:jc w:val="center"/>
              <w:rPr>
                <w:rFonts w:hint="eastAsia" w:ascii="微软雅黑" w:hAnsi="微软雅黑" w:eastAsia="微软雅黑" w:cs="微软雅黑"/>
                <w:i/>
                <w:iCs/>
                <w:color w:val="000000"/>
                <w:sz w:val="16"/>
                <w:szCs w:val="16"/>
                <w:u w:val="none"/>
              </w:rPr>
            </w:pPr>
          </w:p>
        </w:tc>
      </w:tr>
      <w:tr w14:paraId="41E0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3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93680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07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EC62C">
            <w:pP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8432">
            <w:pPr>
              <w:rPr>
                <w:rFonts w:hint="eastAsia" w:ascii="宋体" w:hAnsi="宋体" w:eastAsia="宋体" w:cs="宋体"/>
                <w:i w:val="0"/>
                <w:iCs w:val="0"/>
                <w:color w:val="000000"/>
                <w:sz w:val="18"/>
                <w:szCs w:val="18"/>
                <w:u w:val="none"/>
              </w:rPr>
            </w:pPr>
          </w:p>
        </w:tc>
      </w:tr>
      <w:tr w14:paraId="28BF8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1D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1FB10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日常天气预报365天期；预警信息发布：3.9万条；及时发送气象信息给全区各级领导、相关部门、村社、气象信息员、地质灾害监测员、旅游景点、水上运动安全责任人，实现气象信息发布传播的安全规范、及时有效和全覆盖，解决气象信息传播“最后一公里”的问题。</w:t>
            </w:r>
          </w:p>
        </w:tc>
      </w:tr>
      <w:tr w14:paraId="3B24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7B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CCBDEE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675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43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0BFC9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BE5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F15A03">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项目负责人：杨欢</w:t>
            </w:r>
          </w:p>
        </w:tc>
        <w:tc>
          <w:tcPr>
            <w:tcW w:w="57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DDCBA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财务负责人：陈小娟</w:t>
            </w:r>
          </w:p>
        </w:tc>
      </w:tr>
    </w:tbl>
    <w:p w14:paraId="16BD136B">
      <w:pPr>
        <w:rPr>
          <w:rFonts w:hint="eastAsia"/>
        </w:rPr>
      </w:pPr>
      <w:r>
        <w:commentReference w:id="14"/>
      </w:r>
    </w:p>
    <w:p w14:paraId="22FD27CB">
      <w:pPr>
        <w:pStyle w:val="2"/>
        <w:ind w:left="0" w:leftChars="0" w:firstLine="0" w:firstLineChars="0"/>
        <w:rPr>
          <w:rFonts w:ascii="黑体" w:hAnsi="黑体" w:eastAsia="黑体"/>
          <w:sz w:val="32"/>
          <w:szCs w:val="32"/>
        </w:rPr>
      </w:pPr>
    </w:p>
    <w:tbl>
      <w:tblPr>
        <w:tblStyle w:val="16"/>
        <w:tblpPr w:leftFromText="180" w:rightFromText="180" w:vertAnchor="text" w:horzAnchor="page" w:tblpX="654" w:tblpY="589"/>
        <w:tblOverlap w:val="never"/>
        <w:tblW w:w="10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0"/>
        <w:gridCol w:w="1590"/>
        <w:gridCol w:w="1052"/>
        <w:gridCol w:w="468"/>
        <w:gridCol w:w="1135"/>
        <w:gridCol w:w="563"/>
        <w:gridCol w:w="864"/>
        <w:gridCol w:w="486"/>
        <w:gridCol w:w="410"/>
        <w:gridCol w:w="2289"/>
      </w:tblGrid>
      <w:tr w14:paraId="37DC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5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4A33A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51C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F9D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1D016B">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气象防灾减灾、为农服务、科普、新时代文明实践缺口经费</w:t>
            </w:r>
          </w:p>
        </w:tc>
      </w:tr>
      <w:tr w14:paraId="22DB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540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21F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德阳市罗江区气象局</w:t>
            </w:r>
          </w:p>
        </w:tc>
        <w:tc>
          <w:tcPr>
            <w:tcW w:w="864" w:type="dxa"/>
            <w:tcBorders>
              <w:top w:val="nil"/>
              <w:left w:val="nil"/>
              <w:bottom w:val="nil"/>
              <w:right w:val="nil"/>
            </w:tcBorders>
            <w:shd w:val="clear" w:color="auto" w:fill="auto"/>
            <w:vAlign w:val="center"/>
          </w:tcPr>
          <w:p w14:paraId="1C2B140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00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德阳市罗江区地方气象服务中心</w:t>
            </w:r>
          </w:p>
        </w:tc>
      </w:tr>
      <w:tr w14:paraId="3720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0A9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64A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802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D2A7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A6E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8DBD">
            <w:pPr>
              <w:rPr>
                <w:rFonts w:hint="eastAsia" w:ascii="宋体" w:hAnsi="宋体" w:eastAsia="宋体" w:cs="宋体"/>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0E18C">
            <w:pPr>
              <w:rPr>
                <w:rFonts w:hint="eastAsia" w:ascii="宋体" w:hAnsi="宋体" w:eastAsia="宋体" w:cs="宋体"/>
                <w:i w:val="0"/>
                <w:iCs w:val="0"/>
                <w:color w:val="000000"/>
                <w:sz w:val="18"/>
                <w:szCs w:val="18"/>
                <w:u w:val="none"/>
              </w:rPr>
            </w:pP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235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（一）加强气象防灾减灾科普体系建设，发挥科普惠民基地职能，推进2023年省科技厅2项预申报项目开展实施，提升气象科普教育水平，实现科普教育高质量发展。</w:t>
            </w:r>
          </w:p>
          <w:p w14:paraId="74FD1C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（二）利用罗江风云“三号”“四号”卫星接收系统，推进森林火险气象条件预测预报服务能力建设，结合市科技局项目《风云卫星在森林防灭火工作中的应用研究》，开展森林火点、过火迹地监测服务。</w:t>
            </w:r>
          </w:p>
          <w:p w14:paraId="24B179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在坚守脱贫攻坚成果的同时，积极参与到全区乡村振兴战略工作中。完成德阳市气象部门科研课题重项2个——罗江区羊肚菌气候适宜和栽培技术研究与应用、德阳市罗江区气候条件对晚熟柑橘的利弊分析。开展以需求为导向的精准靶向服务，形成助力新型农业经营主体发展的乡村振兴战略气象解决方案，推动为农业气象服务能力的整体提升，</w:t>
            </w:r>
          </w:p>
          <w:p w14:paraId="79EBB6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（四）做好地面气象和气象卫星接收探测环境和设施保护工作。</w:t>
            </w:r>
          </w:p>
          <w:p w14:paraId="476028FD">
            <w:pPr>
              <w:keepNext w:val="0"/>
              <w:keepLines w:val="0"/>
              <w:widowControl/>
              <w:suppressLineNumbers w:val="0"/>
              <w:jc w:val="left"/>
              <w:textAlignment w:val="center"/>
              <w:rPr>
                <w:rFonts w:ascii="宋体" w:hAnsi="宋体" w:eastAsia="宋体" w:cs="宋体"/>
                <w:i w:val="0"/>
                <w:iCs w:val="0"/>
                <w:color w:val="000000"/>
                <w:sz w:val="18"/>
                <w:szCs w:val="18"/>
                <w:u w:val="none"/>
              </w:rPr>
            </w:pP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A329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提升气象科普教育水平，实现科普教育高质量发展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推进</w:t>
            </w:r>
            <w:r>
              <w:rPr>
                <w:rFonts w:hint="eastAsia" w:ascii="宋体" w:hAnsi="宋体" w:cs="宋体"/>
                <w:i w:val="0"/>
                <w:iCs w:val="0"/>
                <w:color w:val="000000"/>
                <w:kern w:val="0"/>
                <w:sz w:val="18"/>
                <w:szCs w:val="18"/>
                <w:u w:val="none"/>
                <w:lang w:val="en-US" w:eastAsia="zh-CN" w:bidi="ar"/>
              </w:rPr>
              <w:t>了</w:t>
            </w:r>
            <w:r>
              <w:rPr>
                <w:rFonts w:hint="eastAsia" w:ascii="宋体" w:hAnsi="宋体" w:eastAsia="宋体" w:cs="宋体"/>
                <w:i w:val="0"/>
                <w:iCs w:val="0"/>
                <w:color w:val="000000"/>
                <w:kern w:val="0"/>
                <w:sz w:val="18"/>
                <w:szCs w:val="18"/>
                <w:u w:val="none"/>
                <w:lang w:val="en-US" w:eastAsia="zh-CN" w:bidi="ar"/>
              </w:rPr>
              <w:t>森林火险气象条件预测预报服务能力建设，完成德阳市气象部门科研课题重项</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做好地面气象和气象卫星接收探测环境和设施保护工作。</w:t>
            </w:r>
          </w:p>
          <w:p w14:paraId="2631E644">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p>
        </w:tc>
      </w:tr>
      <w:tr w14:paraId="074B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EF7D2">
            <w:pP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B5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EAA5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提升气象科普教育水平，实现科普教育高质量发展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推进</w:t>
            </w:r>
            <w:r>
              <w:rPr>
                <w:rFonts w:hint="eastAsia" w:ascii="宋体" w:hAnsi="宋体" w:cs="宋体"/>
                <w:i w:val="0"/>
                <w:iCs w:val="0"/>
                <w:color w:val="000000"/>
                <w:kern w:val="0"/>
                <w:sz w:val="18"/>
                <w:szCs w:val="18"/>
                <w:u w:val="none"/>
                <w:lang w:val="en-US" w:eastAsia="zh-CN" w:bidi="ar"/>
              </w:rPr>
              <w:t>了</w:t>
            </w:r>
            <w:r>
              <w:rPr>
                <w:rFonts w:hint="eastAsia" w:ascii="宋体" w:hAnsi="宋体" w:eastAsia="宋体" w:cs="宋体"/>
                <w:i w:val="0"/>
                <w:iCs w:val="0"/>
                <w:color w:val="000000"/>
                <w:kern w:val="0"/>
                <w:sz w:val="18"/>
                <w:szCs w:val="18"/>
                <w:u w:val="none"/>
                <w:lang w:val="en-US" w:eastAsia="zh-CN" w:bidi="ar"/>
              </w:rPr>
              <w:t>森林火险气象条件预测预报服务能力建设，完成德阳市气象部门科研课题重项</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做好地面气象和气象卫星接收探测环境和设施保护工作。</w:t>
            </w:r>
          </w:p>
          <w:p w14:paraId="17D838D9">
            <w:pPr>
              <w:keepNext w:val="0"/>
              <w:keepLines w:val="0"/>
              <w:widowControl/>
              <w:suppressLineNumbers w:val="0"/>
              <w:jc w:val="left"/>
              <w:textAlignment w:val="center"/>
              <w:rPr>
                <w:rFonts w:ascii="宋体" w:hAnsi="宋体" w:eastAsia="宋体" w:cs="宋体"/>
                <w:i w:val="0"/>
                <w:iCs w:val="0"/>
                <w:color w:val="000000"/>
                <w:sz w:val="18"/>
                <w:szCs w:val="18"/>
                <w:u w:val="none"/>
              </w:rPr>
            </w:pPr>
          </w:p>
        </w:tc>
      </w:tr>
      <w:tr w14:paraId="429A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84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C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B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3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7B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F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5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9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3C2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1653">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1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2F7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437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15.00</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98FE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D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2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F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86862">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94E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BC478">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5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494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C0C5">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D7B0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9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4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6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A6D7E">
            <w:pPr>
              <w:rPr>
                <w:rFonts w:hint="eastAsia" w:ascii="黑体" w:hAnsi="黑体" w:eastAsia="黑体" w:cs="黑体"/>
                <w:i/>
                <w:iCs/>
                <w:color w:val="000000"/>
                <w:sz w:val="18"/>
                <w:szCs w:val="18"/>
                <w:u w:val="none"/>
              </w:rPr>
            </w:pPr>
          </w:p>
        </w:tc>
      </w:tr>
      <w:tr w14:paraId="00A4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EBD2">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6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4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3861">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6DCE6">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F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A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7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2F1E2">
            <w:pPr>
              <w:rPr>
                <w:rFonts w:hint="eastAsia" w:ascii="黑体" w:hAnsi="黑体" w:eastAsia="黑体" w:cs="黑体"/>
                <w:i/>
                <w:iCs/>
                <w:color w:val="000000"/>
                <w:sz w:val="18"/>
                <w:szCs w:val="18"/>
                <w:u w:val="none"/>
              </w:rPr>
            </w:pPr>
          </w:p>
        </w:tc>
      </w:tr>
      <w:tr w14:paraId="69BF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CBF1">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D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6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F685">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CE851">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0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5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3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CBE7">
            <w:pPr>
              <w:rPr>
                <w:rFonts w:hint="eastAsia" w:ascii="黑体" w:hAnsi="黑体" w:eastAsia="黑体" w:cs="黑体"/>
                <w:i/>
                <w:iCs/>
                <w:color w:val="000000"/>
                <w:sz w:val="18"/>
                <w:szCs w:val="18"/>
                <w:u w:val="none"/>
              </w:rPr>
            </w:pPr>
          </w:p>
        </w:tc>
      </w:tr>
      <w:tr w14:paraId="4312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7345C">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8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FD29">
            <w:pPr>
              <w:jc w:val="center"/>
              <w:rPr>
                <w:rFonts w:hint="eastAsia" w:ascii="微软雅黑" w:hAnsi="微软雅黑" w:eastAsia="微软雅黑" w:cs="微软雅黑"/>
                <w:i/>
                <w:iCs/>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9CC2">
            <w:pPr>
              <w:jc w:val="center"/>
              <w:rPr>
                <w:rFonts w:hint="eastAsia" w:ascii="微软雅黑" w:hAnsi="微软雅黑" w:eastAsia="微软雅黑" w:cs="微软雅黑"/>
                <w:i/>
                <w:iCs/>
                <w:color w:val="000000"/>
                <w:sz w:val="16"/>
                <w:szCs w:val="16"/>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BFA06">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B8C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9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5315">
            <w:pPr>
              <w:rPr>
                <w:rFonts w:hint="eastAsia" w:ascii="黑体" w:hAnsi="黑体" w:eastAsia="黑体" w:cs="黑体"/>
                <w:i/>
                <w:iCs/>
                <w:color w:val="000000"/>
                <w:sz w:val="18"/>
                <w:szCs w:val="18"/>
                <w:u w:val="none"/>
              </w:rPr>
            </w:pPr>
          </w:p>
        </w:tc>
      </w:tr>
      <w:tr w14:paraId="2780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A0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A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8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F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0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E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A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5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F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8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8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B0E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D4AD">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A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5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0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气象服务对象满意度</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4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B24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C75">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BA3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A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6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AE4C">
            <w:pPr>
              <w:jc w:val="center"/>
              <w:rPr>
                <w:rFonts w:hint="eastAsia" w:ascii="微软雅黑" w:hAnsi="微软雅黑" w:eastAsia="微软雅黑" w:cs="微软雅黑"/>
                <w:i/>
                <w:iCs/>
                <w:color w:val="000000"/>
                <w:sz w:val="16"/>
                <w:szCs w:val="16"/>
                <w:u w:val="none"/>
              </w:rPr>
            </w:pPr>
          </w:p>
        </w:tc>
      </w:tr>
      <w:tr w14:paraId="0CB4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3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553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2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5348">
            <w:pP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65C8">
            <w:pPr>
              <w:rPr>
                <w:rFonts w:hint="eastAsia" w:ascii="宋体" w:hAnsi="宋体" w:eastAsia="宋体" w:cs="宋体"/>
                <w:i w:val="0"/>
                <w:iCs w:val="0"/>
                <w:color w:val="000000"/>
                <w:sz w:val="18"/>
                <w:szCs w:val="18"/>
                <w:u w:val="none"/>
              </w:rPr>
            </w:pPr>
          </w:p>
        </w:tc>
      </w:tr>
      <w:tr w14:paraId="4F9C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5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E79B7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推进2023年省科技厅2项预申报项目开展实施，提升气象科普教育水平，实现科普教育高质量发展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推动为农业气象服务能力的整体提升。</w:t>
            </w:r>
          </w:p>
        </w:tc>
      </w:tr>
      <w:tr w14:paraId="007B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E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B256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398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9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97C8A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E76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C41DA6">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项目负责人：杨欢</w:t>
            </w:r>
          </w:p>
        </w:tc>
        <w:tc>
          <w:tcPr>
            <w:tcW w:w="57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E6DB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财务负责人：陈小娟</w:t>
            </w:r>
          </w:p>
        </w:tc>
      </w:tr>
    </w:tbl>
    <w:p w14:paraId="5B71B3F7">
      <w:pPr>
        <w:spacing w:line="600" w:lineRule="exact"/>
        <w:jc w:val="left"/>
        <w:rPr>
          <w:rFonts w:hint="eastAsia" w:ascii="黑体" w:hAnsi="黑体" w:eastAsia="黑体" w:cs="黑体"/>
          <w:color w:val="auto"/>
          <w:sz w:val="32"/>
          <w:szCs w:val="32"/>
          <w:shd w:val="clear" w:color="auto" w:fill="FFFFFF"/>
          <w:lang w:val="en-US" w:eastAsia="zh-CN"/>
        </w:rPr>
      </w:pPr>
    </w:p>
    <w:p w14:paraId="24C07A70">
      <w:pPr>
        <w:pStyle w:val="2"/>
        <w:rPr>
          <w:rFonts w:hint="eastAsia" w:ascii="黑体" w:hAnsi="黑体" w:eastAsia="黑体" w:cs="黑体"/>
          <w:color w:val="auto"/>
          <w:sz w:val="32"/>
          <w:szCs w:val="32"/>
          <w:shd w:val="clear" w:color="auto" w:fill="FFFFFF"/>
          <w:lang w:val="en-US" w:eastAsia="zh-CN"/>
        </w:rPr>
      </w:pPr>
    </w:p>
    <w:p w14:paraId="4DACC7FB">
      <w:pPr>
        <w:pStyle w:val="2"/>
        <w:rPr>
          <w:rFonts w:hint="eastAsia" w:ascii="黑体" w:hAnsi="黑体" w:eastAsia="黑体" w:cs="黑体"/>
          <w:color w:val="auto"/>
          <w:sz w:val="32"/>
          <w:szCs w:val="32"/>
          <w:shd w:val="clear" w:color="auto" w:fill="FFFFFF"/>
          <w:lang w:val="en-US" w:eastAsia="zh-CN"/>
        </w:rPr>
      </w:pPr>
    </w:p>
    <w:p w14:paraId="653E86AA">
      <w:pPr>
        <w:pStyle w:val="2"/>
        <w:rPr>
          <w:rFonts w:hint="eastAsia" w:ascii="黑体" w:hAnsi="黑体" w:eastAsia="黑体" w:cs="黑体"/>
          <w:color w:val="auto"/>
          <w:sz w:val="32"/>
          <w:szCs w:val="32"/>
          <w:shd w:val="clear" w:color="auto" w:fill="FFFFFF"/>
          <w:lang w:val="en-US" w:eastAsia="zh-CN"/>
        </w:rPr>
      </w:pPr>
    </w:p>
    <w:p w14:paraId="2A356692">
      <w:pPr>
        <w:pStyle w:val="2"/>
        <w:rPr>
          <w:rFonts w:hint="eastAsia" w:ascii="黑体" w:hAnsi="黑体" w:eastAsia="黑体" w:cs="黑体"/>
          <w:color w:val="auto"/>
          <w:sz w:val="32"/>
          <w:szCs w:val="32"/>
          <w:shd w:val="clear" w:color="auto" w:fill="FFFFFF"/>
          <w:lang w:val="en-US" w:eastAsia="zh-CN"/>
        </w:rPr>
      </w:pPr>
    </w:p>
    <w:p w14:paraId="0B492D5F">
      <w:pPr>
        <w:pStyle w:val="2"/>
        <w:rPr>
          <w:rFonts w:hint="eastAsia" w:ascii="黑体" w:hAnsi="黑体" w:eastAsia="黑体" w:cs="黑体"/>
          <w:color w:val="auto"/>
          <w:sz w:val="32"/>
          <w:szCs w:val="32"/>
          <w:shd w:val="clear" w:color="auto" w:fill="FFFFFF"/>
          <w:lang w:val="en-US" w:eastAsia="zh-CN"/>
        </w:rPr>
      </w:pPr>
    </w:p>
    <w:p w14:paraId="19D9035D">
      <w:pPr>
        <w:pStyle w:val="2"/>
        <w:rPr>
          <w:rFonts w:hint="eastAsia" w:ascii="黑体" w:hAnsi="黑体" w:eastAsia="黑体" w:cs="黑体"/>
          <w:color w:val="auto"/>
          <w:sz w:val="32"/>
          <w:szCs w:val="32"/>
          <w:shd w:val="clear" w:color="auto" w:fill="FFFFFF"/>
          <w:lang w:val="en-US" w:eastAsia="zh-CN"/>
        </w:rPr>
      </w:pPr>
    </w:p>
    <w:p w14:paraId="75B2DF1D">
      <w:pPr>
        <w:pStyle w:val="2"/>
        <w:rPr>
          <w:rFonts w:hint="eastAsia" w:ascii="黑体" w:hAnsi="黑体" w:eastAsia="黑体" w:cs="黑体"/>
          <w:color w:val="auto"/>
          <w:sz w:val="32"/>
          <w:szCs w:val="32"/>
          <w:shd w:val="clear" w:color="auto" w:fill="FFFFFF"/>
          <w:lang w:val="en-US" w:eastAsia="zh-CN"/>
        </w:rPr>
      </w:pPr>
    </w:p>
    <w:p w14:paraId="4D737F27">
      <w:pPr>
        <w:pStyle w:val="2"/>
        <w:rPr>
          <w:rFonts w:hint="eastAsia" w:ascii="黑体" w:hAnsi="黑体" w:eastAsia="黑体" w:cs="黑体"/>
          <w:color w:val="auto"/>
          <w:sz w:val="32"/>
          <w:szCs w:val="32"/>
          <w:shd w:val="clear" w:color="auto" w:fill="FFFFFF"/>
          <w:lang w:val="en-US" w:eastAsia="zh-CN"/>
        </w:rPr>
      </w:pPr>
    </w:p>
    <w:p w14:paraId="18EAA9BF">
      <w:pPr>
        <w:pStyle w:val="2"/>
        <w:rPr>
          <w:rFonts w:hint="eastAsia" w:ascii="黑体" w:hAnsi="黑体" w:eastAsia="黑体" w:cs="黑体"/>
          <w:color w:val="auto"/>
          <w:sz w:val="32"/>
          <w:szCs w:val="32"/>
          <w:shd w:val="clear" w:color="auto" w:fill="FFFFFF"/>
          <w:lang w:val="en-US" w:eastAsia="zh-CN"/>
        </w:rPr>
      </w:pPr>
    </w:p>
    <w:p w14:paraId="11962850">
      <w:pPr>
        <w:pStyle w:val="2"/>
        <w:rPr>
          <w:rFonts w:hint="eastAsia" w:ascii="黑体" w:hAnsi="黑体" w:eastAsia="黑体" w:cs="黑体"/>
          <w:color w:val="auto"/>
          <w:sz w:val="32"/>
          <w:szCs w:val="32"/>
          <w:shd w:val="clear" w:color="auto" w:fill="FFFFFF"/>
          <w:lang w:val="en-US" w:eastAsia="zh-CN"/>
        </w:rPr>
      </w:pPr>
    </w:p>
    <w:p w14:paraId="55FF56E6">
      <w:pPr>
        <w:pStyle w:val="2"/>
        <w:rPr>
          <w:rFonts w:hint="eastAsia" w:ascii="黑体" w:hAnsi="黑体" w:eastAsia="黑体" w:cs="黑体"/>
          <w:color w:val="auto"/>
          <w:sz w:val="32"/>
          <w:szCs w:val="32"/>
          <w:shd w:val="clear" w:color="auto" w:fill="FFFFFF"/>
          <w:lang w:val="en-US" w:eastAsia="zh-CN"/>
        </w:rPr>
      </w:pPr>
    </w:p>
    <w:p w14:paraId="1892E165">
      <w:pPr>
        <w:pStyle w:val="2"/>
        <w:rPr>
          <w:rFonts w:hint="eastAsia" w:ascii="黑体" w:hAnsi="黑体" w:eastAsia="黑体" w:cs="黑体"/>
          <w:color w:val="auto"/>
          <w:sz w:val="32"/>
          <w:szCs w:val="32"/>
          <w:shd w:val="clear" w:color="auto" w:fill="FFFFFF"/>
          <w:lang w:val="en-US" w:eastAsia="zh-CN"/>
        </w:rPr>
      </w:pPr>
    </w:p>
    <w:p w14:paraId="4B853BFB">
      <w:pPr>
        <w:pStyle w:val="2"/>
        <w:rPr>
          <w:rFonts w:hint="eastAsia" w:ascii="黑体" w:hAnsi="黑体" w:eastAsia="黑体" w:cs="黑体"/>
          <w:color w:val="auto"/>
          <w:sz w:val="32"/>
          <w:szCs w:val="32"/>
          <w:shd w:val="clear" w:color="auto" w:fill="FFFFFF"/>
          <w:lang w:val="en-US" w:eastAsia="zh-CN"/>
        </w:rPr>
      </w:pPr>
    </w:p>
    <w:tbl>
      <w:tblPr>
        <w:tblStyle w:val="16"/>
        <w:tblpPr w:leftFromText="180" w:rightFromText="180" w:vertAnchor="text" w:horzAnchor="page" w:tblpX="654" w:tblpY="589"/>
        <w:tblOverlap w:val="never"/>
        <w:tblW w:w="10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0"/>
        <w:gridCol w:w="1590"/>
        <w:gridCol w:w="1052"/>
        <w:gridCol w:w="468"/>
        <w:gridCol w:w="1135"/>
        <w:gridCol w:w="563"/>
        <w:gridCol w:w="864"/>
        <w:gridCol w:w="486"/>
        <w:gridCol w:w="410"/>
        <w:gridCol w:w="2289"/>
      </w:tblGrid>
      <w:tr w14:paraId="1E44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5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61DAC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2BF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4E8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4CFF4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决策天气服务信息费</w:t>
            </w:r>
          </w:p>
        </w:tc>
      </w:tr>
      <w:tr w14:paraId="61E6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678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85D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德阳市罗江区气象局</w:t>
            </w:r>
          </w:p>
        </w:tc>
        <w:tc>
          <w:tcPr>
            <w:tcW w:w="864" w:type="dxa"/>
            <w:tcBorders>
              <w:top w:val="nil"/>
              <w:left w:val="nil"/>
              <w:bottom w:val="nil"/>
              <w:right w:val="nil"/>
            </w:tcBorders>
            <w:shd w:val="clear" w:color="auto" w:fill="auto"/>
            <w:vAlign w:val="center"/>
          </w:tcPr>
          <w:p w14:paraId="6B60A5A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1B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德阳市罗江区地方气象服务中心</w:t>
            </w:r>
          </w:p>
        </w:tc>
      </w:tr>
      <w:tr w14:paraId="4B9F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F6C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CA6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46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E8A29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E12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D68EA">
            <w:pPr>
              <w:rPr>
                <w:rFonts w:hint="eastAsia" w:ascii="宋体" w:hAnsi="宋体" w:eastAsia="宋体" w:cs="宋体"/>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DCBCB">
            <w:pPr>
              <w:rPr>
                <w:rFonts w:hint="eastAsia" w:ascii="宋体" w:hAnsi="宋体" w:eastAsia="宋体" w:cs="宋体"/>
                <w:i w:val="0"/>
                <w:iCs w:val="0"/>
                <w:color w:val="000000"/>
                <w:sz w:val="18"/>
                <w:szCs w:val="18"/>
                <w:u w:val="none"/>
              </w:rPr>
            </w:pP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4E56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日常天气预报</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预警信息发布；发送气象信息给全区各级领导、相关部门、村社、气象信息员、地质灾害监测员、旅游景点、水上运动安全责任人，实现气象信息发布传播的安全规范、及时有效和全覆盖，解决气象信息传播“最后一公里”的问题。</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BF8E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完成日常天气预报365天期；预警信息发布：3.9万条；及时发送气象信息，实现气象信息发布传播的安全规范、及时有效和全覆盖。</w:t>
            </w:r>
          </w:p>
        </w:tc>
      </w:tr>
      <w:tr w14:paraId="532D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D59BD">
            <w:pP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28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8575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态化做好日常天气预报、预警信息发布，发送气象信息给全区各级领导、相关部门、村社、气象信息员、地质灾害监测员、旅游景点、水上运动安全责任人，实现气象信息发布传播的安全规范、及时有效和全覆盖。</w:t>
            </w:r>
          </w:p>
        </w:tc>
      </w:tr>
      <w:tr w14:paraId="3B86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10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F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6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8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C6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B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F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7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0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44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137EC">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3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A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260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4.80</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D8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3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E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0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1EA5A">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9F0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14926">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6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6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DEAD">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75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B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C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1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2B04C">
            <w:pPr>
              <w:rPr>
                <w:rFonts w:hint="eastAsia" w:ascii="黑体" w:hAnsi="黑体" w:eastAsia="黑体" w:cs="黑体"/>
                <w:i/>
                <w:iCs/>
                <w:color w:val="000000"/>
                <w:sz w:val="18"/>
                <w:szCs w:val="18"/>
                <w:u w:val="none"/>
              </w:rPr>
            </w:pPr>
          </w:p>
        </w:tc>
      </w:tr>
      <w:tr w14:paraId="5A55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7C415">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4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40CE">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CBCFD">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D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4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E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B9369">
            <w:pPr>
              <w:rPr>
                <w:rFonts w:hint="eastAsia" w:ascii="黑体" w:hAnsi="黑体" w:eastAsia="黑体" w:cs="黑体"/>
                <w:i/>
                <w:iCs/>
                <w:color w:val="000000"/>
                <w:sz w:val="18"/>
                <w:szCs w:val="18"/>
                <w:u w:val="none"/>
              </w:rPr>
            </w:pPr>
          </w:p>
        </w:tc>
      </w:tr>
      <w:tr w14:paraId="17A1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0201B">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2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E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04AB">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427C6">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D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6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8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3D40">
            <w:pPr>
              <w:rPr>
                <w:rFonts w:hint="eastAsia" w:ascii="黑体" w:hAnsi="黑体" w:eastAsia="黑体" w:cs="黑体"/>
                <w:i/>
                <w:iCs/>
                <w:color w:val="000000"/>
                <w:sz w:val="18"/>
                <w:szCs w:val="18"/>
                <w:u w:val="none"/>
              </w:rPr>
            </w:pPr>
          </w:p>
        </w:tc>
      </w:tr>
      <w:tr w14:paraId="252B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6CC5">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D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04C3">
            <w:pPr>
              <w:jc w:val="center"/>
              <w:rPr>
                <w:rFonts w:hint="eastAsia" w:ascii="微软雅黑" w:hAnsi="微软雅黑" w:eastAsia="微软雅黑" w:cs="微软雅黑"/>
                <w:i/>
                <w:iCs/>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85E3">
            <w:pPr>
              <w:jc w:val="center"/>
              <w:rPr>
                <w:rFonts w:hint="eastAsia" w:ascii="微软雅黑" w:hAnsi="微软雅黑" w:eastAsia="微软雅黑" w:cs="微软雅黑"/>
                <w:i/>
                <w:iCs/>
                <w:color w:val="000000"/>
                <w:sz w:val="16"/>
                <w:szCs w:val="16"/>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5234A">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0AB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B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D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568FF">
            <w:pPr>
              <w:rPr>
                <w:rFonts w:hint="eastAsia" w:ascii="黑体" w:hAnsi="黑体" w:eastAsia="黑体" w:cs="黑体"/>
                <w:i/>
                <w:iCs/>
                <w:color w:val="000000"/>
                <w:sz w:val="18"/>
                <w:szCs w:val="18"/>
                <w:u w:val="none"/>
              </w:rPr>
            </w:pPr>
          </w:p>
        </w:tc>
      </w:tr>
      <w:tr w14:paraId="749C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95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4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D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3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3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5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1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A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9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4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8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161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E23F4">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4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7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2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灾害性天气预报准确率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1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8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C68E">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644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E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0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FA9C">
            <w:pPr>
              <w:jc w:val="center"/>
              <w:rPr>
                <w:rFonts w:hint="eastAsia" w:ascii="微软雅黑" w:hAnsi="微软雅黑" w:eastAsia="微软雅黑" w:cs="微软雅黑"/>
                <w:i/>
                <w:iCs/>
                <w:color w:val="000000"/>
                <w:sz w:val="16"/>
                <w:szCs w:val="16"/>
                <w:u w:val="none"/>
              </w:rPr>
            </w:pPr>
          </w:p>
        </w:tc>
      </w:tr>
      <w:tr w14:paraId="29F3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3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359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B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AECE">
            <w:pP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BF4E">
            <w:pPr>
              <w:rPr>
                <w:rFonts w:hint="eastAsia" w:ascii="宋体" w:hAnsi="宋体" w:eastAsia="宋体" w:cs="宋体"/>
                <w:i w:val="0"/>
                <w:iCs w:val="0"/>
                <w:color w:val="000000"/>
                <w:sz w:val="18"/>
                <w:szCs w:val="18"/>
                <w:u w:val="none"/>
              </w:rPr>
            </w:pPr>
          </w:p>
        </w:tc>
      </w:tr>
      <w:tr w14:paraId="7B25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B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EFE19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日常天气预报365天期；预警信息发布：3.9万条；及时发送气象信息给全区各级领导、相关部门、村社、气象信息员、地质灾害监测员、旅游景点、水上运动安全责任人，实现气象信息发布传播的安全规范、及时有效和全覆盖。</w:t>
            </w:r>
          </w:p>
        </w:tc>
      </w:tr>
      <w:tr w14:paraId="288F6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4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12A50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511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4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A4C7C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B18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7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844CE">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项目负责人：杨欢</w:t>
            </w:r>
          </w:p>
        </w:tc>
        <w:tc>
          <w:tcPr>
            <w:tcW w:w="57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59CF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财务负责人：陈小娟</w:t>
            </w:r>
          </w:p>
        </w:tc>
      </w:tr>
    </w:tbl>
    <w:p w14:paraId="311C31AF">
      <w:pPr>
        <w:spacing w:line="600" w:lineRule="exact"/>
        <w:jc w:val="left"/>
        <w:rPr>
          <w:rFonts w:hint="eastAsia" w:ascii="黑体" w:hAnsi="黑体" w:eastAsia="黑体" w:cs="黑体"/>
          <w:color w:val="auto"/>
          <w:sz w:val="32"/>
          <w:szCs w:val="32"/>
          <w:shd w:val="clear" w:color="auto" w:fill="FFFFFF"/>
          <w:lang w:val="en-US" w:eastAsia="zh-CN"/>
        </w:rPr>
      </w:pPr>
    </w:p>
    <w:p w14:paraId="54BA2BD3">
      <w:pPr>
        <w:spacing w:line="600" w:lineRule="exact"/>
        <w:jc w:val="left"/>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附件2</w:t>
      </w:r>
    </w:p>
    <w:p w14:paraId="4686CD23">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德阳市罗江区地方气象服务中心</w:t>
      </w:r>
    </w:p>
    <w:p w14:paraId="175B4FFE">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年人工影响天气项目支出绩效自评报告</w:t>
      </w:r>
    </w:p>
    <w:p w14:paraId="25601AD4">
      <w:pPr>
        <w:spacing w:line="580" w:lineRule="exact"/>
        <w:ind w:firstLine="640"/>
        <w:rPr>
          <w:rFonts w:hint="eastAsia" w:ascii="仿宋_GB2312" w:hAnsi="仿宋_GB2312" w:eastAsia="仿宋_GB2312" w:cs="仿宋_GB2312"/>
          <w:sz w:val="32"/>
          <w:szCs w:val="32"/>
        </w:rPr>
      </w:pPr>
    </w:p>
    <w:p w14:paraId="5F2F1878">
      <w:pPr>
        <w:ind w:firstLine="640" w:firstLineChars="200"/>
        <w:rPr>
          <w:rFonts w:hint="eastAsia"/>
          <w:lang w:val="zh-CN"/>
        </w:rPr>
      </w:pPr>
      <w:r>
        <w:rPr>
          <w:rFonts w:hint="eastAsia" w:ascii="黑体" w:hAnsi="黑体" w:eastAsia="黑体"/>
          <w:sz w:val="32"/>
          <w:szCs w:val="32"/>
          <w:lang w:val="zh-CN"/>
        </w:rPr>
        <w:t>一、项目概况</w:t>
      </w:r>
    </w:p>
    <w:p w14:paraId="79824D91">
      <w:pPr>
        <w:spacing w:line="560" w:lineRule="exact"/>
        <w:ind w:firstLine="643" w:firstLineChars="200"/>
        <w:jc w:val="both"/>
        <w:rPr>
          <w:rFonts w:hint="eastAsia" w:ascii="楷体_GB2312" w:eastAsia="楷体_GB2312"/>
          <w:b/>
          <w:sz w:val="32"/>
          <w:szCs w:val="32"/>
          <w:lang w:val="zh-CN"/>
        </w:rPr>
      </w:pPr>
      <w:r>
        <w:rPr>
          <w:rFonts w:hint="eastAsia" w:ascii="楷体_GB2312" w:eastAsia="楷体_GB2312"/>
          <w:b/>
          <w:sz w:val="32"/>
          <w:szCs w:val="32"/>
          <w:lang w:val="zh-CN"/>
        </w:rPr>
        <w:t>（一）设立背景及基本情况。</w:t>
      </w:r>
    </w:p>
    <w:p w14:paraId="5DB451A1">
      <w:pPr>
        <w:spacing w:line="56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zh-CN"/>
        </w:rPr>
        <w:t>1.</w:t>
      </w:r>
      <w:r>
        <w:rPr>
          <w:rFonts w:hint="eastAsia" w:eastAsia="仿宋_GB2312"/>
          <w:sz w:val="32"/>
          <w:szCs w:val="32"/>
          <w:lang w:val="zh-CN"/>
        </w:rPr>
        <w:t>项目设立原因及背景。</w:t>
      </w:r>
    </w:p>
    <w:p w14:paraId="2A333F06">
      <w:p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负责全区人工影响天气作业工作的组织管理，承担全</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zh-CN"/>
        </w:rPr>
        <w:t>人工影响天气轨道业务；负责组织实施农业生产服务、生态保护与修复、应急和重大活动的人工影响天气的保障服务工作和全</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zh-CN"/>
        </w:rPr>
        <w:t>人工影响天气工作的组织管理和协调；负责全</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zh-CN"/>
        </w:rPr>
        <w:t>人工影响天气人员的安全教育和培训；负责制定高炮、火箭等人工增雨作业计划并组织实施；承担人工影响天气作业情况的统计、效益评估等工作。</w:t>
      </w:r>
    </w:p>
    <w:p w14:paraId="1236A63F">
      <w:p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2.项目立项、资金申报的依据。</w:t>
      </w:r>
    </w:p>
    <w:p w14:paraId="37BBAE94">
      <w:pPr>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运转类专项，年初预算</w:t>
      </w:r>
      <w:r>
        <w:rPr>
          <w:rFonts w:hint="eastAsia" w:ascii="仿宋_GB2312" w:hAnsi="仿宋_GB2312" w:eastAsia="仿宋_GB2312" w:cs="仿宋_GB2312"/>
          <w:sz w:val="32"/>
          <w:szCs w:val="32"/>
          <w:lang w:val="zh-CN"/>
        </w:rPr>
        <w:t>资金</w:t>
      </w:r>
      <w:r>
        <w:rPr>
          <w:rFonts w:hint="eastAsia" w:ascii="仿宋_GB2312" w:hAnsi="仿宋_GB2312" w:eastAsia="仿宋_GB2312" w:cs="仿宋_GB2312"/>
          <w:sz w:val="32"/>
          <w:szCs w:val="32"/>
          <w:lang w:val="en-US" w:eastAsia="zh-CN"/>
        </w:rPr>
        <w:t>14.94</w:t>
      </w:r>
      <w:r>
        <w:rPr>
          <w:rFonts w:hint="eastAsia" w:ascii="仿宋_GB2312" w:hAnsi="仿宋_GB2312" w:eastAsia="仿宋_GB2312" w:cs="仿宋_GB2312"/>
          <w:sz w:val="32"/>
          <w:szCs w:val="32"/>
        </w:rPr>
        <w:t>万元。</w:t>
      </w:r>
    </w:p>
    <w:p w14:paraId="0241EF70">
      <w:p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.项目主要内容。</w:t>
      </w:r>
    </w:p>
    <w:p w14:paraId="6A730788">
      <w:pPr>
        <w:spacing w:line="580" w:lineRule="exact"/>
        <w:ind w:firstLine="640"/>
        <w:rPr>
          <w:rFonts w:hint="eastAsia"/>
        </w:rPr>
      </w:pPr>
      <w:r>
        <w:rPr>
          <w:rFonts w:hint="eastAsia" w:ascii="仿宋_GB2312" w:hAnsi="仿宋_GB2312" w:eastAsia="仿宋_GB2312" w:cs="仿宋_GB2312"/>
          <w:sz w:val="32"/>
          <w:szCs w:val="32"/>
        </w:rPr>
        <w:t>人工影响天气属于公益性事业，特别是20世纪90年代以来，受气候变化影响，极端天气气候现象增多，水资源短缺日趋严重，已成为制约我国经济社会发展的重要因素。开展人工影响天气工作，不仅是农业抗旱和防雹减灾的需要，而且是水资源安全保障、生态建设和环境保护等方面的需要，对于实现人与自然的和谐，促进经济社会的可持续发展，具有十分重要的意义。</w:t>
      </w:r>
    </w:p>
    <w:p w14:paraId="020A73F0">
      <w:pPr>
        <w:numPr>
          <w:ilvl w:val="0"/>
          <w:numId w:val="0"/>
        </w:numPr>
        <w:spacing w:line="580" w:lineRule="exact"/>
        <w:ind w:leftChars="0"/>
        <w:rPr>
          <w:rFonts w:hint="eastAsia" w:ascii="楷体_GB2312" w:eastAsia="楷体_GB2312"/>
          <w:b/>
          <w:sz w:val="32"/>
          <w:szCs w:val="32"/>
          <w:lang w:val="zh-CN"/>
        </w:rPr>
      </w:pPr>
      <w:r>
        <w:rPr>
          <w:rFonts w:hint="eastAsia" w:ascii="楷体_GB2312" w:eastAsia="楷体_GB2312"/>
          <w:b/>
          <w:sz w:val="32"/>
          <w:szCs w:val="32"/>
          <w:lang w:val="en-US" w:eastAsia="zh-CN"/>
        </w:rPr>
        <w:t xml:space="preserve">   （二）</w:t>
      </w:r>
      <w:r>
        <w:rPr>
          <w:rFonts w:hint="eastAsia" w:ascii="楷体_GB2312" w:eastAsia="楷体_GB2312"/>
          <w:b/>
          <w:sz w:val="32"/>
          <w:szCs w:val="32"/>
          <w:lang w:val="zh-CN"/>
        </w:rPr>
        <w:t>实施目的及支持方向</w:t>
      </w:r>
    </w:p>
    <w:p w14:paraId="17EB6212">
      <w:pPr>
        <w:spacing w:line="580" w:lineRule="exact"/>
        <w:ind w:firstLine="64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保障本地人工影响天气作业工作开展，做好弹药储存、领用、使用各环节工作，针对可能出现的情况，加强天气监测，抓住机会、适时开展人工增雨、防雹作业，为缓解旱情、增加蓄水、促进农业、经济等农作物的增产、增收提供优质的人影保障，在防雹、消雾霾方面起到积极作用。</w:t>
      </w:r>
    </w:p>
    <w:p w14:paraId="61A58581">
      <w:pPr>
        <w:numPr>
          <w:ilvl w:val="0"/>
          <w:numId w:val="0"/>
        </w:numPr>
        <w:spacing w:line="580" w:lineRule="exact"/>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w:t>
      </w:r>
      <w:r>
        <w:rPr>
          <w:rFonts w:hint="eastAsia" w:ascii="楷体_GB2312" w:eastAsia="楷体_GB2312"/>
          <w:b/>
          <w:sz w:val="32"/>
          <w:szCs w:val="32"/>
          <w:lang w:val="en-US" w:eastAsia="zh-CN"/>
        </w:rPr>
        <w:t>三</w:t>
      </w:r>
      <w:r>
        <w:rPr>
          <w:rFonts w:hint="eastAsia" w:ascii="楷体_GB2312" w:eastAsia="楷体_GB2312"/>
          <w:b/>
          <w:sz w:val="32"/>
          <w:szCs w:val="32"/>
          <w:lang w:val="zh-CN" w:eastAsia="zh-CN"/>
        </w:rPr>
        <w:t>）预算安排及分配管理。</w:t>
      </w:r>
    </w:p>
    <w:p w14:paraId="5F13E7AF">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zh-CN"/>
        </w:rPr>
        <w:t>人工影响天气专项</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lang w:val="zh-CN"/>
        </w:rPr>
        <w:t>资金</w:t>
      </w:r>
      <w:r>
        <w:rPr>
          <w:rFonts w:hint="eastAsia" w:ascii="仿宋_GB2312" w:hAnsi="仿宋_GB2312" w:eastAsia="仿宋_GB2312" w:cs="仿宋_GB2312"/>
          <w:sz w:val="32"/>
          <w:szCs w:val="32"/>
          <w:lang w:val="en-US" w:eastAsia="zh-CN"/>
        </w:rPr>
        <w:t>14.04</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sz w:val="32"/>
          <w:szCs w:val="32"/>
          <w:lang w:val="zh-CN"/>
        </w:rPr>
        <w:t>主要用于解决人工影响天气作业人员的工资福利支出，作业车辆运行维护费，炮弹费，人工影响天气作业指挥费，以及相关办公费等支出。</w:t>
      </w:r>
      <w:r>
        <w:rPr>
          <w:rFonts w:hint="eastAsia" w:ascii="仿宋_GB2312" w:hAnsi="仿宋_GB2312" w:eastAsia="仿宋_GB2312" w:cs="仿宋_GB2312"/>
          <w:color w:val="000000" w:themeColor="text1"/>
          <w:sz w:val="32"/>
          <w:szCs w:val="32"/>
          <w14:textFill>
            <w14:solidFill>
              <w14:schemeClr w14:val="tx1"/>
            </w14:solidFill>
          </w14:textFill>
        </w:rPr>
        <w:t>优先保障作业人员工资性支出和人工影响天气运行管理支出。</w:t>
      </w:r>
    </w:p>
    <w:p w14:paraId="1A4B2FD3">
      <w:pPr>
        <w:spacing w:line="560" w:lineRule="exact"/>
        <w:ind w:firstLine="643" w:firstLineChars="200"/>
        <w:jc w:val="both"/>
        <w:rPr>
          <w:rFonts w:hint="eastAsia" w:ascii="楷体_GB2312" w:hAnsi="Times New Roman" w:eastAsia="楷体_GB2312" w:cs="Times New Roman"/>
          <w:b/>
          <w:kern w:val="2"/>
          <w:sz w:val="32"/>
          <w:szCs w:val="32"/>
          <w:lang w:val="zh-CN" w:eastAsia="zh-CN" w:bidi="ar-SA"/>
        </w:rPr>
      </w:pPr>
      <w:r>
        <w:rPr>
          <w:rFonts w:hint="eastAsia" w:ascii="楷体_GB2312" w:eastAsia="楷体_GB2312"/>
          <w:b/>
          <w:sz w:val="32"/>
          <w:szCs w:val="32"/>
          <w:lang w:val="zh-CN" w:eastAsia="zh-CN"/>
        </w:rPr>
        <w:t>（</w:t>
      </w:r>
      <w:r>
        <w:rPr>
          <w:rFonts w:hint="eastAsia" w:ascii="楷体_GB2312" w:eastAsia="楷体_GB2312"/>
          <w:b/>
          <w:sz w:val="32"/>
          <w:szCs w:val="32"/>
          <w:lang w:val="en-US" w:eastAsia="zh-CN"/>
        </w:rPr>
        <w:t>四</w:t>
      </w:r>
      <w:r>
        <w:rPr>
          <w:rFonts w:hint="eastAsia" w:ascii="楷体_GB2312" w:eastAsia="楷体_GB2312"/>
          <w:b/>
          <w:sz w:val="32"/>
          <w:szCs w:val="32"/>
          <w:lang w:val="zh-CN" w:eastAsia="zh-CN"/>
        </w:rPr>
        <w:t>）</w:t>
      </w:r>
      <w:r>
        <w:rPr>
          <w:rFonts w:hint="eastAsia" w:ascii="楷体_GB2312" w:hAnsi="Times New Roman" w:eastAsia="楷体_GB2312" w:cs="Times New Roman"/>
          <w:b/>
          <w:kern w:val="2"/>
          <w:sz w:val="32"/>
          <w:szCs w:val="32"/>
          <w:lang w:val="zh-CN" w:eastAsia="zh-CN" w:bidi="ar-SA"/>
        </w:rPr>
        <w:t>项目绩效目标设置。</w:t>
      </w:r>
    </w:p>
    <w:p w14:paraId="5617D04F">
      <w:pPr>
        <w:numPr>
          <w:ilvl w:val="0"/>
          <w:numId w:val="0"/>
        </w:num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按照预算执行情况及绩效指标完成分数设置绩效目标，</w:t>
      </w:r>
      <w:r>
        <w:rPr>
          <w:rFonts w:hint="eastAsia" w:ascii="仿宋_GB2312" w:hAnsi="仿宋_GB2312" w:eastAsia="仿宋_GB2312" w:cs="仿宋_GB2312"/>
          <w:sz w:val="32"/>
          <w:szCs w:val="32"/>
        </w:rPr>
        <w:t>工作由局办公室牵头，</w:t>
      </w:r>
      <w:r>
        <w:rPr>
          <w:rFonts w:hint="eastAsia" w:ascii="仿宋_GB2312" w:hAnsi="仿宋_GB2312" w:eastAsia="仿宋_GB2312" w:cs="仿宋_GB2312"/>
          <w:sz w:val="32"/>
          <w:szCs w:val="32"/>
          <w:lang w:val="en-US" w:eastAsia="zh-CN"/>
        </w:rPr>
        <w:t>人工影响天气办公室</w:t>
      </w:r>
      <w:r>
        <w:rPr>
          <w:rFonts w:hint="eastAsia" w:ascii="仿宋_GB2312" w:hAnsi="仿宋_GB2312" w:eastAsia="仿宋_GB2312" w:cs="仿宋_GB2312"/>
          <w:sz w:val="32"/>
          <w:szCs w:val="32"/>
        </w:rPr>
        <w:t>和财务室配合，根据德阳市气象局人工影响天气办公室通报的目标考核任务完成情况逐项自评。</w:t>
      </w:r>
    </w:p>
    <w:p w14:paraId="531F2245">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339E7C77">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（一）评价目的。</w:t>
      </w:r>
    </w:p>
    <w:p w14:paraId="455B4F51">
      <w:pPr>
        <w:ind w:firstLine="640" w:firstLineChars="200"/>
        <w:rPr>
          <w:rFonts w:hint="eastAsia" w:eastAsia="仿宋_GB2312"/>
          <w:sz w:val="32"/>
          <w:szCs w:val="32"/>
          <w:lang w:val="zh-CN" w:eastAsia="zh-CN"/>
        </w:rPr>
      </w:pPr>
      <w:r>
        <w:rPr>
          <w:rFonts w:hint="eastAsia" w:eastAsia="仿宋_GB2312"/>
          <w:sz w:val="32"/>
          <w:szCs w:val="32"/>
          <w:lang w:val="zh-CN"/>
        </w:rPr>
        <w:t>通过项目绩效自评实现</w:t>
      </w:r>
      <w:r>
        <w:rPr>
          <w:rFonts w:hint="eastAsia" w:eastAsia="仿宋_GB2312"/>
          <w:sz w:val="32"/>
          <w:szCs w:val="32"/>
          <w:lang w:val="en-US" w:eastAsia="zh-CN"/>
        </w:rPr>
        <w:t>预算资金的有效使用，让人工影响天气能达到保障本地人工影响天气作业工作开展，做好弹药储存、领用、使用各环节工作，针对可能出现的情况，加强天气监测，抓住机会、适时开展人工增雨作业，完成增雨、防雹作业，为缓解旱情、增加蓄水、促进晒烟、水果等农作物的增产、增收提供有优质的人影保障。在防雹、消雾霾方面起到积极作用的年度目标</w:t>
      </w:r>
      <w:r>
        <w:rPr>
          <w:rFonts w:hint="eastAsia" w:eastAsia="仿宋_GB2312"/>
          <w:sz w:val="32"/>
          <w:szCs w:val="32"/>
          <w:lang w:val="zh-CN" w:eastAsia="zh-CN"/>
        </w:rPr>
        <w:t>。</w:t>
      </w:r>
    </w:p>
    <w:p w14:paraId="6AC308AD">
      <w:pPr>
        <w:numPr>
          <w:ilvl w:val="0"/>
          <w:numId w:val="8"/>
        </w:num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预设问题及评价重点。</w:t>
      </w:r>
    </w:p>
    <w:p w14:paraId="0A4C26FD">
      <w:pPr>
        <w:numPr>
          <w:ilvl w:val="0"/>
          <w:numId w:val="0"/>
        </w:numPr>
        <w:ind w:firstLine="640" w:firstLineChars="200"/>
        <w:rPr>
          <w:rFonts w:eastAsia="仿宋_GB2312"/>
          <w:sz w:val="32"/>
          <w:szCs w:val="32"/>
          <w:lang w:val="zh-CN"/>
        </w:rPr>
      </w:pPr>
      <w:r>
        <w:rPr>
          <w:rFonts w:hint="eastAsia" w:eastAsia="仿宋_GB2312"/>
          <w:sz w:val="32"/>
          <w:szCs w:val="32"/>
          <w:lang w:val="zh-CN"/>
        </w:rPr>
        <w:t>按照绩效评价指标体系，资金支出使用</w:t>
      </w:r>
      <w:r>
        <w:rPr>
          <w:rFonts w:hint="eastAsia" w:eastAsia="仿宋_GB2312"/>
          <w:sz w:val="32"/>
          <w:szCs w:val="32"/>
          <w:lang w:val="en-US" w:eastAsia="zh-CN"/>
        </w:rPr>
        <w:t>进度有序进行，开展人影作业16次、发射火箭弹59枚、有效增加降水量，起到抗旱、防雹、降尘作用，总体实施效果良好</w:t>
      </w:r>
      <w:r>
        <w:rPr>
          <w:rFonts w:hint="eastAsia" w:eastAsia="仿宋_GB2312"/>
          <w:sz w:val="32"/>
          <w:szCs w:val="32"/>
          <w:lang w:val="zh-CN"/>
        </w:rPr>
        <w:t>。</w:t>
      </w:r>
    </w:p>
    <w:p w14:paraId="6173217E">
      <w:pPr>
        <w:numPr>
          <w:ilvl w:val="0"/>
          <w:numId w:val="8"/>
        </w:numPr>
        <w:ind w:firstLine="643" w:firstLineChars="200"/>
        <w:rPr>
          <w:rFonts w:hint="default" w:ascii="楷体_GB2312" w:eastAsia="楷体_GB2312"/>
          <w:b/>
          <w:sz w:val="32"/>
          <w:szCs w:val="32"/>
          <w:lang w:val="en-US" w:eastAsia="zh-CN"/>
        </w:rPr>
      </w:pPr>
      <w:r>
        <w:rPr>
          <w:rFonts w:hint="eastAsia" w:ascii="楷体_GB2312" w:eastAsia="楷体_GB2312"/>
          <w:b/>
          <w:sz w:val="32"/>
          <w:szCs w:val="32"/>
          <w:lang w:val="zh-CN"/>
        </w:rPr>
        <w:t>评价选点。</w:t>
      </w:r>
    </w:p>
    <w:p w14:paraId="6A0559E4">
      <w:pPr>
        <w:numPr>
          <w:ilvl w:val="0"/>
          <w:numId w:val="0"/>
        </w:numPr>
        <w:ind w:firstLine="640" w:firstLineChars="200"/>
        <w:rPr>
          <w:rFonts w:hint="default"/>
          <w:lang w:val="en-US"/>
        </w:rPr>
      </w:pPr>
      <w:r>
        <w:rPr>
          <w:rFonts w:hint="eastAsia" w:ascii="楷体_GB2312" w:eastAsia="楷体_GB2312"/>
          <w:b w:val="0"/>
          <w:bCs/>
          <w:sz w:val="32"/>
          <w:szCs w:val="32"/>
          <w:lang w:val="en-US" w:eastAsia="zh-CN"/>
        </w:rPr>
        <w:t>绩效指标-产出指标-数量指标，完成情况良好。</w:t>
      </w:r>
    </w:p>
    <w:p w14:paraId="456CFC44">
      <w:pPr>
        <w:numPr>
          <w:ilvl w:val="0"/>
          <w:numId w:val="8"/>
        </w:numPr>
        <w:ind w:left="0" w:leftChars="0" w:firstLine="643" w:firstLineChars="200"/>
        <w:rPr>
          <w:rFonts w:hint="eastAsia" w:ascii="楷体_GB2312" w:eastAsia="楷体_GB2312"/>
          <w:b/>
          <w:sz w:val="32"/>
          <w:szCs w:val="32"/>
          <w:lang w:val="zh-CN"/>
        </w:rPr>
      </w:pPr>
      <w:r>
        <w:rPr>
          <w:rFonts w:hint="eastAsia" w:ascii="楷体_GB2312" w:eastAsia="楷体_GB2312"/>
          <w:b/>
          <w:sz w:val="32"/>
          <w:szCs w:val="32"/>
          <w:lang w:val="zh-CN"/>
        </w:rPr>
        <w:t>评价方法。</w:t>
      </w:r>
    </w:p>
    <w:p w14:paraId="4E29DD04">
      <w:pPr>
        <w:numPr>
          <w:ilvl w:val="0"/>
          <w:numId w:val="0"/>
        </w:numPr>
        <w:ind w:leftChars="200" w:firstLine="320" w:firstLineChars="100"/>
        <w:rPr>
          <w:rFonts w:hint="eastAsia" w:eastAsia="仿宋_GB2312"/>
          <w:sz w:val="32"/>
          <w:szCs w:val="32"/>
          <w:lang w:val="en-US" w:eastAsia="zh-CN"/>
        </w:rPr>
      </w:pPr>
      <w:r>
        <w:rPr>
          <w:rFonts w:hint="eastAsia" w:eastAsia="仿宋_GB2312"/>
          <w:sz w:val="32"/>
          <w:szCs w:val="32"/>
          <w:lang w:val="zh-CN"/>
        </w:rPr>
        <w:t>单位自评法</w:t>
      </w:r>
    </w:p>
    <w:p w14:paraId="5E800B48">
      <w:pPr>
        <w:ind w:firstLine="643" w:firstLineChars="200"/>
        <w:rPr>
          <w:rFonts w:eastAsia="仿宋_GB2312"/>
          <w:sz w:val="32"/>
          <w:szCs w:val="32"/>
          <w:lang w:val="zh-CN"/>
        </w:rPr>
      </w:pPr>
      <w:r>
        <w:rPr>
          <w:rFonts w:hint="eastAsia" w:ascii="楷体_GB2312" w:eastAsia="楷体_GB2312"/>
          <w:b/>
          <w:sz w:val="32"/>
          <w:szCs w:val="32"/>
          <w:lang w:val="zh-CN"/>
        </w:rPr>
        <w:t>（五）评价组织。</w:t>
      </w:r>
    </w:p>
    <w:p w14:paraId="52803D14">
      <w:pPr>
        <w:numPr>
          <w:ilvl w:val="0"/>
          <w:numId w:val="0"/>
        </w:num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项目自评工作由局办公室牵头，</w:t>
      </w:r>
      <w:r>
        <w:rPr>
          <w:rFonts w:hint="eastAsia" w:ascii="仿宋_GB2312" w:hAnsi="仿宋_GB2312" w:eastAsia="仿宋_GB2312" w:cs="仿宋_GB2312"/>
          <w:sz w:val="32"/>
          <w:szCs w:val="32"/>
          <w:lang w:val="en-US" w:eastAsia="zh-CN"/>
        </w:rPr>
        <w:t>人工影响天气办公室</w:t>
      </w:r>
      <w:r>
        <w:rPr>
          <w:rFonts w:hint="eastAsia" w:ascii="仿宋_GB2312" w:hAnsi="仿宋_GB2312" w:eastAsia="仿宋_GB2312" w:cs="仿宋_GB2312"/>
          <w:sz w:val="32"/>
          <w:szCs w:val="32"/>
        </w:rPr>
        <w:t>和财务室配合</w:t>
      </w:r>
      <w:r>
        <w:rPr>
          <w:rFonts w:hint="eastAsia" w:ascii="仿宋_GB2312" w:hAnsi="仿宋_GB2312" w:eastAsia="仿宋_GB2312" w:cs="仿宋_GB2312"/>
          <w:sz w:val="32"/>
          <w:szCs w:val="32"/>
          <w:lang w:eastAsia="zh-CN"/>
        </w:rPr>
        <w:t>。</w:t>
      </w:r>
    </w:p>
    <w:p w14:paraId="36D82D64">
      <w:pPr>
        <w:pStyle w:val="20"/>
        <w:numPr>
          <w:ilvl w:val="0"/>
          <w:numId w:val="0"/>
        </w:numPr>
        <w:ind w:left="640" w:leftChars="0"/>
        <w:rPr>
          <w:rFonts w:hint="default" w:ascii="仿宋_GB2312" w:hAnsi="仿宋_GB2312" w:eastAsia="仿宋_GB2312" w:cs="仿宋_GB2312"/>
          <w:sz w:val="32"/>
          <w:szCs w:val="32"/>
          <w:lang w:val="en-US" w:eastAsia="zh-CN"/>
        </w:rPr>
      </w:pPr>
    </w:p>
    <w:p w14:paraId="511072F7">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186D00AD">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459756F8">
      <w:pPr>
        <w:ind w:firstLine="640" w:firstLineChars="200"/>
        <w:rPr>
          <w:rFonts w:hint="eastAsia" w:ascii="楷体_GB2312" w:eastAsia="楷体_GB2312"/>
          <w:sz w:val="32"/>
          <w:szCs w:val="32"/>
          <w:lang w:val="zh-CN"/>
        </w:rPr>
      </w:pPr>
      <w:r>
        <w:rPr>
          <w:rFonts w:hint="eastAsia" w:ascii="楷体_GB2312" w:eastAsia="楷体_GB2312"/>
          <w:sz w:val="32"/>
          <w:szCs w:val="32"/>
          <w:lang w:val="zh-CN"/>
        </w:rPr>
        <w:t>1.项目决策。</w:t>
      </w:r>
    </w:p>
    <w:p w14:paraId="64D76BA3">
      <w:pPr>
        <w:ind w:firstLine="640" w:firstLineChars="200"/>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zh-CN"/>
        </w:rPr>
        <w:t>人工影响天气</w:t>
      </w:r>
      <w:r>
        <w:rPr>
          <w:rFonts w:hint="eastAsia" w:ascii="仿宋_GB2312" w:hAnsi="仿宋_GB2312" w:eastAsia="仿宋_GB2312" w:cs="仿宋_GB2312"/>
          <w:b w:val="0"/>
          <w:bCs/>
          <w:sz w:val="32"/>
          <w:szCs w:val="32"/>
          <w:lang w:val="zh-CN"/>
        </w:rPr>
        <w:t>主要用于解决人工影响天气作业人员的工资福利支出，作业车辆运行维护费，炮弹费，人工影响天气作业指挥费，以及相关办公费等支出。</w:t>
      </w:r>
    </w:p>
    <w:p w14:paraId="0283E469">
      <w:pPr>
        <w:ind w:firstLine="640" w:firstLineChars="200"/>
        <w:rPr>
          <w:rFonts w:hint="eastAsia" w:ascii="楷体_GB2312" w:eastAsia="楷体_GB2312"/>
          <w:sz w:val="32"/>
          <w:szCs w:val="32"/>
          <w:lang w:val="zh-CN"/>
        </w:rPr>
      </w:pPr>
      <w:r>
        <w:rPr>
          <w:rFonts w:hint="eastAsia" w:ascii="楷体_GB2312" w:eastAsia="楷体_GB2312"/>
          <w:sz w:val="32"/>
          <w:szCs w:val="32"/>
          <w:lang w:val="zh-CN"/>
        </w:rPr>
        <w:t>2.项目管理。</w:t>
      </w:r>
    </w:p>
    <w:p w14:paraId="17356C7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该项目严格按照《人工影响天气》相关法律法规执行，无政府采购和招投标内容。</w:t>
      </w:r>
    </w:p>
    <w:p w14:paraId="5BEFD617">
      <w:pPr>
        <w:numPr>
          <w:ilvl w:val="0"/>
          <w:numId w:val="0"/>
        </w:numPr>
        <w:ind w:firstLine="640" w:firstLineChars="200"/>
        <w:rPr>
          <w:rFonts w:hint="eastAsia" w:ascii="楷体_GB2312" w:eastAsia="楷体_GB2312"/>
          <w:sz w:val="32"/>
          <w:szCs w:val="32"/>
          <w:lang w:val="zh-CN"/>
        </w:rPr>
      </w:pPr>
      <w:r>
        <w:rPr>
          <w:rFonts w:hint="eastAsia" w:ascii="楷体_GB2312" w:eastAsia="楷体_GB2312"/>
          <w:sz w:val="32"/>
          <w:szCs w:val="32"/>
          <w:lang w:val="en-US" w:eastAsia="zh-CN"/>
        </w:rPr>
        <w:t>3.</w:t>
      </w:r>
      <w:r>
        <w:rPr>
          <w:rFonts w:hint="eastAsia" w:ascii="楷体_GB2312" w:eastAsia="楷体_GB2312"/>
          <w:sz w:val="32"/>
          <w:szCs w:val="32"/>
          <w:lang w:val="zh-CN"/>
        </w:rPr>
        <w:t>项目实施。</w:t>
      </w:r>
    </w:p>
    <w:p w14:paraId="6FDF3D79">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该项目</w:t>
      </w:r>
      <w:r>
        <w:rPr>
          <w:rFonts w:hint="eastAsia" w:eastAsia="仿宋_GB2312"/>
          <w:sz w:val="32"/>
          <w:szCs w:val="32"/>
          <w:lang w:val="zh-CN"/>
        </w:rPr>
        <w:t>预算</w:t>
      </w:r>
      <w:r>
        <w:rPr>
          <w:rFonts w:hint="eastAsia" w:eastAsia="仿宋_GB2312"/>
          <w:sz w:val="32"/>
          <w:szCs w:val="32"/>
          <w:lang w:val="en-US" w:eastAsia="zh-CN"/>
        </w:rPr>
        <w:t>资金按照序时进度</w:t>
      </w:r>
      <w:r>
        <w:rPr>
          <w:rFonts w:hint="eastAsia" w:eastAsia="仿宋_GB2312"/>
          <w:sz w:val="32"/>
          <w:szCs w:val="32"/>
          <w:lang w:val="zh-CN"/>
        </w:rPr>
        <w:t>执行，</w:t>
      </w:r>
      <w:r>
        <w:rPr>
          <w:rFonts w:hint="eastAsia" w:eastAsia="仿宋_GB2312"/>
          <w:sz w:val="32"/>
          <w:szCs w:val="32"/>
          <w:lang w:val="en-US" w:eastAsia="zh-CN"/>
        </w:rPr>
        <w:t>截止2023年12月全部支付完毕，执行率100%，</w:t>
      </w:r>
      <w:r>
        <w:rPr>
          <w:rFonts w:hint="eastAsia" w:eastAsia="仿宋_GB2312"/>
          <w:sz w:val="32"/>
          <w:szCs w:val="32"/>
          <w:lang w:val="zh-CN"/>
        </w:rPr>
        <w:t>资金使用</w:t>
      </w:r>
      <w:r>
        <w:rPr>
          <w:rFonts w:hint="eastAsia" w:eastAsia="仿宋_GB2312"/>
          <w:sz w:val="32"/>
          <w:szCs w:val="32"/>
          <w:lang w:val="en-US" w:eastAsia="zh-CN"/>
        </w:rPr>
        <w:t>情况良好，安全按照预算计划科目合理合规支付</w:t>
      </w:r>
      <w:r>
        <w:rPr>
          <w:rFonts w:hint="eastAsia" w:eastAsia="仿宋_GB2312"/>
          <w:sz w:val="32"/>
          <w:szCs w:val="32"/>
          <w:lang w:val="zh-CN"/>
        </w:rPr>
        <w:t>。</w:t>
      </w:r>
    </w:p>
    <w:p w14:paraId="63499E7A">
      <w:pPr>
        <w:numPr>
          <w:ilvl w:val="0"/>
          <w:numId w:val="0"/>
        </w:numPr>
        <w:ind w:leftChars="200" w:firstLine="320" w:firstLineChars="100"/>
        <w:rPr>
          <w:rFonts w:hint="eastAsia" w:ascii="楷体_GB2312" w:eastAsia="楷体_GB2312"/>
          <w:sz w:val="32"/>
          <w:szCs w:val="32"/>
          <w:lang w:val="zh-CN"/>
        </w:rPr>
      </w:pPr>
      <w:r>
        <w:rPr>
          <w:rFonts w:hint="eastAsia" w:ascii="楷体_GB2312" w:eastAsia="楷体_GB2312"/>
          <w:sz w:val="32"/>
          <w:szCs w:val="32"/>
          <w:lang w:val="en-US" w:eastAsia="zh-CN"/>
        </w:rPr>
        <w:t>4.</w:t>
      </w:r>
      <w:r>
        <w:rPr>
          <w:rFonts w:hint="eastAsia" w:ascii="楷体_GB2312" w:eastAsia="楷体_GB2312"/>
          <w:sz w:val="32"/>
          <w:szCs w:val="32"/>
          <w:lang w:val="zh-CN"/>
        </w:rPr>
        <w:t>项目结果。</w:t>
      </w:r>
    </w:p>
    <w:p w14:paraId="0F1FE107">
      <w:pPr>
        <w:numPr>
          <w:ilvl w:val="0"/>
          <w:numId w:val="0"/>
        </w:numPr>
        <w:ind w:firstLine="640" w:firstLineChars="200"/>
        <w:rPr>
          <w:rFonts w:hint="default" w:eastAsia="仿宋_GB2312"/>
          <w:sz w:val="32"/>
          <w:szCs w:val="32"/>
          <w:lang w:val="en-US"/>
        </w:rPr>
      </w:pPr>
      <w:r>
        <w:rPr>
          <w:rFonts w:hint="eastAsia" w:eastAsia="仿宋_GB2312"/>
          <w:sz w:val="32"/>
          <w:szCs w:val="32"/>
          <w:lang w:val="en-US" w:eastAsia="zh-CN"/>
        </w:rPr>
        <w:t>该项目年底各指标</w:t>
      </w:r>
      <w:r>
        <w:rPr>
          <w:rFonts w:hint="eastAsia" w:eastAsia="仿宋_GB2312"/>
          <w:sz w:val="32"/>
          <w:szCs w:val="32"/>
          <w:lang w:val="zh-CN"/>
        </w:rPr>
        <w:t>完成</w:t>
      </w:r>
      <w:r>
        <w:rPr>
          <w:rFonts w:hint="eastAsia" w:eastAsia="仿宋_GB2312"/>
          <w:sz w:val="32"/>
          <w:szCs w:val="32"/>
          <w:lang w:val="en-US" w:eastAsia="zh-CN"/>
        </w:rPr>
        <w:t>情况良好，达到预期年度目标。</w:t>
      </w:r>
    </w:p>
    <w:p w14:paraId="246952C7">
      <w:pPr>
        <w:ind w:firstLine="643" w:firstLineChars="200"/>
        <w:rPr>
          <w:rFonts w:eastAsia="仿宋_GB2312"/>
          <w:sz w:val="32"/>
          <w:szCs w:val="32"/>
          <w:lang w:val="zh-CN"/>
        </w:rPr>
      </w:pPr>
      <w:r>
        <w:rPr>
          <w:rFonts w:hint="eastAsia" w:ascii="楷体_GB2312" w:eastAsia="楷体_GB2312"/>
          <w:b/>
          <w:sz w:val="32"/>
          <w:szCs w:val="32"/>
          <w:lang w:val="zh-CN"/>
        </w:rPr>
        <w:t>（二）专用指标绩效分析。</w:t>
      </w:r>
    </w:p>
    <w:p w14:paraId="05E78117">
      <w:pPr>
        <w:ind w:firstLine="640" w:firstLineChars="200"/>
        <w:rPr>
          <w:rFonts w:eastAsia="仿宋_GB2312"/>
          <w:sz w:val="32"/>
          <w:szCs w:val="32"/>
          <w:lang w:val="zh-CN"/>
        </w:rPr>
      </w:pPr>
      <w:r>
        <w:rPr>
          <w:rFonts w:hint="eastAsia" w:eastAsia="仿宋_GB2312"/>
          <w:sz w:val="32"/>
          <w:szCs w:val="32"/>
          <w:lang w:val="zh-CN"/>
        </w:rPr>
        <w:t>群众满意度</w:t>
      </w:r>
      <w:r>
        <w:rPr>
          <w:rFonts w:hint="eastAsia" w:eastAsia="仿宋_GB2312"/>
          <w:sz w:val="32"/>
          <w:szCs w:val="32"/>
          <w:lang w:val="en-US" w:eastAsia="zh-CN"/>
        </w:rPr>
        <w:t>指标定性为好，满意度较高</w:t>
      </w:r>
      <w:r>
        <w:rPr>
          <w:rFonts w:hint="eastAsia" w:eastAsia="仿宋_GB2312"/>
          <w:sz w:val="32"/>
          <w:szCs w:val="32"/>
          <w:lang w:val="zh-CN"/>
        </w:rPr>
        <w:t>。</w:t>
      </w:r>
    </w:p>
    <w:p w14:paraId="058D62E8">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三</w:t>
      </w:r>
      <w:r>
        <w:rPr>
          <w:rFonts w:hint="eastAsia" w:ascii="楷体_GB2312" w:eastAsia="楷体_GB2312"/>
          <w:b/>
          <w:sz w:val="32"/>
          <w:szCs w:val="32"/>
          <w:lang w:val="zh-CN"/>
        </w:rPr>
        <w:t>）个性指标绩效分析。</w:t>
      </w:r>
    </w:p>
    <w:p w14:paraId="768CAB92">
      <w:pPr>
        <w:ind w:firstLine="640" w:firstLineChars="200"/>
        <w:rPr>
          <w:rFonts w:hint="eastAsia"/>
        </w:rPr>
      </w:pPr>
      <w:r>
        <w:rPr>
          <w:rFonts w:hint="eastAsia" w:ascii="Times New Roman" w:hAnsi="Times New Roman" w:eastAsia="仿宋_GB2312" w:cs="Times New Roman"/>
          <w:b w:val="0"/>
          <w:kern w:val="2"/>
          <w:sz w:val="32"/>
          <w:szCs w:val="32"/>
          <w:lang w:val="en-US" w:eastAsia="zh-CN" w:bidi="ar-SA"/>
        </w:rPr>
        <w:t>无</w:t>
      </w:r>
    </w:p>
    <w:p w14:paraId="44F241BB">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14:paraId="52DF4590">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年人工影响天气</w:t>
      </w:r>
      <w:r>
        <w:rPr>
          <w:rFonts w:hint="eastAsia" w:ascii="仿宋_GB2312" w:hAnsi="仿宋_GB2312" w:eastAsia="仿宋_GB2312" w:cs="仿宋_GB2312"/>
          <w:sz w:val="32"/>
          <w:szCs w:val="32"/>
          <w:lang w:val="zh-CN"/>
        </w:rPr>
        <w:t>项目决策</w:t>
      </w:r>
      <w:r>
        <w:rPr>
          <w:rFonts w:hint="eastAsia" w:ascii="仿宋_GB2312" w:hAnsi="仿宋_GB2312" w:eastAsia="仿宋_GB2312" w:cs="仿宋_GB2312"/>
          <w:sz w:val="32"/>
          <w:szCs w:val="32"/>
        </w:rPr>
        <w:t>科学合理</w:t>
      </w:r>
      <w:r>
        <w:rPr>
          <w:rFonts w:hint="eastAsia" w:ascii="仿宋_GB2312" w:hAnsi="仿宋_GB2312" w:eastAsia="仿宋_GB2312" w:cs="仿宋_GB2312"/>
          <w:sz w:val="32"/>
          <w:szCs w:val="32"/>
          <w:lang w:val="zh-CN"/>
        </w:rPr>
        <w:t>、项目管理</w:t>
      </w:r>
      <w:r>
        <w:rPr>
          <w:rFonts w:hint="eastAsia" w:ascii="仿宋_GB2312" w:hAnsi="仿宋_GB2312" w:eastAsia="仿宋_GB2312" w:cs="仿宋_GB2312"/>
          <w:sz w:val="32"/>
          <w:szCs w:val="32"/>
        </w:rPr>
        <w:t>合法有序</w:t>
      </w:r>
      <w:r>
        <w:rPr>
          <w:rFonts w:hint="eastAsia" w:ascii="仿宋_GB2312" w:hAnsi="仿宋_GB2312" w:eastAsia="仿宋_GB2312" w:cs="仿宋_GB2312"/>
          <w:sz w:val="32"/>
          <w:szCs w:val="32"/>
          <w:lang w:val="zh-CN"/>
        </w:rPr>
        <w:t>、项目绩效</w:t>
      </w:r>
      <w:r>
        <w:rPr>
          <w:rFonts w:hint="eastAsia" w:ascii="仿宋_GB2312" w:hAnsi="仿宋_GB2312" w:eastAsia="仿宋_GB2312" w:cs="仿宋_GB2312"/>
          <w:sz w:val="32"/>
          <w:szCs w:val="32"/>
        </w:rPr>
        <w:t>质量完成度高，社会效益好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评价总分为100分。</w:t>
      </w:r>
    </w:p>
    <w:p w14:paraId="3EDB251A">
      <w:pPr>
        <w:ind w:firstLine="640" w:firstLineChars="200"/>
        <w:rPr>
          <w:rFonts w:hint="eastAsia" w:ascii="楷体_GB2312" w:hAnsi="Cambria" w:eastAsia="楷体_GB2312" w:cs="楷体_GB2312"/>
          <w:b/>
          <w:sz w:val="32"/>
          <w:szCs w:val="32"/>
          <w:lang w:val="zh-CN"/>
        </w:rPr>
      </w:pPr>
      <w:r>
        <w:rPr>
          <w:rFonts w:hint="eastAsia" w:ascii="黑体" w:hAnsi="黑体" w:eastAsia="黑体"/>
          <w:sz w:val="32"/>
          <w:szCs w:val="32"/>
          <w:lang w:val="zh-CN"/>
        </w:rPr>
        <w:t>五、存在主要问题</w:t>
      </w:r>
    </w:p>
    <w:p w14:paraId="3484BED1">
      <w:p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随着城市建设的发展，炮点设置上已不合要求，严重靠近城区，存在</w:t>
      </w:r>
      <w:r>
        <w:rPr>
          <w:rFonts w:hint="eastAsia" w:ascii="仿宋_GB2312" w:hAnsi="仿宋_GB2312" w:eastAsia="仿宋_GB2312" w:cs="仿宋_GB2312"/>
          <w:sz w:val="32"/>
          <w:szCs w:val="32"/>
          <w:lang w:val="en-US" w:eastAsia="zh-CN"/>
        </w:rPr>
        <w:t>一定</w:t>
      </w:r>
      <w:r>
        <w:rPr>
          <w:rFonts w:hint="eastAsia" w:ascii="仿宋_GB2312" w:hAnsi="仿宋_GB2312" w:eastAsia="仿宋_GB2312" w:cs="仿宋_GB2312"/>
          <w:sz w:val="32"/>
          <w:szCs w:val="32"/>
          <w:lang w:val="zh-CN"/>
        </w:rPr>
        <w:t>的安全隐患。</w:t>
      </w:r>
    </w:p>
    <w:p w14:paraId="7EB265BF">
      <w:p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人工影响天气基础设施建设的投入力度不够，未建成集监测、指挥、作业、效益评估和管理于一体的人工影响天气业务系统、未建立人工影响天气标准化固定作业基地。</w:t>
      </w:r>
    </w:p>
    <w:p w14:paraId="3CF680BF">
      <w:pPr>
        <w:keepNext/>
        <w:keepLines/>
        <w:spacing w:line="560" w:lineRule="exact"/>
        <w:ind w:firstLine="643" w:firstLineChars="200"/>
        <w:jc w:val="both"/>
        <w:rPr>
          <w:rFonts w:hint="eastAsia" w:ascii="楷体_GB2312" w:hAnsi="Cambria" w:eastAsia="楷体_GB2312" w:cs="楷体_GB2312"/>
          <w:b/>
          <w:sz w:val="32"/>
          <w:szCs w:val="32"/>
          <w:lang w:val="zh-CN"/>
        </w:rPr>
      </w:pPr>
      <w:r>
        <w:rPr>
          <w:rFonts w:hint="eastAsia" w:ascii="楷体_GB2312" w:hAnsi="Cambria" w:eastAsia="楷体_GB2312" w:cs="楷体_GB2312"/>
          <w:b/>
          <w:sz w:val="32"/>
          <w:szCs w:val="32"/>
          <w:lang w:val="zh-CN"/>
        </w:rPr>
        <w:t>（三）</w:t>
      </w:r>
      <w:r>
        <w:rPr>
          <w:rFonts w:hint="eastAsia" w:ascii="楷体_GB2312" w:hAnsi="Cambria" w:eastAsia="楷体_GB2312" w:cs="楷体_GB2312"/>
          <w:b/>
          <w:sz w:val="32"/>
          <w:szCs w:val="32"/>
          <w:lang w:val="en-US" w:eastAsia="zh-CN"/>
        </w:rPr>
        <w:t>改进</w:t>
      </w:r>
      <w:r>
        <w:rPr>
          <w:rFonts w:hint="eastAsia" w:ascii="楷体_GB2312" w:hAnsi="Cambria" w:eastAsia="楷体_GB2312" w:cs="楷体_GB2312"/>
          <w:b/>
          <w:sz w:val="32"/>
          <w:szCs w:val="32"/>
          <w:lang w:val="zh-CN"/>
        </w:rPr>
        <w:t>建议</w:t>
      </w:r>
    </w:p>
    <w:p w14:paraId="1F543B5E">
      <w:pPr>
        <w:keepNext/>
        <w:keepLines/>
        <w:spacing w:line="70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shd w:val="clear" w:color="auto" w:fill="FFFFFF"/>
          <w:lang w:val="en-US" w:eastAsia="zh-CN"/>
        </w:rPr>
        <w:t xml:space="preserve"> </w:t>
      </w:r>
      <w:r>
        <w:rPr>
          <w:rFonts w:hint="eastAsia" w:ascii="仿宋_GB2312" w:hAnsi="仿宋_GB2312" w:eastAsia="仿宋_GB2312" w:cs="仿宋_GB2312"/>
          <w:sz w:val="32"/>
          <w:szCs w:val="32"/>
          <w:lang w:val="en-US" w:eastAsia="zh-CN"/>
        </w:rPr>
        <w:t xml:space="preserve"> 无。</w:t>
      </w:r>
    </w:p>
    <w:p w14:paraId="626EC15C">
      <w:pPr>
        <w:pStyle w:val="20"/>
        <w:rPr>
          <w:rFonts w:hint="eastAsia" w:ascii="仿宋_GB2312" w:hAnsi="仿宋_GB2312" w:eastAsia="仿宋_GB2312" w:cs="仿宋_GB2312"/>
          <w:sz w:val="32"/>
          <w:szCs w:val="32"/>
          <w:lang w:val="en-US" w:eastAsia="zh-CN"/>
        </w:rPr>
      </w:pPr>
    </w:p>
    <w:p w14:paraId="495B68E6">
      <w:pPr>
        <w:rPr>
          <w:rFonts w:hint="eastAsia" w:ascii="仿宋_GB2312" w:hAnsi="仿宋_GB2312" w:eastAsia="仿宋_GB2312" w:cs="仿宋_GB2312"/>
          <w:sz w:val="32"/>
          <w:szCs w:val="32"/>
          <w:lang w:val="en-US" w:eastAsia="zh-CN"/>
        </w:rPr>
      </w:pPr>
    </w:p>
    <w:p w14:paraId="5E33DFF3">
      <w:pPr>
        <w:pStyle w:val="20"/>
        <w:rPr>
          <w:rFonts w:hint="eastAsia" w:ascii="仿宋_GB2312" w:hAnsi="仿宋_GB2312" w:eastAsia="仿宋_GB2312" w:cs="仿宋_GB2312"/>
          <w:sz w:val="32"/>
          <w:szCs w:val="32"/>
          <w:lang w:val="en-US" w:eastAsia="zh-CN"/>
        </w:rPr>
      </w:pPr>
    </w:p>
    <w:p w14:paraId="56FA9009">
      <w:pPr>
        <w:rPr>
          <w:rFonts w:hint="eastAsia" w:ascii="仿宋_GB2312" w:hAnsi="仿宋_GB2312" w:eastAsia="仿宋_GB2312" w:cs="仿宋_GB2312"/>
          <w:sz w:val="32"/>
          <w:szCs w:val="32"/>
          <w:lang w:val="en-US" w:eastAsia="zh-CN"/>
        </w:rPr>
      </w:pPr>
    </w:p>
    <w:p w14:paraId="4D12C32E">
      <w:pPr>
        <w:pStyle w:val="20"/>
        <w:rPr>
          <w:rFonts w:hint="eastAsia" w:ascii="仿宋_GB2312" w:hAnsi="仿宋_GB2312" w:eastAsia="仿宋_GB2312" w:cs="仿宋_GB2312"/>
          <w:sz w:val="32"/>
          <w:szCs w:val="32"/>
          <w:lang w:val="en-US" w:eastAsia="zh-CN"/>
        </w:rPr>
      </w:pPr>
    </w:p>
    <w:p w14:paraId="7A8BD2DA">
      <w:pPr>
        <w:rPr>
          <w:rFonts w:hint="eastAsia" w:ascii="仿宋_GB2312" w:hAnsi="仿宋_GB2312" w:eastAsia="仿宋_GB2312" w:cs="仿宋_GB2312"/>
          <w:sz w:val="32"/>
          <w:szCs w:val="32"/>
          <w:lang w:val="en-US" w:eastAsia="zh-CN"/>
        </w:rPr>
      </w:pPr>
    </w:p>
    <w:p w14:paraId="6343861B">
      <w:pPr>
        <w:pStyle w:val="20"/>
        <w:rPr>
          <w:rFonts w:hint="eastAsia" w:ascii="仿宋_GB2312" w:hAnsi="仿宋_GB2312" w:eastAsia="仿宋_GB2312" w:cs="仿宋_GB2312"/>
          <w:sz w:val="32"/>
          <w:szCs w:val="32"/>
          <w:lang w:val="en-US" w:eastAsia="zh-CN"/>
        </w:rPr>
      </w:pPr>
    </w:p>
    <w:p w14:paraId="63A6F71F">
      <w:pPr>
        <w:rPr>
          <w:rFonts w:hint="eastAsia" w:ascii="仿宋_GB2312" w:hAnsi="仿宋_GB2312" w:eastAsia="仿宋_GB2312" w:cs="仿宋_GB2312"/>
          <w:sz w:val="32"/>
          <w:szCs w:val="32"/>
          <w:lang w:val="en-US" w:eastAsia="zh-CN"/>
        </w:rPr>
      </w:pPr>
    </w:p>
    <w:p w14:paraId="0E612DAC">
      <w:pPr>
        <w:pStyle w:val="20"/>
        <w:rPr>
          <w:rFonts w:hint="eastAsia" w:ascii="仿宋_GB2312" w:hAnsi="仿宋_GB2312" w:eastAsia="仿宋_GB2312" w:cs="仿宋_GB2312"/>
          <w:sz w:val="32"/>
          <w:szCs w:val="32"/>
          <w:lang w:val="en-US" w:eastAsia="zh-CN"/>
        </w:rPr>
      </w:pPr>
    </w:p>
    <w:p w14:paraId="444D5443">
      <w:pPr>
        <w:rPr>
          <w:rFonts w:hint="eastAsia" w:ascii="仿宋_GB2312" w:hAnsi="仿宋_GB2312" w:eastAsia="仿宋_GB2312" w:cs="仿宋_GB2312"/>
          <w:sz w:val="32"/>
          <w:szCs w:val="32"/>
          <w:lang w:val="en-US" w:eastAsia="zh-CN"/>
        </w:rPr>
      </w:pPr>
    </w:p>
    <w:p w14:paraId="4180FB57">
      <w:pPr>
        <w:pStyle w:val="20"/>
        <w:rPr>
          <w:rFonts w:hint="default"/>
          <w:lang w:val="en-US" w:eastAsia="zh-CN"/>
        </w:rPr>
      </w:pPr>
    </w:p>
    <w:p w14:paraId="05B8FE26">
      <w:pPr>
        <w:rPr>
          <w:rFonts w:hint="default"/>
          <w:lang w:val="en-US" w:eastAsia="zh-CN"/>
        </w:rPr>
      </w:pPr>
    </w:p>
    <w:p w14:paraId="5778014F">
      <w:pPr>
        <w:pStyle w:val="20"/>
        <w:rPr>
          <w:rFonts w:hint="default"/>
          <w:lang w:val="en-US" w:eastAsia="zh-CN"/>
        </w:rPr>
      </w:pPr>
    </w:p>
    <w:p w14:paraId="694D0FE3">
      <w:pPr>
        <w:rPr>
          <w:rFonts w:hint="default"/>
          <w:lang w:val="en-US" w:eastAsia="zh-CN"/>
        </w:rPr>
      </w:pPr>
    </w:p>
    <w:p w14:paraId="25491001">
      <w:pPr>
        <w:pStyle w:val="20"/>
        <w:rPr>
          <w:rFonts w:hint="default"/>
          <w:lang w:val="en-US" w:eastAsia="zh-CN"/>
        </w:rPr>
      </w:pPr>
    </w:p>
    <w:p w14:paraId="67FDC066">
      <w:pPr>
        <w:rPr>
          <w:rFonts w:hint="default"/>
          <w:lang w:val="en-US" w:eastAsia="zh-CN"/>
        </w:rPr>
      </w:pPr>
    </w:p>
    <w:p w14:paraId="399E331D">
      <w:pPr>
        <w:spacing w:line="600" w:lineRule="exact"/>
        <w:ind w:firstLine="641"/>
        <w:jc w:val="center"/>
        <w:outlineLvl w:val="1"/>
        <w:rPr>
          <w:rFonts w:hint="eastAsia" w:ascii="方正小标宋简体" w:hAnsi="方正小标宋简体" w:eastAsia="方正小标宋简体" w:cs="方正小标宋简体"/>
          <w:sz w:val="44"/>
          <w:szCs w:val="44"/>
          <w:lang w:val="en-US" w:eastAsia="zh-CN"/>
        </w:rPr>
      </w:pPr>
      <w:bookmarkStart w:id="99" w:name="_Toc19408"/>
      <w:r>
        <w:rPr>
          <w:rFonts w:hint="eastAsia" w:ascii="方正小标宋简体" w:hAnsi="方正小标宋简体" w:eastAsia="方正小标宋简体" w:cs="方正小标宋简体"/>
          <w:sz w:val="44"/>
          <w:szCs w:val="44"/>
        </w:rPr>
        <w:t>德阳市</w:t>
      </w:r>
      <w:r>
        <w:rPr>
          <w:rFonts w:hint="eastAsia" w:ascii="方正小标宋简体" w:hAnsi="方正小标宋简体" w:eastAsia="方正小标宋简体" w:cs="方正小标宋简体"/>
          <w:sz w:val="44"/>
          <w:szCs w:val="44"/>
          <w:lang w:val="en-US" w:eastAsia="zh-CN"/>
        </w:rPr>
        <w:t>罗江区地方气象服务中心</w:t>
      </w:r>
      <w:bookmarkEnd w:id="99"/>
    </w:p>
    <w:p w14:paraId="32C72235">
      <w:pPr>
        <w:spacing w:line="600" w:lineRule="exact"/>
        <w:ind w:firstLine="641"/>
        <w:jc w:val="center"/>
        <w:outlineLvl w:val="1"/>
        <w:rPr>
          <w:rFonts w:hint="eastAsia" w:ascii="方正小标宋简体" w:hAnsi="方正小标宋简体" w:eastAsia="方正小标宋简体" w:cs="方正小标宋简体"/>
          <w:sz w:val="44"/>
          <w:szCs w:val="44"/>
        </w:rPr>
      </w:pPr>
      <w:bookmarkStart w:id="100" w:name="_Toc24907"/>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电视天气预报</w:t>
      </w:r>
      <w:r>
        <w:rPr>
          <w:rFonts w:hint="eastAsia" w:ascii="方正小标宋简体" w:hAnsi="方正小标宋简体" w:eastAsia="方正小标宋简体" w:cs="方正小标宋简体"/>
          <w:sz w:val="44"/>
          <w:szCs w:val="44"/>
        </w:rPr>
        <w:t>项目支出绩效自评报告</w:t>
      </w:r>
      <w:bookmarkEnd w:id="100"/>
    </w:p>
    <w:p w14:paraId="53749219">
      <w:pPr>
        <w:ind w:firstLine="640" w:firstLineChars="200"/>
        <w:rPr>
          <w:rFonts w:hint="eastAsia"/>
          <w:lang w:val="zh-CN"/>
        </w:rPr>
      </w:pPr>
      <w:r>
        <w:rPr>
          <w:rFonts w:hint="eastAsia" w:ascii="黑体" w:hAnsi="黑体" w:eastAsia="黑体"/>
          <w:sz w:val="32"/>
          <w:szCs w:val="32"/>
          <w:lang w:val="zh-CN"/>
        </w:rPr>
        <w:t>一、项目概况</w:t>
      </w:r>
    </w:p>
    <w:p w14:paraId="05FC8936">
      <w:pPr>
        <w:spacing w:line="560" w:lineRule="exact"/>
        <w:ind w:firstLine="643" w:firstLineChars="200"/>
        <w:jc w:val="both"/>
        <w:rPr>
          <w:rFonts w:hint="eastAsia" w:ascii="楷体_GB2312" w:eastAsia="楷体_GB2312"/>
          <w:b/>
          <w:sz w:val="32"/>
          <w:szCs w:val="32"/>
          <w:lang w:val="zh-CN"/>
        </w:rPr>
      </w:pPr>
      <w:r>
        <w:rPr>
          <w:rFonts w:hint="eastAsia" w:ascii="楷体_GB2312" w:eastAsia="楷体_GB2312"/>
          <w:b/>
          <w:sz w:val="32"/>
          <w:szCs w:val="32"/>
          <w:lang w:val="zh-CN"/>
        </w:rPr>
        <w:t>（一）设立背景及基本情况。</w:t>
      </w:r>
    </w:p>
    <w:p w14:paraId="3AA57523">
      <w:pPr>
        <w:spacing w:line="56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zh-CN"/>
        </w:rPr>
        <w:t>1.</w:t>
      </w:r>
      <w:r>
        <w:rPr>
          <w:rFonts w:hint="eastAsia" w:eastAsia="仿宋_GB2312"/>
          <w:sz w:val="32"/>
          <w:szCs w:val="32"/>
          <w:lang w:val="zh-CN"/>
        </w:rPr>
        <w:t>项目设立原因及背景。</w:t>
      </w:r>
    </w:p>
    <w:p w14:paraId="654D1315">
      <w:p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color w:val="auto"/>
          <w:sz w:val="32"/>
          <w:szCs w:val="32"/>
          <w:lang w:val="zh-CN" w:eastAsia="zh-CN"/>
        </w:rPr>
        <w:t>为了更好服务于罗江经济社会发展，更好地为</w:t>
      </w:r>
      <w:r>
        <w:rPr>
          <w:rFonts w:hint="eastAsia" w:ascii="仿宋_GB2312" w:hAnsi="仿宋_GB2312" w:eastAsia="仿宋_GB2312" w:cs="仿宋_GB2312"/>
          <w:color w:val="auto"/>
          <w:sz w:val="32"/>
          <w:szCs w:val="32"/>
          <w:lang w:val="en-US" w:eastAsia="zh-CN"/>
        </w:rPr>
        <w:t>各级政府</w:t>
      </w:r>
      <w:r>
        <w:rPr>
          <w:rFonts w:hint="eastAsia" w:ascii="仿宋_GB2312" w:hAnsi="仿宋_GB2312" w:eastAsia="仿宋_GB2312" w:cs="仿宋_GB2312"/>
          <w:color w:val="auto"/>
          <w:sz w:val="32"/>
          <w:szCs w:val="32"/>
          <w:lang w:val="zh-CN" w:eastAsia="zh-CN"/>
        </w:rPr>
        <w:t>领导安排生产和指挥防灾减灾提供详细、准确、及时的气象信息，更好地让人民群众及时了解掌握本地天气信息，由</w:t>
      </w:r>
      <w:r>
        <w:rPr>
          <w:rFonts w:hint="eastAsia" w:ascii="仿宋_GB2312" w:hAnsi="仿宋_GB2312" w:eastAsia="仿宋_GB2312" w:cs="仿宋_GB2312"/>
          <w:color w:val="auto"/>
          <w:sz w:val="32"/>
          <w:szCs w:val="32"/>
          <w:lang w:val="en-US" w:eastAsia="zh-CN"/>
        </w:rPr>
        <w:t>德阳市罗江区气象台</w:t>
      </w:r>
      <w:r>
        <w:rPr>
          <w:rFonts w:hint="eastAsia" w:ascii="仿宋_GB2312" w:hAnsi="仿宋_GB2312" w:eastAsia="仿宋_GB2312" w:cs="仿宋_GB2312"/>
          <w:color w:val="auto"/>
          <w:sz w:val="32"/>
          <w:szCs w:val="32"/>
          <w:lang w:val="zh-CN" w:eastAsia="zh-CN"/>
        </w:rPr>
        <w:t>制作的电视天气预报栏目，于罗江区电视台面向公众进行播放。</w:t>
      </w:r>
    </w:p>
    <w:p w14:paraId="58BC003E">
      <w:p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2.项目立项、资金申报的依据。</w:t>
      </w:r>
    </w:p>
    <w:p w14:paraId="79CC6611">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政府办件〔2020〕666号文件。</w:t>
      </w:r>
    </w:p>
    <w:p w14:paraId="03CF92CF">
      <w:p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.项目主要内容。</w:t>
      </w:r>
    </w:p>
    <w:p w14:paraId="62F3B1A8">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全年计划制作365期电视天气预报，实际制作365期，实际播放365期，预报时效24小时。播放渠道为广播电视。</w:t>
      </w:r>
    </w:p>
    <w:p w14:paraId="7B1A119B">
      <w:pPr>
        <w:spacing w:line="560" w:lineRule="exact"/>
        <w:ind w:firstLine="643" w:firstLineChars="200"/>
        <w:jc w:val="both"/>
        <w:rPr>
          <w:rFonts w:hint="eastAsia" w:ascii="楷体_GB2312" w:eastAsia="楷体_GB2312"/>
          <w:b/>
          <w:sz w:val="32"/>
          <w:szCs w:val="32"/>
          <w:lang w:val="zh-CN" w:eastAsia="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二</w:t>
      </w:r>
      <w:r>
        <w:rPr>
          <w:rFonts w:hint="eastAsia" w:ascii="楷体_GB2312" w:eastAsia="楷体_GB2312"/>
          <w:b/>
          <w:sz w:val="32"/>
          <w:szCs w:val="32"/>
          <w:lang w:val="zh-CN"/>
        </w:rPr>
        <w:t>）实施目的及支持方向</w:t>
      </w:r>
    </w:p>
    <w:p w14:paraId="095EC782">
      <w:pPr>
        <w:numPr>
          <w:ilvl w:val="0"/>
          <w:numId w:val="0"/>
        </w:numPr>
        <w:spacing w:line="580" w:lineRule="exact"/>
        <w:ind w:leftChars="0" w:firstLine="640" w:firstLineChars="200"/>
        <w:rPr>
          <w:rFonts w:hint="eastAsia" w:ascii="仿宋_GB2312" w:hAnsi="仿宋_GB2312" w:eastAsia="仿宋_GB2312" w:cs="仿宋_GB2312"/>
          <w:b w:val="0"/>
          <w:color w:val="auto"/>
          <w:kern w:val="2"/>
          <w:sz w:val="32"/>
          <w:szCs w:val="32"/>
          <w:lang w:val="zh-CN" w:eastAsia="zh-CN" w:bidi="ar-SA"/>
        </w:rPr>
      </w:pPr>
      <w:r>
        <w:rPr>
          <w:rFonts w:hint="eastAsia" w:ascii="仿宋_GB2312" w:hAnsi="仿宋_GB2312" w:eastAsia="仿宋_GB2312" w:cs="仿宋_GB2312"/>
          <w:b w:val="0"/>
          <w:color w:val="auto"/>
          <w:kern w:val="2"/>
          <w:sz w:val="32"/>
          <w:szCs w:val="32"/>
          <w:lang w:val="zh-CN" w:eastAsia="zh-CN" w:bidi="ar-SA"/>
        </w:rPr>
        <w:t>为了更好服务于罗江经济社会发展，更好地为</w:t>
      </w:r>
      <w:r>
        <w:rPr>
          <w:rFonts w:hint="eastAsia" w:ascii="仿宋_GB2312" w:hAnsi="仿宋_GB2312" w:eastAsia="仿宋_GB2312" w:cs="仿宋_GB2312"/>
          <w:b w:val="0"/>
          <w:color w:val="auto"/>
          <w:kern w:val="2"/>
          <w:sz w:val="32"/>
          <w:szCs w:val="32"/>
          <w:lang w:val="en-US" w:eastAsia="zh-CN" w:bidi="ar-SA"/>
        </w:rPr>
        <w:t>各级政府</w:t>
      </w:r>
      <w:r>
        <w:rPr>
          <w:rFonts w:hint="eastAsia" w:ascii="仿宋_GB2312" w:hAnsi="仿宋_GB2312" w:eastAsia="仿宋_GB2312" w:cs="仿宋_GB2312"/>
          <w:b w:val="0"/>
          <w:color w:val="auto"/>
          <w:kern w:val="2"/>
          <w:sz w:val="32"/>
          <w:szCs w:val="32"/>
          <w:lang w:val="zh-CN" w:eastAsia="zh-CN" w:bidi="ar-SA"/>
        </w:rPr>
        <w:t>领导安排生产和指挥防灾减灾提供详细、准确、及时的气象信息，更好地让人民群众及时了解掌握本地天气信息。</w:t>
      </w:r>
    </w:p>
    <w:p w14:paraId="3798E45B">
      <w:pPr>
        <w:numPr>
          <w:ilvl w:val="0"/>
          <w:numId w:val="0"/>
        </w:numPr>
        <w:ind w:left="640" w:leftChars="0"/>
        <w:rPr>
          <w:rFonts w:hint="eastAsia" w:ascii="楷体_GB2312" w:eastAsia="楷体_GB2312"/>
          <w:b/>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三</w:t>
      </w:r>
      <w:r>
        <w:rPr>
          <w:rFonts w:hint="eastAsia" w:ascii="楷体_GB2312" w:eastAsia="楷体_GB2312"/>
          <w:b/>
          <w:sz w:val="32"/>
          <w:szCs w:val="32"/>
          <w:lang w:val="zh-CN"/>
        </w:rPr>
        <w:t>）预算安排及分配管理。</w:t>
      </w:r>
    </w:p>
    <w:p w14:paraId="6D90E7D1">
      <w:pPr>
        <w:spacing w:line="560" w:lineRule="exact"/>
        <w:ind w:firstLine="640" w:firstLineChars="200"/>
        <w:jc w:val="both"/>
        <w:rPr>
          <w:rFonts w:hint="default" w:eastAsia="仿宋_GB2312"/>
          <w:b w:val="0"/>
          <w:bCs/>
          <w:color w:val="000000" w:themeColor="text1"/>
          <w:lang w:val="en-US" w:eastAsia="zh-CN"/>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电视天气预报</w:t>
      </w:r>
      <w:r>
        <w:rPr>
          <w:rFonts w:hint="eastAsia" w:ascii="仿宋_GB2312" w:hAnsi="仿宋_GB2312" w:eastAsia="仿宋_GB2312" w:cs="仿宋_GB2312"/>
          <w:sz w:val="32"/>
          <w:szCs w:val="32"/>
          <w:lang w:val="zh-CN"/>
        </w:rPr>
        <w:t>专项</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lang w:val="zh-CN"/>
        </w:rPr>
        <w:t>资金</w:t>
      </w: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sz w:val="32"/>
          <w:szCs w:val="32"/>
          <w:lang w:val="zh-CN"/>
        </w:rPr>
        <w:t>主要用于</w:t>
      </w:r>
      <w:r>
        <w:rPr>
          <w:rFonts w:hint="eastAsia" w:ascii="仿宋_GB2312" w:hAnsi="仿宋_GB2312" w:eastAsia="仿宋_GB2312" w:cs="仿宋_GB2312"/>
          <w:b w:val="0"/>
          <w:bCs/>
          <w:sz w:val="32"/>
          <w:szCs w:val="32"/>
          <w:lang w:val="en-US" w:eastAsia="zh-CN"/>
        </w:rPr>
        <w:t>制作日常天气预报及预警信息发布。</w:t>
      </w:r>
    </w:p>
    <w:p w14:paraId="29F41F8B">
      <w:pPr>
        <w:pStyle w:val="20"/>
        <w:numPr>
          <w:ilvl w:val="0"/>
          <w:numId w:val="0"/>
        </w:numPr>
        <w:ind w:leftChars="0" w:firstLine="643" w:firstLineChars="200"/>
        <w:rPr>
          <w:rFonts w:hint="eastAsia" w:ascii="仿宋_GB2312" w:hAnsi="仿宋_GB2312" w:eastAsia="仿宋_GB2312" w:cs="仿宋_GB2312"/>
          <w:sz w:val="32"/>
          <w:szCs w:val="32"/>
        </w:rPr>
      </w:pPr>
      <w:r>
        <w:rPr>
          <w:rFonts w:hint="eastAsia" w:ascii="楷体_GB2312" w:hAnsi="Times New Roman" w:eastAsia="楷体_GB2312" w:cs="Times New Roman"/>
          <w:b/>
          <w:kern w:val="2"/>
          <w:sz w:val="32"/>
          <w:szCs w:val="32"/>
          <w:lang w:val="zh-CN" w:eastAsia="zh-CN" w:bidi="ar-SA"/>
        </w:rPr>
        <w:t>（</w:t>
      </w:r>
      <w:r>
        <w:rPr>
          <w:rFonts w:hint="eastAsia" w:ascii="楷体_GB2312" w:hAnsi="Times New Roman" w:eastAsia="楷体_GB2312" w:cs="Times New Roman"/>
          <w:b/>
          <w:kern w:val="2"/>
          <w:sz w:val="32"/>
          <w:szCs w:val="32"/>
          <w:lang w:val="en-US" w:eastAsia="zh-CN" w:bidi="ar-SA"/>
        </w:rPr>
        <w:t>四</w:t>
      </w:r>
      <w:r>
        <w:rPr>
          <w:rFonts w:hint="eastAsia" w:ascii="楷体_GB2312" w:hAnsi="Times New Roman" w:eastAsia="楷体_GB2312" w:cs="Times New Roman"/>
          <w:b/>
          <w:kern w:val="2"/>
          <w:sz w:val="32"/>
          <w:szCs w:val="32"/>
          <w:lang w:val="zh-CN" w:eastAsia="zh-CN" w:bidi="ar-SA"/>
        </w:rPr>
        <w:t>）项目绩效目标设置。</w:t>
      </w:r>
    </w:p>
    <w:p w14:paraId="18E72609">
      <w:pPr>
        <w:numPr>
          <w:ilvl w:val="0"/>
          <w:numId w:val="0"/>
        </w:num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按照预算执行情况及绩效指标完成分数设置绩效目标，</w:t>
      </w:r>
      <w:r>
        <w:rPr>
          <w:rFonts w:hint="eastAsia" w:ascii="仿宋_GB2312" w:hAnsi="仿宋_GB2312" w:eastAsia="仿宋_GB2312" w:cs="仿宋_GB2312"/>
          <w:sz w:val="32"/>
          <w:szCs w:val="32"/>
        </w:rPr>
        <w:t>工作由局办公室牵头，</w:t>
      </w:r>
      <w:r>
        <w:rPr>
          <w:rFonts w:hint="eastAsia" w:ascii="仿宋_GB2312" w:hAnsi="仿宋_GB2312" w:eastAsia="仿宋_GB2312" w:cs="仿宋_GB2312"/>
          <w:sz w:val="32"/>
          <w:szCs w:val="32"/>
          <w:lang w:val="en-US" w:eastAsia="zh-CN"/>
        </w:rPr>
        <w:t>气象台</w:t>
      </w:r>
      <w:r>
        <w:rPr>
          <w:rFonts w:hint="eastAsia" w:ascii="仿宋_GB2312" w:hAnsi="仿宋_GB2312" w:eastAsia="仿宋_GB2312" w:cs="仿宋_GB2312"/>
          <w:sz w:val="32"/>
          <w:szCs w:val="32"/>
        </w:rPr>
        <w:t>和财务室配合，根据德阳市气象局</w:t>
      </w:r>
      <w:r>
        <w:rPr>
          <w:rFonts w:hint="eastAsia" w:ascii="仿宋_GB2312" w:hAnsi="仿宋_GB2312" w:eastAsia="仿宋_GB2312" w:cs="仿宋_GB2312"/>
          <w:sz w:val="32"/>
          <w:szCs w:val="32"/>
          <w:lang w:val="en-US" w:eastAsia="zh-CN"/>
        </w:rPr>
        <w:t>气象台</w:t>
      </w:r>
      <w:r>
        <w:rPr>
          <w:rFonts w:hint="eastAsia" w:ascii="仿宋_GB2312" w:hAnsi="仿宋_GB2312" w:eastAsia="仿宋_GB2312" w:cs="仿宋_GB2312"/>
          <w:sz w:val="32"/>
          <w:szCs w:val="32"/>
        </w:rPr>
        <w:t>通报的目标考核任务完成情况逐项自评。</w:t>
      </w:r>
    </w:p>
    <w:p w14:paraId="147F4927">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0472F44D">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（一）评价目的。</w:t>
      </w:r>
    </w:p>
    <w:p w14:paraId="1A168D2E">
      <w:pPr>
        <w:ind w:firstLine="640" w:firstLineChars="200"/>
        <w:rPr>
          <w:rFonts w:hint="eastAsia" w:eastAsia="仿宋_GB2312"/>
          <w:sz w:val="32"/>
          <w:szCs w:val="32"/>
          <w:lang w:val="zh-CN" w:eastAsia="zh-CN"/>
        </w:rPr>
      </w:pPr>
      <w:r>
        <w:rPr>
          <w:rFonts w:hint="eastAsia" w:eastAsia="仿宋_GB2312"/>
          <w:sz w:val="32"/>
          <w:szCs w:val="32"/>
          <w:lang w:val="zh-CN"/>
        </w:rPr>
        <w:t>通过项目绩效自评实现</w:t>
      </w:r>
      <w:r>
        <w:rPr>
          <w:rFonts w:hint="eastAsia" w:eastAsia="仿宋_GB2312"/>
          <w:sz w:val="32"/>
          <w:szCs w:val="32"/>
          <w:lang w:val="en-US" w:eastAsia="zh-CN"/>
        </w:rPr>
        <w:t>预算资金的有效使用，让电视天气预报能</w:t>
      </w:r>
      <w:r>
        <w:rPr>
          <w:rFonts w:hint="eastAsia" w:ascii="仿宋_GB2312" w:hAnsi="仿宋_GB2312" w:eastAsia="仿宋_GB2312" w:cs="仿宋_GB2312"/>
          <w:b w:val="0"/>
          <w:color w:val="auto"/>
          <w:kern w:val="2"/>
          <w:sz w:val="32"/>
          <w:szCs w:val="32"/>
          <w:lang w:val="zh-CN" w:eastAsia="zh-CN" w:bidi="ar-SA"/>
        </w:rPr>
        <w:t>更好服务于罗江经济社会发展，更好地为</w:t>
      </w:r>
      <w:r>
        <w:rPr>
          <w:rFonts w:hint="eastAsia" w:ascii="仿宋_GB2312" w:hAnsi="仿宋_GB2312" w:eastAsia="仿宋_GB2312" w:cs="仿宋_GB2312"/>
          <w:b w:val="0"/>
          <w:color w:val="auto"/>
          <w:kern w:val="2"/>
          <w:sz w:val="32"/>
          <w:szCs w:val="32"/>
          <w:lang w:val="en-US" w:eastAsia="zh-CN" w:bidi="ar-SA"/>
        </w:rPr>
        <w:t>各级政府</w:t>
      </w:r>
      <w:r>
        <w:rPr>
          <w:rFonts w:hint="eastAsia" w:ascii="仿宋_GB2312" w:hAnsi="仿宋_GB2312" w:eastAsia="仿宋_GB2312" w:cs="仿宋_GB2312"/>
          <w:b w:val="0"/>
          <w:color w:val="auto"/>
          <w:kern w:val="2"/>
          <w:sz w:val="32"/>
          <w:szCs w:val="32"/>
          <w:lang w:val="zh-CN" w:eastAsia="zh-CN" w:bidi="ar-SA"/>
        </w:rPr>
        <w:t>领导安排生产和指挥防灾减灾提供详细、准确、及时的气象信息，更好地让人民群众及时了解掌握本地天气信息。</w:t>
      </w:r>
    </w:p>
    <w:p w14:paraId="2690D7F5">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二</w:t>
      </w:r>
      <w:r>
        <w:rPr>
          <w:rFonts w:hint="eastAsia" w:ascii="楷体_GB2312" w:eastAsia="楷体_GB2312"/>
          <w:b/>
          <w:sz w:val="32"/>
          <w:szCs w:val="32"/>
          <w:lang w:val="zh-CN"/>
        </w:rPr>
        <w:t>）预设问题及评价重点。</w:t>
      </w:r>
    </w:p>
    <w:p w14:paraId="6A654083">
      <w:pPr>
        <w:numPr>
          <w:ilvl w:val="0"/>
          <w:numId w:val="0"/>
        </w:numPr>
        <w:ind w:firstLine="640" w:firstLineChars="200"/>
        <w:rPr>
          <w:rFonts w:eastAsia="仿宋_GB2312"/>
          <w:sz w:val="32"/>
          <w:szCs w:val="32"/>
          <w:lang w:val="zh-CN"/>
        </w:rPr>
      </w:pPr>
      <w:r>
        <w:rPr>
          <w:rFonts w:hint="eastAsia" w:eastAsia="仿宋_GB2312"/>
          <w:sz w:val="32"/>
          <w:szCs w:val="32"/>
          <w:lang w:val="zh-CN"/>
        </w:rPr>
        <w:t>按照绩效评价指标体系，资金支出使用</w:t>
      </w:r>
      <w:r>
        <w:rPr>
          <w:rFonts w:hint="eastAsia" w:eastAsia="仿宋_GB2312"/>
          <w:sz w:val="32"/>
          <w:szCs w:val="32"/>
          <w:lang w:val="en-US" w:eastAsia="zh-CN"/>
        </w:rPr>
        <w:t>进度有序进行，完成日常天气预报365期，总体实施效果良好</w:t>
      </w:r>
      <w:r>
        <w:rPr>
          <w:rFonts w:hint="eastAsia" w:eastAsia="仿宋_GB2312"/>
          <w:sz w:val="32"/>
          <w:szCs w:val="32"/>
          <w:lang w:val="zh-CN"/>
        </w:rPr>
        <w:t>。</w:t>
      </w:r>
    </w:p>
    <w:p w14:paraId="6F075610">
      <w:pPr>
        <w:ind w:firstLine="643" w:firstLineChars="200"/>
        <w:rPr>
          <w:rFonts w:hint="default" w:ascii="楷体_GB2312" w:eastAsia="楷体_GB2312"/>
          <w:b/>
          <w:sz w:val="32"/>
          <w:szCs w:val="32"/>
          <w:lang w:val="en-US" w:eastAsia="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三</w:t>
      </w:r>
      <w:r>
        <w:rPr>
          <w:rFonts w:hint="eastAsia" w:ascii="楷体_GB2312" w:eastAsia="楷体_GB2312"/>
          <w:b/>
          <w:sz w:val="32"/>
          <w:szCs w:val="32"/>
          <w:lang w:val="zh-CN"/>
        </w:rPr>
        <w:t>）评价选点。</w:t>
      </w:r>
    </w:p>
    <w:p w14:paraId="7F371768">
      <w:pPr>
        <w:numPr>
          <w:ilvl w:val="0"/>
          <w:numId w:val="0"/>
        </w:numPr>
        <w:ind w:firstLine="640" w:firstLineChars="200"/>
        <w:rPr>
          <w:rFonts w:hint="default"/>
          <w:lang w:val="en-US"/>
        </w:rPr>
      </w:pPr>
      <w:r>
        <w:rPr>
          <w:rFonts w:hint="eastAsia" w:ascii="楷体_GB2312" w:eastAsia="楷体_GB2312"/>
          <w:b w:val="0"/>
          <w:bCs/>
          <w:sz w:val="32"/>
          <w:szCs w:val="32"/>
          <w:lang w:val="en-US" w:eastAsia="zh-CN"/>
        </w:rPr>
        <w:t>绩效指标-产出指标-数量指标，完成情况良好。</w:t>
      </w:r>
    </w:p>
    <w:p w14:paraId="7A3BB6A7">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四</w:t>
      </w:r>
      <w:r>
        <w:rPr>
          <w:rFonts w:hint="eastAsia" w:ascii="楷体_GB2312" w:eastAsia="楷体_GB2312"/>
          <w:b/>
          <w:sz w:val="32"/>
          <w:szCs w:val="32"/>
          <w:lang w:val="zh-CN"/>
        </w:rPr>
        <w:t>）评价方法。</w:t>
      </w:r>
    </w:p>
    <w:p w14:paraId="57A5E226">
      <w:pPr>
        <w:numPr>
          <w:ilvl w:val="0"/>
          <w:numId w:val="0"/>
        </w:numPr>
        <w:ind w:leftChars="200" w:firstLine="320" w:firstLineChars="100"/>
        <w:rPr>
          <w:rFonts w:hint="eastAsia" w:eastAsia="仿宋_GB2312"/>
          <w:sz w:val="32"/>
          <w:szCs w:val="32"/>
          <w:lang w:val="en-US" w:eastAsia="zh-CN"/>
        </w:rPr>
      </w:pPr>
      <w:r>
        <w:rPr>
          <w:rFonts w:hint="eastAsia" w:eastAsia="仿宋_GB2312"/>
          <w:sz w:val="32"/>
          <w:szCs w:val="32"/>
          <w:lang w:val="zh-CN"/>
        </w:rPr>
        <w:t>单位自评法</w:t>
      </w:r>
    </w:p>
    <w:p w14:paraId="17DEBE49">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（五）评价组织。</w:t>
      </w:r>
    </w:p>
    <w:p w14:paraId="6689CF8E">
      <w:pPr>
        <w:numPr>
          <w:ilvl w:val="0"/>
          <w:numId w:val="0"/>
        </w:num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项目自评工作由局办公室牵头，</w:t>
      </w:r>
      <w:r>
        <w:rPr>
          <w:rFonts w:hint="eastAsia" w:ascii="仿宋_GB2312" w:hAnsi="仿宋_GB2312" w:eastAsia="仿宋_GB2312" w:cs="仿宋_GB2312"/>
          <w:sz w:val="32"/>
          <w:szCs w:val="32"/>
          <w:lang w:val="en-US" w:eastAsia="zh-CN"/>
        </w:rPr>
        <w:t>气象台</w:t>
      </w:r>
      <w:r>
        <w:rPr>
          <w:rFonts w:hint="eastAsia" w:ascii="仿宋_GB2312" w:hAnsi="仿宋_GB2312" w:eastAsia="仿宋_GB2312" w:cs="仿宋_GB2312"/>
          <w:sz w:val="32"/>
          <w:szCs w:val="32"/>
        </w:rPr>
        <w:t>和财务室配合</w:t>
      </w:r>
      <w:r>
        <w:rPr>
          <w:rFonts w:hint="eastAsia" w:ascii="仿宋_GB2312" w:hAnsi="仿宋_GB2312" w:eastAsia="仿宋_GB2312" w:cs="仿宋_GB2312"/>
          <w:sz w:val="32"/>
          <w:szCs w:val="32"/>
          <w:lang w:eastAsia="zh-CN"/>
        </w:rPr>
        <w:t>。</w:t>
      </w:r>
    </w:p>
    <w:p w14:paraId="1202DFEC">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30237E03">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4F5159E6">
      <w:pPr>
        <w:ind w:firstLine="640" w:firstLineChars="200"/>
        <w:rPr>
          <w:rFonts w:hint="eastAsia" w:ascii="楷体_GB2312" w:eastAsia="楷体_GB2312"/>
          <w:sz w:val="32"/>
          <w:szCs w:val="32"/>
          <w:lang w:val="zh-CN"/>
        </w:rPr>
      </w:pPr>
      <w:r>
        <w:rPr>
          <w:rFonts w:hint="eastAsia" w:ascii="楷体_GB2312" w:eastAsia="楷体_GB2312"/>
          <w:sz w:val="32"/>
          <w:szCs w:val="32"/>
          <w:lang w:val="zh-CN"/>
        </w:rPr>
        <w:t>1.项目决策。</w:t>
      </w:r>
    </w:p>
    <w:p w14:paraId="3112AC7F">
      <w:pPr>
        <w:spacing w:line="560" w:lineRule="exact"/>
        <w:ind w:firstLine="640" w:firstLineChars="200"/>
        <w:jc w:val="both"/>
        <w:rPr>
          <w:rFonts w:hint="default" w:eastAsia="仿宋_GB2312"/>
          <w:b w:val="0"/>
          <w:bCs/>
          <w:color w:val="000000" w:themeColor="text1"/>
          <w:lang w:val="en-US" w:eastAsia="zh-CN"/>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电视天气预报</w:t>
      </w:r>
      <w:r>
        <w:rPr>
          <w:rFonts w:hint="eastAsia" w:ascii="仿宋_GB2312" w:hAnsi="仿宋_GB2312" w:eastAsia="仿宋_GB2312" w:cs="仿宋_GB2312"/>
          <w:sz w:val="32"/>
          <w:szCs w:val="32"/>
          <w:lang w:val="zh-CN"/>
        </w:rPr>
        <w:t>专项</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lang w:val="zh-CN"/>
        </w:rPr>
        <w:t>资金</w:t>
      </w:r>
      <w:r>
        <w:rPr>
          <w:rFonts w:hint="eastAsia" w:ascii="仿宋_GB2312" w:hAnsi="仿宋_GB2312" w:eastAsia="仿宋_GB2312" w:cs="仿宋_GB2312"/>
          <w:b w:val="0"/>
          <w:bCs/>
          <w:sz w:val="32"/>
          <w:szCs w:val="32"/>
          <w:lang w:val="zh-CN"/>
        </w:rPr>
        <w:t>主要用于</w:t>
      </w:r>
      <w:r>
        <w:rPr>
          <w:rFonts w:hint="eastAsia" w:ascii="仿宋_GB2312" w:hAnsi="仿宋_GB2312" w:eastAsia="仿宋_GB2312" w:cs="仿宋_GB2312"/>
          <w:b w:val="0"/>
          <w:bCs/>
          <w:sz w:val="32"/>
          <w:szCs w:val="32"/>
          <w:lang w:val="en-US" w:eastAsia="zh-CN"/>
        </w:rPr>
        <w:t>制作日常天气预报及预警信息发布。</w:t>
      </w:r>
    </w:p>
    <w:p w14:paraId="5C98535A">
      <w:pPr>
        <w:ind w:firstLine="640" w:firstLineChars="200"/>
        <w:rPr>
          <w:rFonts w:hint="eastAsia" w:ascii="楷体_GB2312" w:eastAsia="楷体_GB2312"/>
          <w:sz w:val="32"/>
          <w:szCs w:val="32"/>
          <w:lang w:val="zh-CN"/>
        </w:rPr>
      </w:pPr>
      <w:r>
        <w:rPr>
          <w:rFonts w:hint="eastAsia" w:ascii="楷体_GB2312" w:eastAsia="楷体_GB2312"/>
          <w:sz w:val="32"/>
          <w:szCs w:val="32"/>
          <w:lang w:val="zh-CN"/>
        </w:rPr>
        <w:t>2.项目管理。</w:t>
      </w:r>
    </w:p>
    <w:p w14:paraId="6342F6F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该项目严格按照相关法律法规执行，无政府采购和招投标内容。</w:t>
      </w:r>
    </w:p>
    <w:p w14:paraId="23F95D8B">
      <w:pPr>
        <w:numPr>
          <w:ilvl w:val="0"/>
          <w:numId w:val="0"/>
        </w:numPr>
        <w:ind w:firstLine="640" w:firstLineChars="200"/>
        <w:rPr>
          <w:rFonts w:hint="eastAsia" w:ascii="楷体_GB2312" w:eastAsia="楷体_GB2312"/>
          <w:sz w:val="32"/>
          <w:szCs w:val="32"/>
          <w:lang w:val="zh-CN"/>
        </w:rPr>
      </w:pPr>
      <w:r>
        <w:rPr>
          <w:rFonts w:hint="eastAsia" w:ascii="楷体_GB2312" w:eastAsia="楷体_GB2312"/>
          <w:sz w:val="32"/>
          <w:szCs w:val="32"/>
          <w:lang w:val="en-US" w:eastAsia="zh-CN"/>
        </w:rPr>
        <w:t>3.</w:t>
      </w:r>
      <w:r>
        <w:rPr>
          <w:rFonts w:hint="eastAsia" w:ascii="楷体_GB2312" w:eastAsia="楷体_GB2312"/>
          <w:sz w:val="32"/>
          <w:szCs w:val="32"/>
          <w:lang w:val="zh-CN"/>
        </w:rPr>
        <w:t>项目实施。</w:t>
      </w:r>
    </w:p>
    <w:p w14:paraId="0DA300E6">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该项目</w:t>
      </w:r>
      <w:r>
        <w:rPr>
          <w:rFonts w:hint="eastAsia" w:eastAsia="仿宋_GB2312"/>
          <w:sz w:val="32"/>
          <w:szCs w:val="32"/>
          <w:lang w:val="zh-CN"/>
        </w:rPr>
        <w:t>预算</w:t>
      </w:r>
      <w:r>
        <w:rPr>
          <w:rFonts w:hint="eastAsia" w:eastAsia="仿宋_GB2312"/>
          <w:sz w:val="32"/>
          <w:szCs w:val="32"/>
          <w:lang w:val="en-US" w:eastAsia="zh-CN"/>
        </w:rPr>
        <w:t>资金按照序时进度</w:t>
      </w:r>
      <w:r>
        <w:rPr>
          <w:rFonts w:hint="eastAsia" w:eastAsia="仿宋_GB2312"/>
          <w:sz w:val="32"/>
          <w:szCs w:val="32"/>
          <w:lang w:val="zh-CN"/>
        </w:rPr>
        <w:t>执行，</w:t>
      </w:r>
      <w:r>
        <w:rPr>
          <w:rFonts w:hint="eastAsia" w:eastAsia="仿宋_GB2312"/>
          <w:sz w:val="32"/>
          <w:szCs w:val="32"/>
          <w:lang w:val="en-US" w:eastAsia="zh-CN"/>
        </w:rPr>
        <w:t>截止2023年12月全部支付完毕，执行率100%，</w:t>
      </w:r>
      <w:r>
        <w:rPr>
          <w:rFonts w:hint="eastAsia" w:eastAsia="仿宋_GB2312"/>
          <w:sz w:val="32"/>
          <w:szCs w:val="32"/>
          <w:lang w:val="zh-CN"/>
        </w:rPr>
        <w:t>资金使用</w:t>
      </w:r>
      <w:r>
        <w:rPr>
          <w:rFonts w:hint="eastAsia" w:eastAsia="仿宋_GB2312"/>
          <w:sz w:val="32"/>
          <w:szCs w:val="32"/>
          <w:lang w:val="en-US" w:eastAsia="zh-CN"/>
        </w:rPr>
        <w:t>情况良好，安全按照预算计划科目合理合规支付</w:t>
      </w:r>
      <w:r>
        <w:rPr>
          <w:rFonts w:hint="eastAsia" w:eastAsia="仿宋_GB2312"/>
          <w:sz w:val="32"/>
          <w:szCs w:val="32"/>
          <w:lang w:val="zh-CN"/>
        </w:rPr>
        <w:t>。</w:t>
      </w:r>
    </w:p>
    <w:p w14:paraId="6584727A">
      <w:pPr>
        <w:numPr>
          <w:ilvl w:val="0"/>
          <w:numId w:val="0"/>
        </w:numPr>
        <w:ind w:leftChars="200" w:firstLine="320" w:firstLineChars="100"/>
        <w:rPr>
          <w:rFonts w:hint="eastAsia" w:ascii="楷体_GB2312" w:eastAsia="楷体_GB2312"/>
          <w:sz w:val="32"/>
          <w:szCs w:val="32"/>
          <w:lang w:val="zh-CN"/>
        </w:rPr>
      </w:pPr>
      <w:r>
        <w:rPr>
          <w:rFonts w:hint="eastAsia" w:ascii="楷体_GB2312" w:eastAsia="楷体_GB2312"/>
          <w:sz w:val="32"/>
          <w:szCs w:val="32"/>
          <w:lang w:val="en-US" w:eastAsia="zh-CN"/>
        </w:rPr>
        <w:t>4.</w:t>
      </w:r>
      <w:r>
        <w:rPr>
          <w:rFonts w:hint="eastAsia" w:ascii="楷体_GB2312" w:eastAsia="楷体_GB2312"/>
          <w:sz w:val="32"/>
          <w:szCs w:val="32"/>
          <w:lang w:val="zh-CN"/>
        </w:rPr>
        <w:t>项目结果。</w:t>
      </w:r>
    </w:p>
    <w:p w14:paraId="5A15BD16">
      <w:pPr>
        <w:numPr>
          <w:ilvl w:val="0"/>
          <w:numId w:val="0"/>
        </w:numPr>
        <w:ind w:firstLine="640" w:firstLineChars="200"/>
        <w:rPr>
          <w:rFonts w:hint="default" w:eastAsia="仿宋_GB2312"/>
          <w:sz w:val="32"/>
          <w:szCs w:val="32"/>
          <w:lang w:val="en-US"/>
        </w:rPr>
      </w:pPr>
      <w:r>
        <w:rPr>
          <w:rFonts w:hint="eastAsia" w:eastAsia="仿宋_GB2312"/>
          <w:sz w:val="32"/>
          <w:szCs w:val="32"/>
          <w:lang w:val="en-US" w:eastAsia="zh-CN"/>
        </w:rPr>
        <w:t>该项目年底各指标</w:t>
      </w:r>
      <w:r>
        <w:rPr>
          <w:rFonts w:hint="eastAsia" w:eastAsia="仿宋_GB2312"/>
          <w:sz w:val="32"/>
          <w:szCs w:val="32"/>
          <w:lang w:val="zh-CN"/>
        </w:rPr>
        <w:t>完成</w:t>
      </w:r>
      <w:r>
        <w:rPr>
          <w:rFonts w:hint="eastAsia" w:eastAsia="仿宋_GB2312"/>
          <w:sz w:val="32"/>
          <w:szCs w:val="32"/>
          <w:lang w:val="en-US" w:eastAsia="zh-CN"/>
        </w:rPr>
        <w:t>情况良好，达到预期年度目标。</w:t>
      </w:r>
    </w:p>
    <w:p w14:paraId="57F93812">
      <w:pPr>
        <w:ind w:firstLine="643" w:firstLineChars="200"/>
        <w:rPr>
          <w:rFonts w:eastAsia="仿宋_GB2312"/>
          <w:sz w:val="32"/>
          <w:szCs w:val="32"/>
          <w:lang w:val="zh-CN"/>
        </w:rPr>
      </w:pPr>
      <w:r>
        <w:rPr>
          <w:rFonts w:hint="eastAsia" w:ascii="楷体_GB2312" w:eastAsia="楷体_GB2312"/>
          <w:b/>
          <w:sz w:val="32"/>
          <w:szCs w:val="32"/>
          <w:lang w:val="zh-CN"/>
        </w:rPr>
        <w:t>（二）专用指标绩效分析。</w:t>
      </w:r>
    </w:p>
    <w:p w14:paraId="076456AC">
      <w:pPr>
        <w:ind w:firstLine="640" w:firstLineChars="200"/>
        <w:rPr>
          <w:rFonts w:eastAsia="仿宋_GB2312"/>
          <w:sz w:val="32"/>
          <w:szCs w:val="32"/>
          <w:lang w:val="zh-CN"/>
        </w:rPr>
      </w:pPr>
      <w:r>
        <w:rPr>
          <w:rFonts w:hint="eastAsia" w:eastAsia="仿宋_GB2312"/>
          <w:sz w:val="32"/>
          <w:szCs w:val="32"/>
          <w:lang w:val="zh-CN"/>
        </w:rPr>
        <w:t>群众满意度</w:t>
      </w:r>
      <w:r>
        <w:rPr>
          <w:rFonts w:hint="eastAsia" w:eastAsia="仿宋_GB2312"/>
          <w:sz w:val="32"/>
          <w:szCs w:val="32"/>
          <w:lang w:val="en-US" w:eastAsia="zh-CN"/>
        </w:rPr>
        <w:t>指标定性为好，满意度较高</w:t>
      </w:r>
      <w:r>
        <w:rPr>
          <w:rFonts w:hint="eastAsia" w:eastAsia="仿宋_GB2312"/>
          <w:sz w:val="32"/>
          <w:szCs w:val="32"/>
          <w:lang w:val="zh-CN"/>
        </w:rPr>
        <w:t>。</w:t>
      </w:r>
    </w:p>
    <w:p w14:paraId="108B55D4">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三</w:t>
      </w:r>
      <w:r>
        <w:rPr>
          <w:rFonts w:hint="eastAsia" w:ascii="楷体_GB2312" w:eastAsia="楷体_GB2312"/>
          <w:b/>
          <w:sz w:val="32"/>
          <w:szCs w:val="32"/>
          <w:lang w:val="zh-CN"/>
        </w:rPr>
        <w:t>）个性指标绩效分析。</w:t>
      </w:r>
    </w:p>
    <w:p w14:paraId="7E1516A2">
      <w:pPr>
        <w:ind w:firstLine="640" w:firstLineChars="200"/>
        <w:rPr>
          <w:rFonts w:hint="eastAsia"/>
        </w:rPr>
      </w:pPr>
      <w:r>
        <w:rPr>
          <w:rFonts w:hint="eastAsia" w:ascii="Times New Roman" w:hAnsi="Times New Roman" w:eastAsia="仿宋_GB2312" w:cs="Times New Roman"/>
          <w:b w:val="0"/>
          <w:kern w:val="2"/>
          <w:sz w:val="32"/>
          <w:szCs w:val="32"/>
          <w:lang w:val="en-US" w:eastAsia="zh-CN" w:bidi="ar-SA"/>
        </w:rPr>
        <w:t>无</w:t>
      </w:r>
    </w:p>
    <w:p w14:paraId="45F1717A">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14:paraId="046B0D44">
      <w:p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电视天气预报制作量高，并加大科学宣传，使观众获得了更多的天气消息和科学知识，社会效益好，满意度高，评价总分为100分。</w:t>
      </w:r>
    </w:p>
    <w:p w14:paraId="2C6D87AE">
      <w:pPr>
        <w:ind w:firstLine="640" w:firstLineChars="200"/>
        <w:rPr>
          <w:rFonts w:hint="eastAsia" w:ascii="楷体_GB2312" w:hAnsi="Cambria" w:eastAsia="楷体_GB2312" w:cs="楷体_GB2312"/>
          <w:b/>
          <w:sz w:val="32"/>
          <w:szCs w:val="32"/>
          <w:lang w:val="zh-CN"/>
        </w:rPr>
      </w:pPr>
      <w:r>
        <w:rPr>
          <w:rFonts w:hint="eastAsia" w:ascii="黑体" w:hAnsi="黑体" w:eastAsia="黑体"/>
          <w:sz w:val="32"/>
          <w:szCs w:val="32"/>
          <w:lang w:val="zh-CN"/>
        </w:rPr>
        <w:t>五、存在主要问题</w:t>
      </w:r>
    </w:p>
    <w:p w14:paraId="6B3EB78A">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1E266F99">
      <w:pPr>
        <w:keepNext/>
        <w:keepLines/>
        <w:spacing w:line="560" w:lineRule="exact"/>
        <w:ind w:firstLine="643" w:firstLineChars="200"/>
        <w:jc w:val="both"/>
        <w:rPr>
          <w:rFonts w:hint="eastAsia" w:ascii="楷体_GB2312" w:hAnsi="Cambria" w:eastAsia="楷体_GB2312" w:cs="楷体_GB2312"/>
          <w:b/>
          <w:sz w:val="32"/>
          <w:szCs w:val="32"/>
          <w:lang w:val="zh-CN"/>
        </w:rPr>
      </w:pPr>
      <w:r>
        <w:rPr>
          <w:rFonts w:hint="eastAsia" w:ascii="楷体_GB2312" w:hAnsi="Cambria" w:eastAsia="楷体_GB2312" w:cs="楷体_GB2312"/>
          <w:b/>
          <w:sz w:val="32"/>
          <w:szCs w:val="32"/>
          <w:lang w:val="en-US" w:eastAsia="zh-CN"/>
        </w:rPr>
        <w:t>六、改进</w:t>
      </w:r>
      <w:r>
        <w:rPr>
          <w:rFonts w:hint="eastAsia" w:ascii="楷体_GB2312" w:hAnsi="Cambria" w:eastAsia="楷体_GB2312" w:cs="楷体_GB2312"/>
          <w:b/>
          <w:sz w:val="32"/>
          <w:szCs w:val="32"/>
          <w:lang w:val="zh-CN"/>
        </w:rPr>
        <w:t>建议</w:t>
      </w:r>
    </w:p>
    <w:p w14:paraId="1FF56D69">
      <w:pPr>
        <w:keepNext/>
        <w:keepLines/>
        <w:spacing w:line="70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shd w:val="clear" w:color="auto" w:fill="FFFFFF"/>
          <w:lang w:val="en-US" w:eastAsia="zh-CN"/>
        </w:rPr>
        <w:t xml:space="preserve"> </w:t>
      </w:r>
      <w:r>
        <w:rPr>
          <w:rFonts w:hint="eastAsia" w:ascii="仿宋_GB2312" w:hAnsi="仿宋_GB2312" w:eastAsia="仿宋_GB2312" w:cs="仿宋_GB2312"/>
          <w:sz w:val="32"/>
          <w:szCs w:val="32"/>
          <w:lang w:val="en-US" w:eastAsia="zh-CN"/>
        </w:rPr>
        <w:t xml:space="preserve">  无。</w:t>
      </w:r>
    </w:p>
    <w:p w14:paraId="699524F9">
      <w:pPr>
        <w:pStyle w:val="2"/>
        <w:rPr>
          <w:rFonts w:hint="eastAsia" w:ascii="仿宋_GB2312" w:hAnsi="仿宋_GB2312" w:eastAsia="仿宋_GB2312" w:cs="仿宋_GB2312"/>
          <w:sz w:val="32"/>
          <w:szCs w:val="32"/>
          <w:lang w:val="en-US" w:eastAsia="zh-CN"/>
        </w:rPr>
      </w:pPr>
    </w:p>
    <w:p w14:paraId="2183797D">
      <w:pPr>
        <w:pStyle w:val="2"/>
        <w:rPr>
          <w:rFonts w:hint="eastAsia" w:ascii="仿宋_GB2312" w:hAnsi="仿宋_GB2312" w:eastAsia="仿宋_GB2312" w:cs="仿宋_GB2312"/>
          <w:sz w:val="32"/>
          <w:szCs w:val="32"/>
          <w:lang w:val="en-US" w:eastAsia="zh-CN"/>
        </w:rPr>
      </w:pPr>
    </w:p>
    <w:p w14:paraId="0BAC300A">
      <w:pPr>
        <w:pStyle w:val="2"/>
        <w:rPr>
          <w:rFonts w:hint="eastAsia" w:ascii="仿宋_GB2312" w:hAnsi="仿宋_GB2312" w:eastAsia="仿宋_GB2312" w:cs="仿宋_GB2312"/>
          <w:sz w:val="32"/>
          <w:szCs w:val="32"/>
          <w:lang w:val="en-US" w:eastAsia="zh-CN"/>
        </w:rPr>
      </w:pPr>
    </w:p>
    <w:p w14:paraId="15772E5D">
      <w:pPr>
        <w:pStyle w:val="2"/>
        <w:rPr>
          <w:rFonts w:hint="eastAsia" w:ascii="仿宋_GB2312" w:hAnsi="仿宋_GB2312" w:eastAsia="仿宋_GB2312" w:cs="仿宋_GB2312"/>
          <w:sz w:val="32"/>
          <w:szCs w:val="32"/>
          <w:lang w:val="en-US" w:eastAsia="zh-CN"/>
        </w:rPr>
      </w:pPr>
    </w:p>
    <w:p w14:paraId="5C91175E">
      <w:pPr>
        <w:pStyle w:val="2"/>
        <w:rPr>
          <w:rFonts w:hint="eastAsia" w:ascii="仿宋_GB2312" w:hAnsi="仿宋_GB2312" w:eastAsia="仿宋_GB2312" w:cs="仿宋_GB2312"/>
          <w:sz w:val="32"/>
          <w:szCs w:val="32"/>
          <w:lang w:val="en-US" w:eastAsia="zh-CN"/>
        </w:rPr>
      </w:pPr>
    </w:p>
    <w:p w14:paraId="1FF6CF16">
      <w:pPr>
        <w:pStyle w:val="2"/>
        <w:rPr>
          <w:rFonts w:hint="eastAsia" w:ascii="仿宋_GB2312" w:hAnsi="仿宋_GB2312" w:eastAsia="仿宋_GB2312" w:cs="仿宋_GB2312"/>
          <w:sz w:val="32"/>
          <w:szCs w:val="32"/>
          <w:lang w:val="en-US" w:eastAsia="zh-CN"/>
        </w:rPr>
      </w:pPr>
    </w:p>
    <w:p w14:paraId="23AEE37C">
      <w:pPr>
        <w:pStyle w:val="2"/>
        <w:rPr>
          <w:rFonts w:hint="eastAsia" w:ascii="仿宋_GB2312" w:hAnsi="仿宋_GB2312" w:eastAsia="仿宋_GB2312" w:cs="仿宋_GB2312"/>
          <w:sz w:val="32"/>
          <w:szCs w:val="32"/>
          <w:lang w:val="en-US" w:eastAsia="zh-CN"/>
        </w:rPr>
      </w:pPr>
    </w:p>
    <w:p w14:paraId="387A729F">
      <w:pPr>
        <w:pStyle w:val="2"/>
        <w:rPr>
          <w:rFonts w:hint="eastAsia" w:ascii="仿宋_GB2312" w:hAnsi="仿宋_GB2312" w:eastAsia="仿宋_GB2312" w:cs="仿宋_GB2312"/>
          <w:sz w:val="32"/>
          <w:szCs w:val="32"/>
          <w:lang w:val="en-US" w:eastAsia="zh-CN"/>
        </w:rPr>
      </w:pPr>
    </w:p>
    <w:p w14:paraId="3119EA5F">
      <w:pPr>
        <w:pStyle w:val="2"/>
        <w:rPr>
          <w:rFonts w:hint="eastAsia" w:ascii="仿宋_GB2312" w:hAnsi="仿宋_GB2312" w:eastAsia="仿宋_GB2312" w:cs="仿宋_GB2312"/>
          <w:sz w:val="32"/>
          <w:szCs w:val="32"/>
          <w:lang w:val="en-US" w:eastAsia="zh-CN"/>
        </w:rPr>
      </w:pPr>
    </w:p>
    <w:p w14:paraId="199E4B43">
      <w:pPr>
        <w:pStyle w:val="2"/>
        <w:rPr>
          <w:rFonts w:hint="eastAsia" w:ascii="仿宋_GB2312" w:hAnsi="仿宋_GB2312" w:eastAsia="仿宋_GB2312" w:cs="仿宋_GB2312"/>
          <w:sz w:val="32"/>
          <w:szCs w:val="32"/>
          <w:lang w:val="en-US" w:eastAsia="zh-CN"/>
        </w:rPr>
      </w:pPr>
    </w:p>
    <w:p w14:paraId="374920C5">
      <w:pPr>
        <w:pStyle w:val="2"/>
        <w:rPr>
          <w:rFonts w:hint="eastAsia" w:ascii="仿宋_GB2312" w:hAnsi="仿宋_GB2312" w:eastAsia="仿宋_GB2312" w:cs="仿宋_GB2312"/>
          <w:sz w:val="32"/>
          <w:szCs w:val="32"/>
          <w:lang w:val="en-US" w:eastAsia="zh-CN"/>
        </w:rPr>
      </w:pPr>
    </w:p>
    <w:p w14:paraId="357D0522">
      <w:pPr>
        <w:pStyle w:val="2"/>
        <w:rPr>
          <w:rFonts w:hint="eastAsia" w:ascii="仿宋_GB2312" w:hAnsi="仿宋_GB2312" w:eastAsia="仿宋_GB2312" w:cs="仿宋_GB2312"/>
          <w:sz w:val="32"/>
          <w:szCs w:val="32"/>
          <w:lang w:val="en-US" w:eastAsia="zh-CN"/>
        </w:rPr>
      </w:pPr>
    </w:p>
    <w:p w14:paraId="18DB01A4">
      <w:pPr>
        <w:pStyle w:val="2"/>
        <w:rPr>
          <w:rFonts w:hint="eastAsia" w:ascii="仿宋_GB2312" w:hAnsi="仿宋_GB2312" w:eastAsia="仿宋_GB2312" w:cs="仿宋_GB2312"/>
          <w:sz w:val="32"/>
          <w:szCs w:val="32"/>
          <w:lang w:val="en-US" w:eastAsia="zh-CN"/>
        </w:rPr>
      </w:pPr>
    </w:p>
    <w:p w14:paraId="49CB0B4D">
      <w:pPr>
        <w:pStyle w:val="2"/>
        <w:rPr>
          <w:rFonts w:hint="eastAsia" w:ascii="仿宋_GB2312" w:hAnsi="仿宋_GB2312" w:eastAsia="仿宋_GB2312" w:cs="仿宋_GB2312"/>
          <w:sz w:val="32"/>
          <w:szCs w:val="32"/>
          <w:lang w:val="en-US" w:eastAsia="zh-CN"/>
        </w:rPr>
      </w:pPr>
    </w:p>
    <w:p w14:paraId="4F73F0A8">
      <w:pPr>
        <w:pStyle w:val="2"/>
        <w:rPr>
          <w:rFonts w:hint="eastAsia" w:ascii="仿宋_GB2312" w:hAnsi="仿宋_GB2312" w:eastAsia="仿宋_GB2312" w:cs="仿宋_GB2312"/>
          <w:sz w:val="32"/>
          <w:szCs w:val="32"/>
          <w:lang w:val="en-US" w:eastAsia="zh-CN"/>
        </w:rPr>
      </w:pPr>
    </w:p>
    <w:p w14:paraId="5CB3D343">
      <w:pPr>
        <w:pStyle w:val="2"/>
        <w:rPr>
          <w:rFonts w:hint="eastAsia" w:ascii="仿宋_GB2312" w:hAnsi="仿宋_GB2312" w:eastAsia="仿宋_GB2312" w:cs="仿宋_GB2312"/>
          <w:sz w:val="32"/>
          <w:szCs w:val="32"/>
          <w:lang w:val="en-US" w:eastAsia="zh-CN"/>
        </w:rPr>
      </w:pPr>
    </w:p>
    <w:p w14:paraId="41AA28A0">
      <w:pPr>
        <w:pStyle w:val="2"/>
        <w:rPr>
          <w:rFonts w:hint="eastAsia" w:ascii="仿宋_GB2312" w:hAnsi="仿宋_GB2312" w:eastAsia="仿宋_GB2312" w:cs="仿宋_GB2312"/>
          <w:sz w:val="32"/>
          <w:szCs w:val="32"/>
          <w:lang w:val="en-US" w:eastAsia="zh-CN"/>
        </w:rPr>
      </w:pPr>
    </w:p>
    <w:p w14:paraId="0261D73D">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德阳市罗江区地方气象服务中心</w:t>
      </w:r>
    </w:p>
    <w:p w14:paraId="1E820B5C">
      <w:pPr>
        <w:spacing w:line="580" w:lineRule="exact"/>
        <w:ind w:firstLine="6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年区域自动气象站维护维修项目支出绩效自评报告</w:t>
      </w:r>
    </w:p>
    <w:p w14:paraId="2E419884">
      <w:pPr>
        <w:pStyle w:val="2"/>
        <w:rPr>
          <w:rFonts w:hint="eastAsia"/>
        </w:rPr>
      </w:pPr>
    </w:p>
    <w:p w14:paraId="4276D3D5">
      <w:pPr>
        <w:ind w:firstLine="640" w:firstLineChars="200"/>
        <w:rPr>
          <w:rFonts w:hint="eastAsia"/>
          <w:lang w:val="zh-CN"/>
        </w:rPr>
      </w:pPr>
      <w:r>
        <w:rPr>
          <w:rFonts w:hint="eastAsia" w:ascii="黑体" w:hAnsi="黑体" w:eastAsia="黑体"/>
          <w:sz w:val="32"/>
          <w:szCs w:val="32"/>
          <w:lang w:val="zh-CN"/>
        </w:rPr>
        <w:t>一、项目概况</w:t>
      </w:r>
    </w:p>
    <w:p w14:paraId="0C357356">
      <w:pPr>
        <w:spacing w:line="560" w:lineRule="exact"/>
        <w:ind w:firstLine="643" w:firstLineChars="200"/>
        <w:jc w:val="both"/>
        <w:rPr>
          <w:rFonts w:hint="eastAsia" w:ascii="楷体_GB2312" w:eastAsia="楷体_GB2312"/>
          <w:b/>
          <w:sz w:val="32"/>
          <w:szCs w:val="32"/>
          <w:lang w:val="zh-CN"/>
        </w:rPr>
      </w:pPr>
      <w:r>
        <w:rPr>
          <w:rFonts w:hint="eastAsia" w:ascii="楷体_GB2312" w:eastAsia="楷体_GB2312"/>
          <w:b/>
          <w:sz w:val="32"/>
          <w:szCs w:val="32"/>
          <w:lang w:val="zh-CN"/>
        </w:rPr>
        <w:t>（一）设立背景及基本情况。</w:t>
      </w:r>
    </w:p>
    <w:p w14:paraId="39B0C7F3">
      <w:pPr>
        <w:spacing w:line="560" w:lineRule="exact"/>
        <w:ind w:firstLine="640" w:firstLineChars="200"/>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lang w:val="zh-CN"/>
        </w:rPr>
        <w:t>1.</w:t>
      </w:r>
      <w:r>
        <w:rPr>
          <w:rFonts w:hint="eastAsia" w:eastAsia="仿宋_GB2312"/>
          <w:sz w:val="32"/>
          <w:szCs w:val="32"/>
          <w:lang w:val="zh-CN"/>
        </w:rPr>
        <w:t>项目设立原因及背景。</w:t>
      </w:r>
    </w:p>
    <w:p w14:paraId="451EA842">
      <w:p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区已建的19个乡镇区域自动气象站、2个乡镇土壤水分自动监测站和1个农田小气候观测站，在气象灾害监测预警工作中发挥了重要作用，特别是在干旱、强降雨过程中，为政府决策指挥提供了可靠的气象数据。但区域自动气象站和乡镇土壤水分自动监测站、农田小气候观测站的仪器设备安装在野外，容易发生故障而影响气象信息的及时收发，为确保仪器设备正常运行，需解决乡镇区域自动气象站、乡镇土壤水分自动监测站、农田小气候观测站设备维护费。</w:t>
      </w:r>
    </w:p>
    <w:p w14:paraId="00C54A2E">
      <w:p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2.项目立项、资金申报的依据。</w:t>
      </w:r>
    </w:p>
    <w:p w14:paraId="12C37E05">
      <w:pPr>
        <w:spacing w:line="580" w:lineRule="exact"/>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特殊项目类，年初预算资金6.7万元。</w:t>
      </w:r>
    </w:p>
    <w:p w14:paraId="36BB75F4">
      <w:pPr>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.项目主要内容。</w:t>
      </w:r>
    </w:p>
    <w:p w14:paraId="14FCE3E1">
      <w:pPr>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zh-CN"/>
        </w:rPr>
        <w:t>保障德阳市罗江区内21个区域自动站设备稳定运行率、到报率、数据可用率均达考核指标，不出现一例责任性事故。</w:t>
      </w:r>
    </w:p>
    <w:p w14:paraId="1723C276">
      <w:pPr>
        <w:spacing w:line="560" w:lineRule="exact"/>
        <w:ind w:firstLine="643" w:firstLineChars="200"/>
        <w:jc w:val="both"/>
        <w:rPr>
          <w:rFonts w:hint="eastAsia" w:ascii="楷体_GB2312" w:eastAsia="楷体_GB2312"/>
          <w:b/>
          <w:sz w:val="32"/>
          <w:szCs w:val="32"/>
          <w:lang w:val="zh-CN" w:eastAsia="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二</w:t>
      </w:r>
      <w:r>
        <w:rPr>
          <w:rFonts w:hint="eastAsia" w:ascii="楷体_GB2312" w:eastAsia="楷体_GB2312"/>
          <w:b/>
          <w:sz w:val="32"/>
          <w:szCs w:val="32"/>
          <w:lang w:val="zh-CN"/>
        </w:rPr>
        <w:t>）实施目的及支持方向</w:t>
      </w:r>
    </w:p>
    <w:p w14:paraId="2D1A57FC">
      <w:pPr>
        <w:spacing w:line="560" w:lineRule="exact"/>
        <w:ind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形成政府主导、部门联动、社会参与、信息共享的防灾减灾工作机制，逐步建成以单雨量站及多气象要素站为依托的监测网络体系，为防灾减灾工作奠定坚实基础。</w:t>
      </w:r>
    </w:p>
    <w:p w14:paraId="16613C9E">
      <w:pPr>
        <w:numPr>
          <w:ilvl w:val="0"/>
          <w:numId w:val="0"/>
        </w:numPr>
        <w:ind w:left="640" w:leftChars="0"/>
        <w:rPr>
          <w:rFonts w:hint="eastAsia" w:ascii="楷体_GB2312" w:eastAsia="楷体_GB2312"/>
          <w:b/>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三</w:t>
      </w:r>
      <w:r>
        <w:rPr>
          <w:rFonts w:hint="eastAsia" w:ascii="楷体_GB2312" w:eastAsia="楷体_GB2312"/>
          <w:b/>
          <w:sz w:val="32"/>
          <w:szCs w:val="32"/>
          <w:lang w:val="zh-CN"/>
        </w:rPr>
        <w:t>）预算安排及分配管理。</w:t>
      </w:r>
    </w:p>
    <w:p w14:paraId="4B5BD9F1">
      <w:pPr>
        <w:spacing w:line="560" w:lineRule="exact"/>
        <w:ind w:firstLine="640" w:firstLineChars="200"/>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区域自动气象站设备维护</w:t>
      </w:r>
      <w:r>
        <w:rPr>
          <w:rFonts w:hint="eastAsia" w:ascii="仿宋_GB2312" w:hAnsi="仿宋_GB2312" w:eastAsia="仿宋_GB2312" w:cs="仿宋_GB2312"/>
          <w:sz w:val="32"/>
          <w:szCs w:val="32"/>
          <w:lang w:val="zh-CN" w:eastAsia="zh-CN"/>
        </w:rPr>
        <w:t>专</w:t>
      </w:r>
      <w:r>
        <w:rPr>
          <w:rFonts w:hint="eastAsia" w:ascii="仿宋_GB2312" w:hAnsi="仿宋_GB2312" w:eastAsia="仿宋_GB2312" w:cs="仿宋_GB2312"/>
          <w:sz w:val="32"/>
          <w:szCs w:val="32"/>
          <w:lang w:val="zh-CN"/>
        </w:rPr>
        <w:t>项</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lang w:val="zh-CN"/>
        </w:rPr>
        <w:t>资金</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万元，</w:t>
      </w:r>
      <w:r>
        <w:rPr>
          <w:rFonts w:hint="eastAsia" w:ascii="仿宋_GB2312" w:hAnsi="仿宋_GB2312" w:eastAsia="仿宋_GB2312" w:cs="仿宋_GB2312"/>
          <w:b w:val="0"/>
          <w:bCs/>
          <w:sz w:val="32"/>
          <w:szCs w:val="32"/>
          <w:lang w:val="zh-CN"/>
        </w:rPr>
        <w:t>主要用于保障罗江区内21个区域自动站设备稳定运行。</w:t>
      </w:r>
    </w:p>
    <w:p w14:paraId="5A6E96A6">
      <w:pPr>
        <w:pStyle w:val="20"/>
        <w:numPr>
          <w:ilvl w:val="0"/>
          <w:numId w:val="0"/>
        </w:numPr>
        <w:ind w:leftChars="0" w:firstLine="643" w:firstLineChars="200"/>
        <w:rPr>
          <w:rFonts w:hint="eastAsia" w:ascii="仿宋_GB2312" w:hAnsi="仿宋_GB2312" w:eastAsia="仿宋_GB2312" w:cs="仿宋_GB2312"/>
          <w:sz w:val="32"/>
          <w:szCs w:val="32"/>
        </w:rPr>
      </w:pPr>
      <w:r>
        <w:rPr>
          <w:rFonts w:hint="eastAsia" w:ascii="楷体_GB2312" w:hAnsi="Times New Roman" w:eastAsia="楷体_GB2312" w:cs="Times New Roman"/>
          <w:b/>
          <w:kern w:val="2"/>
          <w:sz w:val="32"/>
          <w:szCs w:val="32"/>
          <w:lang w:val="zh-CN" w:eastAsia="zh-CN" w:bidi="ar-SA"/>
        </w:rPr>
        <w:t>（</w:t>
      </w:r>
      <w:r>
        <w:rPr>
          <w:rFonts w:hint="eastAsia" w:ascii="楷体_GB2312" w:hAnsi="Times New Roman" w:eastAsia="楷体_GB2312" w:cs="Times New Roman"/>
          <w:b/>
          <w:kern w:val="2"/>
          <w:sz w:val="32"/>
          <w:szCs w:val="32"/>
          <w:lang w:val="en-US" w:eastAsia="zh-CN" w:bidi="ar-SA"/>
        </w:rPr>
        <w:t>四</w:t>
      </w:r>
      <w:r>
        <w:rPr>
          <w:rFonts w:hint="eastAsia" w:ascii="楷体_GB2312" w:hAnsi="Times New Roman" w:eastAsia="楷体_GB2312" w:cs="Times New Roman"/>
          <w:b/>
          <w:kern w:val="2"/>
          <w:sz w:val="32"/>
          <w:szCs w:val="32"/>
          <w:lang w:val="zh-CN" w:eastAsia="zh-CN" w:bidi="ar-SA"/>
        </w:rPr>
        <w:t>）项目绩效目标设置。</w:t>
      </w:r>
    </w:p>
    <w:p w14:paraId="26792869">
      <w:pPr>
        <w:numPr>
          <w:ilvl w:val="0"/>
          <w:numId w:val="0"/>
        </w:numPr>
        <w:spacing w:line="56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按照预算执行情况及绩效指标完成分数设置绩效目标，</w:t>
      </w:r>
      <w:r>
        <w:rPr>
          <w:rFonts w:hint="eastAsia" w:ascii="仿宋_GB2312" w:hAnsi="仿宋_GB2312" w:eastAsia="仿宋_GB2312" w:cs="仿宋_GB2312"/>
          <w:sz w:val="32"/>
          <w:szCs w:val="32"/>
        </w:rPr>
        <w:t>工作由局办公室牵头，</w:t>
      </w:r>
      <w:r>
        <w:rPr>
          <w:rFonts w:hint="eastAsia" w:ascii="仿宋_GB2312" w:hAnsi="仿宋_GB2312" w:eastAsia="仿宋_GB2312" w:cs="仿宋_GB2312"/>
          <w:sz w:val="32"/>
          <w:szCs w:val="32"/>
          <w:lang w:val="en-US" w:eastAsia="zh-CN"/>
        </w:rPr>
        <w:t>气象台</w:t>
      </w:r>
      <w:r>
        <w:rPr>
          <w:rFonts w:hint="eastAsia" w:ascii="仿宋_GB2312" w:hAnsi="仿宋_GB2312" w:eastAsia="仿宋_GB2312" w:cs="仿宋_GB2312"/>
          <w:sz w:val="32"/>
          <w:szCs w:val="32"/>
        </w:rPr>
        <w:t>和财务室配合，根据德阳市气象局</w:t>
      </w:r>
      <w:r>
        <w:rPr>
          <w:rFonts w:hint="eastAsia" w:ascii="仿宋_GB2312" w:hAnsi="仿宋_GB2312" w:eastAsia="仿宋_GB2312" w:cs="仿宋_GB2312"/>
          <w:sz w:val="32"/>
          <w:szCs w:val="32"/>
          <w:lang w:val="en-US" w:eastAsia="zh-CN"/>
        </w:rPr>
        <w:t>气象台</w:t>
      </w:r>
      <w:r>
        <w:rPr>
          <w:rFonts w:hint="eastAsia" w:ascii="仿宋_GB2312" w:hAnsi="仿宋_GB2312" w:eastAsia="仿宋_GB2312" w:cs="仿宋_GB2312"/>
          <w:sz w:val="32"/>
          <w:szCs w:val="32"/>
        </w:rPr>
        <w:t>通报的目标考核任务完成情况逐项自评。</w:t>
      </w:r>
    </w:p>
    <w:p w14:paraId="3EE9144C">
      <w:pPr>
        <w:ind w:firstLine="640" w:firstLineChars="200"/>
        <w:rPr>
          <w:rFonts w:ascii="黑体" w:hAnsi="黑体" w:eastAsia="黑体"/>
          <w:sz w:val="32"/>
          <w:szCs w:val="32"/>
          <w:lang w:val="zh-CN"/>
        </w:rPr>
      </w:pPr>
      <w:r>
        <w:rPr>
          <w:rFonts w:hint="eastAsia" w:ascii="黑体" w:hAnsi="黑体" w:eastAsia="黑体"/>
          <w:sz w:val="32"/>
          <w:szCs w:val="32"/>
          <w:lang w:val="zh-CN"/>
        </w:rPr>
        <w:t>二、评价实施</w:t>
      </w:r>
    </w:p>
    <w:p w14:paraId="46E64946">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（一）评价目的。</w:t>
      </w:r>
    </w:p>
    <w:p w14:paraId="01B8E913">
      <w:pPr>
        <w:numPr>
          <w:ilvl w:val="0"/>
          <w:numId w:val="0"/>
        </w:numPr>
        <w:spacing w:line="560" w:lineRule="exact"/>
        <w:ind w:firstLine="640" w:firstLineChars="200"/>
        <w:jc w:val="both"/>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rPr>
        <w:t>保障德阳市罗江区内21个区域自动站设备稳定运行率、到报率、数据可用率均达考核指标，不出现一例责任性事故。形成政府主导、部门联动、社会参与、信息共享的防灾减灾工作机制，逐步建成以单雨量站及多气象要素站为依托的监测网络体系，为防灾减灾工作奠定坚实基础。</w:t>
      </w:r>
    </w:p>
    <w:p w14:paraId="1FB650F6">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二</w:t>
      </w:r>
      <w:r>
        <w:rPr>
          <w:rFonts w:hint="eastAsia" w:ascii="楷体_GB2312" w:eastAsia="楷体_GB2312"/>
          <w:b/>
          <w:sz w:val="32"/>
          <w:szCs w:val="32"/>
          <w:lang w:val="zh-CN"/>
        </w:rPr>
        <w:t>）预设问题及评价重点。</w:t>
      </w:r>
    </w:p>
    <w:p w14:paraId="35D0B33D">
      <w:pPr>
        <w:numPr>
          <w:ilvl w:val="0"/>
          <w:numId w:val="0"/>
        </w:numPr>
        <w:ind w:firstLine="640" w:firstLineChars="200"/>
        <w:rPr>
          <w:rFonts w:eastAsia="仿宋_GB2312"/>
          <w:sz w:val="32"/>
          <w:szCs w:val="32"/>
          <w:lang w:val="zh-CN"/>
        </w:rPr>
      </w:pPr>
      <w:r>
        <w:rPr>
          <w:rFonts w:hint="eastAsia" w:eastAsia="仿宋_GB2312"/>
          <w:sz w:val="32"/>
          <w:szCs w:val="32"/>
          <w:lang w:val="zh-CN"/>
        </w:rPr>
        <w:t>按照绩效评价指标体系，资金支出使用</w:t>
      </w:r>
      <w:r>
        <w:rPr>
          <w:rFonts w:hint="eastAsia" w:eastAsia="仿宋_GB2312"/>
          <w:sz w:val="32"/>
          <w:szCs w:val="32"/>
          <w:lang w:val="en-US" w:eastAsia="zh-CN"/>
        </w:rPr>
        <w:t>进度有序进行，完成</w:t>
      </w:r>
      <w:r>
        <w:rPr>
          <w:rFonts w:hint="eastAsia" w:ascii="仿宋_GB2312" w:hAnsi="仿宋_GB2312" w:eastAsia="仿宋_GB2312" w:cs="仿宋_GB2312"/>
          <w:sz w:val="32"/>
          <w:szCs w:val="32"/>
        </w:rPr>
        <w:t>21个区域自动站设备</w:t>
      </w:r>
      <w:r>
        <w:rPr>
          <w:rFonts w:hint="eastAsia" w:ascii="仿宋_GB2312" w:hAnsi="仿宋_GB2312" w:eastAsia="仿宋_GB2312" w:cs="仿宋_GB2312"/>
          <w:sz w:val="32"/>
          <w:szCs w:val="32"/>
          <w:lang w:val="en-US" w:eastAsia="zh-CN"/>
        </w:rPr>
        <w:t>全年维护</w:t>
      </w:r>
      <w:r>
        <w:rPr>
          <w:rFonts w:hint="eastAsia" w:eastAsia="仿宋_GB2312"/>
          <w:sz w:val="32"/>
          <w:szCs w:val="32"/>
          <w:lang w:val="en-US" w:eastAsia="zh-CN"/>
        </w:rPr>
        <w:t>，总体实施效果良好</w:t>
      </w:r>
      <w:r>
        <w:rPr>
          <w:rFonts w:hint="eastAsia" w:eastAsia="仿宋_GB2312"/>
          <w:sz w:val="32"/>
          <w:szCs w:val="32"/>
          <w:lang w:val="zh-CN"/>
        </w:rPr>
        <w:t>。</w:t>
      </w:r>
    </w:p>
    <w:p w14:paraId="528209C6">
      <w:pPr>
        <w:ind w:firstLine="643" w:firstLineChars="200"/>
        <w:rPr>
          <w:rFonts w:hint="default" w:ascii="楷体_GB2312" w:eastAsia="楷体_GB2312"/>
          <w:b/>
          <w:sz w:val="32"/>
          <w:szCs w:val="32"/>
          <w:lang w:val="en-US" w:eastAsia="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三</w:t>
      </w:r>
      <w:r>
        <w:rPr>
          <w:rFonts w:hint="eastAsia" w:ascii="楷体_GB2312" w:eastAsia="楷体_GB2312"/>
          <w:b/>
          <w:sz w:val="32"/>
          <w:szCs w:val="32"/>
          <w:lang w:val="zh-CN"/>
        </w:rPr>
        <w:t>）评价选点。</w:t>
      </w:r>
    </w:p>
    <w:p w14:paraId="3F22CD3F">
      <w:pPr>
        <w:numPr>
          <w:ilvl w:val="0"/>
          <w:numId w:val="0"/>
        </w:numPr>
        <w:ind w:firstLine="640" w:firstLineChars="200"/>
        <w:rPr>
          <w:rFonts w:hint="default"/>
          <w:lang w:val="en-US"/>
        </w:rPr>
      </w:pPr>
      <w:r>
        <w:rPr>
          <w:rFonts w:hint="eastAsia" w:ascii="楷体_GB2312" w:eastAsia="楷体_GB2312"/>
          <w:b w:val="0"/>
          <w:bCs/>
          <w:sz w:val="32"/>
          <w:szCs w:val="32"/>
          <w:lang w:val="en-US" w:eastAsia="zh-CN"/>
        </w:rPr>
        <w:t>绩效指标-产出指标-数量指标，完成情况良好。</w:t>
      </w:r>
    </w:p>
    <w:p w14:paraId="3C51705E">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四</w:t>
      </w:r>
      <w:r>
        <w:rPr>
          <w:rFonts w:hint="eastAsia" w:ascii="楷体_GB2312" w:eastAsia="楷体_GB2312"/>
          <w:b/>
          <w:sz w:val="32"/>
          <w:szCs w:val="32"/>
          <w:lang w:val="zh-CN"/>
        </w:rPr>
        <w:t>）评价方法。</w:t>
      </w:r>
    </w:p>
    <w:p w14:paraId="727A172B">
      <w:pPr>
        <w:numPr>
          <w:ilvl w:val="0"/>
          <w:numId w:val="0"/>
        </w:numPr>
        <w:ind w:leftChars="200" w:firstLine="320" w:firstLineChars="100"/>
        <w:rPr>
          <w:rFonts w:hint="eastAsia" w:eastAsia="仿宋_GB2312"/>
          <w:sz w:val="32"/>
          <w:szCs w:val="32"/>
          <w:lang w:val="en-US" w:eastAsia="zh-CN"/>
        </w:rPr>
      </w:pPr>
      <w:r>
        <w:rPr>
          <w:rFonts w:hint="eastAsia" w:eastAsia="仿宋_GB2312"/>
          <w:sz w:val="32"/>
          <w:szCs w:val="32"/>
          <w:lang w:val="zh-CN"/>
        </w:rPr>
        <w:t>单位自评法</w:t>
      </w:r>
    </w:p>
    <w:p w14:paraId="5DD868BA">
      <w:pPr>
        <w:ind w:firstLine="643" w:firstLineChars="200"/>
        <w:rPr>
          <w:rFonts w:hint="eastAsia" w:ascii="楷体_GB2312" w:eastAsia="楷体_GB2312"/>
          <w:b/>
          <w:sz w:val="32"/>
          <w:szCs w:val="32"/>
          <w:lang w:val="zh-CN" w:eastAsia="zh-CN"/>
        </w:rPr>
      </w:pPr>
      <w:r>
        <w:rPr>
          <w:rFonts w:hint="eastAsia" w:ascii="楷体_GB2312" w:eastAsia="楷体_GB2312"/>
          <w:b/>
          <w:sz w:val="32"/>
          <w:szCs w:val="32"/>
          <w:lang w:val="zh-CN" w:eastAsia="zh-CN"/>
        </w:rPr>
        <w:t>（五）评价组织。</w:t>
      </w:r>
    </w:p>
    <w:p w14:paraId="5F89F1B4">
      <w:pPr>
        <w:numPr>
          <w:ilvl w:val="0"/>
          <w:numId w:val="0"/>
        </w:numPr>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项目自评工作由局办公室牵头，</w:t>
      </w:r>
      <w:r>
        <w:rPr>
          <w:rFonts w:hint="eastAsia" w:ascii="仿宋_GB2312" w:hAnsi="仿宋_GB2312" w:eastAsia="仿宋_GB2312" w:cs="仿宋_GB2312"/>
          <w:sz w:val="32"/>
          <w:szCs w:val="32"/>
          <w:lang w:val="en-US" w:eastAsia="zh-CN"/>
        </w:rPr>
        <w:t>气象台</w:t>
      </w:r>
      <w:r>
        <w:rPr>
          <w:rFonts w:hint="eastAsia" w:ascii="仿宋_GB2312" w:hAnsi="仿宋_GB2312" w:eastAsia="仿宋_GB2312" w:cs="仿宋_GB2312"/>
          <w:sz w:val="32"/>
          <w:szCs w:val="32"/>
        </w:rPr>
        <w:t>和财务室配合</w:t>
      </w:r>
      <w:r>
        <w:rPr>
          <w:rFonts w:hint="eastAsia" w:ascii="仿宋_GB2312" w:hAnsi="仿宋_GB2312" w:eastAsia="仿宋_GB2312" w:cs="仿宋_GB2312"/>
          <w:sz w:val="32"/>
          <w:szCs w:val="32"/>
          <w:lang w:eastAsia="zh-CN"/>
        </w:rPr>
        <w:t>。</w:t>
      </w:r>
    </w:p>
    <w:p w14:paraId="7DFC4B09">
      <w:pPr>
        <w:ind w:firstLine="640" w:firstLineChars="200"/>
        <w:rPr>
          <w:rFonts w:ascii="黑体" w:hAnsi="黑体" w:eastAsia="黑体"/>
          <w:sz w:val="32"/>
          <w:szCs w:val="32"/>
          <w:lang w:val="zh-CN"/>
        </w:rPr>
      </w:pPr>
      <w:r>
        <w:rPr>
          <w:rFonts w:hint="eastAsia" w:ascii="黑体" w:hAnsi="黑体" w:eastAsia="黑体"/>
          <w:sz w:val="32"/>
          <w:szCs w:val="32"/>
          <w:lang w:val="zh-CN"/>
        </w:rPr>
        <w:t>三、绩效分析</w:t>
      </w:r>
    </w:p>
    <w:p w14:paraId="1AA84659">
      <w:pPr>
        <w:ind w:firstLine="643" w:firstLineChars="200"/>
        <w:rPr>
          <w:rFonts w:ascii="楷体_GB2312" w:eastAsia="楷体_GB2312"/>
          <w:b/>
          <w:sz w:val="32"/>
          <w:szCs w:val="32"/>
          <w:lang w:val="zh-CN"/>
        </w:rPr>
      </w:pPr>
      <w:r>
        <w:rPr>
          <w:rFonts w:hint="eastAsia" w:ascii="楷体_GB2312" w:eastAsia="楷体_GB2312"/>
          <w:b/>
          <w:sz w:val="32"/>
          <w:szCs w:val="32"/>
          <w:lang w:val="zh-CN"/>
        </w:rPr>
        <w:t>（一）通用指标绩效分析。</w:t>
      </w:r>
    </w:p>
    <w:p w14:paraId="44937C68">
      <w:pPr>
        <w:ind w:firstLine="640" w:firstLineChars="200"/>
        <w:rPr>
          <w:rFonts w:hint="eastAsia" w:ascii="楷体_GB2312" w:eastAsia="楷体_GB2312"/>
          <w:sz w:val="32"/>
          <w:szCs w:val="32"/>
          <w:lang w:val="zh-CN"/>
        </w:rPr>
      </w:pPr>
      <w:r>
        <w:rPr>
          <w:rFonts w:hint="eastAsia" w:ascii="楷体_GB2312" w:eastAsia="楷体_GB2312"/>
          <w:sz w:val="32"/>
          <w:szCs w:val="32"/>
          <w:lang w:val="zh-CN"/>
        </w:rPr>
        <w:t>1.项目决策。</w:t>
      </w:r>
    </w:p>
    <w:p w14:paraId="7C79365D">
      <w:pPr>
        <w:spacing w:line="560" w:lineRule="exact"/>
        <w:ind w:firstLine="640" w:firstLineChars="200"/>
        <w:jc w:val="both"/>
        <w:rPr>
          <w:rFonts w:hint="default" w:eastAsia="仿宋_GB2312"/>
          <w:b w:val="0"/>
          <w:bCs/>
          <w:color w:val="000000" w:themeColor="text1"/>
          <w:lang w:val="en-US" w:eastAsia="zh-CN"/>
          <w14:textFill>
            <w14:solidFill>
              <w14:schemeClr w14:val="tx1"/>
            </w14:solidFill>
          </w14:textFill>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区域自动气象站维护</w:t>
      </w:r>
      <w:r>
        <w:rPr>
          <w:rFonts w:hint="eastAsia" w:ascii="仿宋_GB2312" w:hAnsi="仿宋_GB2312" w:eastAsia="仿宋_GB2312" w:cs="仿宋_GB2312"/>
          <w:sz w:val="32"/>
          <w:szCs w:val="32"/>
          <w:lang w:val="zh-CN"/>
        </w:rPr>
        <w:t>专项</w:t>
      </w:r>
      <w:r>
        <w:rPr>
          <w:rFonts w:hint="eastAsia"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lang w:val="zh-CN"/>
        </w:rPr>
        <w:t>资金</w:t>
      </w:r>
      <w:r>
        <w:rPr>
          <w:rFonts w:hint="eastAsia" w:ascii="仿宋_GB2312" w:hAnsi="仿宋_GB2312" w:eastAsia="仿宋_GB2312" w:cs="仿宋_GB2312"/>
          <w:b w:val="0"/>
          <w:bCs/>
          <w:sz w:val="32"/>
          <w:szCs w:val="32"/>
          <w:lang w:val="zh-CN"/>
        </w:rPr>
        <w:t>主要用于</w:t>
      </w:r>
      <w:r>
        <w:rPr>
          <w:rFonts w:hint="eastAsia" w:ascii="仿宋_GB2312" w:hAnsi="仿宋_GB2312" w:eastAsia="仿宋_GB2312" w:cs="仿宋_GB2312"/>
          <w:sz w:val="32"/>
          <w:szCs w:val="32"/>
        </w:rPr>
        <w:t>21个区域自动站设备</w:t>
      </w:r>
      <w:r>
        <w:rPr>
          <w:rFonts w:hint="eastAsia" w:ascii="仿宋_GB2312" w:hAnsi="仿宋_GB2312" w:eastAsia="仿宋_GB2312" w:cs="仿宋_GB2312"/>
          <w:sz w:val="32"/>
          <w:szCs w:val="32"/>
          <w:lang w:val="en-US" w:eastAsia="zh-CN"/>
        </w:rPr>
        <w:t>维修维护</w:t>
      </w:r>
      <w:r>
        <w:rPr>
          <w:rFonts w:hint="eastAsia" w:ascii="仿宋_GB2312" w:hAnsi="仿宋_GB2312" w:eastAsia="仿宋_GB2312" w:cs="仿宋_GB2312"/>
          <w:b w:val="0"/>
          <w:bCs/>
          <w:sz w:val="32"/>
          <w:szCs w:val="32"/>
          <w:lang w:val="en-US" w:eastAsia="zh-CN"/>
        </w:rPr>
        <w:t>。</w:t>
      </w:r>
    </w:p>
    <w:p w14:paraId="36CCCC06">
      <w:pPr>
        <w:ind w:firstLine="640" w:firstLineChars="200"/>
        <w:rPr>
          <w:rFonts w:hint="eastAsia" w:ascii="楷体_GB2312" w:eastAsia="楷体_GB2312"/>
          <w:sz w:val="32"/>
          <w:szCs w:val="32"/>
          <w:lang w:val="zh-CN"/>
        </w:rPr>
      </w:pPr>
      <w:r>
        <w:rPr>
          <w:rFonts w:hint="eastAsia" w:ascii="楷体_GB2312" w:eastAsia="楷体_GB2312"/>
          <w:sz w:val="32"/>
          <w:szCs w:val="32"/>
          <w:lang w:val="zh-CN"/>
        </w:rPr>
        <w:t>2.项目管理。</w:t>
      </w:r>
    </w:p>
    <w:p w14:paraId="2CFC31ED">
      <w:pPr>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该项目的完成质量由省市县三级气象主管机构按照ISO9001质量管理体系管理，并稳定运行。定期通报气象站运行可用率，数据及时率和数据可用率。无政府采购和招投标内容。</w:t>
      </w:r>
    </w:p>
    <w:p w14:paraId="315A71EB">
      <w:pPr>
        <w:numPr>
          <w:ilvl w:val="0"/>
          <w:numId w:val="0"/>
        </w:numPr>
        <w:ind w:firstLine="640" w:firstLineChars="200"/>
        <w:rPr>
          <w:rFonts w:hint="eastAsia" w:ascii="楷体_GB2312" w:eastAsia="楷体_GB2312"/>
          <w:sz w:val="32"/>
          <w:szCs w:val="32"/>
          <w:lang w:val="zh-CN"/>
        </w:rPr>
      </w:pPr>
      <w:r>
        <w:rPr>
          <w:rFonts w:hint="eastAsia" w:ascii="楷体_GB2312" w:eastAsia="楷体_GB2312"/>
          <w:sz w:val="32"/>
          <w:szCs w:val="32"/>
          <w:lang w:val="en-US" w:eastAsia="zh-CN"/>
        </w:rPr>
        <w:t>3.</w:t>
      </w:r>
      <w:r>
        <w:rPr>
          <w:rFonts w:hint="eastAsia" w:ascii="楷体_GB2312" w:eastAsia="楷体_GB2312"/>
          <w:sz w:val="32"/>
          <w:szCs w:val="32"/>
          <w:lang w:val="zh-CN"/>
        </w:rPr>
        <w:t>项目实施。</w:t>
      </w:r>
    </w:p>
    <w:p w14:paraId="23D681A7">
      <w:pPr>
        <w:numPr>
          <w:ilvl w:val="0"/>
          <w:numId w:val="0"/>
        </w:numPr>
        <w:ind w:firstLine="640" w:firstLineChars="200"/>
        <w:rPr>
          <w:rFonts w:hint="eastAsia" w:eastAsia="仿宋_GB2312"/>
          <w:sz w:val="32"/>
          <w:szCs w:val="32"/>
          <w:lang w:val="en-US" w:eastAsia="zh-CN"/>
        </w:rPr>
      </w:pPr>
      <w:r>
        <w:rPr>
          <w:rFonts w:hint="eastAsia" w:eastAsia="仿宋_GB2312"/>
          <w:sz w:val="32"/>
          <w:szCs w:val="32"/>
          <w:lang w:val="en-US" w:eastAsia="zh-CN"/>
        </w:rPr>
        <w:t>该项目</w:t>
      </w:r>
      <w:r>
        <w:rPr>
          <w:rFonts w:hint="eastAsia" w:eastAsia="仿宋_GB2312"/>
          <w:sz w:val="32"/>
          <w:szCs w:val="32"/>
          <w:lang w:val="zh-CN"/>
        </w:rPr>
        <w:t>预算</w:t>
      </w:r>
      <w:r>
        <w:rPr>
          <w:rFonts w:hint="eastAsia" w:eastAsia="仿宋_GB2312"/>
          <w:sz w:val="32"/>
          <w:szCs w:val="32"/>
          <w:lang w:val="en-US" w:eastAsia="zh-CN"/>
        </w:rPr>
        <w:t>资金按照序时进度</w:t>
      </w:r>
      <w:r>
        <w:rPr>
          <w:rFonts w:hint="eastAsia" w:eastAsia="仿宋_GB2312"/>
          <w:sz w:val="32"/>
          <w:szCs w:val="32"/>
          <w:lang w:val="zh-CN"/>
        </w:rPr>
        <w:t>执行，</w:t>
      </w:r>
      <w:r>
        <w:rPr>
          <w:rFonts w:hint="eastAsia" w:eastAsia="仿宋_GB2312"/>
          <w:sz w:val="32"/>
          <w:szCs w:val="32"/>
          <w:lang w:val="en-US" w:eastAsia="zh-CN"/>
        </w:rPr>
        <w:t>截止2023年12月全部支付完毕，执行率100%，</w:t>
      </w:r>
      <w:r>
        <w:rPr>
          <w:rFonts w:hint="eastAsia" w:eastAsia="仿宋_GB2312"/>
          <w:sz w:val="32"/>
          <w:szCs w:val="32"/>
          <w:lang w:val="zh-CN"/>
        </w:rPr>
        <w:t>资金使用</w:t>
      </w:r>
      <w:r>
        <w:rPr>
          <w:rFonts w:hint="eastAsia" w:eastAsia="仿宋_GB2312"/>
          <w:sz w:val="32"/>
          <w:szCs w:val="32"/>
          <w:lang w:val="en-US" w:eastAsia="zh-CN"/>
        </w:rPr>
        <w:t>情况良好，安全按照预算计划科目合理合规支付</w:t>
      </w:r>
      <w:r>
        <w:rPr>
          <w:rFonts w:hint="eastAsia" w:eastAsia="仿宋_GB2312"/>
          <w:sz w:val="32"/>
          <w:szCs w:val="32"/>
          <w:lang w:val="zh-CN"/>
        </w:rPr>
        <w:t>。</w:t>
      </w:r>
    </w:p>
    <w:p w14:paraId="11973D76">
      <w:pPr>
        <w:numPr>
          <w:ilvl w:val="0"/>
          <w:numId w:val="0"/>
        </w:numPr>
        <w:ind w:leftChars="200" w:firstLine="320" w:firstLineChars="100"/>
        <w:rPr>
          <w:rFonts w:hint="eastAsia" w:ascii="楷体_GB2312" w:eastAsia="楷体_GB2312"/>
          <w:sz w:val="32"/>
          <w:szCs w:val="32"/>
          <w:lang w:val="zh-CN"/>
        </w:rPr>
      </w:pPr>
      <w:r>
        <w:rPr>
          <w:rFonts w:hint="eastAsia" w:ascii="楷体_GB2312" w:eastAsia="楷体_GB2312"/>
          <w:sz w:val="32"/>
          <w:szCs w:val="32"/>
          <w:lang w:val="en-US" w:eastAsia="zh-CN"/>
        </w:rPr>
        <w:t>4.</w:t>
      </w:r>
      <w:r>
        <w:rPr>
          <w:rFonts w:hint="eastAsia" w:ascii="楷体_GB2312" w:eastAsia="楷体_GB2312"/>
          <w:sz w:val="32"/>
          <w:szCs w:val="32"/>
          <w:lang w:val="zh-CN"/>
        </w:rPr>
        <w:t>项目结果。</w:t>
      </w:r>
    </w:p>
    <w:p w14:paraId="26044EBF">
      <w:pPr>
        <w:numPr>
          <w:ilvl w:val="0"/>
          <w:numId w:val="0"/>
        </w:numPr>
        <w:ind w:firstLine="640" w:firstLineChars="200"/>
        <w:rPr>
          <w:rFonts w:hint="default" w:eastAsia="仿宋_GB2312"/>
          <w:sz w:val="32"/>
          <w:szCs w:val="32"/>
          <w:lang w:val="en-US"/>
        </w:rPr>
      </w:pPr>
      <w:r>
        <w:rPr>
          <w:rFonts w:hint="eastAsia" w:eastAsia="仿宋_GB2312"/>
          <w:sz w:val="32"/>
          <w:szCs w:val="32"/>
          <w:lang w:val="en-US" w:eastAsia="zh-CN"/>
        </w:rPr>
        <w:t>该项目年底各指标</w:t>
      </w:r>
      <w:r>
        <w:rPr>
          <w:rFonts w:hint="eastAsia" w:eastAsia="仿宋_GB2312"/>
          <w:sz w:val="32"/>
          <w:szCs w:val="32"/>
          <w:lang w:val="zh-CN"/>
        </w:rPr>
        <w:t>完成</w:t>
      </w:r>
      <w:r>
        <w:rPr>
          <w:rFonts w:hint="eastAsia" w:eastAsia="仿宋_GB2312"/>
          <w:sz w:val="32"/>
          <w:szCs w:val="32"/>
          <w:lang w:val="en-US" w:eastAsia="zh-CN"/>
        </w:rPr>
        <w:t>情况良好，</w:t>
      </w:r>
      <w:r>
        <w:rPr>
          <w:rFonts w:hint="eastAsia" w:ascii="仿宋_GB2312" w:hAnsi="仿宋_GB2312" w:eastAsia="仿宋_GB2312" w:cs="仿宋_GB2312"/>
          <w:sz w:val="32"/>
          <w:szCs w:val="32"/>
        </w:rPr>
        <w:t>设备可用率、数据传输及时率、数据可用率均达到99%，大于目标考核指标</w:t>
      </w:r>
      <w:r>
        <w:rPr>
          <w:rFonts w:hint="eastAsia" w:ascii="仿宋_GB2312" w:hAnsi="仿宋_GB2312" w:eastAsia="仿宋_GB2312" w:cs="仿宋_GB2312"/>
          <w:sz w:val="32"/>
          <w:szCs w:val="32"/>
          <w:lang w:eastAsia="zh-CN"/>
        </w:rPr>
        <w:t>，</w:t>
      </w:r>
      <w:r>
        <w:rPr>
          <w:rFonts w:hint="eastAsia" w:eastAsia="仿宋_GB2312"/>
          <w:sz w:val="32"/>
          <w:szCs w:val="32"/>
          <w:lang w:val="en-US" w:eastAsia="zh-CN"/>
        </w:rPr>
        <w:t>达到预期年度目标。</w:t>
      </w:r>
    </w:p>
    <w:p w14:paraId="557DC282">
      <w:pPr>
        <w:ind w:firstLine="643" w:firstLineChars="200"/>
        <w:rPr>
          <w:rFonts w:eastAsia="仿宋_GB2312"/>
          <w:sz w:val="32"/>
          <w:szCs w:val="32"/>
          <w:lang w:val="zh-CN"/>
        </w:rPr>
      </w:pPr>
      <w:r>
        <w:rPr>
          <w:rFonts w:hint="eastAsia" w:ascii="楷体_GB2312" w:eastAsia="楷体_GB2312"/>
          <w:b/>
          <w:sz w:val="32"/>
          <w:szCs w:val="32"/>
          <w:lang w:val="zh-CN"/>
        </w:rPr>
        <w:t>（二）专用指标绩效分析。</w:t>
      </w:r>
    </w:p>
    <w:p w14:paraId="04024518">
      <w:pPr>
        <w:ind w:firstLine="640" w:firstLineChars="200"/>
        <w:rPr>
          <w:rFonts w:eastAsia="仿宋_GB2312"/>
          <w:sz w:val="32"/>
          <w:szCs w:val="32"/>
          <w:lang w:val="zh-CN"/>
        </w:rPr>
      </w:pPr>
      <w:r>
        <w:rPr>
          <w:rFonts w:hint="eastAsia" w:eastAsia="仿宋_GB2312"/>
          <w:sz w:val="32"/>
          <w:szCs w:val="32"/>
          <w:lang w:val="zh-CN"/>
        </w:rPr>
        <w:t>群众满意度</w:t>
      </w:r>
      <w:r>
        <w:rPr>
          <w:rFonts w:hint="eastAsia" w:eastAsia="仿宋_GB2312"/>
          <w:sz w:val="32"/>
          <w:szCs w:val="32"/>
          <w:lang w:val="en-US" w:eastAsia="zh-CN"/>
        </w:rPr>
        <w:t>指标定性为好，满意度较高</w:t>
      </w:r>
      <w:r>
        <w:rPr>
          <w:rFonts w:hint="eastAsia" w:eastAsia="仿宋_GB2312"/>
          <w:sz w:val="32"/>
          <w:szCs w:val="32"/>
          <w:lang w:val="zh-CN"/>
        </w:rPr>
        <w:t>。</w:t>
      </w:r>
    </w:p>
    <w:p w14:paraId="6CD1368C">
      <w:pPr>
        <w:ind w:firstLine="643" w:firstLineChars="200"/>
        <w:rPr>
          <w:rFonts w:hint="eastAsia" w:ascii="楷体_GB2312" w:eastAsia="楷体_GB2312"/>
          <w:b/>
          <w:sz w:val="32"/>
          <w:szCs w:val="32"/>
          <w:lang w:val="zh-CN"/>
        </w:rPr>
      </w:pPr>
      <w:r>
        <w:rPr>
          <w:rFonts w:hint="eastAsia" w:ascii="楷体_GB2312" w:eastAsia="楷体_GB2312"/>
          <w:b/>
          <w:sz w:val="32"/>
          <w:szCs w:val="32"/>
          <w:lang w:val="zh-CN"/>
        </w:rPr>
        <w:t>（</w:t>
      </w:r>
      <w:r>
        <w:rPr>
          <w:rFonts w:hint="eastAsia" w:ascii="楷体_GB2312" w:eastAsia="楷体_GB2312"/>
          <w:b/>
          <w:sz w:val="32"/>
          <w:szCs w:val="32"/>
          <w:lang w:val="en-US" w:eastAsia="zh-CN"/>
        </w:rPr>
        <w:t>三</w:t>
      </w:r>
      <w:r>
        <w:rPr>
          <w:rFonts w:hint="eastAsia" w:ascii="楷体_GB2312" w:eastAsia="楷体_GB2312"/>
          <w:b/>
          <w:sz w:val="32"/>
          <w:szCs w:val="32"/>
          <w:lang w:val="zh-CN"/>
        </w:rPr>
        <w:t>）个性指标绩效分析。</w:t>
      </w:r>
    </w:p>
    <w:p w14:paraId="4BC699E7">
      <w:pPr>
        <w:ind w:firstLine="640" w:firstLineChars="200"/>
        <w:rPr>
          <w:rFonts w:hint="eastAsia"/>
        </w:rPr>
      </w:pPr>
      <w:r>
        <w:rPr>
          <w:rFonts w:hint="eastAsia" w:ascii="Times New Roman" w:hAnsi="Times New Roman" w:eastAsia="仿宋_GB2312" w:cs="Times New Roman"/>
          <w:b w:val="0"/>
          <w:kern w:val="2"/>
          <w:sz w:val="32"/>
          <w:szCs w:val="32"/>
          <w:lang w:val="en-US" w:eastAsia="zh-CN" w:bidi="ar-SA"/>
        </w:rPr>
        <w:t>无</w:t>
      </w:r>
    </w:p>
    <w:p w14:paraId="2F7B085E">
      <w:pPr>
        <w:ind w:firstLine="640" w:firstLineChars="200"/>
        <w:rPr>
          <w:rFonts w:ascii="黑体" w:hAnsi="黑体" w:eastAsia="黑体"/>
          <w:sz w:val="32"/>
          <w:szCs w:val="32"/>
          <w:lang w:val="zh-CN"/>
        </w:rPr>
      </w:pPr>
      <w:r>
        <w:rPr>
          <w:rFonts w:hint="eastAsia" w:ascii="黑体" w:hAnsi="黑体" w:eastAsia="黑体"/>
          <w:sz w:val="32"/>
          <w:szCs w:val="32"/>
          <w:lang w:val="zh-CN"/>
        </w:rPr>
        <w:t>四、评价结论</w:t>
      </w:r>
    </w:p>
    <w:p w14:paraId="06617E06">
      <w:pPr>
        <w:spacing w:line="58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年区域自动气象站维护</w:t>
      </w:r>
      <w:r>
        <w:rPr>
          <w:rFonts w:hint="eastAsia" w:ascii="仿宋_GB2312" w:hAnsi="仿宋_GB2312" w:eastAsia="仿宋_GB2312" w:cs="仿宋_GB2312"/>
          <w:sz w:val="32"/>
          <w:szCs w:val="32"/>
          <w:lang w:val="zh-CN"/>
        </w:rPr>
        <w:t>项目决策</w:t>
      </w:r>
      <w:r>
        <w:rPr>
          <w:rFonts w:hint="eastAsia" w:ascii="仿宋_GB2312" w:hAnsi="仿宋_GB2312" w:eastAsia="仿宋_GB2312" w:cs="仿宋_GB2312"/>
          <w:sz w:val="32"/>
          <w:szCs w:val="32"/>
        </w:rPr>
        <w:t>科学合理</w:t>
      </w:r>
      <w:r>
        <w:rPr>
          <w:rFonts w:hint="eastAsia" w:ascii="仿宋_GB2312" w:hAnsi="仿宋_GB2312" w:eastAsia="仿宋_GB2312" w:cs="仿宋_GB2312"/>
          <w:sz w:val="32"/>
          <w:szCs w:val="32"/>
          <w:lang w:val="zh-CN"/>
        </w:rPr>
        <w:t>、项目管理</w:t>
      </w:r>
      <w:r>
        <w:rPr>
          <w:rFonts w:hint="eastAsia" w:ascii="仿宋_GB2312" w:hAnsi="仿宋_GB2312" w:eastAsia="仿宋_GB2312" w:cs="仿宋_GB2312"/>
          <w:sz w:val="32"/>
          <w:szCs w:val="32"/>
        </w:rPr>
        <w:t>合法有序</w:t>
      </w:r>
      <w:r>
        <w:rPr>
          <w:rFonts w:hint="eastAsia" w:ascii="仿宋_GB2312" w:hAnsi="仿宋_GB2312" w:eastAsia="仿宋_GB2312" w:cs="仿宋_GB2312"/>
          <w:sz w:val="32"/>
          <w:szCs w:val="32"/>
          <w:lang w:val="zh-CN"/>
        </w:rPr>
        <w:t>、项目绩效</w:t>
      </w:r>
      <w:r>
        <w:rPr>
          <w:rFonts w:hint="eastAsia" w:ascii="仿宋_GB2312" w:hAnsi="仿宋_GB2312" w:eastAsia="仿宋_GB2312" w:cs="仿宋_GB2312"/>
          <w:sz w:val="32"/>
          <w:szCs w:val="32"/>
        </w:rPr>
        <w:t>质量完成度高，社会效益好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评价总分为100分。</w:t>
      </w:r>
    </w:p>
    <w:p w14:paraId="3609E319">
      <w:pPr>
        <w:ind w:firstLine="640" w:firstLineChars="200"/>
        <w:rPr>
          <w:rFonts w:hint="eastAsia" w:ascii="楷体_GB2312" w:hAnsi="Cambria" w:eastAsia="楷体_GB2312" w:cs="楷体_GB2312"/>
          <w:b/>
          <w:sz w:val="32"/>
          <w:szCs w:val="32"/>
          <w:lang w:val="zh-CN"/>
        </w:rPr>
      </w:pPr>
      <w:r>
        <w:rPr>
          <w:rFonts w:hint="eastAsia" w:ascii="黑体" w:hAnsi="黑体" w:eastAsia="黑体"/>
          <w:sz w:val="32"/>
          <w:szCs w:val="32"/>
          <w:lang w:val="zh-CN"/>
        </w:rPr>
        <w:t>五、存在主要问题</w:t>
      </w:r>
    </w:p>
    <w:p w14:paraId="28C1A7AE">
      <w:pPr>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5F8D1A23">
      <w:pPr>
        <w:keepNext/>
        <w:keepLines/>
        <w:spacing w:line="560" w:lineRule="exact"/>
        <w:ind w:firstLine="643" w:firstLineChars="200"/>
        <w:jc w:val="both"/>
        <w:rPr>
          <w:rFonts w:hint="eastAsia" w:ascii="楷体_GB2312" w:hAnsi="Cambria" w:eastAsia="楷体_GB2312" w:cs="楷体_GB2312"/>
          <w:b/>
          <w:sz w:val="32"/>
          <w:szCs w:val="32"/>
          <w:lang w:val="zh-CN"/>
        </w:rPr>
      </w:pPr>
      <w:r>
        <w:rPr>
          <w:rFonts w:hint="eastAsia" w:ascii="楷体_GB2312" w:hAnsi="Cambria" w:eastAsia="楷体_GB2312" w:cs="楷体_GB2312"/>
          <w:b/>
          <w:sz w:val="32"/>
          <w:szCs w:val="32"/>
          <w:lang w:val="en-US" w:eastAsia="zh-CN"/>
        </w:rPr>
        <w:t>六、改进</w:t>
      </w:r>
      <w:r>
        <w:rPr>
          <w:rFonts w:hint="eastAsia" w:ascii="楷体_GB2312" w:hAnsi="Cambria" w:eastAsia="楷体_GB2312" w:cs="楷体_GB2312"/>
          <w:b/>
          <w:sz w:val="32"/>
          <w:szCs w:val="32"/>
          <w:lang w:val="zh-CN"/>
        </w:rPr>
        <w:t>建议</w:t>
      </w:r>
    </w:p>
    <w:p w14:paraId="3600C9DF">
      <w:pPr>
        <w:keepNext/>
        <w:keepLines/>
        <w:spacing w:line="70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color w:val="auto"/>
          <w:sz w:val="32"/>
          <w:szCs w:val="32"/>
          <w:shd w:val="clear" w:color="auto" w:fill="FFFFFF"/>
          <w:lang w:val="en-US" w:eastAsia="zh-CN"/>
        </w:rPr>
        <w:t xml:space="preserve"> </w:t>
      </w:r>
      <w:r>
        <w:rPr>
          <w:rFonts w:hint="eastAsia" w:ascii="仿宋_GB2312" w:hAnsi="仿宋_GB2312" w:eastAsia="仿宋_GB2312" w:cs="仿宋_GB2312"/>
          <w:sz w:val="32"/>
          <w:szCs w:val="32"/>
          <w:lang w:val="en-US" w:eastAsia="zh-CN"/>
        </w:rPr>
        <w:t xml:space="preserve">   无。</w:t>
      </w:r>
    </w:p>
    <w:p w14:paraId="67A699CD">
      <w:pPr>
        <w:pStyle w:val="4"/>
        <w:jc w:val="center"/>
        <w:rPr>
          <w:rFonts w:hint="eastAsia" w:ascii="黑体" w:hAnsi="黑体" w:eastAsia="黑体"/>
        </w:rPr>
      </w:pPr>
    </w:p>
    <w:p w14:paraId="7F14A6B9">
      <w:pPr>
        <w:rPr>
          <w:rFonts w:hint="eastAsia" w:ascii="黑体" w:hAnsi="黑体" w:eastAsia="黑体"/>
        </w:rPr>
      </w:pPr>
    </w:p>
    <w:p w14:paraId="67E483AD">
      <w:pPr>
        <w:pStyle w:val="2"/>
        <w:rPr>
          <w:rFonts w:hint="eastAsia" w:ascii="黑体" w:hAnsi="黑体" w:eastAsia="黑体"/>
        </w:rPr>
      </w:pPr>
    </w:p>
    <w:p w14:paraId="12691ADD">
      <w:pPr>
        <w:pStyle w:val="2"/>
        <w:rPr>
          <w:rFonts w:hint="eastAsia" w:ascii="黑体" w:hAnsi="黑体" w:eastAsia="黑体"/>
        </w:rPr>
      </w:pPr>
    </w:p>
    <w:p w14:paraId="38287170">
      <w:pPr>
        <w:pStyle w:val="2"/>
        <w:rPr>
          <w:rFonts w:hint="eastAsia" w:ascii="黑体" w:hAnsi="黑体" w:eastAsia="黑体"/>
        </w:rPr>
      </w:pPr>
    </w:p>
    <w:p w14:paraId="713261D9">
      <w:pPr>
        <w:pStyle w:val="2"/>
        <w:rPr>
          <w:rFonts w:hint="eastAsia" w:ascii="黑体" w:hAnsi="黑体" w:eastAsia="黑体"/>
        </w:rPr>
      </w:pPr>
    </w:p>
    <w:p w14:paraId="4CCDB2BF">
      <w:pPr>
        <w:pStyle w:val="2"/>
        <w:rPr>
          <w:rFonts w:hint="eastAsia" w:ascii="黑体" w:hAnsi="黑体" w:eastAsia="黑体"/>
        </w:rPr>
      </w:pPr>
    </w:p>
    <w:p w14:paraId="34E3F99F">
      <w:pPr>
        <w:pStyle w:val="2"/>
        <w:rPr>
          <w:rFonts w:hint="eastAsia" w:ascii="黑体" w:hAnsi="黑体" w:eastAsia="黑体"/>
        </w:rPr>
      </w:pPr>
    </w:p>
    <w:p w14:paraId="6F35A3AA">
      <w:pPr>
        <w:pStyle w:val="2"/>
        <w:rPr>
          <w:rFonts w:hint="eastAsia" w:ascii="黑体" w:hAnsi="黑体" w:eastAsia="黑体"/>
        </w:rPr>
      </w:pPr>
    </w:p>
    <w:p w14:paraId="0CE975AD">
      <w:pPr>
        <w:pStyle w:val="2"/>
        <w:rPr>
          <w:rFonts w:hint="eastAsia" w:ascii="黑体" w:hAnsi="黑体" w:eastAsia="黑体"/>
        </w:rPr>
      </w:pPr>
    </w:p>
    <w:p w14:paraId="3F8AC292">
      <w:pPr>
        <w:pStyle w:val="2"/>
        <w:rPr>
          <w:rFonts w:hint="eastAsia" w:ascii="黑体" w:hAnsi="黑体" w:eastAsia="黑体"/>
        </w:rPr>
      </w:pPr>
    </w:p>
    <w:p w14:paraId="3254234E">
      <w:pPr>
        <w:pStyle w:val="2"/>
        <w:rPr>
          <w:rFonts w:hint="eastAsia" w:ascii="黑体" w:hAnsi="黑体" w:eastAsia="黑体"/>
        </w:rPr>
      </w:pPr>
    </w:p>
    <w:p w14:paraId="79DD747A">
      <w:pPr>
        <w:pStyle w:val="2"/>
        <w:rPr>
          <w:rFonts w:hint="eastAsia" w:ascii="黑体" w:hAnsi="黑体" w:eastAsia="黑体"/>
        </w:rPr>
      </w:pPr>
    </w:p>
    <w:p w14:paraId="60BB2E82">
      <w:pPr>
        <w:pStyle w:val="2"/>
        <w:rPr>
          <w:rFonts w:hint="eastAsia" w:ascii="黑体" w:hAnsi="黑体" w:eastAsia="黑体"/>
        </w:rPr>
      </w:pPr>
    </w:p>
    <w:p w14:paraId="068BD088">
      <w:pPr>
        <w:pStyle w:val="2"/>
        <w:rPr>
          <w:rFonts w:hint="eastAsia" w:ascii="黑体" w:hAnsi="黑体" w:eastAsia="黑体"/>
        </w:rPr>
      </w:pPr>
    </w:p>
    <w:p w14:paraId="3CBDFC46">
      <w:pPr>
        <w:pStyle w:val="4"/>
        <w:jc w:val="center"/>
        <w:rPr>
          <w:rFonts w:ascii="黑体" w:hAnsi="黑体" w:eastAsia="黑体"/>
        </w:rPr>
      </w:pPr>
      <w:bookmarkStart w:id="101" w:name="_Toc16674"/>
      <w:r>
        <w:rPr>
          <w:rFonts w:hint="eastAsia" w:ascii="黑体" w:hAnsi="黑体" w:eastAsia="黑体"/>
        </w:rPr>
        <w:t>第五部分 附表</w:t>
      </w:r>
      <w:bookmarkEnd w:id="101"/>
    </w:p>
    <w:p w14:paraId="7EAB8BFE">
      <w:pPr>
        <w:rPr>
          <w:rFonts w:ascii="仿宋" w:hAnsi="仿宋" w:eastAsia="仿宋"/>
          <w:sz w:val="32"/>
          <w:szCs w:val="32"/>
        </w:rPr>
      </w:pPr>
      <w:r>
        <w:rPr>
          <w:rFonts w:hint="eastAsia" w:ascii="仿宋" w:hAnsi="仿宋" w:eastAsia="仿宋"/>
          <w:sz w:val="32"/>
          <w:szCs w:val="32"/>
        </w:rPr>
        <w:t>一、收入支出决算总表</w:t>
      </w:r>
    </w:p>
    <w:p w14:paraId="7428C82E">
      <w:pPr>
        <w:rPr>
          <w:rFonts w:ascii="仿宋" w:hAnsi="仿宋" w:eastAsia="仿宋"/>
          <w:sz w:val="32"/>
          <w:szCs w:val="32"/>
        </w:rPr>
      </w:pPr>
      <w:r>
        <w:rPr>
          <w:rFonts w:hint="eastAsia" w:ascii="仿宋" w:hAnsi="仿宋" w:eastAsia="仿宋"/>
          <w:sz w:val="32"/>
          <w:szCs w:val="32"/>
        </w:rPr>
        <w:t>二、收入决算表</w:t>
      </w:r>
    </w:p>
    <w:p w14:paraId="7F24EF25">
      <w:pPr>
        <w:rPr>
          <w:rFonts w:ascii="仿宋" w:hAnsi="仿宋" w:eastAsia="仿宋"/>
          <w:sz w:val="32"/>
          <w:szCs w:val="32"/>
        </w:rPr>
      </w:pPr>
      <w:r>
        <w:rPr>
          <w:rFonts w:hint="eastAsia" w:ascii="仿宋" w:hAnsi="仿宋" w:eastAsia="仿宋"/>
          <w:sz w:val="32"/>
          <w:szCs w:val="32"/>
        </w:rPr>
        <w:t>三、支出决算表</w:t>
      </w:r>
    </w:p>
    <w:p w14:paraId="3381C9CB">
      <w:pPr>
        <w:rPr>
          <w:rFonts w:ascii="仿宋" w:hAnsi="仿宋" w:eastAsia="仿宋"/>
          <w:sz w:val="32"/>
          <w:szCs w:val="32"/>
        </w:rPr>
      </w:pPr>
      <w:r>
        <w:rPr>
          <w:rFonts w:hint="eastAsia" w:ascii="仿宋" w:hAnsi="仿宋" w:eastAsia="仿宋"/>
          <w:sz w:val="32"/>
          <w:szCs w:val="32"/>
        </w:rPr>
        <w:t>四、财政拨款收入支出决算总表</w:t>
      </w:r>
    </w:p>
    <w:p w14:paraId="52650A98">
      <w:pPr>
        <w:rPr>
          <w:rFonts w:ascii="仿宋" w:hAnsi="仿宋" w:eastAsia="仿宋"/>
          <w:sz w:val="32"/>
          <w:szCs w:val="32"/>
        </w:rPr>
      </w:pPr>
      <w:r>
        <w:rPr>
          <w:rFonts w:hint="eastAsia" w:ascii="仿宋" w:hAnsi="仿宋" w:eastAsia="仿宋"/>
          <w:sz w:val="32"/>
          <w:szCs w:val="32"/>
        </w:rPr>
        <w:t>五、财政拨款支出决算明细表</w:t>
      </w:r>
    </w:p>
    <w:p w14:paraId="0A895141">
      <w:pPr>
        <w:rPr>
          <w:rFonts w:ascii="仿宋" w:hAnsi="仿宋" w:eastAsia="仿宋"/>
          <w:sz w:val="32"/>
          <w:szCs w:val="32"/>
        </w:rPr>
      </w:pPr>
      <w:r>
        <w:rPr>
          <w:rFonts w:hint="eastAsia" w:ascii="仿宋" w:hAnsi="仿宋" w:eastAsia="仿宋"/>
          <w:sz w:val="32"/>
          <w:szCs w:val="32"/>
        </w:rPr>
        <w:t>六、一般公共预算财政拨款支出决算表</w:t>
      </w:r>
    </w:p>
    <w:p w14:paraId="5A0EC431">
      <w:pPr>
        <w:rPr>
          <w:rFonts w:ascii="仿宋" w:hAnsi="仿宋" w:eastAsia="仿宋"/>
          <w:sz w:val="32"/>
          <w:szCs w:val="32"/>
        </w:rPr>
      </w:pPr>
      <w:r>
        <w:rPr>
          <w:rFonts w:hint="eastAsia" w:ascii="仿宋" w:hAnsi="仿宋" w:eastAsia="仿宋"/>
          <w:sz w:val="32"/>
          <w:szCs w:val="32"/>
        </w:rPr>
        <w:t>七、一般公共预算财政拨款支出决算明细表</w:t>
      </w:r>
    </w:p>
    <w:p w14:paraId="0A823BBE">
      <w:pPr>
        <w:rPr>
          <w:rFonts w:ascii="仿宋" w:hAnsi="仿宋" w:eastAsia="仿宋"/>
          <w:sz w:val="32"/>
          <w:szCs w:val="32"/>
        </w:rPr>
      </w:pPr>
      <w:r>
        <w:rPr>
          <w:rFonts w:hint="eastAsia" w:ascii="仿宋" w:hAnsi="仿宋" w:eastAsia="仿宋"/>
          <w:sz w:val="32"/>
          <w:szCs w:val="32"/>
        </w:rPr>
        <w:t>八、一般公共预算财政拨款基本支出决算表</w:t>
      </w:r>
    </w:p>
    <w:p w14:paraId="0FC7A084">
      <w:pPr>
        <w:rPr>
          <w:rFonts w:ascii="仿宋" w:hAnsi="仿宋" w:eastAsia="仿宋"/>
          <w:sz w:val="32"/>
          <w:szCs w:val="32"/>
        </w:rPr>
      </w:pPr>
      <w:r>
        <w:rPr>
          <w:rFonts w:hint="eastAsia" w:ascii="仿宋" w:hAnsi="仿宋" w:eastAsia="仿宋"/>
          <w:sz w:val="32"/>
          <w:szCs w:val="32"/>
        </w:rPr>
        <w:t>九、一般公共预算财政拨款项目支出决算表</w:t>
      </w:r>
    </w:p>
    <w:p w14:paraId="0C44EF84">
      <w:pPr>
        <w:rPr>
          <w:rFonts w:ascii="仿宋" w:hAnsi="仿宋" w:eastAsia="仿宋"/>
          <w:sz w:val="32"/>
          <w:szCs w:val="32"/>
        </w:rPr>
      </w:pPr>
      <w:r>
        <w:rPr>
          <w:rFonts w:hint="eastAsia" w:ascii="仿宋" w:hAnsi="仿宋" w:eastAsia="仿宋"/>
          <w:sz w:val="32"/>
          <w:szCs w:val="32"/>
        </w:rPr>
        <w:t>十、政府性基金预算财政拨款收入支出决算表</w:t>
      </w:r>
    </w:p>
    <w:p w14:paraId="6863D703">
      <w:pPr>
        <w:rPr>
          <w:rFonts w:ascii="仿宋" w:hAnsi="仿宋" w:eastAsia="仿宋"/>
          <w:sz w:val="32"/>
          <w:szCs w:val="32"/>
        </w:rPr>
      </w:pPr>
      <w:r>
        <w:rPr>
          <w:rFonts w:hint="eastAsia" w:ascii="仿宋" w:hAnsi="仿宋" w:eastAsia="仿宋"/>
          <w:sz w:val="32"/>
          <w:szCs w:val="32"/>
        </w:rPr>
        <w:t>十一、国有资本经营预算财政拨款收入支出决算表</w:t>
      </w:r>
    </w:p>
    <w:p w14:paraId="013CF781">
      <w:pPr>
        <w:rPr>
          <w:rFonts w:ascii="仿宋" w:hAnsi="仿宋" w:eastAsia="仿宋"/>
          <w:sz w:val="32"/>
          <w:szCs w:val="32"/>
        </w:rPr>
      </w:pPr>
      <w:r>
        <w:rPr>
          <w:rFonts w:hint="eastAsia" w:ascii="仿宋" w:hAnsi="仿宋" w:eastAsia="仿宋"/>
          <w:sz w:val="32"/>
          <w:szCs w:val="32"/>
        </w:rPr>
        <w:t>十二、国有资本经营预算财政拨款支出决算表</w:t>
      </w:r>
    </w:p>
    <w:p w14:paraId="27B85F54">
      <w:pPr>
        <w:rPr>
          <w:rFonts w:ascii="仿宋" w:hAnsi="仿宋" w:eastAsia="仿宋"/>
          <w:sz w:val="32"/>
          <w:szCs w:val="32"/>
        </w:rPr>
      </w:pPr>
      <w:r>
        <w:rPr>
          <w:rFonts w:hint="eastAsia" w:ascii="仿宋" w:hAnsi="仿宋" w:eastAsia="仿宋"/>
          <w:sz w:val="32"/>
          <w:szCs w:val="32"/>
        </w:rPr>
        <w:t>十三、财政拨款“三公”经费支出决算表</w:t>
      </w:r>
    </w:p>
    <w:sectPr>
      <w:footerReference r:id="rId7" w:type="default"/>
      <w:pgSz w:w="11906" w:h="16838"/>
      <w:pgMar w:top="1440" w:right="1800" w:bottom="1440" w:left="1800" w:header="851" w:footer="992" w:gutter="0"/>
      <w:pgNumType w:start="1"/>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ZJ" w:date="2024-10-23T10:53:19Z" w:initials="C">
    <w:p w14:paraId="0D66368E">
      <w:pPr>
        <w:pStyle w:val="7"/>
        <w:rPr>
          <w:rFonts w:hint="default" w:eastAsia="宋体"/>
          <w:lang w:val="en-US" w:eastAsia="zh-CN"/>
        </w:rPr>
      </w:pPr>
      <w:r>
        <w:rPr>
          <w:rFonts w:hint="eastAsia"/>
          <w:lang w:val="en-US" w:eastAsia="zh-CN"/>
        </w:rPr>
        <w:t>需要简要说明具体原因</w:t>
      </w:r>
    </w:p>
  </w:comment>
  <w:comment w:id="1" w:author="CZJ" w:date="2024-10-23T10:54:12Z" w:initials="C">
    <w:p w14:paraId="75EF7983">
      <w:pPr>
        <w:pStyle w:val="7"/>
        <w:rPr>
          <w:rFonts w:hint="default" w:eastAsia="宋体"/>
          <w:lang w:val="en-US" w:eastAsia="zh-CN"/>
        </w:rPr>
      </w:pPr>
      <w:r>
        <w:rPr>
          <w:rFonts w:hint="eastAsia"/>
          <w:lang w:val="en-US" w:eastAsia="zh-CN"/>
        </w:rPr>
        <w:t>柱状图中删除增量和百分比</w:t>
      </w:r>
    </w:p>
  </w:comment>
  <w:comment w:id="2" w:author="CZJ" w:date="2024-10-23T10:59:02Z" w:initials="C">
    <w:p w14:paraId="2C494657">
      <w:pPr>
        <w:pStyle w:val="7"/>
        <w:rPr>
          <w:rFonts w:hint="default" w:eastAsia="宋体"/>
          <w:lang w:val="en-US" w:eastAsia="zh-CN"/>
        </w:rPr>
      </w:pPr>
      <w:r>
        <w:rPr>
          <w:rFonts w:hint="eastAsia"/>
          <w:lang w:val="en-US" w:eastAsia="zh-CN"/>
        </w:rPr>
        <w:t>结构图上请注明比例</w:t>
      </w:r>
    </w:p>
  </w:comment>
  <w:comment w:id="3" w:author="CZJ" w:date="2024-10-23T11:00:08Z" w:initials="C">
    <w:p w14:paraId="2FFF3C61">
      <w:pPr>
        <w:pStyle w:val="7"/>
        <w:rPr>
          <w:rFonts w:hint="default" w:eastAsia="宋体"/>
          <w:lang w:val="en-US" w:eastAsia="zh-CN"/>
        </w:rPr>
      </w:pPr>
      <w:r>
        <w:rPr>
          <w:rFonts w:hint="eastAsia"/>
          <w:lang w:val="en-US" w:eastAsia="zh-CN"/>
        </w:rPr>
        <w:t>柱状图中删除增量和百分比</w:t>
      </w:r>
    </w:p>
    <w:p w14:paraId="288F6C69">
      <w:pPr>
        <w:pStyle w:val="7"/>
      </w:pPr>
    </w:p>
  </w:comment>
  <w:comment w:id="4" w:author="CZJ" w:date="2024-10-23T11:00:21Z" w:initials="C">
    <w:p w14:paraId="22CD3A61">
      <w:pPr>
        <w:pStyle w:val="7"/>
        <w:rPr>
          <w:rFonts w:hint="default" w:eastAsia="宋体"/>
          <w:lang w:val="en-US" w:eastAsia="zh-CN"/>
        </w:rPr>
      </w:pPr>
      <w:r>
        <w:rPr>
          <w:rFonts w:hint="eastAsia"/>
          <w:lang w:val="en-US" w:eastAsia="zh-CN"/>
        </w:rPr>
        <w:t>柱状图中删除增量和百分比</w:t>
      </w:r>
    </w:p>
    <w:p w14:paraId="261E7DD1">
      <w:pPr>
        <w:pStyle w:val="7"/>
      </w:pPr>
    </w:p>
  </w:comment>
  <w:comment w:id="5" w:author="CZJ" w:date="2024-10-23T11:00:32Z" w:initials="C">
    <w:p w14:paraId="489C5E9D">
      <w:pPr>
        <w:pStyle w:val="7"/>
        <w:rPr>
          <w:rFonts w:hint="default" w:eastAsia="宋体"/>
          <w:lang w:val="en-US" w:eastAsia="zh-CN"/>
        </w:rPr>
      </w:pPr>
      <w:r>
        <w:rPr>
          <w:rFonts w:hint="eastAsia"/>
          <w:lang w:val="en-US" w:eastAsia="zh-CN"/>
        </w:rPr>
        <w:t>结构图中添加比例</w:t>
      </w:r>
    </w:p>
  </w:comment>
  <w:comment w:id="6" w:author="CZJ" w:date="2024-10-23T11:00:56Z" w:initials="C">
    <w:p w14:paraId="61721916">
      <w:pPr>
        <w:pStyle w:val="7"/>
        <w:rPr>
          <w:rFonts w:hint="default" w:eastAsia="宋体"/>
          <w:lang w:val="en-US" w:eastAsia="zh-CN"/>
        </w:rPr>
      </w:pPr>
      <w:r>
        <w:rPr>
          <w:rFonts w:hint="eastAsia"/>
          <w:lang w:val="en-US" w:eastAsia="zh-CN"/>
        </w:rPr>
        <w:t>添加单位</w:t>
      </w:r>
    </w:p>
  </w:comment>
  <w:comment w:id="7" w:author="CZJ" w:date="2024-10-23T11:03:12Z" w:initials="C">
    <w:p w14:paraId="32E66B72">
      <w:pPr>
        <w:pStyle w:val="7"/>
        <w:rPr>
          <w:rFonts w:hint="default" w:eastAsia="宋体"/>
          <w:lang w:val="en-US" w:eastAsia="zh-CN"/>
        </w:rPr>
      </w:pPr>
      <w:r>
        <w:rPr>
          <w:rFonts w:hint="eastAsia"/>
          <w:lang w:val="en-US" w:eastAsia="zh-CN"/>
        </w:rPr>
        <w:t>为0项不能删除，请补充完整</w:t>
      </w:r>
    </w:p>
  </w:comment>
  <w:comment w:id="8" w:author="CZJ" w:date="2024-10-23T11:25:54Z" w:initials="C">
    <w:p w14:paraId="71F0401D">
      <w:pPr>
        <w:pStyle w:val="7"/>
        <w:rPr>
          <w:rFonts w:hint="default" w:eastAsia="宋体"/>
          <w:lang w:val="en-US" w:eastAsia="zh-CN"/>
        </w:rPr>
      </w:pPr>
      <w:r>
        <w:rPr>
          <w:rFonts w:hint="eastAsia"/>
          <w:lang w:val="en-US" w:eastAsia="zh-CN"/>
        </w:rPr>
        <w:t>原则上应对所有项目开展绩效监控，请核实</w:t>
      </w:r>
    </w:p>
  </w:comment>
  <w:comment w:id="9" w:author="CZJ" w:date="2024-10-23T11:26:57Z" w:initials="C">
    <w:p w14:paraId="7F4F0384">
      <w:pPr>
        <w:pStyle w:val="7"/>
        <w:rPr>
          <w:rFonts w:hint="default" w:eastAsia="宋体"/>
          <w:lang w:val="en-US" w:eastAsia="zh-CN"/>
        </w:rPr>
      </w:pPr>
      <w:r>
        <w:rPr>
          <w:rFonts w:hint="eastAsia"/>
          <w:lang w:val="en-US" w:eastAsia="zh-CN"/>
        </w:rPr>
        <w:t>未写报告</w:t>
      </w:r>
    </w:p>
  </w:comment>
  <w:comment w:id="10" w:author="CZJ" w:date="2024-10-23T11:15:44Z" w:initials="C">
    <w:p w14:paraId="0677494A">
      <w:pPr>
        <w:pStyle w:val="7"/>
        <w:rPr>
          <w:rFonts w:hint="default" w:eastAsia="宋体"/>
          <w:lang w:val="en-US" w:eastAsia="zh-CN"/>
        </w:rPr>
      </w:pPr>
      <w:r>
        <w:rPr>
          <w:rFonts w:hint="eastAsia"/>
          <w:lang w:val="en-US" w:eastAsia="zh-CN"/>
        </w:rPr>
        <w:t>格式请修改，正式公开时请全文检查格式</w:t>
      </w:r>
    </w:p>
  </w:comment>
  <w:comment w:id="11" w:author="CZJ" w:date="2024-10-23T11:17:25Z" w:initials="C">
    <w:p w14:paraId="18D74402">
      <w:pPr>
        <w:pStyle w:val="7"/>
        <w:rPr>
          <w:rFonts w:hint="default" w:eastAsia="宋体"/>
          <w:lang w:val="en-US" w:eastAsia="zh-CN"/>
        </w:rPr>
      </w:pPr>
      <w:r>
        <w:rPr>
          <w:rFonts w:hint="eastAsia"/>
          <w:lang w:val="en-US" w:eastAsia="zh-CN"/>
        </w:rPr>
        <w:t>建议详细描述</w:t>
      </w:r>
    </w:p>
  </w:comment>
  <w:comment w:id="12" w:author="CZJ" w:date="2024-10-23T11:20:11Z" w:initials="C">
    <w:p w14:paraId="50396BE8">
      <w:pPr>
        <w:pStyle w:val="7"/>
        <w:rPr>
          <w:rFonts w:hint="default" w:eastAsia="宋体"/>
          <w:lang w:val="en-US" w:eastAsia="zh-CN"/>
        </w:rPr>
      </w:pPr>
      <w:r>
        <w:rPr>
          <w:rFonts w:hint="eastAsia"/>
          <w:lang w:val="en-US" w:eastAsia="zh-CN"/>
        </w:rPr>
        <w:t>请按范本内容补充完整</w:t>
      </w:r>
    </w:p>
  </w:comment>
  <w:comment w:id="13" w:author="CZJ" w:date="2024-10-23T11:23:04Z" w:initials="C">
    <w:p w14:paraId="1953542C">
      <w:pPr>
        <w:pStyle w:val="7"/>
        <w:rPr>
          <w:rFonts w:hint="default" w:eastAsia="宋体"/>
          <w:lang w:val="en-US" w:eastAsia="zh-CN"/>
        </w:rPr>
      </w:pPr>
      <w:r>
        <w:rPr>
          <w:rFonts w:hint="eastAsia"/>
          <w:lang w:val="en-US" w:eastAsia="zh-CN"/>
        </w:rPr>
        <w:t>调整后预算数为0？请核实，下同</w:t>
      </w:r>
    </w:p>
  </w:comment>
  <w:comment w:id="14" w:author="CZJ" w:date="2024-10-23T11:25:12Z" w:initials="C">
    <w:p w14:paraId="0FC96BCB">
      <w:pPr>
        <w:pStyle w:val="7"/>
        <w:rPr>
          <w:rFonts w:hint="default" w:eastAsia="宋体"/>
          <w:lang w:val="en-US" w:eastAsia="zh-CN"/>
        </w:rPr>
      </w:pPr>
      <w:r>
        <w:rPr>
          <w:rFonts w:hint="eastAsia"/>
          <w:lang w:val="en-US" w:eastAsia="zh-CN"/>
        </w:rPr>
        <w:t>遗漏附件2，需写专项预算项目绩效评价报告</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D66368E" w15:done="1"/>
  <w15:commentEx w15:paraId="75EF7983" w15:done="0"/>
  <w15:commentEx w15:paraId="2C494657" w15:done="0"/>
  <w15:commentEx w15:paraId="288F6C69" w15:done="0"/>
  <w15:commentEx w15:paraId="261E7DD1" w15:done="0"/>
  <w15:commentEx w15:paraId="489C5E9D" w15:done="0"/>
  <w15:commentEx w15:paraId="61721916" w15:done="0"/>
  <w15:commentEx w15:paraId="32E66B72" w15:done="0"/>
  <w15:commentEx w15:paraId="71F0401D" w15:done="0"/>
  <w15:commentEx w15:paraId="7F4F0384" w15:done="0"/>
  <w15:commentEx w15:paraId="0677494A" w15:done="0"/>
  <w15:commentEx w15:paraId="18D74402" w15:done="0"/>
  <w15:commentEx w15:paraId="50396BE8" w15:done="0"/>
  <w15:commentEx w15:paraId="1953542C" w15:done="0"/>
  <w15:commentEx w15:paraId="0FC96B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31BD6C49">
        <w:pPr>
          <w:pStyle w:val="11"/>
          <w:jc w:val="center"/>
        </w:pPr>
        <w:r>
          <w:fldChar w:fldCharType="begin"/>
        </w:r>
        <w:r>
          <w:instrText xml:space="preserve">PAGE   \* MERGEFORMAT</w:instrText>
        </w:r>
        <w:r>
          <w:fldChar w:fldCharType="separate"/>
        </w:r>
        <w:r>
          <w:rPr>
            <w:lang w:val="zh-CN"/>
          </w:rPr>
          <w:t>23</w:t>
        </w:r>
        <w:r>
          <w:fldChar w:fldCharType="end"/>
        </w:r>
      </w:p>
    </w:sdtContent>
  </w:sdt>
  <w:p w14:paraId="68E1FD1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1989C">
    <w:pPr>
      <w:pStyle w:val="11"/>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FA0ACE">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EFA0ACE">
                    <w:pPr>
                      <w:pStyle w:val="11"/>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AC7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20D3A"/>
    <w:multiLevelType w:val="singleLevel"/>
    <w:tmpl w:val="82120D3A"/>
    <w:lvl w:ilvl="0" w:tentative="0">
      <w:start w:val="3"/>
      <w:numFmt w:val="chineseCounting"/>
      <w:suff w:val="nothing"/>
      <w:lvlText w:val="（%1）"/>
      <w:lvlJc w:val="left"/>
      <w:rPr>
        <w:rFonts w:hint="eastAsia"/>
      </w:rPr>
    </w:lvl>
  </w:abstractNum>
  <w:abstractNum w:abstractNumId="1">
    <w:nsid w:val="9272FCAD"/>
    <w:multiLevelType w:val="singleLevel"/>
    <w:tmpl w:val="9272FCAD"/>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20DBCCE"/>
    <w:multiLevelType w:val="singleLevel"/>
    <w:tmpl w:val="D20DBCCE"/>
    <w:lvl w:ilvl="0" w:tentative="0">
      <w:start w:val="1"/>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1B49A390"/>
    <w:multiLevelType w:val="singleLevel"/>
    <w:tmpl w:val="1B49A390"/>
    <w:lvl w:ilvl="0" w:tentative="0">
      <w:start w:val="2"/>
      <w:numFmt w:val="chineseCounting"/>
      <w:suff w:val="nothing"/>
      <w:lvlText w:val="（%1）"/>
      <w:lvlJc w:val="left"/>
      <w:rPr>
        <w:rFonts w:hint="eastAsia"/>
      </w:rPr>
    </w:lvl>
  </w:abstractNum>
  <w:abstractNum w:abstractNumId="7">
    <w:nsid w:val="26E67BB1"/>
    <w:multiLevelType w:val="singleLevel"/>
    <w:tmpl w:val="26E67BB1"/>
    <w:lvl w:ilvl="0" w:tentative="0">
      <w:start w:val="2"/>
      <w:numFmt w:val="chineseCounting"/>
      <w:suff w:val="nothing"/>
      <w:lvlText w:val="（%1）"/>
      <w:lvlJc w:val="left"/>
      <w:rPr>
        <w:rFonts w:hint="eastAsia"/>
      </w:r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ZJ">
    <w15:presenceInfo w15:providerId="None" w15:userId="C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1OTE0MWYzYjIyYjI2NTJiMzJiOWE1OTY2YWVmZjgifQ=="/>
    <w:docVar w:name="KSO_WPS_MARK_KEY" w:val="f7d198dc-a76b-4761-9266-6d0b92480739"/>
  </w:docVars>
  <w:rsids>
    <w:rsidRoot w:val="00F1361C"/>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5975B8"/>
    <w:rsid w:val="02FEBE30"/>
    <w:rsid w:val="036F8141"/>
    <w:rsid w:val="066E0107"/>
    <w:rsid w:val="07996F6E"/>
    <w:rsid w:val="07DFD8BA"/>
    <w:rsid w:val="0A2032A3"/>
    <w:rsid w:val="0D35B1ED"/>
    <w:rsid w:val="0E7ED1F5"/>
    <w:rsid w:val="0F98263C"/>
    <w:rsid w:val="101860EC"/>
    <w:rsid w:val="10C055FF"/>
    <w:rsid w:val="118107EC"/>
    <w:rsid w:val="118A35AD"/>
    <w:rsid w:val="1226519C"/>
    <w:rsid w:val="1248264A"/>
    <w:rsid w:val="13D50BC4"/>
    <w:rsid w:val="13F5616D"/>
    <w:rsid w:val="16BB723D"/>
    <w:rsid w:val="17F9714D"/>
    <w:rsid w:val="1918F934"/>
    <w:rsid w:val="1AA932A4"/>
    <w:rsid w:val="1BE8440E"/>
    <w:rsid w:val="1D155CEE"/>
    <w:rsid w:val="1DFBC4B3"/>
    <w:rsid w:val="1E740ACF"/>
    <w:rsid w:val="1F19C781"/>
    <w:rsid w:val="1F33FCE5"/>
    <w:rsid w:val="1F7F7398"/>
    <w:rsid w:val="1FD2DB6F"/>
    <w:rsid w:val="1FF35744"/>
    <w:rsid w:val="1FF6BC77"/>
    <w:rsid w:val="1FF9236D"/>
    <w:rsid w:val="2333840E"/>
    <w:rsid w:val="23860B96"/>
    <w:rsid w:val="240371BF"/>
    <w:rsid w:val="257C638F"/>
    <w:rsid w:val="27A26C1B"/>
    <w:rsid w:val="29FD04D3"/>
    <w:rsid w:val="2BFF7BC6"/>
    <w:rsid w:val="2C8A61B5"/>
    <w:rsid w:val="2CD59C95"/>
    <w:rsid w:val="2DF04E50"/>
    <w:rsid w:val="2EA67E6A"/>
    <w:rsid w:val="2EFD05E5"/>
    <w:rsid w:val="2F040D46"/>
    <w:rsid w:val="2F4F95CE"/>
    <w:rsid w:val="2FACAFDD"/>
    <w:rsid w:val="2FAE5751"/>
    <w:rsid w:val="2FB1A395"/>
    <w:rsid w:val="2FCF0B76"/>
    <w:rsid w:val="2FD9A7D8"/>
    <w:rsid w:val="30C60888"/>
    <w:rsid w:val="31140EAC"/>
    <w:rsid w:val="319F7F4E"/>
    <w:rsid w:val="3304709D"/>
    <w:rsid w:val="36522770"/>
    <w:rsid w:val="36AA5135"/>
    <w:rsid w:val="36BE0DA7"/>
    <w:rsid w:val="376B6AA6"/>
    <w:rsid w:val="376D39B2"/>
    <w:rsid w:val="37E16F03"/>
    <w:rsid w:val="37F53A3B"/>
    <w:rsid w:val="38D469F0"/>
    <w:rsid w:val="38F78389"/>
    <w:rsid w:val="397BAF1F"/>
    <w:rsid w:val="39E7B272"/>
    <w:rsid w:val="39F7642F"/>
    <w:rsid w:val="39FF7B37"/>
    <w:rsid w:val="3AB79AF3"/>
    <w:rsid w:val="3AFDCB77"/>
    <w:rsid w:val="3B7EF35A"/>
    <w:rsid w:val="3B9FDB6C"/>
    <w:rsid w:val="3BF5BC2F"/>
    <w:rsid w:val="3BF7C23A"/>
    <w:rsid w:val="3BFF223E"/>
    <w:rsid w:val="3C5345FD"/>
    <w:rsid w:val="3C6EC0A1"/>
    <w:rsid w:val="3CDB0824"/>
    <w:rsid w:val="3CEBA265"/>
    <w:rsid w:val="3D6A7F9F"/>
    <w:rsid w:val="3D7E7F4D"/>
    <w:rsid w:val="3D98207C"/>
    <w:rsid w:val="3D9CF30A"/>
    <w:rsid w:val="3DFF5A3E"/>
    <w:rsid w:val="3E78745D"/>
    <w:rsid w:val="3EEE77E9"/>
    <w:rsid w:val="3F394AF5"/>
    <w:rsid w:val="3FBE5714"/>
    <w:rsid w:val="3FD12C67"/>
    <w:rsid w:val="3FDD8615"/>
    <w:rsid w:val="3FDFB2FF"/>
    <w:rsid w:val="3FF4CAE0"/>
    <w:rsid w:val="3FF75FAF"/>
    <w:rsid w:val="3FF7B227"/>
    <w:rsid w:val="426B25D4"/>
    <w:rsid w:val="44E268DA"/>
    <w:rsid w:val="457F4F6B"/>
    <w:rsid w:val="46EB05C4"/>
    <w:rsid w:val="4737FB58"/>
    <w:rsid w:val="47ECCB02"/>
    <w:rsid w:val="47FA6A3F"/>
    <w:rsid w:val="49D7AE48"/>
    <w:rsid w:val="4A3F6C7E"/>
    <w:rsid w:val="4A627F82"/>
    <w:rsid w:val="4B0E749A"/>
    <w:rsid w:val="4B4F25DA"/>
    <w:rsid w:val="4BBB4781"/>
    <w:rsid w:val="4BD709A5"/>
    <w:rsid w:val="4BDD9BFF"/>
    <w:rsid w:val="4BE068DB"/>
    <w:rsid w:val="4D577224"/>
    <w:rsid w:val="4DBF1CEB"/>
    <w:rsid w:val="4DBF6A6B"/>
    <w:rsid w:val="4DF6A672"/>
    <w:rsid w:val="4EAB630A"/>
    <w:rsid w:val="4ECE2238"/>
    <w:rsid w:val="4F7EA413"/>
    <w:rsid w:val="4FAB812F"/>
    <w:rsid w:val="4FE9BD67"/>
    <w:rsid w:val="4FEE4C07"/>
    <w:rsid w:val="4FFB052F"/>
    <w:rsid w:val="537E6D0A"/>
    <w:rsid w:val="53AB6B88"/>
    <w:rsid w:val="53F74C96"/>
    <w:rsid w:val="54B173BA"/>
    <w:rsid w:val="54C94F38"/>
    <w:rsid w:val="5583522D"/>
    <w:rsid w:val="57BD3DD4"/>
    <w:rsid w:val="57F9CD1E"/>
    <w:rsid w:val="5A717B3B"/>
    <w:rsid w:val="5AF92295"/>
    <w:rsid w:val="5AF9D8E9"/>
    <w:rsid w:val="5BDD38BD"/>
    <w:rsid w:val="5BDD79E6"/>
    <w:rsid w:val="5BEFC772"/>
    <w:rsid w:val="5BFF5DFC"/>
    <w:rsid w:val="5CD71FC4"/>
    <w:rsid w:val="5D1F11B5"/>
    <w:rsid w:val="5D3647F9"/>
    <w:rsid w:val="5DA644D4"/>
    <w:rsid w:val="5DAE1B18"/>
    <w:rsid w:val="5DE7D9E5"/>
    <w:rsid w:val="5ECEC941"/>
    <w:rsid w:val="5EFF8FC6"/>
    <w:rsid w:val="5F5BA39A"/>
    <w:rsid w:val="5F7D3B79"/>
    <w:rsid w:val="5F7F4610"/>
    <w:rsid w:val="5FBF9FF3"/>
    <w:rsid w:val="5FCD4E2C"/>
    <w:rsid w:val="5FEF394A"/>
    <w:rsid w:val="5FF67715"/>
    <w:rsid w:val="61CA71D5"/>
    <w:rsid w:val="62051CA5"/>
    <w:rsid w:val="627EE9EA"/>
    <w:rsid w:val="63B23AA5"/>
    <w:rsid w:val="647F5392"/>
    <w:rsid w:val="64E322C4"/>
    <w:rsid w:val="651A60D6"/>
    <w:rsid w:val="65FB93B9"/>
    <w:rsid w:val="6633C463"/>
    <w:rsid w:val="67A930D3"/>
    <w:rsid w:val="67D55B77"/>
    <w:rsid w:val="67EE7F84"/>
    <w:rsid w:val="686F5F53"/>
    <w:rsid w:val="6AFFCEAF"/>
    <w:rsid w:val="6B96E9E6"/>
    <w:rsid w:val="6BCE57B5"/>
    <w:rsid w:val="6BFEA4DB"/>
    <w:rsid w:val="6BFFB662"/>
    <w:rsid w:val="6C4A05C8"/>
    <w:rsid w:val="6C920A64"/>
    <w:rsid w:val="6CFF4FB8"/>
    <w:rsid w:val="6D6BD6E0"/>
    <w:rsid w:val="6D77E73C"/>
    <w:rsid w:val="6DAA65E2"/>
    <w:rsid w:val="6DBF5E93"/>
    <w:rsid w:val="6DFF077E"/>
    <w:rsid w:val="6E7E3605"/>
    <w:rsid w:val="6E7FDCC7"/>
    <w:rsid w:val="6ED6A62E"/>
    <w:rsid w:val="6EE00B15"/>
    <w:rsid w:val="6EE737B2"/>
    <w:rsid w:val="6EEB2329"/>
    <w:rsid w:val="6EECE67A"/>
    <w:rsid w:val="6F6F90A8"/>
    <w:rsid w:val="6F6FB3EB"/>
    <w:rsid w:val="6F8731EA"/>
    <w:rsid w:val="6FBC2ADD"/>
    <w:rsid w:val="6FD57C00"/>
    <w:rsid w:val="6FEFFFD8"/>
    <w:rsid w:val="6FF5CC65"/>
    <w:rsid w:val="6FFB47EC"/>
    <w:rsid w:val="6FFF034A"/>
    <w:rsid w:val="7039507E"/>
    <w:rsid w:val="712A28F1"/>
    <w:rsid w:val="715C0E4B"/>
    <w:rsid w:val="71FFD401"/>
    <w:rsid w:val="72233669"/>
    <w:rsid w:val="72734D90"/>
    <w:rsid w:val="7332FE48"/>
    <w:rsid w:val="73AD73D5"/>
    <w:rsid w:val="73B6EB34"/>
    <w:rsid w:val="73FA497D"/>
    <w:rsid w:val="744731E5"/>
    <w:rsid w:val="74BBD01D"/>
    <w:rsid w:val="74ED5379"/>
    <w:rsid w:val="75DEEEC2"/>
    <w:rsid w:val="767F479D"/>
    <w:rsid w:val="76E3355F"/>
    <w:rsid w:val="76F742AF"/>
    <w:rsid w:val="76F7BE7D"/>
    <w:rsid w:val="76FF5125"/>
    <w:rsid w:val="773570D3"/>
    <w:rsid w:val="77597F31"/>
    <w:rsid w:val="776F6FFA"/>
    <w:rsid w:val="7777A522"/>
    <w:rsid w:val="777E3965"/>
    <w:rsid w:val="77858688"/>
    <w:rsid w:val="778769C8"/>
    <w:rsid w:val="77CB741A"/>
    <w:rsid w:val="77D7BE3A"/>
    <w:rsid w:val="77DC22F5"/>
    <w:rsid w:val="797E3A6C"/>
    <w:rsid w:val="79CF70E2"/>
    <w:rsid w:val="79D7FD79"/>
    <w:rsid w:val="79E75806"/>
    <w:rsid w:val="79EE5BA4"/>
    <w:rsid w:val="7A641148"/>
    <w:rsid w:val="7A6F8BF5"/>
    <w:rsid w:val="7A894339"/>
    <w:rsid w:val="7ACF82B5"/>
    <w:rsid w:val="7AFF28C9"/>
    <w:rsid w:val="7AFF72A0"/>
    <w:rsid w:val="7AFF7572"/>
    <w:rsid w:val="7B5B24DE"/>
    <w:rsid w:val="7B6C7DFB"/>
    <w:rsid w:val="7B7D76A7"/>
    <w:rsid w:val="7BAE2FE2"/>
    <w:rsid w:val="7BAF6951"/>
    <w:rsid w:val="7BBFBED0"/>
    <w:rsid w:val="7BC3E394"/>
    <w:rsid w:val="7BF3FE4C"/>
    <w:rsid w:val="7BFB5035"/>
    <w:rsid w:val="7BFDE17E"/>
    <w:rsid w:val="7CBFC87B"/>
    <w:rsid w:val="7CD14E1B"/>
    <w:rsid w:val="7CFE0F48"/>
    <w:rsid w:val="7D3DE31C"/>
    <w:rsid w:val="7D7EC23E"/>
    <w:rsid w:val="7D7F8A13"/>
    <w:rsid w:val="7DBBCB01"/>
    <w:rsid w:val="7DC765D0"/>
    <w:rsid w:val="7DDB0EE0"/>
    <w:rsid w:val="7DFF51D8"/>
    <w:rsid w:val="7E634199"/>
    <w:rsid w:val="7E8ADEBF"/>
    <w:rsid w:val="7EDB463E"/>
    <w:rsid w:val="7EEF11D3"/>
    <w:rsid w:val="7EF78C20"/>
    <w:rsid w:val="7F3F679B"/>
    <w:rsid w:val="7F4FC4EF"/>
    <w:rsid w:val="7F5E4D54"/>
    <w:rsid w:val="7F6B75FA"/>
    <w:rsid w:val="7F9F518D"/>
    <w:rsid w:val="7FA30C79"/>
    <w:rsid w:val="7FAF8ABF"/>
    <w:rsid w:val="7FB61C6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200" w:leftChars="200"/>
    </w:pPr>
    <w:rPr>
      <w:rFonts w:ascii="仿宋_GB2312"/>
      <w:szCs w:val="32"/>
    </w:rPr>
  </w:style>
  <w:style w:type="paragraph" w:styleId="7">
    <w:name w:val="annotation text"/>
    <w:basedOn w:val="1"/>
    <w:semiHidden/>
    <w:unhideWhenUsed/>
    <w:qFormat/>
    <w:uiPriority w:val="99"/>
    <w:pPr>
      <w:jc w:val="left"/>
    </w:p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unhideWhenUsed/>
    <w:qFormat/>
    <w:uiPriority w:val="0"/>
    <w:pPr>
      <w:spacing w:before="100" w:beforeAutospacing="1" w:after="100" w:afterAutospacing="1"/>
    </w:pPr>
    <w:rPr>
      <w:rFonts w:hint="default"/>
      <w:sz w:val="24"/>
      <w:szCs w:val="24"/>
      <w:lang w:val="en-US" w:eastAsia="zh-CN"/>
    </w:r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字符"/>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字符"/>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字符"/>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字符"/>
    <w:basedOn w:val="17"/>
    <w:link w:val="4"/>
    <w:qFormat/>
    <w:uiPriority w:val="9"/>
    <w:rPr>
      <w:rFonts w:ascii="Times New Roman" w:hAnsi="Times New Roman"/>
      <w:b/>
      <w:bCs/>
      <w:kern w:val="44"/>
      <w:sz w:val="44"/>
      <w:szCs w:val="44"/>
    </w:rPr>
  </w:style>
  <w:style w:type="character" w:customStyle="1" w:styleId="30">
    <w:name w:val="标题 2 字符"/>
    <w:basedOn w:val="17"/>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字符"/>
    <w:basedOn w:val="17"/>
    <w:link w:val="10"/>
    <w:semiHidden/>
    <w:qFormat/>
    <w:uiPriority w:val="99"/>
    <w:rPr>
      <w:rFonts w:ascii="Times New Roman" w:hAnsi="Times New Roman"/>
      <w:kern w:val="2"/>
      <w:sz w:val="18"/>
      <w:szCs w:val="18"/>
    </w:rPr>
  </w:style>
  <w:style w:type="character" w:customStyle="1" w:styleId="33">
    <w:name w:val="标题 3 字符"/>
    <w:basedOn w:val="17"/>
    <w:link w:val="6"/>
    <w:qFormat/>
    <w:uiPriority w:val="9"/>
    <w:rPr>
      <w:rFonts w:ascii="Times New Roman" w:hAnsi="Times New Roman"/>
      <w:b/>
      <w:bCs/>
      <w:kern w:val="2"/>
      <w:sz w:val="32"/>
      <w:szCs w:val="32"/>
    </w:rPr>
  </w:style>
  <w:style w:type="paragraph" w:customStyle="1" w:styleId="3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color w:val="000000"/>
      <w:kern w:val="0"/>
      <w:sz w:val="28"/>
      <w:szCs w:val="21"/>
      <w:lang w:val="zh-CN"/>
    </w:rPr>
  </w:style>
  <w:style w:type="paragraph" w:customStyle="1" w:styleId="36">
    <w:name w:val="WPSOffice手动目录 1"/>
    <w:qFormat/>
    <w:uiPriority w:val="0"/>
    <w:pPr>
      <w:ind w:leftChars="0"/>
    </w:pPr>
    <w:rPr>
      <w:rFonts w:asciiTheme="minorHAnsi" w:hAnsiTheme="minorHAnsi" w:eastAsiaTheme="minorEastAsia" w:cstheme="minorBidi"/>
      <w:sz w:val="20"/>
      <w:szCs w:val="20"/>
    </w:rPr>
  </w:style>
  <w:style w:type="paragraph" w:customStyle="1" w:styleId="37">
    <w:name w:val="WPSOffice手动目录 2"/>
    <w:qFormat/>
    <w:uiPriority w:val="0"/>
    <w:pPr>
      <w:ind w:leftChars="200"/>
    </w:pPr>
    <w:rPr>
      <w:rFonts w:asciiTheme="minorHAnsi" w:hAnsiTheme="minorHAnsi" w:eastAsiaTheme="minorEastAsia" w:cstheme="minorBidi"/>
      <w:sz w:val="20"/>
      <w:szCs w:val="20"/>
    </w:rPr>
  </w:style>
  <w:style w:type="paragraph" w:customStyle="1" w:styleId="38">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2599;&#27743;&#27668;&#35937;\Desktop\&#36130;&#21153;&#36164;&#26009;\&#39044;&#12289;&#20915;&#31639;&#36164;&#26009;\&#22320;&#26041;&#27668;&#35937;&#26381;&#21153;&#20013;&#24515;\&#20915;&#31639;&#20844;&#24320;\&#27492;&#34920;&#29992;&#20110;&#20915;&#31639;&#20844;&#24320;&#25253;&#21578;&#20013;&#38656;&#35201;&#30340;&#21508;&#31181;&#25968;&#25454;&#25910;&#38598;&#35745;&#31639;&#24182;&#32472;&#21046;&#39292;&#29366;&#21644;&#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2599;&#27743;&#27668;&#35937;\Desktop\&#36130;&#21153;&#36164;&#26009;\&#39044;&#12289;&#20915;&#31639;&#36164;&#26009;\&#22320;&#26041;&#27668;&#35937;&#26381;&#21153;&#20013;&#24515;\2022&#24180;&#20915;&#31639;&#20844;&#24320;\&#27492;&#34920;&#29992;&#20110;&#25253;&#21578;&#20013;&#38656;&#35201;&#30340;&#21508;&#31181;&#25968;&#25454;&#25910;&#38598;&#35745;&#31639;&#24182;&#32472;&#21046;&#39292;&#29366;&#21644;&#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32599;&#27743;&#27668;&#35937;\Desktop\&#36130;&#21153;&#36164;&#26009;\&#39044;&#12289;&#20915;&#31639;&#36164;&#26009;\&#22320;&#26041;&#27668;&#35937;&#26381;&#21153;&#20013;&#24515;\&#20915;&#31639;&#20844;&#24320;\&#27492;&#34920;&#29992;&#20110;&#20915;&#31639;&#20844;&#24320;&#25253;&#21578;&#20013;&#38656;&#35201;&#30340;&#21508;&#31181;&#25968;&#25454;&#25910;&#38598;&#35745;&#31639;&#24182;&#32472;&#21046;&#39292;&#29366;&#21644;&#26609;&#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2599;&#27743;&#27668;&#35937;\Desktop\&#36130;&#21153;&#36164;&#26009;\&#39044;&#12289;&#20915;&#31639;&#36164;&#26009;\&#22320;&#26041;&#27668;&#35937;&#26381;&#21153;&#20013;&#24515;\&#20915;&#31639;&#20844;&#24320;\&#27492;&#34920;&#29992;&#20110;&#20915;&#31639;&#20844;&#24320;&#25253;&#21578;&#20013;&#38656;&#35201;&#30340;&#21508;&#31181;&#25968;&#25454;&#25910;&#38598;&#35745;&#31639;&#24182;&#32472;&#21046;&#39292;&#29366;&#21644;&#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2599;&#27743;&#27668;&#35937;\Desktop\&#36130;&#21153;&#36164;&#26009;\&#39044;&#12289;&#20915;&#31639;&#36164;&#26009;\&#22320;&#26041;&#27668;&#35937;&#26381;&#21153;&#20013;&#24515;\&#20915;&#31639;&#20844;&#24320;\&#27492;&#34920;&#29992;&#20110;&#20915;&#31639;&#20844;&#24320;&#25253;&#21578;&#20013;&#38656;&#35201;&#30340;&#21508;&#31181;&#25968;&#25454;&#25910;&#38598;&#35745;&#31639;&#24182;&#32472;&#21046;&#39292;&#29366;&#21644;&#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2599;&#27743;&#27668;&#35937;\Desktop\&#36130;&#21153;&#36164;&#26009;\&#39044;&#12289;&#20915;&#31639;&#36164;&#26009;\&#22320;&#26041;&#27668;&#35937;&#26381;&#21153;&#20013;&#24515;\&#20915;&#31639;&#20844;&#24320;\&#27492;&#34920;&#29992;&#20110;&#20915;&#31639;&#20844;&#24320;&#25253;&#21578;&#20013;&#38656;&#35201;&#30340;&#21508;&#31181;&#25968;&#25454;&#25910;&#38598;&#35745;&#31639;&#24182;&#32472;&#21046;&#39292;&#29366;&#21644;&#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32599;&#27743;&#27668;&#35937;\Desktop\&#36130;&#21153;&#36164;&#26009;\&#39044;&#12289;&#20915;&#31639;&#36164;&#26009;\&#22320;&#26041;&#27668;&#35937;&#26381;&#21153;&#20013;&#24515;\2022&#24180;&#20915;&#31639;&#20844;&#24320;\&#27492;&#34920;&#29992;&#20110;&#25253;&#21578;&#20013;&#38656;&#35201;&#30340;&#21508;&#31181;&#25968;&#25454;&#25910;&#38598;&#35745;&#31639;&#24182;&#32472;&#21046;&#39292;&#29366;&#21644;&#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[此表用于决算公开报告中需要的各种数据收集计算并绘制饼状和柱状图.xlsx]Sheet1!$B$3</c:f>
              <c:strCache>
                <c:ptCount val="1"/>
                <c:pt idx="0">
                  <c:v>收、支决算总计变动情况</c:v>
                </c:pt>
              </c:strCache>
            </c:strRef>
          </c:tx>
          <c:spPr>
            <a:solidFill>
              <a:schemeClr val="accent1"/>
            </a:solidFill>
            <a:ln>
              <a:noFill/>
            </a:ln>
            <a:effectLst/>
          </c:spPr>
          <c:invertIfNegative val="0"/>
          <c:dLbls>
            <c:delete val="1"/>
          </c:dLbls>
          <c:cat>
            <c:numRef>
              <c:f>[此表用于决算公开报告中需要的各种数据收集计算并绘制饼状和柱状图.xlsx]Sheet1!$C$2:$D$2</c:f>
              <c:numCache>
                <c:formatCode>General</c:formatCode>
                <c:ptCount val="2"/>
                <c:pt idx="0">
                  <c:v>2023</c:v>
                </c:pt>
                <c:pt idx="1">
                  <c:v>2022</c:v>
                </c:pt>
              </c:numCache>
            </c:numRef>
          </c:cat>
          <c:val>
            <c:numRef>
              <c:f>[此表用于决算公开报告中需要的各种数据收集计算并绘制饼状和柱状图.xlsx]Sheet1!$C$3:$D$3</c:f>
              <c:numCache>
                <c:formatCode>General</c:formatCode>
                <c:ptCount val="2"/>
                <c:pt idx="0">
                  <c:v>250.38</c:v>
                </c:pt>
                <c:pt idx="1">
                  <c:v>193.14</c:v>
                </c:pt>
              </c:numCache>
            </c:numRef>
          </c:val>
        </c:ser>
        <c:dLbls>
          <c:showLegendKey val="0"/>
          <c:showVal val="0"/>
          <c:showCatName val="0"/>
          <c:showSerName val="0"/>
          <c:showPercent val="0"/>
          <c:showBubbleSize val="0"/>
        </c:dLbls>
        <c:gapWidth val="246"/>
        <c:overlap val="-28"/>
        <c:axId val="482588354"/>
        <c:axId val="793830434"/>
      </c:barChart>
      <c:catAx>
        <c:axId val="4825883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3830434"/>
        <c:crosses val="autoZero"/>
        <c:auto val="1"/>
        <c:lblAlgn val="ctr"/>
        <c:lblOffset val="100"/>
        <c:noMultiLvlLbl val="0"/>
      </c:catAx>
      <c:valAx>
        <c:axId val="79383043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5883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3e87819-cac3-44c1-9bbe-2a553649912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[此表用于报告中需要的各种数据收集计算并绘制饼状和柱状图.xlsx]Sheet1!$B$6</c:f>
              <c:strCache>
                <c:ptCount val="1"/>
                <c:pt idx="0">
                  <c:v>收入决算结构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[此表用于报告中需要的各种数据收集计算并绘制饼状和柱状图.xlsx]Sheet1!$C$5:$G$5</c:f>
              <c:strCache>
                <c:ptCount val="5"/>
                <c:pt idx="0">
                  <c:v>一般公共预算财政拨款收入</c:v>
                </c:pt>
                <c:pt idx="1">
                  <c:v>事业收入</c:v>
                </c:pt>
                <c:pt idx="2">
                  <c:v>上级补助收入</c:v>
                </c:pt>
                <c:pt idx="3">
                  <c:v>其他收入</c:v>
                </c:pt>
                <c:pt idx="4">
                  <c:v>使用非财政拨款结余</c:v>
                </c:pt>
              </c:strCache>
            </c:strRef>
          </c:cat>
          <c:val>
            <c:numRef>
              <c:f>[此表用于报告中需要的各种数据收集计算并绘制饼状和柱状图.xlsx]Sheet1!$C$6:$G$6</c:f>
              <c:numCache>
                <c:formatCode>General</c:formatCode>
                <c:ptCount val="5"/>
                <c:pt idx="0">
                  <c:v>248.46</c:v>
                </c:pt>
                <c:pt idx="1">
                  <c:v>0</c:v>
                </c:pt>
                <c:pt idx="2">
                  <c:v>0</c:v>
                </c:pt>
                <c:pt idx="3">
                  <c:v>0</c:v>
                </c:pt>
                <c:pt idx="4">
                  <c:v>0</c:v>
                </c:pt>
              </c:numCache>
            </c:numRef>
          </c:val>
        </c:ser>
        <c:ser>
          <c:idx val="1"/>
          <c:order val="1"/>
          <c:tx>
            <c:strRef>
              <c:f>[此表用于报告中需要的各种数据收集计算并绘制饼状和柱状图.xlsx]Sheet1!$B$7</c:f>
              <c:strCache>
                <c:ptCount val="1"/>
                <c:pt idx="0">
                  <c:v>占比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[此表用于报告中需要的各种数据收集计算并绘制饼状和柱状图.xlsx]Sheet1!$C$5:$G$5</c:f>
              <c:strCache>
                <c:ptCount val="5"/>
                <c:pt idx="0">
                  <c:v>一般公共预算财政拨款收入</c:v>
                </c:pt>
                <c:pt idx="1">
                  <c:v>事业收入</c:v>
                </c:pt>
                <c:pt idx="2">
                  <c:v>上级补助收入</c:v>
                </c:pt>
                <c:pt idx="3">
                  <c:v>其他收入</c:v>
                </c:pt>
                <c:pt idx="4">
                  <c:v>使用非财政拨款结余</c:v>
                </c:pt>
              </c:strCache>
            </c:strRef>
          </c:cat>
          <c:val>
            <c:numRef>
              <c:f>[此表用于报告中需要的各种数据收集计算并绘制饼状和柱状图.xlsx]Sheet1!$C$7:$G$7</c:f>
              <c:numCache>
                <c:formatCode>0.00%</c:formatCode>
                <c:ptCount val="5"/>
                <c:pt idx="0">
                  <c:v>1</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f08b731-e388-4956-9d20-cf6b0e289e8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c:rich>
      </c:tx>
      <c:layout/>
      <c:overlay val="0"/>
      <c:spPr>
        <a:noFill/>
        <a:ln>
          <a:noFill/>
        </a:ln>
        <a:effectLst/>
      </c:spPr>
    </c:title>
    <c:autoTitleDeleted val="0"/>
    <c:plotArea>
      <c:layout/>
      <c:pieChart>
        <c:varyColors val="1"/>
        <c:ser>
          <c:idx val="0"/>
          <c:order val="0"/>
          <c:tx>
            <c:strRef>
              <c:f>[此表用于决算公开报告中需要的各种数据收集计算并绘制饼状和柱状图.xlsx]Sheet1!$B$10</c:f>
              <c:strCache>
                <c:ptCount val="1"/>
                <c:pt idx="0">
                  <c:v>支出决算结构图</c:v>
                </c:pt>
              </c:strCache>
            </c:strRef>
          </c:tx>
          <c:spPr>
            <a:ln w="19050" cap="rnd">
              <a:solidFill>
                <a:schemeClr val="tx1">
                  <a:lumMod val="85000"/>
                  <a:lumOff val="15000"/>
                </a:schemeClr>
              </a:solidFill>
              <a:round/>
            </a:ln>
            <a:effectLst/>
          </c:spPr>
          <c:explosion val="0"/>
          <c:dPt>
            <c:idx val="0"/>
            <c:bubble3D val="0"/>
            <c:spPr>
              <a:solidFill>
                <a:schemeClr val="accent1"/>
              </a:solidFill>
              <a:ln w="19050" cap="rnd">
                <a:solidFill>
                  <a:schemeClr val="tx1">
                    <a:lumMod val="85000"/>
                    <a:lumOff val="15000"/>
                  </a:schemeClr>
                </a:solidFill>
                <a:round/>
              </a:ln>
              <a:effectLst/>
            </c:spPr>
          </c:dPt>
          <c:dPt>
            <c:idx val="1"/>
            <c:bubble3D val="0"/>
            <c:spPr>
              <a:solidFill>
                <a:schemeClr val="accent2"/>
              </a:solidFill>
              <a:ln w="19050" cap="rnd">
                <a:solidFill>
                  <a:schemeClr val="tx1">
                    <a:lumMod val="85000"/>
                    <a:lumOff val="1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[此表用于决算公开报告中需要的各种数据收集计算并绘制饼状和柱状图.xlsx]Sheet1!$C$9:$D$9</c:f>
              <c:strCache>
                <c:ptCount val="2"/>
                <c:pt idx="0">
                  <c:v>基本支出</c:v>
                </c:pt>
                <c:pt idx="1">
                  <c:v>项目支出</c:v>
                </c:pt>
              </c:strCache>
            </c:strRef>
          </c:cat>
          <c:val>
            <c:numRef>
              <c:f>[此表用于决算公开报告中需要的各种数据收集计算并绘制饼状和柱状图.xlsx]Sheet1!$C$10:$D$10</c:f>
              <c:numCache>
                <c:formatCode>General</c:formatCode>
                <c:ptCount val="2"/>
                <c:pt idx="0">
                  <c:v>117.62</c:v>
                </c:pt>
                <c:pt idx="1">
                  <c:v>132.76</c:v>
                </c:pt>
              </c:numCache>
            </c:numRef>
          </c:val>
        </c:ser>
        <c:ser>
          <c:idx val="1"/>
          <c:order val="1"/>
          <c:tx>
            <c:strRef>
              <c:f>[此表用于决算公开报告中需要的各种数据收集计算并绘制饼状和柱状图.xlsx]Sheet1!$B$11</c:f>
              <c:strCache>
                <c:ptCount val="1"/>
                <c:pt idx="0">
                  <c:v>占比</c:v>
                </c:pt>
              </c:strCache>
            </c:strRef>
          </c:tx>
          <c:spPr>
            <a:ln w="19050" cap="rnd">
              <a:solidFill>
                <a:schemeClr val="tx1">
                  <a:lumMod val="85000"/>
                  <a:lumOff val="15000"/>
                </a:schemeClr>
              </a:solidFill>
              <a:round/>
            </a:ln>
            <a:effectLst/>
          </c:spPr>
          <c:explosion val="0"/>
          <c:dPt>
            <c:idx val="0"/>
            <c:bubble3D val="0"/>
            <c:spPr>
              <a:solidFill>
                <a:schemeClr val="accent1"/>
              </a:solidFill>
              <a:ln w="19050" cap="rnd">
                <a:solidFill>
                  <a:schemeClr val="tx1">
                    <a:lumMod val="85000"/>
                    <a:lumOff val="15000"/>
                  </a:schemeClr>
                </a:solidFill>
                <a:round/>
              </a:ln>
              <a:effectLst/>
            </c:spPr>
          </c:dPt>
          <c:dPt>
            <c:idx val="1"/>
            <c:bubble3D val="0"/>
            <c:spPr>
              <a:solidFill>
                <a:schemeClr val="accent2"/>
              </a:solidFill>
              <a:ln w="19050" cap="rnd">
                <a:solidFill>
                  <a:schemeClr val="tx1">
                    <a:lumMod val="85000"/>
                    <a:lumOff val="1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[此表用于决算公开报告中需要的各种数据收集计算并绘制饼状和柱状图.xlsx]Sheet1!$C$9:$D$9</c:f>
              <c:strCache>
                <c:ptCount val="2"/>
                <c:pt idx="0">
                  <c:v>基本支出</c:v>
                </c:pt>
                <c:pt idx="1">
                  <c:v>项目支出</c:v>
                </c:pt>
              </c:strCache>
            </c:strRef>
          </c:cat>
          <c:val>
            <c:numRef>
              <c:f>[此表用于决算公开报告中需要的各种数据收集计算并绘制饼状和柱状图.xlsx]Sheet1!$C$11:$D$11</c:f>
              <c:numCache>
                <c:formatCode>0.00%</c:formatCode>
                <c:ptCount val="2"/>
                <c:pt idx="0">
                  <c:v>0.469765955747264</c:v>
                </c:pt>
                <c:pt idx="1">
                  <c:v>0.530234044252736</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256f88c9-d3eb-430e-9365-e38633614a5a}"/>
      </c:ext>
    </c:extLst>
  </c:chart>
  <c:spPr>
    <a:solidFill>
      <a:schemeClr val="bg1"/>
    </a:solidFill>
    <a:ln w="9525"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[此表用于决算公开报告中需要的各种数据收集计算并绘制饼状和柱状图.xlsx]Sheet1!$B$13</c:f>
              <c:strCache>
                <c:ptCount val="1"/>
                <c:pt idx="0">
                  <c:v>财政拨款收、支决算总计变动情况</c:v>
                </c:pt>
              </c:strCache>
            </c:strRef>
          </c:tx>
          <c:spPr>
            <a:solidFill>
              <a:schemeClr val="accent1"/>
            </a:solidFill>
            <a:ln>
              <a:noFill/>
            </a:ln>
            <a:effectLst/>
          </c:spPr>
          <c:invertIfNegative val="0"/>
          <c:dLbls>
            <c:delete val="1"/>
          </c:dLbls>
          <c:cat>
            <c:numRef>
              <c:f>[此表用于决算公开报告中需要的各种数据收集计算并绘制饼状和柱状图.xlsx]Sheet1!$C$12:$D$12</c:f>
              <c:numCache>
                <c:formatCode>General</c:formatCode>
                <c:ptCount val="2"/>
                <c:pt idx="0">
                  <c:v>2023</c:v>
                </c:pt>
                <c:pt idx="1">
                  <c:v>2022</c:v>
                </c:pt>
              </c:numCache>
            </c:numRef>
          </c:cat>
          <c:val>
            <c:numRef>
              <c:f>[此表用于决算公开报告中需要的各种数据收集计算并绘制饼状和柱状图.xlsx]Sheet1!$C$13:$D$13</c:f>
              <c:numCache>
                <c:formatCode>General</c:formatCode>
                <c:ptCount val="2"/>
                <c:pt idx="0">
                  <c:v>248.46</c:v>
                </c:pt>
                <c:pt idx="1">
                  <c:v>186.77</c:v>
                </c:pt>
              </c:numCache>
            </c:numRef>
          </c:val>
        </c:ser>
        <c:dLbls>
          <c:showLegendKey val="0"/>
          <c:showVal val="0"/>
          <c:showCatName val="0"/>
          <c:showSerName val="0"/>
          <c:showPercent val="0"/>
          <c:showBubbleSize val="0"/>
        </c:dLbls>
        <c:gapWidth val="246"/>
        <c:overlap val="-28"/>
        <c:axId val="187072705"/>
        <c:axId val="950415884"/>
      </c:barChart>
      <c:catAx>
        <c:axId val="1870727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415884"/>
        <c:crosses val="autoZero"/>
        <c:auto val="1"/>
        <c:lblAlgn val="ctr"/>
        <c:lblOffset val="100"/>
        <c:noMultiLvlLbl val="0"/>
      </c:catAx>
      <c:valAx>
        <c:axId val="95041588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0727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bb4b489-54f0-4102-8a1d-ab69bb63c1b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[此表用于决算公开报告中需要的各种数据收集计算并绘制饼状和柱状图.xlsx]Sheet1!$B$15</c:f>
              <c:strCache>
                <c:ptCount val="1"/>
                <c:pt idx="0">
                  <c:v>一般公共预算财政拨款支出决算变动情况</c:v>
                </c:pt>
              </c:strCache>
            </c:strRef>
          </c:tx>
          <c:spPr>
            <a:solidFill>
              <a:schemeClr val="accent1"/>
            </a:solidFill>
            <a:ln>
              <a:noFill/>
            </a:ln>
            <a:effectLst/>
          </c:spPr>
          <c:invertIfNegative val="0"/>
          <c:dLbls>
            <c:delete val="1"/>
          </c:dLbls>
          <c:cat>
            <c:numRef>
              <c:f>[此表用于决算公开报告中需要的各种数据收集计算并绘制饼状和柱状图.xlsx]Sheet1!$C$14:$D$14</c:f>
              <c:numCache>
                <c:formatCode>General</c:formatCode>
                <c:ptCount val="2"/>
                <c:pt idx="0">
                  <c:v>2023</c:v>
                </c:pt>
                <c:pt idx="1">
                  <c:v>2022</c:v>
                </c:pt>
              </c:numCache>
            </c:numRef>
          </c:cat>
          <c:val>
            <c:numRef>
              <c:f>[此表用于决算公开报告中需要的各种数据收集计算并绘制饼状和柱状图.xlsx]Sheet1!$C$15:$D$15</c:f>
              <c:numCache>
                <c:formatCode>General</c:formatCode>
                <c:ptCount val="2"/>
                <c:pt idx="0">
                  <c:v>248.46</c:v>
                </c:pt>
                <c:pt idx="1">
                  <c:v>186.77</c:v>
                </c:pt>
              </c:numCache>
            </c:numRef>
          </c:val>
        </c:ser>
        <c:dLbls>
          <c:showLegendKey val="0"/>
          <c:showVal val="0"/>
          <c:showCatName val="0"/>
          <c:showSerName val="0"/>
          <c:showPercent val="0"/>
          <c:showBubbleSize val="0"/>
        </c:dLbls>
        <c:gapWidth val="246"/>
        <c:overlap val="-28"/>
        <c:axId val="411844384"/>
        <c:axId val="678757017"/>
      </c:barChart>
      <c:catAx>
        <c:axId val="4118443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757017"/>
        <c:crosses val="autoZero"/>
        <c:auto val="1"/>
        <c:lblAlgn val="ctr"/>
        <c:lblOffset val="100"/>
        <c:noMultiLvlLbl val="0"/>
      </c:catAx>
      <c:valAx>
        <c:axId val="67875701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8443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3dfd7d3-22dc-4935-8db8-ec00ea514cf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一般公共预算财政拨款支出决算结构</a:t>
            </a:r>
          </a:p>
        </c:rich>
      </c:tx>
      <c:layout/>
      <c:overlay val="0"/>
      <c:spPr>
        <a:noFill/>
        <a:ln>
          <a:noFill/>
        </a:ln>
        <a:effectLst/>
      </c:spPr>
    </c:title>
    <c:autoTitleDeleted val="0"/>
    <c:plotArea>
      <c:layout/>
      <c:pieChart>
        <c:varyColors val="1"/>
        <c:ser>
          <c:idx val="0"/>
          <c:order val="0"/>
          <c:tx>
            <c:strRef>
              <c:f>[此表用于决算公开报告中需要的各种数据收集计算并绘制饼状和柱状图.xlsx]Sheet1!$B$17</c:f>
              <c:strCache>
                <c:ptCount val="1"/>
                <c:pt idx="0">
                  <c:v>一般公共预算财政拨款支出决算结构</c:v>
                </c:pt>
              </c:strCache>
            </c:strRef>
          </c:tx>
          <c:spPr>
            <a:effectLst>
              <a:outerShdw blurRad="63500" sx="102000" sy="102000" algn="ctr" rotWithShape="0">
                <a:prstClr val="black">
                  <a:alpha val="40000"/>
                </a:prstClr>
              </a:outerShdw>
            </a:effectLst>
          </c:spPr>
          <c:explosion val="0"/>
          <c:dPt>
            <c:idx val="0"/>
            <c:bubble3D val="0"/>
            <c:explosion val="10"/>
            <c:spPr>
              <a:solidFill>
                <a:schemeClr val="accent1"/>
              </a:solidFill>
              <a:ln w="19050">
                <a:solidFill>
                  <a:schemeClr val="lt1"/>
                </a:solidFill>
              </a:ln>
              <a:effectLst>
                <a:outerShdw blurRad="63500" algn="ctr" rotWithShape="0">
                  <a:schemeClr val="accent1">
                    <a:lumMod val="75000"/>
                    <a:alpha val="100000"/>
                  </a:schemeClr>
                </a:outerShdw>
              </a:effectLst>
            </c:spPr>
          </c:dPt>
          <c:dPt>
            <c:idx val="1"/>
            <c:bubble3D val="0"/>
            <c:spPr>
              <a:solidFill>
                <a:schemeClr val="accent2"/>
              </a:solidFill>
              <a:ln w="19050">
                <a:solidFill>
                  <a:schemeClr val="lt1"/>
                </a:solidFill>
              </a:ln>
              <a:effectLst>
                <a:outerShdw blurRad="63500" algn="ctr" rotWithShape="0">
                  <a:schemeClr val="accent2">
                    <a:lumMod val="75000"/>
                    <a:alpha val="100000"/>
                  </a:schemeClr>
                </a:outerShdw>
              </a:effectLst>
            </c:spPr>
          </c:dPt>
          <c:dPt>
            <c:idx val="2"/>
            <c:bubble3D val="0"/>
            <c:spPr>
              <a:solidFill>
                <a:schemeClr val="accent3"/>
              </a:solidFill>
              <a:ln w="19050">
                <a:solidFill>
                  <a:schemeClr val="lt1"/>
                </a:solidFill>
              </a:ln>
              <a:effectLst>
                <a:outerShdw blurRad="63500" algn="ctr" rotWithShape="0">
                  <a:schemeClr val="accent3">
                    <a:lumMod val="75000"/>
                    <a:alpha val="100000"/>
                  </a:schemeClr>
                </a:outerShdw>
              </a:effectLst>
            </c:spPr>
          </c:dPt>
          <c:dPt>
            <c:idx val="3"/>
            <c:bubble3D val="0"/>
            <c:spPr>
              <a:solidFill>
                <a:schemeClr val="accent4"/>
              </a:solidFill>
              <a:ln w="19050">
                <a:solidFill>
                  <a:schemeClr val="lt1"/>
                </a:solidFill>
              </a:ln>
              <a:effectLst>
                <a:outerShdw blurRad="63500" algn="ctr" rotWithShape="0">
                  <a:schemeClr val="accent4">
                    <a:lumMod val="75000"/>
                    <a:alpha val="100000"/>
                  </a:schemeClr>
                </a:outerShdw>
              </a:effectLst>
            </c:spPr>
          </c:dPt>
          <c:dLbls>
            <c:dLbl>
              <c:idx val="0"/>
              <c:layout/>
              <c:numFmt formatCode="General" sourceLinked="1"/>
              <c:spPr>
                <a:solidFill>
                  <a:schemeClr val="bg1"/>
                </a:solidFill>
                <a:ln w="12700">
                  <a:solidFill>
                    <a:schemeClr val="accent1"/>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chemeClr val="bg1"/>
                </a:solidFill>
                <a:ln w="12700">
                  <a:solidFill>
                    <a:schemeClr val="accent2"/>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chemeClr val="bg1"/>
                </a:solidFill>
                <a:ln w="12700">
                  <a:solidFill>
                    <a:schemeClr val="accent3"/>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3"/>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chemeClr val="bg1"/>
                </a:solidFill>
                <a:ln w="12700">
                  <a:solidFill>
                    <a:schemeClr val="accent4"/>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4"/>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chemeClr val="bg1"/>
              </a:solidFill>
              <a:ln w="12700">
                <a:solidFill>
                  <a:srgbClr val="000000">
                    <a:lumMod val="25000"/>
                    <a:lumOff val="75000"/>
                  </a:srgbClr>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dk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[此表用于决算公开报告中需要的各种数据收集计算并绘制饼状和柱状图.xlsx]Sheet1!$C$16:$F$16</c:f>
              <c:strCache>
                <c:ptCount val="4"/>
                <c:pt idx="0">
                  <c:v>社会保障和就业</c:v>
                </c:pt>
                <c:pt idx="1">
                  <c:v>自然资源海洋气象等支出</c:v>
                </c:pt>
                <c:pt idx="2">
                  <c:v>住房保障支出</c:v>
                </c:pt>
                <c:pt idx="3">
                  <c:v>卫生健康</c:v>
                </c:pt>
              </c:strCache>
            </c:strRef>
          </c:cat>
          <c:val>
            <c:numRef>
              <c:f>[此表用于决算公开报告中需要的各种数据收集计算并绘制饼状和柱状图.xlsx]Sheet1!$C$17:$F$17</c:f>
              <c:numCache>
                <c:formatCode>General</c:formatCode>
                <c:ptCount val="4"/>
                <c:pt idx="0">
                  <c:v>9.43</c:v>
                </c:pt>
                <c:pt idx="1">
                  <c:v>171</c:v>
                </c:pt>
                <c:pt idx="2">
                  <c:v>4.5</c:v>
                </c:pt>
                <c:pt idx="3">
                  <c:v>1.83</c:v>
                </c:pt>
              </c:numCache>
            </c:numRef>
          </c:val>
        </c:ser>
        <c:ser>
          <c:idx val="1"/>
          <c:order val="1"/>
          <c:tx>
            <c:strRef>
              <c:f>[此表用于决算公开报告中需要的各种数据收集计算并绘制饼状和柱状图.xlsx]Sheet1!$B$18</c:f>
              <c:strCache>
                <c:ptCount val="1"/>
                <c:pt idx="0">
                  <c:v>比例</c:v>
                </c:pt>
              </c:strCache>
            </c:strRef>
          </c:tx>
          <c:spPr>
            <a:effectLst>
              <a:outerShdw blurRad="63500" sx="102000" sy="102000" algn="ctr" rotWithShape="0">
                <a:prstClr val="black">
                  <a:alpha val="40000"/>
                </a:prstClr>
              </a:outerShdw>
            </a:effectLst>
          </c:spPr>
          <c:explosion val="0"/>
          <c:dPt>
            <c:idx val="0"/>
            <c:bubble3D val="0"/>
            <c:explosion val="10"/>
            <c:spPr>
              <a:solidFill>
                <a:schemeClr val="accent1"/>
              </a:solidFill>
              <a:ln w="19050">
                <a:solidFill>
                  <a:schemeClr val="lt1"/>
                </a:solidFill>
              </a:ln>
              <a:effectLst>
                <a:outerShdw blurRad="63500" algn="ctr" rotWithShape="0">
                  <a:schemeClr val="accent1">
                    <a:lumMod val="75000"/>
                    <a:alpha val="100000"/>
                  </a:schemeClr>
                </a:outerShdw>
              </a:effectLst>
            </c:spPr>
          </c:dPt>
          <c:dPt>
            <c:idx val="1"/>
            <c:bubble3D val="0"/>
            <c:spPr>
              <a:solidFill>
                <a:schemeClr val="accent2"/>
              </a:solidFill>
              <a:ln w="19050">
                <a:solidFill>
                  <a:schemeClr val="lt1"/>
                </a:solidFill>
              </a:ln>
              <a:effectLst>
                <a:outerShdw blurRad="63500" algn="ctr" rotWithShape="0">
                  <a:schemeClr val="accent2">
                    <a:lumMod val="75000"/>
                    <a:alpha val="100000"/>
                  </a:schemeClr>
                </a:outerShdw>
              </a:effectLst>
            </c:spPr>
          </c:dPt>
          <c:dPt>
            <c:idx val="2"/>
            <c:bubble3D val="0"/>
            <c:spPr>
              <a:solidFill>
                <a:schemeClr val="accent3"/>
              </a:solidFill>
              <a:ln w="19050">
                <a:solidFill>
                  <a:schemeClr val="lt1"/>
                </a:solidFill>
              </a:ln>
              <a:effectLst>
                <a:outerShdw blurRad="63500" algn="ctr" rotWithShape="0">
                  <a:schemeClr val="accent3">
                    <a:lumMod val="75000"/>
                    <a:alpha val="100000"/>
                  </a:schemeClr>
                </a:outerShdw>
              </a:effectLst>
            </c:spPr>
          </c:dPt>
          <c:dPt>
            <c:idx val="3"/>
            <c:bubble3D val="0"/>
            <c:spPr>
              <a:solidFill>
                <a:schemeClr val="accent4"/>
              </a:solidFill>
              <a:ln w="19050">
                <a:solidFill>
                  <a:schemeClr val="lt1"/>
                </a:solidFill>
              </a:ln>
              <a:effectLst>
                <a:outerShdw blurRad="63500" algn="ctr" rotWithShape="0">
                  <a:schemeClr val="accent4">
                    <a:lumMod val="75000"/>
                    <a:alpha val="100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[此表用于决算公开报告中需要的各种数据收集计算并绘制饼状和柱状图.xlsx]Sheet1!$C$16:$F$16</c:f>
              <c:strCache>
                <c:ptCount val="4"/>
                <c:pt idx="0">
                  <c:v>社会保障和就业</c:v>
                </c:pt>
                <c:pt idx="1">
                  <c:v>自然资源海洋气象等支出</c:v>
                </c:pt>
                <c:pt idx="2">
                  <c:v>住房保障支出</c:v>
                </c:pt>
                <c:pt idx="3">
                  <c:v>卫生健康</c:v>
                </c:pt>
              </c:strCache>
            </c:strRef>
          </c:cat>
          <c:val>
            <c:numRef>
              <c:f>[此表用于决算公开报告中需要的各种数据收集计算并绘制饼状和柱状图.xlsx]Sheet1!$C$18:$F$18</c:f>
              <c:numCache>
                <c:formatCode>0.00%</c:formatCode>
                <c:ptCount val="4"/>
                <c:pt idx="0">
                  <c:v>0.0504926108374384</c:v>
                </c:pt>
                <c:pt idx="1">
                  <c:v>0.915613621760548</c:v>
                </c:pt>
                <c:pt idx="2">
                  <c:v>0.0240950953094881</c:v>
                </c:pt>
                <c:pt idx="3">
                  <c:v>0.00979867209252517</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930fec30-7bde-4ea3-98c9-59bab9663ad5}"/>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sz="12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[此表用于报告中需要的各种数据收集计算并绘制饼状和柱状图.xlsx]Sheet1!$B$20:$D$20</c:f>
              <c:strCache>
                <c:ptCount val="1"/>
                <c:pt idx="0">
                  <c:v>“三公”经费财政拨款支出结构</c:v>
                </c:pt>
              </c:strCache>
            </c:strRef>
          </c:tx>
          <c:spPr/>
          <c:explosion val="0"/>
          <c:dPt>
            <c:idx val="0"/>
            <c:bubble3D val="0"/>
            <c:spPr>
              <a:solidFill>
                <a:schemeClr val="accent1"/>
              </a:solidFill>
              <a:ln>
                <a:solidFill>
                  <a:schemeClr val="bg1"/>
                </a:solidFill>
              </a:ln>
              <a:effectLst/>
            </c:spPr>
          </c:dPt>
          <c:dLbls>
            <c:delete val="1"/>
          </c:dLbls>
          <c:cat>
            <c:strRef>
              <c:f>[此表用于报告中需要的各种数据收集计算并绘制饼状和柱状图.xlsx]Sheet1!$E$19</c:f>
              <c:strCache>
                <c:ptCount val="1"/>
                <c:pt idx="0">
                  <c:v>公务接待费</c:v>
                </c:pt>
              </c:strCache>
            </c:strRef>
          </c:cat>
          <c:val>
            <c:numRef>
              <c:f>[此表用于报告中需要的各种数据收集计算并绘制饼状和柱状图.xlsx]Sheet1!$E$20</c:f>
              <c:numCache>
                <c:formatCode>General</c:formatCode>
                <c:ptCount val="1"/>
                <c:pt idx="0">
                  <c:v>0.78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5433af9-f4fa-4edb-ad76-15a012a336e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9676</Words>
  <Characters>10507</Characters>
  <Lines>72</Lines>
  <Paragraphs>20</Paragraphs>
  <TotalTime>0</TotalTime>
  <ScaleCrop>false</ScaleCrop>
  <LinksUpToDate>false</LinksUpToDate>
  <CharactersWithSpaces>10712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2024-08-05T07:12:00Z</dcterms:created>
  <dc:creator>曹颖</dc:creator>
  <cp:lastModifiedBy>轻唁</cp:lastModifiedBy>
  <cp:lastPrinted>2023-08-03T10:35:00Z</cp:lastPrinted>
  <dcterms:modified xsi:type="dcterms:W3CDTF">2024-10-25T03:34:08Z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DDFF4CCD7F6841CE8711E84F8E288CA5</vt:lpwstr>
  </property>
</Properties>
</file>