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rPr>
          <w:rFonts w:hint="eastAsia" w:ascii="Times New Roman" w:hAnsi="Times New Roman" w:eastAsia="方正小标宋简体"/>
          <w:color w:val="auto"/>
          <w:sz w:val="44"/>
          <w:szCs w:val="44"/>
          <w:highlight w:val="none"/>
          <w:lang w:eastAsia="zh-CN"/>
        </w:rPr>
      </w:pPr>
      <w:r>
        <w:rPr>
          <w:rFonts w:hint="eastAsia" w:ascii="Times New Roman" w:hAnsi="Times New Roman" w:eastAsia="方正小标宋简体"/>
          <w:color w:val="auto"/>
          <w:sz w:val="44"/>
          <w:szCs w:val="44"/>
          <w:highlight w:val="none"/>
        </w:rPr>
        <w:t>德阳市罗江区</w:t>
      </w:r>
      <w:r>
        <w:rPr>
          <w:rFonts w:ascii="Times New Roman" w:hAnsi="Times New Roman" w:eastAsia="方正小标宋简体"/>
          <w:color w:val="auto"/>
          <w:sz w:val="44"/>
          <w:szCs w:val="44"/>
          <w:highlight w:val="none"/>
        </w:rPr>
        <w:t>20</w:t>
      </w:r>
      <w:r>
        <w:rPr>
          <w:rFonts w:hint="eastAsia" w:ascii="Times New Roman" w:hAnsi="Times New Roman" w:eastAsia="方正小标宋简体"/>
          <w:color w:val="auto"/>
          <w:sz w:val="44"/>
          <w:szCs w:val="44"/>
          <w:highlight w:val="none"/>
          <w:lang w:val="en-US" w:eastAsia="zh-CN"/>
        </w:rPr>
        <w:t>21年</w:t>
      </w:r>
      <w:r>
        <w:rPr>
          <w:rFonts w:hint="eastAsia" w:ascii="Times New Roman" w:hAnsi="Times New Roman" w:eastAsia="方正小标宋简体"/>
          <w:color w:val="auto"/>
          <w:sz w:val="44"/>
          <w:szCs w:val="44"/>
          <w:highlight w:val="none"/>
        </w:rPr>
        <w:t>财政预算执行情况和</w:t>
      </w:r>
      <w:r>
        <w:rPr>
          <w:rFonts w:ascii="Times New Roman" w:hAnsi="Times New Roman" w:eastAsia="方正小标宋简体"/>
          <w:color w:val="auto"/>
          <w:sz w:val="44"/>
          <w:szCs w:val="44"/>
          <w:highlight w:val="none"/>
        </w:rPr>
        <w:t>20</w:t>
      </w:r>
      <w:r>
        <w:rPr>
          <w:rFonts w:hint="eastAsia" w:ascii="Times New Roman" w:hAnsi="Times New Roman" w:eastAsia="方正小标宋简体"/>
          <w:color w:val="auto"/>
          <w:sz w:val="44"/>
          <w:szCs w:val="44"/>
          <w:highlight w:val="none"/>
          <w:lang w:val="en-US" w:eastAsia="zh-CN"/>
        </w:rPr>
        <w:t>22</w:t>
      </w:r>
      <w:r>
        <w:rPr>
          <w:rFonts w:hint="eastAsia" w:ascii="Times New Roman" w:hAnsi="Times New Roman" w:eastAsia="方正小标宋简体"/>
          <w:color w:val="auto"/>
          <w:sz w:val="44"/>
          <w:szCs w:val="44"/>
          <w:highlight w:val="none"/>
        </w:rPr>
        <w:t>年财政预算草案的报告</w:t>
      </w:r>
    </w:p>
    <w:p>
      <w:pPr>
        <w:keepNext w:val="0"/>
        <w:keepLines w:val="0"/>
        <w:pageBreakBefore w:val="0"/>
        <w:widowControl w:val="0"/>
        <w:kinsoku/>
        <w:wordWrap/>
        <w:overflowPunct/>
        <w:topLinePunct w:val="0"/>
        <w:autoSpaceDE/>
        <w:autoSpaceDN/>
        <w:bidi w:val="0"/>
        <w:adjustRightInd/>
        <w:spacing w:line="560" w:lineRule="exact"/>
        <w:jc w:val="center"/>
        <w:rPr>
          <w:rFonts w:ascii="Times New Roman" w:hAnsi="Times New Roman" w:eastAsia="楷体_GB2312"/>
          <w:color w:val="auto"/>
          <w:sz w:val="28"/>
          <w:highlight w:val="none"/>
        </w:rPr>
      </w:pPr>
      <w:r>
        <w:rPr>
          <w:rFonts w:ascii="Times New Roman" w:hAnsi="Times New Roman" w:eastAsia="楷体_GB2312"/>
          <w:color w:val="auto"/>
          <w:sz w:val="28"/>
          <w:highlight w:val="none"/>
        </w:rPr>
        <w:t>20</w:t>
      </w:r>
      <w:r>
        <w:rPr>
          <w:rFonts w:hint="eastAsia" w:ascii="Times New Roman" w:hAnsi="Times New Roman" w:eastAsia="楷体_GB2312"/>
          <w:color w:val="auto"/>
          <w:sz w:val="28"/>
          <w:highlight w:val="none"/>
          <w:lang w:val="en-US" w:eastAsia="zh-CN"/>
        </w:rPr>
        <w:t>21</w:t>
      </w:r>
      <w:r>
        <w:rPr>
          <w:rFonts w:hint="eastAsia" w:ascii="Times New Roman" w:hAnsi="Times New Roman" w:eastAsia="楷体_GB2312"/>
          <w:color w:val="auto"/>
          <w:sz w:val="28"/>
          <w:highlight w:val="none"/>
        </w:rPr>
        <w:t>年</w:t>
      </w:r>
      <w:r>
        <w:rPr>
          <w:rFonts w:hint="eastAsia" w:ascii="Times New Roman" w:hAnsi="Times New Roman" w:eastAsia="楷体_GB2312"/>
          <w:color w:val="auto"/>
          <w:sz w:val="28"/>
          <w:highlight w:val="none"/>
          <w:lang w:val="en-US" w:eastAsia="zh-CN"/>
        </w:rPr>
        <w:t>12</w:t>
      </w:r>
      <w:r>
        <w:rPr>
          <w:rFonts w:hint="eastAsia" w:ascii="Times New Roman" w:hAnsi="Times New Roman" w:eastAsia="楷体_GB2312"/>
          <w:color w:val="auto"/>
          <w:sz w:val="28"/>
          <w:highlight w:val="none"/>
        </w:rPr>
        <w:t>月</w:t>
      </w:r>
      <w:r>
        <w:rPr>
          <w:rFonts w:hint="eastAsia" w:eastAsia="楷体_GB2312"/>
          <w:color w:val="auto"/>
          <w:sz w:val="28"/>
          <w:highlight w:val="none"/>
          <w:lang w:val="en-US" w:eastAsia="zh-CN"/>
        </w:rPr>
        <w:t>8</w:t>
      </w:r>
      <w:r>
        <w:rPr>
          <w:rFonts w:hint="eastAsia" w:ascii="Times New Roman" w:hAnsi="Times New Roman" w:eastAsia="楷体_GB2312"/>
          <w:color w:val="auto"/>
          <w:sz w:val="28"/>
          <w:highlight w:val="none"/>
        </w:rPr>
        <w:t>日在区第</w:t>
      </w:r>
      <w:r>
        <w:rPr>
          <w:rFonts w:hint="eastAsia" w:ascii="Times New Roman" w:hAnsi="Times New Roman" w:eastAsia="楷体_GB2312"/>
          <w:color w:val="auto"/>
          <w:sz w:val="28"/>
          <w:highlight w:val="none"/>
          <w:lang w:val="en-US" w:eastAsia="zh-CN"/>
        </w:rPr>
        <w:t>二</w:t>
      </w:r>
      <w:r>
        <w:rPr>
          <w:rFonts w:hint="eastAsia" w:ascii="Times New Roman" w:hAnsi="Times New Roman" w:eastAsia="楷体_GB2312"/>
          <w:color w:val="auto"/>
          <w:sz w:val="28"/>
          <w:highlight w:val="none"/>
        </w:rPr>
        <w:t>届人民代表大会第</w:t>
      </w:r>
      <w:r>
        <w:rPr>
          <w:rFonts w:hint="eastAsia" w:ascii="Times New Roman" w:hAnsi="Times New Roman" w:eastAsia="楷体_GB2312"/>
          <w:color w:val="auto"/>
          <w:sz w:val="28"/>
          <w:highlight w:val="none"/>
          <w:lang w:eastAsia="zh-CN"/>
        </w:rPr>
        <w:t>一</w:t>
      </w:r>
      <w:r>
        <w:rPr>
          <w:rFonts w:hint="eastAsia" w:ascii="Times New Roman" w:hAnsi="Times New Roman" w:eastAsia="楷体_GB2312"/>
          <w:color w:val="auto"/>
          <w:sz w:val="28"/>
          <w:highlight w:val="none"/>
        </w:rPr>
        <w:t>次会议上</w:t>
      </w:r>
    </w:p>
    <w:p>
      <w:pPr>
        <w:keepNext w:val="0"/>
        <w:keepLines w:val="0"/>
        <w:pageBreakBefore w:val="0"/>
        <w:widowControl w:val="0"/>
        <w:kinsoku/>
        <w:wordWrap/>
        <w:overflowPunct/>
        <w:topLinePunct w:val="0"/>
        <w:autoSpaceDE/>
        <w:autoSpaceDN/>
        <w:bidi w:val="0"/>
        <w:adjustRightInd/>
        <w:spacing w:line="560" w:lineRule="exact"/>
        <w:jc w:val="center"/>
        <w:rPr>
          <w:rFonts w:ascii="Times New Roman" w:hAnsi="Times New Roman" w:eastAsia="方正小标宋简体"/>
          <w:color w:val="auto"/>
          <w:sz w:val="44"/>
          <w:szCs w:val="44"/>
          <w:highlight w:val="none"/>
          <w:lang w:val="en-US"/>
        </w:rPr>
      </w:pPr>
      <w:r>
        <w:rPr>
          <w:rFonts w:hint="eastAsia" w:ascii="Times New Roman" w:hAnsi="Times New Roman" w:eastAsia="楷体_GB2312"/>
          <w:color w:val="auto"/>
          <w:sz w:val="28"/>
          <w:highlight w:val="none"/>
        </w:rPr>
        <w:t>德阳市罗江区财政局</w:t>
      </w:r>
      <w:r>
        <w:rPr>
          <w:rFonts w:hint="eastAsia" w:ascii="Times New Roman" w:hAnsi="Times New Roman" w:eastAsia="楷体_GB2312"/>
          <w:color w:val="auto"/>
          <w:sz w:val="28"/>
          <w:highlight w:val="none"/>
          <w:lang w:val="en-US" w:eastAsia="zh-CN"/>
        </w:rPr>
        <w:t xml:space="preserve"> 陈强</w:t>
      </w:r>
    </w:p>
    <w:p>
      <w:pPr>
        <w:keepNext w:val="0"/>
        <w:keepLines w:val="0"/>
        <w:pageBreakBefore w:val="0"/>
        <w:widowControl w:val="0"/>
        <w:kinsoku/>
        <w:wordWrap/>
        <w:overflowPunct/>
        <w:topLinePunct w:val="0"/>
        <w:autoSpaceDE/>
        <w:autoSpaceDN/>
        <w:bidi w:val="0"/>
        <w:adjustRightInd/>
        <w:spacing w:line="560" w:lineRule="exact"/>
        <w:rPr>
          <w:rFonts w:ascii="Times New Roman" w:hAnsi="Times New Roman" w:eastAsia="仿宋"/>
          <w:color w:val="auto"/>
          <w:szCs w:val="32"/>
          <w:highlight w:val="none"/>
        </w:rPr>
      </w:pPr>
    </w:p>
    <w:p>
      <w:pPr>
        <w:keepNext w:val="0"/>
        <w:keepLines w:val="0"/>
        <w:pageBreakBefore w:val="0"/>
        <w:widowControl w:val="0"/>
        <w:kinsoku/>
        <w:wordWrap/>
        <w:overflowPunct/>
        <w:topLinePunct w:val="0"/>
        <w:autoSpaceDE/>
        <w:autoSpaceDN/>
        <w:bidi w:val="0"/>
        <w:adjustRightInd/>
        <w:snapToGrid w:val="0"/>
        <w:spacing w:line="560" w:lineRule="exact"/>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各位代表：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受区政府委托，我向本次会议报告德阳市罗江区20</w:t>
      </w:r>
      <w:r>
        <w:rPr>
          <w:rFonts w:hint="eastAsia" w:ascii="Times New Roman" w:hAnsi="Times New Roman" w:eastAsia="仿宋_GB2312" w:cs="仿宋_GB2312"/>
          <w:color w:val="auto"/>
          <w:sz w:val="32"/>
          <w:szCs w:val="32"/>
          <w:highlight w:val="none"/>
          <w:lang w:val="en-US" w:eastAsia="zh-CN"/>
        </w:rPr>
        <w:t>21</w:t>
      </w:r>
      <w:r>
        <w:rPr>
          <w:rFonts w:hint="eastAsia" w:ascii="Times New Roman" w:hAnsi="Times New Roman" w:eastAsia="仿宋_GB2312" w:cs="仿宋_GB2312"/>
          <w:color w:val="auto"/>
          <w:sz w:val="32"/>
          <w:szCs w:val="32"/>
          <w:highlight w:val="none"/>
        </w:rPr>
        <w:t>年财政预算执行情况和20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年财政预算草案，请予审议。</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黑体" w:cs="黑体"/>
          <w:color w:val="auto"/>
          <w:sz w:val="32"/>
          <w:szCs w:val="32"/>
          <w:highlight w:val="none"/>
        </w:rPr>
        <w:t>一、20</w:t>
      </w:r>
      <w:r>
        <w:rPr>
          <w:rFonts w:hint="eastAsia" w:ascii="Times New Roman" w:hAnsi="Times New Roman" w:eastAsia="黑体" w:cs="黑体"/>
          <w:color w:val="auto"/>
          <w:sz w:val="32"/>
          <w:szCs w:val="32"/>
          <w:highlight w:val="none"/>
          <w:lang w:val="en-US" w:eastAsia="zh-CN"/>
        </w:rPr>
        <w:t>21</w:t>
      </w:r>
      <w:r>
        <w:rPr>
          <w:rFonts w:hint="eastAsia" w:ascii="Times New Roman" w:hAnsi="Times New Roman" w:eastAsia="黑体" w:cs="黑体"/>
          <w:color w:val="auto"/>
          <w:sz w:val="32"/>
          <w:szCs w:val="32"/>
          <w:highlight w:val="none"/>
        </w:rPr>
        <w:t>年财政预算执行情况</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是“十四五”开局之年，</w:t>
      </w:r>
      <w:r>
        <w:rPr>
          <w:rFonts w:hint="eastAsia" w:ascii="Times New Roman" w:hAnsi="Times New Roman" w:eastAsia="仿宋_GB2312" w:cs="仿宋_GB2312"/>
          <w:color w:val="auto"/>
          <w:sz w:val="32"/>
          <w:szCs w:val="32"/>
          <w:highlight w:val="none"/>
        </w:rPr>
        <w:t>区财政在区委、区政府的坚强领导下，在区人大、区政协的监督和支持下，全面贯彻落实</w:t>
      </w:r>
      <w:r>
        <w:rPr>
          <w:rFonts w:hint="eastAsia" w:ascii="Times New Roman" w:hAnsi="Times New Roman" w:eastAsia="仿宋_GB2312" w:cs="仿宋_GB2312"/>
          <w:color w:val="auto"/>
          <w:sz w:val="32"/>
          <w:szCs w:val="32"/>
          <w:highlight w:val="none"/>
          <w:lang w:eastAsia="zh-CN"/>
        </w:rPr>
        <w:t>中、省、市、区</w:t>
      </w:r>
      <w:r>
        <w:rPr>
          <w:rFonts w:hint="eastAsia" w:ascii="Times New Roman" w:hAnsi="Times New Roman" w:eastAsia="仿宋_GB2312" w:cs="仿宋_GB2312"/>
          <w:color w:val="auto"/>
          <w:sz w:val="32"/>
          <w:szCs w:val="32"/>
          <w:highlight w:val="none"/>
        </w:rPr>
        <w:t>战略决策部署，坚持稳增长促发展不动摇，</w:t>
      </w:r>
      <w:r>
        <w:rPr>
          <w:rFonts w:hint="eastAsia" w:ascii="Times New Roman" w:hAnsi="Times New Roman" w:eastAsia="仿宋_GB2312" w:cs="仿宋_GB2312"/>
          <w:color w:val="auto"/>
          <w:sz w:val="32"/>
          <w:szCs w:val="32"/>
          <w:highlight w:val="none"/>
          <w:lang w:val="en-US" w:eastAsia="zh-CN"/>
        </w:rPr>
        <w:t>高效</w:t>
      </w:r>
      <w:r>
        <w:rPr>
          <w:rFonts w:hint="eastAsia" w:ascii="Times New Roman" w:hAnsi="Times New Roman" w:eastAsia="仿宋_GB2312" w:cs="仿宋_GB2312"/>
          <w:color w:val="auto"/>
          <w:sz w:val="32"/>
          <w:szCs w:val="32"/>
          <w:highlight w:val="none"/>
        </w:rPr>
        <w:t>推进</w:t>
      </w:r>
      <w:r>
        <w:rPr>
          <w:rFonts w:hint="eastAsia" w:ascii="Times New Roman" w:hAnsi="Times New Roman" w:eastAsia="仿宋_GB2312" w:cs="仿宋_GB2312"/>
          <w:color w:val="auto"/>
          <w:sz w:val="32"/>
          <w:szCs w:val="32"/>
          <w:highlight w:val="none"/>
          <w:lang w:eastAsia="zh-CN"/>
        </w:rPr>
        <w:t>财政高质量发展</w:t>
      </w:r>
      <w:r>
        <w:rPr>
          <w:rFonts w:hint="eastAsia" w:ascii="Times New Roman" w:hAnsi="Times New Roman" w:eastAsia="仿宋_GB2312" w:cs="仿宋_GB2312"/>
          <w:color w:val="auto"/>
          <w:sz w:val="32"/>
          <w:szCs w:val="32"/>
          <w:highlight w:val="none"/>
        </w:rPr>
        <w:t>，全区财政收入稳定增长，支出结构不断优化，财政服务大局能力不断提升。</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楷体_GB2312" w:cs="楷体_GB2312"/>
          <w:b/>
          <w:color w:val="auto"/>
          <w:sz w:val="32"/>
          <w:szCs w:val="32"/>
          <w:highlight w:val="none"/>
          <w:lang w:val="en-US" w:eastAsia="zh-CN"/>
        </w:rPr>
      </w:pPr>
      <w:r>
        <w:rPr>
          <w:rFonts w:hint="eastAsia" w:ascii="Times New Roman" w:hAnsi="Times New Roman" w:eastAsia="楷体_GB2312" w:cs="楷体_GB2312"/>
          <w:b/>
          <w:color w:val="auto"/>
          <w:sz w:val="32"/>
          <w:szCs w:val="32"/>
          <w:highlight w:val="none"/>
          <w:lang w:eastAsia="zh-CN"/>
        </w:rPr>
        <w:t>（</w:t>
      </w:r>
      <w:r>
        <w:rPr>
          <w:rFonts w:hint="eastAsia" w:ascii="Times New Roman" w:hAnsi="Times New Roman" w:eastAsia="楷体_GB2312" w:cs="楷体_GB2312"/>
          <w:b/>
          <w:color w:val="auto"/>
          <w:sz w:val="32"/>
          <w:szCs w:val="32"/>
          <w:highlight w:val="none"/>
          <w:lang w:val="en-US" w:eastAsia="zh-CN"/>
        </w:rPr>
        <w:t>一</w:t>
      </w:r>
      <w:r>
        <w:rPr>
          <w:rFonts w:hint="eastAsia" w:ascii="Times New Roman" w:hAnsi="Times New Roman" w:eastAsia="楷体_GB2312" w:cs="楷体_GB2312"/>
          <w:b/>
          <w:color w:val="auto"/>
          <w:sz w:val="32"/>
          <w:szCs w:val="32"/>
          <w:highlight w:val="none"/>
          <w:lang w:eastAsia="zh-CN"/>
        </w:rPr>
        <w:t>）</w:t>
      </w:r>
      <w:r>
        <w:rPr>
          <w:rFonts w:hint="eastAsia" w:ascii="Times New Roman" w:hAnsi="Times New Roman" w:eastAsia="楷体_GB2312" w:cs="楷体_GB2312"/>
          <w:b/>
          <w:color w:val="auto"/>
          <w:sz w:val="32"/>
          <w:szCs w:val="32"/>
          <w:highlight w:val="none"/>
          <w:lang w:val="en-US" w:eastAsia="zh-CN"/>
        </w:rPr>
        <w:t>预算执行情况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截止报告日，2021年区级财政预算还在执行当中，以下数据均为全年预计数。</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val="en-US" w:eastAsia="zh-CN"/>
        </w:rPr>
        <w:t>1.</w:t>
      </w:r>
      <w:r>
        <w:rPr>
          <w:rFonts w:hint="eastAsia" w:ascii="Times New Roman" w:hAnsi="Times New Roman" w:eastAsia="仿宋_GB2312" w:cs="仿宋_GB2312"/>
          <w:b/>
          <w:bCs/>
          <w:color w:val="auto"/>
          <w:sz w:val="32"/>
          <w:szCs w:val="32"/>
          <w:highlight w:val="none"/>
        </w:rPr>
        <w:t>一般公共预算</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val="en-US" w:eastAsia="zh-CN"/>
        </w:rPr>
        <w:t>2021年，</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地方一般公共预算收入</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63000</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完成</w:t>
      </w:r>
      <w:r>
        <w:rPr>
          <w:rFonts w:hint="eastAsia" w:ascii="Times New Roman" w:hAnsi="Times New Roman" w:eastAsia="仿宋_GB2312" w:cs="仿宋_GB2312"/>
          <w:color w:val="auto"/>
          <w:sz w:val="32"/>
          <w:szCs w:val="32"/>
          <w:highlight w:val="none"/>
          <w:lang w:eastAsia="zh-CN"/>
        </w:rPr>
        <w:t>调整</w:t>
      </w:r>
      <w:r>
        <w:rPr>
          <w:rFonts w:hint="eastAsia" w:ascii="Times New Roman" w:hAnsi="Times New Roman" w:eastAsia="仿宋_GB2312" w:cs="仿宋_GB2312"/>
          <w:color w:val="auto"/>
          <w:sz w:val="32"/>
          <w:szCs w:val="32"/>
          <w:highlight w:val="none"/>
        </w:rPr>
        <w:t>预算的</w:t>
      </w:r>
      <w:r>
        <w:rPr>
          <w:rFonts w:hint="eastAsia" w:ascii="Times New Roman" w:hAnsi="Times New Roman" w:eastAsia="仿宋_GB2312" w:cs="仿宋_GB2312"/>
          <w:color w:val="auto"/>
          <w:sz w:val="32"/>
          <w:szCs w:val="32"/>
          <w:highlight w:val="none"/>
          <w:lang w:val="en-US" w:eastAsia="zh-CN"/>
        </w:rPr>
        <w:t>105</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同比增长29.4%；</w:t>
      </w:r>
      <w:r>
        <w:rPr>
          <w:rFonts w:hint="eastAsia" w:ascii="Times New Roman" w:hAnsi="Times New Roman" w:eastAsia="仿宋_GB2312" w:cs="仿宋_GB2312"/>
          <w:color w:val="auto"/>
          <w:sz w:val="32"/>
          <w:szCs w:val="32"/>
          <w:highlight w:val="none"/>
        </w:rPr>
        <w:t>加上级补助、上年结转、调入资金、</w:t>
      </w:r>
      <w:r>
        <w:rPr>
          <w:rFonts w:hint="eastAsia" w:ascii="Times New Roman" w:hAnsi="Times New Roman" w:eastAsia="仿宋_GB2312" w:cs="仿宋_GB2312"/>
          <w:color w:val="auto"/>
          <w:sz w:val="32"/>
          <w:szCs w:val="32"/>
          <w:highlight w:val="none"/>
          <w:lang w:val="en-US" w:eastAsia="zh-CN"/>
        </w:rPr>
        <w:t>动用预算稳定调节基金、</w:t>
      </w:r>
      <w:r>
        <w:rPr>
          <w:rFonts w:hint="eastAsia" w:ascii="Times New Roman" w:hAnsi="Times New Roman" w:eastAsia="仿宋_GB2312" w:cs="仿宋_GB2312"/>
          <w:color w:val="auto"/>
          <w:sz w:val="32"/>
          <w:szCs w:val="32"/>
          <w:highlight w:val="none"/>
        </w:rPr>
        <w:t>地方政府一般债务转贷收入等</w:t>
      </w:r>
      <w:r>
        <w:rPr>
          <w:rFonts w:hint="eastAsia" w:ascii="Times New Roman" w:hAnsi="Times New Roman" w:eastAsia="仿宋_GB2312" w:cs="仿宋_GB2312"/>
          <w:color w:val="auto"/>
          <w:sz w:val="32"/>
          <w:szCs w:val="32"/>
          <w:highlight w:val="none"/>
          <w:lang w:val="en-US" w:eastAsia="zh-CN"/>
        </w:rPr>
        <w:t>162957</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后</w:t>
      </w:r>
      <w:r>
        <w:rPr>
          <w:rFonts w:hint="eastAsia" w:ascii="Times New Roman" w:hAnsi="Times New Roman" w:eastAsia="仿宋_GB2312" w:cs="仿宋_GB2312"/>
          <w:color w:val="auto"/>
          <w:sz w:val="32"/>
          <w:szCs w:val="32"/>
          <w:highlight w:val="none"/>
        </w:rPr>
        <w:t>，可供安排的收入总量</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为</w:t>
      </w:r>
      <w:r>
        <w:rPr>
          <w:rFonts w:hint="eastAsia" w:ascii="Times New Roman" w:hAnsi="Times New Roman" w:eastAsia="仿宋_GB2312" w:cs="仿宋_GB2312"/>
          <w:color w:val="auto"/>
          <w:sz w:val="32"/>
          <w:szCs w:val="32"/>
          <w:highlight w:val="none"/>
          <w:lang w:val="en-US" w:eastAsia="zh-CN"/>
        </w:rPr>
        <w:t>225957</w:t>
      </w:r>
      <w:r>
        <w:rPr>
          <w:rFonts w:hint="eastAsia" w:ascii="Times New Roman" w:hAnsi="Times New Roman" w:eastAsia="仿宋_GB2312" w:cs="仿宋_GB2312"/>
          <w:color w:val="auto"/>
          <w:sz w:val="32"/>
          <w:szCs w:val="32"/>
          <w:highlight w:val="none"/>
        </w:rPr>
        <w:t>万元。全</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一般公共预算支出</w:t>
      </w:r>
      <w:r>
        <w:rPr>
          <w:rFonts w:hint="eastAsia" w:ascii="Times New Roman" w:hAnsi="Times New Roman" w:eastAsia="仿宋_GB2312" w:cs="仿宋_GB2312"/>
          <w:color w:val="auto"/>
          <w:sz w:val="32"/>
          <w:szCs w:val="32"/>
          <w:highlight w:val="none"/>
          <w:lang w:val="en-US" w:eastAsia="zh-CN"/>
        </w:rPr>
        <w:t>预计为</w:t>
      </w:r>
      <w:r>
        <w:rPr>
          <w:rFonts w:hint="eastAsia" w:ascii="Times New Roman" w:hAnsi="Times New Roman" w:eastAsia="仿宋_GB2312" w:cs="仿宋_GB2312"/>
          <w:sz w:val="32"/>
          <w:szCs w:val="32"/>
          <w:highlight w:val="none"/>
          <w:lang w:val="en-US" w:eastAsia="zh-CN"/>
        </w:rPr>
        <w:t>172000</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完成</w:t>
      </w:r>
      <w:r>
        <w:rPr>
          <w:rFonts w:hint="eastAsia" w:ascii="Times New Roman" w:hAnsi="Times New Roman" w:eastAsia="仿宋_GB2312" w:cs="仿宋_GB2312"/>
          <w:color w:val="auto"/>
          <w:sz w:val="32"/>
          <w:szCs w:val="32"/>
          <w:highlight w:val="none"/>
          <w:lang w:eastAsia="zh-CN"/>
        </w:rPr>
        <w:t>调整</w:t>
      </w:r>
      <w:r>
        <w:rPr>
          <w:rFonts w:hint="eastAsia" w:ascii="Times New Roman" w:hAnsi="Times New Roman" w:eastAsia="仿宋_GB2312" w:cs="仿宋_GB2312"/>
          <w:color w:val="auto"/>
          <w:sz w:val="32"/>
          <w:szCs w:val="32"/>
          <w:highlight w:val="none"/>
        </w:rPr>
        <w:t>预算的</w:t>
      </w:r>
      <w:r>
        <w:rPr>
          <w:rFonts w:hint="eastAsia" w:ascii="Times New Roman" w:hAnsi="Times New Roman" w:eastAsia="仿宋_GB2312" w:cs="仿宋_GB2312"/>
          <w:color w:val="auto"/>
          <w:sz w:val="32"/>
          <w:szCs w:val="32"/>
          <w:highlight w:val="none"/>
          <w:lang w:val="en-US" w:eastAsia="zh-CN"/>
        </w:rPr>
        <w:t>94.75</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同比</w:t>
      </w:r>
      <w:r>
        <w:rPr>
          <w:rFonts w:hint="eastAsia" w:ascii="Times New Roman" w:hAnsi="Times New Roman" w:eastAsia="仿宋_GB2312" w:cs="仿宋_GB2312"/>
          <w:color w:val="auto"/>
          <w:sz w:val="32"/>
          <w:szCs w:val="32"/>
          <w:highlight w:val="none"/>
        </w:rPr>
        <w:t>增长</w:t>
      </w:r>
      <w:r>
        <w:rPr>
          <w:rFonts w:hint="eastAsia" w:ascii="Times New Roman" w:hAnsi="Times New Roman" w:eastAsia="仿宋_GB2312" w:cs="仿宋_GB2312"/>
          <w:color w:val="auto"/>
          <w:sz w:val="32"/>
          <w:szCs w:val="32"/>
          <w:highlight w:val="none"/>
          <w:lang w:val="en-US" w:eastAsia="zh-CN"/>
        </w:rPr>
        <w:t>1.16</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；加</w:t>
      </w:r>
      <w:r>
        <w:rPr>
          <w:rFonts w:hint="eastAsia" w:ascii="Times New Roman" w:hAnsi="Times New Roman" w:eastAsia="仿宋_GB2312" w:cs="仿宋_GB2312"/>
          <w:color w:val="auto"/>
          <w:sz w:val="32"/>
          <w:szCs w:val="32"/>
          <w:highlight w:val="none"/>
        </w:rPr>
        <w:t>上缴上级支出、地方政府一般债务还本支出等</w:t>
      </w:r>
      <w:r>
        <w:rPr>
          <w:rFonts w:hint="eastAsia" w:ascii="Times New Roman" w:hAnsi="Times New Roman" w:eastAsia="仿宋_GB2312" w:cs="仿宋_GB2312"/>
          <w:color w:val="auto"/>
          <w:sz w:val="32"/>
          <w:szCs w:val="32"/>
          <w:highlight w:val="none"/>
          <w:lang w:val="en-US" w:eastAsia="zh-CN"/>
        </w:rPr>
        <w:t>39104万元</w:t>
      </w:r>
      <w:r>
        <w:rPr>
          <w:rFonts w:hint="eastAsia" w:ascii="Times New Roman" w:hAnsi="Times New Roman" w:eastAsia="仿宋_GB2312" w:cs="仿宋_GB2312"/>
          <w:color w:val="auto"/>
          <w:sz w:val="32"/>
          <w:szCs w:val="32"/>
          <w:highlight w:val="none"/>
        </w:rPr>
        <w:t>后</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kern w:val="2"/>
          <w:sz w:val="32"/>
          <w:szCs w:val="32"/>
          <w:highlight w:val="none"/>
          <w:lang w:val="en-US" w:eastAsia="zh-CN" w:bidi="ar-SA"/>
        </w:rPr>
        <w:t>支出总量预计为211104万元。收入总量减去支出后，</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val="en-US" w:eastAsia="zh-CN"/>
        </w:rPr>
        <w:t>区结存</w:t>
      </w:r>
      <w:r>
        <w:rPr>
          <w:rFonts w:hint="eastAsia" w:ascii="Times New Roman" w:hAnsi="Times New Roman" w:eastAsia="仿宋_GB2312" w:cs="仿宋_GB2312"/>
          <w:color w:val="auto"/>
          <w:sz w:val="32"/>
          <w:szCs w:val="32"/>
          <w:highlight w:val="none"/>
        </w:rPr>
        <w:t>资金</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14853万</w:t>
      </w:r>
      <w:r>
        <w:rPr>
          <w:rFonts w:hint="eastAsia" w:ascii="Times New Roman" w:hAnsi="Times New Roman" w:eastAsia="仿宋_GB2312" w:cs="仿宋_GB2312"/>
          <w:color w:val="auto"/>
          <w:sz w:val="32"/>
          <w:szCs w:val="32"/>
          <w:highlight w:val="none"/>
        </w:rPr>
        <w:t>元。结存资金按规定清理后，补充预算稳定调节基金</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6000万</w:t>
      </w:r>
      <w:r>
        <w:rPr>
          <w:rFonts w:hint="eastAsia" w:ascii="Times New Roman" w:hAnsi="Times New Roman" w:eastAsia="仿宋_GB2312" w:cs="仿宋_GB2312"/>
          <w:color w:val="auto"/>
          <w:sz w:val="32"/>
          <w:szCs w:val="32"/>
          <w:highlight w:val="none"/>
        </w:rPr>
        <w:t>元、因项目跨年实施需要结转下年继续使用</w:t>
      </w:r>
      <w:r>
        <w:rPr>
          <w:rFonts w:hint="eastAsia" w:ascii="Times New Roman" w:hAnsi="Times New Roman" w:eastAsia="仿宋_GB2312" w:cs="仿宋_GB2312"/>
          <w:color w:val="auto"/>
          <w:sz w:val="32"/>
          <w:szCs w:val="32"/>
          <w:highlight w:val="none"/>
          <w:lang w:eastAsia="zh-CN"/>
        </w:rPr>
        <w:t>资金预计为</w:t>
      </w:r>
      <w:r>
        <w:rPr>
          <w:rFonts w:hint="eastAsia" w:ascii="Times New Roman" w:hAnsi="Times New Roman" w:eastAsia="仿宋_GB2312" w:cs="仿宋_GB2312"/>
          <w:color w:val="auto"/>
          <w:sz w:val="32"/>
          <w:szCs w:val="32"/>
          <w:highlight w:val="none"/>
          <w:lang w:val="en-US" w:eastAsia="zh-CN"/>
        </w:rPr>
        <w:t>8853万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实现收支平衡</w:t>
      </w:r>
      <w:r>
        <w:rPr>
          <w:rFonts w:hint="eastAsia" w:ascii="Times New Roman" w:hAnsi="Times New Roman"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级一般公共预算超收收入</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3000万</w:t>
      </w:r>
      <w:r>
        <w:rPr>
          <w:rFonts w:hint="eastAsia" w:ascii="Times New Roman" w:hAnsi="Times New Roman" w:eastAsia="仿宋_GB2312" w:cs="仿宋_GB2312"/>
          <w:color w:val="auto"/>
          <w:sz w:val="32"/>
          <w:szCs w:val="32"/>
          <w:highlight w:val="none"/>
        </w:rPr>
        <w:t>元，全部按规定补充预算稳定调节基金。</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级一般公共预算年初安排的预备费</w:t>
      </w:r>
      <w:r>
        <w:rPr>
          <w:rFonts w:hint="eastAsia" w:ascii="Times New Roman" w:hAnsi="Times New Roman" w:eastAsia="仿宋_GB2312" w:cs="仿宋_GB2312"/>
          <w:color w:val="auto"/>
          <w:sz w:val="32"/>
          <w:szCs w:val="32"/>
          <w:highlight w:val="none"/>
          <w:lang w:val="en-US" w:eastAsia="zh-CN"/>
        </w:rPr>
        <w:t>1200万元，</w:t>
      </w:r>
      <w:r>
        <w:rPr>
          <w:rFonts w:hint="eastAsia" w:ascii="Times New Roman" w:hAnsi="Times New Roman" w:eastAsia="仿宋_GB2312" w:cs="仿宋_GB2312"/>
          <w:color w:val="auto"/>
          <w:sz w:val="32"/>
          <w:szCs w:val="32"/>
          <w:highlight w:val="none"/>
        </w:rPr>
        <w:t>全部按规定补充预算稳定调节基金</w:t>
      </w:r>
      <w:r>
        <w:rPr>
          <w:rFonts w:hint="eastAsia" w:ascii="Times New Roman" w:hAnsi="Times New Roman"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区级</w:t>
      </w:r>
      <w:r>
        <w:rPr>
          <w:rFonts w:hint="eastAsia" w:ascii="Times New Roman" w:hAnsi="Times New Roman" w:eastAsia="仿宋_GB2312" w:cs="仿宋_GB2312"/>
          <w:color w:val="auto"/>
          <w:sz w:val="32"/>
          <w:szCs w:val="32"/>
          <w:highlight w:val="none"/>
        </w:rPr>
        <w:t>预算稳定调节基金规模和使用情况：</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经</w:t>
      </w:r>
      <w:r>
        <w:rPr>
          <w:rFonts w:hint="eastAsia" w:ascii="Times New Roman" w:hAnsi="Times New Roman" w:eastAsia="仿宋_GB2312" w:cs="仿宋_GB2312"/>
          <w:color w:val="auto"/>
          <w:sz w:val="32"/>
          <w:szCs w:val="32"/>
          <w:highlight w:val="none"/>
          <w:lang w:val="en-US" w:eastAsia="zh-CN"/>
        </w:rPr>
        <w:t>区一届人大四次会议批准，动用</w:t>
      </w:r>
      <w:r>
        <w:rPr>
          <w:rFonts w:hint="eastAsia" w:ascii="Times New Roman" w:hAnsi="Times New Roman" w:eastAsia="仿宋_GB2312" w:cs="仿宋_GB2312"/>
          <w:color w:val="auto"/>
          <w:sz w:val="32"/>
          <w:szCs w:val="32"/>
          <w:highlight w:val="none"/>
        </w:rPr>
        <w:t>预算稳定调节基金</w:t>
      </w:r>
      <w:r>
        <w:rPr>
          <w:rFonts w:hint="eastAsia" w:ascii="Times New Roman" w:hAnsi="Times New Roman" w:eastAsia="仿宋_GB2312" w:cs="仿宋_GB2312"/>
          <w:color w:val="auto"/>
          <w:sz w:val="32"/>
          <w:szCs w:val="32"/>
          <w:highlight w:val="none"/>
          <w:lang w:val="en-US" w:eastAsia="zh-CN"/>
        </w:rPr>
        <w:t>5000万元</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经</w:t>
      </w:r>
      <w:r>
        <w:rPr>
          <w:rFonts w:hint="eastAsia" w:ascii="Times New Roman" w:hAnsi="Times New Roman" w:eastAsia="仿宋_GB2312" w:cs="仿宋_GB2312"/>
          <w:color w:val="auto"/>
          <w:sz w:val="32"/>
          <w:szCs w:val="32"/>
          <w:highlight w:val="none"/>
        </w:rPr>
        <w:t>区一届人大常委会第</w:t>
      </w:r>
      <w:r>
        <w:rPr>
          <w:rFonts w:hint="eastAsia" w:ascii="Times New Roman" w:hAnsi="Times New Roman" w:eastAsia="仿宋_GB2312" w:cs="仿宋_GB2312"/>
          <w:color w:val="auto"/>
          <w:sz w:val="32"/>
          <w:szCs w:val="32"/>
          <w:highlight w:val="none"/>
          <w:lang w:eastAsia="zh-CN"/>
        </w:rPr>
        <w:t>四十四</w:t>
      </w:r>
      <w:r>
        <w:rPr>
          <w:rFonts w:hint="eastAsia" w:ascii="Times New Roman" w:hAnsi="Times New Roman" w:eastAsia="仿宋_GB2312" w:cs="仿宋_GB2312"/>
          <w:color w:val="auto"/>
          <w:sz w:val="32"/>
          <w:szCs w:val="32"/>
          <w:highlight w:val="none"/>
        </w:rPr>
        <w:t>次会议</w:t>
      </w:r>
      <w:r>
        <w:rPr>
          <w:rFonts w:hint="eastAsia" w:ascii="Times New Roman" w:hAnsi="Times New Roman" w:eastAsia="仿宋_GB2312" w:cs="仿宋_GB2312"/>
          <w:color w:val="auto"/>
          <w:sz w:val="32"/>
          <w:szCs w:val="32"/>
          <w:highlight w:val="none"/>
          <w:lang w:val="en-US" w:eastAsia="zh-CN"/>
        </w:rPr>
        <w:t>批准，</w:t>
      </w:r>
      <w:r>
        <w:rPr>
          <w:rFonts w:hint="eastAsia" w:ascii="Times New Roman" w:hAnsi="Times New Roman" w:eastAsia="仿宋_GB2312" w:cs="仿宋_GB2312"/>
          <w:color w:val="auto"/>
          <w:sz w:val="32"/>
          <w:szCs w:val="32"/>
          <w:highlight w:val="none"/>
        </w:rPr>
        <w:t>动用预算稳定调节基金</w:t>
      </w:r>
      <w:r>
        <w:rPr>
          <w:rFonts w:hint="eastAsia" w:ascii="Times New Roman" w:hAnsi="Times New Roman" w:eastAsia="仿宋_GB2312" w:cs="仿宋_GB2312"/>
          <w:color w:val="auto"/>
          <w:sz w:val="32"/>
          <w:szCs w:val="32"/>
          <w:highlight w:val="none"/>
          <w:lang w:val="en-US" w:eastAsia="zh-CN"/>
        </w:rPr>
        <w:t>1966</w:t>
      </w:r>
      <w:r>
        <w:rPr>
          <w:rFonts w:hint="eastAsia" w:ascii="Times New Roman" w:hAnsi="Times New Roman" w:eastAsia="仿宋_GB2312" w:cs="仿宋_GB2312"/>
          <w:color w:val="auto"/>
          <w:sz w:val="32"/>
          <w:szCs w:val="32"/>
          <w:highlight w:val="none"/>
        </w:rPr>
        <w:t>万元</w:t>
      </w:r>
      <w:r>
        <w:rPr>
          <w:rFonts w:hint="eastAsia" w:ascii="Times New Roman" w:hAnsi="Times New Roman" w:eastAsia="仿宋_GB2312" w:cs="仿宋_GB2312"/>
          <w:color w:val="auto"/>
          <w:sz w:val="32"/>
          <w:szCs w:val="32"/>
          <w:highlight w:val="none"/>
          <w:lang w:val="en-US" w:eastAsia="zh-CN"/>
        </w:rPr>
        <w:t>，预算稳定调节基金全部动用。</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年终决算</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区财政</w:t>
      </w:r>
      <w:r>
        <w:rPr>
          <w:rFonts w:hint="eastAsia" w:ascii="Times New Roman" w:hAnsi="Times New Roman" w:eastAsia="仿宋_GB2312" w:cs="仿宋_GB2312"/>
          <w:color w:val="auto"/>
          <w:sz w:val="32"/>
          <w:szCs w:val="32"/>
          <w:highlight w:val="none"/>
        </w:rPr>
        <w:t>按规定将财政存量资金、</w:t>
      </w:r>
      <w:r>
        <w:rPr>
          <w:rFonts w:hint="eastAsia" w:ascii="Times New Roman" w:hAnsi="Times New Roman" w:eastAsia="仿宋_GB2312" w:cs="仿宋_GB2312"/>
          <w:color w:val="auto"/>
          <w:sz w:val="32"/>
          <w:szCs w:val="32"/>
          <w:highlight w:val="none"/>
          <w:lang w:eastAsia="zh-CN"/>
        </w:rPr>
        <w:t>区级</w:t>
      </w:r>
      <w:r>
        <w:rPr>
          <w:rFonts w:hint="eastAsia" w:ascii="Times New Roman" w:hAnsi="Times New Roman" w:eastAsia="仿宋_GB2312" w:cs="仿宋_GB2312"/>
          <w:color w:val="auto"/>
          <w:sz w:val="32"/>
          <w:szCs w:val="32"/>
          <w:highlight w:val="none"/>
        </w:rPr>
        <w:t>一般公共预算超收收入、年终净结余等共计</w:t>
      </w:r>
      <w:r>
        <w:rPr>
          <w:rFonts w:hint="eastAsia" w:ascii="Times New Roman" w:hAnsi="Times New Roman" w:eastAsia="仿宋_GB2312" w:cs="仿宋_GB2312"/>
          <w:color w:val="auto"/>
          <w:sz w:val="32"/>
          <w:szCs w:val="32"/>
          <w:highlight w:val="none"/>
          <w:lang w:val="en-US" w:eastAsia="zh-CN"/>
        </w:rPr>
        <w:t>6000万元</w:t>
      </w:r>
      <w:r>
        <w:rPr>
          <w:rFonts w:hint="eastAsia" w:ascii="Times New Roman" w:hAnsi="Times New Roman" w:eastAsia="仿宋_GB2312" w:cs="仿宋_GB2312"/>
          <w:color w:val="auto"/>
          <w:sz w:val="32"/>
          <w:szCs w:val="32"/>
          <w:highlight w:val="none"/>
        </w:rPr>
        <w:t>补充预算稳定调节基金，</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年末</w:t>
      </w:r>
      <w:r>
        <w:rPr>
          <w:rFonts w:hint="eastAsia" w:ascii="Times New Roman" w:hAnsi="Times New Roman" w:eastAsia="仿宋_GB2312" w:cs="仿宋_GB2312"/>
          <w:color w:val="auto"/>
          <w:sz w:val="32"/>
          <w:szCs w:val="32"/>
          <w:highlight w:val="none"/>
          <w:lang w:val="en-US" w:eastAsia="zh-CN"/>
        </w:rPr>
        <w:t>预算稳定调节</w:t>
      </w:r>
      <w:r>
        <w:rPr>
          <w:rFonts w:hint="eastAsia" w:ascii="Times New Roman" w:hAnsi="Times New Roman" w:eastAsia="仿宋_GB2312" w:cs="仿宋_GB2312"/>
          <w:color w:val="auto"/>
          <w:sz w:val="32"/>
          <w:szCs w:val="32"/>
          <w:highlight w:val="none"/>
        </w:rPr>
        <w:t>基金余额</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为</w:t>
      </w:r>
      <w:r>
        <w:rPr>
          <w:rFonts w:hint="eastAsia" w:ascii="Times New Roman" w:hAnsi="Times New Roman" w:eastAsia="仿宋_GB2312" w:cs="仿宋_GB2312"/>
          <w:color w:val="auto"/>
          <w:sz w:val="32"/>
          <w:szCs w:val="32"/>
          <w:highlight w:val="none"/>
          <w:lang w:val="en-US" w:eastAsia="zh-CN"/>
        </w:rPr>
        <w:t>6000万</w:t>
      </w:r>
      <w:r>
        <w:rPr>
          <w:rFonts w:hint="eastAsia" w:ascii="Times New Roman" w:hAnsi="Times New Roman" w:eastAsia="仿宋_GB2312" w:cs="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一般公共预算结转资金</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8853万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主要包括</w:t>
      </w:r>
      <w:r>
        <w:rPr>
          <w:rFonts w:hint="eastAsia" w:ascii="Times New Roman" w:hAnsi="Times New Roman" w:eastAsia="仿宋_GB2312" w:cs="仿宋_GB2312"/>
          <w:color w:val="auto"/>
          <w:sz w:val="32"/>
          <w:szCs w:val="32"/>
          <w:highlight w:val="none"/>
          <w:lang w:val="en-US" w:eastAsia="zh-CN"/>
        </w:rPr>
        <w:t>教育、城乡社区、农林水、资源勘探工业信息</w:t>
      </w:r>
      <w:r>
        <w:rPr>
          <w:rFonts w:hint="eastAsia" w:eastAsia="仿宋_GB2312" w:cs="仿宋_GB2312"/>
          <w:color w:val="auto"/>
          <w:sz w:val="32"/>
          <w:szCs w:val="32"/>
          <w:highlight w:val="none"/>
          <w:lang w:val="en-US" w:eastAsia="zh-CN"/>
        </w:rPr>
        <w:t>、文化旅游体育与传媒、住房保障</w:t>
      </w:r>
      <w:r>
        <w:rPr>
          <w:rFonts w:hint="eastAsia" w:ascii="Times New Roman" w:hAnsi="Times New Roman" w:eastAsia="仿宋_GB2312" w:cs="仿宋_GB2312"/>
          <w:color w:val="auto"/>
          <w:sz w:val="32"/>
          <w:szCs w:val="32"/>
          <w:highlight w:val="none"/>
          <w:lang w:val="en-US" w:eastAsia="zh-CN"/>
        </w:rPr>
        <w:t>等方面。</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2.政府性基金预算</w:t>
      </w:r>
    </w:p>
    <w:p>
      <w:pPr>
        <w:pStyle w:val="8"/>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firstLine="640" w:firstLineChars="200"/>
        <w:jc w:val="both"/>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2021年，全区政府性基金预算收入预计为150000万元，预计完成调整预算的100%，同比增长48.51%；加上级补助、上年结余、地方政府专项债务转贷收入等49060万元后，可供安排的收入总量预计为199060万元。全区政府性基金预算支出预计为160500万元，预计完成调整预算的100%，同比增长6.34%；加调出资金、地方政府专项债务还本支出等38560万元后，支出总量预计为199060万元。收入总量减去支出总量后，实现收支平衡。</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3.国有资本经营预算</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年，全区国有资本经营预算收入</w:t>
      </w:r>
      <w:r>
        <w:rPr>
          <w:rFonts w:hint="eastAsia" w:ascii="Times New Roman" w:hAnsi="Times New Roman" w:eastAsia="仿宋_GB2312" w:cs="仿宋_GB2312"/>
          <w:color w:val="auto"/>
          <w:sz w:val="32"/>
          <w:szCs w:val="32"/>
          <w:highlight w:val="none"/>
          <w:lang w:val="en-US" w:eastAsia="zh-CN"/>
        </w:rPr>
        <w:t>预计为106万元，预计完成调整预算的100%</w:t>
      </w:r>
      <w:r>
        <w:rPr>
          <w:rFonts w:hint="eastAsia" w:ascii="Times New Roman" w:hAnsi="Times New Roman" w:eastAsia="仿宋_GB2312" w:cs="仿宋_GB2312"/>
          <w:color w:val="auto"/>
          <w:sz w:val="32"/>
          <w:szCs w:val="32"/>
          <w:highlight w:val="none"/>
          <w:lang w:eastAsia="zh-CN"/>
        </w:rPr>
        <w:t>，同比增长</w:t>
      </w:r>
      <w:r>
        <w:rPr>
          <w:rFonts w:hint="eastAsia" w:ascii="Times New Roman" w:hAnsi="Times New Roman" w:eastAsia="仿宋_GB2312" w:cs="仿宋_GB2312"/>
          <w:color w:val="auto"/>
          <w:sz w:val="32"/>
          <w:szCs w:val="32"/>
          <w:highlight w:val="none"/>
          <w:lang w:val="en-US" w:eastAsia="zh-CN"/>
        </w:rPr>
        <w:t>55.88%；</w:t>
      </w:r>
      <w:r>
        <w:rPr>
          <w:rFonts w:hint="eastAsia" w:ascii="Times New Roman" w:hAnsi="Times New Roman" w:eastAsia="仿宋_GB2312" w:cs="仿宋_GB2312"/>
          <w:color w:val="auto"/>
          <w:kern w:val="2"/>
          <w:sz w:val="32"/>
          <w:szCs w:val="32"/>
          <w:highlight w:val="none"/>
          <w:lang w:val="en-US" w:eastAsia="zh-CN" w:bidi="ar-SA"/>
        </w:rPr>
        <w:t>可供安排的收入总量预计为</w:t>
      </w:r>
      <w:r>
        <w:rPr>
          <w:rFonts w:hint="eastAsia" w:ascii="Times New Roman" w:hAnsi="Times New Roman" w:eastAsia="仿宋_GB2312" w:cs="仿宋_GB2312"/>
          <w:color w:val="auto"/>
          <w:sz w:val="32"/>
          <w:szCs w:val="32"/>
          <w:highlight w:val="none"/>
          <w:lang w:val="en-US" w:eastAsia="zh-CN"/>
        </w:rPr>
        <w:t>106万元。全区国有资本经营预算支出预计为70万元，预计完成调整预算的100%，同比增长45.83%；加调入一般公共预算支出36万元后，支出总量预计为106万元。</w:t>
      </w:r>
      <w:r>
        <w:rPr>
          <w:rFonts w:hint="eastAsia" w:ascii="Times New Roman" w:hAnsi="Times New Roman" w:eastAsia="仿宋_GB2312" w:cs="仿宋_GB2312"/>
          <w:color w:val="auto"/>
          <w:kern w:val="2"/>
          <w:sz w:val="32"/>
          <w:szCs w:val="32"/>
          <w:highlight w:val="none"/>
          <w:lang w:val="en-US" w:eastAsia="zh-CN" w:bidi="ar-SA"/>
        </w:rPr>
        <w:t>收入总量减去支出总量后，实现收支平衡</w:t>
      </w:r>
      <w:r>
        <w:rPr>
          <w:rFonts w:hint="eastAsia" w:ascii="Times New Roman" w:hAnsi="Times New Roman" w:eastAsia="仿宋_GB2312" w:cs="仿宋_GB2312"/>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4.社会保险基金预算</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2021年，</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社会保险基金预算收入</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7874万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完成</w:t>
      </w:r>
      <w:r>
        <w:rPr>
          <w:rFonts w:hint="eastAsia" w:ascii="Times New Roman" w:hAnsi="Times New Roman" w:eastAsia="仿宋_GB2312" w:cs="仿宋_GB2312"/>
          <w:color w:val="auto"/>
          <w:sz w:val="32"/>
          <w:szCs w:val="32"/>
          <w:highlight w:val="none"/>
          <w:lang w:val="en-US" w:eastAsia="zh-CN"/>
        </w:rPr>
        <w:t>调整</w:t>
      </w:r>
      <w:r>
        <w:rPr>
          <w:rFonts w:hint="eastAsia" w:ascii="Times New Roman" w:hAnsi="Times New Roman" w:eastAsia="仿宋_GB2312" w:cs="仿宋_GB2312"/>
          <w:color w:val="auto"/>
          <w:sz w:val="32"/>
          <w:szCs w:val="32"/>
          <w:highlight w:val="none"/>
        </w:rPr>
        <w:t>预算的</w:t>
      </w:r>
      <w:r>
        <w:rPr>
          <w:rFonts w:hint="eastAsia" w:ascii="Times New Roman" w:hAnsi="Times New Roman"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，同比下降</w:t>
      </w:r>
      <w:r>
        <w:rPr>
          <w:rFonts w:hint="eastAsia" w:ascii="Times New Roman" w:hAnsi="Times New Roman" w:eastAsia="仿宋_GB2312" w:cs="仿宋_GB2312"/>
          <w:color w:val="auto"/>
          <w:sz w:val="32"/>
          <w:szCs w:val="32"/>
          <w:highlight w:val="none"/>
          <w:lang w:val="en-US" w:eastAsia="zh-CN"/>
        </w:rPr>
        <w:t>2.9%</w:t>
      </w:r>
      <w:r>
        <w:rPr>
          <w:rFonts w:hint="eastAsia" w:ascii="Times New Roman" w:hAnsi="Times New Roman" w:eastAsia="仿宋_GB2312" w:cs="仿宋_GB2312"/>
          <w:color w:val="auto"/>
          <w:sz w:val="32"/>
          <w:szCs w:val="32"/>
          <w:highlight w:val="none"/>
        </w:rPr>
        <w:t>；加上年滚存结余</w:t>
      </w:r>
      <w:r>
        <w:rPr>
          <w:rFonts w:hint="eastAsia" w:ascii="Times New Roman" w:hAnsi="Times New Roman" w:eastAsia="仿宋_GB2312"/>
          <w:spacing w:val="0"/>
          <w:sz w:val="32"/>
          <w:szCs w:val="32"/>
          <w:highlight w:val="none"/>
          <w:lang w:val="en-US" w:eastAsia="zh-CN"/>
        </w:rPr>
        <w:t>23985万元</w:t>
      </w:r>
      <w:r>
        <w:rPr>
          <w:rFonts w:hint="eastAsia" w:ascii="Times New Roman" w:hAnsi="Times New Roman" w:eastAsia="仿宋_GB2312" w:cs="仿宋_GB2312"/>
          <w:color w:val="auto"/>
          <w:sz w:val="32"/>
          <w:szCs w:val="32"/>
          <w:highlight w:val="none"/>
        </w:rPr>
        <w:t>后，可供安排的收入总量</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为</w:t>
      </w:r>
      <w:r>
        <w:rPr>
          <w:rFonts w:hint="eastAsia" w:ascii="Times New Roman" w:hAnsi="Times New Roman" w:eastAsia="仿宋_GB2312" w:cs="仿宋_GB2312"/>
          <w:color w:val="auto"/>
          <w:sz w:val="32"/>
          <w:szCs w:val="32"/>
          <w:highlight w:val="none"/>
          <w:lang w:val="en-US" w:eastAsia="zh-CN"/>
        </w:rPr>
        <w:t>31859万</w:t>
      </w:r>
      <w:r>
        <w:rPr>
          <w:rFonts w:hint="eastAsia" w:ascii="Times New Roman" w:hAnsi="Times New Roman" w:eastAsia="仿宋_GB2312" w:cs="仿宋_GB2312"/>
          <w:color w:val="auto"/>
          <w:sz w:val="32"/>
          <w:szCs w:val="32"/>
          <w:highlight w:val="none"/>
        </w:rPr>
        <w:t>元。全</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社会保险基金预算支出</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5755万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完成</w:t>
      </w:r>
      <w:r>
        <w:rPr>
          <w:rFonts w:hint="eastAsia" w:ascii="Times New Roman" w:hAnsi="Times New Roman" w:eastAsia="仿宋_GB2312" w:cs="仿宋_GB2312"/>
          <w:color w:val="auto"/>
          <w:sz w:val="32"/>
          <w:szCs w:val="32"/>
          <w:highlight w:val="none"/>
          <w:lang w:val="en-US" w:eastAsia="zh-CN"/>
        </w:rPr>
        <w:t>调整</w:t>
      </w:r>
      <w:r>
        <w:rPr>
          <w:rFonts w:hint="eastAsia" w:ascii="Times New Roman" w:hAnsi="Times New Roman" w:eastAsia="仿宋_GB2312" w:cs="仿宋_GB2312"/>
          <w:color w:val="auto"/>
          <w:sz w:val="32"/>
          <w:szCs w:val="32"/>
          <w:highlight w:val="none"/>
        </w:rPr>
        <w:t>预算的</w:t>
      </w:r>
      <w:r>
        <w:rPr>
          <w:rFonts w:hint="eastAsia" w:ascii="Times New Roman" w:hAnsi="Times New Roman"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，同比增长</w:t>
      </w:r>
      <w:r>
        <w:rPr>
          <w:rFonts w:hint="eastAsia" w:ascii="Times New Roman" w:hAnsi="Times New Roman" w:eastAsia="仿宋_GB2312" w:cs="仿宋_GB2312"/>
          <w:color w:val="auto"/>
          <w:sz w:val="32"/>
          <w:szCs w:val="32"/>
          <w:highlight w:val="none"/>
          <w:lang w:val="en-US" w:eastAsia="zh-CN"/>
        </w:rPr>
        <w:t>3.21%。</w:t>
      </w:r>
      <w:r>
        <w:rPr>
          <w:rFonts w:hint="eastAsia" w:ascii="Times New Roman" w:hAnsi="Times New Roman" w:eastAsia="仿宋_GB2312" w:cs="仿宋_GB2312"/>
          <w:color w:val="auto"/>
          <w:kern w:val="2"/>
          <w:sz w:val="32"/>
          <w:szCs w:val="32"/>
          <w:highlight w:val="none"/>
          <w:lang w:val="en-US" w:eastAsia="zh-CN" w:bidi="ar-SA"/>
        </w:rPr>
        <w:t>收入总量减去支出总量后</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滚存结余</w:t>
      </w:r>
      <w:r>
        <w:rPr>
          <w:rFonts w:hint="eastAsia" w:ascii="Times New Roman" w:hAnsi="Times New Roman" w:eastAsia="仿宋_GB2312" w:cs="仿宋_GB2312"/>
          <w:color w:val="auto"/>
          <w:sz w:val="32"/>
          <w:szCs w:val="32"/>
          <w:highlight w:val="none"/>
          <w:lang w:eastAsia="zh-CN"/>
        </w:rPr>
        <w:t>预计为</w:t>
      </w:r>
      <w:r>
        <w:rPr>
          <w:rFonts w:hint="eastAsia" w:ascii="Times New Roman" w:hAnsi="Times New Roman" w:eastAsia="仿宋_GB2312" w:cs="仿宋_GB2312"/>
          <w:color w:val="auto"/>
          <w:sz w:val="32"/>
          <w:szCs w:val="32"/>
          <w:highlight w:val="none"/>
          <w:lang w:val="en-US" w:eastAsia="zh-CN"/>
        </w:rPr>
        <w:t>26104万元。</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rPr>
          <w:rFonts w:hint="eastAsia" w:ascii="Times New Roman" w:hAnsi="Times New Roman" w:eastAsia="仿宋_GB2312" w:cs="仿宋_GB2312"/>
          <w:b/>
          <w:color w:val="auto"/>
          <w:sz w:val="32"/>
          <w:szCs w:val="32"/>
          <w:highlight w:val="none"/>
        </w:rPr>
      </w:pPr>
      <w:r>
        <w:rPr>
          <w:rFonts w:hint="eastAsia" w:ascii="Times New Roman" w:hAnsi="Times New Roman" w:eastAsia="仿宋_GB2312" w:cs="仿宋_GB2312"/>
          <w:b/>
          <w:color w:val="auto"/>
          <w:sz w:val="32"/>
          <w:szCs w:val="32"/>
          <w:highlight w:val="none"/>
          <w:lang w:val="en-US" w:eastAsia="zh-CN"/>
        </w:rPr>
        <w:t>5.</w:t>
      </w:r>
      <w:r>
        <w:rPr>
          <w:rFonts w:hint="eastAsia" w:ascii="Times New Roman" w:hAnsi="Times New Roman" w:eastAsia="仿宋_GB2312" w:cs="仿宋_GB2312"/>
          <w:b/>
          <w:color w:val="auto"/>
          <w:sz w:val="32"/>
          <w:szCs w:val="32"/>
          <w:highlight w:val="none"/>
        </w:rPr>
        <w:t>政府性债务情况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val="en-US" w:eastAsia="zh-CN"/>
        </w:rPr>
        <w:t>2020年底政府债务余额为321366万元</w:t>
      </w:r>
      <w:r>
        <w:rPr>
          <w:rFonts w:hint="eastAsia" w:ascii="Times New Roman" w:hAnsi="Times New Roman" w:eastAsia="仿宋_GB2312" w:cs="仿宋_GB2312"/>
          <w:color w:val="auto"/>
          <w:kern w:val="2"/>
          <w:sz w:val="32"/>
          <w:szCs w:val="32"/>
          <w:highlight w:val="none"/>
          <w:lang w:val="en-US" w:eastAsia="zh-CN" w:bidi="ar-SA"/>
        </w:rPr>
        <w:t>，2021年预计发行一般债券2800万元、专项债券46500万元、再融资债券</w:t>
      </w:r>
      <w:r>
        <w:rPr>
          <w:rFonts w:hint="default" w:ascii="Times New Roman" w:hAnsi="Times New Roman" w:eastAsia="仿宋_GB2312" w:cs="Times New Roman"/>
          <w:sz w:val="32"/>
          <w:szCs w:val="32"/>
          <w:highlight w:val="none"/>
          <w:lang w:val="en-US" w:eastAsia="zh-CN"/>
        </w:rPr>
        <w:t>32831万元(</w:t>
      </w:r>
      <w:r>
        <w:rPr>
          <w:rFonts w:hint="eastAsia" w:ascii="Times New Roman" w:hAnsi="Times New Roman" w:eastAsia="仿宋_GB2312" w:cs="Times New Roman"/>
          <w:sz w:val="32"/>
          <w:szCs w:val="32"/>
          <w:highlight w:val="none"/>
          <w:lang w:val="en-US" w:eastAsia="zh-CN"/>
        </w:rPr>
        <w:t>其中：</w:t>
      </w:r>
      <w:r>
        <w:rPr>
          <w:rFonts w:hint="default" w:ascii="Times New Roman" w:hAnsi="Times New Roman" w:eastAsia="仿宋_GB2312" w:cs="Times New Roman"/>
          <w:sz w:val="32"/>
          <w:szCs w:val="32"/>
          <w:highlight w:val="none"/>
          <w:lang w:val="en-US" w:eastAsia="zh-CN"/>
        </w:rPr>
        <w:t>一般债券31871万元，专项债券960万元)</w:t>
      </w:r>
      <w:r>
        <w:rPr>
          <w:rFonts w:hint="eastAsia" w:ascii="Times New Roman" w:hAnsi="Times New Roman" w:eastAsia="仿宋_GB2312" w:cs="仿宋_GB2312"/>
          <w:color w:val="auto"/>
          <w:kern w:val="2"/>
          <w:sz w:val="32"/>
          <w:szCs w:val="32"/>
          <w:highlight w:val="none"/>
          <w:lang w:val="en-US" w:eastAsia="zh-CN" w:bidi="ar-SA"/>
        </w:rPr>
        <w:t>，偿还到期债券</w:t>
      </w:r>
      <w:r>
        <w:rPr>
          <w:rFonts w:hint="default" w:ascii="Times New Roman" w:hAnsi="Times New Roman" w:eastAsia="仿宋_GB2312" w:cs="Times New Roman"/>
          <w:sz w:val="32"/>
          <w:szCs w:val="32"/>
          <w:highlight w:val="none"/>
          <w:lang w:val="en-US" w:eastAsia="zh-CN"/>
        </w:rPr>
        <w:t>55431</w:t>
      </w:r>
      <w:r>
        <w:rPr>
          <w:rFonts w:hint="eastAsia" w:ascii="Times New Roman" w:hAnsi="Times New Roman" w:eastAsia="仿宋_GB2312" w:cs="Times New Roman"/>
          <w:sz w:val="32"/>
          <w:szCs w:val="32"/>
          <w:highlight w:val="none"/>
          <w:lang w:val="en-US" w:eastAsia="zh-CN"/>
        </w:rPr>
        <w:t>万元（其中：本级偿还</w:t>
      </w:r>
      <w:r>
        <w:rPr>
          <w:rFonts w:hint="eastAsia" w:ascii="Times New Roman" w:hAnsi="Times New Roman" w:eastAsia="仿宋_GB2312" w:cs="仿宋_GB2312"/>
          <w:color w:val="auto"/>
          <w:kern w:val="2"/>
          <w:sz w:val="32"/>
          <w:szCs w:val="32"/>
          <w:highlight w:val="none"/>
          <w:lang w:val="en-US" w:eastAsia="zh-CN" w:bidi="ar-SA"/>
        </w:rPr>
        <w:t>22600万元）后，年末债务余额预计为348066</w:t>
      </w:r>
      <w:r>
        <w:rPr>
          <w:rFonts w:hint="eastAsia" w:ascii="Times New Roman" w:hAnsi="Times New Roman" w:eastAsia="仿宋_GB2312" w:cs="仿宋_GB2312"/>
          <w:color w:val="auto"/>
          <w:sz w:val="32"/>
          <w:szCs w:val="32"/>
          <w:highlight w:val="none"/>
          <w:lang w:val="en-US" w:eastAsia="zh-CN"/>
        </w:rPr>
        <w:t>万</w:t>
      </w:r>
      <w:r>
        <w:rPr>
          <w:rFonts w:hint="eastAsia" w:ascii="Times New Roman" w:hAnsi="Times New Roman" w:eastAsia="仿宋_GB2312" w:cs="仿宋_GB2312"/>
          <w:color w:val="auto"/>
          <w:kern w:val="2"/>
          <w:sz w:val="32"/>
          <w:szCs w:val="32"/>
          <w:highlight w:val="none"/>
          <w:lang w:val="en-US" w:eastAsia="zh-CN" w:bidi="ar-SA"/>
        </w:rPr>
        <w:t>元（其中：</w:t>
      </w:r>
      <w:r>
        <w:rPr>
          <w:rFonts w:hint="default" w:ascii="Times New Roman" w:hAnsi="Times New Roman" w:eastAsia="仿宋_GB2312" w:cs="Times New Roman"/>
          <w:color w:val="auto"/>
          <w:kern w:val="2"/>
          <w:sz w:val="32"/>
          <w:szCs w:val="32"/>
          <w:highlight w:val="none"/>
          <w:lang w:val="en-US" w:eastAsia="zh-CN" w:bidi="ar-SA"/>
        </w:rPr>
        <w:t>一般债</w:t>
      </w:r>
      <w:r>
        <w:rPr>
          <w:rFonts w:hint="default" w:ascii="Times New Roman" w:hAnsi="Times New Roman" w:eastAsia="仿宋_GB2312" w:cs="Times New Roman"/>
          <w:sz w:val="32"/>
          <w:szCs w:val="32"/>
          <w:highlight w:val="none"/>
          <w:lang w:val="en-US" w:eastAsia="zh-CN"/>
        </w:rPr>
        <w:t>券</w:t>
      </w:r>
      <w:r>
        <w:rPr>
          <w:rFonts w:hint="default" w:ascii="Times New Roman" w:hAnsi="Times New Roman" w:eastAsia="仿宋_GB2312" w:cs="Times New Roman"/>
          <w:color w:val="auto"/>
          <w:kern w:val="2"/>
          <w:sz w:val="32"/>
          <w:szCs w:val="32"/>
          <w:highlight w:val="none"/>
          <w:lang w:val="en-US" w:eastAsia="zh-CN" w:bidi="ar-SA"/>
        </w:rPr>
        <w:t>172358万元，专项债</w:t>
      </w:r>
      <w:r>
        <w:rPr>
          <w:rFonts w:hint="default" w:ascii="Times New Roman" w:hAnsi="Times New Roman" w:eastAsia="仿宋_GB2312" w:cs="Times New Roman"/>
          <w:sz w:val="32"/>
          <w:szCs w:val="32"/>
          <w:highlight w:val="none"/>
          <w:lang w:val="en-US" w:eastAsia="zh-CN"/>
        </w:rPr>
        <w:t>券</w:t>
      </w:r>
      <w:r>
        <w:rPr>
          <w:rFonts w:hint="default" w:ascii="Times New Roman" w:hAnsi="Times New Roman" w:eastAsia="仿宋_GB2312" w:cs="Times New Roman"/>
          <w:color w:val="auto"/>
          <w:kern w:val="2"/>
          <w:sz w:val="32"/>
          <w:szCs w:val="32"/>
          <w:highlight w:val="none"/>
          <w:lang w:val="en-US" w:eastAsia="zh-CN" w:bidi="ar-SA"/>
        </w:rPr>
        <w:t>175708万元</w:t>
      </w:r>
      <w:r>
        <w:rPr>
          <w:rFonts w:hint="eastAsia" w:ascii="Times New Roman" w:hAnsi="Times New Roman" w:eastAsia="仿宋_GB2312" w:cs="仿宋_GB2312"/>
          <w:color w:val="auto"/>
          <w:kern w:val="2"/>
          <w:sz w:val="32"/>
          <w:szCs w:val="32"/>
          <w:highlight w:val="none"/>
          <w:lang w:val="en-US" w:eastAsia="zh-CN" w:bidi="ar-SA"/>
        </w:rPr>
        <w:t>），比2020年底增加26700</w:t>
      </w:r>
      <w:r>
        <w:rPr>
          <w:rFonts w:hint="eastAsia" w:ascii="Times New Roman" w:hAnsi="Times New Roman" w:eastAsia="仿宋_GB2312" w:cs="仿宋_GB2312"/>
          <w:color w:val="auto"/>
          <w:sz w:val="32"/>
          <w:szCs w:val="32"/>
          <w:highlight w:val="none"/>
          <w:lang w:val="en-US" w:eastAsia="zh-CN"/>
        </w:rPr>
        <w:t>万</w:t>
      </w:r>
      <w:r>
        <w:rPr>
          <w:rFonts w:hint="eastAsia" w:ascii="Times New Roman" w:hAnsi="Times New Roman" w:eastAsia="仿宋_GB2312" w:cs="仿宋_GB2312"/>
          <w:color w:val="auto"/>
          <w:kern w:val="2"/>
          <w:sz w:val="32"/>
          <w:szCs w:val="32"/>
          <w:highlight w:val="none"/>
          <w:lang w:val="en-US" w:eastAsia="zh-CN" w:bidi="ar-SA"/>
        </w:rPr>
        <w:t>元。由于2021年政府债务限额尚未公布，预计控制在省政府核定的限额372535万元内（其中：</w:t>
      </w:r>
      <w:r>
        <w:rPr>
          <w:rFonts w:hint="default" w:ascii="Times New Roman" w:hAnsi="Times New Roman" w:eastAsia="仿宋_GB2312" w:cs="Times New Roman"/>
          <w:color w:val="auto"/>
          <w:kern w:val="2"/>
          <w:sz w:val="32"/>
          <w:szCs w:val="32"/>
          <w:highlight w:val="none"/>
          <w:lang w:val="en-US" w:eastAsia="zh-CN" w:bidi="ar-SA"/>
        </w:rPr>
        <w:t>一般债务限额177224</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kern w:val="2"/>
          <w:sz w:val="32"/>
          <w:szCs w:val="32"/>
          <w:highlight w:val="none"/>
          <w:lang w:val="en-US" w:eastAsia="zh-CN" w:bidi="ar-SA"/>
        </w:rPr>
        <w:t>元，专项债务限额195311</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kern w:val="2"/>
          <w:sz w:val="32"/>
          <w:szCs w:val="32"/>
          <w:highlight w:val="none"/>
          <w:lang w:val="en-US" w:eastAsia="zh-CN" w:bidi="ar-SA"/>
        </w:rPr>
        <w:t>元</w:t>
      </w:r>
      <w:r>
        <w:rPr>
          <w:rFonts w:hint="eastAsia" w:ascii="Times New Roman" w:hAnsi="Times New Roman" w:eastAsia="仿宋_GB2312" w:cs="仿宋_GB2312"/>
          <w:color w:val="auto"/>
          <w:kern w:val="2"/>
          <w:sz w:val="32"/>
          <w:szCs w:val="32"/>
          <w:highlight w:val="none"/>
          <w:lang w:val="en-US" w:eastAsia="zh-CN" w:bidi="ar-SA"/>
        </w:rPr>
        <w:t>），债务风险总体可控。增加的地方政府债务主要用于基础设施、市政建设、棚户区改造等重点项目。</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以上为2021年区</w:t>
      </w:r>
      <w:r>
        <w:rPr>
          <w:rFonts w:hint="eastAsia" w:ascii="Times New Roman" w:hAnsi="Times New Roman" w:eastAsia="仿宋_GB2312" w:cs="仿宋_GB2312"/>
          <w:color w:val="auto"/>
          <w:sz w:val="32"/>
          <w:szCs w:val="32"/>
          <w:highlight w:val="none"/>
        </w:rPr>
        <w:t>级</w:t>
      </w:r>
      <w:r>
        <w:rPr>
          <w:rFonts w:hint="eastAsia" w:ascii="Times New Roman" w:hAnsi="Times New Roman" w:eastAsia="仿宋_GB2312" w:cs="仿宋_GB2312"/>
          <w:color w:val="auto"/>
          <w:sz w:val="32"/>
          <w:szCs w:val="32"/>
          <w:highlight w:val="none"/>
          <w:lang w:eastAsia="zh-CN"/>
        </w:rPr>
        <w:t>财政</w:t>
      </w:r>
      <w:r>
        <w:rPr>
          <w:rFonts w:hint="eastAsia" w:ascii="Times New Roman" w:hAnsi="Times New Roman" w:eastAsia="仿宋_GB2312" w:cs="仿宋_GB2312"/>
          <w:color w:val="auto"/>
          <w:sz w:val="32"/>
          <w:szCs w:val="32"/>
          <w:highlight w:val="none"/>
        </w:rPr>
        <w:t>预算执行</w:t>
      </w:r>
      <w:r>
        <w:rPr>
          <w:rFonts w:hint="eastAsia" w:ascii="Times New Roman" w:hAnsi="Times New Roman" w:eastAsia="仿宋_GB2312" w:cs="仿宋_GB2312"/>
          <w:color w:val="auto"/>
          <w:sz w:val="32"/>
          <w:szCs w:val="32"/>
          <w:highlight w:val="none"/>
          <w:lang w:eastAsia="zh-CN"/>
        </w:rPr>
        <w:t>预计</w:t>
      </w:r>
      <w:r>
        <w:rPr>
          <w:rFonts w:hint="eastAsia" w:ascii="Times New Roman" w:hAnsi="Times New Roman" w:eastAsia="仿宋_GB2312" w:cs="仿宋_GB2312"/>
          <w:color w:val="auto"/>
          <w:sz w:val="32"/>
          <w:szCs w:val="32"/>
          <w:highlight w:val="none"/>
        </w:rPr>
        <w:t>情况，请予审查。</w:t>
      </w:r>
      <w:r>
        <w:rPr>
          <w:rFonts w:hint="eastAsia" w:ascii="Times New Roman" w:hAnsi="Times New Roman" w:eastAsia="仿宋_GB2312" w:cs="仿宋_GB2312"/>
          <w:color w:val="auto"/>
          <w:sz w:val="32"/>
          <w:szCs w:val="32"/>
          <w:highlight w:val="none"/>
          <w:lang w:eastAsia="zh-CN"/>
        </w:rPr>
        <w:t>待</w:t>
      </w:r>
      <w:r>
        <w:rPr>
          <w:rFonts w:hint="eastAsia" w:ascii="Times New Roman" w:hAnsi="Times New Roman" w:eastAsia="仿宋_GB2312" w:cs="仿宋_GB2312"/>
          <w:color w:val="auto"/>
          <w:sz w:val="32"/>
          <w:szCs w:val="32"/>
          <w:highlight w:val="none"/>
          <w:lang w:val="en-US" w:eastAsia="zh-CN"/>
        </w:rPr>
        <w:t>2021年区级财政决算编制后，</w:t>
      </w:r>
      <w:r>
        <w:rPr>
          <w:rFonts w:hint="eastAsia" w:ascii="Times New Roman" w:hAnsi="Times New Roman" w:eastAsia="仿宋_GB2312"/>
          <w:sz w:val="32"/>
          <w:szCs w:val="32"/>
          <w:highlight w:val="none"/>
        </w:rPr>
        <w:t>再向区人大常委会报告</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rPr>
          <w:rFonts w:hint="eastAsia" w:ascii="Times New Roman" w:hAnsi="Times New Roman" w:eastAsia="楷体_GB2312" w:cs="楷体_GB2312"/>
          <w:b/>
          <w:color w:val="auto"/>
          <w:sz w:val="32"/>
          <w:szCs w:val="32"/>
          <w:highlight w:val="none"/>
          <w:lang w:val="en-US" w:eastAsia="zh-CN"/>
        </w:rPr>
      </w:pPr>
      <w:r>
        <w:rPr>
          <w:rFonts w:hint="eastAsia" w:ascii="Times New Roman" w:hAnsi="Times New Roman" w:eastAsia="楷体_GB2312" w:cs="楷体_GB2312"/>
          <w:b/>
          <w:color w:val="auto"/>
          <w:sz w:val="32"/>
          <w:szCs w:val="32"/>
          <w:highlight w:val="none"/>
          <w:lang w:eastAsia="zh-CN"/>
        </w:rPr>
        <w:t>（</w:t>
      </w:r>
      <w:r>
        <w:rPr>
          <w:rFonts w:hint="eastAsia" w:ascii="Times New Roman" w:hAnsi="Times New Roman" w:eastAsia="楷体_GB2312" w:cs="楷体_GB2312"/>
          <w:b/>
          <w:color w:val="auto"/>
          <w:sz w:val="32"/>
          <w:szCs w:val="32"/>
          <w:highlight w:val="none"/>
          <w:lang w:val="en-US" w:eastAsia="zh-CN"/>
        </w:rPr>
        <w:t>二）2021年落实区人大预算决议和重点财政工作情况</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区财政</w:t>
      </w:r>
      <w:r>
        <w:rPr>
          <w:rFonts w:hint="eastAsia" w:ascii="Times New Roman" w:hAnsi="Times New Roman" w:eastAsia="仿宋_GB2312" w:cs="仿宋_GB2312"/>
          <w:color w:val="auto"/>
          <w:sz w:val="32"/>
          <w:szCs w:val="32"/>
          <w:highlight w:val="none"/>
        </w:rPr>
        <w:t>全面贯彻中央、省委、市委</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区委</w:t>
      </w:r>
      <w:r>
        <w:rPr>
          <w:rFonts w:hint="eastAsia" w:ascii="Times New Roman" w:hAnsi="Times New Roman" w:eastAsia="仿宋_GB2312" w:cs="仿宋_GB2312"/>
          <w:color w:val="auto"/>
          <w:sz w:val="32"/>
          <w:szCs w:val="32"/>
          <w:highlight w:val="none"/>
        </w:rPr>
        <w:t>各项决策部署，认真落实</w:t>
      </w:r>
      <w:r>
        <w:rPr>
          <w:rFonts w:hint="eastAsia" w:ascii="Times New Roman" w:hAnsi="Times New Roman" w:eastAsia="仿宋_GB2312" w:cs="仿宋_GB2312"/>
          <w:color w:val="auto"/>
          <w:sz w:val="32"/>
          <w:szCs w:val="32"/>
          <w:highlight w:val="none"/>
          <w:lang w:val="en-US" w:eastAsia="zh-CN"/>
        </w:rPr>
        <w:t>区一</w:t>
      </w:r>
      <w:r>
        <w:rPr>
          <w:rFonts w:hint="eastAsia" w:ascii="Times New Roman" w:hAnsi="Times New Roman" w:eastAsia="仿宋_GB2312" w:cs="仿宋_GB2312"/>
          <w:color w:val="auto"/>
          <w:sz w:val="32"/>
          <w:szCs w:val="32"/>
          <w:highlight w:val="none"/>
        </w:rPr>
        <w:t>届人大</w:t>
      </w:r>
      <w:r>
        <w:rPr>
          <w:rFonts w:hint="eastAsia" w:ascii="Times New Roman" w:hAnsi="Times New Roman" w:eastAsia="仿宋_GB2312" w:cs="仿宋_GB2312"/>
          <w:color w:val="auto"/>
          <w:sz w:val="32"/>
          <w:szCs w:val="32"/>
          <w:highlight w:val="none"/>
          <w:lang w:val="en-US" w:eastAsia="zh-CN"/>
        </w:rPr>
        <w:t>四</w:t>
      </w:r>
      <w:r>
        <w:rPr>
          <w:rFonts w:hint="eastAsia" w:ascii="Times New Roman" w:hAnsi="Times New Roman" w:eastAsia="仿宋_GB2312" w:cs="仿宋_GB2312"/>
          <w:color w:val="auto"/>
          <w:sz w:val="32"/>
          <w:szCs w:val="32"/>
          <w:highlight w:val="none"/>
        </w:rPr>
        <w:t>次会议</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决议</w:t>
      </w:r>
      <w:r>
        <w:rPr>
          <w:rFonts w:hint="eastAsia" w:ascii="Times New Roman" w:hAnsi="Times New Roman" w:eastAsia="仿宋_GB2312" w:cs="仿宋_GB2312"/>
          <w:color w:val="auto"/>
          <w:sz w:val="32"/>
          <w:szCs w:val="32"/>
          <w:highlight w:val="none"/>
          <w:lang w:eastAsia="zh-CN"/>
        </w:rPr>
        <w:t>要求，主动接受区人大代表监督指导，认真办理区人大代表建议，</w:t>
      </w:r>
      <w:r>
        <w:rPr>
          <w:rFonts w:hint="eastAsia" w:ascii="Times New Roman" w:hAnsi="Times New Roman" w:eastAsia="仿宋_GB2312" w:cs="仿宋_GB2312"/>
          <w:color w:val="auto"/>
          <w:sz w:val="32"/>
          <w:szCs w:val="32"/>
          <w:highlight w:val="none"/>
          <w:lang w:val="en-US" w:eastAsia="zh-CN"/>
        </w:rPr>
        <w:t>充分</w:t>
      </w:r>
      <w:r>
        <w:rPr>
          <w:rFonts w:hint="eastAsia" w:ascii="Times New Roman" w:hAnsi="Times New Roman" w:eastAsia="仿宋_GB2312" w:cs="仿宋_GB2312"/>
          <w:color w:val="auto"/>
          <w:sz w:val="32"/>
          <w:szCs w:val="32"/>
          <w:highlight w:val="none"/>
          <w:lang w:eastAsia="zh-CN"/>
        </w:rPr>
        <w:t>听取和吸纳代表提出的宝贵意见</w:t>
      </w:r>
      <w:r>
        <w:rPr>
          <w:rFonts w:hint="eastAsia" w:ascii="Times New Roman" w:hAnsi="Times New Roman" w:eastAsia="仿宋_GB2312" w:cs="仿宋_GB2312"/>
          <w:color w:val="auto"/>
          <w:sz w:val="32"/>
          <w:szCs w:val="32"/>
          <w:highlight w:val="none"/>
        </w:rPr>
        <w:t>，全面</w:t>
      </w:r>
      <w:r>
        <w:rPr>
          <w:rFonts w:hint="eastAsia" w:ascii="Times New Roman" w:hAnsi="Times New Roman" w:eastAsia="仿宋_GB2312" w:cs="仿宋_GB2312"/>
          <w:color w:val="auto"/>
          <w:sz w:val="32"/>
          <w:szCs w:val="32"/>
          <w:highlight w:val="none"/>
          <w:lang w:eastAsia="zh-CN"/>
        </w:rPr>
        <w:t>贯彻《预算法》</w:t>
      </w:r>
      <w:r>
        <w:rPr>
          <w:rFonts w:hint="eastAsia" w:ascii="Times New Roman" w:hAnsi="Times New Roman" w:eastAsia="仿宋_GB2312" w:cs="仿宋_GB2312"/>
          <w:color w:val="auto"/>
          <w:sz w:val="32"/>
          <w:szCs w:val="32"/>
          <w:highlight w:val="none"/>
          <w:lang w:val="en-US" w:eastAsia="zh-CN"/>
        </w:rPr>
        <w:t>及《预算法实施条例》有关规定</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积极发挥财政职能作用</w:t>
      </w:r>
      <w:r>
        <w:rPr>
          <w:rFonts w:hint="eastAsia" w:ascii="Times New Roman" w:hAnsi="Times New Roman" w:eastAsia="仿宋_GB2312" w:cs="仿宋_GB2312"/>
          <w:color w:val="auto"/>
          <w:sz w:val="32"/>
          <w:szCs w:val="32"/>
          <w:highlight w:val="none"/>
          <w:lang w:eastAsia="zh-CN"/>
        </w:rPr>
        <w:t>，持续</w:t>
      </w:r>
      <w:r>
        <w:rPr>
          <w:rFonts w:hint="eastAsia" w:ascii="Times New Roman" w:hAnsi="Times New Roman" w:eastAsia="仿宋_GB2312" w:cs="仿宋_GB2312"/>
          <w:color w:val="auto"/>
          <w:sz w:val="32"/>
          <w:szCs w:val="32"/>
          <w:highlight w:val="none"/>
        </w:rPr>
        <w:t>深化财税体制改革，</w:t>
      </w:r>
      <w:r>
        <w:rPr>
          <w:rFonts w:hint="eastAsia" w:ascii="Times New Roman" w:hAnsi="Times New Roman" w:eastAsia="仿宋_GB2312" w:cs="仿宋_GB2312"/>
          <w:color w:val="auto"/>
          <w:sz w:val="32"/>
          <w:szCs w:val="32"/>
          <w:highlight w:val="none"/>
          <w:lang w:val="en-US" w:eastAsia="zh-CN"/>
        </w:rPr>
        <w:t>有效防范化解各类风险</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有力地促进了全区</w:t>
      </w:r>
      <w:r>
        <w:rPr>
          <w:rFonts w:hint="eastAsia" w:ascii="Times New Roman" w:hAnsi="Times New Roman" w:eastAsia="仿宋_GB2312" w:cs="仿宋_GB2312"/>
          <w:color w:val="auto"/>
          <w:sz w:val="32"/>
          <w:szCs w:val="32"/>
          <w:highlight w:val="none"/>
        </w:rPr>
        <w:t>经济</w:t>
      </w:r>
      <w:r>
        <w:rPr>
          <w:rFonts w:hint="eastAsia" w:ascii="Times New Roman" w:hAnsi="Times New Roman" w:eastAsia="仿宋_GB2312" w:cs="仿宋_GB2312"/>
          <w:color w:val="auto"/>
          <w:sz w:val="32"/>
          <w:szCs w:val="32"/>
          <w:highlight w:val="none"/>
          <w:lang w:eastAsia="zh-CN"/>
        </w:rPr>
        <w:t>和</w:t>
      </w:r>
      <w:r>
        <w:rPr>
          <w:rFonts w:hint="eastAsia" w:ascii="Times New Roman" w:hAnsi="Times New Roman" w:eastAsia="仿宋_GB2312" w:cs="仿宋_GB2312"/>
          <w:color w:val="auto"/>
          <w:sz w:val="32"/>
          <w:szCs w:val="32"/>
          <w:highlight w:val="none"/>
        </w:rPr>
        <w:t>社会</w:t>
      </w:r>
      <w:r>
        <w:rPr>
          <w:rFonts w:hint="eastAsia" w:ascii="Times New Roman" w:hAnsi="Times New Roman" w:eastAsia="仿宋_GB2312" w:cs="仿宋_GB2312"/>
          <w:color w:val="auto"/>
          <w:sz w:val="32"/>
          <w:szCs w:val="32"/>
          <w:highlight w:val="none"/>
          <w:lang w:eastAsia="zh-CN"/>
        </w:rPr>
        <w:t>事业</w:t>
      </w:r>
      <w:r>
        <w:rPr>
          <w:rFonts w:hint="eastAsia" w:ascii="Times New Roman" w:hAnsi="Times New Roman" w:eastAsia="仿宋_GB2312" w:cs="仿宋_GB2312"/>
          <w:color w:val="auto"/>
          <w:sz w:val="32"/>
          <w:szCs w:val="32"/>
          <w:highlight w:val="none"/>
        </w:rPr>
        <w:t>平稳健康发展。</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1.坚持以政领财，积极发挥财政职能作用</w:t>
      </w:r>
    </w:p>
    <w:p>
      <w:pPr>
        <w:pStyle w:val="8"/>
        <w:keepNext w:val="0"/>
        <w:keepLines w:val="0"/>
        <w:pageBreakBefore w:val="0"/>
        <w:widowControl w:val="0"/>
        <w:numPr>
          <w:ilvl w:val="-1"/>
          <w:numId w:val="0"/>
        </w:numPr>
        <w:kinsoku/>
        <w:wordWrap/>
        <w:overflowPunct/>
        <w:topLinePunct w:val="0"/>
        <w:autoSpaceDE/>
        <w:autoSpaceDN/>
        <w:bidi w:val="0"/>
        <w:adjustRightInd/>
        <w:spacing w:line="560" w:lineRule="exact"/>
        <w:ind w:left="0" w:leftChars="0"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（1）持续加大民生投入</w:t>
      </w:r>
      <w:r>
        <w:rPr>
          <w:rFonts w:hint="eastAsia" w:ascii="Times New Roman" w:hAnsi="Times New Roman" w:eastAsia="仿宋_GB2312" w:cs="仿宋_GB2312"/>
          <w:b/>
          <w:bCs/>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坚持以人民为中心，优先保障民生领域。</w:t>
      </w:r>
      <w:r>
        <w:rPr>
          <w:rFonts w:hint="eastAsia" w:ascii="Times New Roman" w:hAnsi="Times New Roman" w:eastAsia="仿宋_GB2312" w:cs="仿宋_GB2312"/>
          <w:b/>
          <w:bCs/>
          <w:color w:val="auto"/>
          <w:sz w:val="32"/>
          <w:szCs w:val="32"/>
          <w:highlight w:val="none"/>
          <w:lang w:val="en-US" w:eastAsia="zh-CN"/>
        </w:rPr>
        <w:t>一是</w:t>
      </w:r>
      <w:r>
        <w:rPr>
          <w:rFonts w:hint="eastAsia" w:ascii="Times New Roman" w:hAnsi="Times New Roman" w:eastAsia="仿宋_GB2312" w:cs="仿宋_GB2312"/>
          <w:b w:val="0"/>
          <w:bCs w:val="0"/>
          <w:color w:val="auto"/>
          <w:sz w:val="32"/>
          <w:szCs w:val="32"/>
          <w:highlight w:val="none"/>
          <w:lang w:val="en-US" w:eastAsia="zh-CN"/>
        </w:rPr>
        <w:t>巩固新冠疫情防控成果。2021年1-10月，累计落实本级疫情防控资金1764万元，本级接种费用101万元。</w:t>
      </w:r>
      <w:r>
        <w:rPr>
          <w:rFonts w:hint="eastAsia" w:ascii="Times New Roman" w:hAnsi="Times New Roman" w:eastAsia="仿宋_GB2312" w:cs="仿宋_GB2312"/>
          <w:b/>
          <w:bCs/>
          <w:color w:val="auto"/>
          <w:sz w:val="32"/>
          <w:szCs w:val="32"/>
          <w:highlight w:val="none"/>
          <w:lang w:val="en-US" w:eastAsia="zh-CN"/>
        </w:rPr>
        <w:t>二是</w:t>
      </w:r>
      <w:r>
        <w:rPr>
          <w:rFonts w:hint="eastAsia" w:ascii="Times New Roman" w:hAnsi="Times New Roman" w:eastAsia="仿宋_GB2312" w:cs="仿宋_GB2312"/>
          <w:b w:val="0"/>
          <w:bCs w:val="0"/>
          <w:color w:val="auto"/>
          <w:sz w:val="32"/>
          <w:szCs w:val="32"/>
          <w:highlight w:val="none"/>
          <w:lang w:val="en-US" w:eastAsia="zh-CN"/>
        </w:rPr>
        <w:t>加强重点民生投入。2021年1-10月，全区省定民生实事预算下达资金14136万元，拨付10869万元。</w:t>
      </w:r>
      <w:r>
        <w:rPr>
          <w:rFonts w:hint="eastAsia" w:ascii="Times New Roman" w:hAnsi="Times New Roman" w:eastAsia="仿宋_GB2312" w:cs="仿宋_GB2312"/>
          <w:b/>
          <w:bCs/>
          <w:color w:val="auto"/>
          <w:sz w:val="32"/>
          <w:szCs w:val="32"/>
          <w:highlight w:val="none"/>
          <w:lang w:val="en-US" w:eastAsia="zh-CN"/>
        </w:rPr>
        <w:t>三是</w:t>
      </w:r>
      <w:r>
        <w:rPr>
          <w:rFonts w:hint="eastAsia" w:ascii="Times New Roman" w:hAnsi="Times New Roman" w:eastAsia="仿宋_GB2312" w:cs="仿宋_GB2312"/>
          <w:b w:val="0"/>
          <w:bCs w:val="0"/>
          <w:color w:val="auto"/>
          <w:sz w:val="32"/>
          <w:szCs w:val="32"/>
          <w:highlight w:val="none"/>
          <w:lang w:val="en-US" w:eastAsia="zh-CN"/>
        </w:rPr>
        <w:t>全面助力乡村振兴。2021年1-10月，区级投入12480万元，投入力度不断增强，投入总量稳步提升。</w:t>
      </w:r>
      <w:r>
        <w:rPr>
          <w:rFonts w:hint="eastAsia" w:ascii="Times New Roman" w:hAnsi="Times New Roman" w:eastAsia="仿宋_GB2312" w:cs="仿宋_GB2312"/>
          <w:b/>
          <w:bCs/>
          <w:color w:val="auto"/>
          <w:sz w:val="32"/>
          <w:szCs w:val="32"/>
          <w:highlight w:val="none"/>
          <w:lang w:val="en-US" w:eastAsia="zh-CN"/>
        </w:rPr>
        <w:t>四是</w:t>
      </w:r>
      <w:r>
        <w:rPr>
          <w:rFonts w:hint="eastAsia" w:ascii="Times New Roman" w:hAnsi="Times New Roman" w:eastAsia="仿宋_GB2312" w:cs="仿宋_GB2312"/>
          <w:b w:val="0"/>
          <w:bCs w:val="0"/>
          <w:color w:val="auto"/>
          <w:sz w:val="32"/>
          <w:szCs w:val="32"/>
          <w:highlight w:val="none"/>
          <w:lang w:val="en-US" w:eastAsia="zh-CN"/>
        </w:rPr>
        <w:t>兜牢“三保”底线。</w:t>
      </w:r>
      <w:r>
        <w:rPr>
          <w:rFonts w:hint="eastAsia" w:ascii="Times New Roman" w:hAnsi="Times New Roman" w:eastAsia="仿宋_GB2312" w:cs="仿宋_GB2312"/>
          <w:spacing w:val="0"/>
          <w:sz w:val="32"/>
          <w:szCs w:val="32"/>
          <w:highlight w:val="none"/>
          <w:lang w:val="en-US" w:eastAsia="zh-CN"/>
        </w:rPr>
        <w:t>2021年1-10月，累计拨付“三保”资金95194万元。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val="0"/>
          <w:bCs w:val="0"/>
          <w:spacing w:val="0"/>
          <w:kern w:val="2"/>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（2）积极落实财政政策</w:t>
      </w:r>
      <w:r>
        <w:rPr>
          <w:rFonts w:hint="eastAsia" w:ascii="Times New Roman" w:hAnsi="Times New Roman" w:eastAsia="仿宋_GB2312" w:cs="仿宋_GB2312"/>
          <w:b/>
          <w:bCs/>
          <w:sz w:val="32"/>
          <w:szCs w:val="32"/>
          <w:highlight w:val="none"/>
          <w:lang w:eastAsia="zh-CN"/>
        </w:rPr>
        <w:t>。</w:t>
      </w:r>
      <w:r>
        <w:rPr>
          <w:rFonts w:hint="eastAsia" w:ascii="Times New Roman" w:hAnsi="Times New Roman" w:eastAsia="仿宋_GB2312" w:cs="仿宋_GB2312"/>
          <w:b w:val="0"/>
          <w:bCs w:val="0"/>
          <w:sz w:val="32"/>
          <w:szCs w:val="32"/>
          <w:highlight w:val="none"/>
          <w:lang w:val="en-US" w:eastAsia="zh-CN"/>
        </w:rPr>
        <w:t>贯彻落实中央经济工作会议精神，推动财政政策提质增效。</w:t>
      </w:r>
      <w:r>
        <w:rPr>
          <w:rFonts w:hint="eastAsia" w:ascii="Times New Roman" w:hAnsi="Times New Roman" w:eastAsia="仿宋_GB2312" w:cs="仿宋_GB2312"/>
          <w:b/>
          <w:bCs/>
          <w:sz w:val="32"/>
          <w:szCs w:val="32"/>
          <w:highlight w:val="none"/>
          <w:lang w:val="en-US" w:eastAsia="zh-CN"/>
        </w:rPr>
        <w:t>一是</w:t>
      </w:r>
      <w:r>
        <w:rPr>
          <w:rFonts w:hint="eastAsia" w:ascii="Times New Roman" w:hAnsi="Times New Roman" w:eastAsia="仿宋_GB2312" w:cs="仿宋_GB2312"/>
          <w:spacing w:val="0"/>
          <w:kern w:val="2"/>
          <w:sz w:val="32"/>
          <w:szCs w:val="32"/>
          <w:highlight w:val="none"/>
          <w:lang w:val="en-US" w:eastAsia="zh-CN"/>
        </w:rPr>
        <w:t>持续推进减税降费。有力</w:t>
      </w:r>
      <w:r>
        <w:rPr>
          <w:rFonts w:hint="eastAsia" w:ascii="Times New Roman" w:hAnsi="Times New Roman" w:eastAsia="仿宋_GB2312" w:cs="仿宋_GB2312"/>
          <w:spacing w:val="0"/>
          <w:kern w:val="2"/>
          <w:sz w:val="32"/>
          <w:szCs w:val="32"/>
          <w:highlight w:val="none"/>
        </w:rPr>
        <w:t>激发市场主体活力</w:t>
      </w:r>
      <w:r>
        <w:rPr>
          <w:rFonts w:hint="eastAsia" w:ascii="Times New Roman" w:hAnsi="Times New Roman" w:eastAsia="仿宋_GB2312" w:cs="仿宋_GB2312"/>
          <w:spacing w:val="0"/>
          <w:kern w:val="2"/>
          <w:sz w:val="32"/>
          <w:szCs w:val="32"/>
          <w:highlight w:val="none"/>
          <w:lang w:eastAsia="zh-CN"/>
        </w:rPr>
        <w:t>，</w:t>
      </w:r>
      <w:r>
        <w:rPr>
          <w:rFonts w:hint="eastAsia" w:ascii="Times New Roman" w:hAnsi="Times New Roman" w:eastAsia="仿宋_GB2312" w:cs="仿宋_GB2312"/>
          <w:spacing w:val="0"/>
          <w:kern w:val="2"/>
          <w:sz w:val="32"/>
          <w:szCs w:val="32"/>
          <w:highlight w:val="none"/>
          <w:lang w:val="en-US" w:eastAsia="zh-CN"/>
        </w:rPr>
        <w:t>减税降费取得了明显成效。2021</w:t>
      </w:r>
      <w:r>
        <w:rPr>
          <w:rFonts w:hint="eastAsia" w:ascii="Times New Roman" w:hAnsi="Times New Roman" w:eastAsia="仿宋_GB2312" w:cs="仿宋_GB2312"/>
          <w:b w:val="0"/>
          <w:bCs w:val="0"/>
          <w:color w:val="auto"/>
          <w:sz w:val="32"/>
          <w:szCs w:val="32"/>
          <w:highlight w:val="none"/>
          <w:lang w:val="en-US" w:eastAsia="zh-CN"/>
        </w:rPr>
        <w:t>年1-10月，区级</w:t>
      </w:r>
      <w:r>
        <w:rPr>
          <w:rFonts w:hint="eastAsia" w:ascii="Times New Roman" w:hAnsi="Times New Roman" w:eastAsia="仿宋_GB2312" w:cs="仿宋_GB2312"/>
          <w:spacing w:val="0"/>
          <w:kern w:val="2"/>
          <w:sz w:val="32"/>
          <w:szCs w:val="32"/>
          <w:highlight w:val="none"/>
          <w:lang w:val="en-US" w:eastAsia="zh-CN"/>
        </w:rPr>
        <w:t>税收收入完成25961万元，同比增加6561万元，增长33.82%。</w:t>
      </w:r>
      <w:r>
        <w:rPr>
          <w:rFonts w:hint="eastAsia" w:ascii="Times New Roman" w:hAnsi="Times New Roman" w:eastAsia="仿宋_GB2312" w:cs="仿宋_GB2312"/>
          <w:b/>
          <w:bCs/>
          <w:spacing w:val="0"/>
          <w:kern w:val="2"/>
          <w:sz w:val="32"/>
          <w:szCs w:val="32"/>
          <w:highlight w:val="none"/>
          <w:lang w:val="en-US" w:eastAsia="zh-CN"/>
        </w:rPr>
        <w:t>二是</w:t>
      </w:r>
      <w:r>
        <w:rPr>
          <w:rFonts w:hint="eastAsia" w:ascii="Times New Roman" w:hAnsi="Times New Roman" w:eastAsia="仿宋_GB2312" w:cs="仿宋_GB2312"/>
          <w:b w:val="0"/>
          <w:bCs w:val="0"/>
          <w:spacing w:val="0"/>
          <w:kern w:val="2"/>
          <w:sz w:val="32"/>
          <w:szCs w:val="32"/>
          <w:highlight w:val="none"/>
          <w:lang w:val="en-US" w:eastAsia="zh-CN"/>
        </w:rPr>
        <w:t>着力优化营商环境。</w:t>
      </w:r>
      <w:r>
        <w:rPr>
          <w:rFonts w:hint="eastAsia" w:ascii="Times New Roman" w:hAnsi="Times New Roman" w:eastAsia="仿宋_GB2312" w:cs="仿宋_GB2312"/>
          <w:b w:val="0"/>
          <w:bCs w:val="0"/>
          <w:color w:val="auto"/>
          <w:spacing w:val="0"/>
          <w:kern w:val="2"/>
          <w:sz w:val="32"/>
          <w:szCs w:val="32"/>
          <w:highlight w:val="none"/>
          <w:lang w:val="en-US" w:eastAsia="zh-CN"/>
        </w:rPr>
        <w:t>狠</w:t>
      </w:r>
      <w:r>
        <w:rPr>
          <w:rFonts w:hint="default" w:ascii="Times New Roman" w:hAnsi="Times New Roman" w:eastAsia="仿宋_GB2312" w:cs="仿宋_GB2312"/>
          <w:b w:val="0"/>
          <w:bCs w:val="0"/>
          <w:color w:val="auto"/>
          <w:spacing w:val="0"/>
          <w:kern w:val="2"/>
          <w:sz w:val="32"/>
          <w:szCs w:val="32"/>
          <w:highlight w:val="none"/>
          <w:lang w:val="en-US" w:eastAsia="zh-CN"/>
        </w:rPr>
        <w:t>抓招商提效，</w:t>
      </w:r>
      <w:r>
        <w:rPr>
          <w:rFonts w:hint="default" w:ascii="Times New Roman" w:hAnsi="Times New Roman" w:eastAsia="仿宋_GB2312" w:cs="仿宋_GB2312"/>
          <w:b w:val="0"/>
          <w:bCs w:val="0"/>
          <w:color w:val="auto"/>
          <w:spacing w:val="0"/>
          <w:kern w:val="2"/>
          <w:sz w:val="32"/>
          <w:szCs w:val="32"/>
          <w:highlight w:val="none"/>
          <w:lang w:val="en-US" w:eastAsia="zh-CN" w:bidi="ar-SA"/>
        </w:rPr>
        <w:t>增强造血功能</w:t>
      </w:r>
      <w:r>
        <w:rPr>
          <w:rFonts w:hint="eastAsia" w:ascii="Times New Roman" w:hAnsi="Times New Roman" w:eastAsia="仿宋_GB2312" w:cs="仿宋_GB2312"/>
          <w:b w:val="0"/>
          <w:bCs w:val="0"/>
          <w:color w:val="auto"/>
          <w:spacing w:val="0"/>
          <w:kern w:val="2"/>
          <w:sz w:val="32"/>
          <w:szCs w:val="32"/>
          <w:highlight w:val="none"/>
          <w:lang w:val="en-US" w:eastAsia="zh-CN" w:bidi="ar-SA"/>
        </w:rPr>
        <w:t>；深化“放管服”改革，切实提升政府服务效能；</w:t>
      </w:r>
      <w:r>
        <w:rPr>
          <w:rFonts w:hint="eastAsia" w:ascii="Times New Roman" w:hAnsi="Times New Roman" w:eastAsia="仿宋_GB2312" w:cs="仿宋_GB2312"/>
          <w:b w:val="0"/>
          <w:bCs w:val="0"/>
          <w:color w:val="auto"/>
          <w:sz w:val="32"/>
          <w:szCs w:val="32"/>
          <w:highlight w:val="none"/>
        </w:rPr>
        <w:t>落实</w:t>
      </w:r>
      <w:r>
        <w:rPr>
          <w:rFonts w:hint="eastAsia" w:ascii="Times New Roman" w:hAnsi="Times New Roman" w:eastAsia="仿宋_GB2312" w:cs="仿宋_GB2312"/>
          <w:b w:val="0"/>
          <w:bCs w:val="0"/>
          <w:color w:val="auto"/>
          <w:sz w:val="32"/>
          <w:szCs w:val="32"/>
          <w:highlight w:val="none"/>
          <w:lang w:val="en-US" w:eastAsia="zh-CN"/>
        </w:rPr>
        <w:t>各项财政</w:t>
      </w:r>
      <w:r>
        <w:rPr>
          <w:rFonts w:hint="eastAsia" w:ascii="Times New Roman" w:hAnsi="Times New Roman" w:eastAsia="仿宋_GB2312" w:cs="仿宋_GB2312"/>
          <w:b w:val="0"/>
          <w:bCs w:val="0"/>
          <w:sz w:val="32"/>
          <w:szCs w:val="32"/>
          <w:highlight w:val="none"/>
        </w:rPr>
        <w:t>奖补政策</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val="0"/>
          <w:bCs w:val="0"/>
          <w:sz w:val="32"/>
          <w:szCs w:val="32"/>
          <w:highlight w:val="none"/>
          <w:lang w:val="en-US" w:eastAsia="zh-CN"/>
        </w:rPr>
        <w:t>加大企业扶持力度，为经济高质量发展“蓄力赋能”。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val="0"/>
          <w:bCs w:val="0"/>
          <w:sz w:val="32"/>
          <w:szCs w:val="32"/>
          <w:highlight w:val="none"/>
        </w:rPr>
      </w:pPr>
      <w:r>
        <w:rPr>
          <w:rFonts w:hint="eastAsia" w:ascii="Times New Roman" w:hAnsi="Times New Roman" w:eastAsia="仿宋_GB2312" w:cs="仿宋_GB2312"/>
          <w:b/>
          <w:bCs/>
          <w:sz w:val="32"/>
          <w:szCs w:val="32"/>
          <w:highlight w:val="none"/>
          <w:lang w:val="en-US" w:eastAsia="zh-CN"/>
        </w:rPr>
        <w:t>（3）优化地区产业发展</w:t>
      </w:r>
      <w:r>
        <w:rPr>
          <w:rFonts w:hint="eastAsia" w:ascii="Times New Roman" w:hAnsi="Times New Roman" w:eastAsia="仿宋_GB2312" w:cs="仿宋_GB2312"/>
          <w:b/>
          <w:bCs/>
          <w:sz w:val="32"/>
          <w:szCs w:val="32"/>
          <w:highlight w:val="none"/>
          <w:lang w:eastAsia="zh-CN"/>
        </w:rPr>
        <w:t>。</w:t>
      </w:r>
      <w:r>
        <w:rPr>
          <w:rFonts w:hint="eastAsia" w:ascii="Times New Roman" w:hAnsi="Times New Roman" w:eastAsia="仿宋_GB2312" w:cs="仿宋_GB2312"/>
          <w:b w:val="0"/>
          <w:bCs w:val="0"/>
          <w:sz w:val="32"/>
          <w:szCs w:val="32"/>
          <w:highlight w:val="none"/>
          <w:lang w:val="en-US" w:eastAsia="zh-CN"/>
        </w:rPr>
        <w:t>减轻企业负担，纾困企业发展。</w:t>
      </w:r>
      <w:r>
        <w:rPr>
          <w:rFonts w:hint="eastAsia" w:ascii="Times New Roman" w:hAnsi="Times New Roman" w:eastAsia="仿宋_GB2312" w:cs="仿宋_GB2312"/>
          <w:b/>
          <w:bCs/>
          <w:sz w:val="32"/>
          <w:szCs w:val="32"/>
          <w:highlight w:val="none"/>
          <w:lang w:val="en-US" w:eastAsia="zh-CN"/>
        </w:rPr>
        <w:t>一是</w:t>
      </w:r>
      <w:r>
        <w:rPr>
          <w:rFonts w:hint="eastAsia" w:ascii="Times New Roman" w:hAnsi="Times New Roman" w:eastAsia="仿宋_GB2312" w:cs="仿宋_GB2312"/>
          <w:b w:val="0"/>
          <w:bCs w:val="0"/>
          <w:sz w:val="32"/>
          <w:szCs w:val="32"/>
          <w:highlight w:val="none"/>
          <w:lang w:val="en-US" w:eastAsia="zh-CN"/>
        </w:rPr>
        <w:t>降低融资成本，服务实体经济。</w:t>
      </w:r>
      <w:r>
        <w:rPr>
          <w:rFonts w:hint="eastAsia" w:ascii="Times New Roman" w:hAnsi="Times New Roman" w:eastAsia="仿宋_GB2312" w:cs="仿宋_GB2312"/>
          <w:sz w:val="32"/>
          <w:szCs w:val="32"/>
          <w:highlight w:val="none"/>
          <w:lang w:eastAsia="zh-CN"/>
        </w:rPr>
        <w:t>完善</w:t>
      </w:r>
      <w:r>
        <w:rPr>
          <w:rFonts w:hint="eastAsia" w:ascii="Times New Roman" w:hAnsi="Times New Roman" w:eastAsia="仿宋_GB2312" w:cs="仿宋_GB2312"/>
          <w:sz w:val="32"/>
          <w:szCs w:val="32"/>
          <w:highlight w:val="none"/>
        </w:rPr>
        <w:t>“园保贷”、“助保贷”为企业提供贷款担保业务，加快产融对接合作，引导金融资本服务地方国有企业、龙头企业和小微企业</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Times New Roman"/>
          <w:b/>
          <w:bCs/>
          <w:sz w:val="32"/>
          <w:szCs w:val="32"/>
          <w:highlight w:val="none"/>
          <w:lang w:val="en-US" w:eastAsia="zh-CN"/>
        </w:rPr>
        <w:t>二是</w:t>
      </w:r>
      <w:r>
        <w:rPr>
          <w:rFonts w:hint="eastAsia" w:ascii="Times New Roman" w:hAnsi="Times New Roman" w:eastAsia="仿宋_GB2312" w:cs="Times New Roman"/>
          <w:b w:val="0"/>
          <w:bCs w:val="0"/>
          <w:sz w:val="32"/>
          <w:szCs w:val="32"/>
          <w:highlight w:val="none"/>
          <w:lang w:val="en-US" w:eastAsia="zh-CN"/>
        </w:rPr>
        <w:t>聚焦产业升级，支持创新发展。</w:t>
      </w:r>
      <w:r>
        <w:rPr>
          <w:rFonts w:hint="eastAsia" w:ascii="Times New Roman" w:hAnsi="Times New Roman" w:eastAsia="仿宋_GB2312" w:cs="仿宋_GB2312"/>
          <w:b w:val="0"/>
          <w:bCs w:val="0"/>
          <w:sz w:val="32"/>
          <w:szCs w:val="32"/>
          <w:highlight w:val="none"/>
        </w:rPr>
        <w:t>发挥财政资金</w:t>
      </w:r>
      <w:r>
        <w:rPr>
          <w:rFonts w:hint="eastAsia" w:ascii="Times New Roman" w:hAnsi="Times New Roman" w:eastAsia="仿宋_GB2312" w:cs="仿宋_GB2312"/>
          <w:b w:val="0"/>
          <w:bCs w:val="0"/>
          <w:sz w:val="32"/>
          <w:szCs w:val="32"/>
          <w:highlight w:val="none"/>
          <w:lang w:eastAsia="zh-CN"/>
        </w:rPr>
        <w:t>引领</w:t>
      </w:r>
      <w:r>
        <w:rPr>
          <w:rFonts w:hint="eastAsia" w:ascii="Times New Roman" w:hAnsi="Times New Roman" w:eastAsia="仿宋_GB2312" w:cs="仿宋_GB2312"/>
          <w:b w:val="0"/>
          <w:bCs w:val="0"/>
          <w:sz w:val="32"/>
          <w:szCs w:val="32"/>
          <w:highlight w:val="none"/>
        </w:rPr>
        <w:t>作用，集中财力向产学研用协同创新项目倾斜</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val="0"/>
          <w:bCs w:val="0"/>
          <w:sz w:val="32"/>
          <w:szCs w:val="32"/>
          <w:highlight w:val="none"/>
        </w:rPr>
        <w:t>加强对先进材料制造领域技术创新支持</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val="0"/>
          <w:bCs w:val="0"/>
          <w:sz w:val="32"/>
          <w:szCs w:val="32"/>
          <w:highlight w:val="none"/>
          <w:lang w:val="en-US" w:eastAsia="zh-CN"/>
        </w:rPr>
        <w:t>推进产业“创新转型升级”。</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3" w:firstLineChars="200"/>
        <w:jc w:val="both"/>
        <w:rPr>
          <w:rFonts w:hint="eastAsia"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eastAsia="zh-CN"/>
        </w:rPr>
        <w:t>（</w:t>
      </w:r>
      <w:r>
        <w:rPr>
          <w:rFonts w:hint="eastAsia" w:ascii="Times New Roman" w:hAnsi="Times New Roman" w:eastAsia="仿宋_GB2312" w:cs="仿宋_GB2312"/>
          <w:b/>
          <w:bCs/>
          <w:sz w:val="32"/>
          <w:szCs w:val="32"/>
          <w:highlight w:val="none"/>
          <w:lang w:val="en-US" w:eastAsia="zh-CN"/>
        </w:rPr>
        <w:t>4</w:t>
      </w:r>
      <w:r>
        <w:rPr>
          <w:rFonts w:hint="eastAsia" w:ascii="Times New Roman" w:hAnsi="Times New Roman" w:eastAsia="仿宋_GB2312" w:cs="仿宋_GB2312"/>
          <w:b/>
          <w:bCs/>
          <w:sz w:val="32"/>
          <w:szCs w:val="32"/>
          <w:highlight w:val="none"/>
          <w:lang w:eastAsia="zh-CN"/>
        </w:rPr>
        <w:t>）</w:t>
      </w:r>
      <w:r>
        <w:rPr>
          <w:rFonts w:hint="eastAsia" w:ascii="Times New Roman" w:hAnsi="Times New Roman" w:eastAsia="仿宋_GB2312" w:cs="仿宋_GB2312"/>
          <w:b/>
          <w:bCs/>
          <w:sz w:val="32"/>
          <w:szCs w:val="32"/>
          <w:highlight w:val="none"/>
          <w:lang w:val="en-US" w:eastAsia="zh-CN"/>
        </w:rPr>
        <w:t>用好用活直达资金。一是</w:t>
      </w:r>
      <w:r>
        <w:rPr>
          <w:rFonts w:hint="eastAsia" w:ascii="Times New Roman" w:hAnsi="Times New Roman" w:eastAsia="仿宋_GB2312" w:cs="仿宋_GB2312"/>
          <w:b w:val="0"/>
          <w:bCs w:val="0"/>
          <w:sz w:val="32"/>
          <w:szCs w:val="32"/>
          <w:highlight w:val="none"/>
          <w:lang w:val="en-US" w:eastAsia="zh-CN"/>
        </w:rPr>
        <w:t>狠抓直达资金拨付。</w:t>
      </w:r>
      <w:r>
        <w:rPr>
          <w:rFonts w:hint="eastAsia" w:ascii="Times New Roman" w:hAnsi="Times New Roman" w:eastAsia="仿宋_GB2312" w:cs="仿宋_GB2312"/>
          <w:sz w:val="32"/>
          <w:szCs w:val="32"/>
          <w:highlight w:val="none"/>
          <w:lang w:val="en-US" w:eastAsia="zh-CN"/>
        </w:rPr>
        <w:t>认真落实“六稳”“六保”工作任务，加快直达资金分配使用，着力解决企业、群众实际困难。2021年1-10月，拨付直达资金24173万元。</w:t>
      </w:r>
      <w:r>
        <w:rPr>
          <w:rFonts w:hint="eastAsia" w:ascii="Times New Roman" w:hAnsi="Times New Roman" w:eastAsia="仿宋_GB2312" w:cs="仿宋_GB2312"/>
          <w:b/>
          <w:bCs/>
          <w:sz w:val="32"/>
          <w:szCs w:val="32"/>
          <w:highlight w:val="none"/>
          <w:lang w:val="en-US" w:eastAsia="zh-CN"/>
        </w:rPr>
        <w:t>二是</w:t>
      </w:r>
      <w:r>
        <w:rPr>
          <w:rFonts w:hint="eastAsia" w:ascii="Times New Roman" w:hAnsi="Times New Roman" w:eastAsia="仿宋_GB2312" w:cs="仿宋_GB2312"/>
          <w:b w:val="0"/>
          <w:bCs w:val="0"/>
          <w:sz w:val="32"/>
          <w:szCs w:val="32"/>
          <w:highlight w:val="none"/>
          <w:lang w:val="en-US" w:eastAsia="zh-CN"/>
        </w:rPr>
        <w:t>加强直达资金监管。做好直达资金动态监控，认真开展</w:t>
      </w:r>
      <w:r>
        <w:rPr>
          <w:rFonts w:hint="eastAsia" w:ascii="Times New Roman" w:hAnsi="Times New Roman" w:eastAsia="仿宋_GB2312" w:cs="仿宋_GB2312"/>
          <w:b w:val="0"/>
          <w:bCs w:val="0"/>
          <w:sz w:val="32"/>
          <w:szCs w:val="32"/>
          <w:highlight w:val="none"/>
        </w:rPr>
        <w:t>直达资金</w:t>
      </w:r>
      <w:r>
        <w:rPr>
          <w:rFonts w:hint="eastAsia" w:ascii="Times New Roman" w:hAnsi="Times New Roman" w:eastAsia="仿宋_GB2312" w:cs="仿宋_GB2312"/>
          <w:b w:val="0"/>
          <w:bCs w:val="0"/>
          <w:sz w:val="32"/>
          <w:szCs w:val="32"/>
          <w:highlight w:val="none"/>
          <w:lang w:eastAsia="zh-CN"/>
        </w:rPr>
        <w:t>审计</w:t>
      </w:r>
      <w:r>
        <w:rPr>
          <w:rFonts w:hint="eastAsia" w:ascii="Times New Roman" w:hAnsi="Times New Roman" w:eastAsia="仿宋_GB2312" w:cs="仿宋_GB2312"/>
          <w:b w:val="0"/>
          <w:bCs w:val="0"/>
          <w:sz w:val="32"/>
          <w:szCs w:val="32"/>
          <w:highlight w:val="none"/>
        </w:rPr>
        <w:t>监管工作，确保直达资金安全、规范、高效使用</w:t>
      </w:r>
      <w:r>
        <w:rPr>
          <w:rFonts w:hint="eastAsia" w:ascii="Times New Roman" w:hAnsi="Times New Roman" w:eastAsia="仿宋_GB2312" w:cs="仿宋_GB2312"/>
          <w:b w:val="0"/>
          <w:bCs w:val="0"/>
          <w:sz w:val="32"/>
          <w:szCs w:val="32"/>
          <w:highlight w:val="none"/>
          <w:lang w:val="en-US" w:eastAsia="zh-CN"/>
        </w:rPr>
        <w:t>。</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2.深化预算改革，努力建设现代财政体系</w:t>
      </w:r>
    </w:p>
    <w:p>
      <w:pPr>
        <w:keepNext w:val="0"/>
        <w:keepLines w:val="0"/>
        <w:pageBreakBefore w:val="0"/>
        <w:widowControl w:val="0"/>
        <w:kinsoku/>
        <w:wordWrap/>
        <w:overflowPunct/>
        <w:topLinePunct w:val="0"/>
        <w:autoSpaceDE/>
        <w:autoSpaceDN/>
        <w:bidi w:val="0"/>
        <w:spacing w:line="560" w:lineRule="exact"/>
        <w:ind w:firstLine="643" w:firstLineChars="200"/>
        <w:rPr>
          <w:rFonts w:hint="eastAsia" w:ascii="Times New Roman" w:hAnsi="Times New Roman" w:eastAsia="仿宋_GB2312"/>
          <w:spacing w:val="0"/>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（1）狠抓收支统筹，强化资金保障。一是</w:t>
      </w:r>
      <w:r>
        <w:rPr>
          <w:rFonts w:hint="eastAsia" w:ascii="Times New Roman" w:hAnsi="Times New Roman" w:eastAsia="仿宋_GB2312" w:cs="仿宋_GB2312"/>
          <w:b w:val="0"/>
          <w:bCs w:val="0"/>
          <w:color w:val="auto"/>
          <w:sz w:val="32"/>
          <w:szCs w:val="32"/>
          <w:highlight w:val="none"/>
          <w:lang w:val="en-US" w:eastAsia="zh-CN"/>
        </w:rPr>
        <w:t>强化收入统筹。</w:t>
      </w:r>
      <w:r>
        <w:rPr>
          <w:rFonts w:hint="eastAsia" w:ascii="Times New Roman" w:hAnsi="Times New Roman" w:eastAsia="仿宋_GB2312"/>
          <w:b w:val="0"/>
          <w:bCs w:val="0"/>
          <w:sz w:val="32"/>
          <w:szCs w:val="32"/>
          <w:highlight w:val="none"/>
          <w:lang w:val="en-US" w:eastAsia="zh-CN"/>
        </w:rPr>
        <w:t>加强税收和非税收入征管，坚持依法征收、应收尽收；积极拓宽增收渠道，聚焦税源培植，夯实地区发展基础。</w:t>
      </w:r>
      <w:r>
        <w:rPr>
          <w:rFonts w:hint="eastAsia" w:ascii="Times New Roman" w:hAnsi="Times New Roman" w:eastAsia="仿宋_GB2312"/>
          <w:b/>
          <w:bCs/>
          <w:sz w:val="32"/>
          <w:szCs w:val="32"/>
          <w:highlight w:val="none"/>
          <w:lang w:val="en-US" w:eastAsia="zh-CN"/>
        </w:rPr>
        <w:t>二是</w:t>
      </w:r>
      <w:r>
        <w:rPr>
          <w:rFonts w:hint="eastAsia" w:ascii="Times New Roman" w:hAnsi="Times New Roman" w:eastAsia="仿宋_GB2312"/>
          <w:b w:val="0"/>
          <w:bCs w:val="0"/>
          <w:sz w:val="32"/>
          <w:szCs w:val="32"/>
          <w:highlight w:val="none"/>
          <w:lang w:val="en-US" w:eastAsia="zh-CN"/>
        </w:rPr>
        <w:t>严格支出管理。持续优化支出结构，</w:t>
      </w:r>
      <w:r>
        <w:rPr>
          <w:rFonts w:hint="eastAsia" w:ascii="Times New Roman" w:hAnsi="Times New Roman" w:eastAsia="仿宋_GB2312"/>
          <w:spacing w:val="0"/>
          <w:sz w:val="32"/>
          <w:szCs w:val="32"/>
          <w:highlight w:val="none"/>
          <w:lang w:val="en-US" w:eastAsia="zh-CN"/>
        </w:rPr>
        <w:t>大力压减一般性支出，严控“三公”经费。2021年，“三公”经费预算同比减少67.23万元，下降7.71%。</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（2）规范执行管理，硬化预算约束。一是</w:t>
      </w:r>
      <w:r>
        <w:rPr>
          <w:rFonts w:hint="eastAsia" w:ascii="Times New Roman" w:hAnsi="Times New Roman" w:eastAsia="仿宋_GB2312" w:cs="仿宋_GB2312"/>
          <w:b w:val="0"/>
          <w:bCs w:val="0"/>
          <w:color w:val="auto"/>
          <w:sz w:val="32"/>
          <w:szCs w:val="32"/>
          <w:highlight w:val="none"/>
          <w:lang w:val="en-US" w:eastAsia="zh-CN"/>
        </w:rPr>
        <w:t>强化措施保障。持续推进财政预算改革，制定《德阳市罗江区财政预算改革方案》，对预算编制、执行、支付、绩效管理等环节进行优化，着力解决预算约束不够有力，收支统筹力度不足等问题。</w:t>
      </w:r>
      <w:r>
        <w:rPr>
          <w:rFonts w:hint="eastAsia" w:ascii="Times New Roman" w:hAnsi="Times New Roman" w:eastAsia="仿宋_GB2312" w:cs="仿宋_GB2312"/>
          <w:b/>
          <w:bCs/>
          <w:color w:val="auto"/>
          <w:sz w:val="32"/>
          <w:szCs w:val="32"/>
          <w:highlight w:val="none"/>
          <w:lang w:val="en-US" w:eastAsia="zh-CN"/>
        </w:rPr>
        <w:t>二是</w:t>
      </w:r>
      <w:r>
        <w:rPr>
          <w:rFonts w:hint="eastAsia" w:ascii="Times New Roman" w:hAnsi="Times New Roman" w:eastAsia="仿宋_GB2312" w:cs="仿宋_GB2312"/>
          <w:b w:val="0"/>
          <w:bCs w:val="0"/>
          <w:color w:val="auto"/>
          <w:sz w:val="32"/>
          <w:szCs w:val="32"/>
          <w:highlight w:val="none"/>
          <w:lang w:val="en-US" w:eastAsia="zh-CN"/>
        </w:rPr>
        <w:t>规范财政资金使用。持续推进国库集中支付标准化管理，深化国库集中支付改革，强化预算执行动态监控，加大稽核和查处力度。</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3" w:firstLineChars="200"/>
        <w:rPr>
          <w:rFonts w:hint="eastAsia" w:ascii="Times New Roman" w:hAnsi="Times New Roman" w:eastAsia="仿宋_GB2312" w:cs="仿宋_GB2312"/>
          <w:b w:val="0"/>
          <w:bCs w:val="0"/>
          <w:spacing w:val="0"/>
          <w:kern w:val="2"/>
          <w:sz w:val="32"/>
          <w:szCs w:val="32"/>
          <w:highlight w:val="none"/>
          <w:lang w:val="en-US" w:eastAsia="zh-CN" w:bidi="ar-SA"/>
        </w:rPr>
      </w:pPr>
      <w:r>
        <w:rPr>
          <w:rFonts w:hint="eastAsia" w:ascii="Times New Roman" w:hAnsi="Times New Roman" w:eastAsia="仿宋_GB2312" w:cs="仿宋_GB2312"/>
          <w:b/>
          <w:bCs/>
          <w:color w:val="auto"/>
          <w:sz w:val="32"/>
          <w:szCs w:val="32"/>
          <w:highlight w:val="none"/>
          <w:lang w:val="en-US" w:eastAsia="zh-CN"/>
        </w:rPr>
        <w:t>（3）加强绩效管理，做到用财有效。</w:t>
      </w:r>
      <w:r>
        <w:rPr>
          <w:rFonts w:hint="eastAsia" w:ascii="Times New Roman" w:hAnsi="Times New Roman" w:eastAsia="仿宋_GB2312" w:cs="仿宋_GB2312"/>
          <w:b w:val="0"/>
          <w:bCs w:val="0"/>
          <w:spacing w:val="0"/>
          <w:kern w:val="2"/>
          <w:sz w:val="32"/>
          <w:szCs w:val="32"/>
          <w:highlight w:val="none"/>
          <w:lang w:val="en-US" w:eastAsia="zh-CN" w:bidi="ar-SA"/>
        </w:rPr>
        <w:t>全面推进预算绩效管理，优化绩效评价方式，拓宽绩效评价范围，实现区级财政支出项目绩效评价全覆盖，完善绩效评价与预算安排挂钩机制，逐步建立“预算编制有目标、预算执行有监控、预算完成有评价、评价结果有应用、绩效缺失有问责”的全过程绩效管理体系。</w:t>
      </w:r>
    </w:p>
    <w:p>
      <w:pPr>
        <w:pStyle w:val="20"/>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left="0" w:firstLine="643" w:firstLineChars="200"/>
        <w:jc w:val="both"/>
        <w:rPr>
          <w:rFonts w:hint="eastAsia" w:ascii="Times New Roman" w:hAnsi="Times New Roman" w:eastAsia="仿宋_GB2312" w:cs="仿宋_GB2312"/>
          <w:b w:val="0"/>
          <w:bCs w:val="0"/>
          <w:spacing w:val="0"/>
          <w:kern w:val="2"/>
          <w:sz w:val="32"/>
          <w:szCs w:val="32"/>
          <w:highlight w:val="none"/>
          <w:lang w:val="en-US" w:eastAsia="zh-CN" w:bidi="ar-SA"/>
        </w:rPr>
      </w:pPr>
      <w:r>
        <w:rPr>
          <w:rFonts w:hint="eastAsia" w:ascii="Times New Roman" w:hAnsi="Times New Roman" w:eastAsia="仿宋_GB2312" w:cs="仿宋_GB2312"/>
          <w:b/>
          <w:bCs/>
          <w:color w:val="auto"/>
          <w:sz w:val="32"/>
          <w:szCs w:val="32"/>
          <w:highlight w:val="none"/>
          <w:lang w:val="en-US" w:eastAsia="zh-CN"/>
        </w:rPr>
        <w:t>（4）推动信息化建设，提升管理水平。</w:t>
      </w:r>
      <w:r>
        <w:rPr>
          <w:rFonts w:hint="eastAsia" w:ascii="Times New Roman" w:hAnsi="Times New Roman" w:eastAsia="仿宋_GB2312" w:cs="仿宋_GB2312"/>
          <w:b/>
          <w:bCs/>
          <w:spacing w:val="0"/>
          <w:kern w:val="2"/>
          <w:sz w:val="32"/>
          <w:szCs w:val="32"/>
          <w:highlight w:val="none"/>
          <w:lang w:val="en-US" w:eastAsia="zh-CN" w:bidi="ar-SA"/>
        </w:rPr>
        <w:t>一是</w:t>
      </w:r>
      <w:r>
        <w:rPr>
          <w:rFonts w:hint="eastAsia" w:ascii="Times New Roman" w:hAnsi="Times New Roman" w:eastAsia="仿宋_GB2312" w:cs="仿宋_GB2312"/>
          <w:spacing w:val="0"/>
          <w:kern w:val="2"/>
          <w:sz w:val="32"/>
          <w:szCs w:val="32"/>
          <w:highlight w:val="none"/>
          <w:lang w:val="en-US" w:eastAsia="zh-CN" w:bidi="ar-SA"/>
        </w:rPr>
        <w:t>切实提高预算管理水平。以“一体化”系统为基础，加强财政资金统筹，推进财政支出标准化建设，实现了各部门、各级财政间信息共享。</w:t>
      </w:r>
      <w:r>
        <w:rPr>
          <w:rFonts w:hint="eastAsia" w:ascii="Times New Roman" w:hAnsi="Times New Roman" w:eastAsia="仿宋_GB2312" w:cs="仿宋_GB2312"/>
          <w:b/>
          <w:bCs/>
          <w:spacing w:val="0"/>
          <w:kern w:val="2"/>
          <w:sz w:val="32"/>
          <w:szCs w:val="32"/>
          <w:highlight w:val="none"/>
          <w:lang w:val="en-US" w:eastAsia="zh-CN" w:bidi="ar-SA"/>
        </w:rPr>
        <w:t>二是</w:t>
      </w:r>
      <w:r>
        <w:rPr>
          <w:rFonts w:hint="eastAsia" w:ascii="Times New Roman" w:hAnsi="Times New Roman" w:eastAsia="仿宋_GB2312" w:cs="仿宋_GB2312"/>
          <w:b w:val="0"/>
          <w:bCs w:val="0"/>
          <w:spacing w:val="0"/>
          <w:kern w:val="2"/>
          <w:sz w:val="32"/>
          <w:szCs w:val="32"/>
          <w:highlight w:val="none"/>
          <w:lang w:val="en-US" w:eastAsia="zh-CN" w:bidi="ar-SA"/>
        </w:rPr>
        <w:t>推进财政电子票据改革。加快推进“互联网+政府采购”、“互联网+财政管理”，助力优化政府采购营商环境。</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3.加强风险防控，切实保障经济平稳运行</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color w:val="000000"/>
          <w:kern w:val="0"/>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1</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华文仿宋"/>
          <w:b/>
          <w:bCs/>
          <w:color w:val="000000"/>
          <w:sz w:val="32"/>
          <w:szCs w:val="32"/>
          <w:highlight w:val="none"/>
          <w:lang w:eastAsia="zh-CN"/>
        </w:rPr>
        <w:t>防</w:t>
      </w:r>
      <w:r>
        <w:rPr>
          <w:rFonts w:hint="eastAsia" w:ascii="Times New Roman" w:hAnsi="Times New Roman" w:eastAsia="仿宋_GB2312" w:cs="华文仿宋"/>
          <w:b/>
          <w:bCs/>
          <w:color w:val="000000"/>
          <w:sz w:val="32"/>
          <w:szCs w:val="32"/>
          <w:highlight w:val="none"/>
        </w:rPr>
        <w:t>债务风险</w:t>
      </w:r>
      <w:r>
        <w:rPr>
          <w:rFonts w:hint="eastAsia" w:ascii="Times New Roman" w:hAnsi="Times New Roman" w:eastAsia="仿宋_GB2312" w:cs="华文仿宋"/>
          <w:b/>
          <w:bCs/>
          <w:color w:val="000000"/>
          <w:sz w:val="32"/>
          <w:szCs w:val="32"/>
          <w:highlight w:val="none"/>
          <w:lang w:eastAsia="zh-CN"/>
        </w:rPr>
        <w:t>，</w:t>
      </w:r>
      <w:r>
        <w:rPr>
          <w:rFonts w:hint="eastAsia" w:ascii="Times New Roman" w:hAnsi="Times New Roman" w:eastAsia="仿宋_GB2312" w:cs="华文仿宋"/>
          <w:b/>
          <w:bCs/>
          <w:color w:val="000000"/>
          <w:sz w:val="32"/>
          <w:szCs w:val="32"/>
          <w:highlight w:val="none"/>
        </w:rPr>
        <w:t>确保良性运转。</w:t>
      </w:r>
      <w:r>
        <w:rPr>
          <w:rFonts w:hint="eastAsia" w:ascii="Times New Roman" w:hAnsi="Times New Roman" w:eastAsia="仿宋_GB2312" w:cs="华文仿宋"/>
          <w:b/>
          <w:bCs/>
          <w:color w:val="000000"/>
          <w:sz w:val="32"/>
          <w:szCs w:val="32"/>
          <w:highlight w:val="none"/>
          <w:lang w:eastAsia="zh-CN"/>
        </w:rPr>
        <w:t>一是</w:t>
      </w:r>
      <w:r>
        <w:rPr>
          <w:rFonts w:hint="eastAsia" w:ascii="Times New Roman" w:hAnsi="Times New Roman" w:eastAsia="仿宋_GB2312" w:cs="仿宋_GB2312"/>
          <w:color w:val="000000"/>
          <w:sz w:val="32"/>
          <w:szCs w:val="32"/>
          <w:highlight w:val="none"/>
        </w:rPr>
        <w:t>强化债务管理，严格规范举债。</w:t>
      </w:r>
      <w:r>
        <w:rPr>
          <w:rFonts w:hint="eastAsia" w:ascii="Times New Roman" w:hAnsi="Times New Roman" w:eastAsia="仿宋" w:cs="仿宋"/>
          <w:color w:val="000000"/>
          <w:sz w:val="32"/>
          <w:szCs w:val="32"/>
          <w:highlight w:val="none"/>
        </w:rPr>
        <w:t>实行政府债务限额管理，政府举债一律通过在省政府批准的限额内发行地方政府债券的方式，除此之外地方政府及所属部门不得以任何方式举借债务。</w:t>
      </w:r>
      <w:r>
        <w:rPr>
          <w:rFonts w:hint="eastAsia" w:ascii="Times New Roman" w:hAnsi="Times New Roman" w:eastAsia="仿宋" w:cs="仿宋"/>
          <w:b/>
          <w:bCs/>
          <w:color w:val="000000"/>
          <w:sz w:val="32"/>
          <w:szCs w:val="32"/>
          <w:highlight w:val="none"/>
          <w:lang w:eastAsia="zh-CN"/>
        </w:rPr>
        <w:t>二是</w:t>
      </w:r>
      <w:r>
        <w:rPr>
          <w:rFonts w:hint="eastAsia" w:ascii="Times New Roman" w:hAnsi="Times New Roman" w:eastAsia="仿宋" w:cs="仿宋"/>
          <w:color w:val="000000"/>
          <w:sz w:val="32"/>
          <w:szCs w:val="32"/>
          <w:highlight w:val="none"/>
        </w:rPr>
        <w:t>积极稳妥化解存量债务，遏制隐性债务增量。积极偿还到期政府债务，将地方政府债务还本付息资金纳入财政预算安排</w:t>
      </w:r>
      <w:r>
        <w:rPr>
          <w:rFonts w:hint="eastAsia" w:ascii="Times New Roman" w:hAnsi="Times New Roman" w:eastAsia="仿宋" w:cs="仿宋"/>
          <w:color w:val="000000"/>
          <w:sz w:val="32"/>
          <w:szCs w:val="32"/>
          <w:highlight w:val="none"/>
          <w:lang w:eastAsia="zh-CN"/>
        </w:rPr>
        <w:t>；</w:t>
      </w:r>
      <w:r>
        <w:rPr>
          <w:rFonts w:hint="eastAsia" w:ascii="Times New Roman" w:hAnsi="Times New Roman" w:eastAsia="仿宋" w:cs="仿宋"/>
          <w:color w:val="000000"/>
          <w:sz w:val="32"/>
          <w:szCs w:val="32"/>
          <w:highlight w:val="none"/>
        </w:rPr>
        <w:t>严格落实隐性债务偿债计划，有序化解隐性债务存量，确保隐性债务规模“只减不增”</w:t>
      </w:r>
      <w:r>
        <w:rPr>
          <w:rFonts w:hint="eastAsia" w:ascii="Times New Roman" w:hAnsi="Times New Roman" w:eastAsia="仿宋_GB2312" w:cs="仿宋_GB2312"/>
          <w:color w:val="000000"/>
          <w:kern w:val="0"/>
          <w:sz w:val="32"/>
          <w:szCs w:val="32"/>
          <w:highlight w:val="none"/>
          <w:lang w:eastAsia="zh-CN"/>
        </w:rPr>
        <w:t>。</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3" w:firstLineChars="200"/>
        <w:jc w:val="both"/>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2</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华文仿宋"/>
          <w:b/>
          <w:bCs/>
          <w:color w:val="000000"/>
          <w:sz w:val="32"/>
          <w:szCs w:val="32"/>
          <w:highlight w:val="none"/>
          <w:lang w:eastAsia="zh-CN"/>
        </w:rPr>
        <w:t>防</w:t>
      </w:r>
      <w:r>
        <w:rPr>
          <w:rFonts w:hint="eastAsia" w:ascii="Times New Roman" w:hAnsi="Times New Roman" w:eastAsia="仿宋_GB2312" w:cs="华文仿宋"/>
          <w:b/>
          <w:bCs/>
          <w:color w:val="000000"/>
          <w:sz w:val="32"/>
          <w:szCs w:val="32"/>
          <w:highlight w:val="none"/>
        </w:rPr>
        <w:t>金融风险</w:t>
      </w:r>
      <w:r>
        <w:rPr>
          <w:rFonts w:hint="eastAsia" w:ascii="Times New Roman" w:hAnsi="Times New Roman" w:eastAsia="仿宋_GB2312" w:cs="华文仿宋"/>
          <w:b/>
          <w:bCs/>
          <w:color w:val="000000"/>
          <w:sz w:val="32"/>
          <w:szCs w:val="32"/>
          <w:highlight w:val="none"/>
          <w:lang w:eastAsia="zh-CN"/>
        </w:rPr>
        <w:t>，</w:t>
      </w:r>
      <w:r>
        <w:rPr>
          <w:rFonts w:hint="eastAsia" w:ascii="Times New Roman" w:hAnsi="Times New Roman" w:eastAsia="仿宋_GB2312" w:cs="华文仿宋"/>
          <w:b/>
          <w:bCs/>
          <w:color w:val="000000"/>
          <w:sz w:val="32"/>
          <w:szCs w:val="32"/>
          <w:highlight w:val="none"/>
        </w:rPr>
        <w:t>净化金融生态。</w:t>
      </w:r>
      <w:r>
        <w:rPr>
          <w:rFonts w:hint="eastAsia" w:ascii="Times New Roman" w:hAnsi="Times New Roman" w:eastAsia="仿宋_GB2312" w:cs="华文仿宋"/>
          <w:b/>
          <w:bCs/>
          <w:color w:val="000000"/>
          <w:sz w:val="32"/>
          <w:szCs w:val="32"/>
          <w:highlight w:val="none"/>
          <w:lang w:eastAsia="zh-CN"/>
        </w:rPr>
        <w:t>一是</w:t>
      </w:r>
      <w:r>
        <w:rPr>
          <w:rFonts w:hint="eastAsia" w:ascii="Times New Roman" w:hAnsi="Times New Roman" w:eastAsia="仿宋_GB2312" w:cs="Times New Roman"/>
          <w:color w:val="000000"/>
          <w:sz w:val="32"/>
          <w:szCs w:val="32"/>
          <w:highlight w:val="none"/>
        </w:rPr>
        <w:t>加大宣传营造氛围</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按照“属地管理+行业主管”原则，会同公安、银行等部门，全面加强</w:t>
      </w:r>
      <w:r>
        <w:rPr>
          <w:rFonts w:ascii="Times New Roman" w:hAnsi="Times New Roman" w:eastAsia="仿宋_GB2312" w:cs="Times New Roman"/>
          <w:color w:val="000000"/>
          <w:sz w:val="32"/>
          <w:szCs w:val="32"/>
          <w:highlight w:val="none"/>
        </w:rPr>
        <w:t>金融产品、</w:t>
      </w:r>
      <w:r>
        <w:rPr>
          <w:rFonts w:ascii="Times New Roman" w:hAnsi="Times New Roman" w:eastAsia="仿宋_GB2312" w:cs="Times New Roman"/>
          <w:color w:val="000000"/>
          <w:sz w:val="32"/>
          <w:szCs w:val="32"/>
          <w:highlight w:val="none"/>
        </w:rPr>
        <w:fldChar w:fldCharType="begin"/>
      </w:r>
      <w:r>
        <w:rPr>
          <w:rFonts w:ascii="Times New Roman" w:hAnsi="Times New Roman" w:eastAsia="仿宋_GB2312" w:cs="Times New Roman"/>
          <w:color w:val="000000"/>
          <w:sz w:val="32"/>
          <w:szCs w:val="32"/>
          <w:highlight w:val="none"/>
        </w:rPr>
        <w:instrText xml:space="preserve"> HYPERLINK "https://baike.so.com/doc/652600-690785.html" \t "_blank" </w:instrText>
      </w:r>
      <w:r>
        <w:rPr>
          <w:rFonts w:ascii="Times New Roman" w:hAnsi="Times New Roman" w:eastAsia="仿宋_GB2312" w:cs="Times New Roman"/>
          <w:color w:val="000000"/>
          <w:sz w:val="32"/>
          <w:szCs w:val="32"/>
          <w:highlight w:val="none"/>
        </w:rPr>
        <w:fldChar w:fldCharType="separate"/>
      </w:r>
      <w:r>
        <w:rPr>
          <w:rFonts w:ascii="Times New Roman" w:hAnsi="Times New Roman" w:eastAsia="仿宋_GB2312" w:cs="Times New Roman"/>
          <w:color w:val="000000"/>
          <w:sz w:val="32"/>
          <w:szCs w:val="32"/>
          <w:highlight w:val="none"/>
        </w:rPr>
        <w:t>金融机构</w:t>
      </w:r>
      <w:r>
        <w:rPr>
          <w:rFonts w:ascii="Times New Roman" w:hAnsi="Times New Roman" w:eastAsia="仿宋_GB2312" w:cs="Times New Roman"/>
          <w:color w:val="000000"/>
          <w:sz w:val="32"/>
          <w:szCs w:val="32"/>
          <w:highlight w:val="none"/>
        </w:rPr>
        <w:fldChar w:fldCharType="end"/>
      </w:r>
      <w:r>
        <w:rPr>
          <w:rFonts w:hint="eastAsia" w:ascii="Times New Roman" w:hAnsi="Times New Roman" w:eastAsia="仿宋_GB2312" w:cs="Times New Roman"/>
          <w:color w:val="000000"/>
          <w:sz w:val="32"/>
          <w:szCs w:val="32"/>
          <w:highlight w:val="none"/>
        </w:rPr>
        <w:t>、金融风险等知识宣传，树立依法理财、依法经营意识，从源头减少金融风险发生率。</w:t>
      </w:r>
      <w:r>
        <w:rPr>
          <w:rFonts w:hint="eastAsia" w:ascii="Times New Roman" w:hAnsi="Times New Roman" w:eastAsia="仿宋_GB2312" w:cs="Times New Roman"/>
          <w:b/>
          <w:bCs/>
          <w:color w:val="000000"/>
          <w:sz w:val="32"/>
          <w:szCs w:val="32"/>
          <w:highlight w:val="none"/>
          <w:lang w:eastAsia="zh-CN"/>
        </w:rPr>
        <w:t>二是</w:t>
      </w:r>
      <w:r>
        <w:rPr>
          <w:rFonts w:hint="eastAsia" w:ascii="Times New Roman" w:hAnsi="Times New Roman" w:eastAsia="仿宋_GB2312" w:cs="Times New Roman"/>
          <w:color w:val="000000"/>
          <w:sz w:val="32"/>
          <w:szCs w:val="32"/>
          <w:highlight w:val="none"/>
        </w:rPr>
        <w:t>压实责任抓好落实</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健全金融风险防控工作机制和防控预案，落实监测预警、依法处置、社会稳定、舆论引导等工作职责，构建反应及时、应对充分、分级负责的金融风险防控体系。</w:t>
      </w:r>
    </w:p>
    <w:p>
      <w:pPr>
        <w:keepNext w:val="0"/>
        <w:keepLines w:val="0"/>
        <w:pageBreakBefore w:val="0"/>
        <w:widowControl w:val="0"/>
        <w:kinsoku/>
        <w:wordWrap/>
        <w:overflowPunct/>
        <w:topLinePunct w:val="0"/>
        <w:autoSpaceDE/>
        <w:autoSpaceDN/>
        <w:bidi w:val="0"/>
        <w:adjustRightInd/>
        <w:spacing w:line="560" w:lineRule="exact"/>
        <w:ind w:firstLine="643" w:firstLineChars="200"/>
        <w:jc w:val="both"/>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3</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防运行风险，提升库款活力</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一是</w:t>
      </w:r>
      <w:r>
        <w:rPr>
          <w:rFonts w:hint="eastAsia" w:ascii="Times New Roman" w:hAnsi="Times New Roman" w:eastAsia="仿宋_GB2312" w:cs="仿宋_GB2312"/>
          <w:b w:val="0"/>
          <w:bCs w:val="0"/>
          <w:color w:val="auto"/>
          <w:sz w:val="32"/>
          <w:szCs w:val="32"/>
          <w:highlight w:val="none"/>
          <w:lang w:val="en-US" w:eastAsia="zh-CN"/>
        </w:rPr>
        <w:t>加强库款监管。</w:t>
      </w:r>
      <w:r>
        <w:rPr>
          <w:rFonts w:hint="eastAsia" w:ascii="Times New Roman" w:hAnsi="Times New Roman" w:eastAsia="仿宋_GB2312" w:cs="仿宋_GB2312"/>
          <w:spacing w:val="0"/>
          <w:kern w:val="2"/>
          <w:sz w:val="32"/>
          <w:szCs w:val="32"/>
          <w:highlight w:val="none"/>
          <w:lang w:val="en-US" w:eastAsia="zh-CN"/>
        </w:rPr>
        <w:t>树牢底线思维，</w:t>
      </w:r>
      <w:r>
        <w:rPr>
          <w:rFonts w:hint="eastAsia" w:ascii="Times New Roman" w:hAnsi="Times New Roman" w:eastAsia="仿宋_GB2312" w:cs="仿宋_GB2312"/>
          <w:b w:val="0"/>
          <w:bCs w:val="0"/>
          <w:color w:val="auto"/>
          <w:sz w:val="32"/>
          <w:szCs w:val="32"/>
          <w:highlight w:val="none"/>
          <w:lang w:val="en-US" w:eastAsia="zh-CN"/>
        </w:rPr>
        <w:t>确保库款平稳运行，</w:t>
      </w:r>
      <w:r>
        <w:rPr>
          <w:rFonts w:hint="eastAsia" w:ascii="Times New Roman" w:hAnsi="Times New Roman" w:eastAsia="仿宋_GB2312" w:cs="仿宋_GB2312"/>
          <w:spacing w:val="0"/>
          <w:kern w:val="2"/>
          <w:sz w:val="32"/>
          <w:szCs w:val="32"/>
          <w:highlight w:val="none"/>
          <w:lang w:val="en-US" w:eastAsia="zh-CN"/>
        </w:rPr>
        <w:t>充分掌握库款流入、流出、余额变动情况，适时调整库款保障重点、结构、规模，缓解库款运行压力。</w:t>
      </w:r>
      <w:r>
        <w:rPr>
          <w:rFonts w:hint="eastAsia" w:ascii="Times New Roman" w:hAnsi="Times New Roman" w:eastAsia="仿宋_GB2312" w:cs="仿宋_GB2312"/>
          <w:b/>
          <w:bCs/>
          <w:color w:val="auto"/>
          <w:sz w:val="32"/>
          <w:szCs w:val="32"/>
          <w:highlight w:val="none"/>
          <w:lang w:val="en-US" w:eastAsia="zh-CN"/>
        </w:rPr>
        <w:t>二是</w:t>
      </w:r>
      <w:r>
        <w:rPr>
          <w:rFonts w:hint="eastAsia" w:ascii="Times New Roman" w:hAnsi="Times New Roman" w:eastAsia="仿宋_GB2312" w:cs="仿宋_GB2312"/>
          <w:color w:val="auto"/>
          <w:sz w:val="32"/>
          <w:szCs w:val="32"/>
          <w:highlight w:val="none"/>
          <w:lang w:val="en-US" w:eastAsia="zh-CN"/>
        </w:rPr>
        <w:t>加大资金统筹。对照年初目标，加快组织收入，对以实现的收入，及时监缴入库；同时，</w:t>
      </w:r>
      <w:r>
        <w:rPr>
          <w:rFonts w:hint="eastAsia" w:ascii="Times New Roman" w:hAnsi="Times New Roman" w:eastAsia="仿宋_GB2312" w:cs="仿宋_GB2312"/>
          <w:color w:val="000000"/>
          <w:sz w:val="32"/>
          <w:szCs w:val="32"/>
          <w:highlight w:val="none"/>
          <w:lang w:val="en-US" w:eastAsia="zh-CN"/>
        </w:rPr>
        <w:t>加大对预算单位结余资金和长期挂账未使用资金的清理收回，盘活存量资金，切实增强库款活力。</w:t>
      </w:r>
    </w:p>
    <w:p>
      <w:pPr>
        <w:pStyle w:val="19"/>
        <w:keepNext w:val="0"/>
        <w:keepLines w:val="0"/>
        <w:pageBreakBefore w:val="0"/>
        <w:widowControl w:val="0"/>
        <w:shd w:val="clear" w:color="auto" w:fill="FFFFFF"/>
        <w:kinsoku/>
        <w:wordWrap/>
        <w:overflowPunct/>
        <w:topLinePunct w:val="0"/>
        <w:autoSpaceDE/>
        <w:autoSpaceDN/>
        <w:bidi w:val="0"/>
        <w:spacing w:before="0" w:beforeAutospacing="0" w:after="0" w:afterAutospacing="0" w:line="560" w:lineRule="exact"/>
        <w:ind w:firstLine="643" w:firstLineChars="200"/>
        <w:jc w:val="both"/>
        <w:rPr>
          <w:rFonts w:hint="eastAsia" w:ascii="Times New Roman" w:hAnsi="Times New Roman" w:eastAsia="仿宋_GB2312" w:cs="仿宋_GB2312"/>
          <w:spacing w:val="0"/>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（4）</w:t>
      </w:r>
      <w:r>
        <w:rPr>
          <w:rFonts w:hint="eastAsia" w:ascii="Times New Roman" w:hAnsi="Times New Roman" w:eastAsia="仿宋_GB2312" w:cs="华文仿宋"/>
          <w:b/>
          <w:color w:val="000000"/>
          <w:sz w:val="32"/>
          <w:szCs w:val="32"/>
          <w:highlight w:val="none"/>
          <w:lang w:eastAsia="zh-CN"/>
        </w:rPr>
        <w:t>防廉政</w:t>
      </w:r>
      <w:r>
        <w:rPr>
          <w:rFonts w:hint="eastAsia" w:ascii="Times New Roman" w:hAnsi="Times New Roman" w:eastAsia="仿宋_GB2312" w:cs="华文仿宋"/>
          <w:b/>
          <w:color w:val="000000"/>
          <w:sz w:val="32"/>
          <w:szCs w:val="32"/>
          <w:highlight w:val="none"/>
        </w:rPr>
        <w:t>风险</w:t>
      </w:r>
      <w:r>
        <w:rPr>
          <w:rFonts w:hint="eastAsia" w:ascii="Times New Roman" w:hAnsi="Times New Roman" w:eastAsia="仿宋_GB2312" w:cs="华文仿宋"/>
          <w:b/>
          <w:color w:val="000000"/>
          <w:sz w:val="32"/>
          <w:szCs w:val="32"/>
          <w:highlight w:val="none"/>
          <w:lang w:eastAsia="zh-CN"/>
        </w:rPr>
        <w:t>，</w:t>
      </w:r>
      <w:r>
        <w:rPr>
          <w:rFonts w:hint="eastAsia" w:ascii="Times New Roman" w:hAnsi="Times New Roman" w:eastAsia="仿宋_GB2312" w:cs="华文仿宋"/>
          <w:b/>
          <w:color w:val="000000"/>
          <w:sz w:val="32"/>
          <w:szCs w:val="32"/>
          <w:highlight w:val="none"/>
        </w:rPr>
        <w:t>树立良好形象。</w:t>
      </w:r>
      <w:r>
        <w:rPr>
          <w:rFonts w:hint="eastAsia" w:ascii="Times New Roman" w:hAnsi="Times New Roman" w:eastAsia="仿宋_GB2312" w:cs="华文仿宋"/>
          <w:b/>
          <w:color w:val="000000"/>
          <w:sz w:val="32"/>
          <w:szCs w:val="32"/>
          <w:highlight w:val="none"/>
          <w:lang w:eastAsia="zh-CN"/>
        </w:rPr>
        <w:t>一是</w:t>
      </w:r>
      <w:r>
        <w:rPr>
          <w:rFonts w:hint="eastAsia" w:ascii="Times New Roman" w:hAnsi="Times New Roman" w:eastAsia="仿宋_GB2312" w:cs="华文仿宋"/>
          <w:b w:val="0"/>
          <w:bCs/>
          <w:color w:val="000000"/>
          <w:sz w:val="32"/>
          <w:szCs w:val="32"/>
          <w:highlight w:val="none"/>
          <w:lang w:eastAsia="zh-CN"/>
        </w:rPr>
        <w:t>完善监管机制。</w:t>
      </w:r>
      <w:r>
        <w:rPr>
          <w:rFonts w:hint="eastAsia" w:ascii="Times New Roman" w:hAnsi="Times New Roman" w:eastAsia="仿宋_GB2312" w:cs="仿宋_GB2312"/>
          <w:spacing w:val="0"/>
          <w:kern w:val="2"/>
          <w:sz w:val="32"/>
          <w:szCs w:val="32"/>
          <w:highlight w:val="none"/>
          <w:lang w:val="en-US" w:eastAsia="zh-CN" w:bidi="ar-SA"/>
        </w:rPr>
        <w:t>健全权力运行风险防控措施和监督制约机制，促进权力规范运行，坚决杜绝出现岗位风险和廉政风险。</w:t>
      </w:r>
      <w:r>
        <w:rPr>
          <w:rFonts w:hint="eastAsia" w:ascii="Times New Roman" w:hAnsi="Times New Roman" w:eastAsia="仿宋_GB2312" w:cs="仿宋_GB2312"/>
          <w:b/>
          <w:bCs/>
          <w:spacing w:val="0"/>
          <w:kern w:val="2"/>
          <w:sz w:val="32"/>
          <w:szCs w:val="32"/>
          <w:highlight w:val="none"/>
          <w:lang w:val="en-US" w:eastAsia="zh-CN" w:bidi="ar-SA"/>
        </w:rPr>
        <w:t>二是</w:t>
      </w:r>
      <w:r>
        <w:rPr>
          <w:rFonts w:hint="eastAsia" w:ascii="Times New Roman" w:hAnsi="Times New Roman" w:eastAsia="仿宋_GB2312" w:cs="仿宋_GB2312"/>
          <w:spacing w:val="0"/>
          <w:kern w:val="2"/>
          <w:sz w:val="32"/>
          <w:szCs w:val="32"/>
          <w:highlight w:val="none"/>
          <w:lang w:val="en-US" w:eastAsia="zh-CN" w:bidi="ar-SA"/>
        </w:rPr>
        <w:t>加强廉政教育</w:t>
      </w:r>
      <w:r>
        <w:rPr>
          <w:rFonts w:hint="eastAsia" w:ascii="Times New Roman" w:hAnsi="Times New Roman" w:eastAsia="仿宋_GB2312" w:cs="仿宋_GB2312"/>
          <w:color w:val="000000"/>
          <w:sz w:val="32"/>
          <w:szCs w:val="32"/>
          <w:highlight w:val="none"/>
          <w:lang w:val="en-US" w:eastAsia="zh-CN"/>
        </w:rPr>
        <w:t>。</w:t>
      </w:r>
      <w:r>
        <w:rPr>
          <w:rFonts w:hint="eastAsia" w:ascii="Times New Roman" w:hAnsi="Times New Roman" w:eastAsia="仿宋_GB2312" w:cs="仿宋_GB2312"/>
          <w:spacing w:val="0"/>
          <w:kern w:val="2"/>
          <w:sz w:val="32"/>
          <w:szCs w:val="32"/>
          <w:highlight w:val="none"/>
          <w:lang w:val="en-US" w:eastAsia="zh-CN" w:bidi="ar-SA"/>
        </w:rPr>
        <w:t>不断强化干部职工的责任意识和廉政风险意识，引导干部职工恪守纪律规矩，守牢廉政底线，做到依法理财，树立财政干部良好形象。</w:t>
      </w:r>
      <w:r>
        <w:rPr>
          <w:rFonts w:hint="eastAsia" w:ascii="Times New Roman" w:hAnsi="Times New Roman" w:eastAsia="仿宋_GB2312" w:cs="仿宋_GB2312"/>
          <w:b/>
          <w:bCs/>
          <w:spacing w:val="0"/>
          <w:kern w:val="2"/>
          <w:sz w:val="32"/>
          <w:szCs w:val="32"/>
          <w:highlight w:val="none"/>
          <w:lang w:val="en-US" w:eastAsia="zh-CN" w:bidi="ar-SA"/>
        </w:rPr>
        <w:t>三是</w:t>
      </w:r>
      <w:r>
        <w:rPr>
          <w:rFonts w:hint="eastAsia" w:ascii="Times New Roman" w:hAnsi="Times New Roman" w:eastAsia="仿宋_GB2312" w:cs="仿宋_GB2312"/>
          <w:color w:val="000000"/>
          <w:sz w:val="32"/>
          <w:szCs w:val="32"/>
          <w:highlight w:val="none"/>
          <w:lang w:eastAsia="zh-CN"/>
        </w:rPr>
        <w:t>加大</w:t>
      </w:r>
      <w:r>
        <w:rPr>
          <w:rFonts w:hint="eastAsia" w:ascii="Times New Roman" w:hAnsi="Times New Roman" w:eastAsia="仿宋_GB2312" w:cs="仿宋_GB2312"/>
          <w:color w:val="000000"/>
          <w:sz w:val="32"/>
          <w:szCs w:val="32"/>
          <w:highlight w:val="none"/>
        </w:rPr>
        <w:t>人才培育</w:t>
      </w:r>
      <w:r>
        <w:rPr>
          <w:rFonts w:hint="eastAsia" w:ascii="Times New Roman" w:hAnsi="Times New Roman" w:eastAsia="仿宋_GB2312" w:cs="仿宋_GB2312"/>
          <w:color w:val="000000"/>
          <w:sz w:val="32"/>
          <w:szCs w:val="32"/>
          <w:highlight w:val="none"/>
          <w:lang w:eastAsia="zh-CN"/>
        </w:rPr>
        <w:t>。打造一支忠诚干净、勇于担当、遵纪守法的财政队伍。</w:t>
      </w:r>
    </w:p>
    <w:p>
      <w:pPr>
        <w:pStyle w:val="8"/>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以上成绩的取得</w:t>
      </w:r>
      <w:r>
        <w:rPr>
          <w:rFonts w:hint="eastAsia" w:ascii="Times New Roman" w:hAnsi="Times New Roman" w:eastAsia="仿宋_GB2312" w:cs="仿宋_GB2312"/>
          <w:color w:val="auto"/>
          <w:sz w:val="32"/>
          <w:szCs w:val="32"/>
          <w:highlight w:val="none"/>
        </w:rPr>
        <w:t>，是</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委</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区政府</w:t>
      </w:r>
      <w:r>
        <w:rPr>
          <w:rFonts w:hint="eastAsia" w:ascii="Times New Roman" w:hAnsi="Times New Roman" w:eastAsia="仿宋_GB2312" w:cs="仿宋_GB2312"/>
          <w:color w:val="auto"/>
          <w:sz w:val="32"/>
          <w:szCs w:val="32"/>
          <w:highlight w:val="none"/>
        </w:rPr>
        <w:t>统揽全局、正确领导的结果，是</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人大监督指导、</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政协支持关心的结果。同时，我们也清醒地认识到财政工作中存在的问题和不足：财政收入质量不高</w:t>
      </w:r>
      <w:r>
        <w:rPr>
          <w:rFonts w:hint="eastAsia" w:ascii="Times New Roman" w:hAnsi="Times New Roman" w:eastAsia="仿宋_GB2312" w:cs="仿宋_GB2312"/>
          <w:color w:val="auto"/>
          <w:sz w:val="32"/>
          <w:szCs w:val="32"/>
          <w:highlight w:val="none"/>
          <w:lang w:val="en-US" w:eastAsia="zh-CN"/>
        </w:rPr>
        <w:t>，收入可持续性偏弱</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资源配置效率有待提高</w:t>
      </w:r>
      <w:r>
        <w:rPr>
          <w:rFonts w:hint="eastAsia" w:ascii="Times New Roman" w:hAnsi="Times New Roman" w:eastAsia="仿宋_GB2312" w:cs="仿宋_GB2312"/>
          <w:color w:val="auto"/>
          <w:sz w:val="32"/>
          <w:szCs w:val="32"/>
          <w:highlight w:val="none"/>
        </w:rPr>
        <w:t>；债务还本付息压力逐年增加</w:t>
      </w:r>
      <w:r>
        <w:rPr>
          <w:rFonts w:hint="eastAsia" w:ascii="Times New Roman" w:hAnsi="Times New Roman" w:eastAsia="仿宋_GB2312" w:cs="仿宋_GB2312"/>
          <w:color w:val="auto"/>
          <w:sz w:val="32"/>
          <w:szCs w:val="32"/>
          <w:highlight w:val="none"/>
          <w:lang w:eastAsia="zh-CN"/>
        </w:rPr>
        <w:t>等</w:t>
      </w:r>
      <w:r>
        <w:rPr>
          <w:rFonts w:hint="eastAsia" w:ascii="Times New Roman" w:hAnsi="Times New Roman" w:eastAsia="仿宋_GB2312" w:cs="仿宋_GB2312"/>
          <w:color w:val="auto"/>
          <w:sz w:val="32"/>
          <w:szCs w:val="32"/>
          <w:highlight w:val="none"/>
        </w:rPr>
        <w:t>。对于这些问题，我们将认真听取各位代表的意见建议，采取有效措施逐步加以解决。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lang w:val="en-US" w:eastAsia="zh-CN"/>
        </w:rPr>
        <w:t>二</w:t>
      </w:r>
      <w:r>
        <w:rPr>
          <w:rFonts w:hint="eastAsia" w:ascii="Times New Roman" w:hAnsi="Times New Roman" w:eastAsia="黑体" w:cs="黑体"/>
          <w:color w:val="auto"/>
          <w:sz w:val="32"/>
          <w:szCs w:val="32"/>
          <w:highlight w:val="none"/>
        </w:rPr>
        <w:t>、20</w:t>
      </w:r>
      <w:r>
        <w:rPr>
          <w:rFonts w:hint="eastAsia" w:ascii="Times New Roman" w:hAnsi="Times New Roman" w:eastAsia="黑体" w:cs="黑体"/>
          <w:color w:val="auto"/>
          <w:sz w:val="32"/>
          <w:szCs w:val="32"/>
          <w:highlight w:val="none"/>
          <w:lang w:val="en-US" w:eastAsia="zh-CN"/>
        </w:rPr>
        <w:t>22</w:t>
      </w:r>
      <w:r>
        <w:rPr>
          <w:rFonts w:hint="eastAsia" w:ascii="Times New Roman" w:hAnsi="Times New Roman" w:eastAsia="黑体" w:cs="黑体"/>
          <w:color w:val="auto"/>
          <w:sz w:val="32"/>
          <w:szCs w:val="32"/>
          <w:highlight w:val="none"/>
        </w:rPr>
        <w:t>年财政预算草案</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年是</w:t>
      </w:r>
      <w:r>
        <w:rPr>
          <w:rFonts w:hint="eastAsia" w:ascii="Times New Roman" w:hAnsi="Times New Roman" w:eastAsia="仿宋_GB2312" w:cs="仿宋_GB2312"/>
          <w:color w:val="auto"/>
          <w:sz w:val="32"/>
          <w:szCs w:val="32"/>
          <w:highlight w:val="none"/>
          <w:lang w:val="en-US" w:eastAsia="zh-CN"/>
        </w:rPr>
        <w:t>党的</w:t>
      </w:r>
      <w:bookmarkStart w:id="0" w:name="_GoBack"/>
      <w:bookmarkEnd w:id="0"/>
      <w:r>
        <w:rPr>
          <w:rFonts w:hint="eastAsia" w:ascii="Times New Roman" w:hAnsi="Times New Roman" w:eastAsia="仿宋_GB2312" w:cs="仿宋_GB2312"/>
          <w:color w:val="auto"/>
          <w:sz w:val="32"/>
          <w:szCs w:val="32"/>
          <w:highlight w:val="none"/>
          <w:lang w:val="en-US" w:eastAsia="zh-CN"/>
        </w:rPr>
        <w:t>二十大召开之年，</w:t>
      </w:r>
      <w:r>
        <w:rPr>
          <w:rFonts w:hint="eastAsia" w:ascii="Times New Roman" w:hAnsi="Times New Roman" w:eastAsia="仿宋_GB2312" w:cs="仿宋_GB2312"/>
          <w:b w:val="0"/>
          <w:bCs w:val="0"/>
          <w:color w:val="auto"/>
          <w:sz w:val="32"/>
          <w:szCs w:val="32"/>
          <w:highlight w:val="none"/>
          <w:lang w:val="en-US" w:eastAsia="zh-CN"/>
        </w:rPr>
        <w:t>也是新一届政府工作的开局之年</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编制好20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年预算，做好各项财政工作，对贯彻落实中央、省、市</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区</w:t>
      </w:r>
      <w:r>
        <w:rPr>
          <w:rFonts w:hint="eastAsia" w:ascii="Times New Roman" w:hAnsi="Times New Roman" w:eastAsia="仿宋_GB2312" w:cs="仿宋_GB2312"/>
          <w:color w:val="auto"/>
          <w:sz w:val="32"/>
          <w:szCs w:val="32"/>
          <w:highlight w:val="none"/>
        </w:rPr>
        <w:t>的决策部署，保持经济持续健康发展和社会大局稳定，</w:t>
      </w:r>
      <w:r>
        <w:rPr>
          <w:rFonts w:hint="eastAsia" w:ascii="Times New Roman" w:hAnsi="Times New Roman" w:eastAsia="仿宋_GB2312" w:cs="仿宋_GB2312"/>
          <w:color w:val="auto"/>
          <w:sz w:val="32"/>
          <w:szCs w:val="32"/>
          <w:highlight w:val="none"/>
          <w:lang w:val="en-US" w:eastAsia="zh-CN"/>
        </w:rPr>
        <w:t>推动罗江区高质量发展</w:t>
      </w:r>
      <w:r>
        <w:rPr>
          <w:rFonts w:hint="eastAsia" w:ascii="Times New Roman" w:hAnsi="Times New Roman" w:eastAsia="仿宋_GB2312" w:cs="仿宋_GB2312"/>
          <w:color w:val="auto"/>
          <w:sz w:val="32"/>
          <w:szCs w:val="32"/>
          <w:highlight w:val="none"/>
        </w:rPr>
        <w:t>具有</w:t>
      </w:r>
      <w:r>
        <w:rPr>
          <w:rFonts w:hint="eastAsia" w:ascii="Times New Roman" w:hAnsi="Times New Roman" w:eastAsia="仿宋_GB2312" w:cs="仿宋_GB2312"/>
          <w:color w:val="auto"/>
          <w:sz w:val="32"/>
          <w:szCs w:val="32"/>
          <w:highlight w:val="none"/>
          <w:lang w:eastAsia="zh-CN"/>
        </w:rPr>
        <w:t>十分</w:t>
      </w:r>
      <w:r>
        <w:rPr>
          <w:rFonts w:hint="eastAsia" w:ascii="Times New Roman" w:hAnsi="Times New Roman" w:eastAsia="仿宋_GB2312" w:cs="仿宋_GB2312"/>
          <w:color w:val="auto"/>
          <w:sz w:val="32"/>
          <w:szCs w:val="32"/>
          <w:highlight w:val="none"/>
        </w:rPr>
        <w:t>重要意义。</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baseline"/>
        <w:rPr>
          <w:rFonts w:hint="eastAsia" w:ascii="Times New Roman" w:hAnsi="Times New Roman" w:eastAsia="楷体_GB2312" w:cs="楷体_GB2312"/>
          <w:b/>
          <w:bCs/>
          <w:color w:val="auto"/>
          <w:sz w:val="32"/>
          <w:szCs w:val="32"/>
          <w:highlight w:val="none"/>
        </w:rPr>
      </w:pPr>
      <w:r>
        <w:rPr>
          <w:rFonts w:hint="eastAsia" w:ascii="Times New Roman" w:hAnsi="Times New Roman" w:eastAsia="楷体_GB2312" w:cs="楷体_GB2312"/>
          <w:b/>
          <w:bCs/>
          <w:color w:val="auto"/>
          <w:sz w:val="32"/>
          <w:szCs w:val="32"/>
          <w:highlight w:val="none"/>
        </w:rPr>
        <w:t>（一）20</w:t>
      </w:r>
      <w:r>
        <w:rPr>
          <w:rFonts w:hint="eastAsia" w:ascii="Times New Roman" w:hAnsi="Times New Roman" w:eastAsia="楷体_GB2312" w:cs="楷体_GB2312"/>
          <w:b/>
          <w:bCs/>
          <w:color w:val="auto"/>
          <w:sz w:val="32"/>
          <w:szCs w:val="32"/>
          <w:highlight w:val="none"/>
          <w:lang w:val="en-US" w:eastAsia="zh-CN"/>
        </w:rPr>
        <w:t>22</w:t>
      </w:r>
      <w:r>
        <w:rPr>
          <w:rFonts w:hint="eastAsia" w:ascii="Times New Roman" w:hAnsi="Times New Roman" w:eastAsia="楷体_GB2312" w:cs="楷体_GB2312"/>
          <w:b/>
          <w:bCs/>
          <w:color w:val="auto"/>
          <w:sz w:val="32"/>
          <w:szCs w:val="32"/>
          <w:highlight w:val="none"/>
        </w:rPr>
        <w:t>年财政收支形势分析</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baseline"/>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财政收入方面</w:t>
      </w:r>
      <w:r>
        <w:rPr>
          <w:rFonts w:hint="eastAsia" w:ascii="Times New Roman" w:hAnsi="Times New Roman" w:eastAsia="仿宋_GB2312" w:cs="仿宋_GB2312"/>
          <w:b w:val="0"/>
          <w:bCs w:val="0"/>
          <w:color w:val="auto"/>
          <w:sz w:val="32"/>
          <w:szCs w:val="32"/>
          <w:highlight w:val="none"/>
        </w:rPr>
        <w:t>：</w:t>
      </w:r>
      <w:r>
        <w:rPr>
          <w:rFonts w:hint="eastAsia" w:ascii="Times New Roman" w:hAnsi="Times New Roman" w:eastAsia="仿宋_GB2312" w:cs="仿宋_GB2312"/>
          <w:b w:val="0"/>
          <w:bCs w:val="0"/>
          <w:color w:val="auto"/>
          <w:sz w:val="32"/>
          <w:szCs w:val="32"/>
          <w:highlight w:val="none"/>
          <w:lang w:val="en-US" w:eastAsia="zh-CN"/>
        </w:rPr>
        <w:t>随着成渝地区双城经济圈建设和成德眉资同城化发展战略的深入推进，我区将迎来第三次历史性发展机遇，</w:t>
      </w:r>
      <w:r>
        <w:rPr>
          <w:rFonts w:hint="eastAsia" w:ascii="Times New Roman" w:hAnsi="Times New Roman" w:eastAsia="仿宋_GB2312" w:cs="仿宋_GB2312"/>
          <w:color w:val="auto"/>
          <w:sz w:val="32"/>
          <w:szCs w:val="32"/>
          <w:highlight w:val="none"/>
          <w:lang w:val="en-US" w:eastAsia="zh-CN"/>
        </w:rPr>
        <w:t>经济高质量发展</w:t>
      </w:r>
      <w:r>
        <w:rPr>
          <w:rFonts w:hint="eastAsia" w:ascii="Times New Roman" w:hAnsi="Times New Roman" w:eastAsia="仿宋_GB2312" w:cs="仿宋_GB2312"/>
          <w:color w:val="auto"/>
          <w:sz w:val="32"/>
          <w:szCs w:val="32"/>
          <w:highlight w:val="none"/>
        </w:rPr>
        <w:t>潜力和空间巨大</w:t>
      </w:r>
      <w:r>
        <w:rPr>
          <w:rFonts w:hint="eastAsia" w:ascii="Times New Roman" w:hAnsi="Times New Roman" w:eastAsia="仿宋_GB2312" w:cs="仿宋_GB2312"/>
          <w:color w:val="auto"/>
          <w:sz w:val="32"/>
          <w:szCs w:val="32"/>
          <w:highlight w:val="none"/>
          <w:lang w:eastAsia="zh-CN"/>
        </w:rPr>
        <w:t>，经济发展将呈现稳中向好、长期向好态势，</w:t>
      </w:r>
      <w:r>
        <w:rPr>
          <w:rFonts w:hint="eastAsia" w:ascii="Times New Roman" w:hAnsi="Times New Roman" w:eastAsia="仿宋_GB2312" w:cs="仿宋_GB2312"/>
          <w:color w:val="auto"/>
          <w:sz w:val="32"/>
          <w:szCs w:val="32"/>
          <w:highlight w:val="none"/>
        </w:rPr>
        <w:t>但</w:t>
      </w:r>
      <w:r>
        <w:rPr>
          <w:rFonts w:hint="eastAsia" w:ascii="Times New Roman" w:hAnsi="Times New Roman" w:eastAsia="仿宋_GB2312" w:cs="仿宋_GB2312"/>
          <w:color w:val="auto"/>
          <w:sz w:val="32"/>
          <w:szCs w:val="32"/>
          <w:highlight w:val="none"/>
          <w:lang w:eastAsia="zh-CN"/>
        </w:rPr>
        <w:t>受国内外</w:t>
      </w:r>
      <w:r>
        <w:rPr>
          <w:rFonts w:hint="eastAsia" w:ascii="Times New Roman" w:hAnsi="Times New Roman" w:eastAsia="仿宋_GB2312" w:cs="仿宋_GB2312"/>
          <w:color w:val="auto"/>
          <w:sz w:val="32"/>
          <w:szCs w:val="32"/>
          <w:highlight w:val="none"/>
          <w:lang w:val="en-US" w:eastAsia="zh-CN"/>
        </w:rPr>
        <w:t>疫情反复</w:t>
      </w:r>
      <w:r>
        <w:rPr>
          <w:rFonts w:hint="eastAsia" w:ascii="Times New Roman" w:hAnsi="Times New Roman" w:eastAsia="仿宋_GB2312" w:cs="仿宋_GB2312"/>
          <w:color w:val="auto"/>
          <w:sz w:val="32"/>
          <w:szCs w:val="32"/>
          <w:highlight w:val="none"/>
          <w:lang w:eastAsia="zh-CN"/>
        </w:rPr>
        <w:t>和</w:t>
      </w:r>
      <w:r>
        <w:rPr>
          <w:rFonts w:hint="eastAsia" w:ascii="Times New Roman" w:hAnsi="Times New Roman" w:eastAsia="仿宋_GB2312" w:cs="仿宋_GB2312"/>
          <w:color w:val="auto"/>
          <w:sz w:val="32"/>
          <w:szCs w:val="32"/>
          <w:highlight w:val="none"/>
        </w:rPr>
        <w:t>经济下行</w:t>
      </w:r>
      <w:r>
        <w:rPr>
          <w:rFonts w:hint="eastAsia" w:ascii="Times New Roman" w:hAnsi="Times New Roman" w:eastAsia="仿宋_GB2312" w:cs="仿宋_GB2312"/>
          <w:color w:val="auto"/>
          <w:sz w:val="32"/>
          <w:szCs w:val="32"/>
          <w:highlight w:val="none"/>
          <w:lang w:val="en-US" w:eastAsia="zh-CN"/>
        </w:rPr>
        <w:t>影响</w:t>
      </w:r>
      <w:r>
        <w:rPr>
          <w:rFonts w:hint="eastAsia" w:ascii="Times New Roman" w:hAnsi="Times New Roman" w:eastAsia="仿宋_GB2312" w:cs="仿宋_GB2312"/>
          <w:color w:val="auto"/>
          <w:sz w:val="32"/>
          <w:szCs w:val="32"/>
          <w:highlight w:val="none"/>
          <w:lang w:eastAsia="zh-CN"/>
        </w:rPr>
        <w:t>，财政收入不确定性因素依然较多。</w:t>
      </w:r>
    </w:p>
    <w:p>
      <w:pPr>
        <w:keepNext w:val="0"/>
        <w:keepLines w:val="0"/>
        <w:pageBreakBefore w:val="0"/>
        <w:widowControl w:val="0"/>
        <w:kinsoku/>
        <w:wordWrap/>
        <w:overflowPunct/>
        <w:topLinePunct w:val="0"/>
        <w:autoSpaceDE/>
        <w:autoSpaceDN/>
        <w:bidi w:val="0"/>
        <w:adjustRightInd/>
        <w:snapToGrid w:val="0"/>
        <w:spacing w:line="560" w:lineRule="exact"/>
        <w:ind w:firstLine="640"/>
        <w:jc w:val="both"/>
        <w:textAlignment w:val="baseline"/>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
          <w:bCs/>
          <w:color w:val="auto"/>
          <w:sz w:val="32"/>
          <w:szCs w:val="32"/>
          <w:highlight w:val="none"/>
        </w:rPr>
        <w:t>财政支出方面：</w:t>
      </w:r>
      <w:r>
        <w:rPr>
          <w:rFonts w:hint="eastAsia" w:ascii="Times New Roman" w:hAnsi="Times New Roman" w:eastAsia="仿宋_GB2312" w:cs="仿宋_GB2312"/>
          <w:color w:val="auto"/>
          <w:sz w:val="32"/>
          <w:szCs w:val="32"/>
          <w:highlight w:val="none"/>
          <w:lang w:val="en-US" w:eastAsia="zh-CN"/>
        </w:rPr>
        <w:t>为更好满足人民对美好生活的需要，财政必保支出较多，涉及社会福祉的民生</w:t>
      </w:r>
      <w:r>
        <w:rPr>
          <w:rFonts w:hint="eastAsia" w:ascii="Times New Roman" w:hAnsi="Times New Roman" w:eastAsia="仿宋_GB2312" w:cs="仿宋_GB2312"/>
          <w:b w:val="0"/>
          <w:bCs w:val="0"/>
          <w:color w:val="auto"/>
          <w:sz w:val="32"/>
          <w:szCs w:val="32"/>
          <w:highlight w:val="none"/>
          <w:lang w:eastAsia="zh-CN"/>
        </w:rPr>
        <w:t>刚性支出增支较多</w:t>
      </w:r>
      <w:r>
        <w:rPr>
          <w:rFonts w:hint="eastAsia" w:ascii="Times New Roman" w:hAnsi="Times New Roman" w:eastAsia="仿宋_GB2312" w:cs="仿宋_GB2312"/>
          <w:color w:val="auto"/>
          <w:sz w:val="32"/>
          <w:szCs w:val="32"/>
          <w:highlight w:val="none"/>
          <w:lang w:val="en-US" w:eastAsia="zh-CN"/>
        </w:rPr>
        <w:t>，加之乡村振兴、疫情防控、</w:t>
      </w:r>
      <w:r>
        <w:rPr>
          <w:rFonts w:hint="eastAsia" w:ascii="Times New Roman" w:hAnsi="Times New Roman" w:eastAsia="仿宋_GB2312" w:cs="仿宋_GB2312"/>
          <w:color w:val="000000"/>
          <w:kern w:val="0"/>
          <w:sz w:val="32"/>
          <w:szCs w:val="32"/>
          <w:highlight w:val="none"/>
        </w:rPr>
        <w:t>基层治理、到期还本付息、稳增长促发展等重点支出也日益增加</w:t>
      </w:r>
      <w:r>
        <w:rPr>
          <w:rFonts w:hint="eastAsia" w:ascii="Times New Roman" w:hAnsi="Times New Roman" w:eastAsia="仿宋_GB2312" w:cs="仿宋_GB2312"/>
          <w:color w:val="000000"/>
          <w:kern w:val="0"/>
          <w:sz w:val="32"/>
          <w:szCs w:val="32"/>
          <w:highlight w:val="none"/>
          <w:lang w:eastAsia="zh-CN"/>
        </w:rPr>
        <w:t>。财政收支矛盾突出，财政平衡任务艰巨。</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
          <w:bCs/>
          <w:color w:val="auto"/>
          <w:sz w:val="32"/>
          <w:szCs w:val="32"/>
          <w:highlight w:val="none"/>
        </w:rPr>
        <w:t>综合判断</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2022</w:t>
      </w:r>
      <w:r>
        <w:rPr>
          <w:rFonts w:hint="eastAsia" w:ascii="Times New Roman" w:hAnsi="Times New Roman" w:eastAsia="仿宋_GB2312" w:cs="仿宋_GB2312"/>
          <w:color w:val="auto"/>
          <w:sz w:val="32"/>
          <w:szCs w:val="32"/>
          <w:highlight w:val="none"/>
        </w:rPr>
        <w:t>年财政收入预计与经济增长</w:t>
      </w:r>
      <w:r>
        <w:rPr>
          <w:rFonts w:hint="eastAsia" w:ascii="Times New Roman" w:hAnsi="Times New Roman" w:eastAsia="仿宋_GB2312" w:cs="仿宋_GB2312"/>
          <w:color w:val="auto"/>
          <w:sz w:val="32"/>
          <w:szCs w:val="32"/>
          <w:highlight w:val="none"/>
          <w:lang w:eastAsia="zh-CN"/>
        </w:rPr>
        <w:t>态势基本一致</w:t>
      </w:r>
      <w:r>
        <w:rPr>
          <w:rFonts w:hint="eastAsia" w:ascii="Times New Roman" w:hAnsi="Times New Roman" w:eastAsia="仿宋_GB2312" w:cs="仿宋_GB2312"/>
          <w:color w:val="auto"/>
          <w:sz w:val="32"/>
          <w:szCs w:val="32"/>
          <w:highlight w:val="none"/>
        </w:rPr>
        <w:t>，预算收支安排依然是紧平衡。</w:t>
      </w:r>
      <w:r>
        <w:rPr>
          <w:rFonts w:hint="eastAsia" w:ascii="Times New Roman" w:hAnsi="Times New Roman" w:eastAsia="仿宋_GB2312" w:cs="仿宋_GB2312"/>
          <w:color w:val="auto"/>
          <w:sz w:val="32"/>
          <w:szCs w:val="32"/>
          <w:highlight w:val="none"/>
          <w:lang w:eastAsia="zh-CN"/>
        </w:rPr>
        <w:t>全区</w:t>
      </w:r>
      <w:r>
        <w:rPr>
          <w:rFonts w:hint="eastAsia" w:ascii="Times New Roman" w:hAnsi="Times New Roman" w:eastAsia="仿宋_GB2312" w:cs="仿宋_GB2312"/>
          <w:color w:val="auto"/>
          <w:sz w:val="32"/>
          <w:szCs w:val="32"/>
          <w:highlight w:val="none"/>
        </w:rPr>
        <w:t>各级要坚持过“紧日子”，把财政资金用在增强发展后劲、让人民群众过好日子上。</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楷体_GB2312" w:cs="楷体_GB2312"/>
          <w:b/>
          <w:bCs/>
          <w:color w:val="auto"/>
          <w:sz w:val="32"/>
          <w:szCs w:val="32"/>
          <w:highlight w:val="none"/>
        </w:rPr>
      </w:pPr>
      <w:r>
        <w:rPr>
          <w:rFonts w:hint="eastAsia" w:ascii="Times New Roman" w:hAnsi="Times New Roman" w:eastAsia="楷体_GB2312" w:cs="楷体_GB2312"/>
          <w:b/>
          <w:bCs/>
          <w:color w:val="auto"/>
          <w:sz w:val="32"/>
          <w:szCs w:val="32"/>
          <w:highlight w:val="none"/>
        </w:rPr>
        <w:t>（二）</w:t>
      </w:r>
      <w:r>
        <w:rPr>
          <w:rFonts w:hint="eastAsia" w:ascii="Times New Roman" w:hAnsi="Times New Roman" w:eastAsia="楷体_GB2312" w:cs="楷体_GB2312"/>
          <w:b/>
          <w:bCs/>
          <w:color w:val="auto"/>
          <w:sz w:val="32"/>
          <w:szCs w:val="32"/>
          <w:highlight w:val="none"/>
          <w:lang w:val="en-US" w:eastAsia="zh-CN"/>
        </w:rPr>
        <w:t>2022</w:t>
      </w:r>
      <w:r>
        <w:rPr>
          <w:rFonts w:hint="eastAsia" w:ascii="Times New Roman" w:hAnsi="Times New Roman" w:eastAsia="楷体_GB2312" w:cs="楷体_GB2312"/>
          <w:b/>
          <w:bCs/>
          <w:color w:val="auto"/>
          <w:sz w:val="32"/>
          <w:szCs w:val="32"/>
          <w:highlight w:val="none"/>
        </w:rPr>
        <w:t>年预算编制和财政工作的指导思想和原则</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
          <w:bCs/>
          <w:color w:val="auto"/>
          <w:sz w:val="32"/>
          <w:szCs w:val="32"/>
          <w:highlight w:val="none"/>
        </w:rPr>
        <w:t>指导思想：</w:t>
      </w:r>
      <w:r>
        <w:rPr>
          <w:rFonts w:hint="eastAsia" w:ascii="Times New Roman" w:hAnsi="Times New Roman" w:eastAsia="仿宋_GB2312" w:cs="仿宋_GB2312"/>
          <w:color w:val="auto"/>
          <w:sz w:val="32"/>
          <w:szCs w:val="32"/>
          <w:highlight w:val="none"/>
          <w:lang w:val="en-US" w:eastAsia="zh-CN"/>
        </w:rPr>
        <w:t>高举中国特色社会主义伟大旗帜，坚持</w:t>
      </w:r>
      <w:r>
        <w:rPr>
          <w:rFonts w:hint="eastAsia" w:ascii="Times New Roman" w:hAnsi="Times New Roman" w:eastAsia="仿宋_GB2312" w:cs="仿宋_GB2312"/>
          <w:color w:val="auto"/>
          <w:sz w:val="32"/>
          <w:szCs w:val="32"/>
          <w:highlight w:val="none"/>
        </w:rPr>
        <w:t>以习近平新时代中国特色社会主义思想为指导，</w:t>
      </w:r>
      <w:r>
        <w:rPr>
          <w:rFonts w:hint="eastAsia" w:ascii="Times New Roman" w:hAnsi="Times New Roman" w:eastAsia="仿宋_GB2312" w:cs="仿宋_GB2312"/>
          <w:color w:val="auto"/>
          <w:sz w:val="32"/>
          <w:szCs w:val="32"/>
          <w:highlight w:val="none"/>
          <w:lang w:val="en-US" w:eastAsia="zh-CN"/>
        </w:rPr>
        <w:t>增强“四个意识”，坚定“四个自信”，做到“两个维护”</w:t>
      </w:r>
      <w:r>
        <w:rPr>
          <w:rFonts w:hint="eastAsia" w:ascii="Times New Roman" w:hAnsi="Times New Roman" w:eastAsia="仿宋_GB2312" w:cs="仿宋_GB2312"/>
          <w:color w:val="auto"/>
          <w:sz w:val="32"/>
          <w:szCs w:val="32"/>
          <w:highlight w:val="none"/>
        </w:rPr>
        <w:t>，统筹推进“五位一体”总体布局，协调推进“四个全面”战略布局，</w:t>
      </w:r>
      <w:r>
        <w:rPr>
          <w:rFonts w:hint="eastAsia" w:ascii="Times New Roman" w:hAnsi="Times New Roman" w:eastAsia="仿宋_GB2312" w:cs="仿宋_GB2312"/>
          <w:color w:val="auto"/>
          <w:sz w:val="32"/>
          <w:szCs w:val="32"/>
          <w:highlight w:val="none"/>
          <w:lang w:val="en-US" w:eastAsia="zh-CN"/>
        </w:rPr>
        <w:t>立足新发展阶段、完整准确全面贯彻</w:t>
      </w:r>
      <w:r>
        <w:rPr>
          <w:rFonts w:hint="eastAsia" w:ascii="Times New Roman" w:hAnsi="Times New Roman" w:eastAsia="仿宋_GB2312" w:cs="仿宋_GB2312"/>
          <w:color w:val="auto"/>
          <w:sz w:val="32"/>
          <w:szCs w:val="32"/>
          <w:highlight w:val="none"/>
        </w:rPr>
        <w:t>新发展理念</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融入新发展格局</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坚持系统观念、树牢底线思维，</w:t>
      </w:r>
      <w:r>
        <w:rPr>
          <w:rFonts w:hint="eastAsia" w:ascii="Times New Roman" w:hAnsi="Times New Roman" w:eastAsia="仿宋_GB2312" w:cs="仿宋_GB2312"/>
          <w:color w:val="auto"/>
          <w:sz w:val="32"/>
          <w:szCs w:val="32"/>
          <w:highlight w:val="none"/>
        </w:rPr>
        <w:t>全面贯彻</w:t>
      </w:r>
      <w:r>
        <w:rPr>
          <w:rFonts w:hint="eastAsia" w:ascii="Times New Roman" w:hAnsi="Times New Roman" w:eastAsia="仿宋_GB2312" w:cs="仿宋_GB2312"/>
          <w:color w:val="auto"/>
          <w:sz w:val="32"/>
          <w:szCs w:val="32"/>
          <w:highlight w:val="none"/>
          <w:lang w:val="en-US" w:eastAsia="zh-CN"/>
        </w:rPr>
        <w:t>区第二次党代会</w:t>
      </w:r>
      <w:r>
        <w:rPr>
          <w:rFonts w:hint="eastAsia" w:ascii="Times New Roman" w:hAnsi="Times New Roman" w:eastAsia="仿宋_GB2312" w:cs="仿宋_GB2312"/>
          <w:color w:val="auto"/>
          <w:sz w:val="32"/>
          <w:szCs w:val="32"/>
          <w:highlight w:val="none"/>
        </w:rPr>
        <w:t>精神</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以建设高质量的中国幸福家园为统揽，深入实施“工业强区、科教新区、文旅活区、生态立区”四大战略</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全力打造“四张名片”，加快建设“大同予共”的现代化罗江。巩固和拓展</w:t>
      </w:r>
      <w:r>
        <w:rPr>
          <w:rFonts w:hint="eastAsia" w:ascii="Times New Roman" w:hAnsi="Times New Roman" w:eastAsia="仿宋_GB2312" w:cs="仿宋_GB2312"/>
          <w:color w:val="auto"/>
          <w:sz w:val="32"/>
          <w:szCs w:val="32"/>
          <w:highlight w:val="none"/>
        </w:rPr>
        <w:t>减税降费</w:t>
      </w:r>
      <w:r>
        <w:rPr>
          <w:rFonts w:hint="eastAsia" w:ascii="Times New Roman" w:hAnsi="Times New Roman" w:eastAsia="仿宋_GB2312" w:cs="仿宋_GB2312"/>
          <w:color w:val="auto"/>
          <w:sz w:val="32"/>
          <w:szCs w:val="32"/>
          <w:highlight w:val="none"/>
          <w:lang w:val="en-US" w:eastAsia="zh-CN"/>
        </w:rPr>
        <w:t>成效，</w:t>
      </w:r>
      <w:r>
        <w:rPr>
          <w:rFonts w:hint="eastAsia" w:ascii="Times New Roman" w:hAnsi="Times New Roman" w:eastAsia="仿宋_GB2312" w:cs="仿宋_GB2312"/>
          <w:color w:val="auto"/>
          <w:sz w:val="32"/>
          <w:szCs w:val="32"/>
          <w:highlight w:val="none"/>
        </w:rPr>
        <w:t>扎实做好“六稳”工作，全面落实“六保”任务</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调整优化支出结构，深化财税体制改革，完善预算管理制度，强化地方政府债务管理，防范化解</w:t>
      </w:r>
      <w:r>
        <w:rPr>
          <w:rFonts w:hint="eastAsia" w:ascii="Times New Roman" w:hAnsi="Times New Roman" w:eastAsia="仿宋_GB2312" w:cs="仿宋_GB2312"/>
          <w:color w:val="auto"/>
          <w:sz w:val="32"/>
          <w:szCs w:val="32"/>
          <w:highlight w:val="none"/>
          <w:lang w:eastAsia="zh-CN"/>
        </w:rPr>
        <w:t>各类</w:t>
      </w:r>
      <w:r>
        <w:rPr>
          <w:rFonts w:hint="eastAsia" w:ascii="Times New Roman" w:hAnsi="Times New Roman" w:eastAsia="仿宋_GB2312" w:cs="仿宋_GB2312"/>
          <w:color w:val="auto"/>
          <w:sz w:val="32"/>
          <w:szCs w:val="32"/>
          <w:highlight w:val="none"/>
        </w:rPr>
        <w:t>风险，促进经济持续健康发展。</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
          <w:bCs/>
          <w:color w:val="auto"/>
          <w:sz w:val="32"/>
          <w:szCs w:val="32"/>
          <w:highlight w:val="none"/>
          <w:lang w:eastAsia="zh-CN"/>
        </w:rPr>
        <w:t>编制</w:t>
      </w:r>
      <w:r>
        <w:rPr>
          <w:rFonts w:hint="eastAsia" w:ascii="Times New Roman" w:hAnsi="Times New Roman" w:eastAsia="仿宋_GB2312" w:cs="仿宋_GB2312"/>
          <w:b/>
          <w:bCs/>
          <w:color w:val="auto"/>
          <w:sz w:val="32"/>
          <w:szCs w:val="32"/>
          <w:highlight w:val="none"/>
        </w:rPr>
        <w:t>原则：一是坚持积极稳妥。</w:t>
      </w:r>
      <w:r>
        <w:rPr>
          <w:rFonts w:hint="eastAsia" w:ascii="Times New Roman" w:hAnsi="Times New Roman" w:eastAsia="仿宋_GB2312" w:cs="仿宋_GB2312"/>
          <w:color w:val="auto"/>
          <w:sz w:val="32"/>
          <w:szCs w:val="32"/>
          <w:highlight w:val="none"/>
        </w:rPr>
        <w:t>综合考虑宏观经济运行态势、</w:t>
      </w:r>
      <w:r>
        <w:rPr>
          <w:rFonts w:hint="eastAsia" w:ascii="Times New Roman" w:hAnsi="Times New Roman" w:eastAsia="仿宋_GB2312" w:cs="仿宋_GB2312"/>
          <w:color w:val="auto"/>
          <w:sz w:val="32"/>
          <w:szCs w:val="32"/>
          <w:highlight w:val="none"/>
          <w:lang w:eastAsia="zh-CN"/>
        </w:rPr>
        <w:t>常态化疫情防控</w:t>
      </w:r>
      <w:r>
        <w:rPr>
          <w:rFonts w:hint="eastAsia" w:ascii="Times New Roman" w:hAnsi="Times New Roman" w:eastAsia="仿宋_GB2312" w:cs="仿宋_GB2312"/>
          <w:color w:val="auto"/>
          <w:sz w:val="32"/>
          <w:szCs w:val="32"/>
          <w:highlight w:val="none"/>
        </w:rPr>
        <w:t>等因素，按照“实事求是、</w:t>
      </w:r>
      <w:r>
        <w:rPr>
          <w:rFonts w:hint="eastAsia" w:ascii="Times New Roman" w:hAnsi="Times New Roman" w:eastAsia="仿宋_GB2312" w:cs="仿宋_GB2312"/>
          <w:color w:val="auto"/>
          <w:sz w:val="32"/>
          <w:szCs w:val="32"/>
          <w:highlight w:val="none"/>
          <w:lang w:eastAsia="zh-CN"/>
        </w:rPr>
        <w:t>量入为出</w:t>
      </w:r>
      <w:r>
        <w:rPr>
          <w:rFonts w:hint="eastAsia" w:ascii="Times New Roman" w:hAnsi="Times New Roman" w:eastAsia="仿宋_GB2312" w:cs="仿宋_GB2312"/>
          <w:color w:val="auto"/>
          <w:sz w:val="32"/>
          <w:szCs w:val="32"/>
          <w:highlight w:val="none"/>
        </w:rPr>
        <w:t>”的原则编制收入预算，收入增长与地区</w:t>
      </w:r>
      <w:r>
        <w:rPr>
          <w:rFonts w:hint="eastAsia" w:ascii="Times New Roman" w:hAnsi="Times New Roman" w:eastAsia="仿宋_GB2312" w:cs="仿宋_GB2312"/>
          <w:color w:val="auto"/>
          <w:sz w:val="32"/>
          <w:szCs w:val="32"/>
          <w:highlight w:val="none"/>
          <w:lang w:eastAsia="zh-CN"/>
        </w:rPr>
        <w:t>经济</w:t>
      </w:r>
      <w:r>
        <w:rPr>
          <w:rFonts w:hint="eastAsia" w:ascii="Times New Roman" w:hAnsi="Times New Roman" w:eastAsia="仿宋_GB2312" w:cs="仿宋_GB2312"/>
          <w:color w:val="auto"/>
          <w:sz w:val="32"/>
          <w:szCs w:val="32"/>
          <w:highlight w:val="none"/>
        </w:rPr>
        <w:t>增长相协调。</w:t>
      </w:r>
      <w:r>
        <w:rPr>
          <w:rFonts w:hint="eastAsia" w:ascii="Times New Roman" w:hAnsi="Times New Roman" w:eastAsia="仿宋_GB2312" w:cs="仿宋_GB2312"/>
          <w:b/>
          <w:bCs/>
          <w:color w:val="auto"/>
          <w:sz w:val="32"/>
          <w:szCs w:val="32"/>
          <w:highlight w:val="none"/>
        </w:rPr>
        <w:t>二是突出保障重点。</w:t>
      </w:r>
      <w:r>
        <w:rPr>
          <w:rFonts w:hint="eastAsia" w:ascii="Times New Roman" w:hAnsi="Times New Roman" w:eastAsia="仿宋_GB2312" w:cs="仿宋_GB2312"/>
          <w:color w:val="auto"/>
          <w:sz w:val="32"/>
          <w:szCs w:val="32"/>
          <w:highlight w:val="none"/>
          <w:lang w:val="en-US" w:eastAsia="zh-CN"/>
        </w:rPr>
        <w:t>坚持把改善民生作为价值取向</w:t>
      </w:r>
      <w:r>
        <w:rPr>
          <w:rFonts w:hint="eastAsia" w:ascii="Times New Roman" w:hAnsi="Times New Roman" w:eastAsia="仿宋_GB2312" w:cs="仿宋_GB2312"/>
          <w:color w:val="auto"/>
          <w:sz w:val="32"/>
          <w:szCs w:val="32"/>
          <w:highlight w:val="none"/>
        </w:rPr>
        <w:t>，多渠道筹集资金，集中财力办好大事要事。</w:t>
      </w:r>
      <w:r>
        <w:rPr>
          <w:rFonts w:hint="eastAsia" w:ascii="Times New Roman" w:hAnsi="Times New Roman" w:eastAsia="仿宋_GB2312" w:cs="仿宋_GB2312"/>
          <w:b/>
          <w:bCs/>
          <w:color w:val="auto"/>
          <w:sz w:val="32"/>
          <w:szCs w:val="32"/>
          <w:highlight w:val="none"/>
        </w:rPr>
        <w:t>三是厉行勤俭节约。</w:t>
      </w:r>
      <w:r>
        <w:rPr>
          <w:rFonts w:hint="eastAsia" w:ascii="Times New Roman" w:hAnsi="Times New Roman" w:eastAsia="仿宋_GB2312" w:cs="仿宋_GB2312"/>
          <w:color w:val="auto"/>
          <w:sz w:val="32"/>
          <w:szCs w:val="32"/>
          <w:highlight w:val="none"/>
        </w:rPr>
        <w:t>坚持“从紧编预算</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从严控支出”，部门预算实行项目支出按额度总控、具体项目按零基编制的方法，严格控制除刚性和重点项目支出外的一般性支出增加。</w:t>
      </w:r>
      <w:r>
        <w:rPr>
          <w:rFonts w:hint="eastAsia" w:ascii="Times New Roman" w:hAnsi="Times New Roman" w:eastAsia="仿宋_GB2312" w:cs="仿宋_GB2312"/>
          <w:b/>
          <w:bCs/>
          <w:color w:val="auto"/>
          <w:sz w:val="32"/>
          <w:szCs w:val="32"/>
          <w:highlight w:val="none"/>
        </w:rPr>
        <w:t>四是强化全面统筹。</w:t>
      </w:r>
      <w:r>
        <w:rPr>
          <w:rFonts w:hint="eastAsia" w:ascii="Times New Roman" w:hAnsi="Times New Roman" w:eastAsia="仿宋_GB2312" w:cs="仿宋_GB2312"/>
          <w:color w:val="auto"/>
          <w:sz w:val="32"/>
          <w:szCs w:val="32"/>
          <w:highlight w:val="none"/>
        </w:rPr>
        <w:t>促进财政资金优化配置，加强一般公共预算与政府性基金预算、国有资本经营预算的统筹，健全财政支出政策决策机制，建立民生政策统筹平衡机制。</w:t>
      </w:r>
      <w:r>
        <w:rPr>
          <w:rFonts w:hint="eastAsia" w:ascii="Times New Roman" w:hAnsi="Times New Roman" w:eastAsia="仿宋_GB2312" w:cs="仿宋_GB2312"/>
          <w:b/>
          <w:bCs/>
          <w:color w:val="auto"/>
          <w:sz w:val="32"/>
          <w:szCs w:val="32"/>
          <w:highlight w:val="none"/>
        </w:rPr>
        <w:t>五是加强风险防</w:t>
      </w:r>
      <w:r>
        <w:rPr>
          <w:rFonts w:hint="eastAsia" w:ascii="Times New Roman" w:hAnsi="Times New Roman" w:eastAsia="仿宋_GB2312" w:cs="仿宋_GB2312"/>
          <w:b/>
          <w:bCs/>
          <w:color w:val="auto"/>
          <w:sz w:val="32"/>
          <w:szCs w:val="32"/>
          <w:highlight w:val="none"/>
          <w:lang w:eastAsia="zh-CN"/>
        </w:rPr>
        <w:t>控</w:t>
      </w:r>
      <w:r>
        <w:rPr>
          <w:rFonts w:hint="eastAsia" w:ascii="Times New Roman" w:hAnsi="Times New Roman" w:eastAsia="仿宋_GB2312" w:cs="仿宋_GB2312"/>
          <w:b/>
          <w:bCs/>
          <w:color w:val="auto"/>
          <w:sz w:val="32"/>
          <w:szCs w:val="32"/>
          <w:highlight w:val="none"/>
        </w:rPr>
        <w:t>。</w:t>
      </w:r>
      <w:r>
        <w:rPr>
          <w:rFonts w:hint="eastAsia" w:ascii="Times New Roman" w:hAnsi="Times New Roman" w:eastAsia="仿宋_GB2312" w:cs="仿宋_GB2312"/>
          <w:color w:val="auto"/>
          <w:sz w:val="32"/>
          <w:szCs w:val="32"/>
          <w:highlight w:val="none"/>
        </w:rPr>
        <w:t>严肃财经纪律，规范政府举债融资机制，坚决遏制隐性债务增量，积极稳妥化解存量，</w:t>
      </w:r>
      <w:r>
        <w:rPr>
          <w:rFonts w:hint="eastAsia" w:ascii="Times New Roman" w:hAnsi="Times New Roman" w:eastAsia="仿宋_GB2312" w:cs="仿宋_GB2312"/>
          <w:color w:val="000000" w:themeColor="text1"/>
          <w:sz w:val="32"/>
          <w:szCs w:val="32"/>
          <w:highlight w:val="none"/>
          <w14:textFill>
            <w14:solidFill>
              <w14:schemeClr w14:val="tx1"/>
            </w14:solidFill>
          </w14:textFill>
        </w:rPr>
        <w:t>确保政府</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隐性</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债务</w:t>
      </w:r>
      <w:r>
        <w:rPr>
          <w:rFonts w:hint="eastAsia" w:ascii="Times New Roman" w:hAnsi="Times New Roman" w:eastAsia="仿宋_GB2312" w:cs="仿宋_GB2312"/>
          <w:color w:val="auto"/>
          <w:sz w:val="32"/>
          <w:szCs w:val="32"/>
          <w:highlight w:val="none"/>
          <w:lang w:eastAsia="zh-CN"/>
        </w:rPr>
        <w:t>只减不增</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楷体_GB2312" w:cs="楷体_GB2312"/>
          <w:b/>
          <w:bCs/>
          <w:color w:val="auto"/>
          <w:sz w:val="32"/>
          <w:szCs w:val="32"/>
          <w:highlight w:val="none"/>
        </w:rPr>
      </w:pPr>
      <w:r>
        <w:rPr>
          <w:rFonts w:hint="eastAsia" w:ascii="Times New Roman" w:hAnsi="Times New Roman" w:eastAsia="楷体_GB2312" w:cs="楷体_GB2312"/>
          <w:b/>
          <w:bCs/>
          <w:color w:val="auto"/>
          <w:sz w:val="32"/>
          <w:szCs w:val="32"/>
          <w:highlight w:val="none"/>
        </w:rPr>
        <w:t>（</w:t>
      </w:r>
      <w:r>
        <w:rPr>
          <w:rFonts w:hint="eastAsia" w:ascii="Times New Roman" w:hAnsi="Times New Roman" w:eastAsia="楷体_GB2312" w:cs="楷体_GB2312"/>
          <w:b/>
          <w:bCs/>
          <w:color w:val="auto"/>
          <w:sz w:val="32"/>
          <w:szCs w:val="32"/>
          <w:highlight w:val="none"/>
          <w:lang w:eastAsia="zh-CN"/>
        </w:rPr>
        <w:t>三</w:t>
      </w:r>
      <w:r>
        <w:rPr>
          <w:rFonts w:hint="eastAsia" w:ascii="Times New Roman" w:hAnsi="Times New Roman" w:eastAsia="楷体_GB2312" w:cs="楷体_GB2312"/>
          <w:b/>
          <w:bCs/>
          <w:color w:val="auto"/>
          <w:sz w:val="32"/>
          <w:szCs w:val="32"/>
          <w:highlight w:val="none"/>
        </w:rPr>
        <w:t>）20</w:t>
      </w:r>
      <w:r>
        <w:rPr>
          <w:rFonts w:hint="eastAsia" w:ascii="Times New Roman" w:hAnsi="Times New Roman" w:eastAsia="楷体_GB2312" w:cs="楷体_GB2312"/>
          <w:b/>
          <w:bCs/>
          <w:color w:val="auto"/>
          <w:sz w:val="32"/>
          <w:szCs w:val="32"/>
          <w:highlight w:val="none"/>
          <w:lang w:val="en-US" w:eastAsia="zh-CN"/>
        </w:rPr>
        <w:t>22</w:t>
      </w:r>
      <w:r>
        <w:rPr>
          <w:rFonts w:hint="eastAsia" w:ascii="Times New Roman" w:hAnsi="Times New Roman" w:eastAsia="楷体_GB2312" w:cs="楷体_GB2312"/>
          <w:b/>
          <w:bCs/>
          <w:color w:val="auto"/>
          <w:sz w:val="32"/>
          <w:szCs w:val="32"/>
          <w:highlight w:val="none"/>
        </w:rPr>
        <w:t>年收入预计和支出安排</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根据中央、省</w:t>
      </w:r>
      <w:r>
        <w:rPr>
          <w:rFonts w:hint="eastAsia" w:ascii="Times New Roman" w:hAnsi="Times New Roman" w:eastAsia="仿宋_GB2312" w:cs="仿宋_GB2312"/>
          <w:color w:val="auto"/>
          <w:sz w:val="32"/>
          <w:szCs w:val="32"/>
          <w:highlight w:val="none"/>
          <w:lang w:eastAsia="zh-CN"/>
        </w:rPr>
        <w:t>、市</w:t>
      </w:r>
      <w:r>
        <w:rPr>
          <w:rFonts w:hint="eastAsia" w:ascii="Times New Roman" w:hAnsi="Times New Roman" w:eastAsia="仿宋_GB2312" w:cs="仿宋_GB2312"/>
          <w:color w:val="auto"/>
          <w:sz w:val="32"/>
          <w:szCs w:val="32"/>
          <w:highlight w:val="none"/>
        </w:rPr>
        <w:t>的决策部署以及</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委</w:t>
      </w:r>
      <w:r>
        <w:rPr>
          <w:rFonts w:hint="eastAsia" w:ascii="Times New Roman" w:hAnsi="Times New Roman" w:eastAsia="仿宋_GB2312" w:cs="仿宋_GB2312"/>
          <w:color w:val="auto"/>
          <w:sz w:val="32"/>
          <w:szCs w:val="32"/>
          <w:highlight w:val="none"/>
          <w:lang w:eastAsia="zh-CN"/>
        </w:rPr>
        <w:t>、区政府</w:t>
      </w:r>
      <w:r>
        <w:rPr>
          <w:rFonts w:hint="eastAsia" w:ascii="Times New Roman" w:hAnsi="Times New Roman" w:eastAsia="仿宋_GB2312" w:cs="仿宋_GB2312"/>
          <w:color w:val="auto"/>
          <w:sz w:val="32"/>
          <w:szCs w:val="32"/>
          <w:highlight w:val="none"/>
        </w:rPr>
        <w:t>确定的20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经济社会发展预期目标和重点任务，合理编制20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年预算。</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1.一般公共预算</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baseline"/>
        <w:outlineLvl w:val="9"/>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地方一般公共预算收入预计为</w:t>
      </w:r>
      <w:r>
        <w:rPr>
          <w:rFonts w:hint="eastAsia" w:ascii="Times New Roman" w:hAnsi="Times New Roman" w:eastAsia="仿宋_GB2312" w:cs="仿宋_GB2312"/>
          <w:color w:val="auto"/>
          <w:sz w:val="32"/>
          <w:szCs w:val="32"/>
          <w:highlight w:val="none"/>
          <w:lang w:val="en-US" w:eastAsia="zh-CN"/>
        </w:rPr>
        <w:t>68000万</w:t>
      </w:r>
      <w:r>
        <w:rPr>
          <w:rFonts w:hint="eastAsia" w:ascii="Times New Roman" w:hAnsi="Times New Roman" w:eastAsia="仿宋_GB2312" w:cs="仿宋_GB2312"/>
          <w:color w:val="auto"/>
          <w:sz w:val="32"/>
          <w:szCs w:val="32"/>
          <w:highlight w:val="none"/>
        </w:rPr>
        <w:t>元；加上级税收返还、</w:t>
      </w:r>
      <w:r>
        <w:rPr>
          <w:rFonts w:hint="eastAsia" w:ascii="Times New Roman" w:hAnsi="Times New Roman" w:eastAsia="仿宋_GB2312" w:cs="仿宋_GB2312"/>
          <w:sz w:val="32"/>
          <w:szCs w:val="32"/>
          <w:highlight w:val="none"/>
          <w:lang w:eastAsia="zh-CN"/>
        </w:rPr>
        <w:t>财力</w:t>
      </w:r>
      <w:r>
        <w:rPr>
          <w:rFonts w:hint="eastAsia" w:ascii="Times New Roman" w:hAnsi="Times New Roman" w:eastAsia="仿宋_GB2312" w:cs="仿宋_GB2312"/>
          <w:sz w:val="32"/>
          <w:szCs w:val="32"/>
          <w:highlight w:val="none"/>
        </w:rPr>
        <w:t>补助</w:t>
      </w:r>
      <w:r>
        <w:rPr>
          <w:rFonts w:hint="eastAsia" w:ascii="Times New Roman" w:hAnsi="Times New Roman" w:eastAsia="仿宋_GB2312" w:cs="仿宋_GB2312"/>
          <w:color w:val="auto"/>
          <w:sz w:val="32"/>
          <w:szCs w:val="32"/>
          <w:highlight w:val="none"/>
          <w:lang w:val="en-US" w:eastAsia="zh-CN"/>
        </w:rPr>
        <w:t>38943</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，动用预算稳定调节基金</w:t>
      </w:r>
      <w:r>
        <w:rPr>
          <w:rFonts w:hint="eastAsia" w:ascii="Times New Roman" w:hAnsi="Times New Roman" w:eastAsia="仿宋_GB2312" w:cs="仿宋_GB2312"/>
          <w:color w:val="auto"/>
          <w:sz w:val="32"/>
          <w:szCs w:val="32"/>
          <w:highlight w:val="none"/>
          <w:lang w:val="en-US" w:eastAsia="zh-CN"/>
        </w:rPr>
        <w:t>5000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，从政府性基金预算</w:t>
      </w:r>
      <w:r>
        <w:rPr>
          <w:rFonts w:hint="eastAsia" w:ascii="Times New Roman" w:hAnsi="Times New Roman" w:eastAsia="仿宋_GB2312" w:cs="仿宋_GB2312"/>
          <w:color w:val="auto"/>
          <w:sz w:val="32"/>
          <w:szCs w:val="32"/>
          <w:highlight w:val="none"/>
          <w:lang w:eastAsia="zh-CN"/>
        </w:rPr>
        <w:t>和</w:t>
      </w:r>
      <w:r>
        <w:rPr>
          <w:rFonts w:hint="eastAsia" w:ascii="Times New Roman" w:hAnsi="Times New Roman" w:eastAsia="仿宋_GB2312" w:cs="仿宋_GB2312"/>
          <w:color w:val="auto"/>
          <w:sz w:val="32"/>
          <w:szCs w:val="32"/>
          <w:highlight w:val="none"/>
        </w:rPr>
        <w:t>国有资本经营预算调入资金</w:t>
      </w:r>
      <w:r>
        <w:rPr>
          <w:rFonts w:hint="eastAsia" w:ascii="Times New Roman" w:hAnsi="Times New Roman" w:eastAsia="仿宋_GB2312" w:cs="仿宋_GB2312"/>
          <w:color w:val="auto"/>
          <w:sz w:val="32"/>
          <w:szCs w:val="32"/>
          <w:highlight w:val="none"/>
          <w:lang w:val="en-US" w:eastAsia="zh-CN"/>
        </w:rPr>
        <w:t>10030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后，可供安排的收入总量为</w:t>
      </w:r>
      <w:r>
        <w:rPr>
          <w:rFonts w:hint="eastAsia" w:ascii="Times New Roman" w:hAnsi="Times New Roman" w:eastAsia="仿宋_GB2312" w:cs="仿宋_GB2312"/>
          <w:color w:val="auto"/>
          <w:sz w:val="32"/>
          <w:szCs w:val="32"/>
          <w:highlight w:val="none"/>
          <w:lang w:val="en-US" w:eastAsia="zh-CN"/>
        </w:rPr>
        <w:t>121973</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。按照收支平衡原则，</w:t>
      </w:r>
      <w:r>
        <w:rPr>
          <w:rFonts w:hint="eastAsia" w:ascii="Times New Roman" w:hAnsi="Times New Roman" w:eastAsia="仿宋_GB2312" w:cs="仿宋_GB2312"/>
          <w:color w:val="auto"/>
          <w:sz w:val="32"/>
          <w:szCs w:val="32"/>
          <w:highlight w:val="none"/>
          <w:lang w:eastAsia="zh-CN"/>
        </w:rPr>
        <w:t>减</w:t>
      </w:r>
      <w:r>
        <w:rPr>
          <w:rFonts w:hint="eastAsia" w:ascii="Times New Roman" w:hAnsi="Times New Roman" w:eastAsia="仿宋_GB2312" w:cs="仿宋_GB2312"/>
          <w:color w:val="auto"/>
          <w:sz w:val="32"/>
          <w:szCs w:val="32"/>
          <w:highlight w:val="none"/>
        </w:rPr>
        <w:t>上缴上级支出、援助其他地区支出</w:t>
      </w:r>
      <w:r>
        <w:rPr>
          <w:rFonts w:hint="eastAsia" w:ascii="Times New Roman" w:hAnsi="Times New Roman" w:eastAsia="仿宋_GB2312" w:cs="仿宋_GB2312"/>
          <w:color w:val="auto"/>
          <w:sz w:val="32"/>
          <w:szCs w:val="32"/>
          <w:highlight w:val="none"/>
          <w:lang w:eastAsia="zh-CN"/>
        </w:rPr>
        <w:t>等</w:t>
      </w:r>
      <w:r>
        <w:rPr>
          <w:rFonts w:hint="eastAsia" w:ascii="Times New Roman" w:hAnsi="Times New Roman" w:eastAsia="仿宋_GB2312" w:cs="仿宋_GB2312"/>
          <w:color w:val="auto"/>
          <w:sz w:val="32"/>
          <w:szCs w:val="32"/>
          <w:highlight w:val="none"/>
          <w:lang w:val="en-US" w:eastAsia="zh-CN"/>
        </w:rPr>
        <w:t>6431</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后，</w:t>
      </w:r>
      <w:r>
        <w:rPr>
          <w:rFonts w:hint="eastAsia" w:eastAsia="仿宋_GB2312" w:cs="仿宋_GB2312"/>
          <w:color w:val="auto"/>
          <w:sz w:val="32"/>
          <w:szCs w:val="32"/>
          <w:highlight w:val="none"/>
          <w:lang w:eastAsia="zh-CN"/>
        </w:rPr>
        <w:t>区级</w:t>
      </w:r>
      <w:r>
        <w:rPr>
          <w:rFonts w:hint="eastAsia" w:ascii="Times New Roman" w:hAnsi="Times New Roman" w:eastAsia="仿宋_GB2312" w:cs="仿宋_GB2312"/>
          <w:color w:val="auto"/>
          <w:sz w:val="32"/>
          <w:szCs w:val="32"/>
          <w:highlight w:val="none"/>
        </w:rPr>
        <w:t>一般公共预算</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为</w:t>
      </w:r>
      <w:r>
        <w:rPr>
          <w:rFonts w:hint="eastAsia" w:ascii="Times New Roman" w:hAnsi="Times New Roman" w:eastAsia="仿宋_GB2312" w:cs="仿宋_GB2312"/>
          <w:color w:val="auto"/>
          <w:sz w:val="32"/>
          <w:szCs w:val="32"/>
          <w:highlight w:val="none"/>
          <w:lang w:val="en-US" w:eastAsia="zh-CN"/>
        </w:rPr>
        <w:t>115542</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w:t>
      </w:r>
      <w:r>
        <w:rPr>
          <w:rFonts w:hint="eastAsia" w:eastAsia="仿宋_GB2312" w:cs="仿宋_GB2312"/>
          <w:color w:val="auto"/>
          <w:sz w:val="32"/>
          <w:szCs w:val="32"/>
          <w:highlight w:val="none"/>
          <w:lang w:eastAsia="zh-CN"/>
        </w:rPr>
        <w:t>在此基础上，加上年结转</w:t>
      </w:r>
      <w:r>
        <w:rPr>
          <w:rFonts w:hint="eastAsia" w:eastAsia="仿宋_GB2312" w:cs="仿宋_GB2312"/>
          <w:color w:val="auto"/>
          <w:sz w:val="32"/>
          <w:szCs w:val="32"/>
          <w:highlight w:val="none"/>
          <w:lang w:val="en-US" w:eastAsia="zh-CN"/>
        </w:rPr>
        <w:t>8853万元对应安排支出后，全区一般公共预算支出为124395万元。</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2.政府性基金预算</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2022年，</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政府性基金预算收入预计为</w:t>
      </w:r>
      <w:r>
        <w:rPr>
          <w:rFonts w:hint="eastAsia" w:ascii="Times New Roman" w:hAnsi="Times New Roman" w:eastAsia="仿宋_GB2312" w:cs="仿宋_GB2312"/>
          <w:color w:val="auto"/>
          <w:sz w:val="32"/>
          <w:szCs w:val="32"/>
          <w:highlight w:val="none"/>
          <w:lang w:val="en-US" w:eastAsia="zh-CN"/>
        </w:rPr>
        <w:t>150000万</w:t>
      </w:r>
      <w:r>
        <w:rPr>
          <w:rFonts w:hint="eastAsia" w:ascii="Times New Roman" w:hAnsi="Times New Roman" w:eastAsia="仿宋_GB2312" w:cs="仿宋_GB2312"/>
          <w:color w:val="auto"/>
          <w:sz w:val="32"/>
          <w:szCs w:val="32"/>
          <w:highlight w:val="none"/>
        </w:rPr>
        <w:t>元，可供安排的收入总量为</w:t>
      </w:r>
      <w:r>
        <w:rPr>
          <w:rFonts w:hint="eastAsia" w:ascii="Times New Roman" w:hAnsi="Times New Roman" w:eastAsia="仿宋_GB2312" w:cs="仿宋_GB2312"/>
          <w:color w:val="auto"/>
          <w:sz w:val="32"/>
          <w:szCs w:val="32"/>
          <w:highlight w:val="none"/>
          <w:lang w:val="en-US" w:eastAsia="zh-CN"/>
        </w:rPr>
        <w:t>150000万</w:t>
      </w:r>
      <w:r>
        <w:rPr>
          <w:rFonts w:hint="eastAsia" w:ascii="Times New Roman" w:hAnsi="Times New Roman" w:eastAsia="仿宋_GB2312" w:cs="仿宋_GB2312"/>
          <w:color w:val="auto"/>
          <w:sz w:val="32"/>
          <w:szCs w:val="32"/>
          <w:highlight w:val="none"/>
        </w:rPr>
        <w:t>元。按照收支平衡原则，</w:t>
      </w:r>
      <w:r>
        <w:rPr>
          <w:rFonts w:hint="eastAsia" w:ascii="Times New Roman" w:hAnsi="Times New Roman" w:eastAsia="仿宋_GB2312" w:cs="仿宋_GB2312"/>
          <w:color w:val="auto"/>
          <w:sz w:val="32"/>
          <w:szCs w:val="32"/>
          <w:highlight w:val="none"/>
          <w:lang w:eastAsia="zh-CN"/>
        </w:rPr>
        <w:t>减</w:t>
      </w:r>
      <w:r>
        <w:rPr>
          <w:rFonts w:hint="eastAsia" w:ascii="Times New Roman" w:hAnsi="Times New Roman" w:eastAsia="仿宋_GB2312" w:cs="仿宋_GB2312"/>
          <w:color w:val="auto"/>
          <w:sz w:val="32"/>
          <w:szCs w:val="32"/>
          <w:highlight w:val="none"/>
        </w:rPr>
        <w:t>调出资金</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地方政府专项债务还本支出</w:t>
      </w:r>
      <w:r>
        <w:rPr>
          <w:rFonts w:hint="eastAsia" w:ascii="Times New Roman" w:hAnsi="Times New Roman" w:eastAsia="仿宋_GB2312" w:cs="仿宋_GB2312"/>
          <w:color w:val="auto"/>
          <w:sz w:val="32"/>
          <w:szCs w:val="32"/>
          <w:highlight w:val="none"/>
          <w:lang w:eastAsia="zh-CN"/>
        </w:rPr>
        <w:t>等</w:t>
      </w:r>
      <w:r>
        <w:rPr>
          <w:rFonts w:hint="eastAsia" w:ascii="Times New Roman" w:hAnsi="Times New Roman" w:eastAsia="仿宋_GB2312" w:cs="仿宋_GB2312"/>
          <w:color w:val="auto"/>
          <w:sz w:val="32"/>
          <w:szCs w:val="32"/>
          <w:highlight w:val="none"/>
          <w:lang w:val="en-US" w:eastAsia="zh-CN"/>
        </w:rPr>
        <w:t>21000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后，全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政府性基金预算支出为</w:t>
      </w:r>
      <w:r>
        <w:rPr>
          <w:rFonts w:hint="eastAsia" w:ascii="Times New Roman" w:hAnsi="Times New Roman" w:eastAsia="仿宋_GB2312" w:cs="仿宋_GB2312"/>
          <w:color w:val="auto"/>
          <w:sz w:val="32"/>
          <w:szCs w:val="32"/>
          <w:highlight w:val="none"/>
          <w:lang w:val="en-US" w:eastAsia="zh-CN"/>
        </w:rPr>
        <w:t>129000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3.国有资本经营预算</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2022年，</w:t>
      </w:r>
      <w:r>
        <w:rPr>
          <w:rFonts w:hint="eastAsia" w:ascii="Times New Roman" w:hAnsi="Times New Roman" w:eastAsia="仿宋_GB2312" w:cs="仿宋_GB2312"/>
          <w:color w:val="auto"/>
          <w:sz w:val="32"/>
          <w:szCs w:val="32"/>
          <w:highlight w:val="none"/>
          <w:lang w:eastAsia="zh-CN"/>
        </w:rPr>
        <w:t>全区</w:t>
      </w:r>
      <w:r>
        <w:rPr>
          <w:rFonts w:hint="eastAsia" w:ascii="Times New Roman" w:hAnsi="Times New Roman" w:eastAsia="仿宋_GB2312" w:cs="仿宋_GB2312"/>
          <w:color w:val="auto"/>
          <w:sz w:val="32"/>
          <w:szCs w:val="32"/>
          <w:highlight w:val="none"/>
        </w:rPr>
        <w:t>国有资本经营预算收入预计为</w:t>
      </w:r>
      <w:r>
        <w:rPr>
          <w:rFonts w:hint="eastAsia" w:ascii="Times New Roman" w:hAnsi="Times New Roman"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，可供安排的收入总量为</w:t>
      </w:r>
      <w:r>
        <w:rPr>
          <w:rFonts w:hint="eastAsia" w:ascii="Times New Roman" w:hAnsi="Times New Roman" w:eastAsia="仿宋_GB2312" w:cs="仿宋_GB2312"/>
          <w:color w:val="auto"/>
          <w:sz w:val="32"/>
          <w:szCs w:val="32"/>
          <w:highlight w:val="none"/>
          <w:lang w:val="en-US" w:eastAsia="zh-CN"/>
        </w:rPr>
        <w:t>100万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按照收支平衡原则，</w:t>
      </w:r>
      <w:r>
        <w:rPr>
          <w:rFonts w:hint="eastAsia" w:ascii="Times New Roman" w:hAnsi="Times New Roman" w:eastAsia="仿宋_GB2312" w:cs="仿宋_GB2312"/>
          <w:color w:val="auto"/>
          <w:sz w:val="32"/>
          <w:szCs w:val="32"/>
          <w:highlight w:val="none"/>
          <w:lang w:eastAsia="zh-CN"/>
        </w:rPr>
        <w:t>减</w:t>
      </w:r>
      <w:r>
        <w:rPr>
          <w:rFonts w:hint="eastAsia" w:ascii="Times New Roman" w:hAnsi="Times New Roman" w:eastAsia="仿宋_GB2312" w:cs="仿宋_GB2312"/>
          <w:color w:val="auto"/>
          <w:sz w:val="32"/>
          <w:szCs w:val="32"/>
          <w:highlight w:val="none"/>
        </w:rPr>
        <w:t>调出资金</w:t>
      </w:r>
      <w:r>
        <w:rPr>
          <w:rFonts w:hint="eastAsia" w:ascii="Times New Roman" w:hAnsi="Times New Roman" w:eastAsia="仿宋_GB2312" w:cs="仿宋_GB2312"/>
          <w:color w:val="auto"/>
          <w:sz w:val="32"/>
          <w:szCs w:val="32"/>
          <w:highlight w:val="none"/>
          <w:lang w:val="en-US" w:eastAsia="zh-CN"/>
        </w:rPr>
        <w:t>30万元后，</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国有资本经营预算支出为</w:t>
      </w:r>
      <w:r>
        <w:rPr>
          <w:rFonts w:hint="eastAsia" w:ascii="Times New Roman" w:hAnsi="Times New Roman" w:eastAsia="仿宋_GB2312" w:cs="仿宋_GB2312"/>
          <w:color w:val="auto"/>
          <w:sz w:val="32"/>
          <w:szCs w:val="32"/>
          <w:highlight w:val="none"/>
          <w:lang w:val="en-US" w:eastAsia="zh-CN"/>
        </w:rPr>
        <w:t>70</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3" w:firstLineChars="200"/>
        <w:jc w:val="both"/>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4.社会保险基金预算</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2022年，</w:t>
      </w:r>
      <w:r>
        <w:rPr>
          <w:rFonts w:hint="eastAsia" w:ascii="Times New Roman" w:hAnsi="Times New Roman" w:eastAsia="仿宋_GB2312" w:cs="仿宋_GB2312"/>
          <w:color w:val="auto"/>
          <w:sz w:val="32"/>
          <w:szCs w:val="32"/>
          <w:highlight w:val="none"/>
        </w:rPr>
        <w:t>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社会保险基金预算收入预计为</w:t>
      </w:r>
      <w:r>
        <w:rPr>
          <w:rFonts w:hint="eastAsia" w:ascii="Times New Roman" w:hAnsi="Times New Roman" w:eastAsia="仿宋_GB2312" w:cs="仿宋_GB2312"/>
          <w:color w:val="auto"/>
          <w:sz w:val="32"/>
          <w:szCs w:val="32"/>
          <w:highlight w:val="none"/>
          <w:lang w:val="en-US" w:eastAsia="zh-CN"/>
        </w:rPr>
        <w:t>8338万</w:t>
      </w:r>
      <w:r>
        <w:rPr>
          <w:rFonts w:hint="eastAsia" w:ascii="Times New Roman" w:hAnsi="Times New Roman" w:eastAsia="仿宋_GB2312" w:cs="仿宋_GB2312"/>
          <w:color w:val="auto"/>
          <w:sz w:val="32"/>
          <w:szCs w:val="32"/>
          <w:highlight w:val="none"/>
        </w:rPr>
        <w:t>元，加上年滚存结余</w:t>
      </w:r>
      <w:r>
        <w:rPr>
          <w:rFonts w:hint="eastAsia" w:ascii="Times New Roman" w:hAnsi="Times New Roman" w:eastAsia="仿宋_GB2312" w:cs="仿宋_GB2312"/>
          <w:color w:val="auto"/>
          <w:sz w:val="32"/>
          <w:szCs w:val="32"/>
          <w:highlight w:val="none"/>
          <w:lang w:val="en-US" w:eastAsia="zh-CN"/>
        </w:rPr>
        <w:t>26104万</w:t>
      </w:r>
      <w:r>
        <w:rPr>
          <w:rFonts w:hint="eastAsia" w:ascii="Times New Roman" w:hAnsi="Times New Roman" w:eastAsia="仿宋_GB2312" w:cs="仿宋_GB2312"/>
          <w:color w:val="auto"/>
          <w:sz w:val="32"/>
          <w:szCs w:val="32"/>
          <w:highlight w:val="none"/>
        </w:rPr>
        <w:t>元</w:t>
      </w:r>
      <w:r>
        <w:rPr>
          <w:rFonts w:hint="eastAsia" w:ascii="Times New Roman" w:hAnsi="Times New Roman" w:eastAsia="仿宋_GB2312" w:cs="仿宋_GB2312"/>
          <w:color w:val="auto"/>
          <w:sz w:val="32"/>
          <w:szCs w:val="32"/>
          <w:highlight w:val="none"/>
          <w:lang w:eastAsia="zh-CN"/>
        </w:rPr>
        <w:t>后</w:t>
      </w:r>
      <w:r>
        <w:rPr>
          <w:rFonts w:hint="eastAsia" w:ascii="Times New Roman" w:hAnsi="Times New Roman" w:eastAsia="仿宋_GB2312" w:cs="仿宋_GB2312"/>
          <w:color w:val="auto"/>
          <w:sz w:val="32"/>
          <w:szCs w:val="32"/>
          <w:highlight w:val="none"/>
        </w:rPr>
        <w:t>，可供安排的收入总量为</w:t>
      </w:r>
      <w:r>
        <w:rPr>
          <w:rFonts w:hint="eastAsia" w:ascii="Times New Roman" w:hAnsi="Times New Roman" w:eastAsia="仿宋_GB2312" w:cs="仿宋_GB2312"/>
          <w:color w:val="auto"/>
          <w:sz w:val="32"/>
          <w:szCs w:val="32"/>
          <w:highlight w:val="none"/>
          <w:lang w:val="en-US" w:eastAsia="zh-CN"/>
        </w:rPr>
        <w:t>34442万</w:t>
      </w:r>
      <w:r>
        <w:rPr>
          <w:rFonts w:hint="eastAsia" w:ascii="Times New Roman" w:hAnsi="Times New Roman" w:eastAsia="仿宋_GB2312" w:cs="仿宋_GB2312"/>
          <w:color w:val="auto"/>
          <w:sz w:val="32"/>
          <w:szCs w:val="32"/>
          <w:highlight w:val="none"/>
        </w:rPr>
        <w:t>元。按照现行社会保险支出政策，</w:t>
      </w:r>
      <w:r>
        <w:rPr>
          <w:rFonts w:hint="eastAsia" w:ascii="Times New Roman" w:hAnsi="Times New Roman" w:eastAsia="仿宋_GB2312" w:cs="仿宋_GB2312"/>
          <w:color w:val="auto"/>
          <w:sz w:val="32"/>
          <w:szCs w:val="32"/>
          <w:highlight w:val="none"/>
          <w:lang w:eastAsia="zh-CN"/>
        </w:rPr>
        <w:t>全区</w:t>
      </w:r>
      <w:r>
        <w:rPr>
          <w:rFonts w:hint="eastAsia" w:ascii="Times New Roman" w:hAnsi="Times New Roman" w:eastAsia="仿宋_GB2312" w:cs="仿宋_GB2312"/>
          <w:color w:val="auto"/>
          <w:sz w:val="32"/>
          <w:szCs w:val="32"/>
          <w:highlight w:val="none"/>
        </w:rPr>
        <w:t>社会保险基金预算支出为</w:t>
      </w:r>
      <w:r>
        <w:rPr>
          <w:rFonts w:hint="eastAsia" w:ascii="Times New Roman" w:hAnsi="Times New Roman" w:eastAsia="仿宋_GB2312" w:cs="仿宋_GB2312"/>
          <w:color w:val="auto"/>
          <w:sz w:val="32"/>
          <w:szCs w:val="32"/>
          <w:highlight w:val="none"/>
          <w:lang w:val="en-US" w:eastAsia="zh-CN"/>
        </w:rPr>
        <w:t>5769万</w:t>
      </w:r>
      <w:r>
        <w:rPr>
          <w:rFonts w:hint="eastAsia" w:ascii="Times New Roman" w:hAnsi="Times New Roman" w:eastAsia="仿宋_GB2312" w:cs="仿宋_GB2312"/>
          <w:color w:val="auto"/>
          <w:sz w:val="32"/>
          <w:szCs w:val="32"/>
          <w:highlight w:val="none"/>
        </w:rPr>
        <w:t>元，滚存结余</w:t>
      </w:r>
      <w:r>
        <w:rPr>
          <w:rFonts w:hint="eastAsia" w:ascii="Times New Roman" w:hAnsi="Times New Roman" w:eastAsia="仿宋_GB2312" w:cs="仿宋_GB2312"/>
          <w:color w:val="auto"/>
          <w:sz w:val="32"/>
          <w:szCs w:val="32"/>
          <w:highlight w:val="none"/>
          <w:lang w:eastAsia="zh-CN"/>
        </w:rPr>
        <w:t>为</w:t>
      </w:r>
      <w:r>
        <w:rPr>
          <w:rFonts w:hint="eastAsia" w:ascii="Times New Roman" w:hAnsi="Times New Roman" w:eastAsia="仿宋_GB2312" w:cs="仿宋_GB2312"/>
          <w:color w:val="auto"/>
          <w:sz w:val="32"/>
          <w:szCs w:val="32"/>
          <w:highlight w:val="none"/>
          <w:lang w:val="en-US" w:eastAsia="zh-CN"/>
        </w:rPr>
        <w:t>28673万</w:t>
      </w:r>
      <w:r>
        <w:rPr>
          <w:rFonts w:hint="eastAsia" w:ascii="Times New Roman" w:hAnsi="Times New Roman" w:eastAsia="仿宋_GB2312" w:cs="仿宋_GB2312"/>
          <w:color w:val="auto"/>
          <w:sz w:val="32"/>
          <w:szCs w:val="32"/>
          <w:highlight w:val="none"/>
        </w:rPr>
        <w:t>元。</w:t>
      </w:r>
    </w:p>
    <w:p>
      <w:pPr>
        <w:keepNext w:val="0"/>
        <w:keepLines w:val="0"/>
        <w:pageBreakBefore w:val="0"/>
        <w:widowControl w:val="0"/>
        <w:kinsoku/>
        <w:wordWrap/>
        <w:overflowPunct/>
        <w:topLinePunct w:val="0"/>
        <w:autoSpaceDE/>
        <w:autoSpaceDN/>
        <w:bidi w:val="0"/>
        <w:adjustRightInd/>
        <w:snapToGrid w:val="0"/>
        <w:spacing w:line="560" w:lineRule="exact"/>
        <w:ind w:left="0" w:firstLine="643" w:firstLineChars="200"/>
        <w:jc w:val="left"/>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lang w:val="en-US" w:eastAsia="zh-CN"/>
        </w:rPr>
        <w:t>5.区</w:t>
      </w:r>
      <w:r>
        <w:rPr>
          <w:rFonts w:hint="eastAsia" w:ascii="Times New Roman" w:hAnsi="Times New Roman" w:eastAsia="仿宋_GB2312" w:cs="仿宋_GB2312"/>
          <w:b/>
          <w:bCs/>
          <w:color w:val="auto"/>
          <w:sz w:val="32"/>
          <w:szCs w:val="32"/>
          <w:highlight w:val="none"/>
        </w:rPr>
        <w:t>级一般公共预算支出安排</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遵循“保工资、保运转、保基本民生”的原则，牢固树立过紧日子、苦日子的思想，从严编制预算、从紧控制支出，把财政资金用在刀刃上，突出保障重点，加强风险防范，培育壮大新动能，增强市场主体活力，</w:t>
      </w:r>
      <w:r>
        <w:rPr>
          <w:rFonts w:hint="eastAsia" w:ascii="Times New Roman" w:hAnsi="Times New Roman" w:eastAsia="仿宋_GB2312" w:cs="仿宋_GB2312"/>
          <w:color w:val="auto"/>
          <w:sz w:val="32"/>
          <w:szCs w:val="32"/>
          <w:highlight w:val="none"/>
          <w:lang w:eastAsia="zh-CN"/>
        </w:rPr>
        <w:t>持续推进高质量发展</w:t>
      </w:r>
      <w:r>
        <w:rPr>
          <w:rFonts w:hint="eastAsia" w:ascii="Times New Roman" w:hAnsi="Times New Roman" w:eastAsia="仿宋_GB2312" w:cs="仿宋_GB2312"/>
          <w:color w:val="auto"/>
          <w:sz w:val="32"/>
          <w:szCs w:val="32"/>
          <w:highlight w:val="none"/>
        </w:rPr>
        <w:t>，促进经济持续健康发展。</w:t>
      </w:r>
    </w:p>
    <w:p>
      <w:pPr>
        <w:keepNext w:val="0"/>
        <w:keepLines w:val="0"/>
        <w:pageBreakBefore w:val="0"/>
        <w:widowControl w:val="0"/>
        <w:kinsoku/>
        <w:wordWrap/>
        <w:overflowPunct/>
        <w:topLinePunct w:val="0"/>
        <w:autoSpaceDE/>
        <w:autoSpaceDN/>
        <w:bidi w:val="0"/>
        <w:adjustRightInd/>
        <w:snapToGrid w:val="0"/>
        <w:spacing w:line="560" w:lineRule="exact"/>
        <w:ind w:left="0" w:firstLine="643" w:firstLineChars="200"/>
        <w:jc w:val="left"/>
        <w:textAlignment w:val="baseline"/>
        <w:outlineLvl w:val="9"/>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（1）保工资方面</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baseline"/>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安排资金</w:t>
      </w:r>
      <w:r>
        <w:rPr>
          <w:rFonts w:hint="eastAsia" w:ascii="Times New Roman" w:hAnsi="Times New Roman" w:eastAsia="仿宋_GB2312" w:cs="仿宋_GB2312"/>
          <w:color w:val="auto"/>
          <w:sz w:val="32"/>
          <w:szCs w:val="32"/>
          <w:highlight w:val="none"/>
          <w:lang w:val="en-US" w:eastAsia="zh-CN"/>
        </w:rPr>
        <w:t>64496</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，主要用于保障</w:t>
      </w:r>
      <w:r>
        <w:rPr>
          <w:rFonts w:hint="eastAsia" w:ascii="Times New Roman" w:hAnsi="Times New Roman" w:eastAsia="仿宋_GB2312" w:cs="仿宋_GB2312"/>
          <w:color w:val="auto"/>
          <w:sz w:val="32"/>
          <w:szCs w:val="32"/>
          <w:highlight w:val="none"/>
          <w:lang w:eastAsia="zh-CN"/>
        </w:rPr>
        <w:t>各</w:t>
      </w:r>
      <w:r>
        <w:rPr>
          <w:rFonts w:hint="eastAsia" w:ascii="Times New Roman" w:hAnsi="Times New Roman" w:eastAsia="仿宋_GB2312" w:cs="仿宋_GB2312"/>
          <w:color w:val="auto"/>
          <w:sz w:val="32"/>
          <w:szCs w:val="32"/>
          <w:highlight w:val="none"/>
        </w:rPr>
        <w:t>机关事业单位人员工资</w:t>
      </w:r>
      <w:r>
        <w:rPr>
          <w:rFonts w:hint="eastAsia" w:ascii="Times New Roman" w:hAnsi="Times New Roman" w:eastAsia="仿宋_GB2312" w:cs="仿宋_GB2312"/>
          <w:color w:val="auto"/>
          <w:sz w:val="32"/>
          <w:szCs w:val="32"/>
          <w:highlight w:val="none"/>
          <w:lang w:eastAsia="zh-CN"/>
        </w:rPr>
        <w:t>和各项保险缴费等支出</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both"/>
        <w:textAlignment w:val="baseline"/>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val="en-US" w:eastAsia="zh-CN"/>
        </w:rPr>
        <w:t>2</w:t>
      </w: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rPr>
        <w:t>保运转方面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安排资金</w:t>
      </w:r>
      <w:r>
        <w:rPr>
          <w:rFonts w:hint="eastAsia" w:ascii="Times New Roman" w:hAnsi="Times New Roman" w:eastAsia="仿宋_GB2312" w:cs="仿宋_GB2312"/>
          <w:color w:val="auto"/>
          <w:sz w:val="32"/>
          <w:szCs w:val="32"/>
          <w:highlight w:val="none"/>
          <w:lang w:val="en-US" w:eastAsia="zh-CN"/>
        </w:rPr>
        <w:t>6862</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，主要用于保障</w:t>
      </w:r>
      <w:r>
        <w:rPr>
          <w:rFonts w:hint="eastAsia" w:ascii="Times New Roman" w:hAnsi="Times New Roman" w:eastAsia="仿宋_GB2312" w:cs="仿宋_GB2312"/>
          <w:color w:val="auto"/>
          <w:sz w:val="32"/>
          <w:szCs w:val="32"/>
          <w:highlight w:val="none"/>
          <w:lang w:eastAsia="zh-CN"/>
        </w:rPr>
        <w:t>各</w:t>
      </w:r>
      <w:r>
        <w:rPr>
          <w:rFonts w:hint="eastAsia" w:ascii="Times New Roman" w:hAnsi="Times New Roman" w:eastAsia="仿宋_GB2312" w:cs="仿宋_GB2312"/>
          <w:color w:val="auto"/>
          <w:sz w:val="32"/>
          <w:szCs w:val="32"/>
          <w:highlight w:val="none"/>
        </w:rPr>
        <w:t>机关事业单位正常运转。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w:t>
      </w:r>
      <w:r>
        <w:rPr>
          <w:rFonts w:hint="eastAsia" w:ascii="Times New Roman" w:hAnsi="Times New Roman" w:eastAsia="仿宋_GB2312" w:cs="仿宋_GB2312"/>
          <w:b/>
          <w:bCs/>
          <w:color w:val="auto"/>
          <w:sz w:val="32"/>
          <w:szCs w:val="32"/>
          <w:highlight w:val="none"/>
          <w:lang w:val="en-US" w:eastAsia="zh-CN"/>
        </w:rPr>
        <w:t>3</w:t>
      </w:r>
      <w:r>
        <w:rPr>
          <w:rFonts w:hint="eastAsia" w:ascii="Times New Roman" w:hAnsi="Times New Roman" w:eastAsia="仿宋_GB2312" w:cs="仿宋_GB2312"/>
          <w:b/>
          <w:bCs/>
          <w:color w:val="auto"/>
          <w:sz w:val="32"/>
          <w:szCs w:val="32"/>
          <w:highlight w:val="none"/>
        </w:rPr>
        <w:t>）保民生方面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一是</w:t>
      </w:r>
      <w:r>
        <w:rPr>
          <w:rFonts w:hint="eastAsia" w:ascii="Times New Roman" w:hAnsi="Times New Roman" w:eastAsia="仿宋_GB2312" w:cs="仿宋_GB2312"/>
          <w:color w:val="auto"/>
          <w:sz w:val="32"/>
          <w:szCs w:val="32"/>
          <w:highlight w:val="none"/>
        </w:rPr>
        <w:t>支持教育</w:t>
      </w:r>
      <w:r>
        <w:rPr>
          <w:rFonts w:hint="eastAsia" w:ascii="Times New Roman" w:hAnsi="Times New Roman" w:eastAsia="仿宋_GB2312" w:cs="仿宋_GB2312"/>
          <w:color w:val="auto"/>
          <w:sz w:val="32"/>
          <w:szCs w:val="32"/>
          <w:highlight w:val="none"/>
          <w:lang w:eastAsia="zh-CN"/>
        </w:rPr>
        <w:t>事业</w:t>
      </w:r>
      <w:r>
        <w:rPr>
          <w:rFonts w:hint="eastAsia" w:ascii="Times New Roman" w:hAnsi="Times New Roman" w:eastAsia="仿宋_GB2312" w:cs="仿宋_GB2312"/>
          <w:color w:val="auto"/>
          <w:sz w:val="32"/>
          <w:szCs w:val="32"/>
          <w:highlight w:val="none"/>
        </w:rPr>
        <w:t>发展：安排资金</w:t>
      </w:r>
      <w:r>
        <w:rPr>
          <w:rFonts w:hint="eastAsia" w:eastAsia="仿宋_GB2312" w:cs="仿宋_GB2312"/>
          <w:color w:val="auto"/>
          <w:sz w:val="32"/>
          <w:szCs w:val="32"/>
          <w:highlight w:val="none"/>
          <w:lang w:val="en-US" w:eastAsia="zh-CN"/>
        </w:rPr>
        <w:t>20031</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二是</w:t>
      </w:r>
      <w:r>
        <w:rPr>
          <w:rFonts w:hint="eastAsia" w:ascii="Times New Roman" w:hAnsi="Times New Roman" w:eastAsia="仿宋_GB2312" w:cs="仿宋_GB2312"/>
          <w:color w:val="auto"/>
          <w:sz w:val="32"/>
          <w:szCs w:val="32"/>
          <w:highlight w:val="none"/>
        </w:rPr>
        <w:t>促进文</w:t>
      </w:r>
      <w:r>
        <w:rPr>
          <w:rFonts w:hint="eastAsia" w:ascii="Times New Roman" w:hAnsi="Times New Roman" w:eastAsia="仿宋_GB2312" w:cs="仿宋_GB2312"/>
          <w:color w:val="auto"/>
          <w:sz w:val="32"/>
          <w:szCs w:val="32"/>
          <w:highlight w:val="none"/>
          <w:lang w:eastAsia="zh-CN"/>
        </w:rPr>
        <w:t>旅</w:t>
      </w:r>
      <w:r>
        <w:rPr>
          <w:rFonts w:hint="eastAsia" w:ascii="Times New Roman" w:hAnsi="Times New Roman" w:eastAsia="仿宋_GB2312" w:cs="仿宋_GB2312"/>
          <w:color w:val="auto"/>
          <w:sz w:val="32"/>
          <w:szCs w:val="32"/>
          <w:highlight w:val="none"/>
        </w:rPr>
        <w:t>事业发展：安排资金</w:t>
      </w:r>
      <w:r>
        <w:rPr>
          <w:rFonts w:hint="eastAsia" w:eastAsia="仿宋_GB2312" w:cs="仿宋_GB2312"/>
          <w:color w:val="auto"/>
          <w:sz w:val="32"/>
          <w:szCs w:val="32"/>
          <w:highlight w:val="none"/>
          <w:lang w:val="en-US" w:eastAsia="zh-CN"/>
        </w:rPr>
        <w:t>55</w:t>
      </w:r>
      <w:r>
        <w:rPr>
          <w:rFonts w:hint="eastAsia" w:ascii="Times New Roman" w:hAnsi="Times New Roman" w:eastAsia="仿宋_GB2312" w:cs="仿宋_GB2312"/>
          <w:color w:val="auto"/>
          <w:sz w:val="32"/>
          <w:szCs w:val="32"/>
          <w:highlight w:val="none"/>
          <w:lang w:val="en-US" w:eastAsia="zh-CN"/>
        </w:rPr>
        <w:t>90</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三是</w:t>
      </w:r>
      <w:r>
        <w:rPr>
          <w:rFonts w:hint="eastAsia" w:ascii="Times New Roman" w:hAnsi="Times New Roman" w:eastAsia="仿宋_GB2312" w:cs="仿宋_GB2312"/>
          <w:color w:val="auto"/>
          <w:sz w:val="32"/>
          <w:szCs w:val="32"/>
          <w:highlight w:val="none"/>
        </w:rPr>
        <w:t>提升社会保障水平：安排资金</w:t>
      </w:r>
      <w:r>
        <w:rPr>
          <w:rFonts w:hint="eastAsia" w:ascii="Times New Roman" w:hAnsi="Times New Roman" w:eastAsia="仿宋_GB2312" w:cs="仿宋_GB2312"/>
          <w:color w:val="auto"/>
          <w:sz w:val="32"/>
          <w:szCs w:val="32"/>
          <w:highlight w:val="none"/>
          <w:lang w:val="en-US" w:eastAsia="zh-CN"/>
        </w:rPr>
        <w:t>15845</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四是</w:t>
      </w:r>
      <w:r>
        <w:rPr>
          <w:rFonts w:hint="eastAsia" w:ascii="Times New Roman" w:hAnsi="Times New Roman" w:eastAsia="仿宋_GB2312" w:cs="仿宋_GB2312"/>
          <w:color w:val="auto"/>
          <w:sz w:val="32"/>
          <w:szCs w:val="32"/>
          <w:highlight w:val="none"/>
        </w:rPr>
        <w:t>强化卫生健康保障：安排资金</w:t>
      </w:r>
      <w:r>
        <w:rPr>
          <w:rFonts w:hint="eastAsia" w:ascii="Times New Roman" w:hAnsi="Times New Roman" w:eastAsia="仿宋_GB2312" w:cs="仿宋_GB2312"/>
          <w:color w:val="auto"/>
          <w:sz w:val="32"/>
          <w:szCs w:val="32"/>
          <w:highlight w:val="none"/>
          <w:lang w:val="en-US" w:eastAsia="zh-CN"/>
        </w:rPr>
        <w:t>8830</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五是</w:t>
      </w:r>
      <w:r>
        <w:rPr>
          <w:rFonts w:hint="eastAsia" w:ascii="Times New Roman" w:hAnsi="Times New Roman" w:eastAsia="仿宋_GB2312" w:cs="仿宋_GB2312"/>
          <w:color w:val="auto"/>
          <w:sz w:val="32"/>
          <w:szCs w:val="32"/>
          <w:highlight w:val="none"/>
        </w:rPr>
        <w:t>加强生态</w:t>
      </w:r>
      <w:r>
        <w:rPr>
          <w:rFonts w:hint="eastAsia" w:ascii="Times New Roman" w:hAnsi="Times New Roman" w:eastAsia="仿宋_GB2312" w:cs="仿宋_GB2312"/>
          <w:color w:val="auto"/>
          <w:sz w:val="32"/>
          <w:szCs w:val="32"/>
          <w:highlight w:val="none"/>
          <w:lang w:eastAsia="zh-CN"/>
        </w:rPr>
        <w:t>环境</w:t>
      </w:r>
      <w:r>
        <w:rPr>
          <w:rFonts w:hint="eastAsia" w:ascii="Times New Roman" w:hAnsi="Times New Roman" w:eastAsia="仿宋_GB2312" w:cs="仿宋_GB2312"/>
          <w:color w:val="auto"/>
          <w:sz w:val="32"/>
          <w:szCs w:val="32"/>
          <w:highlight w:val="none"/>
        </w:rPr>
        <w:t>建设：安排资金</w:t>
      </w:r>
      <w:r>
        <w:rPr>
          <w:rFonts w:hint="eastAsia" w:ascii="Times New Roman" w:hAnsi="Times New Roman" w:eastAsia="仿宋_GB2312" w:cs="仿宋_GB2312"/>
          <w:color w:val="auto"/>
          <w:sz w:val="32"/>
          <w:szCs w:val="32"/>
          <w:highlight w:val="none"/>
          <w:lang w:val="en-US" w:eastAsia="zh-CN"/>
        </w:rPr>
        <w:t>298</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t>（</w:t>
      </w:r>
      <w:r>
        <w:rPr>
          <w:rFonts w:hint="eastAsia" w:ascii="Times New Roman" w:hAnsi="Times New Roman" w:eastAsia="仿宋_GB2312" w:cs="仿宋_GB2312"/>
          <w:b/>
          <w:bCs/>
          <w:color w:val="auto"/>
          <w:sz w:val="32"/>
          <w:szCs w:val="32"/>
          <w:highlight w:val="none"/>
          <w:lang w:val="en-US" w:eastAsia="zh-CN"/>
        </w:rPr>
        <w:t>4</w:t>
      </w:r>
      <w:r>
        <w:rPr>
          <w:rFonts w:hint="eastAsia" w:ascii="Times New Roman" w:hAnsi="Times New Roman" w:eastAsia="仿宋_GB2312" w:cs="仿宋_GB2312"/>
          <w:b/>
          <w:bCs/>
          <w:color w:val="auto"/>
          <w:sz w:val="32"/>
          <w:szCs w:val="32"/>
          <w:highlight w:val="none"/>
        </w:rPr>
        <w:t>）支持发展方面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一是</w:t>
      </w:r>
      <w:r>
        <w:rPr>
          <w:rFonts w:hint="eastAsia" w:ascii="Times New Roman" w:hAnsi="Times New Roman" w:eastAsia="仿宋_GB2312" w:cs="仿宋_GB2312"/>
          <w:color w:val="auto"/>
          <w:sz w:val="32"/>
          <w:szCs w:val="32"/>
          <w:highlight w:val="none"/>
        </w:rPr>
        <w:t>支持</w:t>
      </w:r>
      <w:r>
        <w:rPr>
          <w:rFonts w:hint="eastAsia" w:ascii="Times New Roman" w:hAnsi="Times New Roman" w:eastAsia="仿宋_GB2312" w:cs="仿宋_GB2312"/>
          <w:color w:val="auto"/>
          <w:sz w:val="32"/>
          <w:szCs w:val="32"/>
          <w:highlight w:val="none"/>
          <w:lang w:eastAsia="zh-CN"/>
        </w:rPr>
        <w:t>园区景区发展</w:t>
      </w:r>
      <w:r>
        <w:rPr>
          <w:rFonts w:hint="eastAsia" w:ascii="Times New Roman" w:hAnsi="Times New Roman" w:eastAsia="仿宋_GB2312" w:cs="仿宋_GB2312"/>
          <w:color w:val="auto"/>
          <w:sz w:val="32"/>
          <w:szCs w:val="32"/>
          <w:highlight w:val="none"/>
        </w:rPr>
        <w:t>：安排资金</w:t>
      </w:r>
      <w:r>
        <w:rPr>
          <w:rFonts w:hint="eastAsia" w:ascii="Times New Roman" w:hAnsi="Times New Roman" w:eastAsia="仿宋_GB2312" w:cs="仿宋_GB2312"/>
          <w:color w:val="auto"/>
          <w:sz w:val="32"/>
          <w:szCs w:val="32"/>
          <w:highlight w:val="none"/>
          <w:lang w:val="en-US" w:eastAsia="zh-CN"/>
        </w:rPr>
        <w:t>1411</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二是</w:t>
      </w:r>
      <w:r>
        <w:rPr>
          <w:rFonts w:hint="eastAsia" w:ascii="Times New Roman" w:hAnsi="Times New Roman" w:eastAsia="仿宋_GB2312" w:cs="仿宋_GB2312"/>
          <w:color w:val="auto"/>
          <w:sz w:val="32"/>
          <w:szCs w:val="32"/>
          <w:highlight w:val="none"/>
        </w:rPr>
        <w:t>安排各类科技项目：安排资金</w:t>
      </w:r>
      <w:r>
        <w:rPr>
          <w:rFonts w:hint="eastAsia" w:ascii="Times New Roman" w:hAnsi="Times New Roman" w:eastAsia="仿宋_GB2312" w:cs="仿宋_GB2312"/>
          <w:color w:val="auto"/>
          <w:sz w:val="32"/>
          <w:szCs w:val="32"/>
          <w:highlight w:val="none"/>
          <w:lang w:val="en-US" w:eastAsia="zh-CN"/>
        </w:rPr>
        <w:t>562</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三是</w:t>
      </w:r>
      <w:r>
        <w:rPr>
          <w:rFonts w:hint="eastAsia" w:ascii="Times New Roman" w:hAnsi="Times New Roman" w:eastAsia="仿宋_GB2312" w:cs="仿宋_GB2312"/>
          <w:color w:val="auto"/>
          <w:sz w:val="32"/>
          <w:szCs w:val="32"/>
          <w:highlight w:val="none"/>
          <w:lang w:eastAsia="zh-CN"/>
        </w:rPr>
        <w:t>支持乡村振兴发展</w:t>
      </w:r>
      <w:r>
        <w:rPr>
          <w:rFonts w:hint="eastAsia" w:ascii="Times New Roman" w:hAnsi="Times New Roman" w:eastAsia="仿宋_GB2312" w:cs="仿宋_GB2312"/>
          <w:color w:val="auto"/>
          <w:sz w:val="32"/>
          <w:szCs w:val="32"/>
          <w:highlight w:val="none"/>
        </w:rPr>
        <w:t>：安排资金</w:t>
      </w:r>
      <w:r>
        <w:rPr>
          <w:rFonts w:hint="eastAsia" w:eastAsia="仿宋_GB2312" w:cs="仿宋_GB2312"/>
          <w:color w:val="auto"/>
          <w:sz w:val="32"/>
          <w:szCs w:val="32"/>
          <w:highlight w:val="none"/>
          <w:lang w:val="en-US" w:eastAsia="zh-CN"/>
        </w:rPr>
        <w:t>15967</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四是</w:t>
      </w:r>
      <w:r>
        <w:rPr>
          <w:rFonts w:hint="eastAsia" w:ascii="Times New Roman" w:hAnsi="Times New Roman" w:eastAsia="仿宋_GB2312" w:cs="仿宋_GB2312"/>
          <w:color w:val="auto"/>
          <w:sz w:val="32"/>
          <w:szCs w:val="32"/>
          <w:highlight w:val="none"/>
        </w:rPr>
        <w:t>支持城乡社区</w:t>
      </w:r>
      <w:r>
        <w:rPr>
          <w:rFonts w:hint="eastAsia" w:ascii="Times New Roman" w:hAnsi="Times New Roman" w:eastAsia="仿宋_GB2312" w:cs="仿宋_GB2312"/>
          <w:color w:val="auto"/>
          <w:sz w:val="32"/>
          <w:szCs w:val="32"/>
          <w:highlight w:val="none"/>
          <w:lang w:eastAsia="zh-CN"/>
        </w:rPr>
        <w:t>事业</w:t>
      </w:r>
      <w:r>
        <w:rPr>
          <w:rFonts w:hint="eastAsia" w:ascii="Times New Roman" w:hAnsi="Times New Roman" w:eastAsia="仿宋_GB2312" w:cs="仿宋_GB2312"/>
          <w:color w:val="auto"/>
          <w:sz w:val="32"/>
          <w:szCs w:val="32"/>
          <w:highlight w:val="none"/>
        </w:rPr>
        <w:t>发展：安排资金</w:t>
      </w:r>
      <w:r>
        <w:rPr>
          <w:rFonts w:hint="eastAsia" w:eastAsia="仿宋_GB2312" w:cs="仿宋_GB2312"/>
          <w:color w:val="auto"/>
          <w:sz w:val="32"/>
          <w:szCs w:val="32"/>
          <w:highlight w:val="none"/>
          <w:lang w:val="en-US" w:eastAsia="zh-CN"/>
        </w:rPr>
        <w:t>2527</w:t>
      </w:r>
      <w:r>
        <w:rPr>
          <w:rFonts w:hint="eastAsia" w:ascii="Times New Roman" w:hAnsi="Times New Roman" w:eastAsia="仿宋_GB2312" w:cs="仿宋_GB2312"/>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
          <w:bCs/>
          <w:color w:val="auto"/>
          <w:sz w:val="32"/>
          <w:szCs w:val="32"/>
          <w:highlight w:val="none"/>
        </w:rPr>
        <w:t>五是</w:t>
      </w:r>
      <w:r>
        <w:rPr>
          <w:rFonts w:hint="eastAsia" w:ascii="Times New Roman" w:hAnsi="Times New Roman" w:eastAsia="仿宋_GB2312" w:cs="仿宋_GB2312"/>
          <w:color w:val="auto"/>
          <w:sz w:val="32"/>
          <w:szCs w:val="32"/>
          <w:highlight w:val="none"/>
        </w:rPr>
        <w:t>支持交通运输建设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安排资金</w:t>
      </w:r>
      <w:r>
        <w:rPr>
          <w:rFonts w:hint="eastAsia" w:ascii="Times New Roman" w:hAnsi="Times New Roman" w:eastAsia="仿宋_GB2312" w:cs="仿宋_GB2312"/>
          <w:color w:val="auto"/>
          <w:sz w:val="32"/>
          <w:szCs w:val="32"/>
          <w:highlight w:val="none"/>
          <w:lang w:val="en-US" w:eastAsia="zh-CN"/>
        </w:rPr>
        <w:t>3826</w:t>
      </w:r>
      <w:r>
        <w:rPr>
          <w:rFonts w:hint="eastAsia" w:ascii="Times New Roman" w:hAnsi="Times New Roman" w:eastAsia="仿宋_GB2312" w:cs="仿宋_GB2312"/>
          <w:color w:val="auto"/>
          <w:sz w:val="32"/>
          <w:szCs w:val="32"/>
          <w:highlight w:val="none"/>
          <w:lang w:eastAsia="zh-CN"/>
        </w:rPr>
        <w:t>万元</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rPr>
        <w:t>（</w:t>
      </w:r>
      <w:r>
        <w:rPr>
          <w:rFonts w:hint="eastAsia" w:ascii="Times New Roman" w:hAnsi="Times New Roman" w:eastAsia="仿宋_GB2312" w:cs="仿宋_GB2312"/>
          <w:b/>
          <w:bCs/>
          <w:color w:val="auto"/>
          <w:sz w:val="32"/>
          <w:szCs w:val="32"/>
          <w:highlight w:val="none"/>
          <w:lang w:val="en-US" w:eastAsia="zh-CN"/>
        </w:rPr>
        <w:t>5</w:t>
      </w:r>
      <w:r>
        <w:rPr>
          <w:rFonts w:hint="eastAsia" w:ascii="Times New Roman" w:hAnsi="Times New Roman" w:eastAsia="仿宋_GB2312" w:cs="仿宋_GB2312"/>
          <w:b/>
          <w:bCs/>
          <w:color w:val="auto"/>
          <w:sz w:val="32"/>
          <w:szCs w:val="32"/>
          <w:highlight w:val="none"/>
        </w:rPr>
        <w:t>）安排预备费</w:t>
      </w:r>
      <w:r>
        <w:rPr>
          <w:rFonts w:hint="eastAsia" w:ascii="Times New Roman" w:hAnsi="Times New Roman" w:eastAsia="仿宋_GB2312" w:cs="仿宋_GB2312"/>
          <w:b/>
          <w:bCs/>
          <w:color w:val="auto"/>
          <w:sz w:val="32"/>
          <w:szCs w:val="32"/>
          <w:highlight w:val="none"/>
          <w:lang w:val="en-US" w:eastAsia="zh-CN"/>
        </w:rPr>
        <w:t>1</w:t>
      </w:r>
      <w:r>
        <w:rPr>
          <w:rFonts w:hint="eastAsia" w:eastAsia="仿宋_GB2312" w:cs="仿宋_GB2312"/>
          <w:b/>
          <w:bCs/>
          <w:color w:val="auto"/>
          <w:sz w:val="32"/>
          <w:szCs w:val="32"/>
          <w:highlight w:val="none"/>
          <w:lang w:val="en-US" w:eastAsia="zh-CN"/>
        </w:rPr>
        <w:t>3</w:t>
      </w:r>
      <w:r>
        <w:rPr>
          <w:rFonts w:hint="eastAsia" w:ascii="Times New Roman" w:hAnsi="Times New Roman" w:eastAsia="仿宋_GB2312" w:cs="仿宋_GB2312"/>
          <w:b/>
          <w:bCs/>
          <w:color w:val="auto"/>
          <w:sz w:val="32"/>
          <w:szCs w:val="32"/>
          <w:highlight w:val="none"/>
          <w:lang w:val="en-US" w:eastAsia="zh-CN"/>
        </w:rPr>
        <w:t>00</w:t>
      </w:r>
      <w:r>
        <w:rPr>
          <w:rFonts w:hint="eastAsia" w:ascii="Times New Roman" w:hAnsi="Times New Roman" w:eastAsia="仿宋_GB2312" w:cs="仿宋_GB2312"/>
          <w:b/>
          <w:bCs/>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主要用于预算执行中的自然灾害等突发事件处理增加的支出及其他难以预见的开支。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以上预算草案，请予审查批准。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三、20</w:t>
      </w:r>
      <w:r>
        <w:rPr>
          <w:rFonts w:hint="eastAsia" w:ascii="Times New Roman" w:hAnsi="Times New Roman" w:eastAsia="黑体" w:cs="黑体"/>
          <w:color w:val="auto"/>
          <w:sz w:val="32"/>
          <w:szCs w:val="32"/>
          <w:highlight w:val="none"/>
          <w:lang w:val="en-US" w:eastAsia="zh-CN"/>
        </w:rPr>
        <w:t>22</w:t>
      </w:r>
      <w:r>
        <w:rPr>
          <w:rFonts w:hint="eastAsia" w:ascii="Times New Roman" w:hAnsi="Times New Roman" w:eastAsia="黑体" w:cs="黑体"/>
          <w:color w:val="auto"/>
          <w:sz w:val="32"/>
          <w:szCs w:val="32"/>
          <w:highlight w:val="none"/>
        </w:rPr>
        <w:t>年财政工作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区财政</w:t>
      </w:r>
      <w:r>
        <w:rPr>
          <w:rFonts w:hint="eastAsia" w:ascii="Times New Roman" w:hAnsi="Times New Roman" w:eastAsia="仿宋_GB2312" w:cs="仿宋_GB2312"/>
          <w:color w:val="auto"/>
          <w:sz w:val="32"/>
          <w:szCs w:val="32"/>
          <w:highlight w:val="none"/>
        </w:rPr>
        <w:t>将坚决贯彻</w:t>
      </w:r>
      <w:r>
        <w:rPr>
          <w:rFonts w:hint="eastAsia" w:ascii="Times New Roman" w:hAnsi="Times New Roman" w:eastAsia="仿宋_GB2312" w:cs="仿宋_GB2312"/>
          <w:color w:val="auto"/>
          <w:sz w:val="32"/>
          <w:szCs w:val="32"/>
          <w:highlight w:val="none"/>
          <w:lang w:eastAsia="zh-CN"/>
        </w:rPr>
        <w:t>区委、区政府有关</w:t>
      </w:r>
      <w:r>
        <w:rPr>
          <w:rFonts w:hint="eastAsia" w:ascii="Times New Roman" w:hAnsi="Times New Roman" w:eastAsia="仿宋_GB2312" w:cs="仿宋_GB2312"/>
          <w:color w:val="auto"/>
          <w:sz w:val="32"/>
          <w:szCs w:val="32"/>
          <w:highlight w:val="none"/>
        </w:rPr>
        <w:t>经济和财政</w:t>
      </w:r>
      <w:r>
        <w:rPr>
          <w:rFonts w:hint="eastAsia" w:ascii="Times New Roman" w:hAnsi="Times New Roman" w:eastAsia="仿宋_GB2312" w:cs="仿宋_GB2312"/>
          <w:color w:val="auto"/>
          <w:sz w:val="32"/>
          <w:szCs w:val="32"/>
          <w:highlight w:val="none"/>
          <w:lang w:eastAsia="zh-CN"/>
        </w:rPr>
        <w:t>工作</w:t>
      </w:r>
      <w:r>
        <w:rPr>
          <w:rFonts w:hint="eastAsia" w:ascii="Times New Roman" w:hAnsi="Times New Roman" w:eastAsia="仿宋_GB2312" w:cs="仿宋_GB2312"/>
          <w:color w:val="auto"/>
          <w:sz w:val="32"/>
          <w:szCs w:val="32"/>
          <w:highlight w:val="none"/>
        </w:rPr>
        <w:t>的方针政策、决策部署</w:t>
      </w:r>
      <w:r>
        <w:rPr>
          <w:rFonts w:hint="eastAsia" w:ascii="Times New Roman" w:hAnsi="Times New Roman" w:eastAsia="仿宋_GB2312" w:cs="仿宋_GB2312"/>
          <w:color w:val="auto"/>
          <w:sz w:val="32"/>
          <w:szCs w:val="32"/>
          <w:highlight w:val="none"/>
          <w:lang w:eastAsia="zh-CN"/>
        </w:rPr>
        <w:t>，落实落细</w:t>
      </w:r>
      <w:r>
        <w:rPr>
          <w:rFonts w:hint="eastAsia" w:ascii="Times New Roman" w:hAnsi="Times New Roman" w:eastAsia="仿宋_GB2312" w:cs="仿宋_GB2312"/>
          <w:color w:val="auto"/>
          <w:sz w:val="32"/>
          <w:szCs w:val="32"/>
          <w:highlight w:val="none"/>
        </w:rPr>
        <w:t>人代会关于预算报告的审查意见和相关决议决定，充分发挥财政职能作用，推动高质量发展，保持经济持续健康发展和社会大局稳定</w:t>
      </w:r>
      <w:r>
        <w:rPr>
          <w:rFonts w:hint="eastAsia" w:ascii="Times New Roman" w:hAnsi="Times New Roman"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b w:val="0"/>
          <w:bCs w:val="0"/>
          <w:sz w:val="32"/>
          <w:szCs w:val="32"/>
          <w:highlight w:val="none"/>
        </w:rPr>
      </w:pPr>
      <w:r>
        <w:rPr>
          <w:rFonts w:hint="eastAsia" w:ascii="Times New Roman" w:hAnsi="Times New Roman" w:eastAsia="楷体_GB2312" w:cs="楷体_GB2312"/>
          <w:b/>
          <w:bCs/>
          <w:color w:val="auto"/>
          <w:sz w:val="32"/>
          <w:szCs w:val="32"/>
          <w:highlight w:val="none"/>
          <w:lang w:val="en-US" w:eastAsia="zh-CN"/>
        </w:rPr>
        <w:t>（一）全面加强财源建设，提高财政收入质量。</w:t>
      </w:r>
      <w:r>
        <w:rPr>
          <w:rFonts w:hint="eastAsia" w:ascii="Times New Roman" w:hAnsi="Times New Roman" w:eastAsia="仿宋" w:cs="仿宋"/>
          <w:b/>
          <w:bCs/>
          <w:color w:val="auto"/>
          <w:sz w:val="32"/>
          <w:szCs w:val="32"/>
          <w:highlight w:val="none"/>
          <w:lang w:val="en-US" w:eastAsia="zh-CN"/>
        </w:rPr>
        <w:t>一是</w:t>
      </w:r>
      <w:r>
        <w:rPr>
          <w:rFonts w:hint="eastAsia" w:ascii="Times New Roman" w:hAnsi="Times New Roman" w:eastAsia="仿宋" w:cs="仿宋"/>
          <w:b w:val="0"/>
          <w:bCs w:val="0"/>
          <w:color w:val="auto"/>
          <w:sz w:val="32"/>
          <w:szCs w:val="32"/>
          <w:highlight w:val="none"/>
          <w:lang w:val="en-US" w:eastAsia="zh-CN"/>
        </w:rPr>
        <w:t>优化产业发展。</w:t>
      </w:r>
      <w:r>
        <w:rPr>
          <w:rFonts w:hint="eastAsia" w:ascii="Times New Roman" w:hAnsi="Times New Roman" w:eastAsia="仿宋_GB2312" w:cs="仿宋_GB2312"/>
          <w:sz w:val="32"/>
          <w:szCs w:val="32"/>
          <w:highlight w:val="none"/>
          <w:shd w:val="clear" w:color="auto" w:fill="FFFFFF"/>
          <w:lang w:val="en-US" w:eastAsia="zh-CN"/>
        </w:rPr>
        <w:t>继续巩固和拓展减税降费成效，</w:t>
      </w:r>
      <w:r>
        <w:rPr>
          <w:rFonts w:hint="eastAsia" w:ascii="Times New Roman" w:hAnsi="Times New Roman" w:eastAsia="仿宋_GB2312" w:cs="仿宋_GB2312"/>
          <w:b w:val="0"/>
          <w:bCs w:val="0"/>
          <w:sz w:val="32"/>
          <w:szCs w:val="32"/>
          <w:highlight w:val="none"/>
          <w:lang w:val="en-US" w:eastAsia="zh-CN"/>
        </w:rPr>
        <w:t>切实减轻企业负担</w:t>
      </w:r>
      <w:r>
        <w:rPr>
          <w:rFonts w:hint="eastAsia" w:ascii="Times New Roman" w:hAnsi="Times New Roman" w:eastAsia="仿宋_GB2312" w:cs="仿宋_GB2312"/>
          <w:b w:val="0"/>
          <w:bCs w:val="0"/>
          <w:sz w:val="32"/>
          <w:szCs w:val="32"/>
          <w:highlight w:val="none"/>
        </w:rPr>
        <w:t>，加快推进技改扩能</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val="0"/>
          <w:bCs w:val="0"/>
          <w:sz w:val="32"/>
          <w:szCs w:val="32"/>
          <w:highlight w:val="none"/>
          <w:lang w:val="en-US" w:eastAsia="zh-CN"/>
        </w:rPr>
        <w:t>强化产业发展基础；</w:t>
      </w:r>
      <w:r>
        <w:rPr>
          <w:rFonts w:hint="eastAsia" w:ascii="Times New Roman" w:hAnsi="Times New Roman" w:eastAsia="仿宋_GB2312" w:cs="仿宋_GB2312"/>
          <w:b w:val="0"/>
          <w:bCs w:val="0"/>
          <w:sz w:val="32"/>
          <w:szCs w:val="32"/>
          <w:highlight w:val="none"/>
        </w:rPr>
        <w:t>用好产业基金、金融信贷、财政奖补等综合杠杆，发挥玄武岩产业优势带动作用，支持招商引资项目落地，打造新的税收增长点</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bCs/>
          <w:sz w:val="32"/>
          <w:szCs w:val="32"/>
          <w:highlight w:val="none"/>
          <w:lang w:val="en-US" w:eastAsia="zh-CN"/>
        </w:rPr>
        <w:t>二是</w:t>
      </w:r>
      <w:r>
        <w:rPr>
          <w:rFonts w:hint="eastAsia" w:ascii="Times New Roman" w:hAnsi="Times New Roman" w:eastAsia="仿宋_GB2312" w:cs="仿宋_GB2312"/>
          <w:b w:val="0"/>
          <w:bCs w:val="0"/>
          <w:sz w:val="32"/>
          <w:szCs w:val="32"/>
          <w:highlight w:val="none"/>
          <w:lang w:val="en-US" w:eastAsia="zh-CN"/>
        </w:rPr>
        <w:t>支持科技创新。</w:t>
      </w:r>
      <w:r>
        <w:rPr>
          <w:rFonts w:hint="eastAsia" w:ascii="Times New Roman" w:hAnsi="Times New Roman" w:eastAsia="仿宋_GB2312" w:cs="仿宋_GB2312"/>
          <w:b w:val="0"/>
          <w:bCs w:val="0"/>
          <w:sz w:val="32"/>
          <w:szCs w:val="32"/>
          <w:highlight w:val="none"/>
        </w:rPr>
        <w:t>全力支持罗江产业数字化改造，促进数字经济与实体经济深度融合</w:t>
      </w:r>
      <w:r>
        <w:rPr>
          <w:rFonts w:hint="eastAsia" w:ascii="Times New Roman" w:hAnsi="Times New Roman" w:eastAsia="仿宋_GB2312" w:cs="仿宋_GB2312"/>
          <w:b w:val="0"/>
          <w:bCs w:val="0"/>
          <w:sz w:val="32"/>
          <w:szCs w:val="32"/>
          <w:highlight w:val="none"/>
          <w:lang w:eastAsia="zh-CN"/>
        </w:rPr>
        <w:t>；</w:t>
      </w:r>
      <w:r>
        <w:rPr>
          <w:rFonts w:hint="eastAsia" w:ascii="Times New Roman" w:hAnsi="Times New Roman" w:eastAsia="仿宋_GB2312" w:cs="仿宋_GB2312"/>
          <w:b w:val="0"/>
          <w:bCs w:val="0"/>
          <w:sz w:val="32"/>
          <w:szCs w:val="32"/>
          <w:highlight w:val="none"/>
        </w:rPr>
        <w:t>发挥财政资金的</w:t>
      </w:r>
      <w:r>
        <w:rPr>
          <w:rFonts w:hint="eastAsia" w:ascii="Times New Roman" w:hAnsi="Times New Roman" w:eastAsia="仿宋_GB2312" w:cs="仿宋_GB2312"/>
          <w:b w:val="0"/>
          <w:bCs w:val="0"/>
          <w:sz w:val="32"/>
          <w:szCs w:val="32"/>
          <w:highlight w:val="none"/>
          <w:lang w:eastAsia="zh-CN"/>
        </w:rPr>
        <w:t>集聚</w:t>
      </w:r>
      <w:r>
        <w:rPr>
          <w:rFonts w:hint="eastAsia" w:ascii="Times New Roman" w:hAnsi="Times New Roman" w:eastAsia="仿宋_GB2312" w:cs="仿宋_GB2312"/>
          <w:b w:val="0"/>
          <w:bCs w:val="0"/>
          <w:sz w:val="32"/>
          <w:szCs w:val="32"/>
          <w:highlight w:val="none"/>
        </w:rPr>
        <w:t>作用，集中财力向产学研用协同创新项目倾斜，支持企业与高校、科研院所共建创新平台。</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二</w:t>
      </w: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着力推动金融环境优化，夯实企业发展基础</w:t>
      </w:r>
      <w:r>
        <w:rPr>
          <w:rFonts w:hint="eastAsia" w:ascii="Times New Roman" w:hAnsi="Times New Roman" w:eastAsia="楷体_GB2312" w:cs="楷体_GB2312"/>
          <w:b/>
          <w:bCs/>
          <w:color w:val="auto"/>
          <w:sz w:val="32"/>
          <w:szCs w:val="32"/>
          <w:highlight w:val="none"/>
        </w:rPr>
        <w:t>。</w:t>
      </w:r>
      <w:r>
        <w:rPr>
          <w:rFonts w:hint="eastAsia" w:ascii="Times New Roman" w:hAnsi="Times New Roman" w:eastAsia="仿宋_GB2312" w:cs="仿宋_GB2312"/>
          <w:b/>
          <w:bCs/>
          <w:sz w:val="32"/>
          <w:szCs w:val="32"/>
          <w:highlight w:val="none"/>
          <w:lang w:val="en-US" w:eastAsia="zh-CN"/>
        </w:rPr>
        <w:t>一是</w:t>
      </w:r>
      <w:r>
        <w:rPr>
          <w:rFonts w:hint="eastAsia" w:ascii="Times New Roman" w:hAnsi="Times New Roman" w:eastAsia="仿宋_GB2312" w:cs="仿宋_GB2312"/>
          <w:b w:val="0"/>
          <w:bCs w:val="0"/>
          <w:sz w:val="32"/>
          <w:szCs w:val="32"/>
          <w:highlight w:val="none"/>
          <w:lang w:val="en-US" w:eastAsia="zh-CN"/>
        </w:rPr>
        <w:t>净化金融生态。加强“金融诚信”、“投资风险识别”等金融知识宣传。</w:t>
      </w:r>
      <w:r>
        <w:rPr>
          <w:rFonts w:hint="eastAsia" w:ascii="Times New Roman" w:hAnsi="Times New Roman" w:eastAsia="仿宋_GB2312" w:cs="仿宋_GB2312"/>
          <w:b/>
          <w:bCs/>
          <w:sz w:val="32"/>
          <w:szCs w:val="32"/>
          <w:highlight w:val="none"/>
          <w:lang w:val="en-US" w:eastAsia="zh-CN"/>
        </w:rPr>
        <w:t>二是</w:t>
      </w:r>
      <w:r>
        <w:rPr>
          <w:rFonts w:hint="eastAsia" w:ascii="Times New Roman" w:hAnsi="Times New Roman" w:eastAsia="仿宋_GB2312" w:cs="仿宋_GB2312"/>
          <w:b w:val="0"/>
          <w:bCs w:val="0"/>
          <w:sz w:val="32"/>
          <w:szCs w:val="32"/>
          <w:highlight w:val="none"/>
          <w:lang w:val="en-US" w:eastAsia="zh-CN"/>
        </w:rPr>
        <w:t>完善中小企业信用体系。建立农户征信系统，强化债权维护，加大“守信光荣、失信可耻”的信用意识宣传，改善区域信用环境。</w:t>
      </w:r>
      <w:r>
        <w:rPr>
          <w:rFonts w:hint="eastAsia" w:ascii="Times New Roman" w:hAnsi="Times New Roman" w:eastAsia="仿宋_GB2312" w:cs="仿宋_GB2312"/>
          <w:b/>
          <w:bCs/>
          <w:sz w:val="32"/>
          <w:szCs w:val="32"/>
          <w:highlight w:val="none"/>
          <w:lang w:val="en-US" w:eastAsia="zh-CN"/>
        </w:rPr>
        <w:t>三是</w:t>
      </w:r>
      <w:r>
        <w:rPr>
          <w:rFonts w:hint="eastAsia" w:ascii="Times New Roman" w:hAnsi="Times New Roman" w:eastAsia="仿宋_GB2312" w:cs="仿宋_GB2312"/>
          <w:b w:val="0"/>
          <w:bCs w:val="0"/>
          <w:sz w:val="32"/>
          <w:szCs w:val="32"/>
          <w:highlight w:val="none"/>
          <w:lang w:val="en-US" w:eastAsia="zh-CN"/>
        </w:rPr>
        <w:t>拓宽融资渠道。积极组织、引导金融机构与中小企业合作，促进银企良性互动；加大企业上市挂牌支持力度，全方位拓宽企业直接融资渠道。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三</w:t>
      </w: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持续优化支出结构，全面发挥财政职能</w:t>
      </w: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仿宋_GB2312"/>
          <w:b/>
          <w:bCs/>
          <w:color w:val="000000"/>
          <w:sz w:val="32"/>
          <w:szCs w:val="32"/>
          <w:highlight w:val="none"/>
          <w:lang w:val="en-US" w:eastAsia="zh-CN"/>
        </w:rPr>
        <w:t>一是</w:t>
      </w:r>
      <w:r>
        <w:rPr>
          <w:rFonts w:hint="eastAsia" w:ascii="Times New Roman" w:hAnsi="Times New Roman" w:eastAsia="仿宋_GB2312"/>
          <w:b w:val="0"/>
          <w:bCs w:val="0"/>
          <w:color w:val="000000"/>
          <w:sz w:val="32"/>
          <w:szCs w:val="32"/>
          <w:highlight w:val="none"/>
          <w:lang w:val="en-US" w:eastAsia="zh-CN"/>
        </w:rPr>
        <w:t>落实过“紧日子”要求。加强“三公”经费管理，梳理全区供养人员、公用车辆，优化财政资金分配。</w:t>
      </w:r>
      <w:r>
        <w:rPr>
          <w:rFonts w:hint="eastAsia" w:ascii="Times New Roman" w:hAnsi="Times New Roman" w:eastAsia="仿宋_GB2312"/>
          <w:b/>
          <w:bCs/>
          <w:color w:val="000000"/>
          <w:sz w:val="32"/>
          <w:szCs w:val="32"/>
          <w:highlight w:val="none"/>
          <w:lang w:val="en-US" w:eastAsia="zh-CN"/>
        </w:rPr>
        <w:t>二是</w:t>
      </w:r>
      <w:r>
        <w:rPr>
          <w:rFonts w:hint="eastAsia" w:ascii="Times New Roman" w:hAnsi="Times New Roman" w:eastAsia="仿宋_GB2312"/>
          <w:b w:val="0"/>
          <w:bCs w:val="0"/>
          <w:color w:val="000000"/>
          <w:sz w:val="32"/>
          <w:szCs w:val="32"/>
          <w:highlight w:val="none"/>
          <w:lang w:val="en-US" w:eastAsia="zh-CN"/>
        </w:rPr>
        <w:t>加大民生支出保障</w:t>
      </w:r>
      <w:r>
        <w:rPr>
          <w:rFonts w:hint="eastAsia" w:ascii="Times New Roman" w:hAnsi="Times New Roman"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rPr>
        <w:t>始终将“</w:t>
      </w:r>
      <w:r>
        <w:rPr>
          <w:rFonts w:hint="eastAsia" w:ascii="Times New Roman" w:hAnsi="Times New Roman" w:eastAsia="仿宋_GB2312"/>
          <w:color w:val="000000"/>
          <w:sz w:val="32"/>
          <w:szCs w:val="32"/>
          <w:highlight w:val="none"/>
          <w:lang w:eastAsia="zh-CN"/>
        </w:rPr>
        <w:t>三保</w:t>
      </w:r>
      <w:r>
        <w:rPr>
          <w:rFonts w:hint="eastAsia" w:ascii="Times New Roman" w:hAnsi="Times New Roman" w:eastAsia="仿宋_GB2312"/>
          <w:color w:val="000000"/>
          <w:sz w:val="32"/>
          <w:szCs w:val="32"/>
          <w:highlight w:val="none"/>
        </w:rPr>
        <w:t>”作为财政保障的重中之重，扎实做好“六保”“六稳”工作，稳住全区运行的基本盘。</w:t>
      </w:r>
      <w:r>
        <w:rPr>
          <w:rFonts w:hint="eastAsia" w:ascii="Times New Roman" w:hAnsi="Times New Roman" w:eastAsia="仿宋_GB2312"/>
          <w:b/>
          <w:bCs/>
          <w:color w:val="000000"/>
          <w:sz w:val="32"/>
          <w:szCs w:val="32"/>
          <w:highlight w:val="none"/>
          <w:lang w:eastAsia="zh-CN"/>
        </w:rPr>
        <w:t>三是</w:t>
      </w:r>
      <w:r>
        <w:rPr>
          <w:rFonts w:hint="eastAsia" w:ascii="Times New Roman" w:hAnsi="Times New Roman" w:eastAsia="仿宋_GB2312"/>
          <w:color w:val="000000"/>
          <w:sz w:val="32"/>
          <w:szCs w:val="32"/>
          <w:highlight w:val="none"/>
          <w:lang w:eastAsia="zh-CN"/>
        </w:rPr>
        <w:t>做好重点领域保障。</w:t>
      </w:r>
      <w:r>
        <w:rPr>
          <w:rFonts w:hint="eastAsia" w:ascii="Times New Roman" w:hAnsi="Times New Roman" w:eastAsia="仿宋_GB2312" w:cs="仿宋_GB2312"/>
          <w:color w:val="000000"/>
          <w:sz w:val="32"/>
          <w:szCs w:val="32"/>
          <w:highlight w:val="none"/>
          <w:lang w:eastAsia="zh-CN"/>
        </w:rPr>
        <w:t>根据</w:t>
      </w:r>
      <w:r>
        <w:rPr>
          <w:rFonts w:hint="eastAsia" w:ascii="Times New Roman" w:hAnsi="Times New Roman" w:eastAsia="仿宋_GB2312" w:cs="仿宋_GB2312"/>
          <w:color w:val="000000"/>
          <w:sz w:val="32"/>
          <w:szCs w:val="32"/>
          <w:highlight w:val="none"/>
        </w:rPr>
        <w:t>区委、区政府的重点工作安排，按照“轻重缓急”原则，将财政有限财力</w:t>
      </w:r>
      <w:r>
        <w:rPr>
          <w:rFonts w:hint="eastAsia" w:ascii="Times New Roman" w:hAnsi="Times New Roman" w:eastAsia="仿宋_GB2312" w:cs="仿宋_GB2312"/>
          <w:color w:val="000000"/>
          <w:sz w:val="32"/>
          <w:szCs w:val="32"/>
          <w:highlight w:val="none"/>
          <w:lang w:eastAsia="zh-CN"/>
        </w:rPr>
        <w:t>用于</w:t>
      </w:r>
      <w:r>
        <w:rPr>
          <w:rFonts w:hint="eastAsia" w:ascii="Times New Roman" w:hAnsi="Times New Roman" w:eastAsia="仿宋_GB2312" w:cs="仿宋_GB2312"/>
          <w:color w:val="000000"/>
          <w:sz w:val="32"/>
          <w:szCs w:val="32"/>
          <w:highlight w:val="none"/>
        </w:rPr>
        <w:t>疫情防控、</w:t>
      </w:r>
      <w:r>
        <w:rPr>
          <w:rFonts w:hint="eastAsia" w:ascii="Times New Roman" w:hAnsi="Times New Roman" w:eastAsia="仿宋_GB2312" w:cs="仿宋_GB2312"/>
          <w:color w:val="000000"/>
          <w:sz w:val="32"/>
          <w:szCs w:val="32"/>
          <w:highlight w:val="none"/>
          <w:lang w:eastAsia="zh-CN"/>
        </w:rPr>
        <w:t>乡村振兴</w:t>
      </w:r>
      <w:r>
        <w:rPr>
          <w:rFonts w:hint="eastAsia" w:ascii="Times New Roman" w:hAnsi="Times New Roman" w:eastAsia="仿宋_GB2312" w:cs="仿宋_GB2312"/>
          <w:color w:val="000000"/>
          <w:sz w:val="32"/>
          <w:szCs w:val="32"/>
          <w:highlight w:val="none"/>
        </w:rPr>
        <w:t>、基础设施、</w:t>
      </w:r>
      <w:r>
        <w:rPr>
          <w:rFonts w:hint="eastAsia" w:ascii="Times New Roman" w:hAnsi="Times New Roman" w:eastAsia="仿宋_GB2312" w:cs="仿宋_GB2312"/>
          <w:color w:val="000000"/>
          <w:sz w:val="32"/>
          <w:szCs w:val="32"/>
          <w:highlight w:val="none"/>
          <w:lang w:eastAsia="zh-CN"/>
        </w:rPr>
        <w:t>教育卫生</w:t>
      </w:r>
      <w:r>
        <w:rPr>
          <w:rFonts w:hint="eastAsia" w:ascii="Times New Roman" w:hAnsi="Times New Roman" w:eastAsia="仿宋_GB2312" w:cs="仿宋_GB2312"/>
          <w:color w:val="000000"/>
          <w:sz w:val="32"/>
          <w:szCs w:val="32"/>
          <w:highlight w:val="none"/>
        </w:rPr>
        <w:t>等重大</w:t>
      </w:r>
      <w:r>
        <w:rPr>
          <w:rFonts w:hint="eastAsia" w:ascii="Times New Roman" w:hAnsi="Times New Roman" w:eastAsia="仿宋_GB2312" w:cs="仿宋_GB2312"/>
          <w:color w:val="000000"/>
          <w:sz w:val="32"/>
          <w:szCs w:val="32"/>
          <w:highlight w:val="none"/>
          <w:lang w:eastAsia="zh-CN"/>
        </w:rPr>
        <w:t>领域</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把财政资金用在刀刃上</w:t>
      </w:r>
      <w:r>
        <w:rPr>
          <w:rFonts w:hint="eastAsia" w:ascii="Times New Roman" w:hAnsi="Times New Roman" w:eastAsia="仿宋_GB2312" w:cs="仿宋_GB2312"/>
          <w:color w:val="00000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color w:val="000000"/>
          <w:sz w:val="32"/>
          <w:szCs w:val="32"/>
          <w:highlight w:val="none"/>
          <w:lang w:val="en-US" w:eastAsia="zh-CN"/>
        </w:rPr>
      </w:pP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四</w:t>
      </w:r>
      <w:r>
        <w:rPr>
          <w:rFonts w:hint="eastAsia" w:ascii="Times New Roman" w:hAnsi="Times New Roman" w:eastAsia="楷体_GB2312" w:cs="楷体_GB2312"/>
          <w:b/>
          <w:bCs/>
          <w:color w:val="auto"/>
          <w:sz w:val="32"/>
          <w:szCs w:val="32"/>
          <w:highlight w:val="none"/>
          <w:lang w:eastAsia="zh-CN"/>
        </w:rPr>
        <w:t>）</w:t>
      </w:r>
      <w:r>
        <w:rPr>
          <w:rFonts w:hint="eastAsia" w:ascii="Times New Roman" w:hAnsi="Times New Roman" w:eastAsia="楷体_GB2312" w:cs="楷体_GB2312"/>
          <w:b/>
          <w:bCs/>
          <w:color w:val="auto"/>
          <w:sz w:val="32"/>
          <w:szCs w:val="32"/>
          <w:highlight w:val="none"/>
          <w:lang w:val="en-US" w:eastAsia="zh-CN"/>
        </w:rPr>
        <w:t>继续加强预算管理，提高财政资金效益。</w:t>
      </w:r>
      <w:r>
        <w:rPr>
          <w:rFonts w:hint="eastAsia" w:ascii="Times New Roman" w:hAnsi="Times New Roman" w:eastAsia="仿宋_GB2312"/>
          <w:b/>
          <w:bCs/>
          <w:color w:val="000000"/>
          <w:sz w:val="32"/>
          <w:szCs w:val="32"/>
          <w:highlight w:val="none"/>
          <w:lang w:val="en-US" w:eastAsia="zh-CN"/>
        </w:rPr>
        <w:t>一是</w:t>
      </w:r>
      <w:r>
        <w:rPr>
          <w:rFonts w:hint="eastAsia" w:ascii="Times New Roman" w:hAnsi="Times New Roman" w:eastAsia="仿宋_GB2312"/>
          <w:color w:val="000000"/>
          <w:sz w:val="32"/>
          <w:szCs w:val="32"/>
          <w:highlight w:val="none"/>
          <w:lang w:val="en-US" w:eastAsia="zh-CN"/>
        </w:rPr>
        <w:t>全面实施“零基预算”。项目支出不与以前年度挂钩，打破预算编制基数壁垒，按照项目的必要性、可行性和紧迫性有序入库，未入库项目一律不再安排预算，强化年初预算编制和预算中期规划对年度预算的约束。</w:t>
      </w:r>
      <w:r>
        <w:rPr>
          <w:rFonts w:hint="eastAsia" w:ascii="Times New Roman" w:hAnsi="Times New Roman" w:eastAsia="仿宋_GB2312"/>
          <w:b/>
          <w:bCs/>
          <w:color w:val="000000"/>
          <w:sz w:val="32"/>
          <w:szCs w:val="32"/>
          <w:highlight w:val="none"/>
          <w:lang w:val="en-US" w:eastAsia="zh-CN"/>
        </w:rPr>
        <w:t>二是</w:t>
      </w:r>
      <w:r>
        <w:rPr>
          <w:rFonts w:hint="eastAsia" w:ascii="Times New Roman" w:hAnsi="Times New Roman" w:eastAsia="仿宋_GB2312"/>
          <w:color w:val="000000"/>
          <w:sz w:val="32"/>
          <w:szCs w:val="32"/>
          <w:highlight w:val="none"/>
          <w:lang w:val="en-US" w:eastAsia="zh-CN"/>
        </w:rPr>
        <w:t>强化预算绩效管理。明确绩效管理责任约束，落实责任主体，切实提高预算绩效目标编制质量，拓展事前绩效评估和绩效监控的覆盖面，强化结果应用，提高财政资源配置效率和使用效益。</w:t>
      </w:r>
    </w:p>
    <w:p>
      <w:pPr>
        <w:keepNext w:val="0"/>
        <w:keepLines w:val="0"/>
        <w:pageBreakBefore w:val="0"/>
        <w:widowControl w:val="0"/>
        <w:kinsoku/>
        <w:wordWrap/>
        <w:overflowPunct/>
        <w:topLinePunct w:val="0"/>
        <w:autoSpaceDE/>
        <w:autoSpaceDN/>
        <w:bidi w:val="0"/>
        <w:adjustRightInd/>
        <w:spacing w:line="560" w:lineRule="exact"/>
        <w:ind w:firstLine="562" w:firstLineChars="175"/>
        <w:jc w:val="both"/>
        <w:textAlignment w:val="auto"/>
        <w:rPr>
          <w:rFonts w:hint="eastAsia" w:ascii="Times New Roman" w:hAnsi="Times New Roman" w:eastAsia="仿宋_GB2312" w:cs="仿宋_GB2312"/>
          <w:b w:val="0"/>
          <w:bCs w:val="0"/>
          <w:color w:val="000000"/>
          <w:kern w:val="2"/>
          <w:sz w:val="32"/>
          <w:szCs w:val="32"/>
          <w:highlight w:val="none"/>
          <w:lang w:val="en-US" w:eastAsia="zh-CN"/>
        </w:rPr>
      </w:pPr>
      <w:r>
        <w:rPr>
          <w:rFonts w:hint="eastAsia" w:ascii="Times New Roman" w:hAnsi="Times New Roman" w:eastAsia="楷体_GB2312" w:cs="楷体_GB2312"/>
          <w:b/>
          <w:bCs/>
          <w:color w:val="auto"/>
          <w:sz w:val="32"/>
          <w:szCs w:val="32"/>
          <w:highlight w:val="none"/>
          <w:lang w:val="en-US" w:eastAsia="zh-CN"/>
        </w:rPr>
        <w:t>（五）加快国资国企改革，</w:t>
      </w:r>
      <w:r>
        <w:rPr>
          <w:rFonts w:hint="eastAsia" w:ascii="Times New Roman" w:hAnsi="Times New Roman" w:eastAsia="楷体_GB2312" w:cs="楷体_GB2312"/>
          <w:b/>
          <w:bCs/>
          <w:color w:val="auto"/>
          <w:sz w:val="32"/>
          <w:szCs w:val="32"/>
          <w:highlight w:val="none"/>
          <w:lang w:eastAsia="zh-CN"/>
        </w:rPr>
        <w:t>激发国企发展活力。</w:t>
      </w:r>
      <w:r>
        <w:rPr>
          <w:rFonts w:hint="eastAsia" w:ascii="Times New Roman" w:hAnsi="Times New Roman" w:eastAsia="仿宋_GB2312" w:cs="仿宋_GB2312"/>
          <w:b/>
          <w:bCs/>
          <w:color w:val="000000"/>
          <w:kern w:val="2"/>
          <w:sz w:val="32"/>
          <w:szCs w:val="32"/>
          <w:highlight w:val="none"/>
          <w:lang w:val="en-US" w:eastAsia="zh-CN"/>
        </w:rPr>
        <w:t>一是</w:t>
      </w:r>
      <w:r>
        <w:rPr>
          <w:rFonts w:hint="eastAsia" w:ascii="Times New Roman" w:hAnsi="Times New Roman" w:eastAsia="仿宋_GB2312" w:cs="仿宋_GB2312"/>
          <w:b w:val="0"/>
          <w:bCs w:val="0"/>
          <w:color w:val="000000"/>
          <w:kern w:val="2"/>
          <w:sz w:val="32"/>
          <w:szCs w:val="32"/>
          <w:highlight w:val="none"/>
          <w:lang w:val="en-US" w:eastAsia="zh-CN"/>
        </w:rPr>
        <w:t>加快国企改革。完善现代法人治理结构，</w:t>
      </w:r>
      <w:r>
        <w:rPr>
          <w:rFonts w:hint="eastAsia" w:ascii="Times New Roman" w:hAnsi="Times New Roman" w:eastAsia="仿宋_GB2312" w:cs="仿宋_GB2312"/>
          <w:b w:val="0"/>
          <w:bCs w:val="0"/>
          <w:sz w:val="32"/>
          <w:szCs w:val="32"/>
          <w:highlight w:val="none"/>
          <w:lang w:eastAsia="zh-CN"/>
        </w:rPr>
        <w:t>成立</w:t>
      </w:r>
      <w:r>
        <w:rPr>
          <w:rFonts w:hint="eastAsia" w:ascii="Times New Roman" w:hAnsi="Times New Roman" w:eastAsia="仿宋_GB2312" w:cs="仿宋_GB2312"/>
          <w:b w:val="0"/>
          <w:bCs w:val="0"/>
          <w:sz w:val="32"/>
          <w:szCs w:val="32"/>
          <w:highlight w:val="none"/>
        </w:rPr>
        <w:t>职责清晰、运转高效的决策议事机构，建立制度完善、运转高效的决策运行机制</w:t>
      </w:r>
      <w:r>
        <w:rPr>
          <w:rFonts w:hint="eastAsia" w:ascii="Times New Roman" w:hAnsi="Times New Roman" w:eastAsia="仿宋_GB2312" w:cs="仿宋_GB2312"/>
          <w:b w:val="0"/>
          <w:bCs w:val="0"/>
          <w:color w:val="000000"/>
          <w:kern w:val="2"/>
          <w:sz w:val="32"/>
          <w:szCs w:val="32"/>
          <w:highlight w:val="none"/>
          <w:lang w:val="en-US" w:eastAsia="zh-CN"/>
        </w:rPr>
        <w:t>，深化国有企业混合所有制改革。</w:t>
      </w:r>
      <w:r>
        <w:rPr>
          <w:rFonts w:hint="eastAsia" w:ascii="Times New Roman" w:hAnsi="Times New Roman" w:eastAsia="仿宋_GB2312" w:cs="仿宋_GB2312"/>
          <w:b/>
          <w:bCs/>
          <w:color w:val="000000"/>
          <w:kern w:val="2"/>
          <w:sz w:val="32"/>
          <w:szCs w:val="32"/>
          <w:highlight w:val="none"/>
          <w:lang w:val="en-US" w:eastAsia="zh-CN"/>
        </w:rPr>
        <w:t>二是</w:t>
      </w:r>
      <w:r>
        <w:rPr>
          <w:rFonts w:hint="eastAsia" w:ascii="Times New Roman" w:hAnsi="Times New Roman" w:eastAsia="仿宋_GB2312" w:cs="仿宋_GB2312"/>
          <w:b w:val="0"/>
          <w:bCs w:val="0"/>
          <w:color w:val="000000"/>
          <w:kern w:val="2"/>
          <w:sz w:val="32"/>
          <w:szCs w:val="32"/>
          <w:highlight w:val="none"/>
          <w:lang w:val="en-US" w:eastAsia="zh-CN"/>
        </w:rPr>
        <w:t>盘活国有资产。</w:t>
      </w:r>
      <w:r>
        <w:rPr>
          <w:rFonts w:hint="eastAsia" w:ascii="Times New Roman" w:hAnsi="Times New Roman" w:eastAsia="仿宋_GB2312" w:cs="仿宋_GB2312"/>
          <w:b w:val="0"/>
          <w:bCs w:val="0"/>
          <w:sz w:val="32"/>
          <w:szCs w:val="32"/>
          <w:highlight w:val="none"/>
        </w:rPr>
        <w:t>进一步加大授权放权力度，完善</w:t>
      </w:r>
      <w:r>
        <w:rPr>
          <w:rFonts w:hint="eastAsia" w:ascii="Times New Roman" w:hAnsi="Times New Roman" w:eastAsia="仿宋_GB2312" w:cs="仿宋_GB2312"/>
          <w:b w:val="0"/>
          <w:bCs w:val="0"/>
          <w:sz w:val="32"/>
          <w:szCs w:val="32"/>
          <w:highlight w:val="none"/>
          <w:lang w:eastAsia="zh-CN"/>
        </w:rPr>
        <w:t>国有资产</w:t>
      </w:r>
      <w:r>
        <w:rPr>
          <w:rFonts w:hint="eastAsia" w:ascii="Times New Roman" w:hAnsi="Times New Roman" w:eastAsia="仿宋_GB2312" w:cs="仿宋_GB2312"/>
          <w:b w:val="0"/>
          <w:bCs w:val="0"/>
          <w:sz w:val="32"/>
          <w:szCs w:val="32"/>
          <w:highlight w:val="none"/>
        </w:rPr>
        <w:t>出租、出让、处置程序和审批程序，</w:t>
      </w:r>
      <w:r>
        <w:rPr>
          <w:rFonts w:hint="eastAsia" w:ascii="Times New Roman" w:hAnsi="Times New Roman" w:eastAsia="仿宋_GB2312" w:cs="仿宋_GB2312"/>
          <w:b w:val="0"/>
          <w:bCs w:val="0"/>
          <w:sz w:val="32"/>
          <w:szCs w:val="32"/>
          <w:highlight w:val="none"/>
          <w:lang w:eastAsia="zh-CN"/>
        </w:rPr>
        <w:t>多措并举</w:t>
      </w:r>
      <w:r>
        <w:rPr>
          <w:rFonts w:hint="eastAsia" w:ascii="Times New Roman" w:hAnsi="Times New Roman" w:eastAsia="仿宋_GB2312" w:cs="仿宋_GB2312"/>
          <w:b w:val="0"/>
          <w:bCs w:val="0"/>
          <w:sz w:val="32"/>
          <w:szCs w:val="32"/>
          <w:highlight w:val="none"/>
        </w:rPr>
        <w:t>盘活国有资产。</w:t>
      </w:r>
      <w:r>
        <w:rPr>
          <w:rFonts w:hint="eastAsia" w:ascii="Times New Roman" w:hAnsi="Times New Roman" w:eastAsia="仿宋_GB2312" w:cs="仿宋_GB2312"/>
          <w:b/>
          <w:bCs/>
          <w:sz w:val="32"/>
          <w:szCs w:val="32"/>
          <w:highlight w:val="none"/>
          <w:lang w:val="en-US" w:eastAsia="zh-CN"/>
        </w:rPr>
        <w:t>三是</w:t>
      </w:r>
      <w:r>
        <w:rPr>
          <w:rFonts w:hint="eastAsia" w:ascii="Times New Roman" w:hAnsi="Times New Roman" w:eastAsia="仿宋_GB2312" w:cs="仿宋_GB2312"/>
          <w:b w:val="0"/>
          <w:bCs w:val="0"/>
          <w:sz w:val="32"/>
          <w:szCs w:val="32"/>
          <w:highlight w:val="none"/>
          <w:lang w:val="en-US" w:eastAsia="zh-CN"/>
        </w:rPr>
        <w:t>优化国资布局。</w:t>
      </w:r>
      <w:r>
        <w:rPr>
          <w:rFonts w:hint="eastAsia" w:ascii="Times New Roman" w:hAnsi="Times New Roman" w:eastAsia="仿宋_GB2312" w:cs="仿宋_GB2312"/>
          <w:b w:val="0"/>
          <w:bCs w:val="0"/>
          <w:sz w:val="32"/>
          <w:szCs w:val="32"/>
          <w:highlight w:val="none"/>
        </w:rPr>
        <w:t>鼓励国有企业在通信网络、数据中心、人工智能等新型基础设施方面勇挑重担，为罗江区发展先进制造、数字经济等提供新动能。</w:t>
      </w:r>
    </w:p>
    <w:p>
      <w:pPr>
        <w:spacing w:line="560" w:lineRule="exact"/>
        <w:ind w:left="0" w:leftChars="0"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各位代表，做好20</w:t>
      </w:r>
      <w:r>
        <w:rPr>
          <w:rFonts w:hint="eastAsia" w:ascii="Times New Roman" w:hAnsi="Times New Roman" w:eastAsia="仿宋_GB2312" w:cs="仿宋_GB2312"/>
          <w:color w:val="auto"/>
          <w:sz w:val="32"/>
          <w:szCs w:val="32"/>
          <w:highlight w:val="none"/>
          <w:lang w:val="en-US" w:eastAsia="zh-CN"/>
        </w:rPr>
        <w:t>22</w:t>
      </w:r>
      <w:r>
        <w:rPr>
          <w:rFonts w:hint="eastAsia" w:ascii="Times New Roman" w:hAnsi="Times New Roman" w:eastAsia="仿宋_GB2312" w:cs="仿宋_GB2312"/>
          <w:color w:val="auto"/>
          <w:sz w:val="32"/>
          <w:szCs w:val="32"/>
          <w:highlight w:val="none"/>
        </w:rPr>
        <w:t>年财政工作任务艰巨、责任重大。我们将在</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委</w:t>
      </w:r>
      <w:r>
        <w:rPr>
          <w:rFonts w:hint="eastAsia" w:ascii="Times New Roman" w:hAnsi="Times New Roman" w:eastAsia="仿宋_GB2312" w:cs="仿宋_GB2312"/>
          <w:color w:val="auto"/>
          <w:sz w:val="32"/>
          <w:szCs w:val="32"/>
          <w:highlight w:val="none"/>
          <w:lang w:eastAsia="zh-CN"/>
        </w:rPr>
        <w:t>、区政府</w:t>
      </w:r>
      <w:r>
        <w:rPr>
          <w:rFonts w:hint="eastAsia" w:ascii="Times New Roman" w:hAnsi="Times New Roman" w:eastAsia="仿宋_GB2312" w:cs="仿宋_GB2312"/>
          <w:color w:val="auto"/>
          <w:sz w:val="32"/>
          <w:szCs w:val="32"/>
          <w:highlight w:val="none"/>
        </w:rPr>
        <w:t>的坚强领导下，坚持稳中求进工作总基调，</w:t>
      </w:r>
      <w:r>
        <w:rPr>
          <w:rFonts w:hint="eastAsia" w:ascii="Times New Roman" w:hAnsi="Times New Roman" w:eastAsia="仿宋_GB2312" w:cs="仿宋_GB2312"/>
          <w:color w:val="auto"/>
          <w:sz w:val="32"/>
          <w:szCs w:val="32"/>
          <w:highlight w:val="none"/>
          <w:lang w:eastAsia="zh-CN"/>
        </w:rPr>
        <w:t>全面贯彻</w:t>
      </w:r>
      <w:r>
        <w:rPr>
          <w:rFonts w:hint="eastAsia" w:ascii="Times New Roman" w:hAnsi="Times New Roman" w:eastAsia="仿宋_GB2312" w:cs="仿宋_GB2312"/>
          <w:color w:val="auto"/>
          <w:sz w:val="32"/>
          <w:szCs w:val="32"/>
          <w:highlight w:val="none"/>
        </w:rPr>
        <w:t>新发展理念，</w:t>
      </w:r>
      <w:r>
        <w:rPr>
          <w:rFonts w:hint="eastAsia" w:ascii="Times New Roman" w:hAnsi="Times New Roman" w:eastAsia="仿宋_GB2312" w:cs="仿宋_GB2312"/>
          <w:color w:val="auto"/>
          <w:sz w:val="32"/>
          <w:szCs w:val="32"/>
          <w:highlight w:val="none"/>
          <w:lang w:eastAsia="zh-CN"/>
        </w:rPr>
        <w:t>推进高质量发展</w:t>
      </w:r>
      <w:r>
        <w:rPr>
          <w:rFonts w:hint="eastAsia" w:ascii="Times New Roman" w:hAnsi="Times New Roman" w:eastAsia="仿宋_GB2312" w:cs="仿宋_GB2312"/>
          <w:color w:val="auto"/>
          <w:sz w:val="32"/>
          <w:szCs w:val="32"/>
          <w:highlight w:val="none"/>
        </w:rPr>
        <w:t>，全面</w:t>
      </w:r>
      <w:r>
        <w:rPr>
          <w:rFonts w:hint="eastAsia" w:ascii="Times New Roman" w:hAnsi="Times New Roman" w:eastAsia="仿宋_GB2312" w:cs="仿宋_GB2312"/>
          <w:color w:val="auto"/>
          <w:sz w:val="32"/>
          <w:szCs w:val="32"/>
          <w:highlight w:val="none"/>
          <w:lang w:eastAsia="zh-CN"/>
        </w:rPr>
        <w:t>落实</w:t>
      </w:r>
      <w:r>
        <w:rPr>
          <w:rFonts w:hint="eastAsia" w:ascii="Times New Roman" w:hAnsi="Times New Roman" w:eastAsia="仿宋_GB2312" w:cs="仿宋_GB2312"/>
          <w:color w:val="auto"/>
          <w:sz w:val="32"/>
          <w:szCs w:val="32"/>
          <w:highlight w:val="none"/>
        </w:rPr>
        <w:t>大会决议，自觉接受</w:t>
      </w:r>
      <w:r>
        <w:rPr>
          <w:rFonts w:hint="eastAsia" w:ascii="Times New Roman" w:hAnsi="Times New Roman" w:eastAsia="仿宋_GB2312" w:cs="仿宋_GB2312"/>
          <w:color w:val="auto"/>
          <w:sz w:val="32"/>
          <w:szCs w:val="32"/>
          <w:highlight w:val="none"/>
          <w:lang w:eastAsia="zh-CN"/>
        </w:rPr>
        <w:t>区</w:t>
      </w:r>
      <w:r>
        <w:rPr>
          <w:rFonts w:hint="eastAsia" w:ascii="Times New Roman" w:hAnsi="Times New Roman" w:eastAsia="仿宋_GB2312" w:cs="仿宋_GB2312"/>
          <w:color w:val="auto"/>
          <w:sz w:val="32"/>
          <w:szCs w:val="32"/>
          <w:highlight w:val="none"/>
        </w:rPr>
        <w:t>人大</w:t>
      </w:r>
      <w:r>
        <w:rPr>
          <w:rFonts w:hint="eastAsia" w:ascii="Times New Roman" w:hAnsi="Times New Roman" w:eastAsia="仿宋_GB2312" w:cs="仿宋_GB2312"/>
          <w:color w:val="auto"/>
          <w:sz w:val="32"/>
          <w:szCs w:val="32"/>
          <w:highlight w:val="none"/>
          <w:lang w:eastAsia="zh-CN"/>
        </w:rPr>
        <w:t>、区政协</w:t>
      </w:r>
      <w:r>
        <w:rPr>
          <w:rFonts w:hint="eastAsia" w:ascii="Times New Roman" w:hAnsi="Times New Roman" w:eastAsia="仿宋_GB2312" w:cs="仿宋_GB2312"/>
          <w:color w:val="auto"/>
          <w:sz w:val="32"/>
          <w:szCs w:val="32"/>
          <w:highlight w:val="none"/>
        </w:rPr>
        <w:t>的监督指导，开拓创新、拼搏实干、攻坚克难，为加快</w:t>
      </w:r>
      <w:r>
        <w:rPr>
          <w:rFonts w:hint="eastAsia" w:ascii="Times New Roman" w:hAnsi="Times New Roman" w:eastAsia="仿宋_GB2312" w:cs="仿宋_GB2312"/>
          <w:color w:val="auto"/>
          <w:sz w:val="32"/>
          <w:szCs w:val="32"/>
          <w:highlight w:val="none"/>
          <w:lang w:val="en-US" w:eastAsia="zh-CN"/>
        </w:rPr>
        <w:t>建设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大同予共</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的现代化罗江</w:t>
      </w:r>
      <w:r>
        <w:rPr>
          <w:rFonts w:hint="eastAsia" w:ascii="Times New Roman" w:hAnsi="Times New Roman" w:eastAsia="仿宋_GB2312" w:cs="仿宋_GB2312"/>
          <w:color w:val="auto"/>
          <w:sz w:val="32"/>
          <w:szCs w:val="32"/>
          <w:highlight w:val="none"/>
        </w:rPr>
        <w:t>作出新的贡献！</w:t>
      </w: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- 1 -</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Inj1Y+wAQAA&#10;TgMAAA4AAAAAAAAAAQAgAAAAHgEAAGRycy9lMm9Eb2MueG1sUEsFBgAAAAAGAAYAWQEAAEAFAAAA&#10;AA==&#10;">
              <v:fill on="f" focussize="0,0"/>
              <v:stroke on="f"/>
              <v:imagedata o:title=""/>
              <o:lock v:ext="edit" aspectratio="f"/>
              <v:textbox inset="0mm,0mm,0mm,0mm" style="mso-fit-shape-to-text:t;">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- 1 -</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359"/>
    <w:rsid w:val="00006D02"/>
    <w:rsid w:val="000413E5"/>
    <w:rsid w:val="000869A7"/>
    <w:rsid w:val="00087D4A"/>
    <w:rsid w:val="000A1DEE"/>
    <w:rsid w:val="000D0F48"/>
    <w:rsid w:val="000E79DE"/>
    <w:rsid w:val="0011720D"/>
    <w:rsid w:val="001532F3"/>
    <w:rsid w:val="001575FB"/>
    <w:rsid w:val="00170092"/>
    <w:rsid w:val="00171EEA"/>
    <w:rsid w:val="00187EAB"/>
    <w:rsid w:val="001B269B"/>
    <w:rsid w:val="001C70D6"/>
    <w:rsid w:val="00222DCE"/>
    <w:rsid w:val="00245B53"/>
    <w:rsid w:val="002469CF"/>
    <w:rsid w:val="002B0885"/>
    <w:rsid w:val="002E2248"/>
    <w:rsid w:val="00300CBD"/>
    <w:rsid w:val="003362DD"/>
    <w:rsid w:val="0034463A"/>
    <w:rsid w:val="003810B7"/>
    <w:rsid w:val="003B28FC"/>
    <w:rsid w:val="003E22AF"/>
    <w:rsid w:val="004159A8"/>
    <w:rsid w:val="0045580D"/>
    <w:rsid w:val="0047612C"/>
    <w:rsid w:val="00484359"/>
    <w:rsid w:val="004A4327"/>
    <w:rsid w:val="004A6C30"/>
    <w:rsid w:val="004C0562"/>
    <w:rsid w:val="004F57A8"/>
    <w:rsid w:val="004F5B37"/>
    <w:rsid w:val="0050228D"/>
    <w:rsid w:val="00522A16"/>
    <w:rsid w:val="005239BE"/>
    <w:rsid w:val="00530EB3"/>
    <w:rsid w:val="0056684F"/>
    <w:rsid w:val="0056709B"/>
    <w:rsid w:val="005736EB"/>
    <w:rsid w:val="005B3097"/>
    <w:rsid w:val="005D0986"/>
    <w:rsid w:val="005D4FE5"/>
    <w:rsid w:val="005D720F"/>
    <w:rsid w:val="005E0CC4"/>
    <w:rsid w:val="005F67A1"/>
    <w:rsid w:val="00622B34"/>
    <w:rsid w:val="006268FE"/>
    <w:rsid w:val="00635C37"/>
    <w:rsid w:val="00636CDA"/>
    <w:rsid w:val="00675576"/>
    <w:rsid w:val="006825FE"/>
    <w:rsid w:val="006B3317"/>
    <w:rsid w:val="00732B83"/>
    <w:rsid w:val="00734F0D"/>
    <w:rsid w:val="007377D0"/>
    <w:rsid w:val="00737CFC"/>
    <w:rsid w:val="007420A2"/>
    <w:rsid w:val="00755417"/>
    <w:rsid w:val="008043BD"/>
    <w:rsid w:val="00846C3F"/>
    <w:rsid w:val="0086700B"/>
    <w:rsid w:val="0087573B"/>
    <w:rsid w:val="0088567D"/>
    <w:rsid w:val="008A680E"/>
    <w:rsid w:val="008B1058"/>
    <w:rsid w:val="008C0548"/>
    <w:rsid w:val="008C1A02"/>
    <w:rsid w:val="008C42A0"/>
    <w:rsid w:val="008F4AAE"/>
    <w:rsid w:val="00911FE1"/>
    <w:rsid w:val="0091515F"/>
    <w:rsid w:val="009402AB"/>
    <w:rsid w:val="00955AE7"/>
    <w:rsid w:val="00983245"/>
    <w:rsid w:val="009A5518"/>
    <w:rsid w:val="009F5092"/>
    <w:rsid w:val="00A3563E"/>
    <w:rsid w:val="00A43E1F"/>
    <w:rsid w:val="00A55931"/>
    <w:rsid w:val="00A66BE2"/>
    <w:rsid w:val="00A7146B"/>
    <w:rsid w:val="00A96A5F"/>
    <w:rsid w:val="00AA2CE0"/>
    <w:rsid w:val="00AC1500"/>
    <w:rsid w:val="00AD790D"/>
    <w:rsid w:val="00AE03EB"/>
    <w:rsid w:val="00AF337D"/>
    <w:rsid w:val="00B00A06"/>
    <w:rsid w:val="00B033A5"/>
    <w:rsid w:val="00B063E5"/>
    <w:rsid w:val="00B23EC1"/>
    <w:rsid w:val="00B3194E"/>
    <w:rsid w:val="00B56244"/>
    <w:rsid w:val="00B808D2"/>
    <w:rsid w:val="00B860D3"/>
    <w:rsid w:val="00B92033"/>
    <w:rsid w:val="00B94393"/>
    <w:rsid w:val="00BA1A65"/>
    <w:rsid w:val="00BB6EBE"/>
    <w:rsid w:val="00BD7139"/>
    <w:rsid w:val="00BF2065"/>
    <w:rsid w:val="00C2010C"/>
    <w:rsid w:val="00C52037"/>
    <w:rsid w:val="00C75852"/>
    <w:rsid w:val="00CB2072"/>
    <w:rsid w:val="00CB6354"/>
    <w:rsid w:val="00CE70A3"/>
    <w:rsid w:val="00D470B8"/>
    <w:rsid w:val="00D607F7"/>
    <w:rsid w:val="00DB6750"/>
    <w:rsid w:val="00DE31CB"/>
    <w:rsid w:val="00E74239"/>
    <w:rsid w:val="00EA46F0"/>
    <w:rsid w:val="00EF262D"/>
    <w:rsid w:val="00EF285F"/>
    <w:rsid w:val="00FA0A99"/>
    <w:rsid w:val="00FA16C6"/>
    <w:rsid w:val="00FB0735"/>
    <w:rsid w:val="00FE3F3E"/>
    <w:rsid w:val="00FF4B76"/>
    <w:rsid w:val="01234367"/>
    <w:rsid w:val="01242158"/>
    <w:rsid w:val="01255888"/>
    <w:rsid w:val="01326A18"/>
    <w:rsid w:val="013B0BD9"/>
    <w:rsid w:val="013B3FC0"/>
    <w:rsid w:val="013C3174"/>
    <w:rsid w:val="014202A7"/>
    <w:rsid w:val="014A666A"/>
    <w:rsid w:val="0150242E"/>
    <w:rsid w:val="01573A09"/>
    <w:rsid w:val="01580D4E"/>
    <w:rsid w:val="01663A69"/>
    <w:rsid w:val="016F5576"/>
    <w:rsid w:val="01785F57"/>
    <w:rsid w:val="018146F5"/>
    <w:rsid w:val="01842C48"/>
    <w:rsid w:val="01893322"/>
    <w:rsid w:val="018B6A1A"/>
    <w:rsid w:val="019018E8"/>
    <w:rsid w:val="01B014B5"/>
    <w:rsid w:val="01BF209E"/>
    <w:rsid w:val="01CE239D"/>
    <w:rsid w:val="01CF6313"/>
    <w:rsid w:val="01D736B4"/>
    <w:rsid w:val="01DC3BB9"/>
    <w:rsid w:val="01E039DD"/>
    <w:rsid w:val="01F50121"/>
    <w:rsid w:val="02042222"/>
    <w:rsid w:val="02275283"/>
    <w:rsid w:val="02326B9A"/>
    <w:rsid w:val="024224AD"/>
    <w:rsid w:val="024A680A"/>
    <w:rsid w:val="025D5F9F"/>
    <w:rsid w:val="0268748A"/>
    <w:rsid w:val="027C7F43"/>
    <w:rsid w:val="0283596F"/>
    <w:rsid w:val="02863791"/>
    <w:rsid w:val="029802A5"/>
    <w:rsid w:val="02A67FBA"/>
    <w:rsid w:val="02B15107"/>
    <w:rsid w:val="02BA7B22"/>
    <w:rsid w:val="02D11AC7"/>
    <w:rsid w:val="02F61C00"/>
    <w:rsid w:val="02F62037"/>
    <w:rsid w:val="0325038F"/>
    <w:rsid w:val="03250FA8"/>
    <w:rsid w:val="03377BD5"/>
    <w:rsid w:val="03384873"/>
    <w:rsid w:val="03491351"/>
    <w:rsid w:val="034A33C7"/>
    <w:rsid w:val="034C72DC"/>
    <w:rsid w:val="0352419B"/>
    <w:rsid w:val="03570A80"/>
    <w:rsid w:val="03670CD0"/>
    <w:rsid w:val="036D60B9"/>
    <w:rsid w:val="0376500B"/>
    <w:rsid w:val="037A54AC"/>
    <w:rsid w:val="037B7994"/>
    <w:rsid w:val="03A25912"/>
    <w:rsid w:val="03B20DCF"/>
    <w:rsid w:val="03B94CB2"/>
    <w:rsid w:val="03C654A7"/>
    <w:rsid w:val="03C927B8"/>
    <w:rsid w:val="03CC691D"/>
    <w:rsid w:val="03D661C8"/>
    <w:rsid w:val="03DB26EB"/>
    <w:rsid w:val="03DC7F0C"/>
    <w:rsid w:val="03DD3669"/>
    <w:rsid w:val="03DF6168"/>
    <w:rsid w:val="03F41363"/>
    <w:rsid w:val="040660AD"/>
    <w:rsid w:val="043733CD"/>
    <w:rsid w:val="0437611C"/>
    <w:rsid w:val="04594E50"/>
    <w:rsid w:val="04796959"/>
    <w:rsid w:val="047D3EF8"/>
    <w:rsid w:val="04847DD9"/>
    <w:rsid w:val="04902C82"/>
    <w:rsid w:val="049C3D75"/>
    <w:rsid w:val="049C4485"/>
    <w:rsid w:val="04AC3A6B"/>
    <w:rsid w:val="04AC6F5C"/>
    <w:rsid w:val="04DC6EE8"/>
    <w:rsid w:val="04FA251A"/>
    <w:rsid w:val="05033A7E"/>
    <w:rsid w:val="05092274"/>
    <w:rsid w:val="050D53D5"/>
    <w:rsid w:val="051177F8"/>
    <w:rsid w:val="051A09D5"/>
    <w:rsid w:val="05205D40"/>
    <w:rsid w:val="052C5F8A"/>
    <w:rsid w:val="05346060"/>
    <w:rsid w:val="053B75FA"/>
    <w:rsid w:val="053C7389"/>
    <w:rsid w:val="054B4408"/>
    <w:rsid w:val="054E7250"/>
    <w:rsid w:val="05703107"/>
    <w:rsid w:val="057323DC"/>
    <w:rsid w:val="057B0A9B"/>
    <w:rsid w:val="057C3E95"/>
    <w:rsid w:val="05881511"/>
    <w:rsid w:val="059222DB"/>
    <w:rsid w:val="059720EC"/>
    <w:rsid w:val="059E2E31"/>
    <w:rsid w:val="059E3C11"/>
    <w:rsid w:val="059F20E0"/>
    <w:rsid w:val="05A2070A"/>
    <w:rsid w:val="05BE0090"/>
    <w:rsid w:val="05C613DD"/>
    <w:rsid w:val="05EC0FD6"/>
    <w:rsid w:val="05F64FD4"/>
    <w:rsid w:val="062554F0"/>
    <w:rsid w:val="062E5AF1"/>
    <w:rsid w:val="06330AE4"/>
    <w:rsid w:val="065E78B0"/>
    <w:rsid w:val="06685741"/>
    <w:rsid w:val="066A3739"/>
    <w:rsid w:val="06721477"/>
    <w:rsid w:val="067716D9"/>
    <w:rsid w:val="06857645"/>
    <w:rsid w:val="068D774B"/>
    <w:rsid w:val="06957532"/>
    <w:rsid w:val="06A0461A"/>
    <w:rsid w:val="06BD1029"/>
    <w:rsid w:val="06C64D3F"/>
    <w:rsid w:val="06CB0297"/>
    <w:rsid w:val="06DD4D87"/>
    <w:rsid w:val="07025C33"/>
    <w:rsid w:val="072D7AA6"/>
    <w:rsid w:val="073F4EF2"/>
    <w:rsid w:val="07470711"/>
    <w:rsid w:val="0753365B"/>
    <w:rsid w:val="07651563"/>
    <w:rsid w:val="076651B1"/>
    <w:rsid w:val="076E5CED"/>
    <w:rsid w:val="078D05E5"/>
    <w:rsid w:val="07B45C3D"/>
    <w:rsid w:val="07C36B9D"/>
    <w:rsid w:val="07CA19AF"/>
    <w:rsid w:val="07CB6888"/>
    <w:rsid w:val="07D87EB8"/>
    <w:rsid w:val="07F0018D"/>
    <w:rsid w:val="07F540CF"/>
    <w:rsid w:val="08064762"/>
    <w:rsid w:val="080C4E86"/>
    <w:rsid w:val="08155191"/>
    <w:rsid w:val="081A7F80"/>
    <w:rsid w:val="082F3C2A"/>
    <w:rsid w:val="083E0C4C"/>
    <w:rsid w:val="0842588C"/>
    <w:rsid w:val="08445DDD"/>
    <w:rsid w:val="08494539"/>
    <w:rsid w:val="086958ED"/>
    <w:rsid w:val="08740166"/>
    <w:rsid w:val="088E6B14"/>
    <w:rsid w:val="089331BF"/>
    <w:rsid w:val="089F53B8"/>
    <w:rsid w:val="08AC2952"/>
    <w:rsid w:val="08B369BB"/>
    <w:rsid w:val="08B62C7B"/>
    <w:rsid w:val="08EF1782"/>
    <w:rsid w:val="08F04375"/>
    <w:rsid w:val="090A1EF9"/>
    <w:rsid w:val="092B2117"/>
    <w:rsid w:val="09352F85"/>
    <w:rsid w:val="09402F79"/>
    <w:rsid w:val="09462C8D"/>
    <w:rsid w:val="09635135"/>
    <w:rsid w:val="09801DEE"/>
    <w:rsid w:val="09B13BA1"/>
    <w:rsid w:val="09E56328"/>
    <w:rsid w:val="09EF6CC1"/>
    <w:rsid w:val="09FA586B"/>
    <w:rsid w:val="0A19778D"/>
    <w:rsid w:val="0A1C4807"/>
    <w:rsid w:val="0A1D5CD3"/>
    <w:rsid w:val="0A222CF6"/>
    <w:rsid w:val="0A2D7B6B"/>
    <w:rsid w:val="0A357A5E"/>
    <w:rsid w:val="0A5A3851"/>
    <w:rsid w:val="0A654EFA"/>
    <w:rsid w:val="0A674029"/>
    <w:rsid w:val="0A675E26"/>
    <w:rsid w:val="0A974150"/>
    <w:rsid w:val="0AAA7E91"/>
    <w:rsid w:val="0ABA7BEA"/>
    <w:rsid w:val="0ACF1E6F"/>
    <w:rsid w:val="0AD230BE"/>
    <w:rsid w:val="0AE31909"/>
    <w:rsid w:val="0AEC319A"/>
    <w:rsid w:val="0AEF676A"/>
    <w:rsid w:val="0AF5545E"/>
    <w:rsid w:val="0AF90E8A"/>
    <w:rsid w:val="0AFC106E"/>
    <w:rsid w:val="0B16483D"/>
    <w:rsid w:val="0B367B42"/>
    <w:rsid w:val="0B3A491F"/>
    <w:rsid w:val="0B3B4310"/>
    <w:rsid w:val="0B4264F1"/>
    <w:rsid w:val="0B535423"/>
    <w:rsid w:val="0B5C711B"/>
    <w:rsid w:val="0B6A7F9D"/>
    <w:rsid w:val="0B796CFA"/>
    <w:rsid w:val="0B800295"/>
    <w:rsid w:val="0B9379BC"/>
    <w:rsid w:val="0BB240DC"/>
    <w:rsid w:val="0BB61034"/>
    <w:rsid w:val="0BB8209A"/>
    <w:rsid w:val="0BBB6D67"/>
    <w:rsid w:val="0BC16053"/>
    <w:rsid w:val="0BF9711B"/>
    <w:rsid w:val="0BFA5BB6"/>
    <w:rsid w:val="0C0A5BD6"/>
    <w:rsid w:val="0C150194"/>
    <w:rsid w:val="0C2400CD"/>
    <w:rsid w:val="0C47658D"/>
    <w:rsid w:val="0C4E2133"/>
    <w:rsid w:val="0C5152EC"/>
    <w:rsid w:val="0C542A3B"/>
    <w:rsid w:val="0C560998"/>
    <w:rsid w:val="0C576146"/>
    <w:rsid w:val="0C651559"/>
    <w:rsid w:val="0C670DB5"/>
    <w:rsid w:val="0C77530B"/>
    <w:rsid w:val="0C874DF3"/>
    <w:rsid w:val="0C8D2D81"/>
    <w:rsid w:val="0C9118D9"/>
    <w:rsid w:val="0CA25681"/>
    <w:rsid w:val="0CA62BE3"/>
    <w:rsid w:val="0CB106A4"/>
    <w:rsid w:val="0CDC50A4"/>
    <w:rsid w:val="0CF05873"/>
    <w:rsid w:val="0D056006"/>
    <w:rsid w:val="0D165BDC"/>
    <w:rsid w:val="0D206AED"/>
    <w:rsid w:val="0D2D5CC3"/>
    <w:rsid w:val="0D407375"/>
    <w:rsid w:val="0D416495"/>
    <w:rsid w:val="0D4B6D2D"/>
    <w:rsid w:val="0D4C64FB"/>
    <w:rsid w:val="0D4F35EF"/>
    <w:rsid w:val="0D5A303F"/>
    <w:rsid w:val="0D5B3543"/>
    <w:rsid w:val="0D60403E"/>
    <w:rsid w:val="0D6C4826"/>
    <w:rsid w:val="0D7D5F16"/>
    <w:rsid w:val="0D7F51A1"/>
    <w:rsid w:val="0D8B7E31"/>
    <w:rsid w:val="0D98100F"/>
    <w:rsid w:val="0D9913B5"/>
    <w:rsid w:val="0DCB6F0E"/>
    <w:rsid w:val="0DE21CEC"/>
    <w:rsid w:val="0DEC5E04"/>
    <w:rsid w:val="0DF840D4"/>
    <w:rsid w:val="0DF93691"/>
    <w:rsid w:val="0E0A750F"/>
    <w:rsid w:val="0E3F2F21"/>
    <w:rsid w:val="0E5408A8"/>
    <w:rsid w:val="0E7304CC"/>
    <w:rsid w:val="0E78458C"/>
    <w:rsid w:val="0E785243"/>
    <w:rsid w:val="0E7C155C"/>
    <w:rsid w:val="0E88329F"/>
    <w:rsid w:val="0EB42CC4"/>
    <w:rsid w:val="0EBC3BE9"/>
    <w:rsid w:val="0EC761D9"/>
    <w:rsid w:val="0EE504FF"/>
    <w:rsid w:val="0F1524E9"/>
    <w:rsid w:val="0F1B6A12"/>
    <w:rsid w:val="0F1E40C8"/>
    <w:rsid w:val="0F236902"/>
    <w:rsid w:val="0F2D721B"/>
    <w:rsid w:val="0F30096D"/>
    <w:rsid w:val="0F377E27"/>
    <w:rsid w:val="0F3D3CC3"/>
    <w:rsid w:val="0F482DDD"/>
    <w:rsid w:val="0F4C7657"/>
    <w:rsid w:val="0F4F6A78"/>
    <w:rsid w:val="0F67196D"/>
    <w:rsid w:val="0F6B459D"/>
    <w:rsid w:val="0F7A15B3"/>
    <w:rsid w:val="0F7E403B"/>
    <w:rsid w:val="0F83063E"/>
    <w:rsid w:val="0F830B3C"/>
    <w:rsid w:val="0F8C7EA6"/>
    <w:rsid w:val="0F932DB0"/>
    <w:rsid w:val="0F991157"/>
    <w:rsid w:val="0FA8718E"/>
    <w:rsid w:val="0FA92E5E"/>
    <w:rsid w:val="0FAB2429"/>
    <w:rsid w:val="0FAF59CA"/>
    <w:rsid w:val="0FB32559"/>
    <w:rsid w:val="0FBA63A5"/>
    <w:rsid w:val="0FC4562C"/>
    <w:rsid w:val="0FCC2B88"/>
    <w:rsid w:val="0FCC76B4"/>
    <w:rsid w:val="0FD21559"/>
    <w:rsid w:val="0FD332BC"/>
    <w:rsid w:val="0FE841B0"/>
    <w:rsid w:val="0FF07D40"/>
    <w:rsid w:val="0FF84980"/>
    <w:rsid w:val="0FFF6111"/>
    <w:rsid w:val="10016A18"/>
    <w:rsid w:val="10181987"/>
    <w:rsid w:val="101E0364"/>
    <w:rsid w:val="102E6552"/>
    <w:rsid w:val="10374A62"/>
    <w:rsid w:val="1038282A"/>
    <w:rsid w:val="1044212F"/>
    <w:rsid w:val="104A51D5"/>
    <w:rsid w:val="107A157E"/>
    <w:rsid w:val="108A1F2C"/>
    <w:rsid w:val="108B0971"/>
    <w:rsid w:val="108F60E9"/>
    <w:rsid w:val="10975472"/>
    <w:rsid w:val="109E5416"/>
    <w:rsid w:val="10A00ABB"/>
    <w:rsid w:val="10AF3CB4"/>
    <w:rsid w:val="10D237C0"/>
    <w:rsid w:val="10EE7A37"/>
    <w:rsid w:val="10FA0BEE"/>
    <w:rsid w:val="110135A9"/>
    <w:rsid w:val="11075EF9"/>
    <w:rsid w:val="110E2591"/>
    <w:rsid w:val="11104B7F"/>
    <w:rsid w:val="111A24FC"/>
    <w:rsid w:val="112470B3"/>
    <w:rsid w:val="112D3D17"/>
    <w:rsid w:val="11340599"/>
    <w:rsid w:val="1141730C"/>
    <w:rsid w:val="11421E9D"/>
    <w:rsid w:val="11494214"/>
    <w:rsid w:val="115C037B"/>
    <w:rsid w:val="11617E67"/>
    <w:rsid w:val="117D25D2"/>
    <w:rsid w:val="117D289F"/>
    <w:rsid w:val="117F4653"/>
    <w:rsid w:val="118275DE"/>
    <w:rsid w:val="11880B11"/>
    <w:rsid w:val="119654ED"/>
    <w:rsid w:val="119A0727"/>
    <w:rsid w:val="11A01AC3"/>
    <w:rsid w:val="11C26E3A"/>
    <w:rsid w:val="11C358EA"/>
    <w:rsid w:val="11C66B86"/>
    <w:rsid w:val="11CB63D5"/>
    <w:rsid w:val="11D30D54"/>
    <w:rsid w:val="11D368D8"/>
    <w:rsid w:val="11E71FD0"/>
    <w:rsid w:val="11FF2928"/>
    <w:rsid w:val="121B06FC"/>
    <w:rsid w:val="121C73F2"/>
    <w:rsid w:val="122E63C6"/>
    <w:rsid w:val="12400FC7"/>
    <w:rsid w:val="125A5912"/>
    <w:rsid w:val="12764A7A"/>
    <w:rsid w:val="12777639"/>
    <w:rsid w:val="129920D6"/>
    <w:rsid w:val="12AF1CBD"/>
    <w:rsid w:val="12C24F3B"/>
    <w:rsid w:val="12C42B27"/>
    <w:rsid w:val="12C81760"/>
    <w:rsid w:val="12D827E8"/>
    <w:rsid w:val="12E76D79"/>
    <w:rsid w:val="12EB7F07"/>
    <w:rsid w:val="12F36060"/>
    <w:rsid w:val="12FD04DF"/>
    <w:rsid w:val="12FF0BCA"/>
    <w:rsid w:val="12FF46DD"/>
    <w:rsid w:val="130658B9"/>
    <w:rsid w:val="13102103"/>
    <w:rsid w:val="1315282C"/>
    <w:rsid w:val="1321628B"/>
    <w:rsid w:val="132E03D7"/>
    <w:rsid w:val="13411CE1"/>
    <w:rsid w:val="13487CC1"/>
    <w:rsid w:val="135120EB"/>
    <w:rsid w:val="135B01D6"/>
    <w:rsid w:val="137E46B6"/>
    <w:rsid w:val="137F50E2"/>
    <w:rsid w:val="13826D5E"/>
    <w:rsid w:val="13A01603"/>
    <w:rsid w:val="13AF0968"/>
    <w:rsid w:val="13BB100E"/>
    <w:rsid w:val="13F9293F"/>
    <w:rsid w:val="13FC759F"/>
    <w:rsid w:val="14064FFC"/>
    <w:rsid w:val="141E2676"/>
    <w:rsid w:val="1420383E"/>
    <w:rsid w:val="142164E2"/>
    <w:rsid w:val="143345BF"/>
    <w:rsid w:val="144148A9"/>
    <w:rsid w:val="14466B2D"/>
    <w:rsid w:val="144C0F9C"/>
    <w:rsid w:val="144F4691"/>
    <w:rsid w:val="1475468F"/>
    <w:rsid w:val="147910A1"/>
    <w:rsid w:val="148957D2"/>
    <w:rsid w:val="14897A49"/>
    <w:rsid w:val="149E3313"/>
    <w:rsid w:val="14AE56E4"/>
    <w:rsid w:val="14B14741"/>
    <w:rsid w:val="14C00BEC"/>
    <w:rsid w:val="14D22105"/>
    <w:rsid w:val="14D35F7B"/>
    <w:rsid w:val="14D9492A"/>
    <w:rsid w:val="14EF729D"/>
    <w:rsid w:val="151164F0"/>
    <w:rsid w:val="1518430E"/>
    <w:rsid w:val="151B0449"/>
    <w:rsid w:val="152E2516"/>
    <w:rsid w:val="15305FFC"/>
    <w:rsid w:val="15413322"/>
    <w:rsid w:val="154B69DB"/>
    <w:rsid w:val="154E57A9"/>
    <w:rsid w:val="15684CC8"/>
    <w:rsid w:val="1581197E"/>
    <w:rsid w:val="159D3A1A"/>
    <w:rsid w:val="15B170C7"/>
    <w:rsid w:val="15CD000F"/>
    <w:rsid w:val="15D55A29"/>
    <w:rsid w:val="15D903E2"/>
    <w:rsid w:val="15FC2441"/>
    <w:rsid w:val="161A2FFA"/>
    <w:rsid w:val="161B4911"/>
    <w:rsid w:val="16201A30"/>
    <w:rsid w:val="16286060"/>
    <w:rsid w:val="163016C9"/>
    <w:rsid w:val="16321BD3"/>
    <w:rsid w:val="1636533C"/>
    <w:rsid w:val="164434C8"/>
    <w:rsid w:val="16590EDB"/>
    <w:rsid w:val="165B2C2E"/>
    <w:rsid w:val="167A0D7B"/>
    <w:rsid w:val="16827E88"/>
    <w:rsid w:val="1694266B"/>
    <w:rsid w:val="16994C32"/>
    <w:rsid w:val="16A74B40"/>
    <w:rsid w:val="16A977F4"/>
    <w:rsid w:val="16BB5163"/>
    <w:rsid w:val="16CD52EF"/>
    <w:rsid w:val="16D1722E"/>
    <w:rsid w:val="16DA2CF6"/>
    <w:rsid w:val="16E831F0"/>
    <w:rsid w:val="16F55ADC"/>
    <w:rsid w:val="16FD01AD"/>
    <w:rsid w:val="170C3A63"/>
    <w:rsid w:val="173766C5"/>
    <w:rsid w:val="173908E7"/>
    <w:rsid w:val="175718FF"/>
    <w:rsid w:val="179045D2"/>
    <w:rsid w:val="179166EE"/>
    <w:rsid w:val="17925214"/>
    <w:rsid w:val="17A8729D"/>
    <w:rsid w:val="17B11D0C"/>
    <w:rsid w:val="17D21F80"/>
    <w:rsid w:val="17DA7148"/>
    <w:rsid w:val="17E54680"/>
    <w:rsid w:val="17EE7B8E"/>
    <w:rsid w:val="17EF1E87"/>
    <w:rsid w:val="17F67322"/>
    <w:rsid w:val="17F81542"/>
    <w:rsid w:val="18065753"/>
    <w:rsid w:val="181401C1"/>
    <w:rsid w:val="182E549E"/>
    <w:rsid w:val="18315447"/>
    <w:rsid w:val="18320907"/>
    <w:rsid w:val="1838087B"/>
    <w:rsid w:val="1841706D"/>
    <w:rsid w:val="18420608"/>
    <w:rsid w:val="184318E3"/>
    <w:rsid w:val="185D4221"/>
    <w:rsid w:val="186322D8"/>
    <w:rsid w:val="186727FD"/>
    <w:rsid w:val="186F1665"/>
    <w:rsid w:val="187562B0"/>
    <w:rsid w:val="18791C23"/>
    <w:rsid w:val="187F377C"/>
    <w:rsid w:val="188244F1"/>
    <w:rsid w:val="18953E9F"/>
    <w:rsid w:val="18A4700D"/>
    <w:rsid w:val="18BC2732"/>
    <w:rsid w:val="18CE7F7B"/>
    <w:rsid w:val="18D76A6E"/>
    <w:rsid w:val="18E140D8"/>
    <w:rsid w:val="18E47FEB"/>
    <w:rsid w:val="18F05882"/>
    <w:rsid w:val="19010742"/>
    <w:rsid w:val="191C3395"/>
    <w:rsid w:val="192B3BAB"/>
    <w:rsid w:val="192E33E4"/>
    <w:rsid w:val="192F2762"/>
    <w:rsid w:val="192F591E"/>
    <w:rsid w:val="19445EFE"/>
    <w:rsid w:val="19476793"/>
    <w:rsid w:val="19547205"/>
    <w:rsid w:val="196E4A98"/>
    <w:rsid w:val="19775B75"/>
    <w:rsid w:val="198C3433"/>
    <w:rsid w:val="19A54628"/>
    <w:rsid w:val="19AF6A39"/>
    <w:rsid w:val="19B34B96"/>
    <w:rsid w:val="19B7164D"/>
    <w:rsid w:val="19F75747"/>
    <w:rsid w:val="19FF2B3F"/>
    <w:rsid w:val="1A312F52"/>
    <w:rsid w:val="1A34414D"/>
    <w:rsid w:val="1A3664CB"/>
    <w:rsid w:val="1A454B2B"/>
    <w:rsid w:val="1A457433"/>
    <w:rsid w:val="1A4E34E5"/>
    <w:rsid w:val="1A606D71"/>
    <w:rsid w:val="1A73296A"/>
    <w:rsid w:val="1A7B73C2"/>
    <w:rsid w:val="1A8C0F14"/>
    <w:rsid w:val="1A9D1033"/>
    <w:rsid w:val="1AA5798E"/>
    <w:rsid w:val="1AAA26C7"/>
    <w:rsid w:val="1AAF0E5B"/>
    <w:rsid w:val="1AB0100E"/>
    <w:rsid w:val="1AC61367"/>
    <w:rsid w:val="1AC738C6"/>
    <w:rsid w:val="1AF30A95"/>
    <w:rsid w:val="1AF95916"/>
    <w:rsid w:val="1AFE45EC"/>
    <w:rsid w:val="1B011477"/>
    <w:rsid w:val="1B03103C"/>
    <w:rsid w:val="1B041B70"/>
    <w:rsid w:val="1B192484"/>
    <w:rsid w:val="1B364370"/>
    <w:rsid w:val="1B384969"/>
    <w:rsid w:val="1B480153"/>
    <w:rsid w:val="1B631A65"/>
    <w:rsid w:val="1B64478D"/>
    <w:rsid w:val="1B662B0D"/>
    <w:rsid w:val="1B691D0D"/>
    <w:rsid w:val="1B7A36B8"/>
    <w:rsid w:val="1B7E6985"/>
    <w:rsid w:val="1B927DBD"/>
    <w:rsid w:val="1B9B782C"/>
    <w:rsid w:val="1BA645F8"/>
    <w:rsid w:val="1BB55471"/>
    <w:rsid w:val="1BDD5A22"/>
    <w:rsid w:val="1BF33F45"/>
    <w:rsid w:val="1C1D5E78"/>
    <w:rsid w:val="1C2118CE"/>
    <w:rsid w:val="1C2915FB"/>
    <w:rsid w:val="1C2F24D5"/>
    <w:rsid w:val="1C3022BE"/>
    <w:rsid w:val="1C3D6375"/>
    <w:rsid w:val="1C410232"/>
    <w:rsid w:val="1C537AB4"/>
    <w:rsid w:val="1C7A5DB9"/>
    <w:rsid w:val="1C872B98"/>
    <w:rsid w:val="1C8C1634"/>
    <w:rsid w:val="1C9073A0"/>
    <w:rsid w:val="1C93042D"/>
    <w:rsid w:val="1C943987"/>
    <w:rsid w:val="1CA26679"/>
    <w:rsid w:val="1CAD30D1"/>
    <w:rsid w:val="1CB33275"/>
    <w:rsid w:val="1CBA4449"/>
    <w:rsid w:val="1CBC4FFE"/>
    <w:rsid w:val="1CC32177"/>
    <w:rsid w:val="1CD53BC9"/>
    <w:rsid w:val="1CDF1AEC"/>
    <w:rsid w:val="1CF7336D"/>
    <w:rsid w:val="1D087502"/>
    <w:rsid w:val="1D0A742D"/>
    <w:rsid w:val="1D160FEE"/>
    <w:rsid w:val="1D1E0E70"/>
    <w:rsid w:val="1D3C6449"/>
    <w:rsid w:val="1D3E0834"/>
    <w:rsid w:val="1D415194"/>
    <w:rsid w:val="1D477D1B"/>
    <w:rsid w:val="1D4C093C"/>
    <w:rsid w:val="1D4F6938"/>
    <w:rsid w:val="1D595A6B"/>
    <w:rsid w:val="1D6362D0"/>
    <w:rsid w:val="1D676C5E"/>
    <w:rsid w:val="1D6F1771"/>
    <w:rsid w:val="1D7A3050"/>
    <w:rsid w:val="1D7E0FA3"/>
    <w:rsid w:val="1D851E69"/>
    <w:rsid w:val="1D907037"/>
    <w:rsid w:val="1D961AF8"/>
    <w:rsid w:val="1D9B15BF"/>
    <w:rsid w:val="1DA34228"/>
    <w:rsid w:val="1DCB2DDB"/>
    <w:rsid w:val="1DD678B1"/>
    <w:rsid w:val="1DDF7B83"/>
    <w:rsid w:val="1DEA4532"/>
    <w:rsid w:val="1E121C8E"/>
    <w:rsid w:val="1E1648D9"/>
    <w:rsid w:val="1E2A1AF0"/>
    <w:rsid w:val="1E2B3218"/>
    <w:rsid w:val="1E2F360B"/>
    <w:rsid w:val="1E3C1808"/>
    <w:rsid w:val="1E54305E"/>
    <w:rsid w:val="1E606D33"/>
    <w:rsid w:val="1E675CC6"/>
    <w:rsid w:val="1E763722"/>
    <w:rsid w:val="1E8470B3"/>
    <w:rsid w:val="1E9E0B78"/>
    <w:rsid w:val="1EAA712E"/>
    <w:rsid w:val="1EB41B5B"/>
    <w:rsid w:val="1ED848EA"/>
    <w:rsid w:val="1EDC468D"/>
    <w:rsid w:val="1EE0173E"/>
    <w:rsid w:val="1EE32E41"/>
    <w:rsid w:val="1EE456EB"/>
    <w:rsid w:val="1EE84AAA"/>
    <w:rsid w:val="1EEE4710"/>
    <w:rsid w:val="1F06387F"/>
    <w:rsid w:val="1F066F9A"/>
    <w:rsid w:val="1F0B6438"/>
    <w:rsid w:val="1F2355DB"/>
    <w:rsid w:val="1F4450BC"/>
    <w:rsid w:val="1F8F115E"/>
    <w:rsid w:val="1F9457C7"/>
    <w:rsid w:val="1F991907"/>
    <w:rsid w:val="1F9B51E8"/>
    <w:rsid w:val="1FAF64B4"/>
    <w:rsid w:val="1FCE616A"/>
    <w:rsid w:val="1FDA0B11"/>
    <w:rsid w:val="1FF4122C"/>
    <w:rsid w:val="1FFF0A1B"/>
    <w:rsid w:val="20240999"/>
    <w:rsid w:val="20320252"/>
    <w:rsid w:val="20400ADF"/>
    <w:rsid w:val="204F0200"/>
    <w:rsid w:val="20523D50"/>
    <w:rsid w:val="20561CFB"/>
    <w:rsid w:val="205F0BFF"/>
    <w:rsid w:val="205F3019"/>
    <w:rsid w:val="20601B8E"/>
    <w:rsid w:val="208634F7"/>
    <w:rsid w:val="208B3CEE"/>
    <w:rsid w:val="20A57659"/>
    <w:rsid w:val="20BB4541"/>
    <w:rsid w:val="20CD5F16"/>
    <w:rsid w:val="20D15601"/>
    <w:rsid w:val="20D9159A"/>
    <w:rsid w:val="20F21590"/>
    <w:rsid w:val="2108270F"/>
    <w:rsid w:val="210C1553"/>
    <w:rsid w:val="21166B53"/>
    <w:rsid w:val="211D161C"/>
    <w:rsid w:val="212204C0"/>
    <w:rsid w:val="214C2F37"/>
    <w:rsid w:val="214D6C67"/>
    <w:rsid w:val="21675E46"/>
    <w:rsid w:val="216927FF"/>
    <w:rsid w:val="21714DBE"/>
    <w:rsid w:val="21737778"/>
    <w:rsid w:val="217F0EF8"/>
    <w:rsid w:val="218A7E13"/>
    <w:rsid w:val="218D6760"/>
    <w:rsid w:val="21926D8A"/>
    <w:rsid w:val="21C547FC"/>
    <w:rsid w:val="21CB11D4"/>
    <w:rsid w:val="21FD53C0"/>
    <w:rsid w:val="220A3DA8"/>
    <w:rsid w:val="22173E42"/>
    <w:rsid w:val="221C1382"/>
    <w:rsid w:val="2234510C"/>
    <w:rsid w:val="2235178E"/>
    <w:rsid w:val="22357F4F"/>
    <w:rsid w:val="225165FF"/>
    <w:rsid w:val="225F22AE"/>
    <w:rsid w:val="227A45B0"/>
    <w:rsid w:val="227A7665"/>
    <w:rsid w:val="22895674"/>
    <w:rsid w:val="229978B9"/>
    <w:rsid w:val="22C50209"/>
    <w:rsid w:val="22C51F31"/>
    <w:rsid w:val="22C726AD"/>
    <w:rsid w:val="22C94E2A"/>
    <w:rsid w:val="22D9479A"/>
    <w:rsid w:val="22E10FAD"/>
    <w:rsid w:val="22FE7E2D"/>
    <w:rsid w:val="231702D4"/>
    <w:rsid w:val="232A5DF9"/>
    <w:rsid w:val="233746F1"/>
    <w:rsid w:val="23447BC8"/>
    <w:rsid w:val="23450F36"/>
    <w:rsid w:val="235769C6"/>
    <w:rsid w:val="235C6415"/>
    <w:rsid w:val="236B5B7D"/>
    <w:rsid w:val="238F4447"/>
    <w:rsid w:val="2395343D"/>
    <w:rsid w:val="23A017D8"/>
    <w:rsid w:val="23AB6907"/>
    <w:rsid w:val="23C76BBC"/>
    <w:rsid w:val="23D53B96"/>
    <w:rsid w:val="23DA7026"/>
    <w:rsid w:val="23EB6ECA"/>
    <w:rsid w:val="23F8612B"/>
    <w:rsid w:val="24020ED1"/>
    <w:rsid w:val="2406262E"/>
    <w:rsid w:val="24093DE8"/>
    <w:rsid w:val="241A1C03"/>
    <w:rsid w:val="242C3A5F"/>
    <w:rsid w:val="243572AA"/>
    <w:rsid w:val="24403603"/>
    <w:rsid w:val="24425102"/>
    <w:rsid w:val="24456252"/>
    <w:rsid w:val="244F5860"/>
    <w:rsid w:val="245F6557"/>
    <w:rsid w:val="246124B2"/>
    <w:rsid w:val="24645575"/>
    <w:rsid w:val="2475437E"/>
    <w:rsid w:val="2481398F"/>
    <w:rsid w:val="2481477D"/>
    <w:rsid w:val="248C29EE"/>
    <w:rsid w:val="24902F3A"/>
    <w:rsid w:val="249707FD"/>
    <w:rsid w:val="24A70833"/>
    <w:rsid w:val="24AB0397"/>
    <w:rsid w:val="24AF5CFD"/>
    <w:rsid w:val="24B36F18"/>
    <w:rsid w:val="24B62D0A"/>
    <w:rsid w:val="24B63595"/>
    <w:rsid w:val="24D03EA7"/>
    <w:rsid w:val="24DA48F5"/>
    <w:rsid w:val="24DB4C45"/>
    <w:rsid w:val="24DF3B40"/>
    <w:rsid w:val="24EF76B6"/>
    <w:rsid w:val="250938CC"/>
    <w:rsid w:val="25107796"/>
    <w:rsid w:val="2529114E"/>
    <w:rsid w:val="25357939"/>
    <w:rsid w:val="25602797"/>
    <w:rsid w:val="25731A42"/>
    <w:rsid w:val="25774B76"/>
    <w:rsid w:val="257C5000"/>
    <w:rsid w:val="25887E84"/>
    <w:rsid w:val="25996183"/>
    <w:rsid w:val="25AF0C76"/>
    <w:rsid w:val="25B407ED"/>
    <w:rsid w:val="25B817FB"/>
    <w:rsid w:val="25CE57F9"/>
    <w:rsid w:val="25DA7467"/>
    <w:rsid w:val="25DF0B04"/>
    <w:rsid w:val="25E671E7"/>
    <w:rsid w:val="25EF6124"/>
    <w:rsid w:val="26063856"/>
    <w:rsid w:val="26094C02"/>
    <w:rsid w:val="261115C7"/>
    <w:rsid w:val="26193269"/>
    <w:rsid w:val="2624303C"/>
    <w:rsid w:val="26302685"/>
    <w:rsid w:val="264131D9"/>
    <w:rsid w:val="264D3E0B"/>
    <w:rsid w:val="265679A0"/>
    <w:rsid w:val="265972A1"/>
    <w:rsid w:val="26623ACF"/>
    <w:rsid w:val="267A5271"/>
    <w:rsid w:val="269A744E"/>
    <w:rsid w:val="26A43372"/>
    <w:rsid w:val="26B251AA"/>
    <w:rsid w:val="26B46BFA"/>
    <w:rsid w:val="26C20AB0"/>
    <w:rsid w:val="26C75152"/>
    <w:rsid w:val="26D260B1"/>
    <w:rsid w:val="26E45CA7"/>
    <w:rsid w:val="26FE3320"/>
    <w:rsid w:val="27022CEA"/>
    <w:rsid w:val="27157F55"/>
    <w:rsid w:val="272D0308"/>
    <w:rsid w:val="272D2AF6"/>
    <w:rsid w:val="27324F71"/>
    <w:rsid w:val="276115A3"/>
    <w:rsid w:val="27677D31"/>
    <w:rsid w:val="279C1A2F"/>
    <w:rsid w:val="279D244E"/>
    <w:rsid w:val="279E54AA"/>
    <w:rsid w:val="27AD54E3"/>
    <w:rsid w:val="27B5289E"/>
    <w:rsid w:val="27BC7A30"/>
    <w:rsid w:val="27C54BB4"/>
    <w:rsid w:val="27C77E28"/>
    <w:rsid w:val="27CA3F22"/>
    <w:rsid w:val="27D66EF8"/>
    <w:rsid w:val="27ED5744"/>
    <w:rsid w:val="27EE43E2"/>
    <w:rsid w:val="28070B60"/>
    <w:rsid w:val="280E371C"/>
    <w:rsid w:val="281158F3"/>
    <w:rsid w:val="282E18DD"/>
    <w:rsid w:val="283032DC"/>
    <w:rsid w:val="283278E7"/>
    <w:rsid w:val="28502F39"/>
    <w:rsid w:val="28521010"/>
    <w:rsid w:val="285C00BB"/>
    <w:rsid w:val="28695D18"/>
    <w:rsid w:val="286F6BDA"/>
    <w:rsid w:val="287352C8"/>
    <w:rsid w:val="287D1467"/>
    <w:rsid w:val="28812897"/>
    <w:rsid w:val="28974781"/>
    <w:rsid w:val="28B33807"/>
    <w:rsid w:val="28C91981"/>
    <w:rsid w:val="28ED0F8E"/>
    <w:rsid w:val="2909148D"/>
    <w:rsid w:val="29263890"/>
    <w:rsid w:val="2933432E"/>
    <w:rsid w:val="293772ED"/>
    <w:rsid w:val="2938069F"/>
    <w:rsid w:val="294578DC"/>
    <w:rsid w:val="294A7A0D"/>
    <w:rsid w:val="29594B4E"/>
    <w:rsid w:val="29616B1D"/>
    <w:rsid w:val="29626329"/>
    <w:rsid w:val="29661349"/>
    <w:rsid w:val="297041A3"/>
    <w:rsid w:val="2976755D"/>
    <w:rsid w:val="297A4184"/>
    <w:rsid w:val="2992548D"/>
    <w:rsid w:val="29A4330E"/>
    <w:rsid w:val="29A94BC3"/>
    <w:rsid w:val="29AC3136"/>
    <w:rsid w:val="29B70486"/>
    <w:rsid w:val="29C61D3E"/>
    <w:rsid w:val="29C7593E"/>
    <w:rsid w:val="29C84ED6"/>
    <w:rsid w:val="29CD047E"/>
    <w:rsid w:val="29CE0374"/>
    <w:rsid w:val="29D86A57"/>
    <w:rsid w:val="29DA1B03"/>
    <w:rsid w:val="29DE4E75"/>
    <w:rsid w:val="29DF2D2D"/>
    <w:rsid w:val="29E65DB2"/>
    <w:rsid w:val="2A020501"/>
    <w:rsid w:val="2A032FA0"/>
    <w:rsid w:val="2A060B33"/>
    <w:rsid w:val="2A0828D8"/>
    <w:rsid w:val="2A1D38F1"/>
    <w:rsid w:val="2A43145B"/>
    <w:rsid w:val="2A551E35"/>
    <w:rsid w:val="2A6259A1"/>
    <w:rsid w:val="2A666797"/>
    <w:rsid w:val="2A7E78B7"/>
    <w:rsid w:val="2A9E061B"/>
    <w:rsid w:val="2AAF12D2"/>
    <w:rsid w:val="2AB845EF"/>
    <w:rsid w:val="2AC11D42"/>
    <w:rsid w:val="2AD12880"/>
    <w:rsid w:val="2ADF2A44"/>
    <w:rsid w:val="2AE246AD"/>
    <w:rsid w:val="2AEA108B"/>
    <w:rsid w:val="2AF24D9B"/>
    <w:rsid w:val="2B0357D4"/>
    <w:rsid w:val="2B072AFE"/>
    <w:rsid w:val="2B0D26F8"/>
    <w:rsid w:val="2B1022F1"/>
    <w:rsid w:val="2B190DE3"/>
    <w:rsid w:val="2B346B71"/>
    <w:rsid w:val="2B3971CB"/>
    <w:rsid w:val="2B4074F4"/>
    <w:rsid w:val="2B476CFC"/>
    <w:rsid w:val="2B4A1EF6"/>
    <w:rsid w:val="2B550298"/>
    <w:rsid w:val="2B6D1EC2"/>
    <w:rsid w:val="2B786A71"/>
    <w:rsid w:val="2B866409"/>
    <w:rsid w:val="2B980CD4"/>
    <w:rsid w:val="2BA1740F"/>
    <w:rsid w:val="2BAA56EC"/>
    <w:rsid w:val="2BD51EDC"/>
    <w:rsid w:val="2BF51549"/>
    <w:rsid w:val="2C1B6B7D"/>
    <w:rsid w:val="2C230F09"/>
    <w:rsid w:val="2C274EF4"/>
    <w:rsid w:val="2C350822"/>
    <w:rsid w:val="2C387114"/>
    <w:rsid w:val="2C47374A"/>
    <w:rsid w:val="2C59645F"/>
    <w:rsid w:val="2C8016C8"/>
    <w:rsid w:val="2C8E3A31"/>
    <w:rsid w:val="2CB0759B"/>
    <w:rsid w:val="2CB652BA"/>
    <w:rsid w:val="2CC27550"/>
    <w:rsid w:val="2CC97FFE"/>
    <w:rsid w:val="2CCF3547"/>
    <w:rsid w:val="2CDE79E5"/>
    <w:rsid w:val="2CE80EE6"/>
    <w:rsid w:val="2CEE0115"/>
    <w:rsid w:val="2CEE06E6"/>
    <w:rsid w:val="2CF15920"/>
    <w:rsid w:val="2CF91292"/>
    <w:rsid w:val="2D0E4199"/>
    <w:rsid w:val="2D196ED3"/>
    <w:rsid w:val="2D1D4ED5"/>
    <w:rsid w:val="2D1E2583"/>
    <w:rsid w:val="2D231B26"/>
    <w:rsid w:val="2D26314F"/>
    <w:rsid w:val="2D29185B"/>
    <w:rsid w:val="2D2A4950"/>
    <w:rsid w:val="2D2D25B4"/>
    <w:rsid w:val="2D557188"/>
    <w:rsid w:val="2D5F0C5D"/>
    <w:rsid w:val="2D6E66C1"/>
    <w:rsid w:val="2D73659B"/>
    <w:rsid w:val="2D931A85"/>
    <w:rsid w:val="2D936C63"/>
    <w:rsid w:val="2D9E12C9"/>
    <w:rsid w:val="2DAA41B4"/>
    <w:rsid w:val="2DC5420F"/>
    <w:rsid w:val="2DCB74AD"/>
    <w:rsid w:val="2DD24908"/>
    <w:rsid w:val="2DDF0F22"/>
    <w:rsid w:val="2DF12333"/>
    <w:rsid w:val="2DF14E6B"/>
    <w:rsid w:val="2DFF27D4"/>
    <w:rsid w:val="2E0818E5"/>
    <w:rsid w:val="2E4C6B6E"/>
    <w:rsid w:val="2E51140B"/>
    <w:rsid w:val="2E6C0A5F"/>
    <w:rsid w:val="2E81401F"/>
    <w:rsid w:val="2EA2213B"/>
    <w:rsid w:val="2EA3121E"/>
    <w:rsid w:val="2EB24403"/>
    <w:rsid w:val="2EC1625F"/>
    <w:rsid w:val="2ECC7E29"/>
    <w:rsid w:val="2EDD6272"/>
    <w:rsid w:val="2EF30213"/>
    <w:rsid w:val="2EF823DD"/>
    <w:rsid w:val="2EF834F7"/>
    <w:rsid w:val="2EFC0235"/>
    <w:rsid w:val="2F0F2CA1"/>
    <w:rsid w:val="2F2C4CEA"/>
    <w:rsid w:val="2F321040"/>
    <w:rsid w:val="2F386B05"/>
    <w:rsid w:val="2F3A4BCE"/>
    <w:rsid w:val="2F4A5CE6"/>
    <w:rsid w:val="2F4E3E41"/>
    <w:rsid w:val="2F4F3F69"/>
    <w:rsid w:val="2F5C572F"/>
    <w:rsid w:val="2F652C36"/>
    <w:rsid w:val="2F662EDD"/>
    <w:rsid w:val="2F693F3B"/>
    <w:rsid w:val="2F6E5BAF"/>
    <w:rsid w:val="2F9E6AFD"/>
    <w:rsid w:val="2F9F6D20"/>
    <w:rsid w:val="2FAA4BFB"/>
    <w:rsid w:val="2FB45954"/>
    <w:rsid w:val="2FB834AA"/>
    <w:rsid w:val="2FCE4E26"/>
    <w:rsid w:val="2FDC5F7D"/>
    <w:rsid w:val="2FDD4E1C"/>
    <w:rsid w:val="2FE22805"/>
    <w:rsid w:val="2FF30F80"/>
    <w:rsid w:val="2FFB13CE"/>
    <w:rsid w:val="300D1132"/>
    <w:rsid w:val="300E0C9C"/>
    <w:rsid w:val="301264D7"/>
    <w:rsid w:val="3020499D"/>
    <w:rsid w:val="30374D0C"/>
    <w:rsid w:val="30543B4D"/>
    <w:rsid w:val="30665D3F"/>
    <w:rsid w:val="30693EBB"/>
    <w:rsid w:val="306E0DE3"/>
    <w:rsid w:val="308925D2"/>
    <w:rsid w:val="309A5A6E"/>
    <w:rsid w:val="30A52E04"/>
    <w:rsid w:val="30A9720B"/>
    <w:rsid w:val="30BC1A1C"/>
    <w:rsid w:val="30BE5BAE"/>
    <w:rsid w:val="30CC3261"/>
    <w:rsid w:val="30D675AD"/>
    <w:rsid w:val="30EE229B"/>
    <w:rsid w:val="30F254AC"/>
    <w:rsid w:val="30F9139D"/>
    <w:rsid w:val="31032A71"/>
    <w:rsid w:val="31074085"/>
    <w:rsid w:val="31097DF4"/>
    <w:rsid w:val="3112029A"/>
    <w:rsid w:val="31216728"/>
    <w:rsid w:val="3123729C"/>
    <w:rsid w:val="3132158B"/>
    <w:rsid w:val="31331268"/>
    <w:rsid w:val="3133430E"/>
    <w:rsid w:val="313A1166"/>
    <w:rsid w:val="314D4356"/>
    <w:rsid w:val="31621FF2"/>
    <w:rsid w:val="316B0291"/>
    <w:rsid w:val="318F4890"/>
    <w:rsid w:val="319354DB"/>
    <w:rsid w:val="319709AB"/>
    <w:rsid w:val="31A646D2"/>
    <w:rsid w:val="31D37A61"/>
    <w:rsid w:val="31D8394D"/>
    <w:rsid w:val="31EA23A5"/>
    <w:rsid w:val="31EC2D42"/>
    <w:rsid w:val="31FC5131"/>
    <w:rsid w:val="31FF26D5"/>
    <w:rsid w:val="32064518"/>
    <w:rsid w:val="320F327F"/>
    <w:rsid w:val="322373FA"/>
    <w:rsid w:val="323A1FF2"/>
    <w:rsid w:val="327726B8"/>
    <w:rsid w:val="327874C8"/>
    <w:rsid w:val="32802913"/>
    <w:rsid w:val="328A332A"/>
    <w:rsid w:val="32AE007C"/>
    <w:rsid w:val="32E3362E"/>
    <w:rsid w:val="32E9167E"/>
    <w:rsid w:val="32EA0C51"/>
    <w:rsid w:val="32F1571B"/>
    <w:rsid w:val="32F65B57"/>
    <w:rsid w:val="32F84B55"/>
    <w:rsid w:val="33025160"/>
    <w:rsid w:val="3324319C"/>
    <w:rsid w:val="333168E7"/>
    <w:rsid w:val="334B5EFA"/>
    <w:rsid w:val="3352632E"/>
    <w:rsid w:val="33540405"/>
    <w:rsid w:val="3363321B"/>
    <w:rsid w:val="33642D2B"/>
    <w:rsid w:val="336E0A1D"/>
    <w:rsid w:val="337B25DC"/>
    <w:rsid w:val="33823677"/>
    <w:rsid w:val="3387198D"/>
    <w:rsid w:val="338951F0"/>
    <w:rsid w:val="33A61745"/>
    <w:rsid w:val="33A92429"/>
    <w:rsid w:val="33B90B11"/>
    <w:rsid w:val="33C07AFE"/>
    <w:rsid w:val="33C21000"/>
    <w:rsid w:val="33D6368A"/>
    <w:rsid w:val="33E3219C"/>
    <w:rsid w:val="33E77AAC"/>
    <w:rsid w:val="33EC0221"/>
    <w:rsid w:val="33F44513"/>
    <w:rsid w:val="33F47D81"/>
    <w:rsid w:val="33F8306F"/>
    <w:rsid w:val="33FA523A"/>
    <w:rsid w:val="340F76FE"/>
    <w:rsid w:val="341353BF"/>
    <w:rsid w:val="3417466B"/>
    <w:rsid w:val="343A0962"/>
    <w:rsid w:val="344C1622"/>
    <w:rsid w:val="344E4A52"/>
    <w:rsid w:val="345A7459"/>
    <w:rsid w:val="345C0AD9"/>
    <w:rsid w:val="34705B1B"/>
    <w:rsid w:val="34730F98"/>
    <w:rsid w:val="3496025E"/>
    <w:rsid w:val="34AD3935"/>
    <w:rsid w:val="34C72FF1"/>
    <w:rsid w:val="34E249FF"/>
    <w:rsid w:val="34E30ACF"/>
    <w:rsid w:val="34FB3E1F"/>
    <w:rsid w:val="351547F1"/>
    <w:rsid w:val="35196322"/>
    <w:rsid w:val="352767F4"/>
    <w:rsid w:val="35332B48"/>
    <w:rsid w:val="353D27A1"/>
    <w:rsid w:val="355008E8"/>
    <w:rsid w:val="355227F3"/>
    <w:rsid w:val="35963CCE"/>
    <w:rsid w:val="35C96229"/>
    <w:rsid w:val="35CC7B8D"/>
    <w:rsid w:val="35D51480"/>
    <w:rsid w:val="35D8538F"/>
    <w:rsid w:val="35E725CB"/>
    <w:rsid w:val="35EC7D95"/>
    <w:rsid w:val="36006E20"/>
    <w:rsid w:val="362D48B2"/>
    <w:rsid w:val="363E0731"/>
    <w:rsid w:val="363E3EC5"/>
    <w:rsid w:val="364D7ADB"/>
    <w:rsid w:val="365E7F64"/>
    <w:rsid w:val="36670286"/>
    <w:rsid w:val="366D0AF7"/>
    <w:rsid w:val="366D1B6B"/>
    <w:rsid w:val="367622E2"/>
    <w:rsid w:val="36776941"/>
    <w:rsid w:val="367C3BDB"/>
    <w:rsid w:val="3680628F"/>
    <w:rsid w:val="36926221"/>
    <w:rsid w:val="3694296A"/>
    <w:rsid w:val="36BC15B3"/>
    <w:rsid w:val="36BE5DBA"/>
    <w:rsid w:val="36F266B6"/>
    <w:rsid w:val="370C27DA"/>
    <w:rsid w:val="37193816"/>
    <w:rsid w:val="371A55E3"/>
    <w:rsid w:val="371B4CE0"/>
    <w:rsid w:val="37274488"/>
    <w:rsid w:val="3727773D"/>
    <w:rsid w:val="37292A39"/>
    <w:rsid w:val="37324689"/>
    <w:rsid w:val="37340F23"/>
    <w:rsid w:val="378B5737"/>
    <w:rsid w:val="37946274"/>
    <w:rsid w:val="37A67C3C"/>
    <w:rsid w:val="37A96FCC"/>
    <w:rsid w:val="37B70E4A"/>
    <w:rsid w:val="37CA0ACD"/>
    <w:rsid w:val="37CE4CC9"/>
    <w:rsid w:val="37D13BCF"/>
    <w:rsid w:val="37D1421A"/>
    <w:rsid w:val="37E127B7"/>
    <w:rsid w:val="37E849FE"/>
    <w:rsid w:val="37FD73F6"/>
    <w:rsid w:val="3803592B"/>
    <w:rsid w:val="38071574"/>
    <w:rsid w:val="380718B1"/>
    <w:rsid w:val="381115F7"/>
    <w:rsid w:val="381B6E3A"/>
    <w:rsid w:val="38213188"/>
    <w:rsid w:val="38333654"/>
    <w:rsid w:val="38446E12"/>
    <w:rsid w:val="38475B18"/>
    <w:rsid w:val="385573AD"/>
    <w:rsid w:val="385725E7"/>
    <w:rsid w:val="3862368D"/>
    <w:rsid w:val="38647D5C"/>
    <w:rsid w:val="38803688"/>
    <w:rsid w:val="389E708C"/>
    <w:rsid w:val="38A66AFA"/>
    <w:rsid w:val="38C74CA2"/>
    <w:rsid w:val="38ED2E3A"/>
    <w:rsid w:val="38ED580B"/>
    <w:rsid w:val="38F5707C"/>
    <w:rsid w:val="390E5414"/>
    <w:rsid w:val="39101678"/>
    <w:rsid w:val="39194AD1"/>
    <w:rsid w:val="392142EF"/>
    <w:rsid w:val="393B0883"/>
    <w:rsid w:val="3940419B"/>
    <w:rsid w:val="394D49B3"/>
    <w:rsid w:val="39724B3C"/>
    <w:rsid w:val="397B027C"/>
    <w:rsid w:val="397F0D5E"/>
    <w:rsid w:val="39802309"/>
    <w:rsid w:val="39923F27"/>
    <w:rsid w:val="39A07AA8"/>
    <w:rsid w:val="39A86EE6"/>
    <w:rsid w:val="39AA69A3"/>
    <w:rsid w:val="39B17BEF"/>
    <w:rsid w:val="39CC36B2"/>
    <w:rsid w:val="39CF7E4C"/>
    <w:rsid w:val="39E20FAD"/>
    <w:rsid w:val="39E8268A"/>
    <w:rsid w:val="39EC199D"/>
    <w:rsid w:val="39F5245E"/>
    <w:rsid w:val="3A027946"/>
    <w:rsid w:val="3A0748A9"/>
    <w:rsid w:val="3A1B3EB1"/>
    <w:rsid w:val="3A20188F"/>
    <w:rsid w:val="3A226278"/>
    <w:rsid w:val="3A247F15"/>
    <w:rsid w:val="3A382F56"/>
    <w:rsid w:val="3A395BFD"/>
    <w:rsid w:val="3A4A38EA"/>
    <w:rsid w:val="3A531D88"/>
    <w:rsid w:val="3A6E4714"/>
    <w:rsid w:val="3A7B4D60"/>
    <w:rsid w:val="3A7F2D11"/>
    <w:rsid w:val="3A8C73F9"/>
    <w:rsid w:val="3AA41902"/>
    <w:rsid w:val="3AA64BD0"/>
    <w:rsid w:val="3AB8596A"/>
    <w:rsid w:val="3ABA4E76"/>
    <w:rsid w:val="3ABE13B0"/>
    <w:rsid w:val="3AC510E0"/>
    <w:rsid w:val="3ACD40A5"/>
    <w:rsid w:val="3ACD52DB"/>
    <w:rsid w:val="3AD27AC8"/>
    <w:rsid w:val="3AE763E3"/>
    <w:rsid w:val="3AE95B02"/>
    <w:rsid w:val="3AEF394E"/>
    <w:rsid w:val="3B0D6C82"/>
    <w:rsid w:val="3B1C624E"/>
    <w:rsid w:val="3B2857FE"/>
    <w:rsid w:val="3B2F19E8"/>
    <w:rsid w:val="3B332DF5"/>
    <w:rsid w:val="3B3A2F17"/>
    <w:rsid w:val="3B3D40AC"/>
    <w:rsid w:val="3B40379E"/>
    <w:rsid w:val="3B4D7C05"/>
    <w:rsid w:val="3B5B4609"/>
    <w:rsid w:val="3B7041E1"/>
    <w:rsid w:val="3B834BDF"/>
    <w:rsid w:val="3BB2098A"/>
    <w:rsid w:val="3BB6053D"/>
    <w:rsid w:val="3BBD0C17"/>
    <w:rsid w:val="3BBF0D75"/>
    <w:rsid w:val="3BE83025"/>
    <w:rsid w:val="3C1C0684"/>
    <w:rsid w:val="3C26335E"/>
    <w:rsid w:val="3C4D09FA"/>
    <w:rsid w:val="3C4F25B3"/>
    <w:rsid w:val="3C4F536D"/>
    <w:rsid w:val="3C5157B2"/>
    <w:rsid w:val="3C55591E"/>
    <w:rsid w:val="3C5924DB"/>
    <w:rsid w:val="3C6E6ACA"/>
    <w:rsid w:val="3C940E68"/>
    <w:rsid w:val="3CAD109C"/>
    <w:rsid w:val="3CAE4AB1"/>
    <w:rsid w:val="3CAF2952"/>
    <w:rsid w:val="3CB823ED"/>
    <w:rsid w:val="3CC501E2"/>
    <w:rsid w:val="3CC64F9D"/>
    <w:rsid w:val="3CD752BE"/>
    <w:rsid w:val="3CE47E6E"/>
    <w:rsid w:val="3CE54164"/>
    <w:rsid w:val="3CF22E2F"/>
    <w:rsid w:val="3CFE454C"/>
    <w:rsid w:val="3D0611E7"/>
    <w:rsid w:val="3D145DC3"/>
    <w:rsid w:val="3D1F4C77"/>
    <w:rsid w:val="3D564517"/>
    <w:rsid w:val="3D5B3176"/>
    <w:rsid w:val="3D661AE4"/>
    <w:rsid w:val="3D6E7D71"/>
    <w:rsid w:val="3D7035B0"/>
    <w:rsid w:val="3D815DC4"/>
    <w:rsid w:val="3D8F2EF6"/>
    <w:rsid w:val="3DA33602"/>
    <w:rsid w:val="3DC461BD"/>
    <w:rsid w:val="3DD63040"/>
    <w:rsid w:val="3DF45C33"/>
    <w:rsid w:val="3E0E39F9"/>
    <w:rsid w:val="3E292994"/>
    <w:rsid w:val="3E4232DF"/>
    <w:rsid w:val="3E4F0561"/>
    <w:rsid w:val="3E502A23"/>
    <w:rsid w:val="3E580579"/>
    <w:rsid w:val="3E6B0012"/>
    <w:rsid w:val="3E6B35BD"/>
    <w:rsid w:val="3E7061FB"/>
    <w:rsid w:val="3E75210A"/>
    <w:rsid w:val="3E927561"/>
    <w:rsid w:val="3E996085"/>
    <w:rsid w:val="3E9B5883"/>
    <w:rsid w:val="3EA571E7"/>
    <w:rsid w:val="3EA82370"/>
    <w:rsid w:val="3EAE7E5D"/>
    <w:rsid w:val="3EBA4BA8"/>
    <w:rsid w:val="3EC056D8"/>
    <w:rsid w:val="3EC376E9"/>
    <w:rsid w:val="3EC475F7"/>
    <w:rsid w:val="3ED14CA1"/>
    <w:rsid w:val="3EE13992"/>
    <w:rsid w:val="3EF225CD"/>
    <w:rsid w:val="3EFC4D1F"/>
    <w:rsid w:val="3EFE682E"/>
    <w:rsid w:val="3F0C42AA"/>
    <w:rsid w:val="3F1524E9"/>
    <w:rsid w:val="3F184707"/>
    <w:rsid w:val="3F2675CA"/>
    <w:rsid w:val="3F4730AE"/>
    <w:rsid w:val="3F533B15"/>
    <w:rsid w:val="3F643261"/>
    <w:rsid w:val="3F675313"/>
    <w:rsid w:val="3F714617"/>
    <w:rsid w:val="3F796D16"/>
    <w:rsid w:val="3F8A1640"/>
    <w:rsid w:val="3FA41977"/>
    <w:rsid w:val="3FA73A0E"/>
    <w:rsid w:val="3FA74DCC"/>
    <w:rsid w:val="3FA82CF4"/>
    <w:rsid w:val="3FC81FA6"/>
    <w:rsid w:val="3FEB5D6A"/>
    <w:rsid w:val="3FFD68F0"/>
    <w:rsid w:val="40214E48"/>
    <w:rsid w:val="403367EC"/>
    <w:rsid w:val="404A4D28"/>
    <w:rsid w:val="404E429C"/>
    <w:rsid w:val="40556A06"/>
    <w:rsid w:val="405839C5"/>
    <w:rsid w:val="40607F1B"/>
    <w:rsid w:val="408647CF"/>
    <w:rsid w:val="40865068"/>
    <w:rsid w:val="40947BB8"/>
    <w:rsid w:val="40AB4CA3"/>
    <w:rsid w:val="40B60FC4"/>
    <w:rsid w:val="40B76F2A"/>
    <w:rsid w:val="40B809FD"/>
    <w:rsid w:val="40BD7CDF"/>
    <w:rsid w:val="40CD7C91"/>
    <w:rsid w:val="40D3142E"/>
    <w:rsid w:val="40D72E16"/>
    <w:rsid w:val="40E5708D"/>
    <w:rsid w:val="40F21B27"/>
    <w:rsid w:val="40F2326F"/>
    <w:rsid w:val="40F55F56"/>
    <w:rsid w:val="41114B93"/>
    <w:rsid w:val="41210106"/>
    <w:rsid w:val="413871B8"/>
    <w:rsid w:val="4142473F"/>
    <w:rsid w:val="4147230B"/>
    <w:rsid w:val="41775D2C"/>
    <w:rsid w:val="41AC5C05"/>
    <w:rsid w:val="41B4196C"/>
    <w:rsid w:val="41B80040"/>
    <w:rsid w:val="41B831A6"/>
    <w:rsid w:val="41BA4E40"/>
    <w:rsid w:val="41C05624"/>
    <w:rsid w:val="41D55F8D"/>
    <w:rsid w:val="41F34548"/>
    <w:rsid w:val="420A11FC"/>
    <w:rsid w:val="421E2F95"/>
    <w:rsid w:val="42320C8C"/>
    <w:rsid w:val="42375DE6"/>
    <w:rsid w:val="424360FE"/>
    <w:rsid w:val="42441D31"/>
    <w:rsid w:val="42554250"/>
    <w:rsid w:val="42880BE7"/>
    <w:rsid w:val="428C0D2E"/>
    <w:rsid w:val="42994958"/>
    <w:rsid w:val="42C00E6C"/>
    <w:rsid w:val="42C17D8D"/>
    <w:rsid w:val="42C20219"/>
    <w:rsid w:val="42C50C7D"/>
    <w:rsid w:val="42EB528D"/>
    <w:rsid w:val="42F164A8"/>
    <w:rsid w:val="42F4768B"/>
    <w:rsid w:val="43002B2F"/>
    <w:rsid w:val="431238B2"/>
    <w:rsid w:val="43161593"/>
    <w:rsid w:val="4327216D"/>
    <w:rsid w:val="43284242"/>
    <w:rsid w:val="432A0341"/>
    <w:rsid w:val="433C71B4"/>
    <w:rsid w:val="434B3A58"/>
    <w:rsid w:val="439B05FE"/>
    <w:rsid w:val="43C06A96"/>
    <w:rsid w:val="43CF63EB"/>
    <w:rsid w:val="43D96D0F"/>
    <w:rsid w:val="43EA6F40"/>
    <w:rsid w:val="43EF7581"/>
    <w:rsid w:val="43F732DB"/>
    <w:rsid w:val="43FA13C3"/>
    <w:rsid w:val="44036336"/>
    <w:rsid w:val="440559C2"/>
    <w:rsid w:val="440F723A"/>
    <w:rsid w:val="4419604A"/>
    <w:rsid w:val="44216C60"/>
    <w:rsid w:val="442E4046"/>
    <w:rsid w:val="44353C01"/>
    <w:rsid w:val="445A2F9E"/>
    <w:rsid w:val="449347B6"/>
    <w:rsid w:val="449725B8"/>
    <w:rsid w:val="44C11756"/>
    <w:rsid w:val="44C721BE"/>
    <w:rsid w:val="45083E06"/>
    <w:rsid w:val="452635A7"/>
    <w:rsid w:val="453D2D79"/>
    <w:rsid w:val="45426873"/>
    <w:rsid w:val="45462E60"/>
    <w:rsid w:val="454E5998"/>
    <w:rsid w:val="45541FDD"/>
    <w:rsid w:val="45651126"/>
    <w:rsid w:val="457A13B5"/>
    <w:rsid w:val="457A1F06"/>
    <w:rsid w:val="45856F07"/>
    <w:rsid w:val="459162D5"/>
    <w:rsid w:val="45927DD7"/>
    <w:rsid w:val="459815B5"/>
    <w:rsid w:val="459A7EBF"/>
    <w:rsid w:val="45CE06B6"/>
    <w:rsid w:val="45FC2490"/>
    <w:rsid w:val="45FE4C25"/>
    <w:rsid w:val="46181C54"/>
    <w:rsid w:val="461B0346"/>
    <w:rsid w:val="46237B2E"/>
    <w:rsid w:val="462A4D00"/>
    <w:rsid w:val="463054F1"/>
    <w:rsid w:val="463A21F4"/>
    <w:rsid w:val="463B2494"/>
    <w:rsid w:val="46406F80"/>
    <w:rsid w:val="465543C1"/>
    <w:rsid w:val="4678216D"/>
    <w:rsid w:val="468A6842"/>
    <w:rsid w:val="469B3F29"/>
    <w:rsid w:val="46B15565"/>
    <w:rsid w:val="46B44C59"/>
    <w:rsid w:val="46B6537B"/>
    <w:rsid w:val="46C5457B"/>
    <w:rsid w:val="46D77267"/>
    <w:rsid w:val="46F5308E"/>
    <w:rsid w:val="46F74D9D"/>
    <w:rsid w:val="470277B1"/>
    <w:rsid w:val="4704637A"/>
    <w:rsid w:val="4709097C"/>
    <w:rsid w:val="470A2700"/>
    <w:rsid w:val="471362FF"/>
    <w:rsid w:val="47184F30"/>
    <w:rsid w:val="47212848"/>
    <w:rsid w:val="472C0E66"/>
    <w:rsid w:val="473E0912"/>
    <w:rsid w:val="473F0FD9"/>
    <w:rsid w:val="473F4D1C"/>
    <w:rsid w:val="474E3BF2"/>
    <w:rsid w:val="47533D26"/>
    <w:rsid w:val="476764F2"/>
    <w:rsid w:val="47722C1E"/>
    <w:rsid w:val="477A389D"/>
    <w:rsid w:val="47820713"/>
    <w:rsid w:val="47BC252D"/>
    <w:rsid w:val="47BF646E"/>
    <w:rsid w:val="47C71093"/>
    <w:rsid w:val="47CE7BDD"/>
    <w:rsid w:val="47D17F4F"/>
    <w:rsid w:val="47D33789"/>
    <w:rsid w:val="47DE2C56"/>
    <w:rsid w:val="47DF0070"/>
    <w:rsid w:val="47E53BAC"/>
    <w:rsid w:val="47E75F00"/>
    <w:rsid w:val="47F4655C"/>
    <w:rsid w:val="48103589"/>
    <w:rsid w:val="48165468"/>
    <w:rsid w:val="48341D31"/>
    <w:rsid w:val="48476F9A"/>
    <w:rsid w:val="484F089F"/>
    <w:rsid w:val="485C70D9"/>
    <w:rsid w:val="48786AD1"/>
    <w:rsid w:val="488B1208"/>
    <w:rsid w:val="489957BB"/>
    <w:rsid w:val="48AC57A2"/>
    <w:rsid w:val="48BB308B"/>
    <w:rsid w:val="48BE4F5B"/>
    <w:rsid w:val="48CB421C"/>
    <w:rsid w:val="48D17DE6"/>
    <w:rsid w:val="48F94C75"/>
    <w:rsid w:val="49051043"/>
    <w:rsid w:val="4906684B"/>
    <w:rsid w:val="49244F0C"/>
    <w:rsid w:val="492A0A74"/>
    <w:rsid w:val="49591A09"/>
    <w:rsid w:val="49805675"/>
    <w:rsid w:val="49986D2E"/>
    <w:rsid w:val="49AC60EC"/>
    <w:rsid w:val="49C4664A"/>
    <w:rsid w:val="49CA50EC"/>
    <w:rsid w:val="49D96B9C"/>
    <w:rsid w:val="49DF1143"/>
    <w:rsid w:val="49F327EA"/>
    <w:rsid w:val="49FD7D22"/>
    <w:rsid w:val="4A124A63"/>
    <w:rsid w:val="4A3950E7"/>
    <w:rsid w:val="4A4A174C"/>
    <w:rsid w:val="4A527E6A"/>
    <w:rsid w:val="4A62186B"/>
    <w:rsid w:val="4A6B12FC"/>
    <w:rsid w:val="4A7B7615"/>
    <w:rsid w:val="4A874BEC"/>
    <w:rsid w:val="4ABB56A7"/>
    <w:rsid w:val="4ADC2303"/>
    <w:rsid w:val="4AEE5EF8"/>
    <w:rsid w:val="4AEE6A4A"/>
    <w:rsid w:val="4AF21A24"/>
    <w:rsid w:val="4AF628E0"/>
    <w:rsid w:val="4B021545"/>
    <w:rsid w:val="4B0A23BA"/>
    <w:rsid w:val="4B1D63F5"/>
    <w:rsid w:val="4B207E00"/>
    <w:rsid w:val="4B255C44"/>
    <w:rsid w:val="4B256959"/>
    <w:rsid w:val="4B2B107C"/>
    <w:rsid w:val="4B2F60E9"/>
    <w:rsid w:val="4B3C1B7C"/>
    <w:rsid w:val="4B3E6BBD"/>
    <w:rsid w:val="4B53776F"/>
    <w:rsid w:val="4B5B6721"/>
    <w:rsid w:val="4B683492"/>
    <w:rsid w:val="4B7079EA"/>
    <w:rsid w:val="4B707FE5"/>
    <w:rsid w:val="4B7250AB"/>
    <w:rsid w:val="4B7B15E7"/>
    <w:rsid w:val="4B833CFD"/>
    <w:rsid w:val="4BA42BCB"/>
    <w:rsid w:val="4BB9075E"/>
    <w:rsid w:val="4BC6625C"/>
    <w:rsid w:val="4BD87E7D"/>
    <w:rsid w:val="4BE65C94"/>
    <w:rsid w:val="4BE95307"/>
    <w:rsid w:val="4BF23489"/>
    <w:rsid w:val="4BF74C31"/>
    <w:rsid w:val="4C0D464D"/>
    <w:rsid w:val="4C4A7568"/>
    <w:rsid w:val="4C5A7D09"/>
    <w:rsid w:val="4C5C4D7D"/>
    <w:rsid w:val="4C691E80"/>
    <w:rsid w:val="4C6E5144"/>
    <w:rsid w:val="4C776244"/>
    <w:rsid w:val="4C990FE1"/>
    <w:rsid w:val="4C9B02AC"/>
    <w:rsid w:val="4CA4031E"/>
    <w:rsid w:val="4CA806DC"/>
    <w:rsid w:val="4CBC441C"/>
    <w:rsid w:val="4CCB6ECB"/>
    <w:rsid w:val="4CEF7643"/>
    <w:rsid w:val="4CF7733E"/>
    <w:rsid w:val="4D023984"/>
    <w:rsid w:val="4D0F6799"/>
    <w:rsid w:val="4D1E6046"/>
    <w:rsid w:val="4D1F05D2"/>
    <w:rsid w:val="4D280869"/>
    <w:rsid w:val="4D480D30"/>
    <w:rsid w:val="4D4E3119"/>
    <w:rsid w:val="4D52294E"/>
    <w:rsid w:val="4D5F4AC9"/>
    <w:rsid w:val="4D7F3666"/>
    <w:rsid w:val="4D940ECC"/>
    <w:rsid w:val="4DAA15FF"/>
    <w:rsid w:val="4DAC3A34"/>
    <w:rsid w:val="4DAF2BE0"/>
    <w:rsid w:val="4DBA1C06"/>
    <w:rsid w:val="4DEA2B6B"/>
    <w:rsid w:val="4DEB03C9"/>
    <w:rsid w:val="4DEC7FAF"/>
    <w:rsid w:val="4DF65DC6"/>
    <w:rsid w:val="4E2C3392"/>
    <w:rsid w:val="4E463ED2"/>
    <w:rsid w:val="4E614244"/>
    <w:rsid w:val="4E632292"/>
    <w:rsid w:val="4E6B1851"/>
    <w:rsid w:val="4E704D9E"/>
    <w:rsid w:val="4E755624"/>
    <w:rsid w:val="4E810F31"/>
    <w:rsid w:val="4E890EB2"/>
    <w:rsid w:val="4E897BA7"/>
    <w:rsid w:val="4ECD793A"/>
    <w:rsid w:val="4ECE504F"/>
    <w:rsid w:val="4EE02486"/>
    <w:rsid w:val="4EE17EEB"/>
    <w:rsid w:val="4EE4704B"/>
    <w:rsid w:val="4EF05F8F"/>
    <w:rsid w:val="4EF729DF"/>
    <w:rsid w:val="4EF84136"/>
    <w:rsid w:val="4F0A1B8F"/>
    <w:rsid w:val="4F2E6297"/>
    <w:rsid w:val="4F3D0401"/>
    <w:rsid w:val="4F3E2B10"/>
    <w:rsid w:val="4F507A1A"/>
    <w:rsid w:val="4F6666D3"/>
    <w:rsid w:val="4F707A64"/>
    <w:rsid w:val="4F807B48"/>
    <w:rsid w:val="4F892951"/>
    <w:rsid w:val="4F8C61B7"/>
    <w:rsid w:val="4F972BE8"/>
    <w:rsid w:val="4FA20E53"/>
    <w:rsid w:val="4FAA5710"/>
    <w:rsid w:val="4FB83E18"/>
    <w:rsid w:val="4FC210D6"/>
    <w:rsid w:val="4FC836EC"/>
    <w:rsid w:val="4FC83FCC"/>
    <w:rsid w:val="4FCC3528"/>
    <w:rsid w:val="4FD359E0"/>
    <w:rsid w:val="4FDC0414"/>
    <w:rsid w:val="4FDD49A7"/>
    <w:rsid w:val="4FE238C4"/>
    <w:rsid w:val="4FE86BC1"/>
    <w:rsid w:val="4FEC7FF0"/>
    <w:rsid w:val="4FF4706D"/>
    <w:rsid w:val="5002565B"/>
    <w:rsid w:val="501101FC"/>
    <w:rsid w:val="502559D2"/>
    <w:rsid w:val="502E61AF"/>
    <w:rsid w:val="504464FA"/>
    <w:rsid w:val="504B6C26"/>
    <w:rsid w:val="504D4FB0"/>
    <w:rsid w:val="50522E01"/>
    <w:rsid w:val="505874CB"/>
    <w:rsid w:val="505B663A"/>
    <w:rsid w:val="50682467"/>
    <w:rsid w:val="506E6089"/>
    <w:rsid w:val="50736E9A"/>
    <w:rsid w:val="50A953FD"/>
    <w:rsid w:val="50AD1A04"/>
    <w:rsid w:val="50BE63AB"/>
    <w:rsid w:val="50C735E8"/>
    <w:rsid w:val="50D64AF2"/>
    <w:rsid w:val="50D9325D"/>
    <w:rsid w:val="510B495E"/>
    <w:rsid w:val="511F12BA"/>
    <w:rsid w:val="513123B6"/>
    <w:rsid w:val="51341E8D"/>
    <w:rsid w:val="514B74DA"/>
    <w:rsid w:val="51503117"/>
    <w:rsid w:val="515A1D93"/>
    <w:rsid w:val="515D0B52"/>
    <w:rsid w:val="51620DC4"/>
    <w:rsid w:val="51657C4F"/>
    <w:rsid w:val="517D1EDA"/>
    <w:rsid w:val="51AA27D9"/>
    <w:rsid w:val="51DF74DF"/>
    <w:rsid w:val="51E00053"/>
    <w:rsid w:val="51E01D02"/>
    <w:rsid w:val="51EA52EE"/>
    <w:rsid w:val="52064C4D"/>
    <w:rsid w:val="521B28C3"/>
    <w:rsid w:val="5222284D"/>
    <w:rsid w:val="52291B07"/>
    <w:rsid w:val="522B0C47"/>
    <w:rsid w:val="522B35FF"/>
    <w:rsid w:val="523057DC"/>
    <w:rsid w:val="52504B33"/>
    <w:rsid w:val="52563249"/>
    <w:rsid w:val="52575590"/>
    <w:rsid w:val="52627805"/>
    <w:rsid w:val="526D41C3"/>
    <w:rsid w:val="52A739E8"/>
    <w:rsid w:val="52AC0B91"/>
    <w:rsid w:val="52E34148"/>
    <w:rsid w:val="530A3187"/>
    <w:rsid w:val="532F1898"/>
    <w:rsid w:val="534E70F1"/>
    <w:rsid w:val="53647A8A"/>
    <w:rsid w:val="536C5428"/>
    <w:rsid w:val="53803B2F"/>
    <w:rsid w:val="539749EA"/>
    <w:rsid w:val="53986BED"/>
    <w:rsid w:val="53A55A4A"/>
    <w:rsid w:val="53A64FC6"/>
    <w:rsid w:val="53B37D61"/>
    <w:rsid w:val="53C029E0"/>
    <w:rsid w:val="53CF3DAB"/>
    <w:rsid w:val="53D2282C"/>
    <w:rsid w:val="53DF31F9"/>
    <w:rsid w:val="53E2387C"/>
    <w:rsid w:val="53EA335C"/>
    <w:rsid w:val="53EF5CA7"/>
    <w:rsid w:val="53F66EC2"/>
    <w:rsid w:val="54022731"/>
    <w:rsid w:val="54403EC1"/>
    <w:rsid w:val="54430C48"/>
    <w:rsid w:val="544700A1"/>
    <w:rsid w:val="545139EB"/>
    <w:rsid w:val="54597B71"/>
    <w:rsid w:val="546F5F3E"/>
    <w:rsid w:val="548C342C"/>
    <w:rsid w:val="54964BD8"/>
    <w:rsid w:val="54B13A4B"/>
    <w:rsid w:val="54B32DF1"/>
    <w:rsid w:val="54BC0720"/>
    <w:rsid w:val="54C67FA6"/>
    <w:rsid w:val="54CF0B0F"/>
    <w:rsid w:val="54DE4E53"/>
    <w:rsid w:val="54E14D78"/>
    <w:rsid w:val="54E42EBE"/>
    <w:rsid w:val="54E54B58"/>
    <w:rsid w:val="54F06D2D"/>
    <w:rsid w:val="54FB4E50"/>
    <w:rsid w:val="54FC5FC7"/>
    <w:rsid w:val="551A3279"/>
    <w:rsid w:val="55354AEF"/>
    <w:rsid w:val="553808EC"/>
    <w:rsid w:val="554271B8"/>
    <w:rsid w:val="5547678E"/>
    <w:rsid w:val="55536492"/>
    <w:rsid w:val="55554B21"/>
    <w:rsid w:val="5567484E"/>
    <w:rsid w:val="557C571B"/>
    <w:rsid w:val="557F5ECE"/>
    <w:rsid w:val="55805437"/>
    <w:rsid w:val="55806C4D"/>
    <w:rsid w:val="558326C4"/>
    <w:rsid w:val="559D611B"/>
    <w:rsid w:val="55A27DD8"/>
    <w:rsid w:val="55A47CEC"/>
    <w:rsid w:val="55C87F01"/>
    <w:rsid w:val="55DD689A"/>
    <w:rsid w:val="55E66E1F"/>
    <w:rsid w:val="55EF709F"/>
    <w:rsid w:val="55FB7EE9"/>
    <w:rsid w:val="561E333A"/>
    <w:rsid w:val="561E6234"/>
    <w:rsid w:val="56255FEB"/>
    <w:rsid w:val="56390C1B"/>
    <w:rsid w:val="56554B48"/>
    <w:rsid w:val="56583A25"/>
    <w:rsid w:val="567269C7"/>
    <w:rsid w:val="56880142"/>
    <w:rsid w:val="569345A1"/>
    <w:rsid w:val="56BA2D68"/>
    <w:rsid w:val="56C528AA"/>
    <w:rsid w:val="56C658DD"/>
    <w:rsid w:val="56D15A88"/>
    <w:rsid w:val="56D90B05"/>
    <w:rsid w:val="56E531E6"/>
    <w:rsid w:val="56ED0E0A"/>
    <w:rsid w:val="56F046C3"/>
    <w:rsid w:val="56F26B8B"/>
    <w:rsid w:val="56FD3458"/>
    <w:rsid w:val="570B11ED"/>
    <w:rsid w:val="571123A9"/>
    <w:rsid w:val="57123C92"/>
    <w:rsid w:val="5721165F"/>
    <w:rsid w:val="57293F6E"/>
    <w:rsid w:val="572C25A4"/>
    <w:rsid w:val="57326C48"/>
    <w:rsid w:val="57795235"/>
    <w:rsid w:val="577B4AC8"/>
    <w:rsid w:val="578057F7"/>
    <w:rsid w:val="578223AA"/>
    <w:rsid w:val="579447E1"/>
    <w:rsid w:val="579A5DF0"/>
    <w:rsid w:val="57A1019D"/>
    <w:rsid w:val="57AB0BF6"/>
    <w:rsid w:val="57AC755B"/>
    <w:rsid w:val="57AC7787"/>
    <w:rsid w:val="57AF7567"/>
    <w:rsid w:val="57BA7A5A"/>
    <w:rsid w:val="57BD366E"/>
    <w:rsid w:val="57BD3CA1"/>
    <w:rsid w:val="57C928C1"/>
    <w:rsid w:val="57C96DCE"/>
    <w:rsid w:val="580351F0"/>
    <w:rsid w:val="581246F9"/>
    <w:rsid w:val="582D579B"/>
    <w:rsid w:val="582E6649"/>
    <w:rsid w:val="582F5BD5"/>
    <w:rsid w:val="58445B93"/>
    <w:rsid w:val="5865768A"/>
    <w:rsid w:val="586F2172"/>
    <w:rsid w:val="586F4BD6"/>
    <w:rsid w:val="5872436E"/>
    <w:rsid w:val="587A1E83"/>
    <w:rsid w:val="588078A2"/>
    <w:rsid w:val="58837872"/>
    <w:rsid w:val="588876DC"/>
    <w:rsid w:val="58A1007F"/>
    <w:rsid w:val="58B213C9"/>
    <w:rsid w:val="58B75CFE"/>
    <w:rsid w:val="58C51930"/>
    <w:rsid w:val="58D1584D"/>
    <w:rsid w:val="58D22FC4"/>
    <w:rsid w:val="58D701E1"/>
    <w:rsid w:val="58D93722"/>
    <w:rsid w:val="58EC12C8"/>
    <w:rsid w:val="58EE0E17"/>
    <w:rsid w:val="58F33399"/>
    <w:rsid w:val="58F97FA0"/>
    <w:rsid w:val="590178C4"/>
    <w:rsid w:val="59097CE6"/>
    <w:rsid w:val="590C1AB9"/>
    <w:rsid w:val="59203EF4"/>
    <w:rsid w:val="593C3E05"/>
    <w:rsid w:val="594E0DDF"/>
    <w:rsid w:val="59650CA6"/>
    <w:rsid w:val="597474E2"/>
    <w:rsid w:val="59792D14"/>
    <w:rsid w:val="59884717"/>
    <w:rsid w:val="59892007"/>
    <w:rsid w:val="598E0BCF"/>
    <w:rsid w:val="599769EB"/>
    <w:rsid w:val="599852A0"/>
    <w:rsid w:val="59991856"/>
    <w:rsid w:val="59A05A44"/>
    <w:rsid w:val="59CB5DCD"/>
    <w:rsid w:val="59F06392"/>
    <w:rsid w:val="59F238F3"/>
    <w:rsid w:val="59F510C2"/>
    <w:rsid w:val="5A307048"/>
    <w:rsid w:val="5A3C425C"/>
    <w:rsid w:val="5A486398"/>
    <w:rsid w:val="5A62402B"/>
    <w:rsid w:val="5A7E5894"/>
    <w:rsid w:val="5A8837F5"/>
    <w:rsid w:val="5A934925"/>
    <w:rsid w:val="5A951B49"/>
    <w:rsid w:val="5AB10741"/>
    <w:rsid w:val="5AB60F4F"/>
    <w:rsid w:val="5AB65ED5"/>
    <w:rsid w:val="5AC2487E"/>
    <w:rsid w:val="5AD26029"/>
    <w:rsid w:val="5AD66BB3"/>
    <w:rsid w:val="5AD8600C"/>
    <w:rsid w:val="5AD95797"/>
    <w:rsid w:val="5AE54B32"/>
    <w:rsid w:val="5AEB327F"/>
    <w:rsid w:val="5AF4447C"/>
    <w:rsid w:val="5AF85D57"/>
    <w:rsid w:val="5B0F2A85"/>
    <w:rsid w:val="5B1D0A8C"/>
    <w:rsid w:val="5B1D64CE"/>
    <w:rsid w:val="5B2962B3"/>
    <w:rsid w:val="5B3042EF"/>
    <w:rsid w:val="5B3274AB"/>
    <w:rsid w:val="5B471631"/>
    <w:rsid w:val="5B4A13FB"/>
    <w:rsid w:val="5B8117AF"/>
    <w:rsid w:val="5BAF3B86"/>
    <w:rsid w:val="5BB81425"/>
    <w:rsid w:val="5BBA3764"/>
    <w:rsid w:val="5BBB3019"/>
    <w:rsid w:val="5BC9182F"/>
    <w:rsid w:val="5BEF4DF0"/>
    <w:rsid w:val="5BF84D37"/>
    <w:rsid w:val="5C00672A"/>
    <w:rsid w:val="5C035779"/>
    <w:rsid w:val="5C0E3A28"/>
    <w:rsid w:val="5C1142DC"/>
    <w:rsid w:val="5C184A3E"/>
    <w:rsid w:val="5C244684"/>
    <w:rsid w:val="5C2A6FAD"/>
    <w:rsid w:val="5C300EBC"/>
    <w:rsid w:val="5C444E50"/>
    <w:rsid w:val="5C5A2049"/>
    <w:rsid w:val="5C5E2BA4"/>
    <w:rsid w:val="5C617EC9"/>
    <w:rsid w:val="5C702F87"/>
    <w:rsid w:val="5C776582"/>
    <w:rsid w:val="5CA02D43"/>
    <w:rsid w:val="5CB87B81"/>
    <w:rsid w:val="5CBB7C1C"/>
    <w:rsid w:val="5CC62465"/>
    <w:rsid w:val="5CC75551"/>
    <w:rsid w:val="5CC91EA1"/>
    <w:rsid w:val="5CD83D4C"/>
    <w:rsid w:val="5CE52E3D"/>
    <w:rsid w:val="5CEC4F7E"/>
    <w:rsid w:val="5CF56025"/>
    <w:rsid w:val="5CFA0BAE"/>
    <w:rsid w:val="5CFE1794"/>
    <w:rsid w:val="5D066104"/>
    <w:rsid w:val="5D08319F"/>
    <w:rsid w:val="5D2359DD"/>
    <w:rsid w:val="5D246671"/>
    <w:rsid w:val="5D370EFC"/>
    <w:rsid w:val="5D375B2E"/>
    <w:rsid w:val="5D3F4834"/>
    <w:rsid w:val="5D583763"/>
    <w:rsid w:val="5D690156"/>
    <w:rsid w:val="5D740B19"/>
    <w:rsid w:val="5D745537"/>
    <w:rsid w:val="5D7721B6"/>
    <w:rsid w:val="5D8A0C86"/>
    <w:rsid w:val="5D8C7D78"/>
    <w:rsid w:val="5D8D1FEA"/>
    <w:rsid w:val="5D8D744A"/>
    <w:rsid w:val="5D944667"/>
    <w:rsid w:val="5D9D509E"/>
    <w:rsid w:val="5DAC59D3"/>
    <w:rsid w:val="5DAC65B8"/>
    <w:rsid w:val="5DAD5718"/>
    <w:rsid w:val="5DB300E5"/>
    <w:rsid w:val="5DB757EE"/>
    <w:rsid w:val="5DB91665"/>
    <w:rsid w:val="5DC21DB8"/>
    <w:rsid w:val="5DCB722E"/>
    <w:rsid w:val="5DE72FBF"/>
    <w:rsid w:val="5DF61B18"/>
    <w:rsid w:val="5E223746"/>
    <w:rsid w:val="5E223A39"/>
    <w:rsid w:val="5E4634C5"/>
    <w:rsid w:val="5E625D6F"/>
    <w:rsid w:val="5E6723CE"/>
    <w:rsid w:val="5E7A6FF2"/>
    <w:rsid w:val="5E8042EC"/>
    <w:rsid w:val="5E831F55"/>
    <w:rsid w:val="5E89198A"/>
    <w:rsid w:val="5E8D1238"/>
    <w:rsid w:val="5E9431C7"/>
    <w:rsid w:val="5EAF0A0D"/>
    <w:rsid w:val="5EDF655E"/>
    <w:rsid w:val="5EE523F0"/>
    <w:rsid w:val="5EF60378"/>
    <w:rsid w:val="5EFF27B8"/>
    <w:rsid w:val="5F001808"/>
    <w:rsid w:val="5F014EBA"/>
    <w:rsid w:val="5F126E20"/>
    <w:rsid w:val="5F406CF5"/>
    <w:rsid w:val="5F577CB4"/>
    <w:rsid w:val="5F632D87"/>
    <w:rsid w:val="5F794A5C"/>
    <w:rsid w:val="5F924D18"/>
    <w:rsid w:val="5FDA39CE"/>
    <w:rsid w:val="5FEF25B5"/>
    <w:rsid w:val="5FF23E27"/>
    <w:rsid w:val="5FFB7942"/>
    <w:rsid w:val="60096AAE"/>
    <w:rsid w:val="60107770"/>
    <w:rsid w:val="601E3484"/>
    <w:rsid w:val="604B372E"/>
    <w:rsid w:val="60564B22"/>
    <w:rsid w:val="60576068"/>
    <w:rsid w:val="60656F92"/>
    <w:rsid w:val="608F7FA5"/>
    <w:rsid w:val="60A05A21"/>
    <w:rsid w:val="60A81FD7"/>
    <w:rsid w:val="60B95CF7"/>
    <w:rsid w:val="60BA1F88"/>
    <w:rsid w:val="60CB4179"/>
    <w:rsid w:val="60D0404C"/>
    <w:rsid w:val="60DB0771"/>
    <w:rsid w:val="60E05766"/>
    <w:rsid w:val="60E306D3"/>
    <w:rsid w:val="60EE6CDC"/>
    <w:rsid w:val="610A2000"/>
    <w:rsid w:val="610D557F"/>
    <w:rsid w:val="61435A0F"/>
    <w:rsid w:val="614C7A0D"/>
    <w:rsid w:val="6156227A"/>
    <w:rsid w:val="61577F5A"/>
    <w:rsid w:val="616074ED"/>
    <w:rsid w:val="61610097"/>
    <w:rsid w:val="616E5804"/>
    <w:rsid w:val="61916DE0"/>
    <w:rsid w:val="61A84C6C"/>
    <w:rsid w:val="61A9255F"/>
    <w:rsid w:val="61AF70DF"/>
    <w:rsid w:val="61BE277C"/>
    <w:rsid w:val="61C93D15"/>
    <w:rsid w:val="61D360DC"/>
    <w:rsid w:val="61E54116"/>
    <w:rsid w:val="61EE6321"/>
    <w:rsid w:val="620845C5"/>
    <w:rsid w:val="622E6303"/>
    <w:rsid w:val="62471DC7"/>
    <w:rsid w:val="6255468D"/>
    <w:rsid w:val="62561CD2"/>
    <w:rsid w:val="62680EC7"/>
    <w:rsid w:val="626C03E0"/>
    <w:rsid w:val="627C7C5E"/>
    <w:rsid w:val="62960D78"/>
    <w:rsid w:val="62990D17"/>
    <w:rsid w:val="62A90382"/>
    <w:rsid w:val="62B81CEC"/>
    <w:rsid w:val="62BE7E0A"/>
    <w:rsid w:val="62E811C6"/>
    <w:rsid w:val="62F47263"/>
    <w:rsid w:val="62FA228C"/>
    <w:rsid w:val="62FB600F"/>
    <w:rsid w:val="63040641"/>
    <w:rsid w:val="630D08BA"/>
    <w:rsid w:val="6310715A"/>
    <w:rsid w:val="631B65D7"/>
    <w:rsid w:val="63232025"/>
    <w:rsid w:val="63293172"/>
    <w:rsid w:val="6344684F"/>
    <w:rsid w:val="635F2FEC"/>
    <w:rsid w:val="63602CA4"/>
    <w:rsid w:val="63673EA9"/>
    <w:rsid w:val="637D1787"/>
    <w:rsid w:val="63815AF1"/>
    <w:rsid w:val="638A40F6"/>
    <w:rsid w:val="638E7611"/>
    <w:rsid w:val="639840E9"/>
    <w:rsid w:val="639A73F5"/>
    <w:rsid w:val="63AF0278"/>
    <w:rsid w:val="63B332AA"/>
    <w:rsid w:val="63BB1850"/>
    <w:rsid w:val="63C139F2"/>
    <w:rsid w:val="63C55243"/>
    <w:rsid w:val="63C6006B"/>
    <w:rsid w:val="63C81BB2"/>
    <w:rsid w:val="63CD5941"/>
    <w:rsid w:val="63D72032"/>
    <w:rsid w:val="63DA3F38"/>
    <w:rsid w:val="63E30160"/>
    <w:rsid w:val="63EE340C"/>
    <w:rsid w:val="640137AC"/>
    <w:rsid w:val="640408EA"/>
    <w:rsid w:val="640F2B8E"/>
    <w:rsid w:val="642D0A4A"/>
    <w:rsid w:val="643A144D"/>
    <w:rsid w:val="64476427"/>
    <w:rsid w:val="64490E1D"/>
    <w:rsid w:val="64525932"/>
    <w:rsid w:val="648B38CB"/>
    <w:rsid w:val="64A407EA"/>
    <w:rsid w:val="64A740F7"/>
    <w:rsid w:val="64B8753F"/>
    <w:rsid w:val="64BA6602"/>
    <w:rsid w:val="64BD6A73"/>
    <w:rsid w:val="64D11109"/>
    <w:rsid w:val="64EF3679"/>
    <w:rsid w:val="6503215C"/>
    <w:rsid w:val="651476C9"/>
    <w:rsid w:val="652017AA"/>
    <w:rsid w:val="65205BC8"/>
    <w:rsid w:val="654E5961"/>
    <w:rsid w:val="655B3011"/>
    <w:rsid w:val="65693BE6"/>
    <w:rsid w:val="658247F4"/>
    <w:rsid w:val="65891DFF"/>
    <w:rsid w:val="658E3951"/>
    <w:rsid w:val="65972A83"/>
    <w:rsid w:val="65A0538E"/>
    <w:rsid w:val="65A70A8C"/>
    <w:rsid w:val="65AB3211"/>
    <w:rsid w:val="65AD613A"/>
    <w:rsid w:val="65C65085"/>
    <w:rsid w:val="65C717CF"/>
    <w:rsid w:val="65F20388"/>
    <w:rsid w:val="65FA4AC5"/>
    <w:rsid w:val="66001D82"/>
    <w:rsid w:val="660B5B61"/>
    <w:rsid w:val="66121054"/>
    <w:rsid w:val="66363859"/>
    <w:rsid w:val="66383A52"/>
    <w:rsid w:val="663C3A33"/>
    <w:rsid w:val="663D4225"/>
    <w:rsid w:val="66554317"/>
    <w:rsid w:val="665663F3"/>
    <w:rsid w:val="665B501F"/>
    <w:rsid w:val="665C758A"/>
    <w:rsid w:val="66605048"/>
    <w:rsid w:val="66810457"/>
    <w:rsid w:val="66895D31"/>
    <w:rsid w:val="66A917D0"/>
    <w:rsid w:val="66A92206"/>
    <w:rsid w:val="66B9069D"/>
    <w:rsid w:val="66B9436C"/>
    <w:rsid w:val="66F2202C"/>
    <w:rsid w:val="66F50E0E"/>
    <w:rsid w:val="6709557C"/>
    <w:rsid w:val="67213873"/>
    <w:rsid w:val="67315FB2"/>
    <w:rsid w:val="67375B96"/>
    <w:rsid w:val="673C2534"/>
    <w:rsid w:val="67441793"/>
    <w:rsid w:val="6745590F"/>
    <w:rsid w:val="67480189"/>
    <w:rsid w:val="67550C51"/>
    <w:rsid w:val="676B6342"/>
    <w:rsid w:val="67974707"/>
    <w:rsid w:val="67A05A19"/>
    <w:rsid w:val="67AE5609"/>
    <w:rsid w:val="67C728C8"/>
    <w:rsid w:val="67D8330D"/>
    <w:rsid w:val="67DC6844"/>
    <w:rsid w:val="67F94F2A"/>
    <w:rsid w:val="67FE2275"/>
    <w:rsid w:val="680D037A"/>
    <w:rsid w:val="6814520D"/>
    <w:rsid w:val="681B1FF2"/>
    <w:rsid w:val="681F7F03"/>
    <w:rsid w:val="68394D22"/>
    <w:rsid w:val="68661947"/>
    <w:rsid w:val="686676DF"/>
    <w:rsid w:val="688D175F"/>
    <w:rsid w:val="689100B8"/>
    <w:rsid w:val="689C3AB7"/>
    <w:rsid w:val="689F4406"/>
    <w:rsid w:val="68A121FC"/>
    <w:rsid w:val="68AB309B"/>
    <w:rsid w:val="68B7262B"/>
    <w:rsid w:val="68B82018"/>
    <w:rsid w:val="68B84BA6"/>
    <w:rsid w:val="68BC730D"/>
    <w:rsid w:val="68C813B1"/>
    <w:rsid w:val="68DD53FC"/>
    <w:rsid w:val="68DE71DD"/>
    <w:rsid w:val="68DE7CE9"/>
    <w:rsid w:val="68E87F49"/>
    <w:rsid w:val="690D592E"/>
    <w:rsid w:val="6910053C"/>
    <w:rsid w:val="69180F1A"/>
    <w:rsid w:val="69223013"/>
    <w:rsid w:val="69276884"/>
    <w:rsid w:val="692F2AB0"/>
    <w:rsid w:val="695056CB"/>
    <w:rsid w:val="69535537"/>
    <w:rsid w:val="69596DF0"/>
    <w:rsid w:val="69665D7C"/>
    <w:rsid w:val="697326F2"/>
    <w:rsid w:val="697C63A7"/>
    <w:rsid w:val="698C2B4A"/>
    <w:rsid w:val="698C5B0E"/>
    <w:rsid w:val="69A57277"/>
    <w:rsid w:val="69A73E05"/>
    <w:rsid w:val="69AE0EB0"/>
    <w:rsid w:val="69AE3751"/>
    <w:rsid w:val="69B268CB"/>
    <w:rsid w:val="69C61397"/>
    <w:rsid w:val="69C66413"/>
    <w:rsid w:val="69DA2A1C"/>
    <w:rsid w:val="69DD0B5A"/>
    <w:rsid w:val="69E5263C"/>
    <w:rsid w:val="6A032595"/>
    <w:rsid w:val="6A0874F3"/>
    <w:rsid w:val="6A1A180A"/>
    <w:rsid w:val="6A493DB1"/>
    <w:rsid w:val="6A4E282F"/>
    <w:rsid w:val="6A503198"/>
    <w:rsid w:val="6A5A73B8"/>
    <w:rsid w:val="6A6D3C5D"/>
    <w:rsid w:val="6A6E1C62"/>
    <w:rsid w:val="6A7A7EB1"/>
    <w:rsid w:val="6A7D4F20"/>
    <w:rsid w:val="6A82411A"/>
    <w:rsid w:val="6A990E9E"/>
    <w:rsid w:val="6A9B41FC"/>
    <w:rsid w:val="6AA10243"/>
    <w:rsid w:val="6AA70D99"/>
    <w:rsid w:val="6AAD51C6"/>
    <w:rsid w:val="6AB75776"/>
    <w:rsid w:val="6ABC7C37"/>
    <w:rsid w:val="6AE2715B"/>
    <w:rsid w:val="6AEE33D8"/>
    <w:rsid w:val="6AF05259"/>
    <w:rsid w:val="6B0374C2"/>
    <w:rsid w:val="6B0C030D"/>
    <w:rsid w:val="6B104745"/>
    <w:rsid w:val="6B2709C1"/>
    <w:rsid w:val="6B3E579A"/>
    <w:rsid w:val="6B452252"/>
    <w:rsid w:val="6B504AD2"/>
    <w:rsid w:val="6B6C2DE9"/>
    <w:rsid w:val="6B751911"/>
    <w:rsid w:val="6B754F41"/>
    <w:rsid w:val="6B7E0536"/>
    <w:rsid w:val="6B996D7C"/>
    <w:rsid w:val="6B9C2EC3"/>
    <w:rsid w:val="6BA46774"/>
    <w:rsid w:val="6BAE62DC"/>
    <w:rsid w:val="6BC9270F"/>
    <w:rsid w:val="6BD4013B"/>
    <w:rsid w:val="6BE11AD4"/>
    <w:rsid w:val="6BE80665"/>
    <w:rsid w:val="6BEB73C2"/>
    <w:rsid w:val="6C0751AA"/>
    <w:rsid w:val="6C1560E5"/>
    <w:rsid w:val="6C186C85"/>
    <w:rsid w:val="6C2336E6"/>
    <w:rsid w:val="6C26368D"/>
    <w:rsid w:val="6C421CD9"/>
    <w:rsid w:val="6C547677"/>
    <w:rsid w:val="6C56459D"/>
    <w:rsid w:val="6C624472"/>
    <w:rsid w:val="6C792FF2"/>
    <w:rsid w:val="6CD0177E"/>
    <w:rsid w:val="6CD5481B"/>
    <w:rsid w:val="6CE83D9D"/>
    <w:rsid w:val="6CF36148"/>
    <w:rsid w:val="6CFE393A"/>
    <w:rsid w:val="6D1A42DC"/>
    <w:rsid w:val="6D273A73"/>
    <w:rsid w:val="6D2C2B9D"/>
    <w:rsid w:val="6D2E59D5"/>
    <w:rsid w:val="6D326C28"/>
    <w:rsid w:val="6D3D70C5"/>
    <w:rsid w:val="6D463148"/>
    <w:rsid w:val="6D4B5C01"/>
    <w:rsid w:val="6D4F7785"/>
    <w:rsid w:val="6D516AA1"/>
    <w:rsid w:val="6D5D7A02"/>
    <w:rsid w:val="6D642F5B"/>
    <w:rsid w:val="6D667382"/>
    <w:rsid w:val="6D68098E"/>
    <w:rsid w:val="6D6E7202"/>
    <w:rsid w:val="6D7B1658"/>
    <w:rsid w:val="6D823545"/>
    <w:rsid w:val="6D891408"/>
    <w:rsid w:val="6D9230FD"/>
    <w:rsid w:val="6DA71779"/>
    <w:rsid w:val="6DAC76C7"/>
    <w:rsid w:val="6DB20147"/>
    <w:rsid w:val="6DD4004F"/>
    <w:rsid w:val="6DEE487E"/>
    <w:rsid w:val="6DF12B49"/>
    <w:rsid w:val="6E0903B5"/>
    <w:rsid w:val="6E145579"/>
    <w:rsid w:val="6E25205C"/>
    <w:rsid w:val="6E307000"/>
    <w:rsid w:val="6E32257E"/>
    <w:rsid w:val="6E4303BB"/>
    <w:rsid w:val="6E461283"/>
    <w:rsid w:val="6E4A6AA3"/>
    <w:rsid w:val="6E6E6F44"/>
    <w:rsid w:val="6E6F67F7"/>
    <w:rsid w:val="6E757363"/>
    <w:rsid w:val="6E770A19"/>
    <w:rsid w:val="6E813C9F"/>
    <w:rsid w:val="6E825E74"/>
    <w:rsid w:val="6E855A0C"/>
    <w:rsid w:val="6E8629AA"/>
    <w:rsid w:val="6E8A0742"/>
    <w:rsid w:val="6E8A07B6"/>
    <w:rsid w:val="6E8C5760"/>
    <w:rsid w:val="6E9D49F7"/>
    <w:rsid w:val="6EA92348"/>
    <w:rsid w:val="6EAE3EF2"/>
    <w:rsid w:val="6EC27A2E"/>
    <w:rsid w:val="6EC76A1E"/>
    <w:rsid w:val="6EDB7445"/>
    <w:rsid w:val="6EEE17F3"/>
    <w:rsid w:val="6EEE3CF6"/>
    <w:rsid w:val="6EF05B06"/>
    <w:rsid w:val="6F0F25E9"/>
    <w:rsid w:val="6F143B90"/>
    <w:rsid w:val="6F1B1A8F"/>
    <w:rsid w:val="6F2D2FF7"/>
    <w:rsid w:val="6F3D3A88"/>
    <w:rsid w:val="6F563C45"/>
    <w:rsid w:val="6F6D1A25"/>
    <w:rsid w:val="6F9A5AAA"/>
    <w:rsid w:val="6FA00D42"/>
    <w:rsid w:val="6FD720C4"/>
    <w:rsid w:val="6FE45002"/>
    <w:rsid w:val="6FFB53EF"/>
    <w:rsid w:val="6FFC72D0"/>
    <w:rsid w:val="6FFD1C75"/>
    <w:rsid w:val="700623F9"/>
    <w:rsid w:val="7018244B"/>
    <w:rsid w:val="702E3615"/>
    <w:rsid w:val="7033667C"/>
    <w:rsid w:val="703A1916"/>
    <w:rsid w:val="7050173D"/>
    <w:rsid w:val="70591C88"/>
    <w:rsid w:val="705A7D52"/>
    <w:rsid w:val="70616D0C"/>
    <w:rsid w:val="7075590D"/>
    <w:rsid w:val="707A3867"/>
    <w:rsid w:val="7085053F"/>
    <w:rsid w:val="70AD1262"/>
    <w:rsid w:val="70BD51FE"/>
    <w:rsid w:val="70C22946"/>
    <w:rsid w:val="70C26E0B"/>
    <w:rsid w:val="70CB3CAF"/>
    <w:rsid w:val="70DE67C4"/>
    <w:rsid w:val="70E90967"/>
    <w:rsid w:val="70F0642A"/>
    <w:rsid w:val="70F6140C"/>
    <w:rsid w:val="71001B1F"/>
    <w:rsid w:val="711F644E"/>
    <w:rsid w:val="712477D6"/>
    <w:rsid w:val="71304A47"/>
    <w:rsid w:val="713C15E3"/>
    <w:rsid w:val="714568A8"/>
    <w:rsid w:val="717077BB"/>
    <w:rsid w:val="7174653A"/>
    <w:rsid w:val="717F7996"/>
    <w:rsid w:val="71830F0F"/>
    <w:rsid w:val="71957C07"/>
    <w:rsid w:val="71A61694"/>
    <w:rsid w:val="71B45E10"/>
    <w:rsid w:val="71C753AE"/>
    <w:rsid w:val="71CD740D"/>
    <w:rsid w:val="71D2330D"/>
    <w:rsid w:val="71D34D52"/>
    <w:rsid w:val="71D91518"/>
    <w:rsid w:val="71EA4504"/>
    <w:rsid w:val="71F139C5"/>
    <w:rsid w:val="723B39B7"/>
    <w:rsid w:val="723B4479"/>
    <w:rsid w:val="724B7D37"/>
    <w:rsid w:val="7254576F"/>
    <w:rsid w:val="72585147"/>
    <w:rsid w:val="729A077B"/>
    <w:rsid w:val="72A1578B"/>
    <w:rsid w:val="72F776B6"/>
    <w:rsid w:val="72FA7AA3"/>
    <w:rsid w:val="730E294B"/>
    <w:rsid w:val="7312091A"/>
    <w:rsid w:val="73132B84"/>
    <w:rsid w:val="731C3361"/>
    <w:rsid w:val="731F2817"/>
    <w:rsid w:val="73215830"/>
    <w:rsid w:val="73236972"/>
    <w:rsid w:val="73240412"/>
    <w:rsid w:val="732649D8"/>
    <w:rsid w:val="7329620B"/>
    <w:rsid w:val="73322BB2"/>
    <w:rsid w:val="73416349"/>
    <w:rsid w:val="73460D57"/>
    <w:rsid w:val="73506C86"/>
    <w:rsid w:val="73531C6F"/>
    <w:rsid w:val="73677636"/>
    <w:rsid w:val="737107BC"/>
    <w:rsid w:val="738C054E"/>
    <w:rsid w:val="73915971"/>
    <w:rsid w:val="73983A14"/>
    <w:rsid w:val="739968F1"/>
    <w:rsid w:val="73A01F24"/>
    <w:rsid w:val="73B31212"/>
    <w:rsid w:val="73C706E8"/>
    <w:rsid w:val="73DF241F"/>
    <w:rsid w:val="73EE7A58"/>
    <w:rsid w:val="73FB45F5"/>
    <w:rsid w:val="740056F9"/>
    <w:rsid w:val="740419EB"/>
    <w:rsid w:val="74123227"/>
    <w:rsid w:val="74182F7E"/>
    <w:rsid w:val="741965D0"/>
    <w:rsid w:val="742565A8"/>
    <w:rsid w:val="74283B00"/>
    <w:rsid w:val="74304C22"/>
    <w:rsid w:val="743C1E41"/>
    <w:rsid w:val="744256C2"/>
    <w:rsid w:val="74595865"/>
    <w:rsid w:val="746138ED"/>
    <w:rsid w:val="74924346"/>
    <w:rsid w:val="74955AEA"/>
    <w:rsid w:val="74B1067D"/>
    <w:rsid w:val="74BA2334"/>
    <w:rsid w:val="74C35650"/>
    <w:rsid w:val="74CD44CD"/>
    <w:rsid w:val="74D36180"/>
    <w:rsid w:val="74FE70D1"/>
    <w:rsid w:val="750715C2"/>
    <w:rsid w:val="75142118"/>
    <w:rsid w:val="7517027F"/>
    <w:rsid w:val="751E1100"/>
    <w:rsid w:val="75276614"/>
    <w:rsid w:val="753869C5"/>
    <w:rsid w:val="7557429F"/>
    <w:rsid w:val="75616D41"/>
    <w:rsid w:val="756625AB"/>
    <w:rsid w:val="75764963"/>
    <w:rsid w:val="757730B6"/>
    <w:rsid w:val="75A63C8A"/>
    <w:rsid w:val="75C91266"/>
    <w:rsid w:val="75EB7BDB"/>
    <w:rsid w:val="75ED6E01"/>
    <w:rsid w:val="75F93452"/>
    <w:rsid w:val="761076A9"/>
    <w:rsid w:val="761C0421"/>
    <w:rsid w:val="763E225A"/>
    <w:rsid w:val="764D62E1"/>
    <w:rsid w:val="76785C66"/>
    <w:rsid w:val="767A2D36"/>
    <w:rsid w:val="76850E1A"/>
    <w:rsid w:val="768D2053"/>
    <w:rsid w:val="76907CFB"/>
    <w:rsid w:val="769A7DA9"/>
    <w:rsid w:val="76DC3B4D"/>
    <w:rsid w:val="76E42818"/>
    <w:rsid w:val="76F914AB"/>
    <w:rsid w:val="76FF7153"/>
    <w:rsid w:val="770956A0"/>
    <w:rsid w:val="771A237F"/>
    <w:rsid w:val="771E26A0"/>
    <w:rsid w:val="77343F9C"/>
    <w:rsid w:val="77394D47"/>
    <w:rsid w:val="773E5FE9"/>
    <w:rsid w:val="775E61A5"/>
    <w:rsid w:val="776D603C"/>
    <w:rsid w:val="77831225"/>
    <w:rsid w:val="77876583"/>
    <w:rsid w:val="7792244F"/>
    <w:rsid w:val="77E51331"/>
    <w:rsid w:val="77E944A3"/>
    <w:rsid w:val="77F2276C"/>
    <w:rsid w:val="77F73378"/>
    <w:rsid w:val="77F80681"/>
    <w:rsid w:val="780E01D2"/>
    <w:rsid w:val="7822520B"/>
    <w:rsid w:val="782544B8"/>
    <w:rsid w:val="78301E8D"/>
    <w:rsid w:val="78302860"/>
    <w:rsid w:val="78472146"/>
    <w:rsid w:val="784D40F8"/>
    <w:rsid w:val="784F464B"/>
    <w:rsid w:val="78551271"/>
    <w:rsid w:val="78557E14"/>
    <w:rsid w:val="786F7E73"/>
    <w:rsid w:val="78717701"/>
    <w:rsid w:val="787658A5"/>
    <w:rsid w:val="78AB6594"/>
    <w:rsid w:val="78B339EA"/>
    <w:rsid w:val="78B362CD"/>
    <w:rsid w:val="78D528B2"/>
    <w:rsid w:val="78D95341"/>
    <w:rsid w:val="78DB0D92"/>
    <w:rsid w:val="78E442E2"/>
    <w:rsid w:val="78F55DC2"/>
    <w:rsid w:val="7906187B"/>
    <w:rsid w:val="79151C55"/>
    <w:rsid w:val="791A7E4F"/>
    <w:rsid w:val="791B0E20"/>
    <w:rsid w:val="79232914"/>
    <w:rsid w:val="794A35E0"/>
    <w:rsid w:val="795C1CB2"/>
    <w:rsid w:val="79610714"/>
    <w:rsid w:val="7964302A"/>
    <w:rsid w:val="79797450"/>
    <w:rsid w:val="79820BF9"/>
    <w:rsid w:val="79824870"/>
    <w:rsid w:val="798376E8"/>
    <w:rsid w:val="79B16073"/>
    <w:rsid w:val="79B67E30"/>
    <w:rsid w:val="79C53B9D"/>
    <w:rsid w:val="79CD6325"/>
    <w:rsid w:val="79D913F6"/>
    <w:rsid w:val="79E86199"/>
    <w:rsid w:val="79F33328"/>
    <w:rsid w:val="79F40E7B"/>
    <w:rsid w:val="79F93126"/>
    <w:rsid w:val="7A037E7A"/>
    <w:rsid w:val="7A076314"/>
    <w:rsid w:val="7A2D1289"/>
    <w:rsid w:val="7A2E39CD"/>
    <w:rsid w:val="7A3336C1"/>
    <w:rsid w:val="7A3B3D98"/>
    <w:rsid w:val="7A3C1C4A"/>
    <w:rsid w:val="7A45162A"/>
    <w:rsid w:val="7A667F33"/>
    <w:rsid w:val="7A785D62"/>
    <w:rsid w:val="7A807F70"/>
    <w:rsid w:val="7A814E17"/>
    <w:rsid w:val="7A8D010C"/>
    <w:rsid w:val="7A967DAB"/>
    <w:rsid w:val="7A9C14AB"/>
    <w:rsid w:val="7AAD7873"/>
    <w:rsid w:val="7ABF7500"/>
    <w:rsid w:val="7AE70085"/>
    <w:rsid w:val="7B13398F"/>
    <w:rsid w:val="7B1C6353"/>
    <w:rsid w:val="7B3F3765"/>
    <w:rsid w:val="7B62174E"/>
    <w:rsid w:val="7B640FC5"/>
    <w:rsid w:val="7B95186E"/>
    <w:rsid w:val="7B987AAB"/>
    <w:rsid w:val="7B9A0013"/>
    <w:rsid w:val="7BA064E2"/>
    <w:rsid w:val="7BAA02D1"/>
    <w:rsid w:val="7BB124AE"/>
    <w:rsid w:val="7BCA3F5C"/>
    <w:rsid w:val="7BDA0468"/>
    <w:rsid w:val="7BE2536E"/>
    <w:rsid w:val="7BF354FC"/>
    <w:rsid w:val="7BF82D97"/>
    <w:rsid w:val="7C0238B7"/>
    <w:rsid w:val="7C0509E6"/>
    <w:rsid w:val="7C101DB3"/>
    <w:rsid w:val="7C1A269F"/>
    <w:rsid w:val="7C1D6FE5"/>
    <w:rsid w:val="7C23015D"/>
    <w:rsid w:val="7C2C1C77"/>
    <w:rsid w:val="7C4A720D"/>
    <w:rsid w:val="7C537F30"/>
    <w:rsid w:val="7C5D4606"/>
    <w:rsid w:val="7C6C3C2A"/>
    <w:rsid w:val="7CA424A5"/>
    <w:rsid w:val="7CAB1976"/>
    <w:rsid w:val="7CD12293"/>
    <w:rsid w:val="7CDE0CF5"/>
    <w:rsid w:val="7CEE73AE"/>
    <w:rsid w:val="7D0F22E6"/>
    <w:rsid w:val="7D1E20AC"/>
    <w:rsid w:val="7D2F43D4"/>
    <w:rsid w:val="7D35442C"/>
    <w:rsid w:val="7D357D0E"/>
    <w:rsid w:val="7D387D4C"/>
    <w:rsid w:val="7D493499"/>
    <w:rsid w:val="7D493D4F"/>
    <w:rsid w:val="7D4C7986"/>
    <w:rsid w:val="7D4D7CB3"/>
    <w:rsid w:val="7D61398D"/>
    <w:rsid w:val="7D621183"/>
    <w:rsid w:val="7D6E46D8"/>
    <w:rsid w:val="7D731C46"/>
    <w:rsid w:val="7D7A7FBB"/>
    <w:rsid w:val="7D7B7C17"/>
    <w:rsid w:val="7D8F799A"/>
    <w:rsid w:val="7D9C4A5D"/>
    <w:rsid w:val="7DA120D8"/>
    <w:rsid w:val="7DE217B0"/>
    <w:rsid w:val="7DEC61AC"/>
    <w:rsid w:val="7E0761AA"/>
    <w:rsid w:val="7E0878AC"/>
    <w:rsid w:val="7E0D74D1"/>
    <w:rsid w:val="7E2D59BC"/>
    <w:rsid w:val="7E2E3439"/>
    <w:rsid w:val="7E314310"/>
    <w:rsid w:val="7E4B4493"/>
    <w:rsid w:val="7E534970"/>
    <w:rsid w:val="7E6B5317"/>
    <w:rsid w:val="7E7919EC"/>
    <w:rsid w:val="7E7C6CC0"/>
    <w:rsid w:val="7E7D273F"/>
    <w:rsid w:val="7E89263F"/>
    <w:rsid w:val="7E9F3AAF"/>
    <w:rsid w:val="7EA178C6"/>
    <w:rsid w:val="7EA7330E"/>
    <w:rsid w:val="7EAE71B6"/>
    <w:rsid w:val="7EB92AC5"/>
    <w:rsid w:val="7EBA565B"/>
    <w:rsid w:val="7EBE74E5"/>
    <w:rsid w:val="7EC409CC"/>
    <w:rsid w:val="7EC97766"/>
    <w:rsid w:val="7ED555EA"/>
    <w:rsid w:val="7EDB4E6E"/>
    <w:rsid w:val="7EE60D04"/>
    <w:rsid w:val="7EE62151"/>
    <w:rsid w:val="7EEE6E16"/>
    <w:rsid w:val="7EFC634E"/>
    <w:rsid w:val="7F2C55AD"/>
    <w:rsid w:val="7F321726"/>
    <w:rsid w:val="7F3647EA"/>
    <w:rsid w:val="7F3D406D"/>
    <w:rsid w:val="7F3E403C"/>
    <w:rsid w:val="7F4835BA"/>
    <w:rsid w:val="7F492C5A"/>
    <w:rsid w:val="7F52022A"/>
    <w:rsid w:val="7F5F5705"/>
    <w:rsid w:val="7F7D3820"/>
    <w:rsid w:val="7FC23A6E"/>
    <w:rsid w:val="7FE40492"/>
    <w:rsid w:val="7FE8461C"/>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iPriority="0" w:name="heading 3" w:locked="1"/>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locked/>
    <w:uiPriority w:val="99"/>
    <w:pPr>
      <w:keepNext/>
      <w:keepLines/>
      <w:spacing w:line="360" w:lineRule="auto"/>
      <w:jc w:val="center"/>
      <w:outlineLvl w:val="1"/>
    </w:pPr>
    <w:rPr>
      <w:rFonts w:ascii="Cambria" w:hAnsi="Cambria" w:eastAsia="楷体_GB2312"/>
      <w:sz w:val="32"/>
      <w:szCs w:val="32"/>
    </w:rPr>
  </w:style>
  <w:style w:type="paragraph" w:styleId="4">
    <w:name w:val="heading 4"/>
    <w:basedOn w:val="3"/>
    <w:next w:val="1"/>
    <w:qFormat/>
    <w:locked/>
    <w:uiPriority w:val="99"/>
    <w:pPr>
      <w:outlineLvl w:val="3"/>
    </w:pPr>
    <w:rPr>
      <w:rFonts w:eastAsia="仿宋_GB2312"/>
      <w:b/>
      <w:bCs/>
      <w:sz w:val="28"/>
      <w:szCs w:val="28"/>
    </w:rPr>
  </w:style>
  <w:style w:type="character" w:default="1" w:styleId="11">
    <w:name w:val="Default Paragraph Font"/>
    <w:semiHidden/>
    <w:qFormat/>
    <w:uiPriority w:val="99"/>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5">
    <w:name w:val="Normal Indent"/>
    <w:basedOn w:val="1"/>
    <w:unhideWhenUsed/>
    <w:qFormat/>
    <w:uiPriority w:val="99"/>
    <w:pPr>
      <w:ind w:firstLine="420" w:firstLineChars="200"/>
    </w:pPr>
  </w:style>
  <w:style w:type="paragraph" w:styleId="6">
    <w:name w:val="Body Text Indent"/>
    <w:basedOn w:val="1"/>
    <w:qFormat/>
    <w:uiPriority w:val="99"/>
    <w:pPr>
      <w:ind w:left="420" w:leftChars="200"/>
    </w:pPr>
    <w:rPr>
      <w:rFonts w:ascii="Times New Roman" w:hAnsi="Times New Roman"/>
    </w:rPr>
  </w:style>
  <w:style w:type="paragraph" w:styleId="7">
    <w:name w:val="footer"/>
    <w:basedOn w:val="1"/>
    <w:link w:val="17"/>
    <w:semiHidden/>
    <w:qFormat/>
    <w:uiPriority w:val="99"/>
    <w:pPr>
      <w:tabs>
        <w:tab w:val="center" w:pos="4153"/>
        <w:tab w:val="right" w:pos="8306"/>
      </w:tabs>
      <w:snapToGrid w:val="0"/>
      <w:jc w:val="left"/>
    </w:pPr>
    <w:rPr>
      <w:rFonts w:ascii="Calibri" w:hAnsi="Calibri"/>
      <w:sz w:val="18"/>
      <w:szCs w:val="18"/>
    </w:rPr>
  </w:style>
  <w:style w:type="paragraph" w:styleId="8">
    <w:name w:val="Body Text First Indent 2"/>
    <w:basedOn w:val="6"/>
    <w:qFormat/>
    <w:uiPriority w:val="99"/>
    <w:pPr>
      <w:ind w:firstLine="420" w:firstLineChars="200"/>
    </w:p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2"/>
    </w:rPr>
  </w:style>
  <w:style w:type="character" w:styleId="12">
    <w:name w:val="Strong"/>
    <w:basedOn w:val="11"/>
    <w:qFormat/>
    <w:uiPriority w:val="99"/>
    <w:rPr>
      <w:rFonts w:cs="Times New Roman"/>
      <w:b/>
    </w:rPr>
  </w:style>
  <w:style w:type="character" w:styleId="13">
    <w:name w:val="FollowedHyperlink"/>
    <w:basedOn w:val="11"/>
    <w:unhideWhenUsed/>
    <w:qFormat/>
    <w:uiPriority w:val="99"/>
    <w:rPr>
      <w:color w:val="000000"/>
      <w:u w:val="none"/>
    </w:rPr>
  </w:style>
  <w:style w:type="character" w:styleId="14">
    <w:name w:val="Hyperlink"/>
    <w:basedOn w:val="11"/>
    <w:unhideWhenUsed/>
    <w:qFormat/>
    <w:uiPriority w:val="99"/>
    <w:rPr>
      <w:color w:val="000000"/>
      <w:u w:val="none"/>
    </w:rPr>
  </w:style>
  <w:style w:type="table" w:styleId="16">
    <w:name w:val="Table Grid"/>
    <w:basedOn w:val="1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Footer Char"/>
    <w:basedOn w:val="11"/>
    <w:link w:val="7"/>
    <w:semiHidden/>
    <w:qFormat/>
    <w:locked/>
    <w:uiPriority w:val="99"/>
    <w:rPr>
      <w:rFonts w:cs="Times New Roman"/>
      <w:sz w:val="18"/>
      <w:szCs w:val="18"/>
    </w:rPr>
  </w:style>
  <w:style w:type="character" w:customStyle="1" w:styleId="18">
    <w:name w:val="Header Char"/>
    <w:basedOn w:val="11"/>
    <w:link w:val="9"/>
    <w:semiHidden/>
    <w:qFormat/>
    <w:locked/>
    <w:uiPriority w:val="99"/>
    <w:rPr>
      <w:rFonts w:cs="Times New Roman"/>
      <w:sz w:val="18"/>
      <w:szCs w:val="18"/>
    </w:rPr>
  </w:style>
  <w:style w:type="paragraph" w:customStyle="1" w:styleId="19">
    <w:name w:val="p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0">
    <w:name w:val="pa-2"/>
    <w:basedOn w:val="1"/>
    <w:qFormat/>
    <w:uiPriority w:val="0"/>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9</Pages>
  <Words>741</Words>
  <Characters>4228</Characters>
  <Lines>0</Lines>
  <Paragraphs>0</Paragraphs>
  <TotalTime>0</TotalTime>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2017-12-12T03:21:00Z</dcterms:created>
  <dc:creator>user</dc:creator>
  <cp:lastModifiedBy>user1</cp:lastModifiedBy>
  <cp:lastPrinted>2021-11-23T09:32:00Z</cp:lastPrinted>
  <dcterms:modified xsi:type="dcterms:W3CDTF">2023-07-13T03:10:59Z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93C84B7CA248455BAC7C1E4CE18C1909</vt:lpwstr>
  </property>
</Properties>
</file>