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hint="default" w:ascii="Times New Roman" w:hAnsi="Times New Roman" w:eastAsia="Arial Unicode MS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 w:bidi="ar-SA"/>
        </w:rPr>
        <w:t>德阳市罗江区2024年度食品安全重点工作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 w:bidi="ar-SA"/>
        </w:rPr>
        <w:t>任务和责任分工</w:t>
      </w:r>
    </w:p>
    <w:p>
      <w:pPr>
        <w:rPr>
          <w:rFonts w:hint="eastAsia" w:ascii="Times New Roman" w:hAnsi="Times New Roman"/>
          <w:lang w:val="en-US" w:eastAsia="zh-CN"/>
        </w:rPr>
      </w:pPr>
    </w:p>
    <w:tbl>
      <w:tblPr>
        <w:tblStyle w:val="14"/>
        <w:tblW w:w="94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660"/>
        <w:gridCol w:w="1679"/>
        <w:gridCol w:w="1454"/>
        <w:gridCol w:w="3718"/>
        <w:gridCol w:w="1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67" w:type="dxa"/>
            <w:gridSpan w:val="2"/>
            <w:vAlign w:val="top"/>
          </w:tcPr>
          <w:p>
            <w:pPr>
              <w:pStyle w:val="13"/>
              <w:spacing w:before="181" w:line="271" w:lineRule="exact"/>
              <w:ind w:left="2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9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工作任务</w:t>
            </w:r>
          </w:p>
        </w:tc>
        <w:tc>
          <w:tcPr>
            <w:tcW w:w="1679" w:type="dxa"/>
            <w:vAlign w:val="top"/>
          </w:tcPr>
          <w:p>
            <w:pPr>
              <w:pStyle w:val="13"/>
              <w:spacing w:before="181" w:line="271" w:lineRule="exact"/>
              <w:ind w:left="4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9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工作内容</w:t>
            </w:r>
          </w:p>
        </w:tc>
        <w:tc>
          <w:tcPr>
            <w:tcW w:w="1454" w:type="dxa"/>
            <w:vAlign w:val="top"/>
          </w:tcPr>
          <w:p>
            <w:pPr>
              <w:pStyle w:val="13"/>
              <w:spacing w:before="181" w:line="271" w:lineRule="exact"/>
              <w:ind w:left="3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9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考核指标</w:t>
            </w:r>
          </w:p>
        </w:tc>
        <w:tc>
          <w:tcPr>
            <w:tcW w:w="3718" w:type="dxa"/>
            <w:vAlign w:val="top"/>
          </w:tcPr>
          <w:p>
            <w:pPr>
              <w:pStyle w:val="13"/>
              <w:spacing w:before="181" w:line="271" w:lineRule="exact"/>
              <w:ind w:left="9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工作目标或考核要求</w:t>
            </w:r>
          </w:p>
        </w:tc>
        <w:tc>
          <w:tcPr>
            <w:tcW w:w="1225" w:type="dxa"/>
            <w:vAlign w:val="top"/>
          </w:tcPr>
          <w:p>
            <w:pPr>
              <w:pStyle w:val="13"/>
              <w:spacing w:before="181" w:line="271" w:lineRule="exact"/>
              <w:ind w:left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8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责任分工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年度重点工作任 务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基础性工作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全面完成省、市、区下达的2024年度食品安全重点工作安排明确的各项工作任务，确保不发生Ⅳ级以上食品安全事件和重大敏感舆情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按照市对县（市、区）食品安全党政同责考核指标执行（待市考核细则正式印发后区食安办制定具体的任务和责任清单）</w:t>
            </w: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1.确保基础考核项不失分；不出现其他扣分项。</w:t>
            </w:r>
          </w:p>
        </w:tc>
        <w:tc>
          <w:tcPr>
            <w:tcW w:w="1225" w:type="dxa"/>
            <w:vMerge w:val="restart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各镇，经开区、白马关景区、科教新区管委会，区级有关部门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7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2.抽检量达到每千人3批次以上；食品、食用农产品省级以上评价性抽检合格率98%以上；不合格（问题）样品处置率100%。</w:t>
            </w:r>
          </w:p>
        </w:tc>
        <w:tc>
          <w:tcPr>
            <w:tcW w:w="12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7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3.种养殖环节农产品质量案件查办不低于3件；一般程序食品安全案件查办、移送数量均不低于三年（2021-2023）平均数量的110%；办理4件以上挂牌、督办案件，省级优秀（典型）案件4件以上。</w:t>
            </w:r>
          </w:p>
        </w:tc>
        <w:tc>
          <w:tcPr>
            <w:tcW w:w="12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4.强化对抽检不合格食品生产企业后处置工作，力争辖区内不出现同一企业同一类别产品3批次以上抽检不合格。</w:t>
            </w:r>
          </w:p>
        </w:tc>
        <w:tc>
          <w:tcPr>
            <w:tcW w:w="12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7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5.强化对已纳入包保主体和即将纳入包保的“三小”市场主体的工作督导，确保每季度各级督导完成率100%。</w:t>
            </w:r>
          </w:p>
        </w:tc>
        <w:tc>
          <w:tcPr>
            <w:tcW w:w="12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满意度指标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强化宣传，全面提升公众对食品安全的满意度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按照2024年全市食品安全民意调查指标执行</w:t>
            </w: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得分达到全市食品安全民意调查考核要求。</w:t>
            </w:r>
          </w:p>
        </w:tc>
        <w:tc>
          <w:tcPr>
            <w:tcW w:w="1225" w:type="dxa"/>
            <w:vMerge w:val="continue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7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创新创优工作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健全完善食品安全监管机制、创新工作方式方法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参照市对县（市、区）食品安全党政同责考核指标执行</w:t>
            </w: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在全市食品安全党政同责考核中获得8项以上加分。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各镇，经开区、白马关景区、科教新区管委会，区食安委成员单位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否决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指标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不发生重大及以上食品安全事件和舆情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因未履职发生的重大及以上事件直接评为C级，Ⅳ级以上每件扣10—20分。</w:t>
            </w:r>
          </w:p>
        </w:tc>
        <w:tc>
          <w:tcPr>
            <w:tcW w:w="12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因履职不到位发生的，视级别、影响、危害等情况每件扣5—10分。</w:t>
            </w:r>
          </w:p>
        </w:tc>
        <w:tc>
          <w:tcPr>
            <w:tcW w:w="12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/>
                <w:spacing w:val="9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工作任务</w:t>
            </w:r>
          </w:p>
        </w:tc>
        <w:tc>
          <w:tcPr>
            <w:tcW w:w="167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/>
                <w:spacing w:val="9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工作内容</w:t>
            </w:r>
          </w:p>
        </w:tc>
        <w:tc>
          <w:tcPr>
            <w:tcW w:w="14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/>
                <w:spacing w:val="9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考核指标</w:t>
            </w:r>
          </w:p>
        </w:tc>
        <w:tc>
          <w:tcPr>
            <w:tcW w:w="371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/>
                <w:spacing w:val="10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工作目标或考核要求</w:t>
            </w:r>
          </w:p>
        </w:tc>
        <w:tc>
          <w:tcPr>
            <w:tcW w:w="122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/>
                <w:spacing w:val="8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责任分工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重点工作目标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食品安全党政同责考核进入全市第一方阵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按照《德阳市2024年重点目标任务考核办法》执行</w:t>
            </w: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对实现目标有贡献的乡镇和区级部门，考核时可获得市上加分分值双倍加分奖励；对失分的单位五倍扣分惩罚并视情况约谈相关责任人。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各镇，经开区、白马关景区、科教新区管委会，区级有关部门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36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重点单项工作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校园食品安全排查整治专项行动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按照《德阳市校园食品安全排查整治专项行动考核评价办法》（德食安委办〔2024〕2号）执行</w:t>
            </w: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顺利通过国、省、市考核验收，确保无被上级通报、扣分事项，考核总成绩进入全市第一方阵。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各镇，经开区、白马关景区、科教新区管委会，区级有关部门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36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食品安全两个责任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按市食安办修订后的考核办法执行</w:t>
            </w: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督导任务完成率、问题发现率、问题整改率、包保归集率、包保覆盖率、食品安全责任人配备率、承诺书上传率、培训覆盖率、督查频次、动态调整及时性等符合省、市考核要求。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各镇，经开区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3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“铁拳”行动和“春雷行动2024”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按省、市市场监管局修订后的考核办法执行</w:t>
            </w:r>
          </w:p>
        </w:tc>
        <w:tc>
          <w:tcPr>
            <w:tcW w:w="3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国家级、省级典型案例、挂牌督办案件，国家级、省级联合挂牌案件，川渝联合挂牌案件，公安机关移送案件等大案要案符合省、市考核要求。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区市场监管局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FF4B3C7-D7C8-4DFB-A4D1-F836A77F113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85590A-0C43-47C3-A7DD-6F5F4A147E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348563-657A-4678-A8FB-BE3E57D498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B36BA08-0888-4485-86A8-72F98023786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4381749F-5713-4737-9796-9CA867653D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57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OTI4MGU0YWIwMDA3ZWRhODk1YzNjNTNkNmYzNjYifQ=="/>
    <w:docVar w:name="KSO_WPS_MARK_KEY" w:val="a1c13f2c-8905-4477-a716-37c2afc5f201"/>
  </w:docVars>
  <w:rsids>
    <w:rsidRoot w:val="6EC63032"/>
    <w:rsid w:val="0328539C"/>
    <w:rsid w:val="0471090E"/>
    <w:rsid w:val="05A60B5A"/>
    <w:rsid w:val="061614DB"/>
    <w:rsid w:val="089E6E53"/>
    <w:rsid w:val="08B33B0B"/>
    <w:rsid w:val="09895AEA"/>
    <w:rsid w:val="0D5A26A9"/>
    <w:rsid w:val="0EAB1E33"/>
    <w:rsid w:val="0F4331D4"/>
    <w:rsid w:val="10046A71"/>
    <w:rsid w:val="103B6BFD"/>
    <w:rsid w:val="103C2809"/>
    <w:rsid w:val="10C10351"/>
    <w:rsid w:val="179C4B84"/>
    <w:rsid w:val="18ED264E"/>
    <w:rsid w:val="1A606024"/>
    <w:rsid w:val="1AD4263E"/>
    <w:rsid w:val="1B9A444F"/>
    <w:rsid w:val="1CA27DF9"/>
    <w:rsid w:val="1CA93DF7"/>
    <w:rsid w:val="1CB3587E"/>
    <w:rsid w:val="20803E11"/>
    <w:rsid w:val="216E5E94"/>
    <w:rsid w:val="24BB08F6"/>
    <w:rsid w:val="252155A8"/>
    <w:rsid w:val="25423C43"/>
    <w:rsid w:val="25EE7927"/>
    <w:rsid w:val="266D2A5D"/>
    <w:rsid w:val="28AD3E3F"/>
    <w:rsid w:val="28E76FDC"/>
    <w:rsid w:val="29053906"/>
    <w:rsid w:val="294A30C6"/>
    <w:rsid w:val="2953641F"/>
    <w:rsid w:val="2A077209"/>
    <w:rsid w:val="2D2963EF"/>
    <w:rsid w:val="2D3D572C"/>
    <w:rsid w:val="2D67064A"/>
    <w:rsid w:val="2DE76331"/>
    <w:rsid w:val="2E963B2E"/>
    <w:rsid w:val="308A2F9A"/>
    <w:rsid w:val="318D0C1F"/>
    <w:rsid w:val="320D475A"/>
    <w:rsid w:val="33955C3D"/>
    <w:rsid w:val="3A013C75"/>
    <w:rsid w:val="3A7B3A28"/>
    <w:rsid w:val="3AB679CE"/>
    <w:rsid w:val="3B233EB4"/>
    <w:rsid w:val="41395582"/>
    <w:rsid w:val="42553FA7"/>
    <w:rsid w:val="480E11AC"/>
    <w:rsid w:val="49827046"/>
    <w:rsid w:val="4B3D3EEE"/>
    <w:rsid w:val="4DD04FF2"/>
    <w:rsid w:val="51D358BF"/>
    <w:rsid w:val="53D51BA0"/>
    <w:rsid w:val="54113DC9"/>
    <w:rsid w:val="566A4FF7"/>
    <w:rsid w:val="574865E8"/>
    <w:rsid w:val="57FA17AF"/>
    <w:rsid w:val="582E6D44"/>
    <w:rsid w:val="59323718"/>
    <w:rsid w:val="5B01367D"/>
    <w:rsid w:val="5B7B18B1"/>
    <w:rsid w:val="5D336C57"/>
    <w:rsid w:val="5DCC7F73"/>
    <w:rsid w:val="5FFB68ED"/>
    <w:rsid w:val="605C7F64"/>
    <w:rsid w:val="64326656"/>
    <w:rsid w:val="661A06AB"/>
    <w:rsid w:val="6632017B"/>
    <w:rsid w:val="6692577A"/>
    <w:rsid w:val="686C6BF7"/>
    <w:rsid w:val="687C45B3"/>
    <w:rsid w:val="6B480E55"/>
    <w:rsid w:val="6C112375"/>
    <w:rsid w:val="6C514F54"/>
    <w:rsid w:val="6D783D5B"/>
    <w:rsid w:val="6E084157"/>
    <w:rsid w:val="6EC63032"/>
    <w:rsid w:val="713E6FC7"/>
    <w:rsid w:val="714F4CEB"/>
    <w:rsid w:val="740A314B"/>
    <w:rsid w:val="7566483D"/>
    <w:rsid w:val="76781DCD"/>
    <w:rsid w:val="770C1AB3"/>
    <w:rsid w:val="77B00E12"/>
    <w:rsid w:val="794F06AD"/>
    <w:rsid w:val="79B24069"/>
    <w:rsid w:val="79C031FB"/>
    <w:rsid w:val="7A000831"/>
    <w:rsid w:val="7A480094"/>
    <w:rsid w:val="7C1746F7"/>
    <w:rsid w:val="7CC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adjustRightInd w:val="0"/>
      <w:snapToGrid w:val="0"/>
      <w:spacing w:line="640" w:lineRule="exact"/>
      <w:jc w:val="center"/>
      <w:outlineLvl w:val="0"/>
    </w:pPr>
    <w:rPr>
      <w:rFonts w:hint="eastAsia" w:ascii="方正小标宋简体" w:hAnsi="方正小标宋简体" w:eastAsia="方正小标宋简体" w:cs="Times New Roman"/>
      <w:kern w:val="44"/>
      <w:sz w:val="44"/>
      <w:szCs w:val="4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Normal Indent"/>
    <w:basedOn w:val="1"/>
    <w:autoRedefine/>
    <w:qFormat/>
    <w:uiPriority w:val="99"/>
    <w:pPr>
      <w:ind w:firstLine="420" w:firstLineChars="200"/>
    </w:pPr>
  </w:style>
  <w:style w:type="paragraph" w:styleId="6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6878</Words>
  <Characters>7019</Characters>
  <Lines>0</Lines>
  <Paragraphs>0</Paragraphs>
  <TotalTime>6</TotalTime>
  <ScaleCrop>false</ScaleCrop>
  <LinksUpToDate>false</LinksUpToDate>
  <CharactersWithSpaces>7027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2023-05-08T02:04:00Z</dcterms:created>
  <dc:creator>王二小</dc:creator>
  <cp:lastModifiedBy>流通股</cp:lastModifiedBy>
  <cp:lastPrinted>2024-06-21T07:31:00Z</cp:lastPrinted>
  <dcterms:modified xsi:type="dcterms:W3CDTF">2024-06-25T07:58:48Z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E2432BD24BCD49A9AC494B05A8538D04_13</vt:lpwstr>
  </property>
</Properties>
</file>