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12" w:firstLineChars="100"/>
        <w:jc w:val="center"/>
        <w:rPr>
          <w:rStyle w:val="10"/>
          <w:rFonts w:hAnsi="宋体"/>
          <w:b/>
          <w:bCs/>
          <w:color w:val="000000"/>
          <w:sz w:val="41"/>
          <w:szCs w:val="41"/>
        </w:rPr>
      </w:pPr>
      <w:r>
        <w:rPr>
          <w:rStyle w:val="10"/>
          <w:rFonts w:hint="eastAsia" w:hAnsi="宋体"/>
          <w:b/>
          <w:bCs/>
          <w:color w:val="000000"/>
          <w:sz w:val="41"/>
          <w:szCs w:val="41"/>
        </w:rPr>
        <w:t>中国共产党德阳市罗江区委员会办公室</w:t>
      </w:r>
    </w:p>
    <w:p>
      <w:pPr>
        <w:adjustRightInd w:val="0"/>
        <w:snapToGrid w:val="0"/>
        <w:spacing w:line="360" w:lineRule="auto"/>
        <w:jc w:val="center"/>
        <w:outlineLvl w:val="0"/>
        <w:rPr>
          <w:rStyle w:val="10"/>
          <w:rFonts w:hAnsi="宋体"/>
          <w:b/>
          <w:bCs/>
          <w:color w:val="000000"/>
          <w:sz w:val="41"/>
          <w:szCs w:val="41"/>
        </w:rPr>
      </w:pPr>
      <w:r>
        <w:rPr>
          <w:rStyle w:val="10"/>
          <w:rFonts w:hAnsi="宋体"/>
          <w:b/>
          <w:bCs/>
          <w:color w:val="000000"/>
          <w:sz w:val="41"/>
          <w:szCs w:val="41"/>
        </w:rPr>
        <w:t>20</w:t>
      </w:r>
      <w:r>
        <w:rPr>
          <w:rStyle w:val="10"/>
          <w:rFonts w:hint="eastAsia" w:hAnsi="宋体"/>
          <w:b/>
          <w:bCs/>
          <w:color w:val="000000"/>
          <w:sz w:val="41"/>
          <w:szCs w:val="41"/>
        </w:rPr>
        <w:t>24</w:t>
      </w:r>
      <w:r>
        <w:rPr>
          <w:rStyle w:val="10"/>
          <w:rFonts w:hAnsi="宋体"/>
          <w:b/>
          <w:bCs/>
          <w:color w:val="000000"/>
          <w:sz w:val="41"/>
          <w:szCs w:val="41"/>
        </w:rPr>
        <w:t>年部门预算编制说明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Ansi="宋体"/>
          <w:color w:val="000000"/>
          <w:sz w:val="32"/>
          <w:szCs w:val="32"/>
        </w:rPr>
      </w:pPr>
      <w:r>
        <w:rPr>
          <w:rStyle w:val="10"/>
          <w:rFonts w:hint="eastAsia" w:hAnsi="宋体"/>
          <w:b/>
          <w:bCs/>
          <w:color w:val="000000"/>
          <w:sz w:val="32"/>
          <w:szCs w:val="32"/>
        </w:rPr>
        <w:t>目</w:t>
      </w:r>
      <w:r>
        <w:rPr>
          <w:rFonts w:hint="eastAsia" w:hAnsi="宋体"/>
          <w:color w:val="000000"/>
          <w:sz w:val="32"/>
          <w:szCs w:val="32"/>
        </w:rPr>
        <w:t>录</w:t>
      </w:r>
    </w:p>
    <w:p>
      <w:pPr>
        <w:widowControl/>
        <w:jc w:val="center"/>
        <w:rPr>
          <w:rFonts w:ascii="黑体" w:hAnsi="黑体" w:eastAsia="黑体" w:cstheme="minorBidi"/>
          <w:sz w:val="28"/>
          <w:szCs w:val="28"/>
        </w:rPr>
      </w:pP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一、基本职能及主要工作</w:t>
      </w:r>
      <w:r>
        <w:rPr>
          <w:rFonts w:ascii="宋体" w:hAnsi="宋体" w:cs="Arial"/>
          <w:sz w:val="24"/>
        </w:rPr>
        <w:t>……………………………………………………………</w:t>
      </w:r>
      <w:r>
        <w:rPr>
          <w:rFonts w:hint="eastAsia" w:ascii="宋体" w:hAnsi="宋体"/>
          <w:sz w:val="24"/>
        </w:rPr>
        <w:t>2</w:t>
      </w:r>
    </w:p>
    <w:p>
      <w:pPr>
        <w:spacing w:line="400" w:lineRule="exact"/>
        <w:ind w:firstLine="465"/>
        <w:outlineLvl w:val="0"/>
        <w:rPr>
          <w:rFonts w:hAnsi="宋体" w:cs="Arial"/>
          <w:sz w:val="24"/>
        </w:rPr>
      </w:pPr>
      <w:r>
        <w:rPr>
          <w:rFonts w:hint="eastAsia"/>
          <w:sz w:val="24"/>
        </w:rPr>
        <w:t>（一）主要职能</w:t>
      </w:r>
      <w:r>
        <w:rPr>
          <w:rFonts w:hAnsi="宋体" w:cs="Arial"/>
          <w:sz w:val="24"/>
        </w:rPr>
        <w:t>…………………………………………………………………</w:t>
      </w:r>
      <w:r>
        <w:rPr>
          <w:rFonts w:hint="eastAsia" w:hAnsi="宋体" w:cs="Arial"/>
          <w:sz w:val="24"/>
        </w:rPr>
        <w:t>2</w:t>
      </w:r>
    </w:p>
    <w:p>
      <w:pPr>
        <w:spacing w:line="400" w:lineRule="exact"/>
        <w:ind w:firstLine="465"/>
        <w:outlineLvl w:val="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（二）2024年重点工作</w:t>
      </w:r>
      <w:r>
        <w:rPr>
          <w:rFonts w:hAnsi="宋体" w:cs="Arial"/>
          <w:sz w:val="24"/>
        </w:rPr>
        <w:t>…………………………………………………………</w:t>
      </w:r>
      <w:r>
        <w:rPr>
          <w:rFonts w:hint="eastAsia" w:hAnsi="宋体" w:cs="Arial"/>
          <w:sz w:val="24"/>
        </w:rPr>
        <w:t>6</w:t>
      </w:r>
    </w:p>
    <w:p>
      <w:pPr>
        <w:pStyle w:val="6"/>
        <w:adjustRightInd w:val="0"/>
        <w:snapToGrid w:val="0"/>
        <w:spacing w:line="400" w:lineRule="exact"/>
        <w:ind w:left="0" w:leftChars="0"/>
        <w:jc w:val="left"/>
        <w:outlineLvl w:val="0"/>
        <w:rPr>
          <w:rFonts w:ascii="宋体" w:hAnsi="宋体" w:cstheme="minorBidi"/>
          <w:sz w:val="24"/>
        </w:rPr>
      </w:pPr>
      <w:r>
        <w:rPr>
          <w:rFonts w:hint="eastAsia" w:ascii="宋体" w:hAnsi="宋体"/>
          <w:sz w:val="24"/>
        </w:rPr>
        <w:t>二、部门预算单位构成</w:t>
      </w:r>
      <w:r>
        <w:rPr>
          <w:rFonts w:ascii="宋体" w:hAnsi="宋体" w:cs="Arial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</w:rPr>
        <w:t>6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三、收支预算增减变化情况说明</w:t>
      </w:r>
      <w:r>
        <w:rPr>
          <w:rFonts w:ascii="宋体" w:hAnsi="宋体" w:cs="Arial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7</w:t>
      </w:r>
    </w:p>
    <w:p>
      <w:pPr>
        <w:spacing w:line="400" w:lineRule="exact"/>
        <w:ind w:firstLine="480" w:firstLineChars="20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（一）收入预算情况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7</w:t>
      </w:r>
    </w:p>
    <w:p>
      <w:pPr>
        <w:spacing w:line="400" w:lineRule="exact"/>
        <w:ind w:firstLine="480" w:firstLineChars="20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（二）支出预算情况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7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四、财政拨款收支预算情况说明</w:t>
      </w:r>
      <w:r>
        <w:rPr>
          <w:rFonts w:ascii="宋体" w:hAnsi="宋体" w:cs="Arial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8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五、一般公共预算当年拨款情况说明</w:t>
      </w:r>
      <w:r>
        <w:rPr>
          <w:rFonts w:ascii="宋体" w:hAnsi="宋体" w:cs="Arial"/>
          <w:sz w:val="24"/>
        </w:rPr>
        <w:t>………………………………………………</w:t>
      </w:r>
      <w:r>
        <w:rPr>
          <w:rFonts w:hint="eastAsia" w:ascii="宋体" w:hAnsi="宋体"/>
          <w:sz w:val="24"/>
        </w:rPr>
        <w:t>8</w:t>
      </w:r>
    </w:p>
    <w:p>
      <w:pPr>
        <w:pStyle w:val="6"/>
        <w:adjustRightInd w:val="0"/>
        <w:snapToGrid w:val="0"/>
        <w:spacing w:line="400" w:lineRule="exact"/>
        <w:ind w:left="0" w:leftChars="0"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（一）一般公共预算当年拨款情况说明</w:t>
      </w:r>
      <w:r>
        <w:rPr>
          <w:rFonts w:ascii="宋体" w:hAnsi="宋体" w:cs="Arial"/>
          <w:sz w:val="24"/>
        </w:rPr>
        <w:t>………………………………………</w:t>
      </w:r>
      <w:r>
        <w:rPr>
          <w:rFonts w:hint="eastAsia" w:ascii="宋体" w:hAnsi="宋体" w:cs="Arial"/>
          <w:sz w:val="24"/>
        </w:rPr>
        <w:t>8</w:t>
      </w:r>
    </w:p>
    <w:p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（二）一般公共预算当年拨款结构情况</w:t>
      </w:r>
      <w:r>
        <w:rPr>
          <w:rFonts w:hAnsi="宋体" w:cs="Arial"/>
          <w:sz w:val="24"/>
        </w:rPr>
        <w:t>………………………………………</w:t>
      </w:r>
      <w:r>
        <w:rPr>
          <w:rFonts w:hint="eastAsia" w:hAnsi="宋体" w:cs="Arial"/>
          <w:sz w:val="24"/>
        </w:rPr>
        <w:t>8</w:t>
      </w:r>
    </w:p>
    <w:p>
      <w:pPr>
        <w:spacing w:line="400" w:lineRule="exact"/>
        <w:ind w:firstLine="480" w:firstLineChars="200"/>
      </w:pPr>
      <w:r>
        <w:rPr>
          <w:rFonts w:hint="eastAsia" w:hAnsi="宋体"/>
          <w:sz w:val="24"/>
        </w:rPr>
        <w:t>（三）一般公共预算当年拨款具体使用情况</w:t>
      </w:r>
      <w:r>
        <w:rPr>
          <w:rFonts w:hAnsi="宋体" w:cs="Arial"/>
          <w:sz w:val="24"/>
        </w:rPr>
        <w:t>…………………………………</w:t>
      </w:r>
      <w:r>
        <w:rPr>
          <w:rFonts w:hint="eastAsia" w:hAnsi="宋体" w:cs="Arial"/>
          <w:sz w:val="24"/>
        </w:rPr>
        <w:t>8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六、一般公共预算基本支出情况说明</w:t>
      </w:r>
      <w:r>
        <w:rPr>
          <w:rFonts w:ascii="宋体" w:hAnsi="宋体" w:cs="Arial"/>
          <w:sz w:val="24"/>
        </w:rPr>
        <w:t>………………………………………………</w:t>
      </w:r>
      <w:r>
        <w:rPr>
          <w:rFonts w:hint="eastAsia" w:ascii="宋体" w:hAnsi="宋体"/>
          <w:sz w:val="24"/>
        </w:rPr>
        <w:t>10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七、“三公”经费财政拨款预算安排情况说明</w:t>
      </w:r>
      <w:r>
        <w:rPr>
          <w:rFonts w:ascii="宋体" w:hAnsi="宋体" w:cs="Arial"/>
          <w:sz w:val="24"/>
        </w:rPr>
        <w:t>……………………………………</w:t>
      </w:r>
      <w:r>
        <w:rPr>
          <w:rFonts w:hint="eastAsia" w:ascii="宋体" w:hAnsi="宋体"/>
          <w:sz w:val="24"/>
        </w:rPr>
        <w:t>10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八、政府性基金预算收支情况说明</w:t>
      </w:r>
      <w:r>
        <w:rPr>
          <w:rFonts w:ascii="宋体" w:hAnsi="宋体" w:cs="Arial"/>
          <w:w w:val="99"/>
          <w:sz w:val="24"/>
        </w:rPr>
        <w:t>………………………</w:t>
      </w:r>
      <w:r>
        <w:rPr>
          <w:rFonts w:ascii="宋体" w:hAnsi="宋体" w:cs="Arial"/>
          <w:sz w:val="24"/>
        </w:rPr>
        <w:t>…………</w:t>
      </w:r>
      <w:r>
        <w:rPr>
          <w:rFonts w:ascii="宋体" w:hAnsi="宋体" w:cs="Arial"/>
          <w:w w:val="99"/>
          <w:sz w:val="24"/>
        </w:rPr>
        <w:t>………………</w:t>
      </w:r>
      <w:r>
        <w:rPr>
          <w:rFonts w:hint="eastAsia" w:ascii="宋体" w:hAnsi="宋体"/>
          <w:sz w:val="24"/>
        </w:rPr>
        <w:t>11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九、国有资本经营预算支出情况说明</w:t>
      </w:r>
      <w:r>
        <w:rPr>
          <w:rFonts w:ascii="宋体" w:hAnsi="宋体" w:cs="Arial"/>
          <w:sz w:val="24"/>
        </w:rPr>
        <w:t>………………………………………………</w:t>
      </w:r>
      <w:r>
        <w:rPr>
          <w:rFonts w:hint="eastAsia" w:ascii="宋体" w:hAnsi="宋体"/>
          <w:sz w:val="24"/>
        </w:rPr>
        <w:t>11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Style w:val="11"/>
          <w:rFonts w:hint="eastAsia" w:ascii="宋体" w:hAnsi="宋体"/>
          <w:color w:val="000000" w:themeColor="text1"/>
          <w:sz w:val="24"/>
          <w:u w:val="none"/>
        </w:rPr>
        <w:t>十、</w:t>
      </w:r>
      <w:r>
        <w:rPr>
          <w:rFonts w:hint="eastAsia" w:ascii="宋体" w:hAnsi="宋体"/>
          <w:sz w:val="24"/>
        </w:rPr>
        <w:t>其他重要事项的情况说明</w:t>
      </w:r>
      <w:r>
        <w:rPr>
          <w:rFonts w:ascii="宋体" w:hAnsi="宋体" w:cs="Arial"/>
          <w:sz w:val="24"/>
        </w:rPr>
        <w:t>………………………………………………………</w:t>
      </w:r>
      <w:r>
        <w:rPr>
          <w:rFonts w:hint="eastAsia" w:ascii="宋体" w:hAnsi="宋体"/>
          <w:sz w:val="24"/>
        </w:rPr>
        <w:t>11</w:t>
      </w:r>
    </w:p>
    <w:p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（一）机关运行经费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11</w:t>
      </w:r>
    </w:p>
    <w:p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（二）政府采购情况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11</w:t>
      </w:r>
    </w:p>
    <w:p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（三）国有资产占有使用情况</w:t>
      </w:r>
      <w:r>
        <w:rPr>
          <w:rFonts w:hAnsi="宋体" w:cs="Arial"/>
          <w:sz w:val="24"/>
        </w:rPr>
        <w:t>…………………………………………………</w:t>
      </w:r>
      <w:r>
        <w:rPr>
          <w:rFonts w:hint="eastAsia" w:hAnsi="宋体" w:cs="Arial"/>
          <w:sz w:val="24"/>
        </w:rPr>
        <w:t>11</w:t>
      </w:r>
    </w:p>
    <w:p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（四）绩效目标设置情况</w:t>
      </w:r>
      <w:r>
        <w:rPr>
          <w:rFonts w:hAnsi="宋体" w:cs="Arial"/>
          <w:sz w:val="24"/>
        </w:rPr>
        <w:t>………………………………………………………</w:t>
      </w:r>
      <w:r>
        <w:rPr>
          <w:rFonts w:hint="eastAsia" w:hAnsi="宋体" w:cs="Arial"/>
          <w:sz w:val="24"/>
        </w:rPr>
        <w:t>11</w:t>
      </w:r>
    </w:p>
    <w:p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 w:cs="Arial"/>
          <w:sz w:val="24"/>
        </w:rPr>
      </w:pPr>
      <w:r>
        <w:rPr>
          <w:rStyle w:val="11"/>
          <w:rFonts w:hint="eastAsia" w:ascii="宋体" w:hAnsi="宋体"/>
          <w:color w:val="000000" w:themeColor="text1"/>
          <w:sz w:val="24"/>
          <w:u w:val="none"/>
        </w:rPr>
        <w:t>十一、</w:t>
      </w:r>
      <w:r>
        <w:rPr>
          <w:rFonts w:hint="eastAsia" w:ascii="宋体" w:hAnsi="宋体"/>
          <w:sz w:val="24"/>
        </w:rPr>
        <w:t>名词解释</w:t>
      </w:r>
      <w:r>
        <w:rPr>
          <w:rFonts w:ascii="宋体" w:hAnsi="宋体" w:cs="Arial"/>
          <w:sz w:val="24"/>
        </w:rPr>
        <w:t>………………………………………………………………………</w:t>
      </w:r>
      <w:r>
        <w:rPr>
          <w:rFonts w:hint="eastAsia" w:ascii="宋体" w:hAnsi="宋体" w:cs="Arial"/>
          <w:sz w:val="24"/>
        </w:rPr>
        <w:t>12</w:t>
      </w:r>
    </w:p>
    <w:p>
      <w:pPr>
        <w:ind w:firstLine="240" w:firstLineChars="100"/>
        <w:jc w:val="center"/>
        <w:outlineLvl w:val="0"/>
        <w:rPr>
          <w:rFonts w:ascii="仿宋" w:hAnsi="仿宋" w:eastAsia="仿宋"/>
          <w:sz w:val="24"/>
        </w:rPr>
      </w:pPr>
    </w:p>
    <w:p>
      <w:pPr>
        <w:ind w:firstLine="412" w:firstLineChars="100"/>
        <w:jc w:val="center"/>
        <w:rPr>
          <w:rStyle w:val="10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一、基本职能及主要工作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（一）主要职能：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1、区委办主要职能：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88" w:firstLineChars="215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（1）负责督促检查上级重要工作部署的贯彻落实；督查督办上级领导批（交）办的事项。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（2）围绕中央、省委、市委、区委的工作部署，收集信息，反映动态；负责区委日常公文处理工作；承办区委、区委办公室文件制发、管理等工作。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（3）负责区委各种会议的筹备和服务工作；负责组织安排区委领导同志参加全区的重大活动；编写区委、区委办公室大事记。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（4）负责中央、省委、市委、区委文件和党政领导机构及部门涉密文电、信件投递工作和区委、区委办公室的印鉴管理使用；负责文件、资料收发和报刊的订阅分发工作。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5）贯彻执行党和国家有关保密工作的方针、政策、法律、法规、指示、决定，承办中共德阳市罗江区委员委会（机要保密局）的日常事务工作；制定全区保密工作计划并组织实施。贯彻执行党的密码工作方针、政策以及《密码工作条例》，管理全区密码工作，制定实施全区密码工作规划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（6）负责区委机关爱国卫生、精神文明建设、社会治安综合治理、安全消防工作，负责区委机关行政业务经费决算、财务审计、财务收支等工作。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（7）负责区级党群部门的目标管理工作以及各乡镇目标考核。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（8）围绕贯彻党的路线、方针、政策和区委的工作中心，负责对全区政治、经济、思想、文化等工作中带方向性、政策性、综合性问题的调查研究，为区委科学决策和指导工作提供依据。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（9）承办区委、区政府和上级有关部门交办的其他事项。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2、目标绩效办主要职能：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负责省委、省政府下达目标的分解、督促、管理工作。负责市委、市政府，区委、区政府目标任务的分解下达、督促检查和绩效考评。指导和协调全区目标责任单位开展目标绩效管理工作。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负责督促检查党中央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国务院、省委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省政府、市委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市政府和区委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区政府的重大决策、重要会议的贯彻落实及重点项目、重点工作实施推进情况。负责督查督办党中央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国务院、省委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省政府、市委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市政府和区委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区政府领导批示和交办事项。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（3）统</w:t>
      </w:r>
      <w:r>
        <w:rPr>
          <w:rFonts w:eastAsia="仿宋_GB2312"/>
          <w:sz w:val="32"/>
          <w:szCs w:val="32"/>
        </w:rPr>
        <w:t>筹推进省、市、区民生实事，分解下达目标任务，督促项目推进及资金落实。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负责全区目标绩效管理工作。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负责德阳市督查督办平台交办事项。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围绕全区中心工作开展目标绩效和督查督办调研。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</w:t>
      </w:r>
      <w:r>
        <w:rPr>
          <w:rFonts w:eastAsia="仿宋_GB2312"/>
          <w:sz w:val="32"/>
          <w:szCs w:val="32"/>
        </w:rPr>
        <w:t>完成区委、区政府和上级机关交办的其他工作。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3、党史研究室主要职能：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ascii="仿宋_GB2312" w:hAnsi="仿宋" w:eastAsia="仿宋_GB2312"/>
          <w:sz w:val="32"/>
          <w:szCs w:val="32"/>
        </w:rPr>
        <w:t>贯彻</w:t>
      </w:r>
      <w:r>
        <w:rPr>
          <w:rFonts w:hint="eastAsia" w:ascii="仿宋_GB2312" w:hAnsi="仿宋" w:eastAsia="仿宋_GB2312"/>
          <w:sz w:val="32"/>
          <w:szCs w:val="32"/>
        </w:rPr>
        <w:t>执行党和国家关于党史、地方志工作的方针、</w:t>
      </w:r>
      <w:r>
        <w:rPr>
          <w:rFonts w:ascii="仿宋_GB2312" w:hAnsi="仿宋" w:eastAsia="仿宋_GB2312"/>
          <w:sz w:val="32"/>
          <w:szCs w:val="32"/>
        </w:rPr>
        <w:t>政策和</w:t>
      </w:r>
      <w:r>
        <w:rPr>
          <w:rFonts w:hint="eastAsia" w:ascii="仿宋_GB2312" w:hAnsi="仿宋" w:eastAsia="仿宋_GB2312"/>
          <w:sz w:val="32"/>
          <w:szCs w:val="32"/>
        </w:rPr>
        <w:t>法律、法规，拟订全区党史、地方志工作中长期规划和年度计划并组织实施。履行党史研究、业务主管职能，主管全区地方志工作，开展地方志行政执行工作。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（2）开展党史、地方志研究工作。指导管理全区党史、地方志资料收集、保护、整理、编纂工作。征集、保存、研究地方志文献及其他地情资料。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（3）指导检查区级部门、各镇和企事业单位党史、地方志工作。负责党史、地方志业务培训。  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（4）开展对全区地方党史基本著作、镇志、单位年鉴材料的验收、学术交流、评比工作。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（5）开展党史、地方志学习宣传教育工作。开展史志遗址保护工作，开发利用党史、地方志资源，推动资政育人、成果转化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（6）承办区委、区政府和上级部门交办的其他事项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4、档案馆主要职能：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承担接收区级各机关、团体、事业单位、国有企业及其下属单位对国家和社会具有保存价值的档案，负责接收区级重大会议、重大活动、重大突发事件等的档案。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承担重要、珍贵档案、资料、实物的征集工作，接受捐赠、购买非国家所有的、对国家和社会有重要保存价值的档案。接受公民、法人和其他组织寄存对国家和社会有保存利用价值的档案。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</w:t>
      </w:r>
      <w:r>
        <w:rPr>
          <w:rFonts w:eastAsia="仿宋_GB2312"/>
          <w:sz w:val="32"/>
          <w:szCs w:val="32"/>
        </w:rPr>
        <w:t>协助组织和指导全区档案专业教育和业务培训工作；组织、指导全区档案宣传工作，应用现代化技术进行档案保护，逐步实现档案管理的标准化、科学化、现代化。</w:t>
      </w:r>
    </w:p>
    <w:p>
      <w:pPr>
        <w:spacing w:line="54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承担馆藏档案整理、鉴定、解密、划控和开放工作；开展档案利用，依法向社会提供档案资料和已公开现行文件利用工作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开展民生档案等异地查档跨馆服务。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承担馆藏档案资源开发工作，编研档案史料，开发档案文化产品，举办档案展览，建设管理爱国主义教育基地，开展档案社会宣传教育工作。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具体承担馆藏档案实体和信息安全、保密工作，对重要档案实行异地异质备份保管，负责对重要、珍贵档案采取特殊保护措施。</w:t>
      </w:r>
    </w:p>
    <w:p>
      <w:pPr>
        <w:spacing w:line="54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</w:t>
      </w:r>
      <w:r>
        <w:rPr>
          <w:rFonts w:eastAsia="仿宋_GB2312"/>
          <w:sz w:val="32"/>
          <w:szCs w:val="32"/>
        </w:rPr>
        <w:t>承担馆藏档案信息化工作，数字档案馆建设工作，开展数字档案资源建设，依法接收电子档案，建立电子文件备份中心。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（8）</w:t>
      </w:r>
      <w:r>
        <w:rPr>
          <w:rFonts w:eastAsia="仿宋_GB2312"/>
          <w:sz w:val="32"/>
          <w:szCs w:val="32"/>
        </w:rPr>
        <w:t>完成区委和区委办公室交办的其他任务。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5、信息化服务中心主要职能：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（1）贯彻、执行国家和省、市信息化建设的方针政策、法律规定；研究制定全区信息化发展战略规划和地方性政策与措施，组织、协调推进我区国民经济和社会信息化、党政机关信息化进程。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（2）积极推进全区信息技术推广应用水平的提高；按照国家标准和省、市的规定与要求，组织研究制定适合罗江的信息及信息技术应用规范。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（3）统筹规划、实施全区信息化基础设施建设；负责重大信息工程项目的可行性研究，对技术方案制定和实施提出意见。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（4）负责全区党政网的建设、管理、运行维护和网络安全，为首脑机关实现现代化管理、科学决策和提高办事效率提供先进的手段；负责罗江公众网站的建设，为政务公开、增加办事透明度提供一个窗口。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（5）组织、实施和管理全区信息资源的开发利用，伸进信息交流和信息资源的社会共享。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（6）加强全区信息技术培训；大力普及信息知识，提高全民的信息意识和信息技术应用水平。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（7）依法对全区信息服务行业实施监管；会同有关部门管理国际互联网业务的接入服务、内容服务和所有依托网络进行的经营活动；负责网上政府域名的注册和管理。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（8）负责对罗江信息网络管理中心的管理。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（9）承办区委、区政府交办的其他事项。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（二）2024年重点工作</w:t>
      </w:r>
    </w:p>
    <w:p>
      <w:pPr>
        <w:pStyle w:val="2"/>
        <w:spacing w:beforeLines="0" w:line="600" w:lineRule="exact"/>
        <w:ind w:firstLine="672" w:firstLineChars="210"/>
        <w:rPr>
          <w:rFonts w:hAnsi="仿宋"/>
          <w:sz w:val="32"/>
          <w:szCs w:val="32"/>
        </w:rPr>
      </w:pPr>
      <w:r>
        <w:rPr>
          <w:rFonts w:hint="eastAsia" w:hAnsi="仿宋_GB2312"/>
          <w:sz w:val="32"/>
          <w:szCs w:val="32"/>
        </w:rPr>
        <w:t>负责各种会议、活动的筹备和服务工作，负责组织安排区委领导同志参加全区重大活动等，编写区委、区委办公室大事记，围绕贯彻党的路线、方针、政策和区委的工作中心，负责对全区政治、经济、思想、文化等工作中带方向性、政策性、综合性问题的调查研究，为区委科学决策和指导工作提供依据。负责科学保护档案，规范整理案卷归档，有效保存工作资料，为档案开发利用提供保障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二、部门预算单位构成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区委办属一级预算单位，其中包括行政单位2个，参照公务员法管理的事业单位3个。</w:t>
      </w:r>
      <w:r>
        <w:rPr>
          <w:rFonts w:hint="eastAsia" w:ascii="仿宋_GB2312" w:hAnsi="仿宋_GB2312" w:eastAsia="仿宋_GB2312"/>
          <w:sz w:val="32"/>
          <w:szCs w:val="32"/>
        </w:rPr>
        <w:t>主要包括：中共德阳市罗江区委目标绩效管理办公室、中共德阳市罗江区委党史研究室、德阳市罗江区档案馆、德阳市罗江区信息化服务中心。</w:t>
      </w:r>
    </w:p>
    <w:p>
      <w:pPr>
        <w:pStyle w:val="2"/>
        <w:adjustRightInd w:val="0"/>
        <w:snapToGrid w:val="0"/>
        <w:spacing w:before="93" w:line="580" w:lineRule="exact"/>
        <w:ind w:firstLine="672" w:firstLineChars="210"/>
        <w:rPr>
          <w:sz w:val="32"/>
          <w:szCs w:val="32"/>
        </w:rPr>
      </w:pPr>
      <w:r>
        <w:rPr>
          <w:rFonts w:hint="eastAsia" w:hAnsi="仿宋_GB2312"/>
          <w:sz w:val="32"/>
          <w:szCs w:val="32"/>
        </w:rPr>
        <w:t>区委办</w:t>
      </w:r>
      <w:r>
        <w:rPr>
          <w:rFonts w:hint="eastAsia"/>
          <w:sz w:val="32"/>
          <w:szCs w:val="32"/>
        </w:rPr>
        <w:t>总编制39名，其中行政编制21名，参公事业编制15名，工勤编制3名。在职人员总数34人，其中：行政人员18人，参公事业人员15人，工勤人员1人；离退休人员10人，其中：退休人员10人。本次公开数据包括所有下属二级单位数据。</w:t>
      </w:r>
    </w:p>
    <w:p>
      <w:pPr>
        <w:rPr>
          <w:rFonts w:ascii="仿宋_GB2312" w:hAnsi="仿宋_GB2312" w:eastAsia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/>
          <w:sz w:val="32"/>
          <w:szCs w:val="32"/>
        </w:rPr>
        <w:t>　　三、收支预算增减变化情况说明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按照综合预算的原则，区委办所有收支均包含下属单位数据，全部纳入部门预算管理。收入包括：</w:t>
      </w:r>
      <w:r>
        <w:rPr>
          <w:rFonts w:ascii="仿宋_GB2312" w:hAnsi="仿宋_GB2312" w:eastAsia="仿宋_GB2312"/>
          <w:sz w:val="32"/>
          <w:szCs w:val="32"/>
        </w:rPr>
        <w:t>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1195.18万元，比2023年预算数增加143.94万元，主要是因为人员经费增加；支出包括：</w:t>
      </w:r>
      <w:r>
        <w:rPr>
          <w:rFonts w:hint="eastAsia" w:ascii="仿宋_GB2312" w:eastAsia="仿宋_GB2312"/>
          <w:sz w:val="32"/>
          <w:szCs w:val="32"/>
        </w:rPr>
        <w:t>一般公共服务支出998.52万元，社会保障和就业支出117.29万元，卫生健康支出26.18万元，住房保障支出53.19万元</w:t>
      </w:r>
      <w:r>
        <w:rPr>
          <w:rFonts w:hint="eastAsia" w:ascii="仿宋_GB2312" w:hAnsi="仿宋_GB2312" w:eastAsia="仿宋_GB2312"/>
          <w:sz w:val="32"/>
          <w:szCs w:val="32"/>
        </w:rPr>
        <w:t>，比2023年预算数增加143.94万元，主要是人员工资和人员保险缴费支出增加。区委办2024年收支总预算1195.18万元。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（一）收入预算情况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</w:rPr>
        <w:t>1195.18</w:t>
      </w:r>
      <w:r>
        <w:rPr>
          <w:rFonts w:ascii="仿宋_GB2312" w:hAnsi="仿宋_GB2312" w:eastAsia="仿宋_GB2312"/>
          <w:sz w:val="32"/>
          <w:szCs w:val="32"/>
        </w:rPr>
        <w:t>万元，其中：上年结转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1195.18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100</w:t>
      </w:r>
      <w:r>
        <w:rPr>
          <w:rFonts w:ascii="仿宋_GB2312" w:hAnsi="仿宋_GB2312" w:eastAsia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%；事业单位经营收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（二）支出预算情况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</w:rPr>
        <w:t>1195.18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</w:rPr>
        <w:t>805.36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67.38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</w:rPr>
        <w:t>389.82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32.62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四、财政拨款收支预算情况说明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区委办2024年财政拨款收支总预算1195.18万元。</w:t>
      </w:r>
      <w:r>
        <w:rPr>
          <w:rFonts w:hint="eastAsia" w:ascii="仿宋_GB2312" w:eastAsia="仿宋_GB2312"/>
          <w:color w:val="000000"/>
          <w:sz w:val="32"/>
          <w:szCs w:val="32"/>
        </w:rPr>
        <w:t>比2023年财政拨款收支总预算</w:t>
      </w:r>
      <w:r>
        <w:rPr>
          <w:rFonts w:hint="eastAsia" w:ascii="仿宋_GB2312" w:hAnsi="仿宋_GB2312" w:eastAsia="仿宋_GB2312"/>
          <w:sz w:val="32"/>
          <w:szCs w:val="32"/>
        </w:rPr>
        <w:t>增加143.94万元</w:t>
      </w:r>
      <w:r>
        <w:rPr>
          <w:rFonts w:hint="eastAsia" w:ascii="仿宋_GB2312" w:eastAsia="仿宋_GB2312"/>
          <w:sz w:val="32"/>
          <w:szCs w:val="32"/>
        </w:rPr>
        <w:t>，主要是因为</w:t>
      </w:r>
      <w:r>
        <w:rPr>
          <w:rFonts w:hint="eastAsia" w:ascii="仿宋_GB2312" w:hAnsi="仿宋_GB2312" w:eastAsia="仿宋_GB2312"/>
          <w:sz w:val="32"/>
          <w:szCs w:val="32"/>
        </w:rPr>
        <w:t>人员经费增加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1195.18</w:t>
      </w:r>
      <w:r>
        <w:rPr>
          <w:rFonts w:ascii="仿宋_GB2312" w:hAnsi="仿宋_GB2312" w:eastAsia="仿宋_GB2312"/>
          <w:sz w:val="32"/>
          <w:szCs w:val="32"/>
        </w:rPr>
        <w:t>万元、上年结转一般公共预算拨款收入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eastAsia="仿宋_GB2312"/>
          <w:sz w:val="32"/>
          <w:szCs w:val="32"/>
        </w:rPr>
        <w:t>一般公共服务支出998.52万元，社会保障和就业支出117.29万元，卫生健康支出26.18万元，住房保障支出53.19万元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五、一般公共预算当年拨款情况说明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（一）一般公共预算当年拨款规模变化情况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区委办2024年一般公共预算当年拨款1195.18万元，比2023年预算数增加143.94万元，主要是人员经费增加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（二）一般公共预算当年拨款结构情况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一般公共服务支出998.52万元，占83.55%；</w:t>
      </w:r>
      <w:r>
        <w:rPr>
          <w:rFonts w:hint="eastAsia" w:ascii="仿宋_GB2312" w:eastAsia="仿宋_GB2312"/>
          <w:sz w:val="32"/>
          <w:szCs w:val="32"/>
        </w:rPr>
        <w:t>社会保障和就业支出117.29万元，</w:t>
      </w:r>
      <w:r>
        <w:rPr>
          <w:rFonts w:hint="eastAsia" w:ascii="仿宋_GB2312" w:hAnsi="仿宋_GB2312" w:eastAsia="仿宋_GB2312"/>
          <w:sz w:val="32"/>
          <w:szCs w:val="32"/>
        </w:rPr>
        <w:t>占9.81%；</w:t>
      </w:r>
      <w:r>
        <w:rPr>
          <w:rFonts w:hint="eastAsia" w:ascii="仿宋_GB2312" w:eastAsia="仿宋_GB2312"/>
          <w:sz w:val="32"/>
          <w:szCs w:val="32"/>
        </w:rPr>
        <w:t>卫生健康支出26.18万元，</w:t>
      </w:r>
      <w:r>
        <w:rPr>
          <w:rFonts w:hint="eastAsia" w:ascii="仿宋_GB2312" w:hAnsi="仿宋_GB2312" w:eastAsia="仿宋_GB2312"/>
          <w:sz w:val="32"/>
          <w:szCs w:val="32"/>
        </w:rPr>
        <w:t>占2.19%；</w:t>
      </w:r>
      <w:r>
        <w:rPr>
          <w:rFonts w:hint="eastAsia" w:ascii="仿宋_GB2312" w:eastAsia="仿宋_GB2312"/>
          <w:sz w:val="32"/>
          <w:szCs w:val="32"/>
        </w:rPr>
        <w:t>住房保障支出53.19万元</w:t>
      </w:r>
      <w:r>
        <w:rPr>
          <w:rFonts w:hint="eastAsia" w:ascii="仿宋_GB2312" w:hAnsi="仿宋_GB2312" w:eastAsia="仿宋_GB2312"/>
          <w:sz w:val="32"/>
          <w:szCs w:val="32"/>
        </w:rPr>
        <w:t>，占4.45%。</w:t>
      </w:r>
    </w:p>
    <w:p>
      <w:pPr>
        <w:ind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（三）一般公共预算当年拨款具体使用情况</w:t>
      </w:r>
    </w:p>
    <w:p>
      <w:pPr>
        <w:ind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1.一般公共服务－党委办公厅（室）及相关机构事务－行政运行2024年预算数为558.06万元，主要用于保障机关人员工资及日常运转支出。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2.一般公共服务－党委办公厅（室）及相关机构事务－一般行政管理事务2024年预算数为389.82万元，主要用于：机关及下属事业单位</w:t>
      </w:r>
      <w:r>
        <w:rPr>
          <w:rFonts w:hint="eastAsia" w:ascii="仿宋_GB2312" w:hAnsi="仿宋" w:eastAsia="仿宋_GB2312"/>
          <w:sz w:val="32"/>
          <w:szCs w:val="32"/>
        </w:rPr>
        <w:t>完成特定行政工作任务和事业发展目标而安排的年度支出。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3.一般公共服务－党委办公厅（室）及相关机构事务－事业运行2024年预算数为50.64万元，主要用于：机关及下属事业单位长期聘用人员支出。</w:t>
      </w:r>
    </w:p>
    <w:p>
      <w:pPr>
        <w:ind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4.社会保障和就业支出－行政事业单位养老支出－机关事业单位基本养老保险缴费支出2024年预算数为63.84万元，主要用于：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缴纳机关及下属事业单位职工基本养老保险费。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 社会保障和就业支出－行政事业单位养老支出－机关事业单位职业年金缴费支出2024年预算数为31.92万元，主要用于：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缴纳机关及下属事业单位职工职业年金。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 社会保障和就业支出－行政事业单位养老支出－其他行政事业单位养老支出2024年预算数为20.64万元，主要用于：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退休人员支出。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7. 社会保障和就业支出－其他社会保障和就业支出－其他社会保障和就业支出2024年预算数为0.89万元，主要用于：</w:t>
      </w:r>
      <w:r>
        <w:rPr>
          <w:rFonts w:hint="eastAsia" w:ascii="仿宋_GB2312" w:eastAsia="仿宋_GB2312"/>
          <w:sz w:val="32"/>
          <w:szCs w:val="32"/>
        </w:rPr>
        <w:t>机关及下属事业单位按照规定标准为职工缴纳工伤保险支出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8.卫生健康支出－行政事业单位医疗－行政单位医疗2024年预算数为26.18万元，主要用于：</w:t>
      </w:r>
      <w:r>
        <w:rPr>
          <w:rFonts w:hint="eastAsia" w:ascii="仿宋_GB2312" w:eastAsia="仿宋_GB2312"/>
          <w:sz w:val="32"/>
          <w:szCs w:val="32"/>
        </w:rPr>
        <w:t>机关按照规定标准为职工缴纳的基本医疗保险支出。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9.住房保障支出－住房改革支出－住房公积金2024年预算数为53.19万元，主要用于：</w:t>
      </w:r>
      <w:r>
        <w:rPr>
          <w:rFonts w:hint="eastAsia" w:ascii="仿宋_GB2312" w:eastAsia="仿宋_GB2312"/>
          <w:sz w:val="32"/>
          <w:szCs w:val="32"/>
        </w:rPr>
        <w:t>机关及下属事业单位按照规定标准为职工缴纳住房公积金等支出。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六、一般公共预算基本支出情况说明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区委办2024年一般公共预算基本支出805.36万元，其中：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人员经费706.96万元，主要包括：基本工资、津贴补贴、奖金、社会保险缴费、绩效工资、机关事业单位基本养老保险缴费、职业年金缴费、其他工资福利支出、退休费、奖励金。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公用经费98.40万元，主要包括：办公费、水电费、邮电费、差旅费、培训费、公务接待费、工会经费、其他交通工具运行维护费、其他商品和服务支出。</w:t>
      </w:r>
    </w:p>
    <w:p>
      <w:pPr>
        <w:ind w:firstLine="480" w:firstLineChars="1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七、“三公”经费财政拨款预算安排情况说明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区委办2024年“三公”经费财政拨款预算数5万元，其中：因公出国（境）经费0万元，公务接待费5万元，公务用车购置0万元，公务用车运行维护费0万元。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（一）因公出国（境）经费与2023年</w:t>
      </w:r>
      <w:r>
        <w:rPr>
          <w:rFonts w:hint="eastAsia" w:ascii="仿宋_GB2312" w:eastAsia="仿宋_GB2312"/>
          <w:bCs/>
          <w:sz w:val="32"/>
          <w:szCs w:val="32"/>
        </w:rPr>
        <w:t>预算持平</w:t>
      </w:r>
      <w:r>
        <w:rPr>
          <w:rFonts w:hint="eastAsia" w:ascii="仿宋_GB2312" w:hAnsi="仿宋_GB2312" w:eastAsia="仿宋_GB2312"/>
          <w:sz w:val="32"/>
          <w:szCs w:val="32"/>
        </w:rPr>
        <w:t>。主要原因是2024年无因公出国计划安排。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（二）公务接待费较2023年</w:t>
      </w:r>
      <w:r>
        <w:rPr>
          <w:rFonts w:hint="eastAsia" w:ascii="仿宋_GB2312" w:eastAsia="仿宋_GB2312"/>
          <w:bCs/>
          <w:sz w:val="32"/>
          <w:szCs w:val="32"/>
        </w:rPr>
        <w:t>预算下降5.66%</w:t>
      </w:r>
      <w:r>
        <w:rPr>
          <w:rFonts w:hint="eastAsia" w:ascii="仿宋_GB2312" w:hAnsi="仿宋_GB2312" w:eastAsia="仿宋_GB2312"/>
          <w:sz w:val="32"/>
          <w:szCs w:val="32"/>
        </w:rPr>
        <w:t>。主要原因是</w:t>
      </w:r>
      <w:r>
        <w:rPr>
          <w:rFonts w:hint="eastAsia" w:ascii="仿宋_GB2312" w:eastAsia="仿宋_GB2312"/>
          <w:sz w:val="32"/>
          <w:szCs w:val="32"/>
        </w:rPr>
        <w:t>严格按照</w:t>
      </w:r>
      <w:r>
        <w:rPr>
          <w:rFonts w:hint="eastAsia" w:ascii="仿宋_GB2312" w:eastAsia="仿宋_GB2312"/>
          <w:sz w:val="32"/>
          <w:szCs w:val="32"/>
          <w:lang w:eastAsia="zh-CN"/>
        </w:rPr>
        <w:t>中央八项规定</w:t>
      </w:r>
      <w:r>
        <w:rPr>
          <w:rFonts w:hint="eastAsia" w:ascii="仿宋_GB2312" w:eastAsia="仿宋_GB2312"/>
          <w:sz w:val="32"/>
          <w:szCs w:val="32"/>
        </w:rPr>
        <w:t>要求，进一步加强规范公务接待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bCs/>
          <w:sz w:val="32"/>
          <w:szCs w:val="32"/>
        </w:rPr>
        <w:t>公务用车购置及运行维护费与2023年预算持平。</w:t>
      </w:r>
      <w:r>
        <w:rPr>
          <w:rFonts w:hint="eastAsia" w:ascii="仿宋_GB2312" w:eastAsia="仿宋_GB2312"/>
          <w:sz w:val="32"/>
          <w:szCs w:val="32"/>
        </w:rPr>
        <w:t>主要原因是我办无公务用车。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单位现有公务用车0辆。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2024年安排公务用车运行维护费0万元。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八、政府性基金预算收支情况说明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2024年未安排政府性基金预算。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九、国有资本经营预算支出情况说明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区委办2024年使用国有资本经营预算拨款安排0万元，其中：基本支出0万元，项目支出0万元。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十、其他重要事项的情况说明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（一）机关运行经费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2024年，区委办机关及下属单位的机关运行经费财政拨款预算为98.4万元，比2023年预算增加14.37万元，上升17.10%。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（二）政府采购情况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2024年，区委办安排政府采购预算5.70万元。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（三）国有资产占有使用情况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截至2023年底，区委办所属各预算单位共有</w:t>
      </w:r>
      <w:r>
        <w:rPr>
          <w:rFonts w:hint="eastAsia" w:ascii="仿宋_GB2312" w:eastAsia="仿宋_GB2312"/>
          <w:sz w:val="32"/>
          <w:szCs w:val="32"/>
        </w:rPr>
        <w:t>固定资产总额532万元，其中公务用车0辆。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2024年部门预算未安排购置车辆及单位价值200万元以上大型设备。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（四）绩效目标设置情况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2024年区委办部门通用项目和专用项目均按要求实行绩效目标管理，涉及一般公共预算当年拨款389.82万元。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十一、名词解释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（三）基本支出：指为保障机构正常运转、完成日常工作任务所必需的人员经费和日常公用经费。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附件：1、中共德阳市罗江区委办公室2024年部门预算公开表。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2、中共德阳市罗江区委办公室2024年部门项目绩效目标公开表。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3、中共德阳市罗江区委办公室2024年部门整体绩效目标公开表。</w:t>
      </w:r>
    </w:p>
    <w:p/>
    <w:p/>
    <w:p/>
    <w:p/>
    <w:p/>
    <w:p/>
    <w:p/>
    <w:p/>
    <w:p/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2024部门预算公开表目录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部门收支总表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部门收入总表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部门支出总表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财政拨款收支预算总表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财政拨款支出预算表（部门经济分类科目）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一般公共预算支出预算表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一般公共预算基本支出预算表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一般公共预算项目支出预算表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一般公共预算“三公”经费支出预算表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政府性基金支出预算表</w:t>
      </w:r>
    </w:p>
    <w:p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政府性基金预算“三公”经费支出预算表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国有资本经营预算支出预算表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688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7944F"/>
    <w:multiLevelType w:val="multilevel"/>
    <w:tmpl w:val="14A794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-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-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-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-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-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-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-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-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44197BEA"/>
    <w:multiLevelType w:val="singleLevel"/>
    <w:tmpl w:val="44197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M2I3MzNkMDJhYzQ4NTRhOGNmMjM3ZGM4YzViZGYifQ=="/>
  </w:docVars>
  <w:rsids>
    <w:rsidRoot w:val="004E4A63"/>
    <w:rsid w:val="000021B1"/>
    <w:rsid w:val="00036FEF"/>
    <w:rsid w:val="00045A0A"/>
    <w:rsid w:val="00045F95"/>
    <w:rsid w:val="0005033D"/>
    <w:rsid w:val="00054A26"/>
    <w:rsid w:val="0006403E"/>
    <w:rsid w:val="00066C89"/>
    <w:rsid w:val="00092D14"/>
    <w:rsid w:val="000A0F66"/>
    <w:rsid w:val="000A71AC"/>
    <w:rsid w:val="000A747C"/>
    <w:rsid w:val="000B5D57"/>
    <w:rsid w:val="000C282C"/>
    <w:rsid w:val="000D1580"/>
    <w:rsid w:val="000F4297"/>
    <w:rsid w:val="000F4BD2"/>
    <w:rsid w:val="00107AF7"/>
    <w:rsid w:val="00120DF6"/>
    <w:rsid w:val="00126A3A"/>
    <w:rsid w:val="00134518"/>
    <w:rsid w:val="001446EE"/>
    <w:rsid w:val="001452BC"/>
    <w:rsid w:val="001479E2"/>
    <w:rsid w:val="0016035B"/>
    <w:rsid w:val="00175490"/>
    <w:rsid w:val="0017575E"/>
    <w:rsid w:val="001A5E61"/>
    <w:rsid w:val="001C392C"/>
    <w:rsid w:val="001E1C3E"/>
    <w:rsid w:val="001F59C4"/>
    <w:rsid w:val="00202A4E"/>
    <w:rsid w:val="00212140"/>
    <w:rsid w:val="00245794"/>
    <w:rsid w:val="00273146"/>
    <w:rsid w:val="00285468"/>
    <w:rsid w:val="00293990"/>
    <w:rsid w:val="00294D2B"/>
    <w:rsid w:val="002A67EC"/>
    <w:rsid w:val="002D17ED"/>
    <w:rsid w:val="002F6687"/>
    <w:rsid w:val="00325291"/>
    <w:rsid w:val="00330DAE"/>
    <w:rsid w:val="00336B03"/>
    <w:rsid w:val="00346FD0"/>
    <w:rsid w:val="003479D3"/>
    <w:rsid w:val="00363AC0"/>
    <w:rsid w:val="00363E03"/>
    <w:rsid w:val="0037653E"/>
    <w:rsid w:val="003809BF"/>
    <w:rsid w:val="00396C82"/>
    <w:rsid w:val="0039734E"/>
    <w:rsid w:val="003B021E"/>
    <w:rsid w:val="003C3CD1"/>
    <w:rsid w:val="003C7EE0"/>
    <w:rsid w:val="003D1F67"/>
    <w:rsid w:val="003F0354"/>
    <w:rsid w:val="004105EE"/>
    <w:rsid w:val="004107B0"/>
    <w:rsid w:val="004145E4"/>
    <w:rsid w:val="00414E47"/>
    <w:rsid w:val="00430123"/>
    <w:rsid w:val="00441DF0"/>
    <w:rsid w:val="0047069B"/>
    <w:rsid w:val="004765DD"/>
    <w:rsid w:val="0048558F"/>
    <w:rsid w:val="00497A33"/>
    <w:rsid w:val="004A0AD0"/>
    <w:rsid w:val="004B52FA"/>
    <w:rsid w:val="004D53A9"/>
    <w:rsid w:val="004E4A63"/>
    <w:rsid w:val="004F3012"/>
    <w:rsid w:val="004F55AC"/>
    <w:rsid w:val="00504316"/>
    <w:rsid w:val="0050595F"/>
    <w:rsid w:val="00523980"/>
    <w:rsid w:val="00525390"/>
    <w:rsid w:val="00542FF0"/>
    <w:rsid w:val="00554E6B"/>
    <w:rsid w:val="00562E01"/>
    <w:rsid w:val="00563314"/>
    <w:rsid w:val="00577BE1"/>
    <w:rsid w:val="00584A4A"/>
    <w:rsid w:val="00585411"/>
    <w:rsid w:val="00591466"/>
    <w:rsid w:val="005A0F05"/>
    <w:rsid w:val="005C30BD"/>
    <w:rsid w:val="005C6768"/>
    <w:rsid w:val="005D38CF"/>
    <w:rsid w:val="005D61C9"/>
    <w:rsid w:val="005E25F8"/>
    <w:rsid w:val="005F68DD"/>
    <w:rsid w:val="00613735"/>
    <w:rsid w:val="0062711E"/>
    <w:rsid w:val="00640CC1"/>
    <w:rsid w:val="00654D5A"/>
    <w:rsid w:val="00666D48"/>
    <w:rsid w:val="00673CBD"/>
    <w:rsid w:val="006843FE"/>
    <w:rsid w:val="006857EE"/>
    <w:rsid w:val="0069580E"/>
    <w:rsid w:val="006A14FA"/>
    <w:rsid w:val="006D2B69"/>
    <w:rsid w:val="006F4E82"/>
    <w:rsid w:val="00700183"/>
    <w:rsid w:val="007225E2"/>
    <w:rsid w:val="007365C4"/>
    <w:rsid w:val="00741D7C"/>
    <w:rsid w:val="007435D0"/>
    <w:rsid w:val="007820A5"/>
    <w:rsid w:val="007A3091"/>
    <w:rsid w:val="007A35D7"/>
    <w:rsid w:val="007F671E"/>
    <w:rsid w:val="008032EE"/>
    <w:rsid w:val="00830012"/>
    <w:rsid w:val="0083697E"/>
    <w:rsid w:val="00845238"/>
    <w:rsid w:val="008659D5"/>
    <w:rsid w:val="0086644B"/>
    <w:rsid w:val="008B438B"/>
    <w:rsid w:val="008B562D"/>
    <w:rsid w:val="008C50D2"/>
    <w:rsid w:val="008C6105"/>
    <w:rsid w:val="008E714F"/>
    <w:rsid w:val="008E7A3D"/>
    <w:rsid w:val="008E7A9B"/>
    <w:rsid w:val="008F21AA"/>
    <w:rsid w:val="008F70DC"/>
    <w:rsid w:val="009049CB"/>
    <w:rsid w:val="00911218"/>
    <w:rsid w:val="00926439"/>
    <w:rsid w:val="0093235E"/>
    <w:rsid w:val="00933661"/>
    <w:rsid w:val="00933755"/>
    <w:rsid w:val="00970E3A"/>
    <w:rsid w:val="00974750"/>
    <w:rsid w:val="00975605"/>
    <w:rsid w:val="009B526C"/>
    <w:rsid w:val="009B7647"/>
    <w:rsid w:val="009C0CBC"/>
    <w:rsid w:val="009C1BDE"/>
    <w:rsid w:val="009D554C"/>
    <w:rsid w:val="009E5F09"/>
    <w:rsid w:val="009F7E26"/>
    <w:rsid w:val="00A16719"/>
    <w:rsid w:val="00A35F1B"/>
    <w:rsid w:val="00A46B69"/>
    <w:rsid w:val="00A54C79"/>
    <w:rsid w:val="00A5551E"/>
    <w:rsid w:val="00A60A56"/>
    <w:rsid w:val="00A66D5A"/>
    <w:rsid w:val="00A841F6"/>
    <w:rsid w:val="00A94589"/>
    <w:rsid w:val="00AC47C1"/>
    <w:rsid w:val="00AE2A8D"/>
    <w:rsid w:val="00AF6FFB"/>
    <w:rsid w:val="00B31900"/>
    <w:rsid w:val="00B34F0A"/>
    <w:rsid w:val="00B70430"/>
    <w:rsid w:val="00B81ED9"/>
    <w:rsid w:val="00B87FCF"/>
    <w:rsid w:val="00B933EB"/>
    <w:rsid w:val="00BD534F"/>
    <w:rsid w:val="00BD7C8D"/>
    <w:rsid w:val="00BE3F19"/>
    <w:rsid w:val="00BE49E0"/>
    <w:rsid w:val="00BF0E2B"/>
    <w:rsid w:val="00BF5E23"/>
    <w:rsid w:val="00C16FAE"/>
    <w:rsid w:val="00C25BA3"/>
    <w:rsid w:val="00C40C07"/>
    <w:rsid w:val="00C46334"/>
    <w:rsid w:val="00C50803"/>
    <w:rsid w:val="00C801B3"/>
    <w:rsid w:val="00C96FDA"/>
    <w:rsid w:val="00CB5AFA"/>
    <w:rsid w:val="00CF04E8"/>
    <w:rsid w:val="00D105B8"/>
    <w:rsid w:val="00D14665"/>
    <w:rsid w:val="00D22CA6"/>
    <w:rsid w:val="00D351B0"/>
    <w:rsid w:val="00D40100"/>
    <w:rsid w:val="00D53B64"/>
    <w:rsid w:val="00D612EB"/>
    <w:rsid w:val="00D700A1"/>
    <w:rsid w:val="00D713B0"/>
    <w:rsid w:val="00D75776"/>
    <w:rsid w:val="00D877DA"/>
    <w:rsid w:val="00D87F92"/>
    <w:rsid w:val="00D9134D"/>
    <w:rsid w:val="00DA4DEC"/>
    <w:rsid w:val="00DC34F5"/>
    <w:rsid w:val="00DC5500"/>
    <w:rsid w:val="00DD57F5"/>
    <w:rsid w:val="00DE545E"/>
    <w:rsid w:val="00DE5C28"/>
    <w:rsid w:val="00DF0836"/>
    <w:rsid w:val="00E14A78"/>
    <w:rsid w:val="00E174F5"/>
    <w:rsid w:val="00E37177"/>
    <w:rsid w:val="00E66C8D"/>
    <w:rsid w:val="00E67BE5"/>
    <w:rsid w:val="00E727DB"/>
    <w:rsid w:val="00EA2D14"/>
    <w:rsid w:val="00EB7D09"/>
    <w:rsid w:val="00EC4E52"/>
    <w:rsid w:val="00EC4EA9"/>
    <w:rsid w:val="00EC64BF"/>
    <w:rsid w:val="00EE23D3"/>
    <w:rsid w:val="00EF5520"/>
    <w:rsid w:val="00EF73F7"/>
    <w:rsid w:val="00F11418"/>
    <w:rsid w:val="00F20911"/>
    <w:rsid w:val="00F21418"/>
    <w:rsid w:val="00F87D97"/>
    <w:rsid w:val="00F9657F"/>
    <w:rsid w:val="00FB5730"/>
    <w:rsid w:val="00FC22CE"/>
    <w:rsid w:val="00FC5A27"/>
    <w:rsid w:val="00FD2791"/>
    <w:rsid w:val="00FD2F29"/>
    <w:rsid w:val="00FD760E"/>
    <w:rsid w:val="00FE7BE2"/>
    <w:rsid w:val="01931A7A"/>
    <w:rsid w:val="0CBC3A4D"/>
    <w:rsid w:val="0E8B2B81"/>
    <w:rsid w:val="13522181"/>
    <w:rsid w:val="1A8B57AF"/>
    <w:rsid w:val="1FCE268A"/>
    <w:rsid w:val="2CBD72B2"/>
    <w:rsid w:val="42991D01"/>
    <w:rsid w:val="44E1584B"/>
    <w:rsid w:val="588331BC"/>
    <w:rsid w:val="6F9D54EF"/>
    <w:rsid w:val="77103EEA"/>
    <w:rsid w:val="7F7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  <w:rPr>
      <w:rFonts w:ascii="Times New Roman"/>
      <w:sz w:val="21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4"/>
    <w:autoRedefine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3"/>
    <w:autoRedefine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正文文本 Char"/>
    <w:basedOn w:val="9"/>
    <w:link w:val="2"/>
    <w:autoRedefine/>
    <w:uiPriority w:val="0"/>
    <w:rPr>
      <w:rFonts w:ascii="仿宋_GB2312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994</Words>
  <Characters>5666</Characters>
  <Lines>47</Lines>
  <Paragraphs>13</Paragraphs>
  <TotalTime>37</TotalTime>
  <ScaleCrop>false</ScaleCrop>
  <LinksUpToDate>false</LinksUpToDate>
  <CharactersWithSpaces>6647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2024-01-18T08:39:00Z</dcterms:created>
  <dc:creator>null,null,总收发</dc:creator>
  <cp:lastModifiedBy>诸神的黄昏</cp:lastModifiedBy>
  <dcterms:modified xsi:type="dcterms:W3CDTF">2024-03-07T06:25:57Z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4BD5B48233174BB8B7E86F9662F79B6F_12</vt:lpwstr>
  </property>
</Properties>
</file>