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" w:firstLineChars="10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  <w:highlight w:val="none"/>
          <w:lang w:val="en-US" w:eastAsia="zh-CN"/>
        </w:rPr>
        <w:t>中共德阳市罗江区委机构编制委员会办公室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  <w:lang w:eastAsia="zh-CN"/>
        </w:rPr>
        <w:t>2024年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</w:rPr>
        <w:t>部门预算编制说明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1545"/>
        <w15:color w:val="DBDBDB"/>
      </w:sdtPr>
      <w:sdtEndPr>
        <w:rPr>
          <w:rFonts w:hint="eastAsia" w:ascii="ˎ̥" w:hAnsi="ˎ̥" w:eastAsia="宋体" w:cs="Times New Roman"/>
          <w:b/>
          <w:bCs/>
          <w:color w:val="000000"/>
          <w:kern w:val="2"/>
          <w:sz w:val="48"/>
          <w:szCs w:val="4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begin"/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instrText xml:space="preserve">TOC \o "1-2" \h \u </w:instrText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separate"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_Toc28770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一、基本职能及主要工作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_Toc28770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_Toc21884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（一）会机构设置及主要职责</w:t>
          </w:r>
          <w:r>
            <w:tab/>
          </w:r>
          <w:r>
            <w:fldChar w:fldCharType="begin"/>
          </w:r>
          <w:r>
            <w:instrText xml:space="preserve"> PAGEREF _Toc21884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_Toc818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</w:t>
          </w:r>
          <w:r>
            <w:rPr>
              <w:rFonts w:hint="eastAsia" w:ascii="楷体_GB2312" w:hAnsi="楷体_GB2312" w:eastAsia="楷体_GB2312" w:cs="楷体_GB2312"/>
              <w:bCs/>
              <w:szCs w:val="32"/>
              <w:lang w:eastAsia="zh-CN"/>
            </w:rPr>
            <w:t>2024年</w:t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重点工作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_Toc27442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二、部门预算单位构成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2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_Toc1848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三、收支预算增减变化情况说明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2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_Toc193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（一）收入预算情况</w:t>
          </w:r>
          <w:r>
            <w:tab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_Toc3651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（二）支出预算情况</w:t>
          </w:r>
          <w:r>
            <w:tab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_Toc3738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四、财政拨款收支预算情况说明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3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_Toc3440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五、一般公共预算当年拨款情况说明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3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_Toc25098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（一）一般公共预算当年拨款规模变化情况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_Toc16092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Cs/>
              <w:szCs w:val="32"/>
            </w:rPr>
            <w:t>（二）一般公共预算当年拨款结构情况(按照功能科目类写)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_Toc28341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（三）一般公共预算当年拨款具体使用情况（按功能科目类款项写）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_Toc18858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六、一般公共预算基本支出情况说明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4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_Toc256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七、“三公”经费财政拨款预算安排情况说明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5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_Toc11086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bCs w:val="0"/>
              <w:szCs w:val="32"/>
            </w:rPr>
            <w:t>八、政府性基金预算收支情况说明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5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_Toc165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九、国有资本经营预算支出情况说明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5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_Toc29771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十、其他重要事项的情况说明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6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_Toc11525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（一）机关运行经费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_Toc15299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（二）政府采购情况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_Toc18679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（三）国有资产占有使用情况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_Toc2176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（四）绩效目标设置情况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_Toc6693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/>
              <w:szCs w:val="32"/>
            </w:rPr>
            <w:t>十、名词解释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6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ind w:firstLine="482" w:firstLineChars="100"/>
            <w:jc w:val="center"/>
            <w:rPr>
              <w:rFonts w:hint="eastAsia" w:ascii="ˎ̥" w:hAnsi="ˎ̥" w:eastAsia="宋体" w:cs="Times New Roman"/>
              <w:b/>
              <w:bCs/>
              <w:color w:val="000000"/>
              <w:kern w:val="2"/>
              <w:sz w:val="48"/>
              <w:szCs w:val="41"/>
              <w:lang w:val="en-US" w:eastAsia="zh-CN" w:bidi="ar-SA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</w:sdtContent>
    </w:sdt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" w:firstLineChars="100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  <w:t>中共德阳市罗江区委机构编制委员会办公室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" w:firstLineChars="100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</w:pPr>
      <w:r>
        <w:rPr>
          <w:rStyle w:val="9"/>
          <w:rFonts w:hint="eastAsia" w:asci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  <w:t>2024年</w:t>
      </w: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  <w:t>部门预算编制说明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412" w:firstLineChars="100"/>
        <w:jc w:val="center"/>
        <w:textAlignment w:val="auto"/>
        <w:rPr>
          <w:rStyle w:val="9"/>
          <w:rFonts w:hint="default" w:ascii="Times New Roman" w:hAnsi="Times New Roman" w:cs="Times New Roman"/>
          <w:b/>
          <w:bCs/>
          <w:color w:val="000000"/>
          <w:sz w:val="41"/>
          <w:szCs w:val="4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一、基本职能及主要工作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机构设置及主要职责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贯彻执行中央、省、市关于行政管理体制改革和机构改革、事业单位改革及机构编制管理的方针政策、法律法规规章，研究起草地方相关政策，并监督实施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研究拟定全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行政管理体制改革和机构改革方案，并组织实施；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审核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委、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政府及其直属事业单位的机构编制方案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拟定各级行政编制、政法专项编制总额分配方案。负责全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行政事业编制总量控制和机关事业单位机构编制实名制管理工作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研究拟定全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事业单位改革方案及实施意见，负责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属事业单位机构编制管理，审核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属事业单位的机构编制方案，负责拟参照公务员法管理事业单位职责的审核工作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监督检查全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行政管理体制改革和机构改革方案及机构编制规定执行情况，建立机构编制工作考核评估制度，会同有关部门查处机构编制违法违纪行为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负责指导全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事业单位登记管理工作</w:t>
      </w:r>
      <w:r>
        <w:rPr>
          <w:rFonts w:hint="default" w:ascii="Times New Roman" w:hAnsi="Times New Roman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承办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委、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政府和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委编委交办的其他工作。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区委编办</w:t>
      </w:r>
      <w:r>
        <w:rPr>
          <w:rFonts w:hint="eastAsia" w:ascii="Times New Roman" w:eastAsia="楷体_GB2312" w:cs="Times New Roman"/>
          <w:b/>
          <w:bCs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重点工作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持续加强机构编制工作，稳妥推进党政机构改革。继续做好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改革工作，巩固和扩大改革成果。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有效推进事业单位工作。重点完成机关群团赋码工作，达到所有单位全部赋码的目标。完成中文域名注册、续费工作，达到年清结转的目标。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德阳市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委机构编制委员会办公室无下属二级预算单位。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主要包括：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firstLine="672" w:firstLineChars="21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总编制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名，其中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名、参照公务员法管理的事业编制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名，机关工勤编制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在职人员总数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人，其中：行政人员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eastAsia="zh-CN"/>
        </w:rPr>
        <w:t>参公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人，工勤人员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人。本次公开数据包括所有下属二级单位数据。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三、收支预算增减变化情况说明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按照综合预算的原则，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所有收支均包含下属单位数据，全部纳入部门预算管理。收入包括：当年财政拨款收入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减少10.55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%，主要原因为人员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，工资福利支出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；支出包括：工资福利支出、商品和服务支出、对个人和家庭的补助支出、项目支出，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减少10.55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%，主要原因为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人员减少，工资福利支出减少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收支总预算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（一）收入预算情况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收入预算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万元，其中：一般公共预算拨款收入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（二）支出预算情况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支出预算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万元，其中：基本支出</w:t>
      </w:r>
      <w:r>
        <w:rPr>
          <w:rFonts w:hint="eastAsia" w:ascii="Times New Roman" w:eastAsia="仿宋_GB2312" w:cs="Times New Roman"/>
          <w:sz w:val="32"/>
          <w:highlight w:val="none"/>
          <w:lang w:val="en-US" w:eastAsia="zh-CN"/>
        </w:rPr>
        <w:t>181.23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93.5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%；项目支出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四、财政拨款收支预算情况说明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财政拨款收支总预算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减少10.55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%，主要原因为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人员减少，工资福利支出减少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收入包括：本年一般公共预算拨款收入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万元；支出包括：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社会保障和就业支出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172.98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万元，医疗卫生与计划生育支出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6.79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万元，住房保障支出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14.03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五、一般公共预算当年拨款情况说明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（一）一般公共预算当年拨款规模变化情况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一般公共预算当年拨款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193.8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减少10.55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减少5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%，主要原因为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人员减少，工资福利支出减少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社会保障和就业支出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172.98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.26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医疗卫生与计划生育支出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6.79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住房保障支出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14.03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7.24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1.社会保障和就业支出－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人力资源和社会保障管理事务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－行政运行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134.63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万元，主要用于：机关人员工资、日常运转支出。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.社会保障和就业支出－人力资源和社会保障管理事务－一般行政管理事务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预算数为12.57万元，主要用于：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保障机构编制管理所需办公、差旅、委托业务等费用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人力资源和社会保障管理事务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事业运行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万元，主要用于：对个人和家庭的补助。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.社会保障和就业支出－行政事业单位养老支出－机关事业单位基本养老保险缴费支出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16.63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万元，主要用于：机关及下属事业单位按照规定标准为职工缴纳的基本养老保险支出。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.社会保障和就业支出－行政事业单位养老支出－机关事业单位职业年金缴费支出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8.31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万元，主要用于：机关及下属事业单位按照规定标准为职工缴纳的职业年金支出。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.卫生健康支出－行政事业单位医疗－行政单位医疗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6.79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万元，主要用于：机关按照规定标准为职工缴纳的医疗保险支出。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.卫生健康支出－行政事业单位医疗－行政单位医疗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预算数为0.23万元，主要用于：机关按照规定标准为职工缴纳的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保险支出。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.住房保障支出－住房改革支出－住房公积金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14.03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万元，主要用于：机关及下属事业单位按照规定标准为职工缴纳住房公积金支出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六、一般公共预算基本支出情况说明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一般公共预算基本支出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181.23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人员经费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157.46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万元，主要包括：基本工资、津贴补贴、奖金、社会保险缴费、绩效工资、机关事业单位基本养老保险缴费、职业年金缴费、其他工资福利支出。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公用经费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23.77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万元，主要包括：办公费、印刷费、咨询费、手续费、水电费、邮电费、差旅费、维修（护）费、租赁费、会议费、培训费、劳务费、工会经费、福利费、其他交通工具运行维护费、其他商品和服务支出。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七、“三公”经费财政拨款预算安排情况说明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“三公”经费财政拨款预算数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0.29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万元，其中：因公出国（境）经费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万元，公务接待费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0.29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万元，公务用车购置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（一）因公出国（境）经费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无预算安排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根据安排的出国计划，拟安排出国（境）团组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次，出国（境）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人次。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主要原因是无出国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（境）计划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（二）公务接待费预算数</w:t>
      </w:r>
      <w:r>
        <w:rPr>
          <w:rFonts w:hint="eastAsia" w:asci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0.29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eastAsia="楷体_GB2312" w:cs="Times New Roman"/>
          <w:b/>
          <w:bCs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预算数</w:t>
      </w:r>
      <w:r>
        <w:rPr>
          <w:rFonts w:hint="eastAsia" w:asci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基本持平。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（三）公务用车购置及运行维护费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无预算安排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主要原因是无公务用车和公务用车购置计划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单位现有公务用车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辆。其中：轿车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安排公务用车运行维护费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八、政府性基金预算收支情况说明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无政府性基金预算收入及支出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九、国有资本经营预算支出情况说明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委编办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使用国有资本经营预算拨款安排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万元，其中：基本支出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万元，项目支出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（一）机关运行经费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机关运行经费财政拨款预算为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23.77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基本持平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（二）政府采购情况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安排政府采购预算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（三）国有资产占有使用情况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截至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所属各预算单位共有固定资产总额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万元，其中公务用车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部门预算未安排购置车辆及单位价值200万元以上大型设备。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（四）绩效目标设置情况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部门通用项目和专用项目均按要求实行绩效目标管理，涉及一般公共预算当年拨款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十、名词解释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（一）一般公共预算拨款收入：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指区级财政当年拨付的资金。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（二）上年结转：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指以前年度尚未完成、结转到本年仍按原规定用途继续使用的资金。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（三）基本支出：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指为保障机构正常运转、完成日常工作任务所必需的人员经费和日常公用经费。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（四）项目支出：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（五）“三公”经费：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eastAsia="zh-CN"/>
        </w:rPr>
        <w:t>附件：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中共德阳市罗江区委机构编制委员会办公室本级2024年度部门预算公开报表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中共德阳市罗江区委机构编制委员会办公室本级2024年度项目支出绩效目标公开表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中共德阳市罗江区委机构编制委员会办公室本级2024年度部门整体绩效目标公开表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中共德阳市罗江区委机构编制委员会办公室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0日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TRjNDVjMjE2OTM0ZDY3N2ExZmEzY2VjMzExMGQifQ=="/>
  </w:docVars>
  <w:rsids>
    <w:rsidRoot w:val="004E4A63"/>
    <w:rsid w:val="00107AF7"/>
    <w:rsid w:val="001A5E61"/>
    <w:rsid w:val="001F59C4"/>
    <w:rsid w:val="00202A4E"/>
    <w:rsid w:val="00245794"/>
    <w:rsid w:val="002D17ED"/>
    <w:rsid w:val="002F6687"/>
    <w:rsid w:val="00325291"/>
    <w:rsid w:val="00336B03"/>
    <w:rsid w:val="00363AC0"/>
    <w:rsid w:val="003B021E"/>
    <w:rsid w:val="004B52FA"/>
    <w:rsid w:val="004D53A9"/>
    <w:rsid w:val="004E4A63"/>
    <w:rsid w:val="00504316"/>
    <w:rsid w:val="00563314"/>
    <w:rsid w:val="005A0F05"/>
    <w:rsid w:val="00640CC1"/>
    <w:rsid w:val="007225E2"/>
    <w:rsid w:val="007365C4"/>
    <w:rsid w:val="008F70DC"/>
    <w:rsid w:val="009049CB"/>
    <w:rsid w:val="00933755"/>
    <w:rsid w:val="009D554C"/>
    <w:rsid w:val="00A35F1B"/>
    <w:rsid w:val="00A46B69"/>
    <w:rsid w:val="00A5551E"/>
    <w:rsid w:val="00A60A56"/>
    <w:rsid w:val="00BD7C8D"/>
    <w:rsid w:val="00C96FDA"/>
    <w:rsid w:val="00D14665"/>
    <w:rsid w:val="00DC34F5"/>
    <w:rsid w:val="00EE23D3"/>
    <w:rsid w:val="00FD2791"/>
    <w:rsid w:val="00FD2F29"/>
    <w:rsid w:val="01931A7A"/>
    <w:rsid w:val="06E53FC6"/>
    <w:rsid w:val="0BCA342E"/>
    <w:rsid w:val="0CBC3A4D"/>
    <w:rsid w:val="11B9648C"/>
    <w:rsid w:val="125A2B15"/>
    <w:rsid w:val="13522181"/>
    <w:rsid w:val="1836694C"/>
    <w:rsid w:val="1A8B57AF"/>
    <w:rsid w:val="1D113FC2"/>
    <w:rsid w:val="1FCE268A"/>
    <w:rsid w:val="247F66D2"/>
    <w:rsid w:val="2BFE5851"/>
    <w:rsid w:val="2CBD72B2"/>
    <w:rsid w:val="2D940970"/>
    <w:rsid w:val="35504701"/>
    <w:rsid w:val="382F093B"/>
    <w:rsid w:val="397D3CB4"/>
    <w:rsid w:val="39B238A8"/>
    <w:rsid w:val="4025253D"/>
    <w:rsid w:val="42040EAD"/>
    <w:rsid w:val="42991D01"/>
    <w:rsid w:val="429D6E3B"/>
    <w:rsid w:val="44E1584B"/>
    <w:rsid w:val="4E7018A8"/>
    <w:rsid w:val="514D24EB"/>
    <w:rsid w:val="5BA473D2"/>
    <w:rsid w:val="61902D61"/>
    <w:rsid w:val="61F43682"/>
    <w:rsid w:val="6273209E"/>
    <w:rsid w:val="6BC80A1D"/>
    <w:rsid w:val="6F9D54EF"/>
    <w:rsid w:val="70801BA9"/>
    <w:rsid w:val="726F2E59"/>
    <w:rsid w:val="77103EEA"/>
    <w:rsid w:val="7A3B54CB"/>
    <w:rsid w:val="7AF448FF"/>
    <w:rsid w:val="7F7D47B2"/>
    <w:rsid w:val="7FC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3302</Words>
  <Characters>3618</Characters>
  <Lines>17</Lines>
  <Paragraphs>4</Paragraphs>
  <TotalTime>1</TotalTime>
  <ScaleCrop>false</ScaleCrop>
  <LinksUpToDate>false</LinksUpToDate>
  <CharactersWithSpaces>3740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Administrator</cp:lastModifiedBy>
  <dcterms:modified xsi:type="dcterms:W3CDTF">2024-02-17T05:42:53Z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D31EFA4A18584ED19F40FFA8F50942A0</vt:lpwstr>
  </property>
</Properties>
</file>