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9"/>
          <w:rFonts w:hint="eastAsia" w:ascii="ˎ̥" w:hAnsi="ˎ̥"/>
          <w:b/>
          <w:color w:val="000000"/>
          <w:sz w:val="41"/>
          <w:szCs w:val="41"/>
        </w:rPr>
      </w:pPr>
      <w:bookmarkStart w:id="0" w:name="_Toc15378441"/>
      <w:bookmarkStart w:id="1" w:name="_Toc15396597"/>
      <w:bookmarkStart w:id="2" w:name="_Toc15377193"/>
      <w:bookmarkStart w:id="3" w:name="_Toc15396475"/>
      <w:bookmarkStart w:id="4" w:name="_Toc15377425"/>
      <w:r>
        <w:rPr>
          <w:rStyle w:val="9"/>
          <w:rFonts w:hint="eastAsia" w:ascii="ˎ̥" w:hAnsi="ˎ̥"/>
          <w:b/>
          <w:color w:val="000000"/>
          <w:sz w:val="41"/>
          <w:szCs w:val="41"/>
        </w:rPr>
        <w:t>德阳市罗江区科学技术协会</w:t>
      </w:r>
    </w:p>
    <w:p>
      <w:pPr>
        <w:ind w:firstLine="412" w:firstLineChars="100"/>
        <w:jc w:val="center"/>
        <w:rPr>
          <w:rStyle w:val="9"/>
          <w:rFonts w:hint="eastAsia" w:ascii="ˎ̥" w:hAnsi="ˎ̥"/>
          <w:b/>
          <w:bCs/>
          <w:color w:val="000000"/>
          <w:sz w:val="41"/>
          <w:szCs w:val="41"/>
        </w:rPr>
      </w:pPr>
      <w:r>
        <w:rPr>
          <w:rStyle w:val="9"/>
          <w:rFonts w:ascii="ˎ̥" w:hAnsi="ˎ̥"/>
          <w:b/>
          <w:color w:val="000000"/>
          <w:sz w:val="41"/>
          <w:szCs w:val="41"/>
        </w:rPr>
        <w:t>20</w:t>
      </w:r>
      <w:r>
        <w:rPr>
          <w:rStyle w:val="9"/>
          <w:rFonts w:hint="eastAsia" w:ascii="ˎ̥" w:hAnsi="ˎ̥"/>
          <w:b/>
          <w:color w:val="000000"/>
          <w:sz w:val="41"/>
          <w:szCs w:val="41"/>
        </w:rPr>
        <w:t>2</w:t>
      </w:r>
      <w:r>
        <w:rPr>
          <w:rStyle w:val="9"/>
          <w:rFonts w:hint="eastAsia" w:ascii="ˎ̥" w:hAnsi="ˎ̥"/>
          <w:b/>
          <w:color w:val="000000"/>
          <w:sz w:val="41"/>
          <w:szCs w:val="41"/>
          <w:lang w:val="en-US" w:eastAsia="zh-CN"/>
        </w:rPr>
        <w:t>4</w:t>
      </w:r>
      <w:r>
        <w:rPr>
          <w:rStyle w:val="9"/>
          <w:rFonts w:ascii="ˎ̥" w:hAnsi="ˎ̥"/>
          <w:b/>
          <w:color w:val="000000"/>
          <w:sz w:val="41"/>
          <w:szCs w:val="41"/>
        </w:rPr>
        <w:t>年部门预算编制说明</w:t>
      </w:r>
    </w:p>
    <w:bookmarkEnd w:id="0"/>
    <w:bookmarkEnd w:id="1"/>
    <w:bookmarkEnd w:id="2"/>
    <w:bookmarkEnd w:id="3"/>
    <w:bookmarkEnd w:id="4"/>
    <w:p>
      <w:pPr>
        <w:widowControl/>
        <w:jc w:val="center"/>
        <w:rPr>
          <w:rStyle w:val="9"/>
          <w:rFonts w:hint="eastAsia" w:ascii="ˎ̥" w:hAnsi="ˎ̥"/>
          <w:sz w:val="41"/>
          <w:szCs w:val="41"/>
        </w:rPr>
      </w:pPr>
      <w:r>
        <w:rPr>
          <w:rStyle w:val="9"/>
          <w:rFonts w:hint="eastAsia" w:ascii="ˎ̥" w:hAnsi="ˎ̥"/>
          <w:sz w:val="41"/>
          <w:szCs w:val="41"/>
        </w:rPr>
        <w:t>目录</w:t>
      </w:r>
    </w:p>
    <w:p>
      <w:pPr>
        <w:widowControl/>
        <w:jc w:val="center"/>
        <w:rPr>
          <w:rStyle w:val="9"/>
          <w:rFonts w:hint="eastAsia" w:ascii="ˎ̥" w:hAnsi="ˎ̥"/>
          <w:sz w:val="28"/>
          <w:szCs w:val="28"/>
        </w:rPr>
      </w:pPr>
    </w:p>
    <w:p>
      <w:pPr>
        <w:ind w:firstLine="300" w:firstLineChars="100"/>
        <w:jc w:val="center"/>
        <w:rPr>
          <w:rStyle w:val="9"/>
          <w:rFonts w:hint="eastAsia" w:ascii="ˎ̥" w:hAnsi="ˎ̥"/>
          <w:bCs/>
          <w:color w:val="000000"/>
          <w:sz w:val="30"/>
          <w:szCs w:val="30"/>
        </w:rPr>
      </w:pPr>
      <w:r>
        <w:rPr>
          <w:rStyle w:val="9"/>
          <w:rFonts w:hint="eastAsia" w:ascii="ˎ̥" w:hAnsi="ˎ̥"/>
          <w:bCs/>
          <w:color w:val="000000"/>
          <w:sz w:val="30"/>
          <w:szCs w:val="30"/>
        </w:rPr>
        <w:t>公开时间：2024年1月29日</w:t>
      </w:r>
    </w:p>
    <w:p>
      <w:pPr>
        <w:pStyle w:val="16"/>
        <w:tabs>
          <w:tab w:val="right" w:leader="dot" w:pos="8845"/>
        </w:tabs>
        <w:spacing w:line="400" w:lineRule="exact"/>
        <w:rPr>
          <w:rFonts w:ascii="仿宋_GB2312" w:hAnsi="仿宋_GB2312" w:eastAsia="仿宋_GB2312" w:cstheme="minorBidi"/>
          <w:kern w:val="2"/>
          <w:sz w:val="24"/>
          <w:szCs w:val="24"/>
        </w:rPr>
      </w:pPr>
      <w:r>
        <w:rPr>
          <w:rStyle w:val="9"/>
          <w:rFonts w:hint="eastAsia"/>
        </w:rPr>
        <w:fldChar w:fldCharType="begin"/>
      </w:r>
      <w:r>
        <w:rPr>
          <w:rStyle w:val="9"/>
          <w:rFonts w:hint="eastAsia" w:ascii="ˎ̥" w:hAnsi="ˎ̥"/>
          <w:b/>
          <w:bCs/>
          <w:color w:val="000000"/>
          <w:sz w:val="24"/>
          <w:szCs w:val="24"/>
        </w:rPr>
        <w:instrText xml:space="preserve">TOC \o "1-2" \h \u </w:instrText>
      </w:r>
      <w:r>
        <w:rPr>
          <w:rStyle w:val="9"/>
          <w:rFonts w:hint="eastAsia"/>
        </w:rPr>
        <w:fldChar w:fldCharType="separate"/>
      </w:r>
      <w:r>
        <w:fldChar w:fldCharType="begin"/>
      </w:r>
      <w:r>
        <w:instrText xml:space="preserve"> HYPERLINK \l "_Toc28770" </w:instrText>
      </w:r>
      <w:r>
        <w:fldChar w:fldCharType="separate"/>
      </w:r>
      <w:r>
        <w:rPr>
          <w:rFonts w:hint="eastAsia" w:ascii="仿宋_GB2312" w:hAnsi="仿宋_GB2312" w:eastAsia="仿宋_GB2312" w:cstheme="minorBidi"/>
          <w:kern w:val="2"/>
          <w:sz w:val="24"/>
          <w:szCs w:val="24"/>
        </w:rPr>
        <w:t>一、基本职能及主要工作</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1</w:t>
      </w:r>
    </w:p>
    <w:p>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"_Toc21884" </w:instrText>
      </w:r>
      <w:r>
        <w:fldChar w:fldCharType="separate"/>
      </w:r>
      <w:r>
        <w:rPr>
          <w:rFonts w:hint="eastAsia" w:ascii="仿宋_GB2312" w:hAnsi="仿宋_GB2312" w:eastAsia="仿宋_GB2312" w:cstheme="minorBidi"/>
          <w:kern w:val="2"/>
          <w:sz w:val="24"/>
          <w:szCs w:val="24"/>
        </w:rPr>
        <w:t>（一）机构设置及主要职责</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1</w:t>
      </w:r>
    </w:p>
    <w:p>
      <w:pPr>
        <w:pStyle w:val="17"/>
        <w:tabs>
          <w:tab w:val="right" w:leader="dot" w:pos="8845"/>
        </w:tabs>
        <w:spacing w:line="400" w:lineRule="exact"/>
        <w:ind w:left="0" w:leftChars="0" w:firstLine="400" w:firstLineChars="200"/>
        <w:rPr>
          <w:rFonts w:hint="eastAsia" w:ascii="仿宋_GB2312" w:hAnsi="仿宋_GB2312" w:eastAsia="仿宋_GB2312" w:cstheme="minorBidi"/>
          <w:kern w:val="2"/>
          <w:sz w:val="24"/>
          <w:szCs w:val="24"/>
          <w:lang w:eastAsia="zh-CN"/>
        </w:rPr>
      </w:pPr>
      <w:r>
        <w:fldChar w:fldCharType="begin"/>
      </w:r>
      <w:r>
        <w:instrText xml:space="preserve"> HYPERLINK \l "_Toc818" </w:instrText>
      </w:r>
      <w:r>
        <w:fldChar w:fldCharType="separate"/>
      </w:r>
      <w:r>
        <w:rPr>
          <w:rFonts w:hint="eastAsia" w:ascii="仿宋_GB2312" w:hAnsi="仿宋_GB2312" w:eastAsia="仿宋_GB2312" w:cstheme="minorBidi"/>
          <w:kern w:val="2"/>
          <w:sz w:val="24"/>
          <w:szCs w:val="24"/>
        </w:rPr>
        <w:t>（二）202</w:t>
      </w:r>
      <w:r>
        <w:rPr>
          <w:rFonts w:hint="eastAsia" w:ascii="仿宋_GB2312" w:hAnsi="仿宋_GB2312" w:eastAsia="仿宋_GB2312" w:cstheme="minorBidi"/>
          <w:kern w:val="2"/>
          <w:sz w:val="24"/>
          <w:szCs w:val="24"/>
          <w:lang w:val="en-US" w:eastAsia="zh-CN"/>
        </w:rPr>
        <w:t>4</w:t>
      </w:r>
      <w:r>
        <w:rPr>
          <w:rFonts w:hint="eastAsia" w:ascii="仿宋_GB2312" w:hAnsi="仿宋_GB2312" w:eastAsia="仿宋_GB2312" w:cstheme="minorBidi"/>
          <w:kern w:val="2"/>
          <w:sz w:val="24"/>
          <w:szCs w:val="24"/>
        </w:rPr>
        <w:t>年重点工作</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2</w:t>
      </w:r>
    </w:p>
    <w:p>
      <w:pPr>
        <w:pStyle w:val="16"/>
        <w:tabs>
          <w:tab w:val="right" w:leader="dot" w:pos="8845"/>
        </w:tabs>
        <w:spacing w:line="400" w:lineRule="exact"/>
        <w:rPr>
          <w:rFonts w:hint="eastAsia" w:ascii="仿宋_GB2312" w:hAnsi="仿宋_GB2312" w:eastAsia="仿宋_GB2312" w:cstheme="minorBidi"/>
          <w:kern w:val="2"/>
          <w:sz w:val="24"/>
          <w:szCs w:val="24"/>
          <w:lang w:eastAsia="zh-CN"/>
        </w:rPr>
      </w:pPr>
      <w:r>
        <w:fldChar w:fldCharType="begin"/>
      </w:r>
      <w:r>
        <w:instrText xml:space="preserve"> HYPERLINK \l "_Toc27442" </w:instrText>
      </w:r>
      <w:r>
        <w:fldChar w:fldCharType="separate"/>
      </w:r>
      <w:r>
        <w:rPr>
          <w:rFonts w:hint="eastAsia" w:ascii="仿宋_GB2312" w:hAnsi="仿宋_GB2312" w:eastAsia="仿宋_GB2312" w:cstheme="minorBidi"/>
          <w:kern w:val="2"/>
          <w:sz w:val="24"/>
          <w:szCs w:val="24"/>
        </w:rPr>
        <w:t>二、部门预算单位构成</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3</w:t>
      </w:r>
    </w:p>
    <w:p>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"_Toc1848" </w:instrText>
      </w:r>
      <w:r>
        <w:fldChar w:fldCharType="separate"/>
      </w:r>
      <w:r>
        <w:rPr>
          <w:rFonts w:hint="eastAsia" w:ascii="仿宋_GB2312" w:hAnsi="仿宋_GB2312" w:eastAsia="仿宋_GB2312" w:cstheme="minorBidi"/>
          <w:kern w:val="2"/>
          <w:sz w:val="24"/>
          <w:szCs w:val="24"/>
        </w:rPr>
        <w:t>三、收支预算增减变化情况说明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4</w:t>
      </w:r>
    </w:p>
    <w:p>
      <w:pPr>
        <w:pStyle w:val="17"/>
        <w:tabs>
          <w:tab w:val="right" w:leader="dot" w:pos="8845"/>
        </w:tabs>
        <w:spacing w:line="400" w:lineRule="exact"/>
        <w:ind w:left="0" w:leftChars="0" w:firstLine="400" w:firstLineChars="200"/>
        <w:rPr>
          <w:rFonts w:hint="eastAsia" w:ascii="仿宋_GB2312" w:hAnsi="仿宋_GB2312" w:eastAsia="仿宋_GB2312" w:cstheme="minorBidi"/>
          <w:kern w:val="2"/>
          <w:sz w:val="24"/>
          <w:szCs w:val="24"/>
          <w:lang w:eastAsia="zh-CN"/>
        </w:rPr>
      </w:pPr>
      <w:r>
        <w:fldChar w:fldCharType="begin"/>
      </w:r>
      <w:r>
        <w:instrText xml:space="preserve"> HYPERLINK \l "_Toc193" </w:instrText>
      </w:r>
      <w:r>
        <w:fldChar w:fldCharType="separate"/>
      </w:r>
      <w:r>
        <w:rPr>
          <w:rFonts w:hint="eastAsia" w:ascii="仿宋_GB2312" w:hAnsi="仿宋_GB2312" w:eastAsia="仿宋_GB2312" w:cstheme="minorBidi"/>
          <w:kern w:val="2"/>
          <w:sz w:val="24"/>
          <w:szCs w:val="24"/>
        </w:rPr>
        <w:t>（一）收入预算情况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4</w:t>
      </w:r>
    </w:p>
    <w:p>
      <w:pPr>
        <w:pStyle w:val="17"/>
        <w:tabs>
          <w:tab w:val="right" w:leader="dot" w:pos="8845"/>
        </w:tabs>
        <w:spacing w:line="400" w:lineRule="exact"/>
        <w:ind w:left="0" w:leftChars="0" w:firstLine="400" w:firstLineChars="200"/>
        <w:rPr>
          <w:rFonts w:hint="eastAsia" w:ascii="仿宋_GB2312" w:hAnsi="仿宋_GB2312" w:eastAsia="仿宋_GB2312" w:cstheme="minorBidi"/>
          <w:kern w:val="2"/>
          <w:sz w:val="24"/>
          <w:szCs w:val="24"/>
          <w:lang w:eastAsia="zh-CN"/>
        </w:rPr>
      </w:pPr>
      <w:r>
        <w:fldChar w:fldCharType="begin"/>
      </w:r>
      <w:r>
        <w:instrText xml:space="preserve"> HYPERLINK \l "_Toc3651" </w:instrText>
      </w:r>
      <w:r>
        <w:fldChar w:fldCharType="separate"/>
      </w:r>
      <w:r>
        <w:rPr>
          <w:rFonts w:hint="eastAsia" w:ascii="仿宋_GB2312" w:hAnsi="仿宋_GB2312" w:eastAsia="仿宋_GB2312" w:cstheme="minorBidi"/>
          <w:kern w:val="2"/>
          <w:sz w:val="24"/>
          <w:szCs w:val="24"/>
        </w:rPr>
        <w:t>（二）支出预算情况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4</w:t>
      </w:r>
    </w:p>
    <w:p>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"_Toc3738" </w:instrText>
      </w:r>
      <w:r>
        <w:fldChar w:fldCharType="separate"/>
      </w:r>
      <w:r>
        <w:rPr>
          <w:rFonts w:hint="eastAsia" w:ascii="仿宋_GB2312" w:hAnsi="仿宋_GB2312" w:eastAsia="仿宋_GB2312" w:cstheme="minorBidi"/>
          <w:kern w:val="2"/>
          <w:sz w:val="24"/>
          <w:szCs w:val="24"/>
        </w:rPr>
        <w:t>四、财政拨款收支预算情况说明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4</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"_Toc3440" </w:instrText>
      </w:r>
      <w:r>
        <w:fldChar w:fldCharType="separate"/>
      </w:r>
      <w:r>
        <w:rPr>
          <w:rFonts w:hint="eastAsia" w:ascii="仿宋_GB2312" w:hAnsi="仿宋_GB2312" w:eastAsia="仿宋_GB2312" w:cstheme="minorBidi"/>
          <w:kern w:val="2"/>
          <w:sz w:val="24"/>
          <w:szCs w:val="24"/>
        </w:rPr>
        <w:t>五、一般公共预算当年拨款情况说明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4</w:t>
      </w:r>
      <w:r>
        <w:rPr>
          <w:rFonts w:hint="eastAsia" w:ascii="仿宋_GB2312" w:hAnsi="仿宋_GB2312" w:eastAsia="仿宋_GB2312" w:cstheme="minorBidi"/>
          <w:kern w:val="2"/>
          <w:sz w:val="24"/>
          <w:szCs w:val="24"/>
        </w:rPr>
        <w:fldChar w:fldCharType="end"/>
      </w:r>
    </w:p>
    <w:p>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"_Toc25098" </w:instrText>
      </w:r>
      <w:r>
        <w:fldChar w:fldCharType="separate"/>
      </w:r>
      <w:r>
        <w:rPr>
          <w:rFonts w:hint="eastAsia" w:ascii="仿宋_GB2312" w:hAnsi="仿宋_GB2312" w:eastAsia="仿宋_GB2312" w:cstheme="minorBidi"/>
          <w:kern w:val="2"/>
          <w:sz w:val="24"/>
          <w:szCs w:val="24"/>
        </w:rPr>
        <w:t>（一）一般公共预算当年拨款规模变化情况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5</w:t>
      </w:r>
      <w:r>
        <w:rPr>
          <w:rFonts w:hint="eastAsia" w:ascii="仿宋_GB2312" w:hAnsi="仿宋_GB2312" w:eastAsia="仿宋_GB2312" w:cstheme="minorBidi"/>
          <w:kern w:val="2"/>
          <w:sz w:val="24"/>
          <w:szCs w:val="24"/>
        </w:rPr>
        <w:fldChar w:fldCharType="end"/>
      </w:r>
    </w:p>
    <w:p>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"_Toc16092" </w:instrText>
      </w:r>
      <w:r>
        <w:fldChar w:fldCharType="separate"/>
      </w:r>
      <w:r>
        <w:rPr>
          <w:rFonts w:hint="eastAsia" w:ascii="仿宋_GB2312" w:hAnsi="仿宋_GB2312" w:eastAsia="仿宋_GB2312" w:cstheme="minorBidi"/>
          <w:kern w:val="2"/>
          <w:sz w:val="24"/>
          <w:szCs w:val="24"/>
        </w:rPr>
        <w:t>（二）一般公共预算当年拨款结构情况(按照功能科目类写)</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5</w:t>
      </w:r>
      <w:r>
        <w:rPr>
          <w:rFonts w:hint="eastAsia" w:ascii="仿宋_GB2312" w:hAnsi="仿宋_GB2312" w:eastAsia="仿宋_GB2312" w:cstheme="minorBidi"/>
          <w:kern w:val="2"/>
          <w:sz w:val="24"/>
          <w:szCs w:val="24"/>
        </w:rPr>
        <w:fldChar w:fldCharType="end"/>
      </w:r>
    </w:p>
    <w:p>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"_Toc28341" </w:instrText>
      </w:r>
      <w:r>
        <w:fldChar w:fldCharType="separate"/>
      </w:r>
      <w:r>
        <w:rPr>
          <w:rFonts w:hint="eastAsia" w:ascii="仿宋_GB2312" w:hAnsi="仿宋_GB2312" w:eastAsia="仿宋_GB2312" w:cstheme="minorBidi"/>
          <w:kern w:val="2"/>
          <w:sz w:val="24"/>
          <w:szCs w:val="24"/>
        </w:rPr>
        <w:t>（三）一般公共预算当年拨款具体使用情况（按功能科目类款项写）</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5</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"_Toc18858" </w:instrText>
      </w:r>
      <w:r>
        <w:fldChar w:fldCharType="separate"/>
      </w:r>
      <w:r>
        <w:rPr>
          <w:rFonts w:hint="eastAsia" w:ascii="仿宋_GB2312" w:hAnsi="仿宋_GB2312" w:eastAsia="仿宋_GB2312" w:cstheme="minorBidi"/>
          <w:kern w:val="2"/>
          <w:sz w:val="24"/>
          <w:szCs w:val="24"/>
        </w:rPr>
        <w:t>六、一般公共预算基本支出情况说明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6</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"_Toc256" </w:instrText>
      </w:r>
      <w:r>
        <w:fldChar w:fldCharType="separate"/>
      </w:r>
      <w:r>
        <w:rPr>
          <w:rFonts w:hint="eastAsia" w:ascii="仿宋_GB2312" w:hAnsi="仿宋_GB2312" w:eastAsia="仿宋_GB2312" w:cstheme="minorBidi"/>
          <w:kern w:val="2"/>
          <w:sz w:val="24"/>
          <w:szCs w:val="24"/>
        </w:rPr>
        <w:t>七、“三公”经费财政拨款预算安排情况说明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6</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"_Toc11086" </w:instrText>
      </w:r>
      <w:r>
        <w:fldChar w:fldCharType="separate"/>
      </w:r>
      <w:r>
        <w:rPr>
          <w:rFonts w:hint="eastAsia" w:ascii="仿宋_GB2312" w:hAnsi="仿宋_GB2312" w:eastAsia="仿宋_GB2312" w:cstheme="minorBidi"/>
          <w:kern w:val="2"/>
          <w:sz w:val="24"/>
          <w:szCs w:val="24"/>
        </w:rPr>
        <w:t>八、政府性基金预算收支情况说明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7</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"_Toc165" </w:instrText>
      </w:r>
      <w:r>
        <w:fldChar w:fldCharType="separate"/>
      </w:r>
      <w:r>
        <w:rPr>
          <w:rFonts w:hint="eastAsia" w:ascii="仿宋_GB2312" w:hAnsi="仿宋_GB2312" w:eastAsia="仿宋_GB2312" w:cstheme="minorBidi"/>
          <w:kern w:val="2"/>
          <w:sz w:val="24"/>
          <w:szCs w:val="24"/>
        </w:rPr>
        <w:t>九、国有资本经营预算支出情况说明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7</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"_Toc29771" </w:instrText>
      </w:r>
      <w:r>
        <w:fldChar w:fldCharType="separate"/>
      </w:r>
      <w:r>
        <w:rPr>
          <w:rFonts w:hint="eastAsia" w:ascii="仿宋_GB2312" w:hAnsi="仿宋_GB2312" w:eastAsia="仿宋_GB2312" w:cstheme="minorBidi"/>
          <w:kern w:val="2"/>
          <w:sz w:val="24"/>
          <w:szCs w:val="24"/>
        </w:rPr>
        <w:t>十、其他重要事项的情况说明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7</w:t>
      </w:r>
      <w:r>
        <w:rPr>
          <w:rFonts w:hint="eastAsia" w:ascii="仿宋_GB2312" w:hAnsi="仿宋_GB2312" w:eastAsia="仿宋_GB2312" w:cstheme="minorBidi"/>
          <w:kern w:val="2"/>
          <w:sz w:val="24"/>
          <w:szCs w:val="24"/>
        </w:rPr>
        <w:fldChar w:fldCharType="end"/>
      </w:r>
    </w:p>
    <w:p>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"_Toc11525" </w:instrText>
      </w:r>
      <w:r>
        <w:fldChar w:fldCharType="separate"/>
      </w:r>
      <w:r>
        <w:rPr>
          <w:rFonts w:hint="eastAsia" w:ascii="仿宋_GB2312" w:hAnsi="仿宋_GB2312" w:eastAsia="仿宋_GB2312" w:cstheme="minorBidi"/>
          <w:kern w:val="2"/>
          <w:sz w:val="24"/>
          <w:szCs w:val="24"/>
        </w:rPr>
        <w:t>（一）机关运行经费</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7</w:t>
      </w:r>
      <w:r>
        <w:rPr>
          <w:rFonts w:hint="eastAsia" w:ascii="仿宋_GB2312" w:hAnsi="仿宋_GB2312" w:eastAsia="仿宋_GB2312" w:cstheme="minorBidi"/>
          <w:kern w:val="2"/>
          <w:sz w:val="24"/>
          <w:szCs w:val="24"/>
        </w:rPr>
        <w:fldChar w:fldCharType="end"/>
      </w:r>
    </w:p>
    <w:p>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"_Toc15299" </w:instrText>
      </w:r>
      <w:r>
        <w:fldChar w:fldCharType="separate"/>
      </w:r>
      <w:r>
        <w:rPr>
          <w:rFonts w:hint="eastAsia" w:ascii="仿宋_GB2312" w:hAnsi="仿宋_GB2312" w:eastAsia="仿宋_GB2312" w:cstheme="minorBidi"/>
          <w:kern w:val="2"/>
          <w:sz w:val="24"/>
          <w:szCs w:val="24"/>
        </w:rPr>
        <w:t>（二）政府采购情况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7</w:t>
      </w:r>
      <w:r>
        <w:rPr>
          <w:rFonts w:hint="eastAsia" w:ascii="仿宋_GB2312" w:hAnsi="仿宋_GB2312" w:eastAsia="仿宋_GB2312" w:cstheme="minorBidi"/>
          <w:kern w:val="2"/>
          <w:sz w:val="24"/>
          <w:szCs w:val="24"/>
        </w:rPr>
        <w:fldChar w:fldCharType="end"/>
      </w:r>
    </w:p>
    <w:p>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"_Toc18679" </w:instrText>
      </w:r>
      <w:r>
        <w:fldChar w:fldCharType="separate"/>
      </w:r>
      <w:r>
        <w:rPr>
          <w:rFonts w:hint="eastAsia" w:ascii="仿宋_GB2312" w:hAnsi="仿宋_GB2312" w:eastAsia="仿宋_GB2312" w:cstheme="minorBidi"/>
          <w:kern w:val="2"/>
          <w:sz w:val="24"/>
          <w:szCs w:val="24"/>
        </w:rPr>
        <w:t>（三）国有资产占有使用情况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7</w:t>
      </w:r>
      <w:r>
        <w:rPr>
          <w:rFonts w:hint="eastAsia" w:ascii="仿宋_GB2312" w:hAnsi="仿宋_GB2312" w:eastAsia="仿宋_GB2312" w:cstheme="minorBidi"/>
          <w:kern w:val="2"/>
          <w:sz w:val="24"/>
          <w:szCs w:val="24"/>
        </w:rPr>
        <w:fldChar w:fldCharType="end"/>
      </w:r>
    </w:p>
    <w:p>
      <w:pPr>
        <w:pStyle w:val="17"/>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"_Toc2176" </w:instrText>
      </w:r>
      <w:r>
        <w:fldChar w:fldCharType="separate"/>
      </w:r>
      <w:r>
        <w:rPr>
          <w:rFonts w:hint="eastAsia" w:ascii="仿宋_GB2312" w:hAnsi="仿宋_GB2312" w:eastAsia="仿宋_GB2312" w:cstheme="minorBidi"/>
          <w:kern w:val="2"/>
          <w:sz w:val="24"/>
          <w:szCs w:val="24"/>
        </w:rPr>
        <w:t>（四）绩效目标设置情况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lang w:val="en-US" w:eastAsia="zh-CN"/>
        </w:rPr>
        <w:t>7</w:t>
      </w:r>
      <w:r>
        <w:rPr>
          <w:rFonts w:hint="eastAsia" w:ascii="仿宋_GB2312" w:hAnsi="仿宋_GB2312" w:eastAsia="仿宋_GB2312" w:cstheme="minorBidi"/>
          <w:kern w:val="2"/>
          <w:sz w:val="24"/>
          <w:szCs w:val="24"/>
        </w:rPr>
        <w:fldChar w:fldCharType="end"/>
      </w:r>
    </w:p>
    <w:p>
      <w:pPr>
        <w:pStyle w:val="16"/>
        <w:tabs>
          <w:tab w:val="right" w:leader="dot" w:pos="8845"/>
        </w:tabs>
        <w:spacing w:line="400" w:lineRule="exact"/>
        <w:rPr>
          <w:rFonts w:hint="eastAsia" w:eastAsia="仿宋_GB2312"/>
          <w:b/>
          <w:sz w:val="24"/>
          <w:szCs w:val="24"/>
          <w:lang w:eastAsia="zh-CN"/>
        </w:rPr>
      </w:pPr>
      <w:r>
        <w:fldChar w:fldCharType="begin"/>
      </w:r>
      <w:r>
        <w:instrText xml:space="preserve"> HYPERLINK \l "_Toc6693" </w:instrText>
      </w:r>
      <w:r>
        <w:fldChar w:fldCharType="separate"/>
      </w:r>
      <w:r>
        <w:rPr>
          <w:rFonts w:hint="eastAsia" w:ascii="仿宋_GB2312" w:hAnsi="仿宋_GB2312" w:eastAsia="仿宋_GB2312" w:cstheme="minorBidi"/>
          <w:kern w:val="2"/>
          <w:sz w:val="24"/>
          <w:szCs w:val="24"/>
        </w:rPr>
        <w:t>十一、名词解释</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lang w:val="en-US" w:eastAsia="zh-CN"/>
        </w:rPr>
        <w:t>7</w:t>
      </w:r>
    </w:p>
    <w:p>
      <w:pPr>
        <w:spacing w:line="400" w:lineRule="exact"/>
        <w:ind w:left="1598" w:leftChars="132" w:hanging="964" w:hangingChars="400"/>
        <w:rPr>
          <w:rFonts w:hint="eastAsia" w:ascii="ˎ̥" w:hAnsi="ˎ̥"/>
          <w:b/>
          <w:bCs/>
          <w:color w:val="000000"/>
          <w:sz w:val="24"/>
        </w:rPr>
      </w:pPr>
      <w:r>
        <w:rPr>
          <w:rFonts w:hint="eastAsia" w:ascii="ˎ̥" w:hAnsi="ˎ̥"/>
          <w:b/>
          <w:bCs/>
          <w:color w:val="000000"/>
          <w:sz w:val="24"/>
        </w:rPr>
        <w:fldChar w:fldCharType="end"/>
      </w:r>
    </w:p>
    <w:p>
      <w:pPr>
        <w:spacing w:line="560" w:lineRule="exact"/>
        <w:rPr>
          <w:rFonts w:ascii="仿宋_GB2312" w:hAnsi="仿宋_GB2312" w:eastAsia="仿宋_GB2312"/>
          <w:sz w:val="32"/>
          <w:szCs w:val="32"/>
        </w:rPr>
      </w:pPr>
    </w:p>
    <w:p>
      <w:pPr>
        <w:spacing w:line="560" w:lineRule="exact"/>
        <w:rPr>
          <w:rFonts w:ascii="仿宋_GB2312" w:hAnsi="仿宋_GB2312" w:eastAsia="仿宋_GB2312"/>
          <w:sz w:val="32"/>
          <w:szCs w:val="32"/>
        </w:rPr>
      </w:pPr>
    </w:p>
    <w:p>
      <w:pPr>
        <w:spacing w:line="560" w:lineRule="exact"/>
        <w:ind w:firstLine="643" w:firstLineChars="200"/>
        <w:rPr>
          <w:rFonts w:ascii="仿宋_GB2312" w:hAnsi="仿宋_GB2312" w:eastAsia="仿宋_GB2312"/>
          <w:b/>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b/>
          <w:sz w:val="32"/>
          <w:szCs w:val="32"/>
        </w:rPr>
      </w:pP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ascii="仿宋_GB2312" w:hAnsi="仿宋_GB2312" w:eastAsia="仿宋_GB2312"/>
          <w:b/>
          <w:sz w:val="32"/>
          <w:szCs w:val="32"/>
        </w:rPr>
      </w:pPr>
      <w:r>
        <w:rPr>
          <w:rFonts w:hint="eastAsia" w:ascii="仿宋_GB2312" w:hAnsi="仿宋_GB2312" w:eastAsia="仿宋_GB2312"/>
          <w:b/>
          <w:sz w:val="32"/>
          <w:szCs w:val="32"/>
        </w:rPr>
        <w:t>一、基本职能及主要工作</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b/>
          <w:bCs/>
          <w:sz w:val="32"/>
          <w:szCs w:val="32"/>
        </w:rPr>
      </w:pPr>
      <w:r>
        <w:rPr>
          <w:rFonts w:hint="eastAsia" w:ascii="仿宋_GB2312" w:hAnsi="仿宋_GB2312" w:eastAsia="仿宋_GB2312"/>
          <w:b/>
          <w:bCs/>
          <w:sz w:val="32"/>
          <w:szCs w:val="32"/>
        </w:rPr>
        <w:t>　（一）机构设置及主要职责。</w:t>
      </w:r>
    </w:p>
    <w:p>
      <w:pPr>
        <w:pStyle w:val="2"/>
        <w:keepNext w:val="0"/>
        <w:keepLines w:val="0"/>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rFonts w:ascii="仿宋" w:hAnsi="仿宋" w:eastAsia="仿宋"/>
          <w:sz w:val="32"/>
          <w:szCs w:val="32"/>
        </w:rPr>
      </w:pPr>
      <w:r>
        <w:rPr>
          <w:rFonts w:hint="eastAsia" w:ascii="仿宋" w:hAnsi="仿宋" w:eastAsia="仿宋"/>
          <w:sz w:val="32"/>
          <w:szCs w:val="32"/>
        </w:rPr>
        <w:t>1、开展学术交流，活跃学术思想，促进学科发展和技术创新。</w:t>
      </w:r>
    </w:p>
    <w:p>
      <w:pPr>
        <w:pStyle w:val="2"/>
        <w:keepNext w:val="0"/>
        <w:keepLines w:val="0"/>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rFonts w:ascii="仿宋" w:hAnsi="仿宋" w:eastAsia="仿宋"/>
          <w:sz w:val="32"/>
          <w:szCs w:val="32"/>
        </w:rPr>
      </w:pPr>
      <w:r>
        <w:rPr>
          <w:rFonts w:hint="eastAsia" w:ascii="仿宋" w:hAnsi="仿宋" w:eastAsia="仿宋"/>
          <w:sz w:val="32"/>
          <w:szCs w:val="32"/>
        </w:rPr>
        <w:t>2、负责全区科学技术普及工作。开展科普宣传，在全区人民中传播科学思想和科学方法，普及科学知识，弘扬科学精神，捍卫科学尊严；开展科技服务，推广先进实用技术，在农村、企业、学校、社会中开展科学技术教育和普及活动，提高全民族科学文化素质。</w:t>
      </w:r>
    </w:p>
    <w:p>
      <w:pPr>
        <w:pStyle w:val="2"/>
        <w:keepNext w:val="0"/>
        <w:keepLines w:val="0"/>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rFonts w:ascii="仿宋" w:hAnsi="仿宋" w:eastAsia="仿宋"/>
          <w:sz w:val="32"/>
          <w:szCs w:val="32"/>
        </w:rPr>
      </w:pPr>
      <w:r>
        <w:rPr>
          <w:rFonts w:hint="eastAsia" w:ascii="仿宋" w:hAnsi="仿宋" w:eastAsia="仿宋"/>
          <w:sz w:val="32"/>
          <w:szCs w:val="32"/>
        </w:rPr>
        <w:t>3、反映科学技术工作者的意见和要求，维护科学技术工作者的合法权益，为科技团体和科学技术工作者服务。组织科学技术工作者参与全区科学技术政策、规划、贯彻法规制定和区内重大事项的政治协商、科学决策、民主监督工作。</w:t>
      </w:r>
    </w:p>
    <w:p>
      <w:pPr>
        <w:pStyle w:val="2"/>
        <w:keepNext w:val="0"/>
        <w:keepLines w:val="0"/>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rFonts w:ascii="仿宋" w:hAnsi="仿宋" w:eastAsia="仿宋"/>
          <w:sz w:val="32"/>
          <w:szCs w:val="32"/>
        </w:rPr>
      </w:pPr>
      <w:r>
        <w:rPr>
          <w:rFonts w:hint="eastAsia" w:ascii="仿宋" w:hAnsi="仿宋" w:eastAsia="仿宋"/>
          <w:sz w:val="32"/>
          <w:szCs w:val="32"/>
        </w:rPr>
        <w:t>4、表彰奖励优秀学术论文、优秀科学技术工作者、优秀科技团体，举荐人才。</w:t>
      </w:r>
    </w:p>
    <w:p>
      <w:pPr>
        <w:pStyle w:val="2"/>
        <w:keepNext w:val="0"/>
        <w:keepLines w:val="0"/>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rFonts w:ascii="仿宋" w:hAnsi="仿宋" w:eastAsia="仿宋"/>
          <w:sz w:val="32"/>
          <w:szCs w:val="32"/>
        </w:rPr>
      </w:pPr>
      <w:r>
        <w:rPr>
          <w:rFonts w:hint="eastAsia" w:ascii="仿宋" w:hAnsi="仿宋" w:eastAsia="仿宋"/>
          <w:sz w:val="32"/>
          <w:szCs w:val="32"/>
        </w:rPr>
        <w:t>5、开展科学论证、咨询服务、农民技术职称评定，提出政策建议，实施“金桥工程”，开展“讲比”活动，促进科学技术成果的转化，接受委托承担项目评估、成果鉴定、专业技术职务资格评审等任务。负责科技咨询行业的管理。</w:t>
      </w:r>
    </w:p>
    <w:p>
      <w:pPr>
        <w:pStyle w:val="2"/>
        <w:keepNext w:val="0"/>
        <w:keepLines w:val="0"/>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rFonts w:ascii="仿宋" w:hAnsi="仿宋" w:eastAsia="仿宋"/>
          <w:sz w:val="32"/>
          <w:szCs w:val="32"/>
        </w:rPr>
      </w:pPr>
      <w:r>
        <w:rPr>
          <w:rFonts w:hint="eastAsia" w:ascii="仿宋" w:hAnsi="仿宋" w:eastAsia="仿宋"/>
          <w:sz w:val="32"/>
          <w:szCs w:val="32"/>
        </w:rPr>
        <w:t>6、开展地区间的民间科学技术交流与合作，发展同区外的科学技术团体和科学技术工作者的友好交往。</w:t>
      </w:r>
    </w:p>
    <w:p>
      <w:pPr>
        <w:pStyle w:val="2"/>
        <w:keepNext w:val="0"/>
        <w:keepLines w:val="0"/>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rFonts w:ascii="仿宋" w:hAnsi="仿宋" w:eastAsia="仿宋"/>
          <w:sz w:val="32"/>
          <w:szCs w:val="32"/>
        </w:rPr>
      </w:pPr>
      <w:r>
        <w:rPr>
          <w:rFonts w:hint="eastAsia" w:ascii="仿宋" w:hAnsi="仿宋" w:eastAsia="仿宋"/>
          <w:sz w:val="32"/>
          <w:szCs w:val="32"/>
        </w:rPr>
        <w:t>7、开展继续教育和培训工作，参与组织科学技术工作者进行科技开发、科技攻关、科技服务。</w:t>
      </w:r>
    </w:p>
    <w:p>
      <w:pPr>
        <w:pStyle w:val="2"/>
        <w:keepNext w:val="0"/>
        <w:keepLines w:val="0"/>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rFonts w:ascii="仿宋" w:hAnsi="仿宋" w:eastAsia="仿宋"/>
          <w:sz w:val="32"/>
          <w:szCs w:val="32"/>
        </w:rPr>
      </w:pPr>
      <w:r>
        <w:rPr>
          <w:rFonts w:hint="eastAsia" w:ascii="仿宋" w:hAnsi="仿宋" w:eastAsia="仿宋"/>
          <w:sz w:val="32"/>
          <w:szCs w:val="32"/>
        </w:rPr>
        <w:t>8、兴办符合区科协宗旨的社会公益性事业。</w:t>
      </w:r>
    </w:p>
    <w:p>
      <w:pPr>
        <w:pStyle w:val="2"/>
        <w:keepNext w:val="0"/>
        <w:keepLines w:val="0"/>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rFonts w:ascii="仿宋" w:hAnsi="仿宋" w:eastAsia="仿宋"/>
          <w:sz w:val="32"/>
          <w:szCs w:val="32"/>
        </w:rPr>
      </w:pPr>
      <w:r>
        <w:rPr>
          <w:rFonts w:hint="eastAsia" w:ascii="仿宋" w:hAnsi="仿宋" w:eastAsia="仿宋"/>
          <w:sz w:val="32"/>
          <w:szCs w:val="32"/>
        </w:rPr>
        <w:t>9、对直属学（协、研究）会等的管理和所属科协组织进行业务指导，加强所属团体之间的联系与合作。</w:t>
      </w:r>
    </w:p>
    <w:p>
      <w:pPr>
        <w:pStyle w:val="2"/>
        <w:keepNext w:val="0"/>
        <w:keepLines w:val="0"/>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rFonts w:ascii="仿宋" w:hAnsi="仿宋" w:eastAsia="仿宋"/>
          <w:sz w:val="32"/>
          <w:szCs w:val="32"/>
        </w:rPr>
      </w:pPr>
      <w:r>
        <w:rPr>
          <w:rFonts w:hint="eastAsia" w:ascii="仿宋" w:hAnsi="仿宋" w:eastAsia="仿宋"/>
          <w:sz w:val="32"/>
          <w:szCs w:val="32"/>
        </w:rPr>
        <w:t>10、承办区委、区政府和上级科协交办的其他事项。</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b/>
          <w:bCs/>
          <w:sz w:val="32"/>
          <w:szCs w:val="32"/>
        </w:rPr>
      </w:pPr>
      <w:r>
        <w:rPr>
          <w:rFonts w:hint="eastAsia" w:ascii="仿宋" w:hAnsi="仿宋" w:eastAsia="仿宋"/>
          <w:b/>
          <w:bCs/>
          <w:sz w:val="32"/>
          <w:szCs w:val="32"/>
        </w:rPr>
        <w:t>机构设置：</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区科协下设内设机构：</w:t>
      </w:r>
    </w:p>
    <w:p>
      <w:pPr>
        <w:pStyle w:val="10"/>
        <w:keepNext w:val="0"/>
        <w:keepLines w:val="0"/>
        <w:pageBreakBefore w:val="0"/>
        <w:widowControl w:val="0"/>
        <w:numPr>
          <w:ilvl w:val="0"/>
          <w:numId w:val="0"/>
        </w:numPr>
        <w:kinsoku/>
        <w:wordWrap/>
        <w:overflowPunct/>
        <w:topLinePunct w:val="0"/>
        <w:autoSpaceDE/>
        <w:autoSpaceDN/>
        <w:bidi w:val="0"/>
        <w:spacing w:line="500" w:lineRule="exact"/>
        <w:ind w:left="0" w:leftChars="0" w:firstLine="640" w:firstLineChars="200"/>
        <w:textAlignment w:val="auto"/>
        <w:rPr>
          <w:rFonts w:ascii="仿宋" w:hAnsi="仿宋" w:eastAsia="仿宋"/>
          <w:sz w:val="32"/>
          <w:szCs w:val="32"/>
        </w:rPr>
      </w:pPr>
      <w:r>
        <w:rPr>
          <w:rFonts w:ascii="仿宋" w:hAnsi="仿宋" w:eastAsia="仿宋"/>
          <w:sz w:val="32"/>
          <w:szCs w:val="32"/>
        </w:rPr>
        <w:t>办公室。负责文电、会务、机要、档案、安全等机关日常运转工作；承担信息、保密、信访、绩效管理、政务公开、督查督办、文稿起草及后勤保障等工作。负责财务、资产管理工作。负责党务、党风廉政、纪检监察、机构编制、人事管理、群团、职工教育培训等工作</w:t>
      </w:r>
      <w:r>
        <w:rPr>
          <w:rFonts w:hint="eastAsia" w:ascii="仿宋" w:hAnsi="仿宋" w:eastAsia="仿宋"/>
          <w:sz w:val="32"/>
          <w:szCs w:val="32"/>
        </w:rPr>
        <w:t>，</w:t>
      </w:r>
      <w:r>
        <w:rPr>
          <w:rFonts w:ascii="仿宋" w:hAnsi="仿宋" w:eastAsia="仿宋"/>
          <w:sz w:val="32"/>
          <w:szCs w:val="32"/>
        </w:rPr>
        <w:t>完成领导交办的其他工作。</w:t>
      </w:r>
    </w:p>
    <w:p>
      <w:pPr>
        <w:keepNext w:val="0"/>
        <w:keepLines w:val="0"/>
        <w:pageBreakBefore w:val="0"/>
        <w:widowControl w:val="0"/>
        <w:kinsoku/>
        <w:wordWrap/>
        <w:overflowPunct/>
        <w:topLinePunct w:val="0"/>
        <w:autoSpaceDE/>
        <w:autoSpaceDN/>
        <w:bidi w:val="0"/>
        <w:spacing w:line="500" w:lineRule="exact"/>
        <w:ind w:firstLine="321" w:firstLineChars="100"/>
        <w:textAlignment w:val="auto"/>
        <w:rPr>
          <w:rFonts w:hint="eastAsia" w:ascii="仿宋_GB2312" w:hAnsi="仿宋_GB2312" w:eastAsia="仿宋_GB2312"/>
          <w:b/>
          <w:bCs/>
          <w:sz w:val="32"/>
          <w:szCs w:val="32"/>
        </w:rPr>
      </w:pPr>
      <w:r>
        <w:rPr>
          <w:rFonts w:hint="eastAsia" w:ascii="仿宋_GB2312" w:hAnsi="仿宋_GB2312" w:eastAsia="仿宋_GB2312"/>
          <w:b/>
          <w:bCs/>
          <w:sz w:val="32"/>
          <w:szCs w:val="32"/>
        </w:rPr>
        <w:t>（二）202</w:t>
      </w:r>
      <w:r>
        <w:rPr>
          <w:rFonts w:hint="eastAsia" w:ascii="仿宋_GB2312" w:hAnsi="仿宋_GB2312" w:eastAsia="仿宋_GB2312"/>
          <w:b/>
          <w:bCs/>
          <w:sz w:val="32"/>
          <w:szCs w:val="32"/>
          <w:lang w:val="en-US" w:eastAsia="zh-CN"/>
        </w:rPr>
        <w:t>4</w:t>
      </w:r>
      <w:r>
        <w:rPr>
          <w:rFonts w:hint="eastAsia" w:ascii="仿宋_GB2312" w:hAnsi="仿宋_GB2312" w:eastAsia="仿宋_GB2312"/>
          <w:b/>
          <w:bCs/>
          <w:sz w:val="32"/>
          <w:szCs w:val="32"/>
        </w:rPr>
        <w:t>年重点工作。</w:t>
      </w:r>
    </w:p>
    <w:p>
      <w:pPr>
        <w:pStyle w:val="4"/>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ascii="楷体_GB2312" w:hAnsi="仿宋_GB2312" w:eastAsia="楷体_GB2312" w:cs="仿宋_GB2312"/>
          <w:bCs/>
          <w:color w:val="000000" w:themeColor="text1"/>
          <w:sz w:val="32"/>
          <w:szCs w:val="32"/>
        </w:rPr>
      </w:pPr>
      <w:r>
        <w:rPr>
          <w:rFonts w:hint="eastAsia" w:ascii="楷体_GB2312" w:hAnsi="仿宋_GB2312" w:eastAsia="楷体_GB2312" w:cs="仿宋_GB2312"/>
          <w:bCs/>
          <w:color w:val="000000" w:themeColor="text1"/>
          <w:sz w:val="32"/>
          <w:szCs w:val="32"/>
          <w:lang w:val="en-US" w:eastAsia="zh-CN"/>
        </w:rPr>
        <w:t>1、</w:t>
      </w:r>
      <w:r>
        <w:rPr>
          <w:rFonts w:hint="eastAsia" w:ascii="楷体_GB2312" w:hAnsi="仿宋_GB2312" w:eastAsia="楷体_GB2312" w:cs="仿宋_GB2312"/>
          <w:bCs/>
          <w:color w:val="000000" w:themeColor="text1"/>
          <w:sz w:val="32"/>
          <w:szCs w:val="32"/>
        </w:rPr>
        <w:t>以项目实施为推手做好科创重点项目征集</w:t>
      </w:r>
    </w:p>
    <w:p>
      <w:pPr>
        <w:pStyle w:val="4"/>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ascii="楷体_GB2312" w:hAnsi="楷体_GB2312" w:eastAsia="楷体_GB2312" w:cs="楷体_GB2312"/>
          <w:color w:val="000000" w:themeColor="text1"/>
          <w:sz w:val="32"/>
          <w:szCs w:val="32"/>
        </w:rPr>
      </w:pPr>
      <w:r>
        <w:rPr>
          <w:rFonts w:hint="eastAsia" w:ascii="仿宋_GB2312" w:hAnsi="仿宋_GB2312" w:eastAsia="仿宋_GB2312" w:cs="仿宋_GB2312"/>
          <w:color w:val="000000" w:themeColor="text1"/>
          <w:sz w:val="32"/>
          <w:szCs w:val="32"/>
        </w:rPr>
        <w:t>深入重点院士专家工作站建站单位、农技协等服务对象，挖掘真实的科技成果、科研难题攻关、创新转型需求等，依托“科创中国·天府科技云服务大会”，面向全省乃至全国展示推介。扎实推进市级、区级“金桥工程”项目，支持企业、在罗院校、科技类社会组织等主体申报项目。</w:t>
      </w:r>
    </w:p>
    <w:p>
      <w:pPr>
        <w:pStyle w:val="4"/>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ascii="楷体_GB2312" w:hAnsi="仿宋_GB2312" w:eastAsia="楷体_GB2312" w:cs="仿宋_GB2312"/>
          <w:bCs/>
          <w:color w:val="000000" w:themeColor="text1"/>
          <w:sz w:val="32"/>
          <w:szCs w:val="32"/>
        </w:rPr>
      </w:pPr>
      <w:r>
        <w:rPr>
          <w:rFonts w:hint="eastAsia" w:ascii="楷体_GB2312" w:hAnsi="仿宋_GB2312" w:eastAsia="楷体_GB2312" w:cs="仿宋_GB2312"/>
          <w:bCs/>
          <w:color w:val="000000" w:themeColor="text1"/>
          <w:sz w:val="32"/>
          <w:szCs w:val="32"/>
          <w:lang w:val="en-US" w:eastAsia="zh-CN"/>
        </w:rPr>
        <w:t>2、</w:t>
      </w:r>
      <w:r>
        <w:rPr>
          <w:rFonts w:hint="eastAsia" w:ascii="楷体_GB2312" w:hAnsi="仿宋_GB2312" w:eastAsia="楷体_GB2312" w:cs="仿宋_GB2312"/>
          <w:bCs/>
          <w:color w:val="000000" w:themeColor="text1"/>
          <w:sz w:val="32"/>
          <w:szCs w:val="32"/>
        </w:rPr>
        <w:t>以平台培育为抓手做好高层次创新平台创建</w:t>
      </w:r>
    </w:p>
    <w:p>
      <w:pPr>
        <w:pStyle w:val="4"/>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ascii="楷体_GB2312" w:hAnsi="楷体_GB2312" w:eastAsia="楷体_GB2312" w:cs="楷体_GB2312"/>
          <w:color w:val="000000" w:themeColor="text1"/>
          <w:sz w:val="32"/>
          <w:szCs w:val="32"/>
        </w:rPr>
      </w:pPr>
      <w:r>
        <w:rPr>
          <w:rFonts w:hint="eastAsia" w:ascii="仿宋_GB2312" w:hAnsi="仿宋_GB2312" w:eastAsia="仿宋_GB2312" w:cs="仿宋_GB2312"/>
          <w:color w:val="000000" w:themeColor="text1"/>
          <w:sz w:val="32"/>
          <w:szCs w:val="32"/>
        </w:rPr>
        <w:t>围绕做大</w:t>
      </w:r>
      <w:r>
        <w:rPr>
          <w:rFonts w:ascii="仿宋_GB2312" w:hAnsi="仿宋_GB2312" w:eastAsia="仿宋_GB2312" w:cs="仿宋_GB2312"/>
          <w:color w:val="000000" w:themeColor="text1"/>
          <w:sz w:val="32"/>
          <w:szCs w:val="32"/>
        </w:rPr>
        <w:t>院士</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专家</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工作站</w:t>
      </w:r>
      <w:r>
        <w:rPr>
          <w:rFonts w:hint="eastAsia" w:ascii="仿宋_GB2312" w:hAnsi="仿宋_GB2312" w:eastAsia="仿宋_GB2312" w:cs="仿宋_GB2312"/>
          <w:color w:val="000000" w:themeColor="text1"/>
          <w:sz w:val="32"/>
          <w:szCs w:val="32"/>
        </w:rPr>
        <w:t>增量，选优择优，提档升级，继续支持</w:t>
      </w:r>
      <w:r>
        <w:rPr>
          <w:rFonts w:ascii="仿宋_GB2312" w:hAnsi="仿宋_GB2312" w:eastAsia="仿宋_GB2312" w:cs="仿宋_GB2312"/>
          <w:color w:val="000000" w:themeColor="text1"/>
          <w:sz w:val="32"/>
          <w:szCs w:val="32"/>
        </w:rPr>
        <w:t>朗迪新材料申报市级院士</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专家</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工作站</w:t>
      </w:r>
      <w:r>
        <w:rPr>
          <w:rFonts w:hint="eastAsia" w:ascii="仿宋_GB2312" w:hAnsi="仿宋_GB2312" w:eastAsia="仿宋_GB2312" w:cs="仿宋_GB2312"/>
          <w:color w:val="000000" w:themeColor="text1"/>
          <w:sz w:val="32"/>
          <w:szCs w:val="32"/>
        </w:rPr>
        <w:t>，推动现有市级院士（专家）工作站申报省级院士（专家）工作站。</w:t>
      </w:r>
    </w:p>
    <w:p>
      <w:pPr>
        <w:pStyle w:val="4"/>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ascii="楷体_GB2312" w:hAnsi="楷体_GB2312" w:eastAsia="楷体_GB2312" w:cs="楷体_GB2312"/>
          <w:bCs/>
          <w:color w:val="000000" w:themeColor="text1"/>
          <w:sz w:val="32"/>
          <w:szCs w:val="32"/>
        </w:rPr>
      </w:pPr>
      <w:r>
        <w:rPr>
          <w:rFonts w:hint="eastAsia" w:ascii="楷体_GB2312" w:hAnsi="仿宋_GB2312" w:eastAsia="楷体_GB2312" w:cs="仿宋_GB2312"/>
          <w:bCs/>
          <w:color w:val="000000" w:themeColor="text1"/>
          <w:sz w:val="32"/>
          <w:szCs w:val="32"/>
          <w:lang w:val="en-US" w:eastAsia="zh-CN"/>
        </w:rPr>
        <w:t>3、</w:t>
      </w:r>
      <w:r>
        <w:rPr>
          <w:rFonts w:hint="eastAsia" w:ascii="楷体_GB2312" w:hAnsi="仿宋_GB2312" w:eastAsia="楷体_GB2312" w:cs="仿宋_GB2312"/>
          <w:bCs/>
          <w:color w:val="000000" w:themeColor="text1"/>
          <w:sz w:val="32"/>
          <w:szCs w:val="32"/>
        </w:rPr>
        <w:t>以农技协建设为扶手</w:t>
      </w:r>
      <w:r>
        <w:rPr>
          <w:rFonts w:hint="eastAsia" w:ascii="楷体_GB2312" w:hAnsi="楷体_GB2312" w:eastAsia="楷体_GB2312" w:cs="楷体_GB2312"/>
          <w:bCs/>
          <w:color w:val="000000" w:themeColor="text1"/>
          <w:sz w:val="32"/>
          <w:szCs w:val="32"/>
        </w:rPr>
        <w:t>提升服务乡村振兴能力</w:t>
      </w:r>
    </w:p>
    <w:p>
      <w:pPr>
        <w:pStyle w:val="4"/>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充分激发农技协在乡村振兴工作中的作用，大力开展农业技术推广，农业种、养殖技术培训，引导农业产业化、优质化发展。充分发挥“科技小院”“田秀才”“土专家”作用，推动农业科技创新，助力农业特色产业发展。</w:t>
      </w:r>
    </w:p>
    <w:p>
      <w:pPr>
        <w:pStyle w:val="4"/>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val="en-US" w:eastAsia="zh-CN"/>
        </w:rPr>
        <w:t>4、</w:t>
      </w:r>
      <w:r>
        <w:rPr>
          <w:rFonts w:hint="eastAsia" w:ascii="楷体_GB2312" w:hAnsi="楷体_GB2312" w:eastAsia="楷体_GB2312" w:cs="楷体_GB2312"/>
          <w:color w:val="000000" w:themeColor="text1"/>
          <w:sz w:val="32"/>
          <w:szCs w:val="32"/>
        </w:rPr>
        <w:t>以“天府科技云”为助手全力服务核心产业发展</w:t>
      </w:r>
    </w:p>
    <w:p>
      <w:pPr>
        <w:pStyle w:val="4"/>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w:t>
      </w:r>
      <w:r>
        <w:rPr>
          <w:rFonts w:ascii="仿宋_GB2312" w:hAnsi="仿宋_GB2312" w:eastAsia="仿宋_GB2312" w:cs="仿宋_GB2312"/>
          <w:b/>
          <w:bCs/>
          <w:color w:val="000000" w:themeColor="text1"/>
          <w:sz w:val="32"/>
          <w:szCs w:val="32"/>
        </w:rPr>
        <w:t>是挖掘</w:t>
      </w:r>
      <w:r>
        <w:rPr>
          <w:rFonts w:hint="eastAsia" w:ascii="仿宋_GB2312" w:hAnsi="仿宋_GB2312" w:eastAsia="仿宋_GB2312" w:cs="仿宋_GB2312"/>
          <w:b/>
          <w:bCs/>
          <w:color w:val="000000" w:themeColor="text1"/>
          <w:sz w:val="32"/>
          <w:szCs w:val="32"/>
        </w:rPr>
        <w:t>科技所能所需。</w:t>
      </w:r>
      <w:r>
        <w:rPr>
          <w:rFonts w:ascii="仿宋_GB2312" w:hAnsi="仿宋_GB2312" w:eastAsia="仿宋_GB2312" w:cs="仿宋_GB2312"/>
          <w:color w:val="000000" w:themeColor="text1"/>
          <w:sz w:val="32"/>
          <w:szCs w:val="32"/>
        </w:rPr>
        <w:t>深入高新技术企业</w:t>
      </w:r>
      <w:r>
        <w:rPr>
          <w:rFonts w:hint="eastAsia" w:ascii="仿宋_GB2312" w:hAnsi="仿宋_GB2312" w:eastAsia="仿宋_GB2312" w:cs="仿宋_GB2312"/>
          <w:color w:val="000000" w:themeColor="text1"/>
          <w:sz w:val="32"/>
          <w:szCs w:val="32"/>
        </w:rPr>
        <w:t>、科技型中小企业、孵化载体</w:t>
      </w:r>
      <w:r>
        <w:rPr>
          <w:rFonts w:ascii="仿宋_GB2312" w:hAnsi="仿宋_GB2312" w:eastAsia="仿宋_GB2312" w:cs="仿宋_GB2312"/>
          <w:color w:val="000000" w:themeColor="text1"/>
          <w:sz w:val="32"/>
          <w:szCs w:val="32"/>
        </w:rPr>
        <w:t>等，协助企业及科技工作者深入挖掘科技所能、所需</w:t>
      </w:r>
      <w:r>
        <w:rPr>
          <w:rFonts w:hint="eastAsia" w:ascii="仿宋_GB2312" w:hAnsi="仿宋_GB2312" w:eastAsia="仿宋_GB2312" w:cs="仿宋_GB2312"/>
          <w:color w:val="000000" w:themeColor="text1"/>
          <w:sz w:val="32"/>
          <w:szCs w:val="32"/>
        </w:rPr>
        <w:t>，在“天府科技云”平台发布。二</w:t>
      </w:r>
      <w:r>
        <w:rPr>
          <w:rFonts w:ascii="仿宋_GB2312" w:hAnsi="仿宋_GB2312" w:eastAsia="仿宋_GB2312" w:cs="仿宋_GB2312"/>
          <w:b/>
          <w:bCs/>
          <w:color w:val="000000" w:themeColor="text1"/>
          <w:sz w:val="32"/>
          <w:szCs w:val="32"/>
        </w:rPr>
        <w:t>是做好常态化保姆工作</w:t>
      </w:r>
      <w:r>
        <w:rPr>
          <w:rFonts w:hint="eastAsia" w:ascii="仿宋_GB2312" w:hAnsi="仿宋_GB2312" w:eastAsia="仿宋_GB2312" w:cs="仿宋_GB2312"/>
          <w:b/>
          <w:bCs/>
          <w:color w:val="000000" w:themeColor="text1"/>
          <w:sz w:val="32"/>
          <w:szCs w:val="32"/>
        </w:rPr>
        <w:t>。</w:t>
      </w:r>
      <w:r>
        <w:rPr>
          <w:rFonts w:ascii="仿宋_GB2312" w:hAnsi="仿宋_GB2312" w:eastAsia="仿宋_GB2312" w:cs="仿宋_GB2312"/>
          <w:color w:val="000000" w:themeColor="text1"/>
          <w:sz w:val="32"/>
          <w:szCs w:val="32"/>
        </w:rPr>
        <w:t>对征集的每一项科技所能所需项目开展“一单一策”，项目对接全程跟踪“保姆式”服务，促成供需双方对接</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三</w:t>
      </w:r>
      <w:r>
        <w:rPr>
          <w:rFonts w:ascii="仿宋_GB2312" w:hAnsi="仿宋_GB2312" w:eastAsia="仿宋_GB2312" w:cs="仿宋_GB2312"/>
          <w:b/>
          <w:bCs/>
          <w:color w:val="000000" w:themeColor="text1"/>
          <w:sz w:val="32"/>
          <w:szCs w:val="32"/>
        </w:rPr>
        <w:t>是</w:t>
      </w:r>
      <w:r>
        <w:rPr>
          <w:rFonts w:hint="eastAsia" w:ascii="仿宋_GB2312" w:hAnsi="仿宋_GB2312" w:eastAsia="仿宋_GB2312" w:cs="仿宋_GB2312"/>
          <w:b/>
          <w:bCs/>
          <w:color w:val="000000" w:themeColor="text1"/>
          <w:sz w:val="32"/>
          <w:szCs w:val="32"/>
        </w:rPr>
        <w:t>打造特色科普品牌。</w:t>
      </w:r>
      <w:r>
        <w:rPr>
          <w:rFonts w:hint="eastAsia" w:ascii="仿宋_GB2312" w:hAnsi="仿宋_GB2312" w:eastAsia="仿宋_GB2312" w:cs="仿宋_GB2312"/>
          <w:color w:val="000000" w:themeColor="text1"/>
          <w:sz w:val="32"/>
          <w:szCs w:val="32"/>
        </w:rPr>
        <w:t>用好“天府科技云”等平台科普资源，服务基层群众科学素质提升。支持“流动科技馆”活动进一步向乡镇学校倾斜，青少年科技创新赛事活动进一步向乡镇学校延伸。切实用好文化科技卫生“三下乡”活动平台，加强科普宣传。</w:t>
      </w:r>
      <w:r>
        <w:rPr>
          <w:rFonts w:ascii="仿宋_GB2312" w:hAnsi="仿宋_GB2312" w:eastAsia="仿宋_GB2312" w:cs="仿宋_GB2312"/>
          <w:color w:val="000000" w:themeColor="text1"/>
          <w:sz w:val="32"/>
          <w:szCs w:val="32"/>
        </w:rPr>
        <w:t>持续推进“一村、一社区一名科普员”，组织各村（社区)群众使用天府科技云平台获取权威科普知识，精准服务全民科学素质提升。</w:t>
      </w:r>
    </w:p>
    <w:p>
      <w:pPr>
        <w:pStyle w:val="4"/>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val="en-US" w:eastAsia="zh-CN"/>
        </w:rPr>
        <w:t>5、</w:t>
      </w:r>
      <w:r>
        <w:rPr>
          <w:rFonts w:hint="eastAsia" w:ascii="楷体_GB2312" w:hAnsi="楷体_GB2312" w:eastAsia="楷体_GB2312" w:cs="楷体_GB2312"/>
          <w:color w:val="000000" w:themeColor="text1"/>
          <w:sz w:val="32"/>
          <w:szCs w:val="32"/>
        </w:rPr>
        <w:t>坚持党的建设为舵手团结凝聚广大科技工作者</w:t>
      </w:r>
    </w:p>
    <w:p>
      <w:pPr>
        <w:pStyle w:val="4"/>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一是</w:t>
      </w:r>
      <w:r>
        <w:rPr>
          <w:rFonts w:ascii="仿宋_GB2312" w:hAnsi="仿宋_GB2312" w:eastAsia="仿宋_GB2312" w:cs="仿宋_GB2312"/>
          <w:b/>
          <w:bCs/>
          <w:color w:val="000000" w:themeColor="text1"/>
          <w:sz w:val="32"/>
          <w:szCs w:val="32"/>
        </w:rPr>
        <w:t>始终不渝坚持党的领导</w:t>
      </w:r>
      <w:r>
        <w:rPr>
          <w:rFonts w:hint="eastAsia" w:ascii="仿宋_GB2312" w:hAnsi="仿宋_GB2312" w:eastAsia="仿宋_GB2312" w:cs="仿宋_GB2312"/>
          <w:color w:val="000000" w:themeColor="text1"/>
          <w:sz w:val="32"/>
          <w:szCs w:val="32"/>
        </w:rPr>
        <w:t>。严格落实新时代党的建设总要求，夯实党组织全面从严治党主体责任，以党建促会建，建设高素质专业化科协干部队伍，增强推动高质量发展本领、服务群众本领、防范化解风险本领，确保科协干部队伍和广大科技工作者同频共振、同心协力、同向而行。</w:t>
      </w:r>
      <w:r>
        <w:rPr>
          <w:rFonts w:hint="eastAsia" w:ascii="仿宋_GB2312" w:hAnsi="仿宋_GB2312" w:eastAsia="仿宋_GB2312" w:cs="仿宋_GB2312"/>
          <w:b/>
          <w:bCs/>
          <w:color w:val="000000" w:themeColor="text1"/>
          <w:sz w:val="32"/>
          <w:szCs w:val="32"/>
        </w:rPr>
        <w:t>二是加强基层科协组织建设。</w:t>
      </w:r>
      <w:r>
        <w:rPr>
          <w:rFonts w:hint="eastAsia" w:ascii="仿宋_GB2312" w:hAnsi="仿宋_GB2312" w:eastAsia="仿宋_GB2312" w:cs="仿宋_GB2312"/>
          <w:color w:val="000000" w:themeColor="text1"/>
          <w:sz w:val="32"/>
          <w:szCs w:val="32"/>
        </w:rPr>
        <w:t>支持乡镇科协组织体系建设，持续提升基层科协组织凝聚力和执行力，服务基层治理。</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6、认真落实区委区政府安排的其他相关工作。</w:t>
      </w:r>
    </w:p>
    <w:p>
      <w:pPr>
        <w:keepNext w:val="0"/>
        <w:keepLines w:val="0"/>
        <w:pageBreakBefore w:val="0"/>
        <w:widowControl w:val="0"/>
        <w:kinsoku/>
        <w:wordWrap/>
        <w:overflowPunct/>
        <w:topLinePunct w:val="0"/>
        <w:autoSpaceDE/>
        <w:autoSpaceDN/>
        <w:bidi w:val="0"/>
        <w:spacing w:line="500" w:lineRule="exact"/>
        <w:ind w:firstLine="645"/>
        <w:textAlignment w:val="auto"/>
        <w:rPr>
          <w:rFonts w:ascii="仿宋_GB2312" w:hAnsi="仿宋_GB2312" w:eastAsia="仿宋_GB2312"/>
          <w:b/>
          <w:sz w:val="32"/>
          <w:szCs w:val="32"/>
        </w:rPr>
      </w:pPr>
      <w:r>
        <w:rPr>
          <w:rFonts w:hint="eastAsia" w:ascii="仿宋_GB2312" w:hAnsi="仿宋_GB2312" w:eastAsia="仿宋_GB2312"/>
          <w:b/>
          <w:sz w:val="32"/>
          <w:szCs w:val="32"/>
        </w:rPr>
        <w:t>二、部门预算单位构成</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本单位独立编制机构共1个，其中一级预算单位1个（单位性质为行政），无下属二级预算单位。</w:t>
      </w:r>
    </w:p>
    <w:p>
      <w:pPr>
        <w:pStyle w:val="2"/>
        <w:keepNext w:val="0"/>
        <w:keepLines w:val="0"/>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rFonts w:ascii="仿宋" w:hAnsi="仿宋" w:eastAsia="仿宋"/>
          <w:sz w:val="32"/>
          <w:szCs w:val="32"/>
        </w:rPr>
      </w:pPr>
      <w:r>
        <w:rPr>
          <w:rFonts w:hint="eastAsia" w:ascii="仿宋" w:hAnsi="仿宋" w:eastAsia="仿宋"/>
          <w:sz w:val="32"/>
          <w:szCs w:val="32"/>
        </w:rPr>
        <w:t>区科协总编制3名，其中行政编制3名，事业编制0名，工勤编制0名。</w:t>
      </w:r>
      <w:r>
        <w:rPr>
          <w:rFonts w:hint="eastAsia" w:ascii="仿宋" w:hAnsi="仿宋" w:eastAsia="仿宋"/>
          <w:sz w:val="32"/>
          <w:szCs w:val="32"/>
          <w:lang w:eastAsia="zh-CN"/>
        </w:rPr>
        <w:t>在职人员总数</w:t>
      </w:r>
      <w:r>
        <w:rPr>
          <w:rFonts w:hint="eastAsia" w:ascii="仿宋" w:hAnsi="仿宋" w:eastAsia="仿宋"/>
          <w:sz w:val="32"/>
          <w:szCs w:val="32"/>
          <w:lang w:val="en-US" w:eastAsia="zh-CN"/>
        </w:rPr>
        <w:t>5人，其中：行政人员4人，事业人员0人，工勤人员0</w:t>
      </w:r>
      <w:r>
        <w:rPr>
          <w:rFonts w:hint="eastAsia" w:ascii="仿宋" w:hAnsi="仿宋" w:eastAsia="仿宋"/>
          <w:sz w:val="32"/>
          <w:szCs w:val="32"/>
        </w:rPr>
        <w:t>人，临聘人员1人</w:t>
      </w:r>
      <w:r>
        <w:rPr>
          <w:rFonts w:hint="eastAsia" w:ascii="仿宋" w:hAnsi="仿宋" w:eastAsia="仿宋"/>
          <w:sz w:val="32"/>
          <w:szCs w:val="32"/>
          <w:lang w:eastAsia="zh-CN"/>
        </w:rPr>
        <w:t>；离退休</w:t>
      </w:r>
      <w:r>
        <w:rPr>
          <w:rFonts w:hint="eastAsia" w:ascii="仿宋" w:hAnsi="仿宋" w:eastAsia="仿宋"/>
          <w:sz w:val="32"/>
          <w:szCs w:val="32"/>
          <w:lang w:val="en-US" w:eastAsia="zh-CN"/>
        </w:rPr>
        <w:t>人员2人。</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三、收支预算增减变化情况说明</w:t>
      </w:r>
    </w:p>
    <w:p>
      <w:pPr>
        <w:keepNext w:val="0"/>
        <w:keepLines w:val="0"/>
        <w:pageBreakBefore w:val="0"/>
        <w:widowControl w:val="0"/>
        <w:kinsoku/>
        <w:wordWrap/>
        <w:overflowPunct/>
        <w:topLinePunct w:val="0"/>
        <w:autoSpaceDE/>
        <w:autoSpaceDN/>
        <w:bidi w:val="0"/>
        <w:spacing w:line="500" w:lineRule="exact"/>
        <w:ind w:firstLine="641"/>
        <w:textAlignment w:val="auto"/>
        <w:rPr>
          <w:rFonts w:hint="eastAsia" w:ascii="仿宋" w:hAnsi="仿宋" w:eastAsia="仿宋"/>
          <w:sz w:val="32"/>
          <w:szCs w:val="32"/>
        </w:rPr>
      </w:pPr>
      <w:r>
        <w:rPr>
          <w:rFonts w:hint="eastAsia" w:ascii="仿宋" w:hAnsi="仿宋" w:eastAsia="仿宋"/>
          <w:sz w:val="32"/>
          <w:szCs w:val="32"/>
        </w:rPr>
        <w:t>按照综合预算的原则，区科协所有收支均全部纳入部门预算管理。收入包括：一般公共预算收入</w:t>
      </w:r>
      <w:r>
        <w:rPr>
          <w:rFonts w:hint="eastAsia" w:ascii="仿宋" w:hAnsi="仿宋" w:eastAsia="仿宋"/>
          <w:sz w:val="32"/>
          <w:szCs w:val="32"/>
          <w:lang w:val="en-US" w:eastAsia="zh-CN"/>
        </w:rPr>
        <w:t>120.66</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val="en-US" w:eastAsia="zh-CN"/>
        </w:rPr>
        <w:t>4.12</w:t>
      </w:r>
      <w:r>
        <w:rPr>
          <w:rFonts w:hint="eastAsia" w:ascii="仿宋" w:hAnsi="仿宋" w:eastAsia="仿宋"/>
          <w:sz w:val="32"/>
          <w:szCs w:val="32"/>
        </w:rPr>
        <w:t>万元，主要是202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退休</w:t>
      </w:r>
      <w:r>
        <w:rPr>
          <w:rFonts w:hint="eastAsia" w:ascii="仿宋" w:hAnsi="仿宋" w:eastAsia="仿宋"/>
          <w:sz w:val="32"/>
          <w:szCs w:val="32"/>
        </w:rPr>
        <w:t>人员</w:t>
      </w:r>
      <w:r>
        <w:rPr>
          <w:rFonts w:hint="eastAsia" w:ascii="仿宋" w:hAnsi="仿宋" w:eastAsia="仿宋"/>
          <w:sz w:val="32"/>
          <w:szCs w:val="32"/>
          <w:lang w:eastAsia="zh-CN"/>
        </w:rPr>
        <w:t>减少了</w:t>
      </w:r>
      <w:r>
        <w:rPr>
          <w:rFonts w:hint="eastAsia" w:ascii="仿宋" w:hAnsi="仿宋" w:eastAsia="仿宋"/>
          <w:sz w:val="32"/>
          <w:szCs w:val="32"/>
          <w:lang w:val="en-US" w:eastAsia="zh-CN"/>
        </w:rPr>
        <w:t>2人，</w:t>
      </w:r>
      <w:r>
        <w:rPr>
          <w:rFonts w:hint="eastAsia" w:ascii="仿宋" w:hAnsi="仿宋" w:eastAsia="仿宋"/>
          <w:sz w:val="32"/>
          <w:szCs w:val="32"/>
          <w:lang w:eastAsia="zh-CN"/>
        </w:rPr>
        <w:t>退休费共计减少了</w:t>
      </w:r>
      <w:r>
        <w:rPr>
          <w:rFonts w:hint="eastAsia" w:ascii="仿宋" w:hAnsi="仿宋" w:eastAsia="仿宋"/>
          <w:sz w:val="32"/>
          <w:szCs w:val="32"/>
          <w:lang w:val="en-US" w:eastAsia="zh-CN"/>
        </w:rPr>
        <w:t>4</w:t>
      </w:r>
      <w:r>
        <w:rPr>
          <w:rFonts w:hint="eastAsia" w:ascii="仿宋" w:hAnsi="仿宋" w:eastAsia="仿宋"/>
          <w:sz w:val="32"/>
          <w:szCs w:val="32"/>
        </w:rPr>
        <w:t>万元。项目经费与202</w:t>
      </w:r>
      <w:r>
        <w:rPr>
          <w:rFonts w:hint="eastAsia" w:ascii="仿宋" w:hAnsi="仿宋" w:eastAsia="仿宋"/>
          <w:sz w:val="32"/>
          <w:szCs w:val="32"/>
          <w:lang w:val="en-US" w:eastAsia="zh-CN"/>
        </w:rPr>
        <w:t>3</w:t>
      </w:r>
      <w:r>
        <w:rPr>
          <w:rFonts w:hint="eastAsia" w:ascii="仿宋" w:hAnsi="仿宋" w:eastAsia="仿宋"/>
          <w:sz w:val="32"/>
          <w:szCs w:val="32"/>
        </w:rPr>
        <w:t>年持平；支出包括：工资福利支出、商品和服务支出、对个人和家庭的补助支出、项目支出。区科协202</w:t>
      </w:r>
      <w:r>
        <w:rPr>
          <w:rFonts w:hint="eastAsia" w:ascii="仿宋" w:hAnsi="仿宋" w:eastAsia="仿宋"/>
          <w:sz w:val="32"/>
          <w:szCs w:val="32"/>
          <w:lang w:val="en-US" w:eastAsia="zh-CN"/>
        </w:rPr>
        <w:t>4</w:t>
      </w:r>
      <w:r>
        <w:rPr>
          <w:rFonts w:hint="eastAsia" w:ascii="仿宋" w:hAnsi="仿宋" w:eastAsia="仿宋"/>
          <w:sz w:val="32"/>
          <w:szCs w:val="32"/>
        </w:rPr>
        <w:t>年收支</w:t>
      </w:r>
      <w:bookmarkStart w:id="5" w:name="_GoBack"/>
      <w:bookmarkEnd w:id="5"/>
      <w:r>
        <w:rPr>
          <w:rFonts w:hint="eastAsia" w:ascii="仿宋" w:hAnsi="仿宋" w:eastAsia="仿宋"/>
          <w:sz w:val="32"/>
          <w:szCs w:val="32"/>
        </w:rPr>
        <w:t>总预算12</w:t>
      </w:r>
      <w:r>
        <w:rPr>
          <w:rFonts w:hint="eastAsia" w:ascii="仿宋" w:hAnsi="仿宋" w:eastAsia="仿宋"/>
          <w:sz w:val="32"/>
          <w:szCs w:val="32"/>
          <w:lang w:val="en-US" w:eastAsia="zh-CN"/>
        </w:rPr>
        <w:t>0.66</w:t>
      </w:r>
      <w:r>
        <w:rPr>
          <w:rFonts w:hint="eastAsia" w:ascii="仿宋" w:hAnsi="仿宋" w:eastAsia="仿宋"/>
          <w:sz w:val="32"/>
          <w:szCs w:val="32"/>
        </w:rPr>
        <w:t>万元。</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sz w:val="32"/>
          <w:szCs w:val="32"/>
        </w:rPr>
        <w:t>　　（一）收入预算情况</w:t>
      </w:r>
    </w:p>
    <w:p>
      <w:pPr>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ascii="仿宋" w:hAnsi="仿宋" w:eastAsia="仿宋"/>
          <w:sz w:val="32"/>
          <w:szCs w:val="32"/>
        </w:rPr>
      </w:pPr>
      <w:r>
        <w:rPr>
          <w:rFonts w:hint="eastAsia" w:ascii="仿宋_GB2312" w:hAnsi="仿宋_GB2312" w:eastAsia="仿宋_GB2312"/>
          <w:sz w:val="32"/>
          <w:szCs w:val="32"/>
        </w:rPr>
        <w:t xml:space="preserve">   </w:t>
      </w:r>
      <w:r>
        <w:rPr>
          <w:rFonts w:hint="eastAsia" w:ascii="仿宋" w:hAnsi="仿宋" w:eastAsia="仿宋"/>
          <w:sz w:val="32"/>
          <w:szCs w:val="32"/>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4</w:t>
      </w:r>
      <w:r>
        <w:rPr>
          <w:rFonts w:ascii="仿宋" w:hAnsi="仿宋" w:eastAsia="仿宋"/>
          <w:sz w:val="32"/>
          <w:szCs w:val="32"/>
        </w:rPr>
        <w:t>年收入预算</w:t>
      </w:r>
      <w:r>
        <w:rPr>
          <w:rFonts w:hint="eastAsia" w:ascii="仿宋" w:hAnsi="仿宋" w:eastAsia="仿宋"/>
          <w:sz w:val="32"/>
          <w:szCs w:val="32"/>
          <w:lang w:val="en-US" w:eastAsia="zh-CN"/>
        </w:rPr>
        <w:t>120.66</w:t>
      </w:r>
      <w:r>
        <w:rPr>
          <w:rFonts w:ascii="仿宋" w:hAnsi="仿宋" w:eastAsia="仿宋"/>
          <w:sz w:val="32"/>
          <w:szCs w:val="32"/>
        </w:rPr>
        <w:t>万元，其中：上年结转</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%；一般公共预算拨款收入</w:t>
      </w:r>
      <w:r>
        <w:rPr>
          <w:rFonts w:hint="eastAsia" w:ascii="仿宋" w:hAnsi="仿宋" w:eastAsia="仿宋"/>
          <w:sz w:val="32"/>
          <w:szCs w:val="32"/>
          <w:lang w:val="en-US" w:eastAsia="zh-CN"/>
        </w:rPr>
        <w:t>120.66</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%；事业收入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%；事业单位经营收</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%；其他收入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spacing w:line="50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（二）支出预算情况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4</w:t>
      </w:r>
      <w:r>
        <w:rPr>
          <w:rFonts w:ascii="仿宋" w:hAnsi="仿宋" w:eastAsia="仿宋"/>
          <w:sz w:val="32"/>
          <w:szCs w:val="32"/>
        </w:rPr>
        <w:t>年支出预算</w:t>
      </w:r>
      <w:r>
        <w:rPr>
          <w:rFonts w:hint="eastAsia" w:ascii="仿宋" w:hAnsi="仿宋" w:eastAsia="仿宋"/>
          <w:sz w:val="32"/>
          <w:szCs w:val="32"/>
          <w:lang w:val="en-US" w:eastAsia="zh-CN"/>
        </w:rPr>
        <w:t>120.66</w:t>
      </w:r>
      <w:r>
        <w:rPr>
          <w:rFonts w:ascii="仿宋" w:hAnsi="仿宋" w:eastAsia="仿宋"/>
          <w:sz w:val="32"/>
          <w:szCs w:val="32"/>
        </w:rPr>
        <w:t>万元，其中：基本支出</w:t>
      </w:r>
      <w:r>
        <w:rPr>
          <w:rFonts w:hint="eastAsia" w:ascii="仿宋" w:hAnsi="仿宋" w:eastAsia="仿宋"/>
          <w:sz w:val="32"/>
          <w:szCs w:val="32"/>
        </w:rPr>
        <w:t>10</w:t>
      </w:r>
      <w:r>
        <w:rPr>
          <w:rFonts w:hint="eastAsia" w:ascii="仿宋" w:hAnsi="仿宋" w:eastAsia="仿宋"/>
          <w:sz w:val="32"/>
          <w:szCs w:val="32"/>
          <w:lang w:val="en-US" w:eastAsia="zh-CN"/>
        </w:rPr>
        <w:t>4.66</w:t>
      </w:r>
      <w:r>
        <w:rPr>
          <w:rFonts w:ascii="仿宋" w:hAnsi="仿宋" w:eastAsia="仿宋"/>
          <w:sz w:val="32"/>
          <w:szCs w:val="32"/>
        </w:rPr>
        <w:t>万元，占</w:t>
      </w:r>
      <w:r>
        <w:rPr>
          <w:rFonts w:hint="eastAsia" w:ascii="仿宋" w:hAnsi="仿宋" w:eastAsia="仿宋"/>
          <w:sz w:val="32"/>
          <w:szCs w:val="32"/>
          <w:lang w:val="en-US" w:eastAsia="zh-CN"/>
        </w:rPr>
        <w:t>86.74</w:t>
      </w:r>
      <w:r>
        <w:rPr>
          <w:rFonts w:ascii="仿宋" w:hAnsi="仿宋" w:eastAsia="仿宋"/>
          <w:sz w:val="32"/>
          <w:szCs w:val="32"/>
        </w:rPr>
        <w:t>%；项目支出</w:t>
      </w:r>
      <w:r>
        <w:rPr>
          <w:rFonts w:hint="eastAsia" w:ascii="仿宋" w:hAnsi="仿宋" w:eastAsia="仿宋"/>
          <w:sz w:val="32"/>
          <w:szCs w:val="32"/>
        </w:rPr>
        <w:t>16</w:t>
      </w:r>
      <w:r>
        <w:rPr>
          <w:rFonts w:ascii="仿宋" w:hAnsi="仿宋" w:eastAsia="仿宋"/>
          <w:sz w:val="32"/>
          <w:szCs w:val="32"/>
        </w:rPr>
        <w:t>万元，占</w:t>
      </w:r>
      <w:r>
        <w:rPr>
          <w:rFonts w:hint="eastAsia" w:ascii="仿宋" w:hAnsi="仿宋" w:eastAsia="仿宋"/>
          <w:sz w:val="32"/>
          <w:szCs w:val="32"/>
          <w:lang w:val="en-US" w:eastAsia="zh-CN"/>
        </w:rPr>
        <w:t>13.26</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四、财政拨款收支预算情况说明</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区科协202</w:t>
      </w:r>
      <w:r>
        <w:rPr>
          <w:rFonts w:hint="eastAsia" w:ascii="仿宋" w:hAnsi="仿宋" w:eastAsia="仿宋"/>
          <w:sz w:val="32"/>
          <w:szCs w:val="32"/>
          <w:lang w:val="en-US" w:eastAsia="zh-CN"/>
        </w:rPr>
        <w:t>4</w:t>
      </w:r>
      <w:r>
        <w:rPr>
          <w:rFonts w:hint="eastAsia" w:ascii="仿宋" w:hAnsi="仿宋" w:eastAsia="仿宋"/>
          <w:sz w:val="32"/>
          <w:szCs w:val="32"/>
        </w:rPr>
        <w:t>年财政拨款收支总预算</w:t>
      </w:r>
      <w:r>
        <w:rPr>
          <w:rFonts w:hint="eastAsia" w:ascii="仿宋" w:hAnsi="仿宋" w:eastAsia="仿宋"/>
          <w:sz w:val="32"/>
          <w:szCs w:val="32"/>
          <w:lang w:val="en-US" w:eastAsia="zh-CN"/>
        </w:rPr>
        <w:t>120.66</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年财政拨款收支总预算</w:t>
      </w:r>
      <w:r>
        <w:rPr>
          <w:rFonts w:hint="eastAsia" w:ascii="仿宋" w:hAnsi="仿宋" w:eastAsia="仿宋"/>
          <w:sz w:val="32"/>
          <w:szCs w:val="32"/>
          <w:lang w:eastAsia="zh-CN"/>
        </w:rPr>
        <w:t>减少</w:t>
      </w:r>
      <w:r>
        <w:rPr>
          <w:rFonts w:hint="eastAsia" w:ascii="仿宋" w:hAnsi="仿宋" w:eastAsia="仿宋"/>
          <w:sz w:val="32"/>
          <w:szCs w:val="32"/>
          <w:lang w:val="en-US" w:eastAsia="zh-CN"/>
        </w:rPr>
        <w:t>4.12</w:t>
      </w:r>
      <w:r>
        <w:rPr>
          <w:rFonts w:hint="eastAsia" w:ascii="仿宋" w:hAnsi="仿宋" w:eastAsia="仿宋"/>
          <w:sz w:val="32"/>
          <w:szCs w:val="32"/>
        </w:rPr>
        <w:t>万元，主要是因为</w:t>
      </w:r>
      <w:r>
        <w:rPr>
          <w:rFonts w:hint="eastAsia" w:ascii="仿宋" w:hAnsi="仿宋" w:eastAsia="仿宋"/>
          <w:sz w:val="32"/>
          <w:szCs w:val="32"/>
          <w:lang w:eastAsia="zh-CN"/>
        </w:rPr>
        <w:t>退休</w:t>
      </w:r>
      <w:r>
        <w:rPr>
          <w:rFonts w:hint="eastAsia" w:ascii="仿宋" w:hAnsi="仿宋" w:eastAsia="仿宋"/>
          <w:sz w:val="32"/>
          <w:szCs w:val="32"/>
        </w:rPr>
        <w:t>人员</w:t>
      </w:r>
      <w:r>
        <w:rPr>
          <w:rFonts w:hint="eastAsia" w:ascii="仿宋" w:hAnsi="仿宋" w:eastAsia="仿宋"/>
          <w:sz w:val="32"/>
          <w:szCs w:val="32"/>
          <w:lang w:eastAsia="zh-CN"/>
        </w:rPr>
        <w:t>减少</w:t>
      </w:r>
      <w:r>
        <w:rPr>
          <w:rFonts w:hint="eastAsia" w:ascii="仿宋" w:hAnsi="仿宋" w:eastAsia="仿宋"/>
          <w:sz w:val="32"/>
          <w:szCs w:val="32"/>
          <w:lang w:val="en-US" w:eastAsia="zh-CN"/>
        </w:rPr>
        <w:t>2人</w:t>
      </w:r>
      <w:r>
        <w:rPr>
          <w:rFonts w:hint="eastAsia" w:ascii="仿宋" w:hAnsi="仿宋" w:eastAsia="仿宋"/>
          <w:sz w:val="32"/>
          <w:szCs w:val="32"/>
          <w:lang w:eastAsia="zh-CN"/>
        </w:rPr>
        <w:t>退休费有所减少</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sz w:val="32"/>
          <w:szCs w:val="32"/>
        </w:rPr>
      </w:pPr>
      <w:r>
        <w:rPr>
          <w:rFonts w:ascii="仿宋" w:hAnsi="仿宋" w:eastAsia="仿宋"/>
          <w:sz w:val="32"/>
          <w:szCs w:val="32"/>
        </w:rPr>
        <w:t>收入包括：本年一般公共预算拨款收入</w:t>
      </w:r>
      <w:r>
        <w:rPr>
          <w:rFonts w:hint="eastAsia" w:ascii="仿宋" w:hAnsi="仿宋" w:eastAsia="仿宋"/>
          <w:sz w:val="32"/>
          <w:szCs w:val="32"/>
        </w:rPr>
        <w:t>12</w:t>
      </w:r>
      <w:r>
        <w:rPr>
          <w:rFonts w:hint="eastAsia" w:ascii="仿宋" w:hAnsi="仿宋" w:eastAsia="仿宋"/>
          <w:sz w:val="32"/>
          <w:szCs w:val="32"/>
          <w:lang w:val="en-US" w:eastAsia="zh-CN"/>
        </w:rPr>
        <w:t>0.66</w:t>
      </w:r>
      <w:r>
        <w:rPr>
          <w:rFonts w:ascii="仿宋" w:hAnsi="仿宋" w:eastAsia="仿宋"/>
          <w:sz w:val="32"/>
          <w:szCs w:val="32"/>
        </w:rPr>
        <w:t>万元、上年结转一般公共预算拨款收入</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支出包括：科学技术支出</w:t>
      </w:r>
      <w:r>
        <w:rPr>
          <w:rFonts w:hint="eastAsia" w:ascii="仿宋" w:hAnsi="仿宋" w:eastAsia="仿宋"/>
          <w:sz w:val="32"/>
          <w:szCs w:val="32"/>
          <w:lang w:val="en-US" w:eastAsia="zh-CN"/>
        </w:rPr>
        <w:t>92.7</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17.14</w:t>
      </w:r>
      <w:r>
        <w:rPr>
          <w:rFonts w:hint="eastAsia" w:ascii="仿宋" w:hAnsi="仿宋" w:eastAsia="仿宋"/>
          <w:sz w:val="32"/>
          <w:szCs w:val="32"/>
        </w:rPr>
        <w:t>万元，卫生健康支出3.68万元，住房保障支出7.14万元。</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五、一般公共预算当年拨款情况说明</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sz w:val="32"/>
          <w:szCs w:val="32"/>
        </w:rPr>
        <w:t>　　（一）一般公共预算当年拨款规模变化情况</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 w:hAnsi="仿宋" w:eastAsia="仿宋"/>
          <w:sz w:val="32"/>
          <w:szCs w:val="32"/>
        </w:rPr>
        <w:t>　　区科协202</w:t>
      </w:r>
      <w:r>
        <w:rPr>
          <w:rFonts w:hint="eastAsia" w:ascii="仿宋" w:hAnsi="仿宋" w:eastAsia="仿宋"/>
          <w:sz w:val="32"/>
          <w:szCs w:val="32"/>
          <w:lang w:val="en-US" w:eastAsia="zh-CN"/>
        </w:rPr>
        <w:t>4</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120.66</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4.12</w:t>
      </w:r>
      <w:r>
        <w:rPr>
          <w:rFonts w:hint="eastAsia" w:ascii="仿宋" w:hAnsi="仿宋" w:eastAsia="仿宋"/>
          <w:sz w:val="32"/>
          <w:szCs w:val="32"/>
        </w:rPr>
        <w:t>万元，主要是</w:t>
      </w:r>
      <w:r>
        <w:rPr>
          <w:rFonts w:hint="eastAsia" w:ascii="仿宋" w:hAnsi="仿宋" w:eastAsia="仿宋"/>
          <w:sz w:val="32"/>
          <w:szCs w:val="32"/>
          <w:lang w:eastAsia="zh-CN"/>
        </w:rPr>
        <w:t>退休</w:t>
      </w:r>
      <w:r>
        <w:rPr>
          <w:rFonts w:hint="eastAsia" w:ascii="仿宋" w:hAnsi="仿宋" w:eastAsia="仿宋"/>
          <w:sz w:val="32"/>
          <w:szCs w:val="32"/>
        </w:rPr>
        <w:t>人员</w:t>
      </w:r>
      <w:r>
        <w:rPr>
          <w:rFonts w:hint="eastAsia" w:ascii="仿宋" w:hAnsi="仿宋" w:eastAsia="仿宋"/>
          <w:sz w:val="32"/>
          <w:szCs w:val="32"/>
          <w:lang w:eastAsia="zh-CN"/>
        </w:rPr>
        <w:t>减少</w:t>
      </w:r>
      <w:r>
        <w:rPr>
          <w:rFonts w:hint="eastAsia" w:ascii="仿宋" w:hAnsi="仿宋" w:eastAsia="仿宋"/>
          <w:sz w:val="32"/>
          <w:szCs w:val="32"/>
          <w:lang w:val="en-US" w:eastAsia="zh-CN"/>
        </w:rPr>
        <w:t>2人退休</w:t>
      </w:r>
      <w:r>
        <w:rPr>
          <w:rFonts w:hint="eastAsia" w:ascii="仿宋" w:hAnsi="仿宋" w:eastAsia="仿宋"/>
          <w:sz w:val="32"/>
          <w:szCs w:val="32"/>
          <w:lang w:eastAsia="zh-CN"/>
        </w:rPr>
        <w:t>费用有所减少。</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sz w:val="32"/>
          <w:szCs w:val="32"/>
        </w:rPr>
        <w:t>　　（二）一般公共预算当年拨款结构情况(按照功能科目类写)</w:t>
      </w:r>
    </w:p>
    <w:p>
      <w:pPr>
        <w:keepNext w:val="0"/>
        <w:keepLines w:val="0"/>
        <w:pageBreakBefore w:val="0"/>
        <w:widowControl w:val="0"/>
        <w:kinsoku/>
        <w:wordWrap/>
        <w:overflowPunct/>
        <w:topLinePunct w:val="0"/>
        <w:autoSpaceDE/>
        <w:autoSpaceDN/>
        <w:bidi w:val="0"/>
        <w:spacing w:line="500" w:lineRule="exact"/>
        <w:ind w:firstLine="645"/>
        <w:textAlignment w:val="auto"/>
        <w:rPr>
          <w:rFonts w:ascii="仿宋" w:hAnsi="仿宋" w:eastAsia="仿宋"/>
          <w:sz w:val="32"/>
          <w:szCs w:val="32"/>
        </w:rPr>
      </w:pPr>
      <w:r>
        <w:rPr>
          <w:rFonts w:hint="eastAsia" w:ascii="仿宋" w:hAnsi="仿宋" w:eastAsia="仿宋"/>
          <w:sz w:val="32"/>
          <w:szCs w:val="32"/>
        </w:rPr>
        <w:t>科学技术支出</w:t>
      </w:r>
      <w:r>
        <w:rPr>
          <w:rFonts w:hint="eastAsia" w:ascii="仿宋" w:hAnsi="仿宋" w:eastAsia="仿宋"/>
          <w:sz w:val="32"/>
          <w:szCs w:val="32"/>
          <w:lang w:val="en-US" w:eastAsia="zh-CN"/>
        </w:rPr>
        <w:t>92.7</w:t>
      </w:r>
      <w:r>
        <w:rPr>
          <w:rFonts w:hint="eastAsia" w:ascii="仿宋" w:hAnsi="仿宋" w:eastAsia="仿宋"/>
          <w:sz w:val="32"/>
          <w:szCs w:val="32"/>
        </w:rPr>
        <w:t>万元，占</w:t>
      </w:r>
      <w:r>
        <w:rPr>
          <w:rFonts w:hint="eastAsia" w:ascii="仿宋" w:hAnsi="仿宋" w:eastAsia="仿宋"/>
          <w:sz w:val="32"/>
          <w:szCs w:val="32"/>
          <w:lang w:val="en-US" w:eastAsia="zh-CN"/>
        </w:rPr>
        <w:t>76.82</w:t>
      </w:r>
      <w:r>
        <w:rPr>
          <w:rFonts w:hint="eastAsia" w:ascii="仿宋" w:hAnsi="仿宋" w:eastAsia="仿宋"/>
          <w:sz w:val="32"/>
          <w:szCs w:val="32"/>
        </w:rPr>
        <w:t>%；社会保障和就业支出</w:t>
      </w:r>
      <w:r>
        <w:rPr>
          <w:rFonts w:hint="eastAsia" w:ascii="仿宋" w:hAnsi="仿宋" w:eastAsia="仿宋"/>
          <w:sz w:val="32"/>
          <w:szCs w:val="32"/>
          <w:lang w:val="en-US" w:eastAsia="zh-CN"/>
        </w:rPr>
        <w:t>17.14万元</w:t>
      </w:r>
      <w:r>
        <w:rPr>
          <w:rFonts w:hint="eastAsia" w:ascii="仿宋" w:hAnsi="仿宋" w:eastAsia="仿宋"/>
          <w:sz w:val="32"/>
          <w:szCs w:val="32"/>
        </w:rPr>
        <w:t>，占</w:t>
      </w:r>
      <w:r>
        <w:rPr>
          <w:rFonts w:hint="eastAsia" w:ascii="仿宋" w:hAnsi="仿宋" w:eastAsia="仿宋"/>
          <w:sz w:val="32"/>
          <w:szCs w:val="32"/>
          <w:lang w:val="en-US" w:eastAsia="zh-CN"/>
        </w:rPr>
        <w:t>14.21</w:t>
      </w:r>
      <w:r>
        <w:rPr>
          <w:rFonts w:hint="eastAsia" w:ascii="仿宋" w:hAnsi="仿宋" w:eastAsia="仿宋"/>
          <w:sz w:val="32"/>
          <w:szCs w:val="32"/>
        </w:rPr>
        <w:t>%、卫生健康支出3.68万元，占</w:t>
      </w:r>
      <w:r>
        <w:rPr>
          <w:rFonts w:hint="eastAsia" w:ascii="仿宋" w:hAnsi="仿宋" w:eastAsia="仿宋"/>
          <w:sz w:val="32"/>
          <w:szCs w:val="32"/>
          <w:lang w:val="en-US" w:eastAsia="zh-CN"/>
        </w:rPr>
        <w:t>3.05</w:t>
      </w:r>
      <w:r>
        <w:rPr>
          <w:rFonts w:hint="eastAsia" w:ascii="仿宋" w:hAnsi="仿宋" w:eastAsia="仿宋"/>
          <w:sz w:val="32"/>
          <w:szCs w:val="32"/>
        </w:rPr>
        <w:t>%，住房保障支出7.14万元，占5.</w:t>
      </w:r>
      <w:r>
        <w:rPr>
          <w:rFonts w:hint="eastAsia" w:ascii="仿宋" w:hAnsi="仿宋" w:eastAsia="仿宋"/>
          <w:sz w:val="32"/>
          <w:szCs w:val="32"/>
          <w:lang w:val="en-US" w:eastAsia="zh-CN"/>
        </w:rPr>
        <w:t>92</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sz w:val="32"/>
          <w:szCs w:val="32"/>
        </w:rPr>
        <w:t>　　（三）一般公共预算当年拨款具体使用情况（按功能科目类款项写）</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ascii="仿宋" w:hAnsi="仿宋" w:eastAsia="仿宋"/>
          <w:sz w:val="32"/>
          <w:szCs w:val="32"/>
        </w:rPr>
      </w:pPr>
      <w:r>
        <w:rPr>
          <w:rStyle w:val="8"/>
          <w:rFonts w:hint="eastAsia" w:ascii="仿宋" w:hAnsi="仿宋" w:eastAsia="仿宋"/>
          <w:color w:val="000000"/>
          <w:sz w:val="32"/>
          <w:szCs w:val="32"/>
        </w:rPr>
        <w:t>1.</w:t>
      </w:r>
      <w:r>
        <w:rPr>
          <w:rFonts w:hint="eastAsia" w:ascii="仿宋" w:hAnsi="仿宋" w:eastAsia="仿宋"/>
        </w:rPr>
        <w:t xml:space="preserve"> </w:t>
      </w:r>
      <w:r>
        <w:rPr>
          <w:rStyle w:val="8"/>
          <w:rFonts w:hint="eastAsia" w:ascii="仿宋" w:hAnsi="仿宋" w:eastAsia="仿宋"/>
          <w:color w:val="000000" w:themeColor="text1"/>
          <w:sz w:val="32"/>
          <w:szCs w:val="32"/>
        </w:rPr>
        <w:t>科学技术支出-科学技术普及-机构运行:</w:t>
      </w:r>
      <w:r>
        <w:rPr>
          <w:rFonts w:hint="eastAsia" w:ascii="仿宋" w:hAnsi="仿宋" w:eastAsia="仿宋"/>
          <w:color w:val="000000" w:themeColor="text1"/>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lang w:val="en-US" w:eastAsia="zh-CN"/>
        </w:rPr>
        <w:t>76.7</w:t>
      </w:r>
      <w:r>
        <w:rPr>
          <w:rFonts w:hint="eastAsia" w:ascii="仿宋" w:hAnsi="仿宋" w:eastAsia="仿宋"/>
          <w:sz w:val="32"/>
          <w:szCs w:val="32"/>
        </w:rPr>
        <w:t>万元，主要用于人员经费及办公费、劳务费、培训费等公用经费。</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ascii="仿宋" w:hAnsi="仿宋" w:eastAsia="仿宋"/>
          <w:sz w:val="32"/>
          <w:szCs w:val="32"/>
        </w:rPr>
      </w:pPr>
      <w:r>
        <w:rPr>
          <w:rStyle w:val="8"/>
          <w:rFonts w:hint="eastAsia" w:ascii="仿宋" w:hAnsi="仿宋" w:eastAsia="仿宋"/>
          <w:color w:val="000000"/>
          <w:sz w:val="32"/>
          <w:szCs w:val="32"/>
        </w:rPr>
        <w:t>2.</w:t>
      </w:r>
      <w:r>
        <w:rPr>
          <w:rFonts w:hint="eastAsia" w:ascii="仿宋" w:hAnsi="仿宋" w:eastAsia="仿宋"/>
        </w:rPr>
        <w:t xml:space="preserve"> </w:t>
      </w:r>
      <w:r>
        <w:rPr>
          <w:rStyle w:val="8"/>
          <w:rFonts w:hint="eastAsia" w:ascii="仿宋" w:hAnsi="仿宋" w:eastAsia="仿宋"/>
          <w:color w:val="000000" w:themeColor="text1"/>
          <w:sz w:val="32"/>
          <w:szCs w:val="32"/>
        </w:rPr>
        <w:t>科学技术支出-科学技术普及-</w:t>
      </w:r>
      <w:r>
        <w:rPr>
          <w:rStyle w:val="8"/>
          <w:rFonts w:hint="eastAsia" w:ascii="仿宋" w:hAnsi="仿宋" w:eastAsia="仿宋"/>
          <w:color w:val="000000"/>
          <w:sz w:val="32"/>
          <w:szCs w:val="32"/>
        </w:rPr>
        <w:t>科普活动:</w:t>
      </w: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年预算数为16万元，主要用于科创项目、科普活动、老科协、农技协等项目活动经费。</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sz w:val="32"/>
          <w:szCs w:val="32"/>
        </w:rPr>
      </w:pPr>
      <w:r>
        <w:rPr>
          <w:rFonts w:hint="eastAsia" w:ascii="仿宋" w:hAnsi="仿宋" w:eastAsia="仿宋"/>
          <w:color w:val="000000"/>
          <w:sz w:val="32"/>
          <w:szCs w:val="32"/>
        </w:rPr>
        <w:t>3.</w:t>
      </w:r>
      <w:r>
        <w:rPr>
          <w:rStyle w:val="8"/>
          <w:rFonts w:hint="eastAsia" w:ascii="仿宋" w:hAnsi="仿宋" w:eastAsia="仿宋"/>
          <w:color w:val="000000"/>
          <w:sz w:val="32"/>
          <w:szCs w:val="32"/>
        </w:rPr>
        <w:t>社会保障和就业支出-机关事业单位基本养老保险缴费支出：</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年预算数为8.68万元，主要用于科协职工的养老保险缴费。</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sz w:val="32"/>
          <w:szCs w:val="32"/>
        </w:rPr>
      </w:pPr>
      <w:r>
        <w:rPr>
          <w:rFonts w:hint="eastAsia" w:ascii="仿宋" w:hAnsi="仿宋" w:eastAsia="仿宋"/>
          <w:color w:val="000000"/>
          <w:sz w:val="32"/>
          <w:szCs w:val="32"/>
        </w:rPr>
        <w:t>4.</w:t>
      </w:r>
      <w:r>
        <w:rPr>
          <w:rStyle w:val="8"/>
          <w:rFonts w:hint="eastAsia" w:ascii="仿宋" w:hAnsi="仿宋" w:eastAsia="仿宋"/>
          <w:color w:val="000000"/>
          <w:sz w:val="32"/>
          <w:szCs w:val="32"/>
        </w:rPr>
        <w:t>社会保障和就业支出-机关事业单位职业年金缴费支出：</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年预算数为4.34万元，主要用于科协职工的职业年金缴费。</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Style w:val="8"/>
          <w:rFonts w:hint="eastAsia" w:ascii="仿宋" w:hAnsi="仿宋" w:eastAsia="仿宋"/>
          <w:color w:val="auto"/>
          <w:sz w:val="32"/>
          <w:szCs w:val="32"/>
          <w:lang w:val="en-US" w:eastAsia="zh-CN"/>
        </w:rPr>
      </w:pPr>
      <w:r>
        <w:rPr>
          <w:rStyle w:val="8"/>
          <w:rFonts w:hint="eastAsia" w:ascii="仿宋" w:hAnsi="仿宋" w:eastAsia="仿宋"/>
          <w:color w:val="000000"/>
          <w:sz w:val="32"/>
          <w:szCs w:val="32"/>
          <w:lang w:val="en-US" w:eastAsia="zh-CN"/>
        </w:rPr>
        <w:t>5</w:t>
      </w:r>
      <w:r>
        <w:rPr>
          <w:rFonts w:hint="eastAsia" w:ascii="仿宋" w:hAnsi="仿宋" w:eastAsia="仿宋"/>
          <w:sz w:val="32"/>
          <w:szCs w:val="32"/>
          <w:lang w:val="en-US" w:eastAsia="zh-CN"/>
        </w:rPr>
        <w:t>.</w:t>
      </w:r>
      <w:r>
        <w:rPr>
          <w:rStyle w:val="8"/>
          <w:rFonts w:hint="eastAsia" w:ascii="仿宋" w:hAnsi="仿宋" w:eastAsia="仿宋"/>
          <w:color w:val="auto"/>
          <w:sz w:val="32"/>
          <w:szCs w:val="32"/>
          <w:lang w:val="en-US" w:eastAsia="zh-CN"/>
        </w:rPr>
        <w:t>社会保障和就业支出-其他社会保障和就业支出：</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Style w:val="8"/>
          <w:rFonts w:hint="eastAsia" w:ascii="仿宋" w:hAnsi="仿宋" w:eastAsia="仿宋"/>
          <w:color w:val="FFFF00"/>
          <w:sz w:val="32"/>
          <w:szCs w:val="32"/>
        </w:rPr>
      </w:pPr>
      <w:r>
        <w:rPr>
          <w:rFonts w:hint="eastAsia" w:ascii="仿宋" w:hAnsi="仿宋" w:eastAsia="仿宋"/>
          <w:sz w:val="32"/>
          <w:szCs w:val="32"/>
          <w:lang w:val="en-US" w:eastAsia="zh-CN"/>
        </w:rPr>
        <w:t>2024年预算数为 0.12 万元，主要用于科协职工的工伤保险缴费。</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仿宋" w:hAnsi="仿宋" w:eastAsia="仿宋"/>
          <w:sz w:val="32"/>
          <w:szCs w:val="32"/>
        </w:rPr>
      </w:pPr>
      <w:r>
        <w:rPr>
          <w:rStyle w:val="8"/>
          <w:rFonts w:hint="eastAsia" w:ascii="仿宋" w:hAnsi="仿宋" w:eastAsia="仿宋"/>
          <w:color w:val="000000"/>
          <w:sz w:val="32"/>
          <w:szCs w:val="32"/>
          <w:lang w:val="en-US" w:eastAsia="zh-CN"/>
        </w:rPr>
        <w:t>6</w:t>
      </w:r>
      <w:r>
        <w:rPr>
          <w:rStyle w:val="8"/>
          <w:rFonts w:hint="eastAsia" w:ascii="仿宋" w:hAnsi="仿宋" w:eastAsia="仿宋"/>
          <w:color w:val="000000"/>
          <w:sz w:val="32"/>
          <w:szCs w:val="32"/>
        </w:rPr>
        <w:t>.</w:t>
      </w:r>
      <w:r>
        <w:rPr>
          <w:rStyle w:val="8"/>
          <w:rFonts w:hint="eastAsia" w:ascii="仿宋" w:hAnsi="仿宋" w:eastAsia="仿宋"/>
          <w:color w:val="auto"/>
          <w:sz w:val="32"/>
          <w:szCs w:val="32"/>
        </w:rPr>
        <w:t>社会保障和就业支出-其他行政事业单位</w:t>
      </w:r>
      <w:r>
        <w:rPr>
          <w:rStyle w:val="8"/>
          <w:rFonts w:hint="eastAsia" w:ascii="仿宋" w:hAnsi="仿宋" w:eastAsia="仿宋"/>
          <w:color w:val="auto"/>
          <w:sz w:val="32"/>
          <w:szCs w:val="32"/>
          <w:lang w:eastAsia="zh-CN"/>
        </w:rPr>
        <w:t>养老支出</w:t>
      </w:r>
      <w:r>
        <w:rPr>
          <w:rStyle w:val="8"/>
          <w:rFonts w:hint="eastAsia" w:ascii="仿宋" w:hAnsi="仿宋" w:eastAsia="仿宋"/>
          <w:color w:val="auto"/>
          <w:sz w:val="32"/>
          <w:szCs w:val="32"/>
        </w:rPr>
        <w:t>：</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lang w:val="en-US" w:eastAsia="zh-CN"/>
        </w:rPr>
        <w:t>4</w:t>
      </w:r>
      <w:r>
        <w:rPr>
          <w:rFonts w:hint="eastAsia" w:ascii="仿宋" w:hAnsi="仿宋" w:eastAsia="仿宋"/>
          <w:sz w:val="32"/>
          <w:szCs w:val="32"/>
        </w:rPr>
        <w:t>万元，主要用于科协退休人员费用。</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ascii="仿宋_GB2312" w:eastAsia="仿宋_GB2312"/>
          <w:color w:val="000000"/>
          <w:sz w:val="32"/>
          <w:szCs w:val="32"/>
        </w:rPr>
      </w:pPr>
      <w:r>
        <w:rPr>
          <w:rStyle w:val="8"/>
          <w:rFonts w:hint="eastAsia" w:ascii="仿宋" w:hAnsi="仿宋" w:eastAsia="仿宋"/>
          <w:color w:val="000000"/>
          <w:sz w:val="32"/>
          <w:szCs w:val="32"/>
          <w:lang w:val="en-US" w:eastAsia="zh-CN"/>
        </w:rPr>
        <w:t>7</w:t>
      </w:r>
      <w:r>
        <w:rPr>
          <w:rStyle w:val="8"/>
          <w:rFonts w:hint="eastAsia" w:ascii="仿宋" w:hAnsi="仿宋" w:eastAsia="仿宋"/>
          <w:color w:val="000000"/>
          <w:sz w:val="32"/>
          <w:szCs w:val="32"/>
        </w:rPr>
        <w:t>.</w:t>
      </w:r>
      <w:r>
        <w:rPr>
          <w:rFonts w:hint="eastAsia" w:ascii="仿宋" w:hAnsi="仿宋" w:eastAsia="仿宋"/>
        </w:rPr>
        <w:t xml:space="preserve"> </w:t>
      </w:r>
      <w:r>
        <w:rPr>
          <w:rStyle w:val="8"/>
          <w:rFonts w:hint="eastAsia" w:ascii="仿宋" w:hAnsi="仿宋" w:eastAsia="仿宋"/>
          <w:color w:val="000000"/>
          <w:sz w:val="32"/>
          <w:szCs w:val="32"/>
        </w:rPr>
        <w:t>医疗卫生与计划生育支出-行政单位医疗:</w:t>
      </w: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年预算数为3.68万元，主要用于科协职工医疗保险缴费。</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ascii="仿宋_GB2312" w:eastAsia="仿宋_GB2312"/>
          <w:color w:val="000000"/>
          <w:sz w:val="32"/>
          <w:szCs w:val="32"/>
        </w:rPr>
      </w:pPr>
      <w:r>
        <w:rPr>
          <w:rStyle w:val="8"/>
          <w:rFonts w:hint="eastAsia" w:ascii="仿宋" w:hAnsi="仿宋" w:eastAsia="仿宋"/>
          <w:color w:val="000000"/>
          <w:sz w:val="32"/>
          <w:szCs w:val="32"/>
          <w:lang w:val="en-US" w:eastAsia="zh-CN"/>
        </w:rPr>
        <w:t>8</w:t>
      </w:r>
      <w:r>
        <w:rPr>
          <w:rStyle w:val="8"/>
          <w:rFonts w:hint="eastAsia" w:ascii="仿宋" w:hAnsi="仿宋" w:eastAsia="仿宋"/>
          <w:color w:val="000000"/>
          <w:sz w:val="32"/>
          <w:szCs w:val="32"/>
        </w:rPr>
        <w:t>. 住房保障支出-住房公积金:</w:t>
      </w: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年预算数为7.14万元，主要用于科协职工住房公积金缴费。</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b/>
          <w:sz w:val="32"/>
          <w:szCs w:val="32"/>
        </w:rPr>
      </w:pPr>
      <w:r>
        <w:rPr>
          <w:rFonts w:hint="eastAsia" w:ascii="仿宋_GB2312" w:hAnsi="仿宋_GB2312" w:eastAsia="仿宋_GB2312"/>
          <w:b/>
          <w:sz w:val="32"/>
          <w:szCs w:val="32"/>
        </w:rPr>
        <w:t>　　六、一般公共预算基本支出情况说明</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区科协202</w:t>
      </w:r>
      <w:r>
        <w:rPr>
          <w:rFonts w:hint="eastAsia" w:ascii="仿宋" w:hAnsi="仿宋" w:eastAsia="仿宋"/>
          <w:sz w:val="32"/>
          <w:szCs w:val="32"/>
          <w:lang w:val="en-US" w:eastAsia="zh-CN"/>
        </w:rPr>
        <w:t>4</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104.66</w:t>
      </w:r>
      <w:r>
        <w:rPr>
          <w:rFonts w:hint="eastAsia" w:ascii="仿宋" w:hAnsi="仿宋" w:eastAsia="仿宋"/>
          <w:sz w:val="32"/>
          <w:szCs w:val="32"/>
        </w:rPr>
        <w:t>万元，其中：</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 w:hAnsi="仿宋" w:eastAsia="仿宋"/>
          <w:sz w:val="32"/>
          <w:szCs w:val="32"/>
        </w:rPr>
        <w:t>　　人员经费</w:t>
      </w:r>
      <w:r>
        <w:rPr>
          <w:rFonts w:hint="eastAsia" w:ascii="仿宋" w:hAnsi="仿宋" w:eastAsia="仿宋"/>
          <w:sz w:val="32"/>
          <w:szCs w:val="32"/>
          <w:lang w:val="en-US" w:eastAsia="zh-CN"/>
        </w:rPr>
        <w:t>94.97</w:t>
      </w:r>
      <w:r>
        <w:rPr>
          <w:rFonts w:hint="eastAsia" w:ascii="仿宋" w:hAnsi="仿宋" w:eastAsia="仿宋"/>
          <w:sz w:val="32"/>
          <w:szCs w:val="32"/>
        </w:rPr>
        <w:t>万元，主要包括：基本工资、津贴补贴、奖金、社会保险缴费、绩效工资、机关事业单位基本养老保险缴费、职业年金缴费、其他工资福利支出。</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 w:hAnsi="仿宋" w:eastAsia="仿宋"/>
          <w:sz w:val="32"/>
          <w:szCs w:val="32"/>
        </w:rPr>
        <w:t>　　公用经费9.68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widowControl w:val="0"/>
        <w:kinsoku/>
        <w:wordWrap/>
        <w:overflowPunct/>
        <w:topLinePunct w:val="0"/>
        <w:autoSpaceDE/>
        <w:autoSpaceDN/>
        <w:bidi w:val="0"/>
        <w:spacing w:line="500" w:lineRule="exact"/>
        <w:ind w:left="0" w:leftChars="0" w:firstLine="482" w:firstLineChars="150"/>
        <w:textAlignment w:val="auto"/>
        <w:rPr>
          <w:rFonts w:ascii="仿宋_GB2312" w:hAnsi="仿宋_GB2312" w:eastAsia="仿宋_GB2312"/>
          <w:b/>
          <w:sz w:val="32"/>
          <w:szCs w:val="32"/>
        </w:rPr>
      </w:pPr>
      <w:r>
        <w:rPr>
          <w:rFonts w:hint="eastAsia" w:ascii="仿宋_GB2312" w:hAnsi="仿宋_GB2312" w:eastAsia="仿宋_GB2312"/>
          <w:b/>
          <w:sz w:val="32"/>
          <w:szCs w:val="32"/>
        </w:rPr>
        <w:t>七、“三公”经费财政拨款预算安排情况说明</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区科协202</w:t>
      </w:r>
      <w:r>
        <w:rPr>
          <w:rFonts w:hint="eastAsia" w:ascii="仿宋" w:hAnsi="仿宋" w:eastAsia="仿宋"/>
          <w:sz w:val="32"/>
          <w:szCs w:val="32"/>
          <w:lang w:val="en-US" w:eastAsia="zh-CN"/>
        </w:rPr>
        <w:t>4</w:t>
      </w:r>
      <w:r>
        <w:rPr>
          <w:rFonts w:hint="eastAsia" w:ascii="仿宋" w:hAnsi="仿宋" w:eastAsia="仿宋"/>
          <w:sz w:val="32"/>
          <w:szCs w:val="32"/>
        </w:rPr>
        <w:t>年“三公”经费财政拨款预算数</w:t>
      </w:r>
      <w:r>
        <w:rPr>
          <w:rFonts w:hint="eastAsia" w:ascii="仿宋" w:hAnsi="仿宋" w:eastAsia="仿宋"/>
          <w:sz w:val="32"/>
          <w:szCs w:val="32"/>
          <w:lang w:val="en-US" w:eastAsia="zh-CN"/>
        </w:rPr>
        <w:t>0.6</w:t>
      </w:r>
      <w:r>
        <w:rPr>
          <w:rFonts w:hint="eastAsia" w:ascii="仿宋" w:hAnsi="仿宋" w:eastAsia="仿宋"/>
          <w:sz w:val="32"/>
          <w:szCs w:val="32"/>
        </w:rPr>
        <w:t>万元，其中：因公出国（境）经费0万元，公务接待费</w:t>
      </w:r>
      <w:r>
        <w:rPr>
          <w:rFonts w:hint="eastAsia" w:ascii="仿宋" w:hAnsi="仿宋" w:eastAsia="仿宋"/>
          <w:sz w:val="32"/>
          <w:szCs w:val="32"/>
          <w:lang w:val="en-US" w:eastAsia="zh-CN"/>
        </w:rPr>
        <w:t>0.6</w:t>
      </w:r>
      <w:r>
        <w:rPr>
          <w:rFonts w:hint="eastAsia" w:ascii="仿宋" w:hAnsi="仿宋" w:eastAsia="仿宋"/>
          <w:sz w:val="32"/>
          <w:szCs w:val="32"/>
        </w:rPr>
        <w:t>万元，公务用车购置0万元，公务用车运行维护费0万元。</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 w:hAnsi="仿宋" w:eastAsia="仿宋"/>
          <w:sz w:val="32"/>
          <w:szCs w:val="32"/>
        </w:rPr>
        <w:t>　　（一）因公出国（境）经费较202</w:t>
      </w:r>
      <w:r>
        <w:rPr>
          <w:rFonts w:hint="eastAsia" w:ascii="仿宋" w:hAnsi="仿宋" w:eastAsia="仿宋"/>
          <w:sz w:val="32"/>
          <w:szCs w:val="32"/>
          <w:lang w:val="en-US" w:eastAsia="zh-CN"/>
        </w:rPr>
        <w:t>4</w:t>
      </w:r>
      <w:r>
        <w:rPr>
          <w:rFonts w:hint="eastAsia" w:ascii="仿宋" w:hAnsi="仿宋" w:eastAsia="仿宋"/>
          <w:sz w:val="32"/>
          <w:szCs w:val="32"/>
        </w:rPr>
        <w:t>年预算与202</w:t>
      </w:r>
      <w:r>
        <w:rPr>
          <w:rFonts w:hint="eastAsia" w:ascii="仿宋" w:hAnsi="仿宋" w:eastAsia="仿宋"/>
          <w:sz w:val="32"/>
          <w:szCs w:val="32"/>
          <w:lang w:val="en-US" w:eastAsia="zh-CN"/>
        </w:rPr>
        <w:t>3</w:t>
      </w:r>
      <w:r>
        <w:rPr>
          <w:rFonts w:hint="eastAsia" w:ascii="仿宋" w:hAnsi="仿宋" w:eastAsia="仿宋"/>
          <w:sz w:val="32"/>
          <w:szCs w:val="32"/>
        </w:rPr>
        <w:t>年预算基本持平。主要原因是未安排出国出境。</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根据科协安排的出国计划，拟安排出国（境）团组0次，出国（境）0人次。</w:t>
      </w:r>
    </w:p>
    <w:p>
      <w:pPr>
        <w:keepNext w:val="0"/>
        <w:keepLines w:val="0"/>
        <w:pageBreakBefore w:val="0"/>
        <w:widowControl w:val="0"/>
        <w:kinsoku/>
        <w:wordWrap/>
        <w:overflowPunct/>
        <w:topLinePunct w:val="0"/>
        <w:autoSpaceDE/>
        <w:autoSpaceDN/>
        <w:bidi w:val="0"/>
        <w:spacing w:line="500" w:lineRule="exact"/>
        <w:ind w:firstLine="645"/>
        <w:textAlignment w:val="auto"/>
        <w:rPr>
          <w:rFonts w:ascii="仿宋_GB2312" w:eastAsia="仿宋_GB2312"/>
          <w:sz w:val="32"/>
          <w:szCs w:val="32"/>
        </w:rPr>
      </w:pPr>
      <w:r>
        <w:rPr>
          <w:rFonts w:hint="eastAsia" w:ascii="仿宋" w:hAnsi="仿宋" w:eastAsia="仿宋"/>
          <w:sz w:val="32"/>
          <w:szCs w:val="32"/>
        </w:rPr>
        <w:t>（二）公务接待费202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较</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年预算</w:t>
      </w:r>
      <w:r>
        <w:rPr>
          <w:rFonts w:hint="eastAsia" w:ascii="仿宋" w:hAnsi="仿宋" w:eastAsia="仿宋"/>
          <w:sz w:val="32"/>
          <w:szCs w:val="32"/>
          <w:lang w:eastAsia="zh-CN"/>
        </w:rPr>
        <w:t>减少</w:t>
      </w:r>
      <w:r>
        <w:rPr>
          <w:rFonts w:hint="eastAsia" w:ascii="仿宋" w:hAnsi="仿宋" w:eastAsia="仿宋"/>
          <w:sz w:val="32"/>
          <w:szCs w:val="32"/>
          <w:lang w:val="en-US" w:eastAsia="zh-CN"/>
        </w:rPr>
        <w:t>0.4万元，</w:t>
      </w:r>
      <w:r>
        <w:rPr>
          <w:rFonts w:hint="eastAsia" w:ascii="仿宋_GB2312" w:eastAsia="仿宋_GB2312"/>
          <w:sz w:val="32"/>
          <w:szCs w:val="32"/>
        </w:rPr>
        <w:t>主要原因是严格按照中央八项规定要求，厉行节约，规范公务接待管理</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（三）公务用车购置及运行维护费较202</w:t>
      </w:r>
      <w:r>
        <w:rPr>
          <w:rFonts w:hint="eastAsia" w:ascii="仿宋" w:hAnsi="仿宋" w:eastAsia="仿宋"/>
          <w:sz w:val="32"/>
          <w:szCs w:val="32"/>
          <w:lang w:val="en-US" w:eastAsia="zh-CN"/>
        </w:rPr>
        <w:t>4</w:t>
      </w:r>
      <w:r>
        <w:rPr>
          <w:rFonts w:hint="eastAsia" w:ascii="仿宋" w:hAnsi="仿宋" w:eastAsia="仿宋"/>
          <w:sz w:val="32"/>
          <w:szCs w:val="32"/>
        </w:rPr>
        <w:t>年预算与202</w:t>
      </w:r>
      <w:r>
        <w:rPr>
          <w:rFonts w:hint="eastAsia" w:ascii="仿宋" w:hAnsi="仿宋" w:eastAsia="仿宋"/>
          <w:sz w:val="32"/>
          <w:szCs w:val="32"/>
          <w:lang w:val="en-US" w:eastAsia="zh-CN"/>
        </w:rPr>
        <w:t>3</w:t>
      </w:r>
      <w:r>
        <w:rPr>
          <w:rFonts w:hint="eastAsia" w:ascii="仿宋" w:hAnsi="仿宋" w:eastAsia="仿宋"/>
          <w:sz w:val="32"/>
          <w:szCs w:val="32"/>
        </w:rPr>
        <w:t>年预算基本持平。主要原因是</w:t>
      </w:r>
      <w:r>
        <w:rPr>
          <w:rFonts w:hint="eastAsia" w:ascii="仿宋" w:hAnsi="仿宋" w:eastAsia="仿宋"/>
          <w:sz w:val="32"/>
          <w:szCs w:val="32"/>
          <w:lang w:eastAsia="zh-CN"/>
        </w:rPr>
        <w:t>无</w:t>
      </w:r>
      <w:r>
        <w:rPr>
          <w:rFonts w:hint="eastAsia" w:ascii="仿宋" w:hAnsi="仿宋" w:eastAsia="仿宋"/>
          <w:sz w:val="32"/>
          <w:szCs w:val="32"/>
        </w:rPr>
        <w:t>公务车。</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 w:hAnsi="仿宋" w:eastAsia="仿宋"/>
          <w:sz w:val="32"/>
          <w:szCs w:val="32"/>
        </w:rPr>
        <w:t>　　单位现有公务用车0辆。其中：轿车0辆。</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 w:hAnsi="仿宋" w:eastAsia="仿宋"/>
          <w:sz w:val="32"/>
          <w:szCs w:val="32"/>
        </w:rPr>
        <w:t>　　202</w:t>
      </w:r>
      <w:r>
        <w:rPr>
          <w:rFonts w:hint="eastAsia" w:ascii="仿宋" w:hAnsi="仿宋" w:eastAsia="仿宋"/>
          <w:sz w:val="32"/>
          <w:szCs w:val="32"/>
          <w:lang w:val="en-US" w:eastAsia="zh-CN"/>
        </w:rPr>
        <w:t>4</w:t>
      </w:r>
      <w:r>
        <w:rPr>
          <w:rFonts w:hint="eastAsia" w:ascii="仿宋" w:hAnsi="仿宋" w:eastAsia="仿宋"/>
          <w:sz w:val="32"/>
          <w:szCs w:val="32"/>
        </w:rPr>
        <w:t>年安排公务用车运行维护费0万元，用于0辆公务用车燃油、维修、保险等方面支出。</w:t>
      </w:r>
    </w:p>
    <w:p>
      <w:pPr>
        <w:keepNext w:val="0"/>
        <w:keepLines w:val="0"/>
        <w:pageBreakBefore w:val="0"/>
        <w:widowControl w:val="0"/>
        <w:kinsoku/>
        <w:wordWrap/>
        <w:overflowPunct/>
        <w:topLinePunct w:val="0"/>
        <w:autoSpaceDE/>
        <w:autoSpaceDN/>
        <w:bidi w:val="0"/>
        <w:spacing w:line="500" w:lineRule="exact"/>
        <w:ind w:firstLine="482" w:firstLineChars="150"/>
        <w:textAlignment w:val="auto"/>
        <w:rPr>
          <w:rFonts w:ascii="仿宋_GB2312" w:hAnsi="仿宋_GB2312" w:eastAsia="仿宋_GB2312"/>
          <w:b/>
          <w:sz w:val="32"/>
          <w:szCs w:val="32"/>
        </w:rPr>
      </w:pPr>
      <w:r>
        <w:rPr>
          <w:rFonts w:hint="eastAsia" w:ascii="仿宋_GB2312" w:hAnsi="仿宋_GB2312" w:eastAsia="仿宋_GB2312"/>
          <w:b/>
          <w:sz w:val="32"/>
          <w:szCs w:val="32"/>
        </w:rPr>
        <w:t>八、政府性基金预算收支情况说明</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 w:hAnsi="仿宋" w:eastAsia="仿宋"/>
          <w:sz w:val="32"/>
          <w:szCs w:val="32"/>
        </w:rPr>
        <w:t>　  无政府性基金预算收支</w:t>
      </w:r>
    </w:p>
    <w:p>
      <w:pPr>
        <w:keepNext w:val="0"/>
        <w:keepLines w:val="0"/>
        <w:pageBreakBefore w:val="0"/>
        <w:widowControl w:val="0"/>
        <w:kinsoku/>
        <w:wordWrap/>
        <w:overflowPunct/>
        <w:topLinePunct w:val="0"/>
        <w:autoSpaceDE/>
        <w:autoSpaceDN/>
        <w:bidi w:val="0"/>
        <w:spacing w:line="500" w:lineRule="exact"/>
        <w:ind w:firstLine="645"/>
        <w:textAlignment w:val="auto"/>
        <w:rPr>
          <w:rFonts w:ascii="仿宋_GB2312" w:hAnsi="仿宋_GB2312" w:eastAsia="仿宋_GB2312"/>
          <w:b/>
          <w:sz w:val="32"/>
          <w:szCs w:val="32"/>
        </w:rPr>
      </w:pPr>
      <w:r>
        <w:rPr>
          <w:rFonts w:hint="eastAsia" w:ascii="仿宋_GB2312" w:hAnsi="仿宋_GB2312" w:eastAsia="仿宋_GB2312"/>
          <w:b/>
          <w:sz w:val="32"/>
          <w:szCs w:val="32"/>
        </w:rPr>
        <w:t>九、国有资本经营预算支出情况说明</w:t>
      </w:r>
    </w:p>
    <w:p>
      <w:pPr>
        <w:keepNext w:val="0"/>
        <w:keepLines w:val="0"/>
        <w:pageBreakBefore w:val="0"/>
        <w:widowControl w:val="0"/>
        <w:kinsoku/>
        <w:wordWrap/>
        <w:overflowPunct/>
        <w:topLinePunct w:val="0"/>
        <w:autoSpaceDE/>
        <w:autoSpaceDN/>
        <w:bidi w:val="0"/>
        <w:spacing w:line="500" w:lineRule="exact"/>
        <w:ind w:firstLine="566" w:firstLineChars="177"/>
        <w:textAlignment w:val="auto"/>
        <w:rPr>
          <w:rFonts w:ascii="仿宋" w:hAnsi="仿宋" w:eastAsia="仿宋"/>
          <w:sz w:val="32"/>
          <w:szCs w:val="32"/>
        </w:rPr>
      </w:pPr>
      <w:r>
        <w:rPr>
          <w:rFonts w:hint="eastAsia" w:ascii="仿宋" w:hAnsi="仿宋" w:eastAsia="仿宋"/>
          <w:sz w:val="32"/>
          <w:szCs w:val="32"/>
        </w:rPr>
        <w:t>科协202</w:t>
      </w:r>
      <w:r>
        <w:rPr>
          <w:rFonts w:hint="eastAsia" w:ascii="仿宋" w:hAnsi="仿宋" w:eastAsia="仿宋"/>
          <w:sz w:val="32"/>
          <w:szCs w:val="32"/>
          <w:lang w:val="en-US" w:eastAsia="zh-CN"/>
        </w:rPr>
        <w:t>4</w:t>
      </w:r>
      <w:r>
        <w:rPr>
          <w:rFonts w:hint="eastAsia" w:ascii="仿宋" w:hAnsi="仿宋" w:eastAsia="仿宋"/>
          <w:sz w:val="32"/>
          <w:szCs w:val="32"/>
        </w:rPr>
        <w:t>年使用国有资本经营预算拨款安排0万元，其中：基本支出0万元，项目支出0万元。</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　十、其他重要事项的情况说明</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sz w:val="32"/>
          <w:szCs w:val="32"/>
        </w:rPr>
        <w:t>　　（一）机关运行经费</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202</w:t>
      </w:r>
      <w:r>
        <w:rPr>
          <w:rFonts w:hint="eastAsia" w:ascii="仿宋" w:hAnsi="仿宋" w:eastAsia="仿宋"/>
          <w:sz w:val="32"/>
          <w:szCs w:val="32"/>
          <w:lang w:val="en-US" w:eastAsia="zh-CN"/>
        </w:rPr>
        <w:t>4</w:t>
      </w:r>
      <w:r>
        <w:rPr>
          <w:rFonts w:hint="eastAsia" w:ascii="仿宋" w:hAnsi="仿宋" w:eastAsia="仿宋"/>
          <w:sz w:val="32"/>
          <w:szCs w:val="32"/>
        </w:rPr>
        <w:t>年，区科协机关运行经费财政拨款预算为9.68万元，</w:t>
      </w:r>
      <w:r>
        <w:rPr>
          <w:rFonts w:hint="eastAsia" w:ascii="仿宋" w:hAnsi="仿宋" w:eastAsia="仿宋"/>
          <w:sz w:val="32"/>
          <w:szCs w:val="32"/>
          <w:lang w:eastAsia="zh-CN"/>
        </w:rPr>
        <w:t>与</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年预算</w:t>
      </w:r>
      <w:r>
        <w:rPr>
          <w:rFonts w:hint="eastAsia" w:ascii="仿宋" w:hAnsi="仿宋" w:eastAsia="仿宋"/>
          <w:sz w:val="32"/>
          <w:szCs w:val="32"/>
          <w:lang w:eastAsia="zh-CN"/>
        </w:rPr>
        <w:t>持平</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sz w:val="32"/>
          <w:szCs w:val="32"/>
        </w:rPr>
        <w:t>　　（二）政府采购情况</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年，区科协安排政府采购预算0万元。主要是厉行节约，本年度未作政府采购计划。</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sz w:val="32"/>
          <w:szCs w:val="32"/>
        </w:rPr>
        <w:t>　　（三）国有资产占有使用情况</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截至202</w:t>
      </w:r>
      <w:r>
        <w:rPr>
          <w:rFonts w:hint="eastAsia" w:ascii="仿宋" w:hAnsi="仿宋" w:eastAsia="仿宋"/>
          <w:sz w:val="32"/>
          <w:szCs w:val="32"/>
          <w:lang w:val="en-US" w:eastAsia="zh-CN"/>
        </w:rPr>
        <w:t>4</w:t>
      </w:r>
      <w:r>
        <w:rPr>
          <w:rFonts w:hint="eastAsia" w:ascii="仿宋" w:hAnsi="仿宋" w:eastAsia="仿宋"/>
          <w:sz w:val="32"/>
          <w:szCs w:val="32"/>
        </w:rPr>
        <w:t>年底，区科协所属各预算单位共有固定资产总额</w:t>
      </w:r>
      <w:r>
        <w:rPr>
          <w:rFonts w:hint="eastAsia" w:ascii="仿宋" w:hAnsi="仿宋" w:eastAsia="仿宋"/>
          <w:sz w:val="32"/>
          <w:szCs w:val="32"/>
          <w:lang w:val="en-US" w:eastAsia="zh-CN"/>
        </w:rPr>
        <w:t>5.05</w:t>
      </w:r>
      <w:r>
        <w:rPr>
          <w:rFonts w:hint="eastAsia" w:ascii="仿宋" w:hAnsi="仿宋" w:eastAsia="仿宋"/>
          <w:sz w:val="32"/>
          <w:szCs w:val="32"/>
        </w:rPr>
        <w:t>万元，其中公务用车0辆。</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 w:hAnsi="仿宋" w:eastAsia="仿宋"/>
          <w:sz w:val="32"/>
          <w:szCs w:val="32"/>
        </w:rPr>
        <w:t>　　202</w:t>
      </w:r>
      <w:r>
        <w:rPr>
          <w:rFonts w:hint="eastAsia" w:ascii="仿宋" w:hAnsi="仿宋" w:eastAsia="仿宋"/>
          <w:sz w:val="32"/>
          <w:szCs w:val="32"/>
          <w:lang w:val="en-US" w:eastAsia="zh-CN"/>
        </w:rPr>
        <w:t>4</w:t>
      </w:r>
      <w:r>
        <w:rPr>
          <w:rFonts w:hint="eastAsia" w:ascii="仿宋" w:hAnsi="仿宋" w:eastAsia="仿宋"/>
          <w:sz w:val="32"/>
          <w:szCs w:val="32"/>
        </w:rPr>
        <w:t>年部门预算未安排购置车辆及单位价值200万元以上大型设备。</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color w:val="0070C0"/>
          <w:sz w:val="32"/>
          <w:szCs w:val="32"/>
        </w:rPr>
        <w:t>　　</w:t>
      </w:r>
      <w:r>
        <w:rPr>
          <w:rFonts w:hint="eastAsia" w:ascii="仿宋_GB2312" w:hAnsi="仿宋_GB2312" w:eastAsia="仿宋_GB2312"/>
          <w:sz w:val="32"/>
          <w:szCs w:val="32"/>
        </w:rPr>
        <w:t>（四）绩效目标设置情况</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202</w:t>
      </w:r>
      <w:r>
        <w:rPr>
          <w:rFonts w:hint="eastAsia" w:ascii="仿宋" w:hAnsi="仿宋" w:eastAsia="仿宋"/>
          <w:sz w:val="32"/>
          <w:szCs w:val="32"/>
          <w:lang w:val="en-US" w:eastAsia="zh-CN"/>
        </w:rPr>
        <w:t>4</w:t>
      </w:r>
      <w:r>
        <w:rPr>
          <w:rFonts w:hint="eastAsia" w:ascii="仿宋" w:hAnsi="仿宋" w:eastAsia="仿宋"/>
          <w:sz w:val="32"/>
          <w:szCs w:val="32"/>
        </w:rPr>
        <w:t>年区科协部门通用项目和专用项目均按要求实行绩效目标管理，涉及一般公共预算当年拨款</w:t>
      </w:r>
      <w:r>
        <w:rPr>
          <w:rFonts w:hint="eastAsia" w:ascii="仿宋" w:hAnsi="仿宋" w:eastAsia="仿宋"/>
          <w:color w:val="auto"/>
          <w:sz w:val="32"/>
          <w:szCs w:val="32"/>
          <w:lang w:val="en-US" w:eastAsia="zh-CN"/>
        </w:rPr>
        <w:t>120.66</w:t>
      </w:r>
      <w:r>
        <w:rPr>
          <w:rFonts w:hint="eastAsia" w:ascii="仿宋" w:hAnsi="仿宋" w:eastAsia="仿宋"/>
          <w:sz w:val="32"/>
          <w:szCs w:val="32"/>
        </w:rPr>
        <w:t>万元。</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　十一、名词解释</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b/>
          <w:sz w:val="32"/>
          <w:szCs w:val="32"/>
        </w:rPr>
        <w:t>（一）一般公共预算拨款收入：</w:t>
      </w:r>
      <w:r>
        <w:rPr>
          <w:rFonts w:hint="eastAsia" w:ascii="仿宋" w:hAnsi="仿宋" w:eastAsia="仿宋"/>
          <w:sz w:val="32"/>
          <w:szCs w:val="32"/>
        </w:rPr>
        <w:t>指区级财政当年拨付的资金。</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（二）上年结转：</w:t>
      </w:r>
      <w:r>
        <w:rPr>
          <w:rFonts w:hint="eastAsia" w:ascii="仿宋" w:hAnsi="仿宋" w:eastAsia="仿宋"/>
          <w:sz w:val="32"/>
          <w:szCs w:val="32"/>
        </w:rPr>
        <w:t>指以前年度尚未完成、结转到本年仍按原规定用途继续使用的资金。</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（三）基本支出：</w:t>
      </w:r>
      <w:r>
        <w:rPr>
          <w:rFonts w:hint="eastAsia" w:ascii="仿宋" w:hAnsi="仿宋" w:eastAsia="仿宋"/>
          <w:sz w:val="32"/>
          <w:szCs w:val="32"/>
        </w:rPr>
        <w:t>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spacing w:line="50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（四）项目支出：</w:t>
      </w:r>
      <w:r>
        <w:rPr>
          <w:rFonts w:hint="eastAsia" w:ascii="仿宋" w:hAnsi="仿宋" w:eastAsia="仿宋"/>
          <w:sz w:val="32"/>
          <w:szCs w:val="32"/>
        </w:rPr>
        <w:t>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spacing w:line="500" w:lineRule="exact"/>
        <w:ind w:firstLine="645"/>
        <w:textAlignment w:val="auto"/>
        <w:rPr>
          <w:rFonts w:ascii="仿宋" w:hAnsi="仿宋" w:eastAsia="仿宋"/>
          <w:sz w:val="32"/>
          <w:szCs w:val="32"/>
        </w:rPr>
      </w:pPr>
      <w:r>
        <w:rPr>
          <w:rFonts w:hint="eastAsia" w:ascii="仿宋" w:hAnsi="仿宋" w:eastAsia="仿宋"/>
          <w:b/>
          <w:sz w:val="32"/>
          <w:szCs w:val="32"/>
        </w:rPr>
        <w:t>（五）“三公”经费：</w:t>
      </w:r>
      <w:r>
        <w:rPr>
          <w:rFonts w:hint="eastAsia" w:ascii="仿宋" w:hAnsi="仿宋" w:eastAsia="仿宋"/>
          <w:sz w:val="32"/>
          <w:szCs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spacing w:line="500" w:lineRule="exact"/>
        <w:ind w:firstLine="645"/>
        <w:textAlignment w:val="auto"/>
        <w:rPr>
          <w:rFonts w:hint="eastAsia" w:ascii="仿宋" w:hAnsi="仿宋" w:eastAsia="仿宋"/>
          <w:sz w:val="32"/>
          <w:szCs w:val="32"/>
        </w:rPr>
      </w:pPr>
      <w:r>
        <w:rPr>
          <w:rFonts w:hint="eastAsia" w:ascii="仿宋" w:hAnsi="仿宋" w:eastAsia="仿宋"/>
          <w:b/>
          <w:bCs/>
          <w:sz w:val="32"/>
          <w:szCs w:val="32"/>
        </w:rPr>
        <w:t>（六）社会保障和就业（类）其他社会保障和就业支出（款）其他社会保障和就业支出（项）:</w:t>
      </w:r>
      <w:r>
        <w:rPr>
          <w:rFonts w:hint="eastAsia" w:ascii="仿宋" w:hAnsi="仿宋" w:eastAsia="仿宋"/>
          <w:sz w:val="32"/>
          <w:szCs w:val="32"/>
        </w:rPr>
        <w:t>反映其他用于社会保障和就业方面的支出。</w:t>
      </w:r>
    </w:p>
    <w:p>
      <w:pPr>
        <w:keepNext w:val="0"/>
        <w:keepLines w:val="0"/>
        <w:pageBreakBefore w:val="0"/>
        <w:widowControl w:val="0"/>
        <w:kinsoku/>
        <w:wordWrap/>
        <w:overflowPunct/>
        <w:topLinePunct w:val="0"/>
        <w:autoSpaceDE/>
        <w:autoSpaceDN/>
        <w:bidi w:val="0"/>
        <w:spacing w:line="500" w:lineRule="exact"/>
        <w:ind w:firstLine="645"/>
        <w:textAlignment w:val="auto"/>
        <w:rPr>
          <w:rFonts w:hint="eastAsia" w:ascii="仿宋" w:hAnsi="仿宋" w:eastAsia="仿宋"/>
          <w:sz w:val="32"/>
          <w:szCs w:val="32"/>
        </w:rPr>
      </w:pPr>
      <w:r>
        <w:rPr>
          <w:rFonts w:hint="eastAsia" w:ascii="仿宋" w:hAnsi="仿宋" w:eastAsia="仿宋"/>
          <w:b/>
          <w:bCs/>
          <w:sz w:val="32"/>
          <w:szCs w:val="32"/>
        </w:rPr>
        <w:t>（七）社会保障和就业（类）行政事业单位离退休（款）机关事业单位基本养老保险缴费支出（项）:</w:t>
      </w:r>
      <w:r>
        <w:rPr>
          <w:rFonts w:hint="eastAsia" w:ascii="仿宋" w:hAnsi="仿宋" w:eastAsia="仿宋"/>
          <w:sz w:val="32"/>
          <w:szCs w:val="32"/>
        </w:rPr>
        <w:t>反映机关事业单位实施养老保险支付由单位缴纳的基本养老保险费支出。</w:t>
      </w:r>
    </w:p>
    <w:p>
      <w:pPr>
        <w:keepNext w:val="0"/>
        <w:keepLines w:val="0"/>
        <w:pageBreakBefore w:val="0"/>
        <w:widowControl w:val="0"/>
        <w:kinsoku/>
        <w:wordWrap/>
        <w:overflowPunct/>
        <w:topLinePunct w:val="0"/>
        <w:autoSpaceDE/>
        <w:autoSpaceDN/>
        <w:bidi w:val="0"/>
        <w:spacing w:line="500" w:lineRule="exact"/>
        <w:ind w:firstLine="645"/>
        <w:textAlignment w:val="auto"/>
        <w:rPr>
          <w:rFonts w:ascii="仿宋" w:hAnsi="仿宋" w:eastAsia="仿宋"/>
          <w:sz w:val="32"/>
          <w:szCs w:val="32"/>
        </w:rPr>
      </w:pPr>
      <w:r>
        <w:rPr>
          <w:rFonts w:hint="eastAsia" w:ascii="仿宋" w:hAnsi="仿宋" w:eastAsia="仿宋"/>
          <w:b/>
          <w:bCs/>
          <w:sz w:val="32"/>
          <w:szCs w:val="32"/>
        </w:rPr>
        <w:t>（八）社会保障和就业（类）行政事业单位离退休（款）机关事业单位职业年金缴费支出（项）:</w:t>
      </w:r>
      <w:r>
        <w:rPr>
          <w:rFonts w:hint="eastAsia" w:ascii="仿宋" w:hAnsi="仿宋" w:eastAsia="仿宋"/>
          <w:sz w:val="32"/>
          <w:szCs w:val="32"/>
        </w:rPr>
        <w:t>反映机关事业单位实施养老保险制度由单位实际缴纳的职业年金支出。</w:t>
      </w:r>
    </w:p>
    <w:p>
      <w:pPr>
        <w:keepNext w:val="0"/>
        <w:keepLines w:val="0"/>
        <w:pageBreakBefore w:val="0"/>
        <w:widowControl w:val="0"/>
        <w:kinsoku/>
        <w:wordWrap/>
        <w:overflowPunct/>
        <w:topLinePunct w:val="0"/>
        <w:autoSpaceDE/>
        <w:autoSpaceDN/>
        <w:bidi w:val="0"/>
        <w:spacing w:line="500" w:lineRule="exact"/>
        <w:ind w:firstLine="645"/>
        <w:textAlignment w:val="auto"/>
        <w:rPr>
          <w:rFonts w:hint="eastAsia" w:ascii="仿宋" w:hAnsi="仿宋" w:eastAsia="仿宋"/>
          <w:sz w:val="32"/>
          <w:szCs w:val="32"/>
        </w:rPr>
      </w:pPr>
      <w:r>
        <w:rPr>
          <w:rFonts w:hint="eastAsia" w:ascii="仿宋" w:hAnsi="仿宋" w:eastAsia="仿宋"/>
          <w:b/>
          <w:bCs/>
          <w:sz w:val="32"/>
          <w:szCs w:val="32"/>
        </w:rPr>
        <w:t>（九）医疗卫生与计划生育（类）医疗保障（款）行政单位医疗（项）: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spacing w:line="500" w:lineRule="exact"/>
        <w:ind w:firstLine="645"/>
        <w:textAlignment w:val="auto"/>
        <w:rPr>
          <w:rFonts w:hint="eastAsia" w:ascii="仿宋" w:hAnsi="仿宋" w:eastAsia="仿宋"/>
          <w:sz w:val="32"/>
          <w:szCs w:val="32"/>
        </w:rPr>
      </w:pPr>
      <w:r>
        <w:rPr>
          <w:rFonts w:hint="eastAsia" w:ascii="仿宋" w:hAnsi="仿宋" w:eastAsia="仿宋"/>
          <w:b/>
          <w:bCs/>
          <w:sz w:val="32"/>
          <w:szCs w:val="32"/>
        </w:rPr>
        <w:t>（十）医疗卫生与计划生育（类）行政事业单位医疗（款）其他行政事业单位医疗支出（项）:</w:t>
      </w:r>
      <w:r>
        <w:rPr>
          <w:rFonts w:hint="eastAsia" w:ascii="仿宋" w:hAnsi="仿宋" w:eastAsia="仿宋"/>
          <w:sz w:val="32"/>
          <w:szCs w:val="32"/>
        </w:rPr>
        <w:t>反映其他用于行政事业单位医疗方面的支出。</w:t>
      </w:r>
    </w:p>
    <w:p>
      <w:pPr>
        <w:keepNext w:val="0"/>
        <w:keepLines w:val="0"/>
        <w:pageBreakBefore w:val="0"/>
        <w:widowControl w:val="0"/>
        <w:kinsoku/>
        <w:wordWrap/>
        <w:overflowPunct/>
        <w:topLinePunct w:val="0"/>
        <w:autoSpaceDE/>
        <w:autoSpaceDN/>
        <w:bidi w:val="0"/>
        <w:spacing w:line="500" w:lineRule="exact"/>
        <w:ind w:firstLine="645"/>
        <w:textAlignment w:val="auto"/>
        <w:rPr>
          <w:rFonts w:hint="eastAsia" w:ascii="仿宋" w:hAnsi="仿宋" w:eastAsia="仿宋"/>
          <w:sz w:val="32"/>
          <w:szCs w:val="32"/>
        </w:rPr>
      </w:pPr>
      <w:r>
        <w:rPr>
          <w:rFonts w:hint="eastAsia" w:ascii="仿宋" w:hAnsi="仿宋" w:eastAsia="仿宋"/>
          <w:b/>
          <w:bCs/>
          <w:sz w:val="32"/>
          <w:szCs w:val="32"/>
        </w:rPr>
        <w:t>（十</w:t>
      </w:r>
      <w:r>
        <w:rPr>
          <w:rFonts w:hint="eastAsia" w:ascii="仿宋" w:hAnsi="仿宋" w:eastAsia="仿宋"/>
          <w:b/>
          <w:bCs/>
          <w:sz w:val="32"/>
          <w:szCs w:val="32"/>
          <w:lang w:eastAsia="zh-CN"/>
        </w:rPr>
        <w:t>一</w:t>
      </w:r>
      <w:r>
        <w:rPr>
          <w:rFonts w:hint="eastAsia" w:ascii="仿宋" w:hAnsi="仿宋" w:eastAsia="仿宋"/>
          <w:b/>
          <w:bCs/>
          <w:sz w:val="32"/>
          <w:szCs w:val="32"/>
        </w:rPr>
        <w:t>）住房保障支出（类）住房改革支出（款）住房公积金（项）: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反映行政事业单位按人力资源和社会保障部、财政部规定的基本工资和津贴补贴以及规定比例向职工缴纳住房公积金。</w:t>
      </w:r>
    </w:p>
    <w:p>
      <w:pPr>
        <w:keepNext w:val="0"/>
        <w:keepLines w:val="0"/>
        <w:pageBreakBefore w:val="0"/>
        <w:widowControl w:val="0"/>
        <w:kinsoku/>
        <w:wordWrap/>
        <w:overflowPunct/>
        <w:topLinePunct w:val="0"/>
        <w:autoSpaceDE/>
        <w:autoSpaceDN/>
        <w:bidi w:val="0"/>
        <w:spacing w:line="500" w:lineRule="exact"/>
        <w:ind w:firstLine="645"/>
        <w:textAlignment w:val="auto"/>
        <w:rPr>
          <w:rFonts w:hint="eastAsia" w:ascii="仿宋" w:hAnsi="仿宋" w:eastAsia="仿宋"/>
          <w:sz w:val="32"/>
          <w:szCs w:val="32"/>
        </w:rPr>
      </w:pPr>
      <w:r>
        <w:rPr>
          <w:rFonts w:hint="eastAsia" w:ascii="仿宋" w:hAnsi="仿宋" w:eastAsia="仿宋"/>
          <w:b/>
          <w:bCs/>
          <w:sz w:val="32"/>
          <w:szCs w:val="32"/>
        </w:rPr>
        <w:t>（十</w:t>
      </w:r>
      <w:r>
        <w:rPr>
          <w:rFonts w:hint="eastAsia" w:ascii="仿宋" w:hAnsi="仿宋" w:eastAsia="仿宋"/>
          <w:b/>
          <w:bCs/>
          <w:sz w:val="32"/>
          <w:szCs w:val="32"/>
          <w:lang w:eastAsia="zh-CN"/>
        </w:rPr>
        <w:t>二</w:t>
      </w:r>
      <w:r>
        <w:rPr>
          <w:rFonts w:hint="eastAsia" w:ascii="仿宋" w:hAnsi="仿宋" w:eastAsia="仿宋"/>
          <w:b/>
          <w:bCs/>
          <w:sz w:val="32"/>
          <w:szCs w:val="32"/>
        </w:rPr>
        <w:t>）机构运行经费：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spacing w:line="500" w:lineRule="exact"/>
        <w:ind w:firstLine="645"/>
        <w:textAlignment w:val="auto"/>
        <w:rPr>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ascii="仿宋" w:hAnsi="仿宋" w:eastAsia="仿宋"/>
          <w:b/>
          <w:sz w:val="32"/>
          <w:szCs w:val="32"/>
        </w:rPr>
      </w:pPr>
      <w:r>
        <w:rPr>
          <w:rFonts w:hint="eastAsia" w:ascii="仿宋" w:hAnsi="仿宋" w:eastAsia="仿宋"/>
          <w:b/>
          <w:sz w:val="32"/>
          <w:szCs w:val="32"/>
        </w:rPr>
        <w:t>附件：</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ascii="仿宋" w:hAnsi="仿宋" w:eastAsia="仿宋"/>
          <w:b/>
          <w:sz w:val="32"/>
          <w:szCs w:val="32"/>
        </w:rPr>
      </w:pPr>
      <w:r>
        <w:rPr>
          <w:rFonts w:hint="eastAsia" w:ascii="仿宋" w:hAnsi="仿宋" w:eastAsia="仿宋"/>
          <w:b/>
          <w:sz w:val="32"/>
          <w:szCs w:val="32"/>
        </w:rPr>
        <w:t>1. 罗江区科协202</w:t>
      </w:r>
      <w:r>
        <w:rPr>
          <w:rFonts w:hint="eastAsia" w:ascii="仿宋" w:hAnsi="仿宋" w:eastAsia="仿宋"/>
          <w:b/>
          <w:sz w:val="32"/>
          <w:szCs w:val="32"/>
          <w:lang w:val="en-US" w:eastAsia="zh-CN"/>
        </w:rPr>
        <w:t>4</w:t>
      </w:r>
      <w:r>
        <w:rPr>
          <w:rFonts w:hint="eastAsia" w:ascii="仿宋" w:hAnsi="仿宋" w:eastAsia="仿宋"/>
          <w:b/>
          <w:sz w:val="32"/>
          <w:szCs w:val="32"/>
        </w:rPr>
        <w:t xml:space="preserve">年部门预算公开表（见附件目录） </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ascii="仿宋" w:hAnsi="仿宋" w:eastAsia="仿宋"/>
          <w:b/>
          <w:sz w:val="32"/>
          <w:szCs w:val="32"/>
        </w:rPr>
      </w:pPr>
      <w:r>
        <w:rPr>
          <w:rFonts w:hint="eastAsia" w:ascii="仿宋" w:hAnsi="仿宋" w:eastAsia="仿宋"/>
          <w:b/>
          <w:sz w:val="32"/>
          <w:szCs w:val="32"/>
        </w:rPr>
        <w:t>2. 部门整体支出绩效目标公开表</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ascii="仿宋" w:hAnsi="仿宋" w:eastAsia="仿宋"/>
          <w:b/>
          <w:sz w:val="32"/>
          <w:szCs w:val="32"/>
        </w:rPr>
      </w:pPr>
      <w:r>
        <w:rPr>
          <w:rFonts w:hint="eastAsia" w:ascii="仿宋" w:hAnsi="仿宋" w:eastAsia="仿宋"/>
          <w:b/>
          <w:sz w:val="32"/>
          <w:szCs w:val="32"/>
        </w:rPr>
        <w:t>3. 部门预算项目支出绩效目标公开表</w:t>
      </w:r>
    </w:p>
    <w:p>
      <w:pPr>
        <w:keepNext w:val="0"/>
        <w:keepLines w:val="0"/>
        <w:pageBreakBefore w:val="0"/>
        <w:widowControl w:val="0"/>
        <w:kinsoku/>
        <w:wordWrap/>
        <w:overflowPunct/>
        <w:topLinePunct w:val="0"/>
        <w:autoSpaceDE/>
        <w:autoSpaceDN/>
        <w:bidi w:val="0"/>
        <w:spacing w:line="500" w:lineRule="exact"/>
        <w:jc w:val="center"/>
        <w:textAlignment w:val="auto"/>
        <w:rPr>
          <w:rFonts w:ascii="黑体" w:hAnsi="黑体" w:eastAsia="黑体" w:cs="黑体"/>
          <w:sz w:val="32"/>
          <w:szCs w:val="32"/>
        </w:rPr>
      </w:pPr>
    </w:p>
    <w:p>
      <w:pPr>
        <w:pStyle w:val="2"/>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sz w:val="32"/>
          <w:szCs w:val="32"/>
        </w:rPr>
      </w:pPr>
    </w:p>
    <w:p>
      <w:pPr>
        <w:spacing w:line="560" w:lineRule="exact"/>
        <w:jc w:val="center"/>
        <w:rPr>
          <w:rFonts w:ascii="黑体" w:hAnsi="黑体" w:eastAsia="黑体" w:cs="黑体"/>
          <w:b/>
          <w:sz w:val="36"/>
          <w:szCs w:val="36"/>
        </w:rPr>
      </w:pPr>
      <w:r>
        <w:rPr>
          <w:rFonts w:hint="eastAsia" w:ascii="黑体" w:hAnsi="黑体" w:eastAsia="黑体" w:cs="黑体"/>
          <w:b/>
          <w:sz w:val="36"/>
          <w:szCs w:val="36"/>
        </w:rPr>
        <w:t>202</w:t>
      </w:r>
      <w:r>
        <w:rPr>
          <w:rFonts w:hint="eastAsia" w:ascii="黑体" w:hAnsi="黑体" w:eastAsia="黑体" w:cs="黑体"/>
          <w:b/>
          <w:sz w:val="36"/>
          <w:szCs w:val="36"/>
          <w:lang w:val="en-US" w:eastAsia="zh-CN"/>
        </w:rPr>
        <w:t>4</w:t>
      </w:r>
      <w:r>
        <w:rPr>
          <w:rFonts w:hint="eastAsia" w:ascii="黑体" w:hAnsi="黑体" w:eastAsia="黑体" w:cs="黑体"/>
          <w:b/>
          <w:sz w:val="36"/>
          <w:szCs w:val="36"/>
        </w:rPr>
        <w:t>年部门预算公开表目录</w:t>
      </w:r>
    </w:p>
    <w:p>
      <w:pPr>
        <w:pStyle w:val="15"/>
      </w:pPr>
    </w:p>
    <w:p>
      <w:pPr>
        <w:numPr>
          <w:ilvl w:val="0"/>
          <w:numId w:val="1"/>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部门收支总表</w:t>
      </w:r>
    </w:p>
    <w:p>
      <w:pPr>
        <w:numPr>
          <w:ilvl w:val="1"/>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部门收入总表</w:t>
      </w:r>
    </w:p>
    <w:p>
      <w:pPr>
        <w:numPr>
          <w:ilvl w:val="1"/>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部门支出总表</w:t>
      </w:r>
    </w:p>
    <w:p>
      <w:pPr>
        <w:numPr>
          <w:ilvl w:val="0"/>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财政拨款收支预算总表</w:t>
      </w:r>
    </w:p>
    <w:p>
      <w:pPr>
        <w:numPr>
          <w:ilvl w:val="1"/>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财政拨款支出预算表（</w:t>
      </w:r>
      <w:r>
        <w:rPr>
          <w:rFonts w:hint="eastAsia" w:ascii="仿宋" w:hAnsi="仿宋" w:eastAsia="仿宋"/>
          <w:b/>
          <w:sz w:val="32"/>
          <w:szCs w:val="32"/>
          <w:lang w:eastAsia="zh-CN"/>
        </w:rPr>
        <w:t>部门</w:t>
      </w:r>
      <w:r>
        <w:rPr>
          <w:rFonts w:hint="eastAsia" w:ascii="仿宋" w:hAnsi="仿宋" w:eastAsia="仿宋"/>
          <w:b/>
          <w:sz w:val="32"/>
          <w:szCs w:val="32"/>
        </w:rPr>
        <w:t>经济分类科目）</w:t>
      </w:r>
    </w:p>
    <w:p>
      <w:pPr>
        <w:numPr>
          <w:ilvl w:val="0"/>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一般公共预算支出预算表</w:t>
      </w:r>
    </w:p>
    <w:p>
      <w:pPr>
        <w:numPr>
          <w:ilvl w:val="1"/>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一般公共预算基本支出预算表</w:t>
      </w:r>
    </w:p>
    <w:p>
      <w:pPr>
        <w:numPr>
          <w:ilvl w:val="1"/>
          <w:numId w:val="2"/>
        </w:numPr>
        <w:spacing w:line="560" w:lineRule="exact"/>
        <w:ind w:left="0" w:leftChars="0" w:firstLine="482" w:firstLineChars="150"/>
        <w:jc w:val="left"/>
        <w:rPr>
          <w:rFonts w:ascii="仿宋" w:hAnsi="仿宋" w:eastAsia="仿宋"/>
          <w:b/>
          <w:sz w:val="32"/>
          <w:szCs w:val="32"/>
        </w:rPr>
      </w:pPr>
      <w:r>
        <w:rPr>
          <w:rFonts w:ascii="仿宋" w:hAnsi="仿宋" w:eastAsia="仿宋"/>
          <w:b/>
          <w:sz w:val="32"/>
          <w:szCs w:val="32"/>
        </w:rPr>
        <w:t>一般公共预算项目支出预算表</w:t>
      </w:r>
    </w:p>
    <w:p>
      <w:pPr>
        <w:numPr>
          <w:ilvl w:val="1"/>
          <w:numId w:val="2"/>
        </w:numPr>
        <w:spacing w:line="560" w:lineRule="exact"/>
        <w:ind w:left="0" w:leftChars="0" w:firstLine="482" w:firstLineChars="150"/>
        <w:jc w:val="left"/>
        <w:rPr>
          <w:rFonts w:ascii="仿宋" w:hAnsi="仿宋" w:eastAsia="仿宋"/>
          <w:b/>
          <w:sz w:val="32"/>
          <w:szCs w:val="32"/>
        </w:rPr>
      </w:pPr>
      <w:r>
        <w:rPr>
          <w:rFonts w:ascii="仿宋" w:hAnsi="仿宋" w:eastAsia="仿宋"/>
          <w:b/>
          <w:sz w:val="32"/>
          <w:szCs w:val="32"/>
        </w:rPr>
        <w:t>一般公共预算“三公”经费支出预算表</w:t>
      </w:r>
    </w:p>
    <w:p>
      <w:pPr>
        <w:numPr>
          <w:ilvl w:val="0"/>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政府性基金支出预算表</w:t>
      </w:r>
    </w:p>
    <w:p>
      <w:pPr>
        <w:numPr>
          <w:ilvl w:val="1"/>
          <w:numId w:val="2"/>
        </w:numPr>
        <w:spacing w:line="560" w:lineRule="exact"/>
        <w:ind w:left="0" w:leftChars="0" w:firstLine="482" w:firstLineChars="150"/>
        <w:jc w:val="left"/>
        <w:rPr>
          <w:rFonts w:ascii="仿宋" w:hAnsi="仿宋" w:eastAsia="仿宋"/>
          <w:b/>
          <w:sz w:val="32"/>
          <w:szCs w:val="32"/>
        </w:rPr>
      </w:pPr>
      <w:r>
        <w:rPr>
          <w:rFonts w:ascii="仿宋" w:hAnsi="仿宋" w:eastAsia="仿宋"/>
          <w:b/>
          <w:sz w:val="32"/>
          <w:szCs w:val="32"/>
        </w:rPr>
        <w:t>政府性基金预算“三公”经费支出预算表</w:t>
      </w:r>
    </w:p>
    <w:p>
      <w:pPr>
        <w:numPr>
          <w:ilvl w:val="0"/>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国有资本经营预算支出预算表</w:t>
      </w:r>
    </w:p>
    <w:p>
      <w:pPr>
        <w:numPr>
          <w:ilvl w:val="0"/>
          <w:numId w:val="2"/>
        </w:numPr>
        <w:spacing w:line="560" w:lineRule="exact"/>
        <w:ind w:left="0" w:leftChars="0" w:firstLine="482" w:firstLineChars="150"/>
        <w:jc w:val="left"/>
        <w:rPr>
          <w:rFonts w:ascii="仿宋" w:hAnsi="仿宋" w:eastAsia="仿宋"/>
          <w:b/>
          <w:sz w:val="32"/>
          <w:szCs w:val="32"/>
        </w:rPr>
      </w:pPr>
      <w:r>
        <w:rPr>
          <w:rFonts w:ascii="仿宋" w:hAnsi="仿宋" w:eastAsia="仿宋"/>
          <w:b/>
          <w:sz w:val="32"/>
          <w:szCs w:val="32"/>
        </w:rPr>
        <w:t>202</w:t>
      </w:r>
      <w:r>
        <w:rPr>
          <w:rFonts w:hint="eastAsia" w:ascii="仿宋" w:hAnsi="仿宋" w:eastAsia="仿宋"/>
          <w:b/>
          <w:sz w:val="32"/>
          <w:szCs w:val="32"/>
          <w:lang w:val="en-US" w:eastAsia="zh-CN"/>
        </w:rPr>
        <w:t>4</w:t>
      </w:r>
      <w:r>
        <w:rPr>
          <w:rFonts w:ascii="仿宋" w:hAnsi="仿宋" w:eastAsia="仿宋"/>
          <w:b/>
          <w:sz w:val="32"/>
          <w:szCs w:val="32"/>
        </w:rPr>
        <w:t>年部门预算项目绩效目标（部门预算）</w:t>
      </w:r>
    </w:p>
    <w:p>
      <w:pPr>
        <w:numPr>
          <w:ilvl w:val="1"/>
          <w:numId w:val="2"/>
        </w:numPr>
        <w:spacing w:line="560" w:lineRule="exact"/>
        <w:ind w:left="0" w:leftChars="0" w:firstLine="482" w:firstLineChars="150"/>
        <w:jc w:val="left"/>
        <w:rPr>
          <w:rFonts w:ascii="仿宋" w:hAnsi="仿宋" w:eastAsia="仿宋"/>
          <w:b/>
          <w:sz w:val="32"/>
          <w:szCs w:val="32"/>
        </w:rPr>
      </w:pPr>
      <w:r>
        <w:rPr>
          <w:rFonts w:hint="eastAsia" w:ascii="仿宋" w:hAnsi="仿宋" w:eastAsia="仿宋"/>
          <w:b/>
          <w:sz w:val="32"/>
          <w:szCs w:val="32"/>
        </w:rPr>
        <w:t>政府预算基本支出表</w:t>
      </w:r>
    </w:p>
    <w:p>
      <w:pPr>
        <w:numPr>
          <w:ilvl w:val="1"/>
          <w:numId w:val="2"/>
        </w:numPr>
        <w:spacing w:line="560" w:lineRule="exact"/>
        <w:ind w:left="0" w:leftChars="0" w:firstLine="482" w:firstLineChars="150"/>
        <w:jc w:val="left"/>
        <w:rPr>
          <w:rFonts w:ascii="仿宋" w:hAnsi="仿宋" w:eastAsia="仿宋"/>
          <w:b/>
          <w:sz w:val="32"/>
          <w:szCs w:val="32"/>
        </w:rPr>
      </w:pPr>
      <w:r>
        <w:rPr>
          <w:rFonts w:ascii="仿宋" w:hAnsi="仿宋" w:eastAsia="仿宋"/>
          <w:b/>
          <w:sz w:val="32"/>
          <w:szCs w:val="32"/>
        </w:rPr>
        <w:t>政府预算项目支出表</w:t>
      </w:r>
    </w:p>
    <w:p>
      <w:pPr>
        <w:spacing w:line="540" w:lineRule="exact"/>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E2ZDUxNTQ3YWZhMzk5MjJmZWFiMDY1YmRkOTg3NzMifQ=="/>
  </w:docVars>
  <w:rsids>
    <w:rsidRoot w:val="004E4A63"/>
    <w:rsid w:val="0001797E"/>
    <w:rsid w:val="0002464B"/>
    <w:rsid w:val="000332B9"/>
    <w:rsid w:val="000456DC"/>
    <w:rsid w:val="00045B92"/>
    <w:rsid w:val="0009401F"/>
    <w:rsid w:val="00096360"/>
    <w:rsid w:val="000A2E34"/>
    <w:rsid w:val="000B392A"/>
    <w:rsid w:val="000B716B"/>
    <w:rsid w:val="000B7786"/>
    <w:rsid w:val="000C160D"/>
    <w:rsid w:val="000E4E13"/>
    <w:rsid w:val="000E7281"/>
    <w:rsid w:val="000F416F"/>
    <w:rsid w:val="000F500E"/>
    <w:rsid w:val="00107748"/>
    <w:rsid w:val="00107AF7"/>
    <w:rsid w:val="00110A59"/>
    <w:rsid w:val="00140364"/>
    <w:rsid w:val="00142C25"/>
    <w:rsid w:val="00145BC4"/>
    <w:rsid w:val="00145F87"/>
    <w:rsid w:val="00162CB0"/>
    <w:rsid w:val="00183422"/>
    <w:rsid w:val="00185C9D"/>
    <w:rsid w:val="001A5E61"/>
    <w:rsid w:val="001E2778"/>
    <w:rsid w:val="001F59C4"/>
    <w:rsid w:val="00202A4E"/>
    <w:rsid w:val="002235CA"/>
    <w:rsid w:val="00232ADE"/>
    <w:rsid w:val="0024323B"/>
    <w:rsid w:val="00245794"/>
    <w:rsid w:val="002912FE"/>
    <w:rsid w:val="002926FE"/>
    <w:rsid w:val="002B266F"/>
    <w:rsid w:val="002B7F14"/>
    <w:rsid w:val="002D17ED"/>
    <w:rsid w:val="002D38FD"/>
    <w:rsid w:val="002E0A67"/>
    <w:rsid w:val="002F17D2"/>
    <w:rsid w:val="002F6687"/>
    <w:rsid w:val="00301D7E"/>
    <w:rsid w:val="00312354"/>
    <w:rsid w:val="00325291"/>
    <w:rsid w:val="00325A17"/>
    <w:rsid w:val="00333843"/>
    <w:rsid w:val="00336B03"/>
    <w:rsid w:val="003558AC"/>
    <w:rsid w:val="00363AC0"/>
    <w:rsid w:val="003726AB"/>
    <w:rsid w:val="00380368"/>
    <w:rsid w:val="00382FE6"/>
    <w:rsid w:val="0039365C"/>
    <w:rsid w:val="003959C9"/>
    <w:rsid w:val="003B021E"/>
    <w:rsid w:val="003B5626"/>
    <w:rsid w:val="003C7D06"/>
    <w:rsid w:val="003D6BCC"/>
    <w:rsid w:val="00414757"/>
    <w:rsid w:val="00424BC8"/>
    <w:rsid w:val="00431D0B"/>
    <w:rsid w:val="004705E2"/>
    <w:rsid w:val="00486106"/>
    <w:rsid w:val="00496583"/>
    <w:rsid w:val="004A7A0B"/>
    <w:rsid w:val="004B52FA"/>
    <w:rsid w:val="004C4D5E"/>
    <w:rsid w:val="004D53A9"/>
    <w:rsid w:val="004D6D26"/>
    <w:rsid w:val="004D7716"/>
    <w:rsid w:val="004E4A63"/>
    <w:rsid w:val="004F1E8C"/>
    <w:rsid w:val="00504316"/>
    <w:rsid w:val="00506C5E"/>
    <w:rsid w:val="0051133A"/>
    <w:rsid w:val="00522BF6"/>
    <w:rsid w:val="0052352B"/>
    <w:rsid w:val="005259C6"/>
    <w:rsid w:val="005275D4"/>
    <w:rsid w:val="00533649"/>
    <w:rsid w:val="00550C45"/>
    <w:rsid w:val="00552EF7"/>
    <w:rsid w:val="00553968"/>
    <w:rsid w:val="00562665"/>
    <w:rsid w:val="00563314"/>
    <w:rsid w:val="00567259"/>
    <w:rsid w:val="00597632"/>
    <w:rsid w:val="005A0F05"/>
    <w:rsid w:val="005B45A6"/>
    <w:rsid w:val="005B78D3"/>
    <w:rsid w:val="005C456F"/>
    <w:rsid w:val="005E5300"/>
    <w:rsid w:val="00603D03"/>
    <w:rsid w:val="006108E3"/>
    <w:rsid w:val="00621072"/>
    <w:rsid w:val="00621BAC"/>
    <w:rsid w:val="00640CC1"/>
    <w:rsid w:val="0064720A"/>
    <w:rsid w:val="00674D31"/>
    <w:rsid w:val="00691266"/>
    <w:rsid w:val="006958C4"/>
    <w:rsid w:val="006E2E61"/>
    <w:rsid w:val="006F1A3B"/>
    <w:rsid w:val="006F2DFB"/>
    <w:rsid w:val="006F4CB6"/>
    <w:rsid w:val="00715FBE"/>
    <w:rsid w:val="007225E2"/>
    <w:rsid w:val="00722885"/>
    <w:rsid w:val="007365C4"/>
    <w:rsid w:val="00745FEA"/>
    <w:rsid w:val="007607B4"/>
    <w:rsid w:val="00783115"/>
    <w:rsid w:val="00792473"/>
    <w:rsid w:val="007A4645"/>
    <w:rsid w:val="007C0BB5"/>
    <w:rsid w:val="007E345F"/>
    <w:rsid w:val="0080120E"/>
    <w:rsid w:val="008364B3"/>
    <w:rsid w:val="00837CD8"/>
    <w:rsid w:val="00846F0A"/>
    <w:rsid w:val="00870C1F"/>
    <w:rsid w:val="008A2801"/>
    <w:rsid w:val="008A538F"/>
    <w:rsid w:val="008B1E02"/>
    <w:rsid w:val="008F6F65"/>
    <w:rsid w:val="008F70DC"/>
    <w:rsid w:val="009049CB"/>
    <w:rsid w:val="00914ED4"/>
    <w:rsid w:val="0092624D"/>
    <w:rsid w:val="00933755"/>
    <w:rsid w:val="009439CE"/>
    <w:rsid w:val="00957862"/>
    <w:rsid w:val="0098576C"/>
    <w:rsid w:val="00985AC8"/>
    <w:rsid w:val="009A00FA"/>
    <w:rsid w:val="009A6CB0"/>
    <w:rsid w:val="009B48E0"/>
    <w:rsid w:val="009B76D5"/>
    <w:rsid w:val="009D554C"/>
    <w:rsid w:val="009D7684"/>
    <w:rsid w:val="00A0001C"/>
    <w:rsid w:val="00A04AF2"/>
    <w:rsid w:val="00A05276"/>
    <w:rsid w:val="00A107BA"/>
    <w:rsid w:val="00A13682"/>
    <w:rsid w:val="00A35376"/>
    <w:rsid w:val="00A35F1B"/>
    <w:rsid w:val="00A40DF8"/>
    <w:rsid w:val="00A42783"/>
    <w:rsid w:val="00A46B69"/>
    <w:rsid w:val="00A472AA"/>
    <w:rsid w:val="00A5551E"/>
    <w:rsid w:val="00A60A56"/>
    <w:rsid w:val="00AA0482"/>
    <w:rsid w:val="00AC00BF"/>
    <w:rsid w:val="00AE473D"/>
    <w:rsid w:val="00AF5DAC"/>
    <w:rsid w:val="00B10247"/>
    <w:rsid w:val="00B102B3"/>
    <w:rsid w:val="00B161EF"/>
    <w:rsid w:val="00B31AC0"/>
    <w:rsid w:val="00B32882"/>
    <w:rsid w:val="00B34EE9"/>
    <w:rsid w:val="00B376D6"/>
    <w:rsid w:val="00B4107D"/>
    <w:rsid w:val="00B511F6"/>
    <w:rsid w:val="00B543D8"/>
    <w:rsid w:val="00B54A6F"/>
    <w:rsid w:val="00B61D6E"/>
    <w:rsid w:val="00B6622E"/>
    <w:rsid w:val="00B667FF"/>
    <w:rsid w:val="00B712EF"/>
    <w:rsid w:val="00B74FE8"/>
    <w:rsid w:val="00B8017A"/>
    <w:rsid w:val="00B900FA"/>
    <w:rsid w:val="00BA3CC6"/>
    <w:rsid w:val="00BA485C"/>
    <w:rsid w:val="00BB2031"/>
    <w:rsid w:val="00BB3812"/>
    <w:rsid w:val="00BD5D28"/>
    <w:rsid w:val="00BD7C8D"/>
    <w:rsid w:val="00BF7F1A"/>
    <w:rsid w:val="00C06799"/>
    <w:rsid w:val="00C067C1"/>
    <w:rsid w:val="00C07888"/>
    <w:rsid w:val="00C12E51"/>
    <w:rsid w:val="00C320F6"/>
    <w:rsid w:val="00C71ADD"/>
    <w:rsid w:val="00C817A8"/>
    <w:rsid w:val="00C96FDA"/>
    <w:rsid w:val="00CA6FA7"/>
    <w:rsid w:val="00CC3B2A"/>
    <w:rsid w:val="00CC70A9"/>
    <w:rsid w:val="00CE3313"/>
    <w:rsid w:val="00CF55FB"/>
    <w:rsid w:val="00CF7F84"/>
    <w:rsid w:val="00D04473"/>
    <w:rsid w:val="00D14665"/>
    <w:rsid w:val="00D16713"/>
    <w:rsid w:val="00D50F62"/>
    <w:rsid w:val="00D576C0"/>
    <w:rsid w:val="00D77F8E"/>
    <w:rsid w:val="00D90FF4"/>
    <w:rsid w:val="00DB1735"/>
    <w:rsid w:val="00DC34F5"/>
    <w:rsid w:val="00DD62CD"/>
    <w:rsid w:val="00DE3856"/>
    <w:rsid w:val="00DF1243"/>
    <w:rsid w:val="00E10C2D"/>
    <w:rsid w:val="00E132C9"/>
    <w:rsid w:val="00E169FC"/>
    <w:rsid w:val="00E977B6"/>
    <w:rsid w:val="00EB36FE"/>
    <w:rsid w:val="00ED5C89"/>
    <w:rsid w:val="00EE23D3"/>
    <w:rsid w:val="00F000F9"/>
    <w:rsid w:val="00F20141"/>
    <w:rsid w:val="00F264D8"/>
    <w:rsid w:val="00F473EF"/>
    <w:rsid w:val="00F82785"/>
    <w:rsid w:val="00F9257D"/>
    <w:rsid w:val="00FD2791"/>
    <w:rsid w:val="00FD2F29"/>
    <w:rsid w:val="01931A7A"/>
    <w:rsid w:val="01C952E1"/>
    <w:rsid w:val="02964E10"/>
    <w:rsid w:val="04052CFF"/>
    <w:rsid w:val="04F217BD"/>
    <w:rsid w:val="04F24718"/>
    <w:rsid w:val="05121E5F"/>
    <w:rsid w:val="05451103"/>
    <w:rsid w:val="05D17E3D"/>
    <w:rsid w:val="05DD246D"/>
    <w:rsid w:val="0619453E"/>
    <w:rsid w:val="08F86B1F"/>
    <w:rsid w:val="092E2FE0"/>
    <w:rsid w:val="09546F1F"/>
    <w:rsid w:val="095A2027"/>
    <w:rsid w:val="09795C5D"/>
    <w:rsid w:val="09C91CD1"/>
    <w:rsid w:val="09DC47EA"/>
    <w:rsid w:val="0B3317CD"/>
    <w:rsid w:val="0B666A61"/>
    <w:rsid w:val="0C3C3C66"/>
    <w:rsid w:val="0CBC3A4D"/>
    <w:rsid w:val="0CF87B8D"/>
    <w:rsid w:val="0CFE2CC9"/>
    <w:rsid w:val="0E4A44F6"/>
    <w:rsid w:val="0EC00B7E"/>
    <w:rsid w:val="0F557518"/>
    <w:rsid w:val="0F8A6A96"/>
    <w:rsid w:val="0FBF496B"/>
    <w:rsid w:val="0FEF3091"/>
    <w:rsid w:val="102751B9"/>
    <w:rsid w:val="10E5667A"/>
    <w:rsid w:val="12280F14"/>
    <w:rsid w:val="12FC574E"/>
    <w:rsid w:val="13522181"/>
    <w:rsid w:val="139C732D"/>
    <w:rsid w:val="139D431D"/>
    <w:rsid w:val="13CD7229"/>
    <w:rsid w:val="15F42F09"/>
    <w:rsid w:val="16632821"/>
    <w:rsid w:val="172C5003"/>
    <w:rsid w:val="177443E1"/>
    <w:rsid w:val="179F042B"/>
    <w:rsid w:val="183520A7"/>
    <w:rsid w:val="186C26F2"/>
    <w:rsid w:val="18C0569A"/>
    <w:rsid w:val="1A126BA5"/>
    <w:rsid w:val="1A8B57AF"/>
    <w:rsid w:val="1CB57848"/>
    <w:rsid w:val="1CD73FEB"/>
    <w:rsid w:val="1E671D39"/>
    <w:rsid w:val="1F15640C"/>
    <w:rsid w:val="1FCE268A"/>
    <w:rsid w:val="21B225A8"/>
    <w:rsid w:val="22280ABD"/>
    <w:rsid w:val="2234120F"/>
    <w:rsid w:val="22BB6735"/>
    <w:rsid w:val="22DB4B84"/>
    <w:rsid w:val="236D2C2B"/>
    <w:rsid w:val="23F23130"/>
    <w:rsid w:val="2446522A"/>
    <w:rsid w:val="24DE1906"/>
    <w:rsid w:val="251A0B90"/>
    <w:rsid w:val="25572ED2"/>
    <w:rsid w:val="256B13EC"/>
    <w:rsid w:val="270C4509"/>
    <w:rsid w:val="2714160F"/>
    <w:rsid w:val="272C65E4"/>
    <w:rsid w:val="27392FFB"/>
    <w:rsid w:val="27665AE0"/>
    <w:rsid w:val="27F45F34"/>
    <w:rsid w:val="28327F9F"/>
    <w:rsid w:val="28884063"/>
    <w:rsid w:val="29C634DB"/>
    <w:rsid w:val="2A045450"/>
    <w:rsid w:val="2AF01D5C"/>
    <w:rsid w:val="2AF33896"/>
    <w:rsid w:val="2AF7102C"/>
    <w:rsid w:val="2C2977BD"/>
    <w:rsid w:val="2C45448E"/>
    <w:rsid w:val="2CBD72B2"/>
    <w:rsid w:val="2D08360C"/>
    <w:rsid w:val="2D852A7C"/>
    <w:rsid w:val="2DA03008"/>
    <w:rsid w:val="2DD41AF8"/>
    <w:rsid w:val="2DE55AB4"/>
    <w:rsid w:val="2E5549E7"/>
    <w:rsid w:val="2E822D79"/>
    <w:rsid w:val="2FA66CD5"/>
    <w:rsid w:val="2FC00586"/>
    <w:rsid w:val="30DF67EA"/>
    <w:rsid w:val="3139239E"/>
    <w:rsid w:val="31AD0696"/>
    <w:rsid w:val="31B1462B"/>
    <w:rsid w:val="31D31FAF"/>
    <w:rsid w:val="331035D3"/>
    <w:rsid w:val="33322907"/>
    <w:rsid w:val="35246EC1"/>
    <w:rsid w:val="35957DBF"/>
    <w:rsid w:val="36F154C9"/>
    <w:rsid w:val="372C4753"/>
    <w:rsid w:val="378D6FA0"/>
    <w:rsid w:val="37D44BCF"/>
    <w:rsid w:val="37FA383B"/>
    <w:rsid w:val="3A1419BC"/>
    <w:rsid w:val="3ADF391F"/>
    <w:rsid w:val="3AFD268F"/>
    <w:rsid w:val="3B2E716D"/>
    <w:rsid w:val="3BAE1E2A"/>
    <w:rsid w:val="3C741E04"/>
    <w:rsid w:val="3C8E6093"/>
    <w:rsid w:val="3CEA09F1"/>
    <w:rsid w:val="3DDE5B6B"/>
    <w:rsid w:val="3E006951"/>
    <w:rsid w:val="3E9258B0"/>
    <w:rsid w:val="3EBB5721"/>
    <w:rsid w:val="3F63335F"/>
    <w:rsid w:val="3FB81CE7"/>
    <w:rsid w:val="405655A4"/>
    <w:rsid w:val="407D54F4"/>
    <w:rsid w:val="407F3B46"/>
    <w:rsid w:val="424B1F31"/>
    <w:rsid w:val="42991D01"/>
    <w:rsid w:val="42C43A92"/>
    <w:rsid w:val="43E31666"/>
    <w:rsid w:val="44703228"/>
    <w:rsid w:val="44E1584B"/>
    <w:rsid w:val="450F0328"/>
    <w:rsid w:val="45417301"/>
    <w:rsid w:val="456C7D60"/>
    <w:rsid w:val="45C8265F"/>
    <w:rsid w:val="46067B51"/>
    <w:rsid w:val="46177843"/>
    <w:rsid w:val="463D6035"/>
    <w:rsid w:val="47863A0C"/>
    <w:rsid w:val="47DE7A9B"/>
    <w:rsid w:val="480706A9"/>
    <w:rsid w:val="48F7696F"/>
    <w:rsid w:val="4A056E6A"/>
    <w:rsid w:val="4A463ED2"/>
    <w:rsid w:val="4AE20DC4"/>
    <w:rsid w:val="4AF26BFF"/>
    <w:rsid w:val="4B680DE0"/>
    <w:rsid w:val="4B6B52CF"/>
    <w:rsid w:val="4B814C16"/>
    <w:rsid w:val="4BA92A18"/>
    <w:rsid w:val="4BAD77B9"/>
    <w:rsid w:val="4C9D4CE3"/>
    <w:rsid w:val="4E311390"/>
    <w:rsid w:val="4F730D1A"/>
    <w:rsid w:val="5020457D"/>
    <w:rsid w:val="504242F5"/>
    <w:rsid w:val="51E01673"/>
    <w:rsid w:val="52320A18"/>
    <w:rsid w:val="52350508"/>
    <w:rsid w:val="542B792A"/>
    <w:rsid w:val="544D38E7"/>
    <w:rsid w:val="54A24134"/>
    <w:rsid w:val="54F80ED4"/>
    <w:rsid w:val="553336BC"/>
    <w:rsid w:val="55586ED4"/>
    <w:rsid w:val="55830BDE"/>
    <w:rsid w:val="56206DD9"/>
    <w:rsid w:val="57032983"/>
    <w:rsid w:val="57FC0FD5"/>
    <w:rsid w:val="59657925"/>
    <w:rsid w:val="59B7350B"/>
    <w:rsid w:val="5A7C782C"/>
    <w:rsid w:val="5ADB18B3"/>
    <w:rsid w:val="5B987D76"/>
    <w:rsid w:val="5BC22E0D"/>
    <w:rsid w:val="5BD91F04"/>
    <w:rsid w:val="5D3E50CC"/>
    <w:rsid w:val="5D731EE5"/>
    <w:rsid w:val="5D845EA0"/>
    <w:rsid w:val="5E08087F"/>
    <w:rsid w:val="5E79177D"/>
    <w:rsid w:val="5F1E02F3"/>
    <w:rsid w:val="5F5A7A74"/>
    <w:rsid w:val="60312ACE"/>
    <w:rsid w:val="607626F7"/>
    <w:rsid w:val="6094681F"/>
    <w:rsid w:val="60956D42"/>
    <w:rsid w:val="60A41700"/>
    <w:rsid w:val="60FB0B6F"/>
    <w:rsid w:val="610C3B60"/>
    <w:rsid w:val="614C6A47"/>
    <w:rsid w:val="61926DDD"/>
    <w:rsid w:val="622F6BEA"/>
    <w:rsid w:val="62CA754C"/>
    <w:rsid w:val="631577BF"/>
    <w:rsid w:val="636E22C5"/>
    <w:rsid w:val="64CB51E9"/>
    <w:rsid w:val="64EF1AB6"/>
    <w:rsid w:val="65475206"/>
    <w:rsid w:val="65493C57"/>
    <w:rsid w:val="65543B3B"/>
    <w:rsid w:val="655D3BA6"/>
    <w:rsid w:val="667E0D3E"/>
    <w:rsid w:val="66C525BA"/>
    <w:rsid w:val="66DA2F7E"/>
    <w:rsid w:val="670646D3"/>
    <w:rsid w:val="676B4BF4"/>
    <w:rsid w:val="67966EFB"/>
    <w:rsid w:val="68192441"/>
    <w:rsid w:val="69307084"/>
    <w:rsid w:val="69715E72"/>
    <w:rsid w:val="6A415844"/>
    <w:rsid w:val="6ABA10B8"/>
    <w:rsid w:val="6C486000"/>
    <w:rsid w:val="6C8934D3"/>
    <w:rsid w:val="6CD9556E"/>
    <w:rsid w:val="6D0843F7"/>
    <w:rsid w:val="6D7A449B"/>
    <w:rsid w:val="6E8C3B19"/>
    <w:rsid w:val="6F327E52"/>
    <w:rsid w:val="6F3B4F58"/>
    <w:rsid w:val="6F9D54EF"/>
    <w:rsid w:val="6FBB1BF5"/>
    <w:rsid w:val="6FDF5568"/>
    <w:rsid w:val="6FE25FBC"/>
    <w:rsid w:val="708E44BF"/>
    <w:rsid w:val="710C1C35"/>
    <w:rsid w:val="71824F76"/>
    <w:rsid w:val="72514E94"/>
    <w:rsid w:val="733E5017"/>
    <w:rsid w:val="73A34E7A"/>
    <w:rsid w:val="74024296"/>
    <w:rsid w:val="740C0203"/>
    <w:rsid w:val="74495541"/>
    <w:rsid w:val="74855128"/>
    <w:rsid w:val="7501454E"/>
    <w:rsid w:val="75485793"/>
    <w:rsid w:val="757D3F42"/>
    <w:rsid w:val="757E1C20"/>
    <w:rsid w:val="75ED062E"/>
    <w:rsid w:val="75EF505F"/>
    <w:rsid w:val="77103EEA"/>
    <w:rsid w:val="77210C15"/>
    <w:rsid w:val="775B5A6C"/>
    <w:rsid w:val="7791148D"/>
    <w:rsid w:val="78906189"/>
    <w:rsid w:val="78E421BD"/>
    <w:rsid w:val="796E5F2A"/>
    <w:rsid w:val="79901CF2"/>
    <w:rsid w:val="7A025C39"/>
    <w:rsid w:val="7A49604F"/>
    <w:rsid w:val="7B0E0539"/>
    <w:rsid w:val="7B3570A6"/>
    <w:rsid w:val="7BB61945"/>
    <w:rsid w:val="7C797C68"/>
    <w:rsid w:val="7D16490F"/>
    <w:rsid w:val="7D9E5546"/>
    <w:rsid w:val="7E1075B0"/>
    <w:rsid w:val="7F175441"/>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3"/>
    <w:autoRedefine/>
    <w:qFormat/>
    <w:uiPriority w:val="0"/>
    <w:pPr>
      <w:spacing w:beforeLines="30"/>
    </w:pPr>
    <w:rPr>
      <w:rFonts w:ascii="仿宋_GB2312" w:eastAsia="仿宋_GB2312"/>
      <w:sz w:val="30"/>
    </w:rPr>
  </w:style>
  <w:style w:type="paragraph" w:styleId="3">
    <w:name w:val="Body Text First Indent"/>
    <w:basedOn w:val="2"/>
    <w:autoRedefine/>
    <w:unhideWhenUsed/>
    <w:qFormat/>
    <w:uiPriority w:val="99"/>
    <w:pPr>
      <w:ind w:firstLine="420" w:firstLineChars="100"/>
    </w:pPr>
  </w:style>
  <w:style w:type="paragraph" w:styleId="4">
    <w:name w:val="footer"/>
    <w:basedOn w:val="1"/>
    <w:link w:val="12"/>
    <w:autoRedefine/>
    <w:unhideWhenUsed/>
    <w:qFormat/>
    <w:uiPriority w:val="0"/>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bCs/>
    </w:rPr>
  </w:style>
  <w:style w:type="character" w:styleId="9">
    <w:name w:val="Emphasis"/>
    <w:basedOn w:val="7"/>
    <w:autoRedefine/>
    <w:qFormat/>
    <w:uiPriority w:val="20"/>
  </w:style>
  <w:style w:type="paragraph" w:styleId="10">
    <w:name w:val="List Paragraph"/>
    <w:basedOn w:val="1"/>
    <w:autoRedefine/>
    <w:qFormat/>
    <w:uiPriority w:val="34"/>
    <w:pPr>
      <w:ind w:firstLine="420" w:firstLineChars="200"/>
    </w:pPr>
  </w:style>
  <w:style w:type="character" w:customStyle="1" w:styleId="11">
    <w:name w:val="页眉 Char"/>
    <w:basedOn w:val="7"/>
    <w:link w:val="5"/>
    <w:autoRedefine/>
    <w:qFormat/>
    <w:uiPriority w:val="99"/>
    <w:rPr>
      <w:rFonts w:ascii="宋体" w:hAnsi="Times New Roman" w:eastAsia="宋体" w:cs="Times New Roman"/>
      <w:sz w:val="18"/>
      <w:szCs w:val="18"/>
    </w:rPr>
  </w:style>
  <w:style w:type="character" w:customStyle="1" w:styleId="12">
    <w:name w:val="页脚 Char"/>
    <w:basedOn w:val="7"/>
    <w:link w:val="4"/>
    <w:autoRedefine/>
    <w:qFormat/>
    <w:uiPriority w:val="0"/>
    <w:rPr>
      <w:rFonts w:ascii="宋体" w:hAnsi="Times New Roman" w:eastAsia="宋体" w:cs="Times New Roman"/>
      <w:sz w:val="18"/>
      <w:szCs w:val="18"/>
    </w:rPr>
  </w:style>
  <w:style w:type="character" w:customStyle="1" w:styleId="13">
    <w:name w:val="正文文本 Char"/>
    <w:basedOn w:val="7"/>
    <w:link w:val="2"/>
    <w:autoRedefine/>
    <w:qFormat/>
    <w:uiPriority w:val="0"/>
    <w:rPr>
      <w:rFonts w:ascii="仿宋_GB2312" w:hAnsi="Times New Roman" w:eastAsia="仿宋_GB2312" w:cs="Times New Roman"/>
      <w:kern w:val="2"/>
      <w:sz w:val="30"/>
      <w:szCs w:val="24"/>
    </w:rPr>
  </w:style>
  <w:style w:type="character" w:customStyle="1" w:styleId="14">
    <w:name w:val="NormalCharacter"/>
    <w:autoRedefine/>
    <w:qFormat/>
    <w:uiPriority w:val="0"/>
  </w:style>
  <w:style w:type="paragraph" w:customStyle="1" w:styleId="15">
    <w:name w:val="正文2"/>
    <w:basedOn w:val="1"/>
    <w:next w:val="1"/>
    <w:autoRedefine/>
    <w:qFormat/>
    <w:uiPriority w:val="0"/>
    <w:rPr>
      <w:rFonts w:asciiTheme="minorHAnsi" w:hAnsiTheme="minorHAnsi" w:eastAsiaTheme="minorEastAsia" w:cstheme="minorBidi"/>
      <w:sz w:val="21"/>
      <w:szCs w:val="22"/>
    </w:rPr>
  </w:style>
  <w:style w:type="paragraph" w:customStyle="1" w:styleId="16">
    <w:name w:val="WPSOffice手动目录 1"/>
    <w:autoRedefine/>
    <w:qFormat/>
    <w:uiPriority w:val="0"/>
    <w:rPr>
      <w:rFonts w:ascii="Calibri" w:hAnsi="Calibri" w:eastAsia="宋体" w:cs="Times New Roman"/>
      <w:lang w:val="en-US" w:eastAsia="zh-CN" w:bidi="ar-SA"/>
    </w:rPr>
  </w:style>
  <w:style w:type="paragraph" w:customStyle="1" w:styleId="17">
    <w:name w:val="WPSOffice手动目录 2"/>
    <w:autoRedefine/>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987</Words>
  <Characters>5627</Characters>
  <Lines>46</Lines>
  <Paragraphs>13</Paragraphs>
  <TotalTime>10</TotalTime>
  <ScaleCrop>false</ScaleCrop>
  <LinksUpToDate>false</LinksUpToDate>
  <CharactersWithSpaces>6601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WPS_1602202502</cp:lastModifiedBy>
  <cp:lastPrinted>2022-06-10T01:33:00Z</cp:lastPrinted>
  <dcterms:modified xsi:type="dcterms:W3CDTF">2024-01-30T02:56:08Z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5BD32FDA342E405CB15705A7448CD78C_12</vt:lpwstr>
  </property>
</Properties>
</file>