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3"/>
          <w:rFonts w:hint="default" w:ascii="ˎ̥" w:hAnsi="ˎ̥" w:eastAsia="宋体" w:cs="Times New Roman"/>
          <w:b/>
          <w:bCs/>
          <w:color w:val="000000"/>
          <w:sz w:val="41"/>
          <w:szCs w:val="41"/>
          <w:lang w:val="en-US"/>
        </w:rPr>
      </w:pPr>
      <w:r>
        <w:rPr>
          <w:rStyle w:val="13"/>
          <w:rFonts w:hint="eastAsia" w:ascii="ˎ̥" w:hAnsi="ˎ̥" w:eastAsia="宋体" w:cs="Times New Roman"/>
          <w:b/>
          <w:bCs/>
          <w:color w:val="000000"/>
          <w:sz w:val="41"/>
          <w:szCs w:val="41"/>
          <w:lang w:val="en-US" w:eastAsia="zh-CN"/>
        </w:rPr>
        <w:t>中共德阳市罗江区委组织部</w:t>
      </w:r>
    </w:p>
    <w:p>
      <w:pPr>
        <w:ind w:firstLine="412" w:firstLineChars="100"/>
        <w:jc w:val="center"/>
        <w:rPr>
          <w:rStyle w:val="13"/>
          <w:rFonts w:ascii="ˎ̥" w:hAnsi="ˎ̥"/>
          <w:b/>
          <w:bCs/>
          <w:color w:val="000000"/>
          <w:sz w:val="41"/>
          <w:szCs w:val="41"/>
        </w:rPr>
      </w:pPr>
      <w:r>
        <w:rPr>
          <w:rStyle w:val="13"/>
          <w:rFonts w:ascii="ˎ̥" w:hAnsi="ˎ̥"/>
          <w:b/>
          <w:bCs/>
          <w:color w:val="000000"/>
          <w:sz w:val="41"/>
          <w:szCs w:val="41"/>
        </w:rPr>
        <w:t>20</w:t>
      </w:r>
      <w:r>
        <w:rPr>
          <w:rStyle w:val="13"/>
          <w:rFonts w:hint="eastAsia" w:ascii="ˎ̥" w:hAnsi="ˎ̥"/>
          <w:b/>
          <w:bCs/>
          <w:color w:val="000000"/>
          <w:sz w:val="41"/>
          <w:szCs w:val="41"/>
          <w:lang w:val="en-US" w:eastAsia="zh-CN"/>
        </w:rPr>
        <w:t>24</w:t>
      </w:r>
      <w:r>
        <w:rPr>
          <w:rStyle w:val="13"/>
          <w:rFonts w:ascii="ˎ̥" w:hAnsi="ˎ̥"/>
          <w:b/>
          <w:bCs/>
          <w:color w:val="000000"/>
          <w:sz w:val="41"/>
          <w:szCs w:val="41"/>
        </w:rPr>
        <w:t>年部门预算编制说明</w:t>
      </w:r>
    </w:p>
    <w:p>
      <w:pPr>
        <w:pStyle w:val="6"/>
      </w:pPr>
    </w:p>
    <w:p>
      <w:pPr>
        <w:spacing w:before="0" w:beforeLines="0" w:after="0" w:afterLines="0" w:line="240" w:lineRule="auto"/>
        <w:ind w:left="0" w:leftChars="0" w:right="0" w:rightChars="0" w:firstLine="0" w:firstLineChars="0"/>
        <w:jc w:val="center"/>
        <w:rPr>
          <w:rFonts w:hint="eastAsia" w:ascii="宋体" w:hAnsi="宋体" w:eastAsia="宋体" w:cs="Times New Roman"/>
          <w:sz w:val="21"/>
        </w:rPr>
      </w:pPr>
      <w:r>
        <w:rPr>
          <w:rFonts w:hint="eastAsia" w:ascii="宋体" w:hAnsi="宋体" w:eastAsia="宋体" w:cs="Times New Roman"/>
          <w:sz w:val="21"/>
        </w:rPr>
        <w:t>目录</w:t>
      </w:r>
    </w:p>
    <w:p>
      <w:pPr>
        <w:pStyle w:val="14"/>
        <w:tabs>
          <w:tab w:val="right" w:leader="dot" w:pos="8844"/>
        </w:tabs>
        <w:rPr>
          <w:b/>
        </w:rPr>
      </w:pPr>
      <w:r>
        <w:rPr>
          <w:rFonts w:hint="eastAsia" w:ascii="黑体" w:hAnsi="黑体" w:eastAsia="黑体"/>
          <w:color w:val="000000"/>
          <w:sz w:val="48"/>
          <w:szCs w:val="48"/>
        </w:rPr>
        <w:fldChar w:fldCharType="begin"/>
      </w:r>
      <w:r>
        <w:rPr>
          <w:rFonts w:hint="eastAsia" w:ascii="黑体" w:hAnsi="黑体" w:eastAsia="黑体"/>
          <w:color w:val="000000"/>
          <w:sz w:val="48"/>
          <w:szCs w:val="48"/>
        </w:rPr>
        <w:instrText xml:space="preserve">TOC \o "1-2" \h \u </w:instrText>
      </w:r>
      <w:r>
        <w:rPr>
          <w:rFonts w:hint="eastAsia" w:ascii="黑体" w:hAnsi="黑体" w:eastAsia="黑体"/>
          <w:color w:val="000000"/>
          <w:sz w:val="48"/>
          <w:szCs w:val="48"/>
        </w:rPr>
        <w:fldChar w:fldCharType="separate"/>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_Toc29421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一、基本职能及主要工作</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_Toc29421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_Toc30751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（一）机构设置及主要职责</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_Toc30751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_Toc28779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（二）202</w:t>
      </w:r>
      <w:r>
        <w:rPr>
          <w:rFonts w:hint="eastAsia" w:ascii="Times New Roman" w:cs="Times New Roman"/>
          <w:sz w:val="24"/>
          <w:lang w:val="en-US" w:eastAsia="zh-CN"/>
        </w:rPr>
        <w:t>4</w:t>
      </w:r>
      <w:r>
        <w:rPr>
          <w:rFonts w:hint="eastAsia" w:ascii="Times New Roman" w:hAnsi="Times New Roman" w:eastAsia="宋体" w:cs="Times New Roman"/>
          <w:sz w:val="24"/>
          <w:lang w:val="en-US" w:eastAsia="zh-CN"/>
        </w:rPr>
        <w:t>年重点工作</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_Toc28779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_Toc26702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二、部门预算单位构成</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_Toc26702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_Toc13572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三、收支预算增减变化情况说明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_Toc13572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_Toc28086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（一）收入预算情况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_Toc28086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_Toc29519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（二）支出预算情况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_Toc29519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_Toc28389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四、财政拨款收支预算情况说明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_Toc28389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_Toc17587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五、一般公共预算当年拨款情况说明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_Toc17587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_Toc24712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（一）一般公共预算当年拨款规模变化情况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_Toc24712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_Toc4225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（二）一般公共预算当年拨款结构情况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_Toc4225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_Toc9372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（三）一般公共预算当年拨款具体使用情况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_Toc9372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_Toc12521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六、一般公共预算基本支出情况说明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_Toc12521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_Toc21524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七、“三公”经费财政拨款预算安排情况说明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_Toc21524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_Toc27791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八、政府性基金预算收支情况说明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_Toc27791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_Toc20119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九、国有资本经营预算支出情况说明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_Toc20119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_Toc20936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十、其他重要事项的情况说明</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_Toc20936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_Toc2374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（一）机关运行经费</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_Toc2374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_Toc10444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（二）政府采购情况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_Toc10444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_Toc7342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（三）国有资产占有使用情况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_Toc7342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_Toc7258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（四）绩效目标设置情况</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_Toc7258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pStyle w:val="9"/>
        <w:adjustRightInd w:val="0"/>
        <w:snapToGrid w:val="0"/>
        <w:spacing w:line="440" w:lineRule="exact"/>
        <w:ind w:left="0" w:leftChars="0" w:firstLine="0" w:firstLineChars="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_Toc21330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十一、名词解释</w:t>
      </w:r>
      <w:r>
        <w:rPr>
          <w:rFonts w:hint="eastAsia" w:ascii="Times New Roman" w:hAnsi="Times New Roman" w:eastAsia="宋体" w:cs="Times New Roman"/>
          <w:sz w:val="24"/>
          <w:lang w:val="en-US" w:eastAsia="zh-CN"/>
        </w:rPr>
        <w:tab/>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PAGEREF _Toc21330 \h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fldChar w:fldCharType="end"/>
      </w:r>
    </w:p>
    <w:p>
      <w:pPr>
        <w:widowControl/>
        <w:jc w:val="center"/>
        <w:rPr>
          <w:rFonts w:hint="eastAsia" w:ascii="黑体" w:hAnsi="黑体" w:eastAsia="黑体"/>
          <w:color w:val="000000"/>
          <w:sz w:val="48"/>
          <w:szCs w:val="48"/>
        </w:rPr>
        <w:sectPr>
          <w:footerReference r:id="rId3" w:type="default"/>
          <w:pgSz w:w="11906" w:h="16838"/>
          <w:pgMar w:top="1984" w:right="1474" w:bottom="2098" w:left="1588" w:header="851" w:footer="1415" w:gutter="0"/>
          <w:pgNumType w:fmt="decimal"/>
          <w:cols w:space="0" w:num="1"/>
          <w:rtlGutter w:val="0"/>
          <w:docGrid w:type="lines" w:linePitch="671" w:charSpace="0"/>
        </w:sectPr>
      </w:pPr>
      <w:r>
        <w:rPr>
          <w:rFonts w:hint="eastAsia" w:ascii="黑体" w:hAnsi="黑体" w:eastAsia="黑体"/>
          <w:b/>
          <w:color w:val="000000"/>
          <w:szCs w:val="48"/>
        </w:rPr>
        <w:fldChar w:fldCharType="end"/>
      </w:r>
    </w:p>
    <w:p>
      <w:pPr>
        <w:pStyle w:val="2"/>
        <w:bidi w:val="0"/>
        <w:ind w:firstLine="640" w:firstLineChars="200"/>
        <w:rPr>
          <w:rFonts w:hint="eastAsia"/>
        </w:rPr>
      </w:pPr>
      <w:bookmarkStart w:id="0" w:name="_Toc29421"/>
      <w:r>
        <w:rPr>
          <w:rFonts w:hint="eastAsia"/>
        </w:rPr>
        <w:t>一、基本职能及主要工作</w:t>
      </w:r>
      <w:bookmarkEnd w:id="0"/>
    </w:p>
    <w:p>
      <w:pPr>
        <w:pStyle w:val="3"/>
        <w:bidi w:val="0"/>
        <w:ind w:firstLine="640" w:firstLineChars="200"/>
        <w:outlineLvl w:val="1"/>
        <w:rPr>
          <w:rFonts w:hint="eastAsia"/>
          <w:lang w:val="en-US" w:eastAsia="zh-CN"/>
        </w:rPr>
      </w:pPr>
      <w:bookmarkStart w:id="1" w:name="_Toc30751"/>
      <w:r>
        <w:rPr>
          <w:rFonts w:hint="eastAsia"/>
          <w:lang w:val="en-US" w:eastAsia="zh-CN"/>
        </w:rPr>
        <w:t>（一）机构设置及主要职责</w:t>
      </w:r>
      <w:bookmarkEnd w:id="1"/>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共德阳市罗江区委组织部（简称区委组织部）是主管组织工作、干部工作、人才工作、公务员工作的职能部门，为正科级，列区委工作机关序列。加挂新经济组织和新社会组织工作委员会、区直属机关工作委员会、老干部局牌子。</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区委组织部的主要职责是：贯彻新时代党的建设总要求和新时代党的组织路线，落实区委相关决策部署。</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color w:val="auto"/>
          <w:sz w:val="32"/>
          <w:szCs w:val="32"/>
          <w:lang w:val="en-US" w:eastAsia="zh-CN"/>
        </w:rPr>
        <w:t>根据党的路线、方针、政策和省委、市委和区委的安排部署，负责新时期党的建设理论研究，从宏观上研究和指导全区党的组织体系、组织制度建设，负责基层党组织建设规划指导和党员队伍宏观管理，指导开展党员教育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负责全区领导班子和干部队伍建设的总体规划和宏观管理。负责区委管理领导班子和领导干部的考察考核、日常管理，提出调整配备建议，审核办理任免、工资、退休、兼职、待遇等有关事项。负责全区优秀年轻干部队伍建设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（三）负责管理全区公务员工作。</w:t>
      </w:r>
      <w:r>
        <w:rPr>
          <w:rFonts w:hint="default" w:ascii="Times New Roman" w:hAnsi="Times New Roman" w:eastAsia="仿宋_GB2312" w:cs="Times New Roman"/>
          <w:color w:val="auto"/>
          <w:sz w:val="32"/>
          <w:szCs w:val="32"/>
          <w:u w:val="none"/>
          <w:lang w:val="en-US" w:eastAsia="zh-CN"/>
        </w:rPr>
        <w:t>组织实施公务员管理政策法规，承担全区公务员的录用、调配、考核、奖惩、培训、监督和工资福利等工作。负责全区公务员队伍建设、绩效管理工作。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（四）负责全区人才工作的宏观指导、组织协调和督促检查，牵头推进人才发展体制机制改革和政策创新，</w:t>
      </w:r>
      <w:r>
        <w:rPr>
          <w:rFonts w:hint="default" w:ascii="Times New Roman" w:hAnsi="Times New Roman" w:eastAsia="仿宋_GB2312" w:cs="Times New Roman"/>
          <w:color w:val="auto"/>
          <w:sz w:val="32"/>
          <w:szCs w:val="32"/>
          <w:u w:val="none"/>
          <w:lang w:val="en-US" w:eastAsia="zh-CN"/>
        </w:rPr>
        <w:t>牵头推进区校（院、企）战略合作、人才对外开</w:t>
      </w:r>
      <w:r>
        <w:rPr>
          <w:rFonts w:hint="default" w:ascii="Times New Roman" w:hAnsi="Times New Roman" w:eastAsia="仿宋_GB2312" w:cs="Times New Roman"/>
          <w:sz w:val="32"/>
          <w:szCs w:val="32"/>
          <w:lang w:val="en-US" w:eastAsia="zh-CN"/>
        </w:rPr>
        <w:t>放、党委联系服务专家工作，负责全区高端人才选育管用工作。统筹实施重大人才工程和人才表彰奖励。</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（五）负责全区干部教育培训工作的宏观管理、政策规划、组织协调和督促指导。负责重点培训项目的策划、实施和管理。指导全区干部教育培训基地建设、师资队伍建设和教材编写工作。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负责全区组织系统干部监督工作的宏观指导和综合协调，制定和落实干部监督工作制度，组织开展对选人用人工作情况的监督检查，受理和办理有关问题举报，组织实施领导干部报告个人有关事项及抽查核实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（七）负责加强和改进全区机关党的建设，加强区直机关党员的管理、教育和培训。</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（八）负责全区离退休干部工作并进行宏观指导，负责全区副县级以上离退休干部管理与服务工作，承办区委、区委组织部交办和区委老干部工作领导小组议定的其他工作。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（九）归口管理区委机构编制委员会办公室。</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（十）承担区委党建工作领导小组、区人才工作领导小组的日常工作。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（十一）完成区委交办的其他任务。</w:t>
      </w:r>
    </w:p>
    <w:p>
      <w:pPr>
        <w:pStyle w:val="3"/>
        <w:bidi w:val="0"/>
        <w:ind w:firstLine="640" w:firstLineChars="200"/>
        <w:outlineLvl w:val="1"/>
        <w:rPr>
          <w:rFonts w:hint="eastAsia"/>
          <w:color w:val="auto"/>
          <w:lang w:val="en-US" w:eastAsia="zh-CN"/>
        </w:rPr>
      </w:pPr>
      <w:bookmarkStart w:id="2" w:name="_Toc28779"/>
      <w:r>
        <w:rPr>
          <w:rFonts w:hint="eastAsia"/>
          <w:color w:val="auto"/>
          <w:lang w:val="en-US" w:eastAsia="zh-CN"/>
        </w:rPr>
        <w:t>（二）2024年重点工作</w:t>
      </w:r>
      <w:bookmarkEnd w:id="2"/>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hint="default" w:ascii="仿宋_GB2312" w:hAnsi="仿宋_GB2312" w:eastAsia="仿宋_GB2312"/>
          <w:color w:val="auto"/>
          <w:sz w:val="32"/>
          <w:szCs w:val="32"/>
        </w:rPr>
      </w:pPr>
      <w:r>
        <w:rPr>
          <w:rFonts w:hint="default" w:ascii="仿宋_GB2312" w:hAnsi="仿宋_GB2312" w:eastAsia="仿宋_GB2312"/>
          <w:color w:val="auto"/>
          <w:sz w:val="32"/>
          <w:szCs w:val="32"/>
        </w:rPr>
        <w:t>坚持以习近平新时代中国特色社会主义思想为指导，坚决贯彻新时代党的建设总要求和新时代党的组织路线，增强“四个意识”、坚定“四个自信”、做到“两个维护”，认真落实全国全省全市组织部长会议精神，紧紧围绕区委重大决策部署，坚持</w:t>
      </w:r>
      <w:r>
        <w:rPr>
          <w:rFonts w:hint="eastAsia" w:ascii="仿宋_GB2312" w:hAnsi="仿宋_GB2312" w:eastAsia="仿宋_GB2312"/>
          <w:color w:val="auto"/>
          <w:sz w:val="32"/>
          <w:szCs w:val="32"/>
          <w:lang w:eastAsia="zh-CN"/>
        </w:rPr>
        <w:t>以党的政治建设为统领</w:t>
      </w:r>
      <w:r>
        <w:rPr>
          <w:rFonts w:hint="default" w:ascii="仿宋_GB2312" w:hAnsi="仿宋_GB2312" w:eastAsia="仿宋_GB2312"/>
          <w:color w:val="auto"/>
          <w:sz w:val="32"/>
          <w:szCs w:val="32"/>
        </w:rPr>
        <w:t>，突出党建引领基层治理、加快人才制度和政策创新，为推动罗江高质量发展再上新台阶提供坚强的组织和人才保障。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楷体" w:hAnsi="楷体" w:eastAsia="楷体" w:cs="楷体"/>
          <w:b/>
          <w:bCs/>
          <w:color w:val="auto"/>
          <w:sz w:val="32"/>
          <w:szCs w:val="32"/>
          <w:lang w:val="en-US" w:eastAsia="zh-CN"/>
        </w:rPr>
        <w:t>一是</w:t>
      </w:r>
      <w:r>
        <w:rPr>
          <w:rFonts w:hint="eastAsia" w:ascii="楷体" w:hAnsi="楷体" w:eastAsia="楷体" w:cs="楷体"/>
          <w:b/>
          <w:bCs/>
          <w:sz w:val="32"/>
          <w:szCs w:val="32"/>
          <w:lang w:val="en-US" w:eastAsia="zh-CN"/>
        </w:rPr>
        <w:t>选优配强，激发干部想干事能干事的动能活力。</w:t>
      </w:r>
      <w:r>
        <w:rPr>
          <w:rFonts w:hint="eastAsia" w:ascii="Times New Roman" w:hAnsi="Times New Roman" w:eastAsia="仿宋_GB2312" w:cs="Times New Roman"/>
          <w:b w:val="0"/>
          <w:bCs w:val="0"/>
          <w:color w:val="auto"/>
          <w:sz w:val="32"/>
          <w:szCs w:val="32"/>
          <w:lang w:val="en-US" w:eastAsia="zh-CN"/>
        </w:rPr>
        <w:t>加大紧缺专业招录力度，按照工业经济、乡村振兴、文旅融合等分类储备优秀干部；选派年轻干部参加同城融圈实践锻炼，建立年轻干部列席罗江重点会议机制，推进重点单位中层干部跨部门轮岗；聚焦全域城乡融合发展示范区和国家乡村振兴示范县创建，开展干部外训期，加大村、社区干部专业培训力度。</w:t>
      </w:r>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hint="eastAsia" w:ascii="仿宋_GB2312" w:hAnsi="仿宋_GB2312" w:eastAsia="仿宋_GB2312"/>
          <w:color w:val="auto"/>
          <w:sz w:val="32"/>
          <w:szCs w:val="32"/>
          <w:lang w:val="en-US" w:eastAsia="zh-CN"/>
        </w:rPr>
      </w:pPr>
      <w:r>
        <w:rPr>
          <w:rFonts w:hint="eastAsia" w:ascii="楷体" w:hAnsi="楷体" w:eastAsia="楷体" w:cs="楷体"/>
          <w:b/>
          <w:bCs/>
          <w:color w:val="auto"/>
          <w:sz w:val="32"/>
          <w:szCs w:val="32"/>
          <w:lang w:val="en-US" w:eastAsia="zh-CN"/>
        </w:rPr>
        <w:t>二是</w:t>
      </w:r>
      <w:r>
        <w:rPr>
          <w:rFonts w:hint="eastAsia" w:ascii="楷体" w:hAnsi="楷体" w:eastAsia="楷体" w:cs="楷体"/>
          <w:b/>
          <w:bCs/>
          <w:sz w:val="32"/>
          <w:szCs w:val="32"/>
          <w:lang w:val="en-US" w:eastAsia="zh-CN"/>
        </w:rPr>
        <w:t>提质增效，建强最前沿最基础的基层组织。</w:t>
      </w:r>
      <w:r>
        <w:rPr>
          <w:rFonts w:hint="default" w:ascii="Times New Roman" w:hAnsi="Times New Roman" w:eastAsia="仿宋_GB2312" w:cs="Times New Roman"/>
          <w:b w:val="0"/>
          <w:bCs w:val="0"/>
          <w:color w:val="auto"/>
          <w:sz w:val="32"/>
          <w:szCs w:val="32"/>
          <w:lang w:val="en-US" w:eastAsia="zh-CN"/>
        </w:rPr>
        <w:t>聚焦乡村振兴、工业发展、城乡融合等中心工作，</w:t>
      </w:r>
      <w:r>
        <w:rPr>
          <w:rFonts w:hint="eastAsia" w:ascii="Times New Roman" w:hAnsi="Times New Roman" w:eastAsia="仿宋_GB2312" w:cs="Times New Roman"/>
          <w:b w:val="0"/>
          <w:bCs w:val="0"/>
          <w:color w:val="auto"/>
          <w:sz w:val="32"/>
          <w:szCs w:val="32"/>
          <w:lang w:val="en-US" w:eastAsia="zh-CN"/>
        </w:rPr>
        <w:t>实施“满城星”行动，</w:t>
      </w:r>
      <w:r>
        <w:rPr>
          <w:rFonts w:hint="default" w:ascii="Times New Roman" w:hAnsi="Times New Roman" w:eastAsia="仿宋_GB2312" w:cs="Times New Roman"/>
          <w:b w:val="0"/>
          <w:bCs w:val="0"/>
          <w:color w:val="auto"/>
          <w:sz w:val="32"/>
          <w:szCs w:val="32"/>
          <w:lang w:val="en-US" w:eastAsia="zh-CN"/>
        </w:rPr>
        <w:t>打造幸福邻里驿站</w:t>
      </w:r>
      <w:r>
        <w:rPr>
          <w:rFonts w:hint="eastAsia" w:ascii="Times New Roman" w:hAnsi="Times New Roman" w:eastAsia="仿宋_GB2312" w:cs="Times New Roman"/>
          <w:b w:val="0"/>
          <w:bCs w:val="0"/>
          <w:color w:val="auto"/>
          <w:sz w:val="32"/>
          <w:szCs w:val="32"/>
          <w:lang w:val="en-US" w:eastAsia="zh-CN"/>
        </w:rPr>
        <w:t>；组织乡镇党委、部门党（工）委负责人赴</w:t>
      </w:r>
      <w:r>
        <w:rPr>
          <w:rFonts w:hint="eastAsia" w:ascii="Times New Roman" w:hAnsi="Times New Roman" w:cs="Times New Roman"/>
          <w:b w:val="0"/>
          <w:bCs w:val="0"/>
          <w:color w:val="auto"/>
          <w:sz w:val="32"/>
          <w:szCs w:val="32"/>
          <w:lang w:val="en-US" w:eastAsia="zh-CN"/>
        </w:rPr>
        <w:t>外</w:t>
      </w:r>
      <w:r>
        <w:rPr>
          <w:rFonts w:hint="eastAsia" w:ascii="Times New Roman" w:hAnsi="Times New Roman" w:eastAsia="仿宋_GB2312" w:cs="Times New Roman"/>
          <w:b w:val="0"/>
          <w:bCs w:val="0"/>
          <w:color w:val="auto"/>
          <w:sz w:val="32"/>
          <w:szCs w:val="32"/>
          <w:lang w:val="en-US" w:eastAsia="zh-CN"/>
        </w:rPr>
        <w:t>学习先进经验，建立</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任务</w:t>
      </w:r>
      <w:r>
        <w:rPr>
          <w:rFonts w:hint="default" w:ascii="Times New Roman" w:hAnsi="Times New Roman" w:eastAsia="仿宋_GB2312" w:cs="Times New Roman"/>
          <w:b w:val="0"/>
          <w:bCs w:val="0"/>
          <w:color w:val="auto"/>
          <w:sz w:val="32"/>
          <w:szCs w:val="32"/>
          <w:lang w:val="en-US" w:eastAsia="zh-CN"/>
        </w:rPr>
        <w:t>认领、每月盘点、季度拉练”</w:t>
      </w:r>
      <w:r>
        <w:rPr>
          <w:rFonts w:hint="eastAsia" w:ascii="Times New Roman" w:hAnsi="Times New Roman" w:eastAsia="仿宋_GB2312" w:cs="Times New Roman"/>
          <w:b w:val="0"/>
          <w:bCs w:val="0"/>
          <w:color w:val="auto"/>
          <w:sz w:val="32"/>
          <w:szCs w:val="32"/>
          <w:lang w:val="en-US" w:eastAsia="zh-CN"/>
        </w:rPr>
        <w:t>机制，推动</w:t>
      </w:r>
      <w:r>
        <w:rPr>
          <w:rFonts w:hint="default" w:ascii="Times New Roman" w:hAnsi="Times New Roman" w:eastAsia="仿宋_GB2312" w:cs="Times New Roman"/>
          <w:b w:val="0"/>
          <w:bCs w:val="0"/>
          <w:color w:val="auto"/>
          <w:sz w:val="32"/>
          <w:szCs w:val="32"/>
          <w:lang w:val="en-US" w:eastAsia="zh-CN"/>
        </w:rPr>
        <w:t>乡镇</w:t>
      </w:r>
      <w:r>
        <w:rPr>
          <w:rFonts w:hint="eastAsia"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val="en-US" w:eastAsia="zh-CN"/>
        </w:rPr>
        <w:t>造亮点、树品牌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聚焦党员发展“结构不优、源头不足、管理不严”等突出问题，</w:t>
      </w:r>
      <w:r>
        <w:rPr>
          <w:rFonts w:hint="eastAsia" w:ascii="Times New Roman" w:hAnsi="Times New Roman" w:eastAsia="仿宋_GB2312" w:cs="Times New Roman"/>
          <w:b w:val="0"/>
          <w:bCs w:val="0"/>
          <w:color w:val="auto"/>
          <w:sz w:val="32"/>
          <w:szCs w:val="32"/>
          <w:lang w:val="en-US" w:eastAsia="zh-CN"/>
        </w:rPr>
        <w:t>完善</w:t>
      </w:r>
      <w:r>
        <w:rPr>
          <w:rFonts w:hint="default" w:ascii="Times New Roman" w:hAnsi="Times New Roman" w:eastAsia="仿宋_GB2312" w:cs="Times New Roman"/>
          <w:b w:val="0"/>
          <w:bCs w:val="0"/>
          <w:color w:val="auto"/>
          <w:sz w:val="32"/>
          <w:szCs w:val="32"/>
          <w:lang w:val="en-US" w:eastAsia="zh-CN"/>
        </w:rPr>
        <w:t>《全区积极分子</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发展对象</w:t>
      </w:r>
      <w:r>
        <w:rPr>
          <w:rFonts w:hint="eastAsia" w:ascii="Times New Roman" w:hAnsi="Times New Roman" w:eastAsia="仿宋_GB2312" w:cs="Times New Roman"/>
          <w:b w:val="0"/>
          <w:bCs w:val="0"/>
          <w:color w:val="auto"/>
          <w:sz w:val="32"/>
          <w:szCs w:val="32"/>
          <w:lang w:val="en-US" w:eastAsia="zh-CN"/>
        </w:rPr>
        <w:t>培养</w:t>
      </w:r>
      <w:r>
        <w:rPr>
          <w:rFonts w:hint="default" w:ascii="Times New Roman" w:hAnsi="Times New Roman" w:eastAsia="仿宋_GB2312" w:cs="Times New Roman"/>
          <w:b w:val="0"/>
          <w:bCs w:val="0"/>
          <w:color w:val="auto"/>
          <w:sz w:val="32"/>
          <w:szCs w:val="32"/>
          <w:lang w:val="en-US" w:eastAsia="zh-CN"/>
        </w:rPr>
        <w:t>台账》</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lang w:eastAsia="zh-CN"/>
        </w:rPr>
      </w:pPr>
      <w:bookmarkStart w:id="3" w:name="_Toc26702"/>
      <w:r>
        <w:rPr>
          <w:rFonts w:hint="eastAsia" w:ascii="楷体" w:hAnsi="楷体" w:eastAsia="楷体" w:cs="楷体"/>
          <w:b/>
          <w:bCs/>
          <w:sz w:val="32"/>
          <w:szCs w:val="32"/>
          <w:lang w:eastAsia="zh-CN"/>
        </w:rPr>
        <w:t>三是</w:t>
      </w:r>
      <w:r>
        <w:rPr>
          <w:rFonts w:hint="eastAsia" w:ascii="楷体" w:hAnsi="楷体" w:eastAsia="楷体" w:cs="楷体"/>
          <w:b/>
          <w:bCs/>
          <w:sz w:val="32"/>
          <w:szCs w:val="32"/>
          <w:lang w:val="en-US" w:eastAsia="zh-CN"/>
        </w:rPr>
        <w:t>精准引育，汇集高质量高效能的人才支撑。</w:t>
      </w:r>
      <w:r>
        <w:rPr>
          <w:rFonts w:hint="eastAsia" w:ascii="仿宋_GB2312" w:hAnsi="仿宋_GB2312" w:eastAsia="仿宋_GB2312" w:cs="仿宋_GB2312"/>
          <w:b w:val="0"/>
          <w:bCs w:val="0"/>
          <w:sz w:val="32"/>
          <w:szCs w:val="32"/>
          <w:lang w:val="en-US" w:eastAsia="zh-CN"/>
        </w:rPr>
        <w:t>围绕乡村振兴示范县建设制定专项人才政策，实施“百名头雁助百村”专家助产行动和“雁归潺亭促发展”人才回引行动，引导人才向乡村集聚；聚集产业发展需要，实施“专技人才倍增”行动，制定“企业家十条”，开展“知名高校潺江行”等特色活动助力产业高质量发展；围绕产教融合人才发展先行区建设，举办人才消费券发布仪式、第二批“启航计划”高校实习、“罗江之星”青创路演等活动，实施校企人才互派共用模式，将职教优势转化为罗江发展动能。</w:t>
      </w:r>
    </w:p>
    <w:p>
      <w:pPr>
        <w:pStyle w:val="2"/>
        <w:bidi w:val="0"/>
        <w:ind w:firstLine="640" w:firstLineChars="200"/>
        <w:rPr>
          <w:rFonts w:hint="eastAsia" w:ascii="宋体" w:hAnsi="宋体"/>
          <w:b w:val="0"/>
        </w:rPr>
      </w:pPr>
      <w:r>
        <w:rPr>
          <w:rFonts w:hint="eastAsia" w:ascii="宋体" w:hAnsi="宋体"/>
          <w:b w:val="0"/>
        </w:rPr>
        <w:t>二、部门预算单位构成</w:t>
      </w:r>
      <w:bookmarkEnd w:id="3"/>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hint="eastAsia" w:ascii="仿宋_GB2312" w:hAnsi="仿宋_GB2312" w:eastAsia="仿宋_GB2312"/>
          <w:color w:val="auto"/>
          <w:sz w:val="32"/>
          <w:szCs w:val="32"/>
          <w:lang w:val="zh-CN"/>
        </w:rPr>
      </w:pPr>
      <w:r>
        <w:rPr>
          <w:rFonts w:hint="eastAsia" w:ascii="仿宋_GB2312" w:hAnsi="仿宋_GB2312" w:eastAsia="仿宋_GB2312"/>
          <w:color w:val="auto"/>
          <w:sz w:val="32"/>
          <w:szCs w:val="32"/>
          <w:lang w:val="zh-CN"/>
        </w:rPr>
        <w:t>中共德阳市罗江区委组织部</w:t>
      </w:r>
      <w:r>
        <w:rPr>
          <w:rFonts w:hint="eastAsia" w:ascii="仿宋_GB2312" w:hAnsi="仿宋_GB2312" w:eastAsia="仿宋_GB2312"/>
          <w:color w:val="auto"/>
          <w:sz w:val="32"/>
          <w:szCs w:val="32"/>
        </w:rPr>
        <w:t>一级预算单位1个，其中行政单位1个。主要包括</w:t>
      </w:r>
      <w:r>
        <w:rPr>
          <w:rFonts w:hint="eastAsia" w:ascii="仿宋_GB2312" w:hAnsi="仿宋_GB2312" w:eastAsia="仿宋_GB2312"/>
          <w:color w:val="auto"/>
          <w:sz w:val="32"/>
          <w:szCs w:val="32"/>
          <w:lang w:val="zh-CN"/>
        </w:rPr>
        <w:t>：中国共产党德阳市罗江区委员会组织部总编制</w:t>
      </w:r>
      <w:r>
        <w:rPr>
          <w:rFonts w:hint="eastAsia" w:ascii="仿宋_GB2312" w:hAnsi="仿宋_GB2312" w:eastAsia="仿宋_GB2312"/>
          <w:color w:val="auto"/>
          <w:sz w:val="32"/>
          <w:szCs w:val="32"/>
          <w:lang w:val="en-US" w:eastAsia="zh-CN"/>
        </w:rPr>
        <w:t>30</w:t>
      </w:r>
      <w:r>
        <w:rPr>
          <w:rFonts w:hint="eastAsia" w:ascii="仿宋_GB2312" w:hAnsi="仿宋_GB2312" w:eastAsia="仿宋_GB2312"/>
          <w:color w:val="auto"/>
          <w:sz w:val="32"/>
          <w:szCs w:val="32"/>
          <w:lang w:val="zh-CN"/>
        </w:rPr>
        <w:t>名，其中行政编制</w:t>
      </w:r>
      <w:r>
        <w:rPr>
          <w:rFonts w:hint="eastAsia" w:ascii="仿宋_GB2312" w:hAnsi="仿宋_GB2312" w:eastAsia="仿宋_GB2312"/>
          <w:color w:val="auto"/>
          <w:sz w:val="32"/>
          <w:szCs w:val="32"/>
          <w:lang w:val="en-US" w:eastAsia="zh-CN"/>
        </w:rPr>
        <w:t>15</w:t>
      </w:r>
      <w:r>
        <w:rPr>
          <w:rFonts w:hint="eastAsia" w:ascii="仿宋_GB2312" w:hAnsi="仿宋_GB2312" w:eastAsia="仿宋_GB2312"/>
          <w:color w:val="auto"/>
          <w:sz w:val="32"/>
          <w:szCs w:val="32"/>
          <w:lang w:val="zh-CN"/>
        </w:rPr>
        <w:t>名，参公编制</w:t>
      </w:r>
      <w:r>
        <w:rPr>
          <w:rFonts w:hint="eastAsia" w:ascii="仿宋_GB2312" w:hAnsi="仿宋_GB2312" w:eastAsia="仿宋_GB2312"/>
          <w:color w:val="auto"/>
          <w:sz w:val="32"/>
          <w:szCs w:val="32"/>
          <w:lang w:val="en-US" w:eastAsia="zh-CN"/>
        </w:rPr>
        <w:t>9名，</w:t>
      </w:r>
      <w:r>
        <w:rPr>
          <w:rFonts w:hint="eastAsia" w:ascii="仿宋_GB2312" w:hAnsi="仿宋_GB2312" w:eastAsia="仿宋_GB2312"/>
          <w:color w:val="auto"/>
          <w:sz w:val="32"/>
          <w:szCs w:val="32"/>
          <w:lang w:val="zh-CN" w:eastAsia="zh-CN"/>
        </w:rPr>
        <w:t>下属德阳市罗江区干部人事档案管理中心</w:t>
      </w:r>
      <w:r>
        <w:rPr>
          <w:rFonts w:hint="eastAsia" w:ascii="仿宋_GB2312" w:hAnsi="仿宋_GB2312" w:eastAsia="仿宋_GB2312"/>
          <w:color w:val="auto"/>
          <w:sz w:val="32"/>
          <w:szCs w:val="32"/>
          <w:lang w:val="zh-CN"/>
        </w:rPr>
        <w:t>事业编制</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lang w:val="zh-CN"/>
        </w:rPr>
        <w:t>名，德阳市罗江区</w:t>
      </w:r>
      <w:r>
        <w:rPr>
          <w:rFonts w:hint="eastAsia" w:ascii="仿宋_GB2312" w:hAnsi="仿宋_GB2312" w:eastAsia="仿宋_GB2312"/>
          <w:color w:val="auto"/>
          <w:sz w:val="32"/>
          <w:szCs w:val="32"/>
          <w:lang w:val="en-US" w:eastAsia="zh-CN"/>
        </w:rPr>
        <w:t>高端人才服务中心</w:t>
      </w:r>
      <w:r>
        <w:rPr>
          <w:rFonts w:hint="eastAsia" w:ascii="仿宋_GB2312" w:hAnsi="仿宋_GB2312" w:eastAsia="仿宋_GB2312"/>
          <w:color w:val="auto"/>
          <w:sz w:val="32"/>
          <w:szCs w:val="32"/>
          <w:lang w:val="zh-CN"/>
        </w:rPr>
        <w:t>事业编制</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lang w:val="zh-CN"/>
        </w:rPr>
        <w:t>名。在职人员总数</w:t>
      </w:r>
      <w:r>
        <w:rPr>
          <w:rFonts w:hint="eastAsia" w:ascii="仿宋_GB2312" w:hAnsi="仿宋_GB2312" w:eastAsia="仿宋_GB2312"/>
          <w:color w:val="auto"/>
          <w:sz w:val="32"/>
          <w:szCs w:val="32"/>
          <w:lang w:val="en-US" w:eastAsia="zh-CN"/>
        </w:rPr>
        <w:t>17</w:t>
      </w:r>
      <w:r>
        <w:rPr>
          <w:rFonts w:hint="eastAsia" w:ascii="仿宋_GB2312" w:hAnsi="仿宋_GB2312" w:eastAsia="仿宋_GB2312"/>
          <w:color w:val="auto"/>
          <w:sz w:val="32"/>
          <w:szCs w:val="32"/>
          <w:lang w:val="zh-CN"/>
        </w:rPr>
        <w:t>人，其中：行政人员</w:t>
      </w:r>
      <w:r>
        <w:rPr>
          <w:rFonts w:hint="eastAsia" w:ascii="仿宋_GB2312" w:hAnsi="仿宋_GB2312" w:eastAsia="仿宋_GB2312"/>
          <w:color w:val="auto"/>
          <w:sz w:val="32"/>
          <w:szCs w:val="32"/>
          <w:lang w:val="en-US" w:eastAsia="zh-CN"/>
        </w:rPr>
        <w:t>14人，</w:t>
      </w:r>
      <w:r>
        <w:rPr>
          <w:rFonts w:hint="eastAsia" w:ascii="仿宋_GB2312" w:hAnsi="仿宋_GB2312" w:eastAsia="仿宋_GB2312"/>
          <w:color w:val="auto"/>
          <w:sz w:val="32"/>
          <w:szCs w:val="32"/>
          <w:lang w:val="zh-CN"/>
        </w:rPr>
        <w:t>事业人员</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lang w:val="zh-CN"/>
        </w:rPr>
        <w:t>人；离退休人员0人。本次公开数据包括所有下属二级单位数据。</w:t>
      </w:r>
    </w:p>
    <w:p>
      <w:pPr>
        <w:pStyle w:val="2"/>
        <w:bidi w:val="0"/>
        <w:ind w:firstLine="640" w:firstLineChars="200"/>
        <w:rPr>
          <w:rFonts w:hint="eastAsia" w:ascii="宋体" w:hAnsi="宋体"/>
          <w:b w:val="0"/>
        </w:rPr>
      </w:pPr>
      <w:bookmarkStart w:id="4" w:name="_Toc13572"/>
      <w:r>
        <w:rPr>
          <w:rFonts w:hint="eastAsia" w:ascii="宋体" w:hAnsi="宋体"/>
          <w:b w:val="0"/>
        </w:rPr>
        <w:t>三、收支预算增减变化情况说明</w:t>
      </w:r>
      <w:bookmarkEnd w:id="4"/>
    </w:p>
    <w:p>
      <w:pPr>
        <w:keepNext w:val="0"/>
        <w:keepLines w:val="0"/>
        <w:pageBreakBefore w:val="0"/>
        <w:widowControl w:val="0"/>
        <w:shd w:val="clear" w:color="auto"/>
        <w:kinsoku/>
        <w:wordWrap/>
        <w:overflowPunct/>
        <w:topLinePunct w:val="0"/>
        <w:bidi w:val="0"/>
        <w:adjustRightInd/>
        <w:spacing w:line="560" w:lineRule="exact"/>
        <w:ind w:firstLine="642"/>
        <w:jc w:val="both"/>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按照综合预算的原则，</w:t>
      </w:r>
      <w:r>
        <w:rPr>
          <w:rFonts w:hint="eastAsia" w:ascii="仿宋_GB2312" w:hAnsi="仿宋_GB2312" w:eastAsia="仿宋_GB2312"/>
          <w:color w:val="auto"/>
          <w:sz w:val="32"/>
          <w:szCs w:val="32"/>
          <w:lang w:eastAsia="zh-CN"/>
        </w:rPr>
        <w:t>中共德阳市罗江区委组织部</w:t>
      </w:r>
      <w:r>
        <w:rPr>
          <w:rFonts w:hint="eastAsia" w:ascii="仿宋_GB2312" w:hAnsi="仿宋_GB2312" w:eastAsia="仿宋_GB2312"/>
          <w:color w:val="auto"/>
          <w:sz w:val="32"/>
          <w:szCs w:val="32"/>
        </w:rPr>
        <w:t>所有收支均包含下属单位数据，全部纳入部门预算管理。收入包括：一般公共预算拨款收入</w:t>
      </w:r>
      <w:r>
        <w:rPr>
          <w:rFonts w:hint="eastAsia" w:ascii="仿宋_GB2312" w:hAnsi="仿宋_GB2312" w:eastAsia="仿宋_GB2312"/>
          <w:color w:val="auto"/>
          <w:sz w:val="32"/>
          <w:szCs w:val="32"/>
          <w:lang w:val="en-US" w:eastAsia="zh-CN"/>
        </w:rPr>
        <w:t>966.09</w:t>
      </w:r>
      <w:r>
        <w:rPr>
          <w:rFonts w:hint="eastAsia" w:ascii="仿宋_GB2312" w:hAnsi="仿宋_GB2312" w:eastAsia="仿宋_GB2312"/>
          <w:color w:val="auto"/>
          <w:sz w:val="32"/>
          <w:szCs w:val="32"/>
        </w:rPr>
        <w:t>万元，比20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收入</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val="en-US" w:eastAsia="zh-CN"/>
        </w:rPr>
        <w:t>增加11.56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主要是一般公共服务支出</w:t>
      </w:r>
      <w:r>
        <w:rPr>
          <w:rFonts w:hint="eastAsia" w:ascii="仿宋_GB2312" w:hAnsi="仿宋_GB2312" w:eastAsia="仿宋_GB2312"/>
          <w:color w:val="auto"/>
          <w:sz w:val="32"/>
          <w:szCs w:val="32"/>
          <w:lang w:val="en-US" w:eastAsia="zh-CN"/>
        </w:rPr>
        <w:t>增加38.23万元；</w:t>
      </w:r>
      <w:r>
        <w:rPr>
          <w:rFonts w:hint="eastAsia" w:ascii="仿宋_GB2312" w:hAnsi="仿宋_GB2312" w:eastAsia="仿宋_GB2312"/>
          <w:color w:val="auto"/>
          <w:sz w:val="32"/>
          <w:szCs w:val="32"/>
        </w:rPr>
        <w:t>支出包括：一般公共服务支出</w:t>
      </w:r>
      <w:r>
        <w:rPr>
          <w:rFonts w:hint="eastAsia" w:ascii="仿宋_GB2312" w:hAnsi="仿宋_GB2312" w:eastAsia="仿宋_GB2312"/>
          <w:color w:val="auto"/>
          <w:sz w:val="32"/>
          <w:szCs w:val="32"/>
          <w:lang w:val="en-US" w:eastAsia="zh-CN"/>
        </w:rPr>
        <w:t>886.85</w:t>
      </w:r>
      <w:r>
        <w:rPr>
          <w:rFonts w:hint="eastAsia" w:ascii="仿宋_GB2312" w:hAnsi="仿宋_GB2312" w:eastAsia="仿宋_GB2312"/>
          <w:color w:val="auto"/>
          <w:sz w:val="32"/>
          <w:szCs w:val="32"/>
        </w:rPr>
        <w:t>万元、社会保障和就业支出</w:t>
      </w:r>
      <w:r>
        <w:rPr>
          <w:rFonts w:hint="eastAsia" w:ascii="仿宋_GB2312" w:hAnsi="仿宋_GB2312" w:eastAsia="仿宋_GB2312"/>
          <w:color w:val="auto"/>
          <w:sz w:val="32"/>
          <w:szCs w:val="32"/>
          <w:lang w:val="en-US" w:eastAsia="zh-CN"/>
        </w:rPr>
        <w:t>43.51</w:t>
      </w:r>
      <w:r>
        <w:rPr>
          <w:rFonts w:hint="eastAsia" w:ascii="仿宋_GB2312" w:hAnsi="仿宋_GB2312" w:eastAsia="仿宋_GB2312"/>
          <w:color w:val="auto"/>
          <w:sz w:val="32"/>
          <w:szCs w:val="32"/>
        </w:rPr>
        <w:t>万元、卫生健康支出</w:t>
      </w:r>
      <w:r>
        <w:rPr>
          <w:rFonts w:hint="eastAsia" w:ascii="仿宋_GB2312" w:hAnsi="仿宋_GB2312" w:eastAsia="仿宋_GB2312"/>
          <w:color w:val="auto"/>
          <w:sz w:val="32"/>
          <w:szCs w:val="32"/>
          <w:lang w:val="en-US" w:eastAsia="zh-CN"/>
        </w:rPr>
        <w:t>11.58</w:t>
      </w:r>
      <w:r>
        <w:rPr>
          <w:rFonts w:hint="eastAsia" w:ascii="仿宋_GB2312" w:hAnsi="仿宋_GB2312" w:eastAsia="仿宋_GB2312"/>
          <w:color w:val="auto"/>
          <w:sz w:val="32"/>
          <w:szCs w:val="32"/>
        </w:rPr>
        <w:t>万元、住房保障支出</w:t>
      </w:r>
      <w:r>
        <w:rPr>
          <w:rFonts w:hint="eastAsia" w:ascii="仿宋_GB2312" w:hAnsi="仿宋_GB2312" w:eastAsia="仿宋_GB2312"/>
          <w:color w:val="auto"/>
          <w:sz w:val="32"/>
          <w:szCs w:val="32"/>
          <w:lang w:val="en-US" w:eastAsia="zh-CN"/>
        </w:rPr>
        <w:t>24.15</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年收支总预算</w:t>
      </w:r>
      <w:r>
        <w:rPr>
          <w:rFonts w:hint="eastAsia" w:ascii="仿宋_GB2312" w:hAnsi="仿宋_GB2312" w:eastAsia="仿宋_GB2312"/>
          <w:color w:val="auto"/>
          <w:sz w:val="32"/>
          <w:szCs w:val="32"/>
          <w:lang w:val="en-US" w:eastAsia="zh-CN"/>
        </w:rPr>
        <w:t>966.09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比</w:t>
      </w:r>
      <w:r>
        <w:rPr>
          <w:rFonts w:hint="eastAsia" w:ascii="仿宋_GB2312" w:hAnsi="仿宋_GB2312" w:eastAsia="仿宋_GB2312"/>
          <w:color w:val="auto"/>
          <w:sz w:val="32"/>
          <w:szCs w:val="32"/>
          <w:lang w:val="en-US" w:eastAsia="zh-CN"/>
        </w:rPr>
        <w:t>2023</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支出</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11.56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w:t>
      </w:r>
      <w:r>
        <w:rPr>
          <w:rFonts w:hint="eastAsia" w:ascii="仿宋_GB2312" w:hAnsi="仿宋_GB2312" w:eastAsia="仿宋_GB2312"/>
          <w:color w:val="auto"/>
          <w:sz w:val="32"/>
          <w:szCs w:val="32"/>
          <w:lang w:val="en-US" w:eastAsia="zh-CN"/>
        </w:rPr>
        <w:t>原因是本年度两新党建和基层治理等项目工作经费增加。</w:t>
      </w:r>
    </w:p>
    <w:p>
      <w:pPr>
        <w:pStyle w:val="3"/>
        <w:bidi w:val="0"/>
        <w:ind w:firstLine="640" w:firstLineChars="200"/>
        <w:rPr>
          <w:rFonts w:hint="eastAsia"/>
        </w:rPr>
      </w:pPr>
      <w:bookmarkStart w:id="5" w:name="_Toc28086"/>
      <w:r>
        <w:rPr>
          <w:rFonts w:hint="eastAsia"/>
        </w:rPr>
        <w:t>（一）收入预算情况</w:t>
      </w:r>
      <w:bookmarkEnd w:id="5"/>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ascii="仿宋_GB2312" w:hAnsi="仿宋_GB2312" w:eastAsia="仿宋_GB2312"/>
          <w:color w:val="auto"/>
          <w:sz w:val="32"/>
          <w:szCs w:val="32"/>
        </w:rPr>
        <w:t>年收入预算</w:t>
      </w:r>
      <w:r>
        <w:rPr>
          <w:rFonts w:hint="eastAsia" w:ascii="仿宋_GB2312" w:hAnsi="仿宋_GB2312" w:eastAsia="仿宋_GB2312"/>
          <w:color w:val="auto"/>
          <w:sz w:val="32"/>
          <w:szCs w:val="32"/>
          <w:lang w:val="en-US" w:eastAsia="zh-CN"/>
        </w:rPr>
        <w:t>966.09</w:t>
      </w:r>
      <w:r>
        <w:rPr>
          <w:rFonts w:ascii="仿宋_GB2312" w:hAnsi="仿宋_GB2312" w:eastAsia="仿宋_GB2312"/>
          <w:color w:val="auto"/>
          <w:sz w:val="32"/>
          <w:szCs w:val="32"/>
        </w:rPr>
        <w:t>万元，其中：上年结转</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val="en-US" w:eastAsia="zh-CN"/>
        </w:rPr>
        <w:t>966.09</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100.0</w:t>
      </w:r>
      <w:r>
        <w:rPr>
          <w:rFonts w:ascii="仿宋_GB2312" w:hAnsi="仿宋_GB2312" w:eastAsia="仿宋_GB2312"/>
          <w:color w:val="auto"/>
          <w:sz w:val="32"/>
          <w:szCs w:val="32"/>
        </w:rPr>
        <w:t>%；</w:t>
      </w:r>
      <w:r>
        <w:rPr>
          <w:rFonts w:hint="eastAsia" w:ascii="仿宋_GB2312" w:hAnsi="仿宋_GB2312" w:eastAsia="仿宋_GB2312"/>
          <w:color w:val="auto"/>
          <w:sz w:val="32"/>
          <w:szCs w:val="32"/>
          <w:lang w:eastAsia="zh-CN"/>
        </w:rPr>
        <w:t>国有资本经营预算拨款收入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%；事业收入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%；事业单位经营收</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%；其他收入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w:t>
      </w:r>
    </w:p>
    <w:p>
      <w:pPr>
        <w:pStyle w:val="3"/>
        <w:bidi w:val="0"/>
        <w:ind w:firstLine="640" w:firstLineChars="200"/>
        <w:outlineLvl w:val="1"/>
        <w:rPr>
          <w:rFonts w:hint="eastAsia"/>
        </w:rPr>
      </w:pPr>
      <w:bookmarkStart w:id="6" w:name="_Toc29519"/>
      <w:r>
        <w:rPr>
          <w:rFonts w:hint="eastAsia"/>
        </w:rPr>
        <w:t>（二）支出预算情况</w:t>
      </w:r>
      <w:bookmarkEnd w:id="6"/>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ascii="仿宋_GB2312" w:hAnsi="仿宋_GB2312" w:eastAsia="仿宋_GB2312"/>
          <w:color w:val="auto"/>
          <w:sz w:val="32"/>
          <w:szCs w:val="32"/>
        </w:rPr>
        <w:t>年支出预算</w:t>
      </w:r>
      <w:r>
        <w:rPr>
          <w:rFonts w:hint="eastAsia" w:ascii="仿宋_GB2312" w:hAnsi="仿宋_GB2312" w:eastAsia="仿宋_GB2312"/>
          <w:color w:val="auto"/>
          <w:sz w:val="32"/>
          <w:szCs w:val="32"/>
          <w:lang w:val="en-US" w:eastAsia="zh-CN"/>
        </w:rPr>
        <w:t>966.09</w:t>
      </w:r>
      <w:r>
        <w:rPr>
          <w:rFonts w:ascii="仿宋_GB2312" w:hAnsi="仿宋_GB2312" w:eastAsia="仿宋_GB2312"/>
          <w:color w:val="auto"/>
          <w:sz w:val="32"/>
          <w:szCs w:val="32"/>
        </w:rPr>
        <w:t>万元，其中：基本支出</w:t>
      </w:r>
      <w:r>
        <w:rPr>
          <w:rFonts w:hint="eastAsia" w:ascii="仿宋_GB2312" w:hAnsi="仿宋_GB2312" w:eastAsia="仿宋_GB2312"/>
          <w:color w:val="auto"/>
          <w:sz w:val="32"/>
          <w:szCs w:val="32"/>
          <w:lang w:val="en-US" w:eastAsia="zh-CN"/>
        </w:rPr>
        <w:t>351.55</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36.39</w:t>
      </w:r>
      <w:r>
        <w:rPr>
          <w:rFonts w:ascii="仿宋_GB2312" w:hAnsi="仿宋_GB2312" w:eastAsia="仿宋_GB2312"/>
          <w:color w:val="auto"/>
          <w:sz w:val="32"/>
          <w:szCs w:val="32"/>
        </w:rPr>
        <w:t>%；项目支出</w:t>
      </w:r>
      <w:r>
        <w:rPr>
          <w:rFonts w:hint="eastAsia" w:ascii="仿宋_GB2312" w:hAnsi="仿宋_GB2312" w:eastAsia="仿宋_GB2312"/>
          <w:color w:val="auto"/>
          <w:sz w:val="32"/>
          <w:szCs w:val="32"/>
          <w:lang w:val="en-US" w:eastAsia="zh-CN"/>
        </w:rPr>
        <w:t>614.54</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63.61%</w:t>
      </w:r>
      <w:r>
        <w:rPr>
          <w:rFonts w:ascii="仿宋_GB2312" w:hAnsi="仿宋_GB2312" w:eastAsia="仿宋_GB2312"/>
          <w:color w:val="auto"/>
          <w:sz w:val="32"/>
          <w:szCs w:val="32"/>
        </w:rPr>
        <w:t>。</w:t>
      </w:r>
    </w:p>
    <w:p>
      <w:pPr>
        <w:pStyle w:val="2"/>
        <w:bidi w:val="0"/>
        <w:ind w:firstLine="640" w:firstLineChars="200"/>
        <w:outlineLvl w:val="0"/>
        <w:rPr>
          <w:rFonts w:hint="eastAsia"/>
        </w:rPr>
      </w:pPr>
      <w:bookmarkStart w:id="7" w:name="_Toc28389"/>
      <w:r>
        <w:rPr>
          <w:rFonts w:hint="eastAsia"/>
        </w:rPr>
        <w:t>四、财政拨款收支预算情况说明</w:t>
      </w:r>
      <w:bookmarkEnd w:id="7"/>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年财政拨款收支总预算</w:t>
      </w:r>
      <w:r>
        <w:rPr>
          <w:rFonts w:hint="eastAsia" w:ascii="仿宋_GB2312" w:hAnsi="仿宋_GB2312" w:eastAsia="仿宋_GB2312"/>
          <w:color w:val="auto"/>
          <w:sz w:val="32"/>
          <w:szCs w:val="32"/>
          <w:lang w:val="en-US" w:eastAsia="zh-CN"/>
        </w:rPr>
        <w:t>966.09</w:t>
      </w:r>
      <w:r>
        <w:rPr>
          <w:rFonts w:hint="eastAsia" w:ascii="仿宋_GB2312" w:hAnsi="仿宋_GB2312" w:eastAsia="仿宋_GB2312"/>
          <w:color w:val="auto"/>
          <w:sz w:val="32"/>
          <w:szCs w:val="32"/>
        </w:rPr>
        <w:t>万元。</w:t>
      </w:r>
      <w:r>
        <w:rPr>
          <w:rFonts w:ascii="仿宋_GB2312" w:hAnsi="仿宋_GB2312" w:eastAsia="仿宋_GB2312"/>
          <w:color w:val="auto"/>
          <w:sz w:val="32"/>
          <w:szCs w:val="32"/>
        </w:rPr>
        <w:t>收入包括：本年</w:t>
      </w:r>
      <w:r>
        <w:rPr>
          <w:rFonts w:hint="eastAsia"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val="en-US" w:eastAsia="zh-CN"/>
        </w:rPr>
        <w:t>966.09</w:t>
      </w:r>
      <w:r>
        <w:rPr>
          <w:rFonts w:hint="eastAsia" w:ascii="仿宋_GB2312" w:hAnsi="仿宋_GB2312" w:eastAsia="仿宋_GB2312"/>
          <w:color w:val="auto"/>
          <w:sz w:val="32"/>
          <w:szCs w:val="32"/>
        </w:rPr>
        <w:t>万元，政府性基金预算拨款收入</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r>
        <w:rPr>
          <w:rFonts w:ascii="仿宋_GB2312" w:hAnsi="仿宋_GB2312" w:eastAsia="仿宋_GB2312"/>
          <w:color w:val="auto"/>
          <w:sz w:val="32"/>
          <w:szCs w:val="32"/>
        </w:rPr>
        <w:t>上年结转一般公共预算拨款收入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w:t>
      </w:r>
      <w:r>
        <w:rPr>
          <w:rFonts w:hint="eastAsia" w:ascii="仿宋_GB2312" w:hAnsi="仿宋_GB2312" w:eastAsia="仿宋_GB2312"/>
          <w:color w:val="auto"/>
          <w:sz w:val="32"/>
          <w:szCs w:val="32"/>
        </w:rPr>
        <w:t>支出包括：一般公共服务支出</w:t>
      </w:r>
      <w:r>
        <w:rPr>
          <w:rFonts w:hint="eastAsia" w:ascii="仿宋_GB2312" w:hAnsi="仿宋_GB2312" w:eastAsia="仿宋_GB2312"/>
          <w:color w:val="auto"/>
          <w:sz w:val="32"/>
          <w:szCs w:val="32"/>
          <w:lang w:val="en-US" w:eastAsia="zh-CN"/>
        </w:rPr>
        <w:t>886.85</w:t>
      </w:r>
      <w:r>
        <w:rPr>
          <w:rFonts w:hint="eastAsia" w:ascii="仿宋_GB2312" w:hAnsi="仿宋_GB2312" w:eastAsia="仿宋_GB2312"/>
          <w:color w:val="auto"/>
          <w:sz w:val="32"/>
          <w:szCs w:val="32"/>
        </w:rPr>
        <w:t>万元、社会保障和就业支出</w:t>
      </w:r>
      <w:r>
        <w:rPr>
          <w:rFonts w:hint="eastAsia" w:ascii="仿宋_GB2312" w:hAnsi="仿宋_GB2312" w:eastAsia="仿宋_GB2312"/>
          <w:color w:val="auto"/>
          <w:sz w:val="32"/>
          <w:szCs w:val="32"/>
          <w:lang w:val="en-US" w:eastAsia="zh-CN"/>
        </w:rPr>
        <w:t>43.51</w:t>
      </w:r>
      <w:r>
        <w:rPr>
          <w:rFonts w:hint="eastAsia" w:ascii="仿宋_GB2312" w:hAnsi="仿宋_GB2312" w:eastAsia="仿宋_GB2312"/>
          <w:color w:val="auto"/>
          <w:sz w:val="32"/>
          <w:szCs w:val="32"/>
        </w:rPr>
        <w:t>万元、卫生健康支出</w:t>
      </w:r>
      <w:r>
        <w:rPr>
          <w:rFonts w:hint="eastAsia" w:ascii="仿宋_GB2312" w:hAnsi="仿宋_GB2312" w:eastAsia="仿宋_GB2312"/>
          <w:color w:val="auto"/>
          <w:sz w:val="32"/>
          <w:szCs w:val="32"/>
          <w:lang w:val="en-US" w:eastAsia="zh-CN"/>
        </w:rPr>
        <w:t>11.58</w:t>
      </w:r>
      <w:r>
        <w:rPr>
          <w:rFonts w:hint="eastAsia" w:ascii="仿宋_GB2312" w:hAnsi="仿宋_GB2312" w:eastAsia="仿宋_GB2312"/>
          <w:color w:val="auto"/>
          <w:sz w:val="32"/>
          <w:szCs w:val="32"/>
        </w:rPr>
        <w:t>万元、住房保障支出</w:t>
      </w:r>
      <w:r>
        <w:rPr>
          <w:rFonts w:hint="eastAsia" w:ascii="仿宋_GB2312" w:hAnsi="仿宋_GB2312" w:eastAsia="仿宋_GB2312"/>
          <w:color w:val="auto"/>
          <w:sz w:val="32"/>
          <w:szCs w:val="32"/>
          <w:lang w:val="en-US" w:eastAsia="zh-CN"/>
        </w:rPr>
        <w:t>24.15</w:t>
      </w:r>
      <w:r>
        <w:rPr>
          <w:rFonts w:hint="eastAsia" w:ascii="仿宋_GB2312" w:hAnsi="仿宋_GB2312" w:eastAsia="仿宋_GB2312"/>
          <w:color w:val="auto"/>
          <w:sz w:val="32"/>
          <w:szCs w:val="32"/>
        </w:rPr>
        <w:t>万元。</w:t>
      </w:r>
    </w:p>
    <w:p>
      <w:pPr>
        <w:pStyle w:val="2"/>
        <w:bidi w:val="0"/>
        <w:ind w:firstLine="640" w:firstLineChars="200"/>
        <w:rPr>
          <w:rFonts w:hint="eastAsia" w:ascii="宋体" w:hAnsi="宋体"/>
          <w:b w:val="0"/>
        </w:rPr>
      </w:pPr>
      <w:bookmarkStart w:id="8" w:name="_Toc17587"/>
      <w:r>
        <w:rPr>
          <w:rFonts w:hint="eastAsia" w:ascii="宋体" w:hAnsi="宋体"/>
          <w:b w:val="0"/>
        </w:rPr>
        <w:t>五、一般公共预算当年拨款情况说明</w:t>
      </w:r>
      <w:bookmarkEnd w:id="8"/>
    </w:p>
    <w:p>
      <w:pPr>
        <w:pStyle w:val="3"/>
        <w:bidi w:val="0"/>
        <w:ind w:firstLine="640" w:firstLineChars="200"/>
        <w:rPr>
          <w:rFonts w:hint="eastAsia"/>
        </w:rPr>
      </w:pPr>
      <w:bookmarkStart w:id="9" w:name="_Toc24712"/>
      <w:r>
        <w:rPr>
          <w:rFonts w:hint="eastAsia"/>
        </w:rPr>
        <w:t>（一）一般公共预算当年拨款规模变化情况</w:t>
      </w:r>
      <w:bookmarkEnd w:id="9"/>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年一般公共预算当年拨款</w:t>
      </w:r>
      <w:r>
        <w:rPr>
          <w:rFonts w:hint="eastAsia" w:ascii="仿宋_GB2312" w:hAnsi="仿宋_GB2312" w:eastAsia="仿宋_GB2312"/>
          <w:color w:val="auto"/>
          <w:sz w:val="32"/>
          <w:szCs w:val="32"/>
          <w:lang w:val="en-US" w:eastAsia="zh-CN"/>
        </w:rPr>
        <w:t>966.09</w:t>
      </w:r>
      <w:r>
        <w:rPr>
          <w:rFonts w:hint="eastAsia" w:ascii="仿宋_GB2312" w:hAnsi="仿宋_GB2312" w:eastAsia="仿宋_GB2312"/>
          <w:color w:val="auto"/>
          <w:sz w:val="32"/>
          <w:szCs w:val="32"/>
        </w:rPr>
        <w:t>万元，比20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年一般公共预算</w:t>
      </w:r>
      <w:r>
        <w:rPr>
          <w:rFonts w:hint="eastAsia" w:ascii="仿宋_GB2312" w:hAnsi="仿宋_GB2312" w:eastAsia="仿宋_GB2312"/>
          <w:color w:val="auto"/>
          <w:sz w:val="32"/>
          <w:szCs w:val="32"/>
          <w:lang w:eastAsia="zh-CN"/>
        </w:rPr>
        <w:t>收入</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val="en-US" w:eastAsia="zh-CN"/>
        </w:rPr>
        <w:t>增加11.56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w:t>
      </w:r>
      <w:r>
        <w:rPr>
          <w:rFonts w:hint="eastAsia" w:ascii="仿宋_GB2312" w:hAnsi="仿宋_GB2312" w:eastAsia="仿宋_GB2312"/>
          <w:color w:val="auto"/>
          <w:sz w:val="32"/>
          <w:szCs w:val="32"/>
          <w:lang w:val="en-US" w:eastAsia="zh-CN"/>
        </w:rPr>
        <w:t>原因是本年度持续推进两新党建和基层治理等项目工作，故</w:t>
      </w:r>
      <w:r>
        <w:rPr>
          <w:rFonts w:hint="eastAsia" w:ascii="仿宋_GB2312" w:hAnsi="仿宋_GB2312" w:eastAsia="仿宋_GB2312"/>
          <w:color w:val="auto"/>
          <w:sz w:val="32"/>
          <w:szCs w:val="32"/>
        </w:rPr>
        <w:t>预算</w:t>
      </w:r>
      <w:r>
        <w:rPr>
          <w:rFonts w:hint="eastAsia" w:ascii="仿宋_GB2312" w:hAnsi="仿宋_GB2312" w:eastAsia="仿宋_GB2312"/>
          <w:color w:val="auto"/>
          <w:sz w:val="32"/>
          <w:szCs w:val="32"/>
          <w:lang w:val="en-US" w:eastAsia="zh-CN"/>
        </w:rPr>
        <w:t>数有所增加。</w:t>
      </w:r>
    </w:p>
    <w:p>
      <w:pPr>
        <w:pStyle w:val="3"/>
        <w:bidi w:val="0"/>
        <w:ind w:firstLine="640" w:firstLineChars="200"/>
        <w:outlineLvl w:val="1"/>
        <w:rPr>
          <w:rFonts w:hint="eastAsia"/>
        </w:rPr>
      </w:pPr>
      <w:bookmarkStart w:id="10" w:name="_Toc4225"/>
      <w:r>
        <w:rPr>
          <w:rFonts w:hint="eastAsia"/>
        </w:rPr>
        <w:t>（二）一般公共预算当年拨款结构情况</w:t>
      </w:r>
      <w:bookmarkEnd w:id="10"/>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一般公共服务支出</w:t>
      </w:r>
      <w:r>
        <w:rPr>
          <w:rFonts w:hint="eastAsia" w:ascii="仿宋_GB2312" w:hAnsi="仿宋_GB2312" w:eastAsia="仿宋_GB2312"/>
          <w:color w:val="auto"/>
          <w:sz w:val="32"/>
          <w:szCs w:val="32"/>
          <w:lang w:val="en-US" w:eastAsia="zh-CN"/>
        </w:rPr>
        <w:t>886.85</w:t>
      </w:r>
      <w:r>
        <w:rPr>
          <w:rFonts w:hint="eastAsia"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91.80</w:t>
      </w: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43.51</w:t>
      </w:r>
      <w:r>
        <w:rPr>
          <w:rFonts w:hint="eastAsia"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4.5</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卫生健康支出</w:t>
      </w:r>
      <w:r>
        <w:rPr>
          <w:rFonts w:hint="eastAsia" w:ascii="仿宋_GB2312" w:hAnsi="仿宋_GB2312" w:eastAsia="仿宋_GB2312"/>
          <w:color w:val="auto"/>
          <w:sz w:val="32"/>
          <w:szCs w:val="32"/>
          <w:lang w:val="en-US" w:eastAsia="zh-CN"/>
        </w:rPr>
        <w:t>11.58</w:t>
      </w:r>
      <w:r>
        <w:rPr>
          <w:rFonts w:hint="eastAsia"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1.2</w:t>
      </w:r>
      <w:r>
        <w:rPr>
          <w:rFonts w:hint="eastAsia" w:ascii="仿宋_GB2312" w:hAnsi="仿宋_GB2312" w:eastAsia="仿宋_GB2312"/>
          <w:color w:val="auto"/>
          <w:sz w:val="32"/>
          <w:szCs w:val="32"/>
        </w:rPr>
        <w:t>%；住房保障支出</w:t>
      </w:r>
      <w:r>
        <w:rPr>
          <w:rFonts w:hint="eastAsia" w:ascii="仿宋_GB2312" w:hAnsi="仿宋_GB2312" w:eastAsia="仿宋_GB2312"/>
          <w:color w:val="auto"/>
          <w:sz w:val="32"/>
          <w:szCs w:val="32"/>
          <w:lang w:val="en-US" w:eastAsia="zh-CN"/>
        </w:rPr>
        <w:t>24.15</w:t>
      </w:r>
      <w:r>
        <w:rPr>
          <w:rFonts w:hint="eastAsia"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w:t>
      </w:r>
    </w:p>
    <w:p>
      <w:pPr>
        <w:pStyle w:val="3"/>
        <w:bidi w:val="0"/>
        <w:ind w:firstLine="640" w:firstLineChars="200"/>
        <w:outlineLvl w:val="1"/>
        <w:rPr>
          <w:rFonts w:hint="eastAsia"/>
        </w:rPr>
      </w:pPr>
      <w:bookmarkStart w:id="11" w:name="_Toc9372"/>
      <w:r>
        <w:rPr>
          <w:rFonts w:hint="eastAsia"/>
        </w:rPr>
        <w:t>（三）一般公共预算当年拨款具体使用情况</w:t>
      </w:r>
      <w:bookmarkEnd w:id="11"/>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1.一般公共服务（类）</w:t>
      </w:r>
      <w:r>
        <w:rPr>
          <w:rFonts w:hint="eastAsia" w:ascii="仿宋_GB2312" w:hAnsi="仿宋_GB2312" w:eastAsia="仿宋_GB2312"/>
          <w:color w:val="auto"/>
          <w:sz w:val="32"/>
          <w:szCs w:val="32"/>
          <w:lang w:eastAsia="zh-CN"/>
        </w:rPr>
        <w:t>组织事务（款）</w:t>
      </w:r>
      <w:r>
        <w:rPr>
          <w:rFonts w:hint="eastAsia" w:ascii="仿宋_GB2312" w:hAnsi="仿宋_GB2312" w:eastAsia="仿宋_GB2312"/>
          <w:color w:val="auto"/>
          <w:sz w:val="32"/>
          <w:szCs w:val="32"/>
        </w:rPr>
        <w:t>行政运行（项）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219.89</w:t>
      </w:r>
      <w:r>
        <w:rPr>
          <w:rFonts w:hint="eastAsia" w:ascii="仿宋_GB2312" w:hAnsi="仿宋_GB2312" w:eastAsia="仿宋_GB2312"/>
          <w:color w:val="auto"/>
          <w:sz w:val="32"/>
          <w:szCs w:val="32"/>
        </w:rPr>
        <w:t>万元，主要用于：工资福利支出</w:t>
      </w:r>
      <w:r>
        <w:rPr>
          <w:rFonts w:hint="eastAsia" w:ascii="仿宋_GB2312" w:hAnsi="仿宋_GB2312" w:eastAsia="仿宋_GB2312"/>
          <w:color w:val="auto"/>
          <w:sz w:val="32"/>
          <w:szCs w:val="32"/>
          <w:lang w:eastAsia="zh-CN"/>
        </w:rPr>
        <w:t>、商品和服务支出、对个人和家庭的补助支出</w:t>
      </w:r>
      <w:r>
        <w:rPr>
          <w:rFonts w:hint="eastAsia" w:ascii="仿宋_GB2312" w:hAnsi="仿宋_GB2312" w:eastAsia="仿宋_GB2312"/>
          <w:color w:val="auto"/>
          <w:sz w:val="32"/>
          <w:szCs w:val="32"/>
        </w:rPr>
        <w:t>。</w:t>
      </w:r>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 一般公共服务（类）</w:t>
      </w:r>
      <w:r>
        <w:rPr>
          <w:rFonts w:hint="eastAsia" w:ascii="仿宋_GB2312" w:hAnsi="仿宋_GB2312" w:eastAsia="仿宋_GB2312"/>
          <w:color w:val="auto"/>
          <w:sz w:val="32"/>
          <w:szCs w:val="32"/>
          <w:lang w:eastAsia="zh-CN"/>
        </w:rPr>
        <w:t>组织事务（款）</w:t>
      </w:r>
      <w:r>
        <w:rPr>
          <w:rFonts w:hint="eastAsia" w:ascii="仿宋_GB2312" w:hAnsi="仿宋_GB2312" w:eastAsia="仿宋_GB2312"/>
          <w:color w:val="auto"/>
          <w:sz w:val="32"/>
          <w:szCs w:val="32"/>
        </w:rPr>
        <w:t>一般行政管理事务（项）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614.54</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商品和服务支出、对个人和家庭的补助支出</w:t>
      </w:r>
      <w:r>
        <w:rPr>
          <w:rFonts w:hint="eastAsia" w:ascii="仿宋_GB2312" w:hAnsi="仿宋_GB2312" w:eastAsia="仿宋_GB2312"/>
          <w:color w:val="auto"/>
          <w:sz w:val="32"/>
          <w:szCs w:val="32"/>
        </w:rPr>
        <w:t>。</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 一般公共服务（类）</w:t>
      </w:r>
      <w:r>
        <w:rPr>
          <w:rFonts w:hint="eastAsia" w:ascii="仿宋_GB2312" w:hAnsi="仿宋_GB2312" w:eastAsia="仿宋_GB2312"/>
          <w:color w:val="auto"/>
          <w:sz w:val="32"/>
          <w:szCs w:val="32"/>
          <w:lang w:eastAsia="zh-CN"/>
        </w:rPr>
        <w:t>组织事务（款）</w:t>
      </w:r>
      <w:r>
        <w:rPr>
          <w:rFonts w:hint="eastAsia" w:ascii="仿宋_GB2312" w:hAnsi="仿宋_GB2312" w:eastAsia="仿宋_GB2312"/>
          <w:color w:val="auto"/>
          <w:sz w:val="32"/>
          <w:szCs w:val="32"/>
          <w:lang w:val="en-US" w:eastAsia="zh-CN"/>
        </w:rPr>
        <w:t>事业</w:t>
      </w:r>
      <w:r>
        <w:rPr>
          <w:rFonts w:hint="eastAsia" w:ascii="仿宋_GB2312" w:hAnsi="仿宋_GB2312" w:eastAsia="仿宋_GB2312"/>
          <w:color w:val="auto"/>
          <w:sz w:val="32"/>
          <w:szCs w:val="32"/>
        </w:rPr>
        <w:t>运行（项）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52.42</w:t>
      </w:r>
      <w:r>
        <w:rPr>
          <w:rFonts w:hint="eastAsia" w:ascii="仿宋_GB2312" w:hAnsi="仿宋_GB2312" w:eastAsia="仿宋_GB2312"/>
          <w:color w:val="auto"/>
          <w:sz w:val="32"/>
          <w:szCs w:val="32"/>
        </w:rPr>
        <w:t>万元，主要用于：工资福利支出</w:t>
      </w:r>
      <w:r>
        <w:rPr>
          <w:rFonts w:hint="eastAsia" w:ascii="仿宋_GB2312" w:hAnsi="仿宋_GB2312" w:eastAsia="仿宋_GB2312"/>
          <w:color w:val="auto"/>
          <w:sz w:val="32"/>
          <w:szCs w:val="32"/>
          <w:lang w:eastAsia="zh-CN"/>
        </w:rPr>
        <w:t>、商品和服务支出、对个人和家庭的补助支出</w:t>
      </w:r>
      <w:r>
        <w:rPr>
          <w:rFonts w:hint="eastAsia" w:ascii="仿宋_GB2312" w:hAnsi="仿宋_GB2312" w:eastAsia="仿宋_GB2312"/>
          <w:color w:val="auto"/>
          <w:sz w:val="32"/>
          <w:szCs w:val="32"/>
        </w:rPr>
        <w:t>。</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eastAsia="zh-CN"/>
        </w:rPr>
        <w:t>行政事业单位养老支出（款）机关事业单位基本养老保险缴费支出</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28.66</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机关</w:t>
      </w:r>
      <w:r>
        <w:rPr>
          <w:rFonts w:hint="eastAsia" w:ascii="仿宋_GB2312" w:hAnsi="仿宋_GB2312" w:eastAsia="仿宋_GB2312"/>
          <w:color w:val="auto"/>
          <w:sz w:val="32"/>
          <w:szCs w:val="32"/>
        </w:rPr>
        <w:t>事业单位基本养老保险费支出。</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eastAsia="zh-CN"/>
        </w:rPr>
        <w:t>行政事业单位养老支出</w:t>
      </w:r>
      <w:r>
        <w:rPr>
          <w:rFonts w:hint="eastAsia" w:ascii="仿宋_GB2312" w:hAnsi="仿宋_GB2312" w:eastAsia="仿宋_GB2312"/>
          <w:color w:val="auto"/>
          <w:sz w:val="32"/>
          <w:szCs w:val="32"/>
        </w:rPr>
        <w:t>（款）机关事业单位职业年金缴费支出（项）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14.33</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职业年金缴费支出</w:t>
      </w:r>
      <w:r>
        <w:rPr>
          <w:rFonts w:hint="eastAsia" w:ascii="仿宋_GB2312" w:hAnsi="仿宋_GB2312" w:eastAsia="仿宋_GB2312"/>
          <w:color w:val="auto"/>
          <w:sz w:val="32"/>
          <w:szCs w:val="32"/>
        </w:rPr>
        <w:t>。</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.社会保障和就业支出（类）其他社会保障和就业支出（款）其他社会保障和就业支出（项）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0.52</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其他社会保障缴费</w:t>
      </w:r>
      <w:r>
        <w:rPr>
          <w:rFonts w:hint="eastAsia" w:ascii="仿宋_GB2312" w:hAnsi="仿宋_GB2312" w:eastAsia="仿宋_GB2312"/>
          <w:color w:val="auto"/>
          <w:sz w:val="32"/>
          <w:szCs w:val="32"/>
        </w:rPr>
        <w:t>支出。</w:t>
      </w:r>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7</w:t>
      </w:r>
      <w:r>
        <w:rPr>
          <w:rFonts w:hint="eastAsia" w:ascii="仿宋_GB2312" w:hAnsi="仿宋_GB2312" w:eastAsia="仿宋_GB2312"/>
          <w:color w:val="auto"/>
          <w:sz w:val="32"/>
          <w:szCs w:val="32"/>
        </w:rPr>
        <w:t>.卫生健康支出（类）行政事业单位医疗（款）行政单位医疗（项）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9.51</w:t>
      </w:r>
      <w:r>
        <w:rPr>
          <w:rFonts w:hint="eastAsia" w:ascii="仿宋_GB2312" w:hAnsi="仿宋_GB2312" w:eastAsia="仿宋_GB2312"/>
          <w:color w:val="auto"/>
          <w:sz w:val="32"/>
          <w:szCs w:val="32"/>
        </w:rPr>
        <w:t>万元，主要用于：职工基本医疗保险缴费支出。</w:t>
      </w:r>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8.</w:t>
      </w:r>
      <w:r>
        <w:rPr>
          <w:rFonts w:hint="eastAsia" w:ascii="仿宋_GB2312" w:hAnsi="仿宋_GB2312" w:eastAsia="仿宋_GB2312"/>
          <w:color w:val="auto"/>
          <w:sz w:val="32"/>
          <w:szCs w:val="32"/>
        </w:rPr>
        <w:t>卫生健康支出（类）行政事业单位医疗（款）事业单位医疗（项）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2.07</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职工基本医疗保险缴费支出</w:t>
      </w:r>
      <w:r>
        <w:rPr>
          <w:rFonts w:hint="eastAsia" w:ascii="仿宋_GB2312" w:hAnsi="仿宋_GB2312" w:eastAsia="仿宋_GB2312"/>
          <w:color w:val="auto"/>
          <w:sz w:val="32"/>
          <w:szCs w:val="32"/>
        </w:rPr>
        <w:t>。</w:t>
      </w:r>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9</w:t>
      </w:r>
      <w:r>
        <w:rPr>
          <w:rFonts w:hint="eastAsia" w:ascii="仿宋_GB2312" w:hAnsi="仿宋_GB2312" w:eastAsia="仿宋_GB2312"/>
          <w:color w:val="auto"/>
          <w:sz w:val="32"/>
          <w:szCs w:val="32"/>
        </w:rPr>
        <w:t>.住房保障支出（类）住房改革支出（款）住房公积金（项）</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24.15</w:t>
      </w:r>
      <w:r>
        <w:rPr>
          <w:rFonts w:hint="eastAsia" w:ascii="仿宋_GB2312" w:hAnsi="仿宋_GB2312" w:eastAsia="仿宋_GB2312"/>
          <w:color w:val="auto"/>
          <w:sz w:val="32"/>
          <w:szCs w:val="32"/>
        </w:rPr>
        <w:t>万元，主要用于：单位职</w:t>
      </w:r>
      <w:r>
        <w:rPr>
          <w:rFonts w:hint="eastAsia" w:ascii="仿宋_GB2312" w:hAnsi="仿宋_GB2312" w:eastAsia="仿宋_GB2312"/>
          <w:color w:val="auto"/>
          <w:sz w:val="32"/>
          <w:szCs w:val="32"/>
          <w:lang w:val="en-US" w:eastAsia="zh-CN"/>
        </w:rPr>
        <w:t>工</w:t>
      </w:r>
      <w:r>
        <w:rPr>
          <w:rFonts w:hint="eastAsia" w:ascii="仿宋_GB2312" w:hAnsi="仿宋_GB2312" w:eastAsia="仿宋_GB2312"/>
          <w:color w:val="auto"/>
          <w:sz w:val="32"/>
          <w:szCs w:val="32"/>
        </w:rPr>
        <w:t>住房公积金支出。</w:t>
      </w:r>
    </w:p>
    <w:p>
      <w:pPr>
        <w:pStyle w:val="2"/>
        <w:bidi w:val="0"/>
        <w:ind w:firstLine="640" w:firstLineChars="200"/>
        <w:outlineLvl w:val="0"/>
        <w:rPr>
          <w:rFonts w:hint="eastAsia"/>
        </w:rPr>
      </w:pPr>
      <w:bookmarkStart w:id="12" w:name="_Toc12521"/>
      <w:r>
        <w:rPr>
          <w:rFonts w:hint="eastAsia"/>
        </w:rPr>
        <w:t>六、一般公共预算基本支出情况说明</w:t>
      </w:r>
      <w:bookmarkEnd w:id="12"/>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年一般公共预算基本支出</w:t>
      </w:r>
      <w:r>
        <w:rPr>
          <w:rFonts w:hint="eastAsia" w:ascii="仿宋_GB2312" w:hAnsi="仿宋_GB2312" w:eastAsia="仿宋_GB2312"/>
          <w:color w:val="auto"/>
          <w:sz w:val="32"/>
          <w:szCs w:val="32"/>
          <w:lang w:val="en-US" w:eastAsia="zh-CN"/>
        </w:rPr>
        <w:t>351.55</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其中：人员经费</w:t>
      </w:r>
      <w:r>
        <w:rPr>
          <w:rFonts w:hint="eastAsia" w:ascii="仿宋_GB2312" w:hAnsi="仿宋_GB2312" w:eastAsia="仿宋_GB2312"/>
          <w:color w:val="auto"/>
          <w:sz w:val="32"/>
          <w:szCs w:val="32"/>
          <w:lang w:val="en-US" w:eastAsia="zh-CN"/>
        </w:rPr>
        <w:t>296.63</w:t>
      </w:r>
      <w:r>
        <w:rPr>
          <w:rFonts w:hint="eastAsia" w:ascii="仿宋_GB2312" w:hAnsi="仿宋_GB2312" w:eastAsia="仿宋_GB2312"/>
          <w:color w:val="auto"/>
          <w:sz w:val="32"/>
          <w:szCs w:val="32"/>
        </w:rPr>
        <w:t>万元，主要包括：基本工资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津贴补贴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奖金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绩效工资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机关事业</w:t>
      </w:r>
      <w:bookmarkStart w:id="22" w:name="_GoBack"/>
      <w:bookmarkEnd w:id="22"/>
      <w:r>
        <w:rPr>
          <w:rFonts w:hint="eastAsia" w:ascii="仿宋_GB2312" w:hAnsi="仿宋_GB2312" w:eastAsia="仿宋_GB2312"/>
          <w:color w:val="auto"/>
          <w:sz w:val="32"/>
          <w:szCs w:val="32"/>
        </w:rPr>
        <w:t>单位基本养老保险缴费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职业年金缴费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职工基本医疗保险缴费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其他社会保障缴费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住房公积金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其他工资福利支出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奖励金、其他对个人和家庭的补助支出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公用经费</w:t>
      </w:r>
      <w:r>
        <w:rPr>
          <w:rFonts w:hint="eastAsia" w:ascii="仿宋_GB2312" w:hAnsi="仿宋_GB2312" w:eastAsia="仿宋_GB2312"/>
          <w:color w:val="auto"/>
          <w:sz w:val="32"/>
          <w:szCs w:val="32"/>
          <w:lang w:val="en-US" w:eastAsia="zh-CN"/>
        </w:rPr>
        <w:t>54.92</w:t>
      </w:r>
      <w:r>
        <w:rPr>
          <w:rFonts w:hint="eastAsia" w:ascii="仿宋_GB2312" w:hAnsi="仿宋_GB2312" w:eastAsia="仿宋_GB2312"/>
          <w:color w:val="auto"/>
          <w:sz w:val="32"/>
          <w:szCs w:val="32"/>
        </w:rPr>
        <w:t>万元，主要包括：办公费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水费、</w:t>
      </w:r>
      <w:r>
        <w:rPr>
          <w:rFonts w:hint="eastAsia" w:ascii="仿宋_GB2312" w:hAnsi="仿宋_GB2312" w:eastAsia="仿宋_GB2312"/>
          <w:color w:val="auto"/>
          <w:sz w:val="32"/>
          <w:szCs w:val="32"/>
        </w:rPr>
        <w:t>电费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邮电费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物业管理费、差旅费、</w:t>
      </w:r>
      <w:r>
        <w:rPr>
          <w:rFonts w:hint="eastAsia" w:ascii="仿宋_GB2312" w:hAnsi="仿宋_GB2312" w:eastAsia="仿宋_GB2312"/>
          <w:color w:val="auto"/>
          <w:sz w:val="32"/>
          <w:szCs w:val="32"/>
        </w:rPr>
        <w:t>会议费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公务接待费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劳务费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工会经费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公务用车运行维护费、</w:t>
      </w:r>
      <w:r>
        <w:rPr>
          <w:rFonts w:hint="eastAsia" w:ascii="仿宋_GB2312" w:hAnsi="仿宋_GB2312" w:eastAsia="仿宋_GB2312"/>
          <w:color w:val="auto"/>
          <w:sz w:val="32"/>
          <w:szCs w:val="32"/>
        </w:rPr>
        <w:t>其他交通费用</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其他商品和服务支出</w:t>
      </w:r>
      <w:r>
        <w:rPr>
          <w:rFonts w:hint="eastAsia" w:ascii="仿宋_GB2312" w:hAnsi="仿宋_GB2312" w:eastAsia="仿宋_GB2312"/>
          <w:color w:val="auto"/>
          <w:sz w:val="32"/>
          <w:szCs w:val="32"/>
        </w:rPr>
        <w:t>。</w:t>
      </w:r>
    </w:p>
    <w:p>
      <w:pPr>
        <w:pStyle w:val="2"/>
        <w:bidi w:val="0"/>
        <w:ind w:firstLine="640" w:firstLineChars="200"/>
        <w:rPr>
          <w:rFonts w:hint="eastAsia"/>
        </w:rPr>
      </w:pPr>
      <w:bookmarkStart w:id="13" w:name="_Toc21524"/>
      <w:r>
        <w:rPr>
          <w:rFonts w:hint="eastAsia"/>
        </w:rPr>
        <w:t>七、“三公”经费财政拨款预算安排情况说明</w:t>
      </w:r>
      <w:bookmarkEnd w:id="13"/>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年“三公”经费财政拨款预算数</w:t>
      </w:r>
      <w:r>
        <w:rPr>
          <w:rFonts w:hint="eastAsia" w:ascii="仿宋_GB2312" w:hAnsi="仿宋_GB2312" w:eastAsia="仿宋_GB2312"/>
          <w:color w:val="auto"/>
          <w:sz w:val="32"/>
          <w:szCs w:val="32"/>
          <w:lang w:val="en-US" w:eastAsia="zh-CN"/>
        </w:rPr>
        <w:t>3.9</w:t>
      </w:r>
      <w:r>
        <w:rPr>
          <w:rFonts w:hint="eastAsia" w:ascii="仿宋_GB2312" w:hAnsi="仿宋_GB2312" w:eastAsia="仿宋_GB2312"/>
          <w:color w:val="auto"/>
          <w:sz w:val="32"/>
          <w:szCs w:val="32"/>
        </w:rPr>
        <w:t>万元，其中：因公出国（境）经费0万元，公务接待费</w:t>
      </w:r>
      <w:r>
        <w:rPr>
          <w:rFonts w:hint="eastAsia" w:ascii="仿宋_GB2312" w:hAnsi="仿宋_GB2312" w:eastAsia="仿宋_GB2312"/>
          <w:color w:val="auto"/>
          <w:sz w:val="32"/>
          <w:szCs w:val="32"/>
          <w:lang w:val="en-US" w:eastAsia="zh-CN"/>
        </w:rPr>
        <w:t>1.5</w:t>
      </w:r>
      <w:r>
        <w:rPr>
          <w:rFonts w:hint="eastAsia" w:ascii="仿宋_GB2312" w:hAnsi="仿宋_GB2312" w:eastAsia="仿宋_GB2312"/>
          <w:color w:val="auto"/>
          <w:sz w:val="32"/>
          <w:szCs w:val="32"/>
        </w:rPr>
        <w:t>万元，公务用车购置0万元，公务用车运行维护费</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万元。</w:t>
      </w:r>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（一）因公出国（境）经费与20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年预算持平。</w:t>
      </w:r>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（二）公务接待费与</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年预算持平。</w:t>
      </w:r>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（三）公务用车购置及运行维护费与</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val="en-US" w:eastAsia="zh-CN"/>
        </w:rPr>
        <w:t>减少0.6万元</w:t>
      </w:r>
      <w:r>
        <w:rPr>
          <w:rFonts w:hint="eastAsia" w:ascii="仿宋_GB2312" w:hAnsi="仿宋_GB2312" w:eastAsia="仿宋_GB2312"/>
          <w:color w:val="auto"/>
          <w:sz w:val="32"/>
          <w:szCs w:val="32"/>
        </w:rPr>
        <w:t>。主要原因是</w:t>
      </w:r>
      <w:r>
        <w:rPr>
          <w:rFonts w:hint="eastAsia" w:ascii="仿宋_GB2312" w:hAnsi="仿宋_GB2312" w:eastAsia="仿宋_GB2312"/>
          <w:color w:val="auto"/>
          <w:sz w:val="32"/>
          <w:szCs w:val="32"/>
          <w:lang w:val="en-US" w:eastAsia="zh-CN"/>
        </w:rPr>
        <w:t>落实中央八项规定，严格控制“三公”费用</w:t>
      </w:r>
      <w:r>
        <w:rPr>
          <w:rFonts w:hint="eastAsia" w:ascii="仿宋_GB2312" w:hAnsi="仿宋_GB2312" w:eastAsia="仿宋_GB2312"/>
          <w:color w:val="auto"/>
          <w:sz w:val="32"/>
          <w:szCs w:val="32"/>
        </w:rPr>
        <w:t>。</w:t>
      </w:r>
    </w:p>
    <w:p>
      <w:pPr>
        <w:pStyle w:val="2"/>
        <w:bidi w:val="0"/>
        <w:ind w:firstLine="640" w:firstLineChars="200"/>
        <w:rPr>
          <w:rFonts w:hint="eastAsia"/>
        </w:rPr>
      </w:pPr>
      <w:bookmarkStart w:id="14" w:name="_Toc27791"/>
      <w:r>
        <w:rPr>
          <w:rFonts w:hint="eastAsia"/>
        </w:rPr>
        <w:t>八、政府性基金预算收支情况说明</w:t>
      </w:r>
      <w:bookmarkEnd w:id="14"/>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年政府性基金预算</w:t>
      </w:r>
      <w:r>
        <w:rPr>
          <w:rFonts w:hint="eastAsia" w:ascii="仿宋_GB2312" w:hAnsi="仿宋_GB2312" w:eastAsia="仿宋_GB2312"/>
          <w:color w:val="auto"/>
          <w:sz w:val="32"/>
          <w:szCs w:val="32"/>
          <w:lang w:val="en-US" w:eastAsia="zh-CN"/>
        </w:rPr>
        <w:t>收入0万元，与2023年相比下降100%，主要原因是政府性基金无预算；支出0万元，与2023年相比下降100%，主要原因是政府性基金无预算。</w:t>
      </w:r>
    </w:p>
    <w:p>
      <w:pPr>
        <w:pStyle w:val="2"/>
        <w:bidi w:val="0"/>
        <w:ind w:firstLine="640" w:firstLineChars="200"/>
        <w:rPr>
          <w:rFonts w:hint="eastAsia"/>
        </w:rPr>
      </w:pPr>
      <w:bookmarkStart w:id="15" w:name="_Toc20119"/>
      <w:r>
        <w:rPr>
          <w:rFonts w:hint="eastAsia"/>
        </w:rPr>
        <w:t>九、国有资本经营预算支出情况说明</w:t>
      </w:r>
      <w:bookmarkEnd w:id="15"/>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年使用国有资本经营预算拨款安排0万元，其中：基本支出0万元，项目支出0万元。</w:t>
      </w:r>
    </w:p>
    <w:p>
      <w:pPr>
        <w:pStyle w:val="2"/>
        <w:bidi w:val="0"/>
        <w:ind w:firstLine="640" w:firstLineChars="200"/>
        <w:rPr>
          <w:rFonts w:hint="eastAsia"/>
          <w:color w:val="auto"/>
        </w:rPr>
      </w:pPr>
      <w:bookmarkStart w:id="16" w:name="_Toc20936"/>
      <w:r>
        <w:rPr>
          <w:rFonts w:hint="eastAsia"/>
          <w:color w:val="auto"/>
        </w:rPr>
        <w:t>十、其他重要事项的情况说明</w:t>
      </w:r>
      <w:bookmarkEnd w:id="16"/>
    </w:p>
    <w:p>
      <w:pPr>
        <w:pStyle w:val="3"/>
        <w:bidi w:val="0"/>
        <w:ind w:firstLine="640" w:firstLineChars="200"/>
        <w:rPr>
          <w:rFonts w:hint="eastAsia"/>
          <w:color w:val="auto"/>
        </w:rPr>
      </w:pPr>
      <w:bookmarkStart w:id="17" w:name="_Toc2374"/>
      <w:r>
        <w:rPr>
          <w:rFonts w:hint="eastAsia"/>
          <w:color w:val="auto"/>
        </w:rPr>
        <w:t>（一）机关运行经费</w:t>
      </w:r>
      <w:bookmarkEnd w:id="17"/>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　2024年，中共德阳市罗江区委组织部机关运行经费财政预算为54.92万元，比2023年</w:t>
      </w:r>
      <w:r>
        <w:rPr>
          <w:rFonts w:hint="eastAsia" w:ascii="仿宋_GB2312" w:hAnsi="仿宋_GB2312" w:eastAsia="仿宋_GB2312"/>
          <w:color w:val="auto"/>
          <w:sz w:val="32"/>
          <w:szCs w:val="32"/>
        </w:rPr>
        <w:t>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11.2</w:t>
      </w:r>
      <w:r>
        <w:rPr>
          <w:rFonts w:hint="eastAsia" w:ascii="仿宋_GB2312" w:hAnsi="仿宋_GB2312" w:eastAsia="仿宋_GB2312"/>
          <w:color w:val="auto"/>
          <w:sz w:val="32"/>
          <w:szCs w:val="32"/>
        </w:rPr>
        <w:t>万元</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olor w:val="000000" w:themeColor="text1"/>
          <w:sz w:val="32"/>
          <w:szCs w:val="32"/>
          <w:lang w:val="en-US" w:eastAsia="zh-CN"/>
          <w14:textFill>
            <w14:solidFill>
              <w14:schemeClr w14:val="tx1"/>
            </w14:solidFill>
          </w14:textFill>
        </w:rPr>
        <w:t>16.93</w:t>
      </w:r>
      <w:r>
        <w:rPr>
          <w:rFonts w:hint="eastAsia" w:ascii="仿宋_GB2312" w:hAnsi="仿宋_GB2312" w:eastAsia="仿宋_GB2312"/>
          <w:color w:val="000000" w:themeColor="text1"/>
          <w:sz w:val="32"/>
          <w:szCs w:val="32"/>
          <w14:textFill>
            <w14:solidFill>
              <w14:schemeClr w14:val="tx1"/>
            </w14:solidFill>
          </w14:textFill>
        </w:rPr>
        <w:t>%。</w:t>
      </w:r>
    </w:p>
    <w:p>
      <w:pPr>
        <w:pStyle w:val="3"/>
        <w:bidi w:val="0"/>
        <w:ind w:firstLine="640" w:firstLineChars="200"/>
        <w:rPr>
          <w:rFonts w:hint="eastAsia"/>
          <w:color w:val="auto"/>
        </w:rPr>
      </w:pPr>
      <w:bookmarkStart w:id="18" w:name="_Toc10444"/>
      <w:r>
        <w:rPr>
          <w:rFonts w:hint="eastAsia"/>
          <w:color w:val="auto"/>
        </w:rPr>
        <w:t>（二）政府采购情况</w:t>
      </w:r>
      <w:bookmarkEnd w:id="18"/>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2024</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中共德阳市罗江区委组织部</w:t>
      </w:r>
      <w:r>
        <w:rPr>
          <w:rFonts w:hint="eastAsia" w:ascii="仿宋_GB2312" w:hAnsi="仿宋_GB2312" w:eastAsia="仿宋_GB2312"/>
          <w:color w:val="auto"/>
          <w:sz w:val="32"/>
          <w:szCs w:val="32"/>
        </w:rPr>
        <w:t>安排政府采购预算0万元。</w:t>
      </w:r>
    </w:p>
    <w:p>
      <w:pPr>
        <w:pStyle w:val="3"/>
        <w:bidi w:val="0"/>
        <w:ind w:firstLine="640" w:firstLineChars="200"/>
        <w:rPr>
          <w:rFonts w:hint="eastAsia"/>
          <w:color w:val="auto"/>
        </w:rPr>
      </w:pPr>
      <w:bookmarkStart w:id="19" w:name="_Toc7342"/>
      <w:r>
        <w:rPr>
          <w:rFonts w:hint="eastAsia"/>
          <w:color w:val="auto"/>
        </w:rPr>
        <w:t>（三）国有资产占有使用情况</w:t>
      </w:r>
      <w:bookmarkEnd w:id="19"/>
    </w:p>
    <w:p>
      <w:pPr>
        <w:keepNext w:val="0"/>
        <w:keepLines w:val="0"/>
        <w:pageBreakBefore w:val="0"/>
        <w:widowControl w:val="0"/>
        <w:shd w:val="clear" w:color="auto"/>
        <w:kinsoku/>
        <w:wordWrap/>
        <w:overflowPunct/>
        <w:topLinePunct w:val="0"/>
        <w:bidi w:val="0"/>
        <w:adjustRightInd/>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截至20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年底，</w:t>
      </w:r>
      <w:r>
        <w:rPr>
          <w:rFonts w:hint="eastAsia" w:ascii="仿宋_GB2312" w:hAnsi="仿宋_GB2312" w:eastAsia="仿宋_GB2312"/>
          <w:color w:val="auto"/>
          <w:sz w:val="32"/>
          <w:szCs w:val="32"/>
          <w:lang w:eastAsia="zh-CN"/>
        </w:rPr>
        <w:t>中共德阳市罗江区委组织部</w:t>
      </w:r>
      <w:r>
        <w:rPr>
          <w:rFonts w:hint="eastAsia" w:ascii="仿宋_GB2312" w:hAnsi="仿宋_GB2312" w:eastAsia="仿宋_GB2312"/>
          <w:color w:val="auto"/>
          <w:sz w:val="32"/>
          <w:szCs w:val="32"/>
        </w:rPr>
        <w:t>所属各预算单位共有固定资产</w:t>
      </w:r>
      <w:r>
        <w:rPr>
          <w:rFonts w:hint="eastAsia" w:ascii="仿宋_GB2312" w:hAnsi="仿宋_GB2312" w:eastAsia="仿宋_GB2312"/>
          <w:color w:val="auto"/>
          <w:sz w:val="32"/>
          <w:szCs w:val="32"/>
          <w:lang w:val="en-US" w:eastAsia="zh-CN"/>
        </w:rPr>
        <w:t>总额224.78</w:t>
      </w:r>
      <w:r>
        <w:rPr>
          <w:rFonts w:hint="eastAsia" w:ascii="仿宋_GB2312" w:hAnsi="仿宋_GB2312" w:eastAsia="仿宋_GB2312"/>
          <w:color w:val="auto"/>
          <w:sz w:val="32"/>
          <w:szCs w:val="32"/>
        </w:rPr>
        <w:t>万元，其中公务用车</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辆。其中：办公用房</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万元，其他固定资产</w:t>
      </w:r>
      <w:r>
        <w:rPr>
          <w:rFonts w:hint="eastAsia" w:ascii="仿宋_GB2312" w:hAnsi="仿宋_GB2312" w:eastAsia="仿宋_GB2312"/>
          <w:color w:val="auto"/>
          <w:sz w:val="32"/>
          <w:szCs w:val="32"/>
          <w:lang w:val="en-US" w:eastAsia="zh-CN"/>
        </w:rPr>
        <w:t>224.78</w:t>
      </w:r>
      <w:r>
        <w:rPr>
          <w:rFonts w:hint="eastAsia" w:ascii="仿宋_GB2312" w:hAnsi="仿宋_GB2312" w:eastAsia="仿宋_GB2312"/>
          <w:color w:val="auto"/>
          <w:sz w:val="32"/>
          <w:szCs w:val="32"/>
        </w:rPr>
        <w:t>万元。</w:t>
      </w:r>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年部门预算未安排购置车辆及单位价值200万元以上大型设备。</w:t>
      </w:r>
    </w:p>
    <w:p>
      <w:pPr>
        <w:pStyle w:val="3"/>
        <w:bidi w:val="0"/>
        <w:ind w:firstLine="640" w:firstLineChars="200"/>
        <w:rPr>
          <w:rFonts w:hint="eastAsia"/>
          <w:color w:val="auto"/>
        </w:rPr>
      </w:pPr>
      <w:bookmarkStart w:id="20" w:name="_Toc7258"/>
      <w:r>
        <w:rPr>
          <w:rFonts w:hint="eastAsia"/>
          <w:color w:val="auto"/>
        </w:rPr>
        <w:t>（四）绩效目标设置情况</w:t>
      </w:r>
      <w:bookmarkEnd w:id="20"/>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中共德阳市罗江区委组织部</w:t>
      </w:r>
      <w:r>
        <w:rPr>
          <w:rFonts w:hint="eastAsia" w:ascii="仿宋_GB2312" w:hAnsi="仿宋_GB2312" w:eastAsia="仿宋_GB2312"/>
          <w:color w:val="auto"/>
          <w:sz w:val="32"/>
          <w:szCs w:val="32"/>
        </w:rPr>
        <w:t>部门通用项目和专用项目均按要求实行绩效目标管理，涉及一般公共预算当年拨款</w:t>
      </w:r>
      <w:r>
        <w:rPr>
          <w:rFonts w:hint="eastAsia" w:ascii="仿宋_GB2312" w:hAnsi="仿宋_GB2312" w:eastAsia="仿宋_GB2312"/>
          <w:color w:val="auto"/>
          <w:sz w:val="32"/>
          <w:szCs w:val="32"/>
          <w:lang w:val="en-US" w:eastAsia="zh-CN"/>
        </w:rPr>
        <w:t>966.09</w:t>
      </w:r>
      <w:r>
        <w:rPr>
          <w:rFonts w:hint="eastAsia" w:ascii="仿宋_GB2312" w:hAnsi="仿宋_GB2312" w:eastAsia="仿宋_GB2312"/>
          <w:color w:val="auto"/>
          <w:sz w:val="32"/>
          <w:szCs w:val="32"/>
        </w:rPr>
        <w:t>万元。</w:t>
      </w:r>
    </w:p>
    <w:p>
      <w:pPr>
        <w:pStyle w:val="2"/>
        <w:bidi w:val="0"/>
        <w:ind w:firstLine="640" w:firstLineChars="200"/>
        <w:rPr>
          <w:rFonts w:hint="eastAsia"/>
        </w:rPr>
      </w:pPr>
      <w:bookmarkStart w:id="21" w:name="_Toc21330"/>
      <w:r>
        <w:rPr>
          <w:rFonts w:hint="eastAsia"/>
          <w:lang w:val="en-US" w:eastAsia="zh-CN"/>
        </w:rPr>
        <w:t>十一、</w:t>
      </w:r>
      <w:r>
        <w:rPr>
          <w:rFonts w:hint="eastAsia"/>
        </w:rPr>
        <w:t>名词解释</w:t>
      </w:r>
      <w:bookmarkEnd w:id="21"/>
    </w:p>
    <w:p>
      <w:pPr>
        <w:keepNext w:val="0"/>
        <w:keepLines w:val="0"/>
        <w:pageBreakBefore w:val="0"/>
        <w:widowControl w:val="0"/>
        <w:numPr>
          <w:ilvl w:val="0"/>
          <w:numId w:val="0"/>
        </w:numPr>
        <w:shd w:val="clear" w:color="auto"/>
        <w:kinsoku/>
        <w:wordWrap/>
        <w:overflowPunct/>
        <w:topLinePunct w:val="0"/>
        <w:bidi w:val="0"/>
        <w:adjustRightInd/>
        <w:spacing w:line="560" w:lineRule="exact"/>
        <w:ind w:firstLine="643" w:firstLineChars="200"/>
        <w:jc w:val="both"/>
        <w:textAlignment w:val="auto"/>
        <w:rPr>
          <w:rFonts w:ascii="仿宋_GB2312" w:hAnsi="仿宋_GB2312" w:eastAsia="仿宋_GB2312"/>
          <w:color w:val="auto"/>
          <w:sz w:val="32"/>
          <w:szCs w:val="32"/>
        </w:rPr>
      </w:pPr>
      <w:r>
        <w:rPr>
          <w:rFonts w:hint="eastAsia" w:ascii="楷体_GB2312" w:hAnsi="楷体_GB2312" w:eastAsia="楷体_GB2312" w:cs="楷体_GB2312"/>
          <w:b/>
          <w:bCs/>
          <w:color w:val="auto"/>
          <w:sz w:val="32"/>
          <w:szCs w:val="32"/>
        </w:rPr>
        <w:t>（一）一般公共预算拨款收入：</w:t>
      </w:r>
      <w:r>
        <w:rPr>
          <w:rFonts w:hint="eastAsia" w:ascii="仿宋_GB2312" w:hAnsi="仿宋_GB2312" w:eastAsia="仿宋_GB2312"/>
          <w:color w:val="auto"/>
          <w:sz w:val="32"/>
          <w:szCs w:val="32"/>
        </w:rPr>
        <w:t>指区级财政当年</w:t>
      </w:r>
      <w:r>
        <w:rPr>
          <w:rFonts w:hint="eastAsia" w:ascii="仿宋_GB2312" w:hAnsi="仿宋_GB2312" w:eastAsia="仿宋_GB2312"/>
          <w:color w:val="auto"/>
          <w:sz w:val="32"/>
          <w:szCs w:val="32"/>
          <w:lang w:eastAsia="zh-CN"/>
        </w:rPr>
        <w:t>公共预算</w:t>
      </w:r>
      <w:r>
        <w:rPr>
          <w:rFonts w:hint="eastAsia" w:ascii="仿宋_GB2312" w:hAnsi="仿宋_GB2312" w:eastAsia="仿宋_GB2312"/>
          <w:color w:val="auto"/>
          <w:sz w:val="32"/>
          <w:szCs w:val="32"/>
        </w:rPr>
        <w:t>拨付的资金。</w:t>
      </w:r>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b/>
          <w:bCs/>
          <w:color w:val="auto"/>
          <w:sz w:val="32"/>
          <w:szCs w:val="32"/>
        </w:rPr>
        <w:t>　（二）上年结转：</w:t>
      </w:r>
      <w:r>
        <w:rPr>
          <w:rFonts w:hint="eastAsia" w:ascii="仿宋_GB2312" w:hAnsi="仿宋_GB2312" w:eastAsia="仿宋_GB2312"/>
          <w:color w:val="auto"/>
          <w:sz w:val="32"/>
          <w:szCs w:val="32"/>
        </w:rPr>
        <w:t>指以前年度尚未完成、结转到本年仍按原规定用途继续使用的资金。</w:t>
      </w:r>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楷体_GB2312" w:hAnsi="楷体_GB2312" w:eastAsia="楷体_GB2312" w:cs="楷体_GB2312"/>
          <w:b/>
          <w:bCs/>
          <w:color w:val="auto"/>
          <w:sz w:val="32"/>
          <w:szCs w:val="32"/>
        </w:rPr>
        <w:t>　　（三）基本支出：</w:t>
      </w:r>
      <w:r>
        <w:rPr>
          <w:rFonts w:hint="eastAsia" w:ascii="仿宋_GB2312" w:hAnsi="仿宋_GB2312" w:eastAsia="仿宋_GB2312"/>
          <w:color w:val="auto"/>
          <w:sz w:val="32"/>
          <w:szCs w:val="32"/>
        </w:rPr>
        <w:t>指为保障机构正常运转、完成日常工作任务所必需的人员经费和日常公用经费。</w:t>
      </w:r>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ascii="仿宋_GB2312" w:hAnsi="仿宋_GB2312" w:eastAsia="仿宋_GB2312"/>
          <w:color w:val="auto"/>
          <w:sz w:val="32"/>
          <w:szCs w:val="32"/>
        </w:rPr>
      </w:pPr>
      <w:r>
        <w:rPr>
          <w:rFonts w:hint="eastAsia" w:ascii="楷体_GB2312" w:hAnsi="楷体_GB2312" w:eastAsia="楷体_GB2312" w:cs="楷体_GB2312"/>
          <w:b/>
          <w:bCs/>
          <w:color w:val="auto"/>
          <w:sz w:val="32"/>
          <w:szCs w:val="32"/>
        </w:rPr>
        <w:t>　　（四）项目支出：</w:t>
      </w:r>
      <w:r>
        <w:rPr>
          <w:rFonts w:hint="eastAsia" w:ascii="仿宋_GB2312" w:hAnsi="仿宋_GB2312" w:eastAsia="仿宋_GB2312"/>
          <w:color w:val="auto"/>
          <w:sz w:val="32"/>
          <w:szCs w:val="32"/>
        </w:rPr>
        <w:t>指在基本支出之外，为完成特定的行政工作任务或事业发展目标所发生的支出。</w:t>
      </w:r>
    </w:p>
    <w:p>
      <w:pPr>
        <w:keepNext w:val="0"/>
        <w:keepLines w:val="0"/>
        <w:pageBreakBefore w:val="0"/>
        <w:widowControl w:val="0"/>
        <w:shd w:val="clear" w:color="auto"/>
        <w:kinsoku/>
        <w:wordWrap/>
        <w:overflowPunct/>
        <w:topLinePunct w:val="0"/>
        <w:bidi w:val="0"/>
        <w:adjustRightInd/>
        <w:spacing w:line="560" w:lineRule="exact"/>
        <w:ind w:firstLine="645"/>
        <w:jc w:val="both"/>
        <w:textAlignment w:val="auto"/>
        <w:rPr>
          <w:rFonts w:ascii="仿宋_GB2312" w:hAnsi="仿宋_GB2312" w:eastAsia="仿宋_GB2312"/>
          <w:color w:val="auto"/>
          <w:sz w:val="32"/>
          <w:szCs w:val="32"/>
        </w:rPr>
      </w:pPr>
      <w:r>
        <w:rPr>
          <w:rFonts w:hint="eastAsia" w:ascii="楷体_GB2312" w:hAnsi="楷体_GB2312" w:eastAsia="楷体_GB2312" w:cs="楷体_GB2312"/>
          <w:b/>
          <w:bCs/>
          <w:color w:val="auto"/>
          <w:sz w:val="32"/>
          <w:szCs w:val="32"/>
        </w:rPr>
        <w:t>（五）“三公”经费：</w:t>
      </w:r>
      <w:r>
        <w:rPr>
          <w:rFonts w:hint="eastAsia" w:ascii="仿宋_GB2312" w:hAnsi="仿宋_GB2312" w:eastAsia="仿宋_GB2312"/>
          <w:color w:val="auto"/>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shd w:val="clear" w:color="auto"/>
        <w:kinsoku/>
        <w:wordWrap/>
        <w:overflowPunct/>
        <w:topLinePunct w:val="0"/>
        <w:autoSpaceDE w:val="0"/>
        <w:autoSpaceDN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（六）一般公共服务支出（类）组织事务（款）行政运行（项）: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行政单位（包括实行公务员管理的事业单位）的基本支出。</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（七）一般公共服务（类）组织事务（款）一般行政管理事务（项）: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行政单位（包括实行公务员管理的事业单位）未单独设置项级科目的其他项目支出。</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（八）一般公共服务（类）组织事务（款）事业运行（项）: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事业单位的基础支出，不包括行政单位（包括实行公务员管理的事业单位）后勤服务中心、医务室等附属事业单位。</w:t>
      </w:r>
    </w:p>
    <w:p>
      <w:pPr>
        <w:keepNext w:val="0"/>
        <w:keepLines w:val="0"/>
        <w:pageBreakBefore w:val="0"/>
        <w:widowControl w:val="0"/>
        <w:shd w:val="clear" w:color="auto"/>
        <w:kinsoku/>
        <w:wordWrap/>
        <w:overflowPunct/>
        <w:topLinePunct w:val="0"/>
        <w:bidi w:val="0"/>
        <w:adjustRightInd/>
        <w:spacing w:line="560" w:lineRule="exact"/>
        <w:ind w:firstLine="643"/>
        <w:jc w:val="both"/>
        <w:textAlignment w:val="auto"/>
        <w:rPr>
          <w:rFonts w:ascii="仿宋_GB2312" w:hAnsi="仿宋_GB2312" w:eastAsia="仿宋_GB2312"/>
          <w:color w:val="auto"/>
          <w:sz w:val="32"/>
        </w:rPr>
      </w:pPr>
      <w:r>
        <w:rPr>
          <w:rFonts w:hint="eastAsia" w:ascii="楷体_GB2312" w:hAnsi="楷体_GB2312" w:eastAsia="楷体_GB2312" w:cs="楷体_GB2312"/>
          <w:b/>
          <w:bCs/>
          <w:color w:val="auto"/>
          <w:sz w:val="32"/>
          <w:szCs w:val="32"/>
        </w:rPr>
        <w:t>（九）社会保障和就业（类）其他社会保障和就业支出（款）其他社会保障和就业支出（项）:</w:t>
      </w:r>
      <w:r>
        <w:rPr>
          <w:rFonts w:ascii="仿宋_GB2312" w:hAnsi="仿宋_GB2312" w:eastAsia="仿宋_GB2312"/>
          <w:color w:val="auto"/>
          <w:sz w:val="32"/>
        </w:rPr>
        <w:t>反</w:t>
      </w:r>
      <w:r>
        <w:rPr>
          <w:rFonts w:hint="eastAsia" w:ascii="仿宋_GB2312" w:hAnsi="仿宋_GB2312" w:eastAsia="仿宋_GB2312"/>
          <w:color w:val="auto"/>
          <w:sz w:val="32"/>
        </w:rPr>
        <w:t>映</w:t>
      </w:r>
      <w:r>
        <w:rPr>
          <w:rFonts w:ascii="仿宋_GB2312" w:hAnsi="仿宋_GB2312" w:eastAsia="仿宋_GB2312"/>
          <w:color w:val="auto"/>
          <w:sz w:val="32"/>
        </w:rPr>
        <w:t>其他用于社会保障和就业方面的支出。</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（十）社会保障和就业（类）行政事业单位离退休（款）机关事业单位基本养老保险缴费支出（项）: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机关事业单位实施养老保险支付由单位缴纳的基本养老保险费支出。</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（十一）社会保障和就业（类）行政事业单位离退休（款）机关事业单位职业年金缴费支出（项）: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机关事业单位实施养老保险制度由单位实际缴纳的职业年金支出。</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（十二）医疗卫生与计划生育（类）医疗保障（款）行政单位医疗（项）: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（十三）医疗卫生与计划生育（类）医疗保障（款）事业单位医疗（项）: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财政部门集中安排的事业单位基本医疗保险缴费经费，未参加医疗保险的事业单位的公费医疗经费，按国家规定享受离休人员、红军老战士待遇人员的医疗经费。</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hAnsi="仿宋_GB2312" w:eastAsia="仿宋_GB2312"/>
          <w:color w:val="auto"/>
          <w:sz w:val="32"/>
        </w:rPr>
      </w:pPr>
      <w:r>
        <w:rPr>
          <w:rFonts w:hint="eastAsia" w:ascii="楷体_GB2312" w:hAnsi="楷体_GB2312" w:eastAsia="楷体_GB2312" w:cs="楷体_GB2312"/>
          <w:b/>
          <w:bCs/>
          <w:color w:val="auto"/>
          <w:sz w:val="32"/>
          <w:szCs w:val="32"/>
        </w:rPr>
        <w:t>（十四）医疗卫生与计划生育（类）行政事业单位医疗（款）其他行政事业单位医疗支出（项）:</w:t>
      </w:r>
      <w:r>
        <w:rPr>
          <w:rFonts w:ascii="仿宋_GB2312" w:hAnsi="仿宋_GB2312" w:eastAsia="仿宋_GB2312"/>
          <w:color w:val="auto"/>
          <w:sz w:val="32"/>
        </w:rPr>
        <w:t>反</w:t>
      </w:r>
      <w:r>
        <w:rPr>
          <w:rFonts w:hint="eastAsia" w:ascii="仿宋_GB2312" w:hAnsi="仿宋_GB2312" w:eastAsia="仿宋_GB2312"/>
          <w:color w:val="auto"/>
          <w:sz w:val="32"/>
        </w:rPr>
        <w:t>映</w:t>
      </w:r>
      <w:r>
        <w:rPr>
          <w:rFonts w:ascii="仿宋_GB2312" w:hAnsi="仿宋_GB2312" w:eastAsia="仿宋_GB2312"/>
          <w:color w:val="auto"/>
          <w:sz w:val="32"/>
        </w:rPr>
        <w:t>其他用于行政事业单位医疗方面的支出。</w:t>
      </w:r>
    </w:p>
    <w:p>
      <w:pPr>
        <w:pStyle w:val="10"/>
        <w:keepNext w:val="0"/>
        <w:keepLines w:val="0"/>
        <w:pageBreakBefore w:val="0"/>
        <w:widowControl w:val="0"/>
        <w:shd w:val="clear" w:color="auto"/>
        <w:kinsoku/>
        <w:wordWrap/>
        <w:overflowPunct/>
        <w:topLinePunct w:val="0"/>
        <w:bidi w:val="0"/>
        <w:adjustRightInd/>
        <w:spacing w:after="0" w:line="560" w:lineRule="exact"/>
        <w:ind w:left="0" w:leftChars="0"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kern w:val="2"/>
          <w:sz w:val="32"/>
          <w:szCs w:val="32"/>
          <w:lang w:val="en-US" w:eastAsia="zh-CN" w:bidi="ar-SA"/>
        </w:rPr>
        <w:t>（十五）城乡社区事务支出（类）国有土地使用权出让收入及对映专项债务收入安排的支出（款）其他国有土地使用权出让收入安排的支出（项）：</w:t>
      </w:r>
      <w:r>
        <w:rPr>
          <w:rFonts w:hint="eastAsia" w:ascii="仿宋_GB2312" w:eastAsia="仿宋_GB2312"/>
          <w:color w:val="auto"/>
          <w:sz w:val="32"/>
        </w:rPr>
        <w:t>反映土地出让收入用于其他方面的支出。不包括市县级政府当年按规定用土地出让收入向中央和省级政府缴纳的新增建设用地土地有偿使用费的支出。</w:t>
      </w:r>
    </w:p>
    <w:p>
      <w:pPr>
        <w:keepNext w:val="0"/>
        <w:keepLines w:val="0"/>
        <w:pageBreakBefore w:val="0"/>
        <w:widowControl w:val="0"/>
        <w:shd w:val="clear" w:color="auto"/>
        <w:kinsoku/>
        <w:wordWrap/>
        <w:overflowPunct/>
        <w:topLinePunct w:val="0"/>
        <w:bidi w:val="0"/>
        <w:adjustRightInd/>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（十六）住房保障支出（类）住房改革支出（款）住房公积金（项）: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 xml:space="preserve">行政事业单位按人力资源和社会保障部、财政部规定的基本工资和津贴补贴以及规定比例向职工缴纳住房公积金。 </w:t>
      </w:r>
    </w:p>
    <w:p>
      <w:pPr>
        <w:keepNext w:val="0"/>
        <w:keepLines w:val="0"/>
        <w:pageBreakBefore w:val="0"/>
        <w:widowControl w:val="0"/>
        <w:shd w:val="clear" w:color="auto"/>
        <w:kinsoku/>
        <w:wordWrap/>
        <w:overflowPunct/>
        <w:topLinePunct w:val="0"/>
        <w:autoSpaceDE w:val="0"/>
        <w:autoSpaceDN w:val="0"/>
        <w:bidi w:val="0"/>
        <w:adjustRightInd/>
        <w:spacing w:line="560" w:lineRule="exact"/>
        <w:ind w:firstLine="640"/>
        <w:jc w:val="both"/>
        <w:textAlignment w:val="auto"/>
      </w:pPr>
      <w:r>
        <w:rPr>
          <w:rFonts w:hint="eastAsia" w:ascii="楷体_GB2312" w:hAnsi="楷体_GB2312" w:eastAsia="楷体_GB2312" w:cs="楷体_GB2312"/>
          <w:b/>
          <w:bCs/>
          <w:color w:val="auto"/>
          <w:sz w:val="32"/>
          <w:szCs w:val="32"/>
        </w:rPr>
        <w:t>（十七）机关运行经费：</w:t>
      </w:r>
      <w:r>
        <w:rPr>
          <w:rFonts w:ascii="仿宋_GB2312" w:eastAsia="仿宋_GB2312"/>
          <w:color w:val="auto"/>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shd w:val="clear" w:color="auto"/>
        <w:kinsoku/>
        <w:wordWrap/>
        <w:overflowPunct/>
        <w:topLinePunct w:val="0"/>
        <w:bidi w:val="0"/>
        <w:adjustRightInd/>
        <w:spacing w:line="560" w:lineRule="exact"/>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附件：</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lang w:eastAsia="zh-CN"/>
        </w:rPr>
        <w:t>年部门预算公开表</w:t>
      </w:r>
    </w:p>
    <w:p>
      <w:pPr>
        <w:keepNext w:val="0"/>
        <w:keepLines w:val="0"/>
        <w:pageBreakBefore w:val="0"/>
        <w:widowControl w:val="0"/>
        <w:shd w:val="clear" w:color="auto"/>
        <w:kinsoku/>
        <w:wordWrap/>
        <w:overflowPunct/>
        <w:topLinePunct w:val="0"/>
        <w:bidi w:val="0"/>
        <w:adjustRightInd/>
        <w:spacing w:line="560" w:lineRule="exact"/>
        <w:ind w:firstLine="960" w:firstLineChars="3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lang w:eastAsia="zh-CN"/>
        </w:rPr>
        <w:t>中共德阳市罗江区委组织部202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lang w:eastAsia="zh-CN"/>
        </w:rPr>
        <w:t>年部门项目绩效目标公开表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3.中共德阳市罗江区委组织部2024年部门整体绩效目标公开表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sectPr>
          <w:footerReference r:id="rId4" w:type="default"/>
          <w:pgSz w:w="11906" w:h="16838"/>
          <w:pgMar w:top="1984" w:right="1474" w:bottom="2098" w:left="1588" w:header="851" w:footer="1415" w:gutter="0"/>
          <w:pgNumType w:fmt="decimal"/>
          <w:cols w:space="0" w:num="1"/>
          <w:rtlGutter w:val="0"/>
          <w:docGrid w:type="lines" w:linePitch="671"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shd w:val="clear" w:color="auto"/>
        <w:kinsoku/>
        <w:wordWrap/>
        <w:overflowPunct/>
        <w:topLinePunct w:val="0"/>
        <w:autoSpaceDE/>
        <w:autoSpaceDN/>
        <w:bidi w:val="0"/>
        <w:adjustRightInd/>
        <w:snapToGrid/>
        <w:spacing w:line="520" w:lineRule="exact"/>
        <w:jc w:val="both"/>
        <w:textAlignment w:val="auto"/>
        <w:rPr>
          <w:color w:val="auto"/>
        </w:rPr>
      </w:pPr>
    </w:p>
    <w:sectPr>
      <w:pgSz w:w="11906" w:h="16838"/>
      <w:pgMar w:top="1984" w:right="1474" w:bottom="2098" w:left="1588" w:header="851" w:footer="1415" w:gutter="0"/>
      <w:pgNumType w:fmt="decimal"/>
      <w:cols w:space="0" w:num="1"/>
      <w:rtlGutter w:val="0"/>
      <w:docGrid w:type="lines" w:linePitch="6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6543415A"/>
    <w:rsid w:val="00E0003B"/>
    <w:rsid w:val="01A66682"/>
    <w:rsid w:val="03A830D8"/>
    <w:rsid w:val="04664A9E"/>
    <w:rsid w:val="046E083B"/>
    <w:rsid w:val="0479335F"/>
    <w:rsid w:val="04AD2F96"/>
    <w:rsid w:val="05A5708C"/>
    <w:rsid w:val="05B1781F"/>
    <w:rsid w:val="068F61C4"/>
    <w:rsid w:val="079E68F5"/>
    <w:rsid w:val="07F628DA"/>
    <w:rsid w:val="09D973F0"/>
    <w:rsid w:val="0D3E4538"/>
    <w:rsid w:val="0D77076A"/>
    <w:rsid w:val="0D915FD5"/>
    <w:rsid w:val="0E3E6B21"/>
    <w:rsid w:val="10282130"/>
    <w:rsid w:val="12015736"/>
    <w:rsid w:val="12C119AD"/>
    <w:rsid w:val="141379A2"/>
    <w:rsid w:val="14D135A5"/>
    <w:rsid w:val="162D2909"/>
    <w:rsid w:val="17BC7272"/>
    <w:rsid w:val="183465AE"/>
    <w:rsid w:val="196842EC"/>
    <w:rsid w:val="1B1D12F9"/>
    <w:rsid w:val="1CD81789"/>
    <w:rsid w:val="1E6827A9"/>
    <w:rsid w:val="1E8707A4"/>
    <w:rsid w:val="1EE605E6"/>
    <w:rsid w:val="1F6900C3"/>
    <w:rsid w:val="1FD9384E"/>
    <w:rsid w:val="20356F94"/>
    <w:rsid w:val="2141482B"/>
    <w:rsid w:val="21B80D4F"/>
    <w:rsid w:val="22155769"/>
    <w:rsid w:val="23420BAF"/>
    <w:rsid w:val="23902EAD"/>
    <w:rsid w:val="242D2485"/>
    <w:rsid w:val="24FB4266"/>
    <w:rsid w:val="2504136D"/>
    <w:rsid w:val="25C45831"/>
    <w:rsid w:val="26A10E3D"/>
    <w:rsid w:val="27B13546"/>
    <w:rsid w:val="280C7A22"/>
    <w:rsid w:val="28EE028B"/>
    <w:rsid w:val="2ADE023E"/>
    <w:rsid w:val="2BA13CBB"/>
    <w:rsid w:val="2BC07914"/>
    <w:rsid w:val="2C2B2026"/>
    <w:rsid w:val="2CE221BD"/>
    <w:rsid w:val="2D3677C6"/>
    <w:rsid w:val="2E650704"/>
    <w:rsid w:val="2E76495E"/>
    <w:rsid w:val="2F123E97"/>
    <w:rsid w:val="2F9E6419"/>
    <w:rsid w:val="2FAC3399"/>
    <w:rsid w:val="2FC040E2"/>
    <w:rsid w:val="30360848"/>
    <w:rsid w:val="304A4AC4"/>
    <w:rsid w:val="323C78AD"/>
    <w:rsid w:val="33743082"/>
    <w:rsid w:val="360F3D97"/>
    <w:rsid w:val="387168C2"/>
    <w:rsid w:val="38A16656"/>
    <w:rsid w:val="39B5458C"/>
    <w:rsid w:val="3A573FEC"/>
    <w:rsid w:val="3A70240D"/>
    <w:rsid w:val="3AC76C6D"/>
    <w:rsid w:val="3B49541D"/>
    <w:rsid w:val="3BC9487E"/>
    <w:rsid w:val="3DC70D32"/>
    <w:rsid w:val="3F493A17"/>
    <w:rsid w:val="3F767237"/>
    <w:rsid w:val="40C50A7E"/>
    <w:rsid w:val="41C247C5"/>
    <w:rsid w:val="42DA263A"/>
    <w:rsid w:val="43B049C3"/>
    <w:rsid w:val="44A24B31"/>
    <w:rsid w:val="45D66FE1"/>
    <w:rsid w:val="46396545"/>
    <w:rsid w:val="47B24EC8"/>
    <w:rsid w:val="48E204C5"/>
    <w:rsid w:val="497E361B"/>
    <w:rsid w:val="4A8204BA"/>
    <w:rsid w:val="4B7E60F2"/>
    <w:rsid w:val="4BFF1E5A"/>
    <w:rsid w:val="4C5E56EC"/>
    <w:rsid w:val="4DA56090"/>
    <w:rsid w:val="4F617ED9"/>
    <w:rsid w:val="4F642B60"/>
    <w:rsid w:val="50963140"/>
    <w:rsid w:val="51C008A7"/>
    <w:rsid w:val="51D672E8"/>
    <w:rsid w:val="52476098"/>
    <w:rsid w:val="52E32DFB"/>
    <w:rsid w:val="52F966B8"/>
    <w:rsid w:val="53B23102"/>
    <w:rsid w:val="590A3278"/>
    <w:rsid w:val="5A087FF2"/>
    <w:rsid w:val="5B51231C"/>
    <w:rsid w:val="5D152BB5"/>
    <w:rsid w:val="5E287A3D"/>
    <w:rsid w:val="5EB43529"/>
    <w:rsid w:val="5FDD621D"/>
    <w:rsid w:val="60124BA6"/>
    <w:rsid w:val="61616800"/>
    <w:rsid w:val="63180DC2"/>
    <w:rsid w:val="63181564"/>
    <w:rsid w:val="634C7460"/>
    <w:rsid w:val="64634A61"/>
    <w:rsid w:val="6543415A"/>
    <w:rsid w:val="664B4805"/>
    <w:rsid w:val="68985454"/>
    <w:rsid w:val="6CBA368C"/>
    <w:rsid w:val="6DC95B75"/>
    <w:rsid w:val="6E65757B"/>
    <w:rsid w:val="6E6B510A"/>
    <w:rsid w:val="6F085C0E"/>
    <w:rsid w:val="72E8523C"/>
    <w:rsid w:val="731F52BC"/>
    <w:rsid w:val="73532623"/>
    <w:rsid w:val="73614AFD"/>
    <w:rsid w:val="73810E9E"/>
    <w:rsid w:val="73AD6B40"/>
    <w:rsid w:val="744F4C3F"/>
    <w:rsid w:val="758C3C79"/>
    <w:rsid w:val="763F289C"/>
    <w:rsid w:val="76454824"/>
    <w:rsid w:val="77410C5A"/>
    <w:rsid w:val="77AF09EF"/>
    <w:rsid w:val="790A7077"/>
    <w:rsid w:val="7A772BBC"/>
    <w:rsid w:val="7A923E9A"/>
    <w:rsid w:val="7BAC4AE8"/>
    <w:rsid w:val="7C114309"/>
    <w:rsid w:val="7C375D5C"/>
    <w:rsid w:val="7E5F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outlineLvl w:val="0"/>
    </w:pPr>
    <w:rPr>
      <w:rFonts w:ascii="宋体" w:hAnsi="宋体" w:eastAsia="黑体"/>
      <w:kern w:val="44"/>
      <w:sz w:val="32"/>
    </w:rPr>
  </w:style>
  <w:style w:type="paragraph" w:styleId="3">
    <w:name w:val="heading 2"/>
    <w:basedOn w:val="1"/>
    <w:next w:val="1"/>
    <w:autoRedefine/>
    <w:unhideWhenUsed/>
    <w:qFormat/>
    <w:uiPriority w:val="0"/>
    <w:pPr>
      <w:keepNext/>
      <w:keepLines/>
      <w:spacing w:beforeLines="0" w:beforeAutospacing="0" w:afterLines="0" w:afterAutospacing="0" w:line="560" w:lineRule="exact"/>
      <w:outlineLvl w:val="1"/>
    </w:pPr>
    <w:rPr>
      <w:rFonts w:ascii="Arial" w:hAnsi="Arial" w:eastAsia="楷体_GB2312"/>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unhideWhenUsed/>
    <w:qFormat/>
    <w:uiPriority w:val="99"/>
    <w:pPr>
      <w:spacing w:after="120"/>
      <w:ind w:left="420" w:leftChars="200"/>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autoRedefine/>
    <w:unhideWhenUsed/>
    <w:qFormat/>
    <w:uiPriority w:val="39"/>
    <w:pPr>
      <w:tabs>
        <w:tab w:val="right" w:leader="dot" w:pos="8296"/>
      </w:tabs>
      <w:ind w:left="420" w:leftChars="200"/>
    </w:pPr>
  </w:style>
  <w:style w:type="paragraph" w:styleId="10">
    <w:name w:val="Body Text First Indent 2"/>
    <w:basedOn w:val="5"/>
    <w:autoRedefine/>
    <w:unhideWhenUsed/>
    <w:qFormat/>
    <w:uiPriority w:val="99"/>
    <w:pPr>
      <w:ind w:firstLine="420" w:firstLineChars="200"/>
    </w:pPr>
  </w:style>
  <w:style w:type="character" w:styleId="13">
    <w:name w:val="Emphasis"/>
    <w:basedOn w:val="12"/>
    <w:autoRedefine/>
    <w:qFormat/>
    <w:uiPriority w:val="20"/>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5638</Words>
  <Characters>6007</Characters>
  <Lines>0</Lines>
  <Paragraphs>0</Paragraphs>
  <TotalTime>3</TotalTime>
  <ScaleCrop>false</ScaleCrop>
  <LinksUpToDate>false</LinksUpToDate>
  <CharactersWithSpaces>6106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2020-06-11T01:42:00Z</dcterms:created>
  <dc:creator>Administrator</dc:creator>
  <cp:lastModifiedBy>阁主</cp:lastModifiedBy>
  <cp:lastPrinted>2024-01-21T01:51:00Z</cp:lastPrinted>
  <dcterms:modified xsi:type="dcterms:W3CDTF">2024-01-26T08:32:44Z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B128776C9CC4410E95888936E5147499</vt:lpwstr>
  </property>
</Properties>
</file>