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outlineLvl w:val="9"/>
        <w:rPr>
          <w:rFonts w:hint="eastAsia" w:ascii="方正粗黑宋简体" w:hAnsi="方正粗黑宋简体" w:eastAsia="方正粗黑宋简体" w:cs="方正粗黑宋简体"/>
          <w:kern w:val="2"/>
          <w:sz w:val="44"/>
          <w:szCs w:val="44"/>
          <w:lang w:val="en-US" w:eastAsia="zh-CN" w:bidi="ar-SA"/>
        </w:rPr>
      </w:pPr>
      <w:bookmarkStart w:id="0" w:name="_Toc9317"/>
    </w:p>
    <w:p>
      <w:pPr>
        <w:pStyle w:val="7"/>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1" w:name="_Toc3494"/>
      <w:r>
        <w:rPr>
          <w:rFonts w:hint="eastAsia" w:ascii="Times New Roman" w:hAnsi="Times New Roman" w:eastAsia="方正粗黑宋简体" w:cs="方正粗黑宋简体"/>
          <w:kern w:val="2"/>
          <w:sz w:val="44"/>
          <w:szCs w:val="44"/>
          <w:lang w:val="en-US" w:eastAsia="zh-CN" w:bidi="ar-SA"/>
        </w:rPr>
        <w:t>德阳市罗江区</w:t>
      </w:r>
      <w:bookmarkEnd w:id="0"/>
      <w:bookmarkEnd w:id="1"/>
    </w:p>
    <w:p>
      <w:pPr>
        <w:pStyle w:val="7"/>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2" w:name="_Toc27510"/>
      <w:r>
        <w:rPr>
          <w:rFonts w:hint="eastAsia" w:ascii="Times New Roman" w:hAnsi="Times New Roman" w:eastAsia="方正粗黑宋简体" w:cs="方正粗黑宋简体"/>
          <w:kern w:val="2"/>
          <w:sz w:val="44"/>
          <w:szCs w:val="44"/>
          <w:lang w:val="en-US" w:eastAsia="zh-CN" w:bidi="ar-SA"/>
        </w:rPr>
        <w:t>交通运输局2024年部门预算编制</w:t>
      </w:r>
      <w:bookmarkEnd w:id="2"/>
    </w:p>
    <w:p>
      <w:pPr>
        <w:pStyle w:val="7"/>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3" w:name="_Toc8768"/>
      <w:r>
        <w:rPr>
          <w:rFonts w:hint="eastAsia" w:ascii="Times New Roman" w:hAnsi="Times New Roman" w:eastAsia="方正粗黑宋简体" w:cs="方正粗黑宋简体"/>
          <w:kern w:val="2"/>
          <w:sz w:val="44"/>
          <w:szCs w:val="44"/>
          <w:lang w:val="en-US" w:eastAsia="zh-CN" w:bidi="ar-SA"/>
        </w:rPr>
        <w:t>说   明</w:t>
      </w:r>
      <w:bookmarkEnd w:id="3"/>
    </w:p>
    <w:p>
      <w:pPr>
        <w:pStyle w:val="22"/>
        <w:rPr>
          <w:rStyle w:val="19"/>
          <w:rFonts w:ascii="ˎ̥" w:hAnsi="ˎ̥"/>
          <w:b/>
          <w:bCs/>
          <w:color w:val="000000"/>
          <w:sz w:val="41"/>
          <w:szCs w:val="41"/>
        </w:rPr>
      </w:pPr>
    </w:p>
    <w:p>
      <w:pPr>
        <w:rPr>
          <w:rStyle w:val="19"/>
          <w:rFonts w:ascii="ˎ̥" w:hAnsi="ˎ̥"/>
          <w:b/>
          <w:bCs/>
          <w:color w:val="000000"/>
          <w:sz w:val="41"/>
          <w:szCs w:val="41"/>
        </w:rPr>
      </w:pPr>
    </w:p>
    <w:p>
      <w:pPr>
        <w:pStyle w:val="22"/>
        <w:rPr>
          <w:rStyle w:val="19"/>
          <w:rFonts w:ascii="ˎ̥" w:hAnsi="ˎ̥"/>
          <w:b/>
          <w:bCs/>
          <w:color w:val="000000"/>
          <w:sz w:val="41"/>
          <w:szCs w:val="41"/>
        </w:rPr>
      </w:pPr>
    </w:p>
    <w:p>
      <w:pPr>
        <w:rPr>
          <w:rStyle w:val="19"/>
          <w:rFonts w:ascii="ˎ̥" w:hAnsi="ˎ̥"/>
          <w:b/>
          <w:bCs/>
          <w:color w:val="000000"/>
          <w:sz w:val="41"/>
          <w:szCs w:val="41"/>
        </w:rPr>
      </w:pPr>
    </w:p>
    <w:p>
      <w:pPr>
        <w:pStyle w:val="22"/>
        <w:rPr>
          <w:rStyle w:val="19"/>
          <w:rFonts w:ascii="ˎ̥" w:hAnsi="ˎ̥"/>
          <w:b/>
          <w:bCs/>
          <w:color w:val="000000"/>
          <w:sz w:val="41"/>
          <w:szCs w:val="41"/>
        </w:rPr>
      </w:pPr>
    </w:p>
    <w:p>
      <w:pPr>
        <w:rPr>
          <w:rStyle w:val="19"/>
          <w:rFonts w:ascii="ˎ̥" w:hAnsi="ˎ̥"/>
          <w:b/>
          <w:bCs/>
          <w:color w:val="000000"/>
          <w:sz w:val="41"/>
          <w:szCs w:val="41"/>
        </w:rPr>
      </w:pPr>
    </w:p>
    <w:p>
      <w:pPr>
        <w:pStyle w:val="22"/>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Pr>
        <w:rPr>
          <w:rStyle w:val="19"/>
          <w:rFonts w:ascii="ˎ̥" w:hAnsi="ˎ̥"/>
          <w:b/>
          <w:bCs/>
          <w:color w:val="000000"/>
          <w:sz w:val="41"/>
          <w:szCs w:val="41"/>
        </w:rPr>
      </w:pPr>
    </w:p>
    <w:p/>
    <w:p>
      <w:pPr>
        <w:ind w:left="0" w:leftChars="0" w:firstLine="0" w:firstLineChars="0"/>
      </w:pPr>
    </w:p>
    <w:p/>
    <w:sdt>
      <w:sdtPr>
        <w:rPr>
          <w:rFonts w:ascii="宋体" w:hAnsi="宋体" w:eastAsia="宋体" w:cs="Times New Roman"/>
          <w:kern w:val="2"/>
          <w:sz w:val="21"/>
          <w:szCs w:val="24"/>
          <w:lang w:val="en-US" w:eastAsia="zh-CN" w:bidi="ar-SA"/>
        </w:rPr>
        <w:id w:val="147473816"/>
        <w15:color w:val="DBDBDB"/>
        <w:docPartObj>
          <w:docPartGallery w:val="Table of Contents"/>
          <w:docPartUnique/>
        </w:docPartObj>
      </w:sdtPr>
      <w:sdtEndPr>
        <w:rPr>
          <w:rFonts w:hint="eastAsia" w:ascii="Times New Roman" w:hAnsi="Times New Roman" w:eastAsia="黑体" w:cs="Times New Roman"/>
          <w:b w:val="0"/>
          <w:kern w:val="44"/>
          <w:sz w:val="32"/>
          <w:szCs w:val="24"/>
          <w:lang w:val="en-US" w:eastAsia="zh-CN" w:bidi="ar-SA"/>
        </w:rPr>
      </w:sdtEndPr>
      <w:sdtContent>
        <w:p>
          <w:pPr>
            <w:pageBreakBefore w:val="0"/>
            <w:kinsoku/>
            <w:wordWrap/>
            <w:overflowPunct/>
            <w:topLinePunct w:val="0"/>
            <w:autoSpaceDE/>
            <w:autoSpaceDN/>
            <w:bidi w:val="0"/>
            <w:spacing w:line="560" w:lineRule="exact"/>
            <w:ind w:left="0" w:leftChars="0" w:right="0" w:rightChars="0" w:firstLine="420" w:firstLineChars="200"/>
            <w:jc w:val="center"/>
            <w:textAlignment w:val="auto"/>
            <w:rPr>
              <w:rFonts w:ascii="Times New Roman" w:hAnsi="Times New Roman" w:eastAsia="仿宋_GB2312"/>
              <w:sz w:val="32"/>
              <w:szCs w:val="36"/>
            </w:rPr>
          </w:pPr>
          <w:r>
            <w:rPr>
              <w:rFonts w:ascii="Times New Roman" w:hAnsi="Times New Roman" w:eastAsia="仿宋_GB2312"/>
              <w:sz w:val="32"/>
              <w:szCs w:val="36"/>
            </w:rPr>
            <w:t>目</w:t>
          </w:r>
          <w:r>
            <w:rPr>
              <w:rFonts w:hint="eastAsia" w:ascii="Times New Roman" w:hAnsi="Times New Roman" w:eastAsia="仿宋_GB2312"/>
              <w:sz w:val="32"/>
              <w:szCs w:val="36"/>
              <w:lang w:val="en-US" w:eastAsia="zh-CN"/>
            </w:rPr>
            <w:t xml:space="preserve">  </w:t>
          </w:r>
          <w:r>
            <w:rPr>
              <w:rFonts w:ascii="Times New Roman" w:hAnsi="Times New Roman" w:eastAsia="仿宋_GB2312"/>
              <w:sz w:val="32"/>
              <w:szCs w:val="36"/>
            </w:rPr>
            <w:t>录</w:t>
          </w:r>
          <w:r>
            <w:rPr>
              <w:rFonts w:hint="eastAsia" w:ascii="Times New Roman" w:hAnsi="Times New Roman" w:eastAsia="仿宋_GB2312"/>
              <w:sz w:val="32"/>
              <w:szCs w:val="36"/>
            </w:rPr>
            <w:fldChar w:fldCharType="begin"/>
          </w:r>
          <w:r>
            <w:rPr>
              <w:rFonts w:hint="eastAsia" w:ascii="Times New Roman" w:hAnsi="Times New Roman" w:eastAsia="仿宋_GB2312"/>
              <w:sz w:val="32"/>
              <w:szCs w:val="36"/>
            </w:rPr>
            <w:instrText xml:space="preserve">TOC \o "1-1" \h \u </w:instrText>
          </w:r>
          <w:r>
            <w:rPr>
              <w:rFonts w:hint="eastAsia" w:ascii="Times New Roman" w:hAnsi="Times New Roman" w:eastAsia="仿宋_GB2312"/>
              <w:sz w:val="32"/>
              <w:szCs w:val="36"/>
            </w:rPr>
            <w:fldChar w:fldCharType="separate"/>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_Toc11298 </w:instrText>
          </w:r>
          <w:r>
            <w:rPr>
              <w:rFonts w:hint="eastAsia" w:ascii="Times New Roman" w:hAnsi="Times New Roman" w:eastAsia="仿宋_GB2312"/>
              <w:sz w:val="32"/>
              <w:szCs w:val="24"/>
            </w:rPr>
            <w:fldChar w:fldCharType="separate"/>
          </w:r>
          <w:r>
            <w:rPr>
              <w:rFonts w:hint="eastAsia" w:ascii="Times New Roman" w:hAnsi="Times New Roman" w:eastAsia="仿宋_GB2312"/>
              <w:sz w:val="32"/>
              <w:szCs w:val="24"/>
            </w:rPr>
            <w:t>一、基本职能及主要工作</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_Toc11298 \h </w:instrText>
          </w:r>
          <w:r>
            <w:rPr>
              <w:rFonts w:ascii="Times New Roman" w:hAnsi="Times New Roman" w:eastAsia="仿宋_GB2312"/>
              <w:sz w:val="32"/>
              <w:szCs w:val="24"/>
            </w:rPr>
            <w:fldChar w:fldCharType="separate"/>
          </w:r>
          <w:r>
            <w:rPr>
              <w:rFonts w:ascii="Times New Roman" w:hAnsi="Times New Roman" w:eastAsia="仿宋_GB2312"/>
              <w:sz w:val="32"/>
              <w:szCs w:val="24"/>
            </w:rPr>
            <w:t>3</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_Toc26350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二、部门预算单位构成</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_Toc26350 \h </w:instrText>
          </w:r>
          <w:r>
            <w:rPr>
              <w:rFonts w:ascii="Times New Roman" w:hAnsi="Times New Roman" w:eastAsia="仿宋_GB2312"/>
              <w:sz w:val="32"/>
              <w:szCs w:val="24"/>
            </w:rPr>
            <w:fldChar w:fldCharType="separate"/>
          </w:r>
          <w:r>
            <w:rPr>
              <w:rFonts w:ascii="Times New Roman" w:hAnsi="Times New Roman" w:eastAsia="仿宋_GB2312"/>
              <w:sz w:val="32"/>
              <w:szCs w:val="24"/>
            </w:rPr>
            <w:t>6</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_Toc17314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三、收支预算增减变化情况说明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_Toc17314 \h </w:instrText>
          </w:r>
          <w:r>
            <w:rPr>
              <w:rFonts w:ascii="Times New Roman" w:hAnsi="Times New Roman" w:eastAsia="仿宋_GB2312"/>
              <w:sz w:val="32"/>
              <w:szCs w:val="24"/>
            </w:rPr>
            <w:fldChar w:fldCharType="separate"/>
          </w:r>
          <w:r>
            <w:rPr>
              <w:rFonts w:ascii="Times New Roman" w:hAnsi="Times New Roman" w:eastAsia="仿宋_GB2312"/>
              <w:sz w:val="32"/>
              <w:szCs w:val="24"/>
            </w:rPr>
            <w:t>7</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_Toc751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四、财政拨款收支预算情况说明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_Toc751 \h </w:instrText>
          </w:r>
          <w:r>
            <w:rPr>
              <w:rFonts w:ascii="Times New Roman" w:hAnsi="Times New Roman" w:eastAsia="仿宋_GB2312"/>
              <w:sz w:val="32"/>
              <w:szCs w:val="24"/>
            </w:rPr>
            <w:fldChar w:fldCharType="separate"/>
          </w:r>
          <w:r>
            <w:rPr>
              <w:rFonts w:ascii="Times New Roman" w:hAnsi="Times New Roman" w:eastAsia="仿宋_GB2312"/>
              <w:sz w:val="32"/>
              <w:szCs w:val="24"/>
            </w:rPr>
            <w:t>7</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_Toc3772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五、一般公共预算当年拨款情况说明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_Toc3772 \h </w:instrText>
          </w:r>
          <w:r>
            <w:rPr>
              <w:rFonts w:ascii="Times New Roman" w:hAnsi="Times New Roman" w:eastAsia="仿宋_GB2312"/>
              <w:sz w:val="32"/>
              <w:szCs w:val="24"/>
            </w:rPr>
            <w:fldChar w:fldCharType="separate"/>
          </w:r>
          <w:r>
            <w:rPr>
              <w:rFonts w:ascii="Times New Roman" w:hAnsi="Times New Roman" w:eastAsia="仿宋_GB2312"/>
              <w:sz w:val="32"/>
              <w:szCs w:val="24"/>
            </w:rPr>
            <w:t>8</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_Toc28779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六、一般公共预算基本支出情况说明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_Toc28779 \h </w:instrText>
          </w:r>
          <w:r>
            <w:rPr>
              <w:rFonts w:ascii="Times New Roman" w:hAnsi="Times New Roman" w:eastAsia="仿宋_GB2312"/>
              <w:sz w:val="32"/>
              <w:szCs w:val="24"/>
            </w:rPr>
            <w:fldChar w:fldCharType="separate"/>
          </w:r>
          <w:r>
            <w:rPr>
              <w:rFonts w:ascii="Times New Roman" w:hAnsi="Times New Roman" w:eastAsia="仿宋_GB2312"/>
              <w:sz w:val="32"/>
              <w:szCs w:val="24"/>
            </w:rPr>
            <w:t>10</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_Toc21897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七、“三公”经费财政拨款预算安排情况说明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_Toc21897 \h </w:instrText>
          </w:r>
          <w:r>
            <w:rPr>
              <w:rFonts w:ascii="Times New Roman" w:hAnsi="Times New Roman" w:eastAsia="仿宋_GB2312"/>
              <w:sz w:val="32"/>
              <w:szCs w:val="24"/>
            </w:rPr>
            <w:fldChar w:fldCharType="separate"/>
          </w:r>
          <w:r>
            <w:rPr>
              <w:rFonts w:ascii="Times New Roman" w:hAnsi="Times New Roman" w:eastAsia="仿宋_GB2312"/>
              <w:sz w:val="32"/>
              <w:szCs w:val="24"/>
            </w:rPr>
            <w:t>10</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_Toc31586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lang w:eastAsia="zh-CN"/>
            </w:rPr>
            <w:t>八、</w:t>
          </w:r>
          <w:r>
            <w:rPr>
              <w:rFonts w:hint="eastAsia" w:ascii="Times New Roman" w:hAnsi="Times New Roman" w:eastAsia="仿宋_GB2312"/>
              <w:bCs/>
              <w:sz w:val="32"/>
              <w:szCs w:val="24"/>
            </w:rPr>
            <w:t>政府性基金预算收支情况说明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_Toc31586 \h </w:instrText>
          </w:r>
          <w:r>
            <w:rPr>
              <w:rFonts w:ascii="Times New Roman" w:hAnsi="Times New Roman" w:eastAsia="仿宋_GB2312"/>
              <w:sz w:val="32"/>
              <w:szCs w:val="24"/>
            </w:rPr>
            <w:fldChar w:fldCharType="separate"/>
          </w:r>
          <w:r>
            <w:rPr>
              <w:rFonts w:ascii="Times New Roman" w:hAnsi="Times New Roman" w:eastAsia="仿宋_GB2312"/>
              <w:sz w:val="32"/>
              <w:szCs w:val="24"/>
            </w:rPr>
            <w:t>11</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_Toc28457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九、国有资本经营预算支出情况说明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_Toc28457 \h </w:instrText>
          </w:r>
          <w:r>
            <w:rPr>
              <w:rFonts w:ascii="Times New Roman" w:hAnsi="Times New Roman" w:eastAsia="仿宋_GB2312"/>
              <w:sz w:val="32"/>
              <w:szCs w:val="24"/>
            </w:rPr>
            <w:fldChar w:fldCharType="separate"/>
          </w:r>
          <w:r>
            <w:rPr>
              <w:rFonts w:ascii="Times New Roman" w:hAnsi="Times New Roman" w:eastAsia="仿宋_GB2312"/>
              <w:sz w:val="32"/>
              <w:szCs w:val="24"/>
            </w:rPr>
            <w:t>11</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_Toc29965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十、其他重要事项的情况说明</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_Toc29965 \h </w:instrText>
          </w:r>
          <w:r>
            <w:rPr>
              <w:rFonts w:ascii="Times New Roman" w:hAnsi="Times New Roman" w:eastAsia="仿宋_GB2312"/>
              <w:sz w:val="32"/>
              <w:szCs w:val="24"/>
            </w:rPr>
            <w:fldChar w:fldCharType="separate"/>
          </w:r>
          <w:r>
            <w:rPr>
              <w:rFonts w:ascii="Times New Roman" w:hAnsi="Times New Roman" w:eastAsia="仿宋_GB2312"/>
              <w:sz w:val="32"/>
              <w:szCs w:val="24"/>
            </w:rPr>
            <w:t>11</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8"/>
            <w:pageBreakBefore w:val="0"/>
            <w:tabs>
              <w:tab w:val="right" w:leader="dot" w:pos="8306"/>
            </w:tabs>
            <w:kinsoku/>
            <w:wordWrap/>
            <w:overflowPunct/>
            <w:topLinePunct w:val="0"/>
            <w:autoSpaceDE/>
            <w:autoSpaceDN/>
            <w:bidi w:val="0"/>
            <w:spacing w:line="560" w:lineRule="exact"/>
            <w:ind w:firstLine="640" w:firstLineChars="200"/>
            <w:textAlignment w:val="auto"/>
            <w:rPr>
              <w:rFonts w:ascii="Times New Roman" w:hAnsi="Times New Roman" w:eastAsia="仿宋_GB2312"/>
              <w:sz w:val="32"/>
              <w:szCs w:val="24"/>
            </w:rPr>
          </w:pPr>
          <w:r>
            <w:rPr>
              <w:rFonts w:hint="eastAsia" w:ascii="Times New Roman" w:hAnsi="Times New Roman" w:eastAsia="仿宋_GB2312"/>
              <w:sz w:val="32"/>
              <w:szCs w:val="24"/>
            </w:rPr>
            <w:fldChar w:fldCharType="begin"/>
          </w:r>
          <w:r>
            <w:rPr>
              <w:rFonts w:hint="eastAsia" w:ascii="Times New Roman" w:hAnsi="Times New Roman" w:eastAsia="仿宋_GB2312"/>
              <w:sz w:val="32"/>
              <w:szCs w:val="24"/>
            </w:rPr>
            <w:instrText xml:space="preserve"> HYPERLINK \l _Toc19496 </w:instrText>
          </w:r>
          <w:r>
            <w:rPr>
              <w:rFonts w:hint="eastAsia" w:ascii="Times New Roman" w:hAnsi="Times New Roman" w:eastAsia="仿宋_GB2312"/>
              <w:sz w:val="32"/>
              <w:szCs w:val="24"/>
            </w:rPr>
            <w:fldChar w:fldCharType="separate"/>
          </w:r>
          <w:r>
            <w:rPr>
              <w:rFonts w:hint="eastAsia" w:ascii="Times New Roman" w:hAnsi="Times New Roman" w:eastAsia="仿宋_GB2312"/>
              <w:bCs/>
              <w:sz w:val="32"/>
              <w:szCs w:val="24"/>
            </w:rPr>
            <w:t>十</w:t>
          </w:r>
          <w:r>
            <w:rPr>
              <w:rFonts w:hint="eastAsia" w:ascii="Times New Roman" w:hAnsi="Times New Roman" w:eastAsia="仿宋_GB2312"/>
              <w:bCs/>
              <w:sz w:val="32"/>
              <w:szCs w:val="24"/>
              <w:lang w:eastAsia="zh-CN"/>
            </w:rPr>
            <w:t>一</w:t>
          </w:r>
          <w:r>
            <w:rPr>
              <w:rFonts w:hint="eastAsia" w:ascii="Times New Roman" w:hAnsi="Times New Roman" w:eastAsia="仿宋_GB2312"/>
              <w:bCs/>
              <w:sz w:val="32"/>
              <w:szCs w:val="24"/>
            </w:rPr>
            <w:t>、名词解释</w:t>
          </w:r>
          <w:r>
            <w:rPr>
              <w:rFonts w:ascii="Times New Roman" w:hAnsi="Times New Roman" w:eastAsia="仿宋_GB2312"/>
              <w:sz w:val="32"/>
              <w:szCs w:val="24"/>
            </w:rPr>
            <w:tab/>
          </w:r>
          <w:r>
            <w:rPr>
              <w:rFonts w:ascii="Times New Roman" w:hAnsi="Times New Roman" w:eastAsia="仿宋_GB2312"/>
              <w:sz w:val="32"/>
              <w:szCs w:val="24"/>
            </w:rPr>
            <w:fldChar w:fldCharType="begin"/>
          </w:r>
          <w:r>
            <w:rPr>
              <w:rFonts w:ascii="Times New Roman" w:hAnsi="Times New Roman" w:eastAsia="仿宋_GB2312"/>
              <w:sz w:val="32"/>
              <w:szCs w:val="24"/>
            </w:rPr>
            <w:instrText xml:space="preserve"> PAGEREF _Toc19496 \h </w:instrText>
          </w:r>
          <w:r>
            <w:rPr>
              <w:rFonts w:ascii="Times New Roman" w:hAnsi="Times New Roman" w:eastAsia="仿宋_GB2312"/>
              <w:sz w:val="32"/>
              <w:szCs w:val="24"/>
            </w:rPr>
            <w:fldChar w:fldCharType="separate"/>
          </w:r>
          <w:r>
            <w:rPr>
              <w:rFonts w:ascii="Times New Roman" w:hAnsi="Times New Roman" w:eastAsia="仿宋_GB2312"/>
              <w:sz w:val="32"/>
              <w:szCs w:val="24"/>
            </w:rPr>
            <w:t>12</w:t>
          </w:r>
          <w:r>
            <w:rPr>
              <w:rFonts w:ascii="Times New Roman" w:hAnsi="Times New Roman" w:eastAsia="仿宋_GB2312"/>
              <w:sz w:val="32"/>
              <w:szCs w:val="24"/>
            </w:rPr>
            <w:fldChar w:fldCharType="end"/>
          </w:r>
          <w:r>
            <w:rPr>
              <w:rFonts w:hint="eastAsia" w:ascii="Times New Roman" w:hAnsi="Times New Roman" w:eastAsia="仿宋_GB2312"/>
              <w:sz w:val="32"/>
              <w:szCs w:val="24"/>
            </w:rPr>
            <w:fldChar w:fldCharType="end"/>
          </w:r>
        </w:p>
        <w:p>
          <w:pPr>
            <w:pStyle w:val="2"/>
            <w:pageBreakBefore w:val="0"/>
            <w:kinsoku/>
            <w:wordWrap/>
            <w:overflowPunct/>
            <w:topLinePunct w:val="0"/>
            <w:autoSpaceDE/>
            <w:autoSpaceDN/>
            <w:bidi w:val="0"/>
            <w:spacing w:beforeLines="0" w:afterLines="0" w:line="560" w:lineRule="exact"/>
            <w:ind w:firstLine="640" w:firstLineChars="200"/>
            <w:textAlignment w:val="auto"/>
            <w:outlineLvl w:val="9"/>
            <w:rPr>
              <w:rFonts w:hint="eastAsia"/>
            </w:rPr>
            <w:sectPr>
              <w:footerReference r:id="rId5"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sz w:val="32"/>
              <w:szCs w:val="36"/>
            </w:rPr>
            <w:fldChar w:fldCharType="end"/>
          </w:r>
        </w:p>
      </w:sdtContent>
    </w:sdt>
    <w:p>
      <w:pPr>
        <w:pStyle w:val="2"/>
        <w:bidi w:val="0"/>
        <w:rPr>
          <w:rFonts w:hint="eastAsia"/>
        </w:rPr>
      </w:pPr>
      <w:bookmarkStart w:id="4" w:name="_Toc11298"/>
      <w:r>
        <w:rPr>
          <w:rFonts w:hint="eastAsia"/>
        </w:rPr>
        <w:t>一、基本职能及主要工作</w:t>
      </w:r>
      <w:bookmarkEnd w:id="4"/>
    </w:p>
    <w:p>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Style w:val="21"/>
          <w:rFonts w:hint="eastAsia" w:ascii="Times New Roman" w:hAnsi="Times New Roman" w:cs="Times New Roman"/>
          <w:b/>
          <w:kern w:val="2"/>
          <w:szCs w:val="24"/>
          <w:lang w:val="en-US" w:eastAsia="zh-CN" w:bidi="ar-SA"/>
        </w:rPr>
      </w:pPr>
      <w:r>
        <w:rPr>
          <w:rStyle w:val="21"/>
          <w:rFonts w:hint="eastAsia" w:ascii="Times New Roman" w:hAnsi="Times New Roman" w:cs="Times New Roman"/>
          <w:b/>
          <w:kern w:val="2"/>
          <w:szCs w:val="24"/>
          <w:lang w:val="en-US" w:eastAsia="zh-CN" w:bidi="ar-SA"/>
        </w:rPr>
        <w:t>（一）罗江区交通运输局机构设置及主要职责</w:t>
      </w:r>
    </w:p>
    <w:p>
      <w:pPr>
        <w:bidi w:val="0"/>
        <w:rPr>
          <w:rFonts w:hint="eastAsia"/>
          <w:lang w:val="en-US" w:eastAsia="zh-CN"/>
        </w:rPr>
      </w:pPr>
      <w:r>
        <w:rPr>
          <w:rFonts w:hint="eastAsia"/>
          <w:lang w:val="en-US" w:eastAsia="zh-CN"/>
        </w:rPr>
        <w:t>根据区机构编制委批准的三定方案（德市罗委编发〔2019〕14号），我局的主要职责是：</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1.贯彻执行国家有关交通运输行业的方针、政策和法律法规；拟订全区公路和水路交通运输发展政策，并监督实施。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2.根据国家和省、市总体部署，组织编制全区公路建设、公路运输和水路交通行业发展规划、中长期计划以及年度计划，并监督实施。</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3.负责全区交通行业的统计和信息上报工作。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4.负责全区公路运输和水路交通运输（道路运输站场，客车租赁，货运代理和货运配载，通航水域水上运输，机动车驾驶员和船员培训、渔船检验及渔船检验的行业监督管理）行业管理；培育和发展交通运输市场，维护交通运输行业平等竞争秩序；指导全区城乡客、货运输的有效衔接和全区地方交通运输行业优化结构、协调发展；对关系救灾、抢险、国计民生重要物资运输、战备等紧急客货运输进行必要调控。</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5.负责全区公路、水路交通基础设施（包括客货运输站点等）建设行业的管理，维护交通建设行业平等竞争秩序；协调组织实施区内的国家和省、市重点公路、水路工程建设。</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6.负责全区公路、水路设施的维护和公路路产路权保护及相关管理工作。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7.贯彻国家和省、市有关交通科技政策，指导实施交通行业计量、质量、技术标准和规范工作；组织落实交通科技政策、技术标准及规范；推广运用科技项目，加强行业科技创新和进步的管理。</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8.指导交通行业的体制改革；负责全区交通特许经营的管理；规范交通行业财务管理，完善会计核算体系；监督管理全区交通行业国有资产。</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9.负责有关交通涉外工作；指导交通行业利用外资工作；开展交通经济技术合作与交流工作。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10.会同有关部门制定、执行涉及交通的有关地方经济政策。</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11.负责区内权属范围的车站、港口、公路客货运输、水上交通运输的源头安全监督管理工作；负责交通建设领域安全生产管理工作。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12.负责职责范围内的安全生产和职业健康、生态环境保护等工作。</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13.完成区委和区政府交办的其他任务。</w:t>
      </w:r>
    </w:p>
    <w:p>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Style w:val="21"/>
          <w:rFonts w:hint="eastAsia" w:ascii="Times New Roman" w:hAnsi="Times New Roman" w:cs="Times New Roman"/>
          <w:b/>
          <w:kern w:val="2"/>
          <w:szCs w:val="24"/>
          <w:lang w:val="en-US" w:eastAsia="zh-CN" w:bidi="ar-SA"/>
        </w:rPr>
      </w:pPr>
      <w:r>
        <w:rPr>
          <w:rStyle w:val="21"/>
          <w:rFonts w:hint="eastAsia" w:ascii="Times New Roman" w:hAnsi="Times New Roman" w:cs="Times New Roman"/>
          <w:b/>
          <w:kern w:val="2"/>
          <w:szCs w:val="24"/>
          <w:lang w:val="en-US" w:eastAsia="zh-CN" w:bidi="ar-SA"/>
        </w:rPr>
        <w:t>（二）罗江区交通运输局2024年重点工作</w:t>
      </w:r>
    </w:p>
    <w:p>
      <w:pPr>
        <w:pStyle w:val="15"/>
        <w:keepNext w:val="0"/>
        <w:keepLines w:val="0"/>
        <w:pageBreakBefore w:val="0"/>
        <w:widowControl w:val="0"/>
        <w:kinsoku/>
        <w:wordWrap/>
        <w:overflowPunct/>
        <w:topLinePunct w:val="0"/>
        <w:autoSpaceDE/>
        <w:autoSpaceDN/>
        <w:bidi w:val="0"/>
        <w:adjustRightInd/>
        <w:snapToGrid/>
        <w:spacing w:before="0" w:beforeLines="0" w:line="560" w:lineRule="exact"/>
        <w:ind w:left="0" w:leftChars="0"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b w:val="0"/>
          <w:bCs/>
          <w:sz w:val="32"/>
          <w:szCs w:val="32"/>
        </w:rPr>
        <w:t>202</w:t>
      </w:r>
      <w:r>
        <w:rPr>
          <w:rFonts w:hint="eastAsia" w:ascii="Times New Roman" w:hAnsi="Times New Roman" w:eastAsia="仿宋_GB2312"/>
          <w:b w:val="0"/>
          <w:bCs/>
          <w:sz w:val="32"/>
          <w:szCs w:val="32"/>
          <w:lang w:val="en-US" w:eastAsia="zh-CN"/>
        </w:rPr>
        <w:t>4</w:t>
      </w:r>
      <w:r>
        <w:rPr>
          <w:rFonts w:hint="default"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w:t>
      </w:r>
      <w:r>
        <w:rPr>
          <w:rFonts w:hint="default" w:ascii="Times New Roman" w:hAnsi="Times New Roman" w:eastAsia="仿宋_GB2312"/>
          <w:b w:val="0"/>
          <w:bCs/>
          <w:sz w:val="32"/>
          <w:szCs w:val="32"/>
        </w:rPr>
        <w:t>区交通局将</w:t>
      </w:r>
      <w:r>
        <w:rPr>
          <w:rFonts w:hint="eastAsia" w:ascii="Times New Roman" w:hAnsi="Times New Roman" w:eastAsia="仿宋_GB2312"/>
          <w:b w:val="0"/>
          <w:bCs/>
          <w:sz w:val="32"/>
          <w:szCs w:val="32"/>
          <w:lang w:val="en-US" w:eastAsia="zh-CN"/>
        </w:rPr>
        <w:t>持续</w:t>
      </w:r>
      <w:r>
        <w:rPr>
          <w:rFonts w:hint="default" w:ascii="Times New Roman" w:hAnsi="Times New Roman" w:eastAsia="仿宋_GB2312"/>
          <w:b w:val="0"/>
          <w:bCs/>
          <w:sz w:val="32"/>
          <w:szCs w:val="32"/>
        </w:rPr>
        <w:t>深入贯彻党的二十大</w:t>
      </w:r>
      <w:r>
        <w:rPr>
          <w:rFonts w:hint="eastAsia" w:ascii="Times New Roman" w:hAnsi="Times New Roman" w:eastAsia="仿宋_GB2312"/>
          <w:b w:val="0"/>
          <w:bCs/>
          <w:sz w:val="32"/>
          <w:szCs w:val="32"/>
          <w:lang w:val="en-US" w:eastAsia="zh-CN"/>
        </w:rPr>
        <w:t>精神，认真学习</w:t>
      </w:r>
      <w:r>
        <w:rPr>
          <w:rFonts w:hint="default" w:ascii="Times New Roman" w:hAnsi="Times New Roman" w:eastAsia="仿宋_GB2312"/>
          <w:b w:val="0"/>
          <w:bCs/>
          <w:sz w:val="32"/>
          <w:szCs w:val="32"/>
        </w:rPr>
        <w:t>习近平总书记来川视察重要指示精神，</w:t>
      </w:r>
      <w:r>
        <w:rPr>
          <w:rFonts w:hint="eastAsia" w:ascii="Times New Roman" w:hAnsi="Times New Roman" w:eastAsia="仿宋_GB2312"/>
          <w:b w:val="0"/>
          <w:bCs/>
          <w:sz w:val="32"/>
          <w:szCs w:val="32"/>
          <w:lang w:val="en-US" w:eastAsia="zh-CN"/>
        </w:rPr>
        <w:t>严格</w:t>
      </w:r>
      <w:r>
        <w:rPr>
          <w:rFonts w:hint="default" w:ascii="Times New Roman" w:hAnsi="Times New Roman" w:eastAsia="仿宋_GB2312"/>
          <w:b w:val="0"/>
          <w:bCs/>
          <w:sz w:val="32"/>
          <w:szCs w:val="32"/>
        </w:rPr>
        <w:t>落实省、市、区委工作会议精</w:t>
      </w:r>
      <w:r>
        <w:rPr>
          <w:rFonts w:hint="default" w:ascii="Times New Roman" w:hAnsi="Times New Roman" w:eastAsia="仿宋_GB2312" w:cs="Times New Roman"/>
          <w:b w:val="0"/>
          <w:bCs/>
          <w:sz w:val="32"/>
          <w:szCs w:val="32"/>
        </w:rPr>
        <w:t>神</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抢抓成渝地区双城经济圈建设、成德眉资同城化发展等重大战略机遇</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rPr>
        <w:t>全力以赴拼经济搞建设抓发展，</w:t>
      </w:r>
      <w:r>
        <w:rPr>
          <w:rFonts w:hint="eastAsia" w:ascii="Times New Roman" w:hAnsi="Times New Roman" w:eastAsia="仿宋_GB2312" w:cs="Times New Roman"/>
          <w:b w:val="0"/>
          <w:bCs/>
          <w:sz w:val="32"/>
          <w:szCs w:val="32"/>
          <w:lang w:val="en-US" w:eastAsia="zh-CN"/>
        </w:rPr>
        <w:t>为“重返前三”</w:t>
      </w:r>
      <w:r>
        <w:rPr>
          <w:rFonts w:hint="default" w:ascii="Times New Roman" w:hAnsi="Times New Roman" w:eastAsia="仿宋_GB2312" w:cs="Times New Roman"/>
          <w:b w:val="0"/>
          <w:bCs/>
          <w:sz w:val="32"/>
          <w:szCs w:val="32"/>
        </w:rPr>
        <w:t>当好</w:t>
      </w:r>
      <w:r>
        <w:rPr>
          <w:rFonts w:hint="eastAsia" w:ascii="Times New Roman" w:hAnsi="Times New Roman" w:eastAsia="仿宋_GB2312" w:cs="Times New Roman"/>
          <w:b w:val="0"/>
          <w:bCs/>
          <w:sz w:val="32"/>
          <w:szCs w:val="32"/>
          <w:lang w:val="en-US" w:eastAsia="zh-CN"/>
        </w:rPr>
        <w:t>罗江</w:t>
      </w:r>
      <w:r>
        <w:rPr>
          <w:rFonts w:hint="default" w:ascii="Times New Roman" w:hAnsi="Times New Roman" w:eastAsia="仿宋_GB2312" w:cs="Times New Roman"/>
          <w:b w:val="0"/>
          <w:bCs/>
          <w:sz w:val="32"/>
          <w:szCs w:val="32"/>
        </w:rPr>
        <w:t>交通先行官。</w:t>
      </w:r>
    </w:p>
    <w:p>
      <w:pPr>
        <w:pStyle w:val="8"/>
        <w:keepNext w:val="0"/>
        <w:keepLines w:val="0"/>
        <w:pageBreakBefore w:val="0"/>
        <w:widowControl w:val="0"/>
        <w:kinsoku/>
        <w:wordWrap/>
        <w:overflowPunct/>
        <w:topLinePunct w:val="0"/>
        <w:autoSpaceDE/>
        <w:autoSpaceDN/>
        <w:bidi w:val="0"/>
        <w:adjustRightInd/>
        <w:snapToGrid/>
        <w:spacing w:afterLines="0" w:line="560" w:lineRule="exact"/>
        <w:ind w:left="0" w:leftChars="0" w:firstLine="643" w:firstLineChars="200"/>
        <w:jc w:val="both"/>
        <w:textAlignment w:val="auto"/>
        <w:rPr>
          <w:rFonts w:hint="default" w:ascii="Times New Roman" w:hAnsi="Times New Roman" w:eastAsia="楷体_GB2312" w:cs="楷体_GB2312"/>
          <w:b w:val="0"/>
          <w:bCs/>
          <w:kern w:val="2"/>
          <w:sz w:val="32"/>
          <w:szCs w:val="32"/>
          <w:lang w:val="en-US" w:eastAsia="zh-CN" w:bidi="ar-SA"/>
        </w:rPr>
      </w:pPr>
      <w:r>
        <w:rPr>
          <w:rFonts w:hint="eastAsia" w:ascii="Times New Roman" w:hAnsi="Times New Roman" w:eastAsia="楷体_GB2312" w:cs="楷体_GB2312"/>
          <w:b/>
          <w:bCs w:val="0"/>
          <w:kern w:val="2"/>
          <w:sz w:val="32"/>
          <w:szCs w:val="32"/>
          <w:lang w:val="en-US" w:eastAsia="zh-CN" w:bidi="ar-SA"/>
        </w:rPr>
        <w:t>1.做好交通党建引领，全方位推动交通事业高质量发展。</w:t>
      </w:r>
      <w:r>
        <w:rPr>
          <w:rFonts w:hint="eastAsia" w:ascii="Times New Roman" w:hAnsi="Times New Roman" w:eastAsia="仿宋_GB2312" w:cs="Times New Roman"/>
          <w:b w:val="0"/>
          <w:bCs/>
          <w:kern w:val="2"/>
          <w:sz w:val="32"/>
          <w:szCs w:val="32"/>
          <w:lang w:val="en-US" w:eastAsia="zh-CN" w:bidi="ar-SA"/>
        </w:rPr>
        <w:t>坚持以习近平新时代中国特色社会主义思想为指导，深入学习</w:t>
      </w:r>
      <w:r>
        <w:rPr>
          <w:rFonts w:hint="eastAsia" w:ascii="Times New Roman" w:hAnsi="Times New Roman" w:eastAsia="仿宋_GB2312" w:cs="Times New Roman"/>
          <w:b w:val="0"/>
          <w:bCs/>
          <w:kern w:val="2"/>
          <w:sz w:val="32"/>
          <w:szCs w:val="32"/>
          <w:lang w:val="en-US" w:eastAsia="zh-Hans" w:bidi="ar-SA"/>
        </w:rPr>
        <w:t>党的二十大精神</w:t>
      </w:r>
      <w:r>
        <w:rPr>
          <w:rFonts w:hint="eastAsia" w:ascii="Times New Roman" w:hAnsi="Times New Roman" w:eastAsia="仿宋_GB2312" w:cs="Times New Roman"/>
          <w:b w:val="0"/>
          <w:bCs/>
          <w:kern w:val="2"/>
          <w:sz w:val="32"/>
          <w:szCs w:val="32"/>
          <w:lang w:val="en-US" w:eastAsia="zh-CN" w:bidi="ar-SA"/>
        </w:rPr>
        <w:t>和习近平总书记来川视察重要指示精神</w:t>
      </w:r>
      <w:r>
        <w:rPr>
          <w:rFonts w:hint="eastAsia" w:ascii="Times New Roman" w:hAnsi="Times New Roman" w:eastAsia="仿宋_GB2312" w:cs="Times New Roman"/>
          <w:b w:val="0"/>
          <w:bCs/>
          <w:kern w:val="2"/>
          <w:sz w:val="32"/>
          <w:szCs w:val="32"/>
          <w:lang w:val="en-US" w:eastAsia="zh-Hans" w:bidi="ar-SA"/>
        </w:rPr>
        <w:t>，</w:t>
      </w:r>
      <w:r>
        <w:rPr>
          <w:rFonts w:hint="eastAsia" w:ascii="Times New Roman" w:hAnsi="Times New Roman" w:eastAsia="仿宋_GB2312" w:cs="Times New Roman"/>
          <w:b w:val="0"/>
          <w:bCs/>
          <w:kern w:val="2"/>
          <w:sz w:val="32"/>
          <w:szCs w:val="32"/>
          <w:lang w:val="en-US" w:eastAsia="zh-CN" w:bidi="ar-SA"/>
        </w:rPr>
        <w:t>把政治标准和政治要求贯穿机关党建工作各方面。全面推进党建和业务深度融合，推动交通运输各项工作走在前、干在先、落在实，为罗江进入“全市第一方阵”贡献交通力量。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楷体_GB2312"/>
          <w:b w:val="0"/>
          <w:bCs/>
          <w:kern w:val="2"/>
          <w:sz w:val="32"/>
          <w:szCs w:val="32"/>
          <w:lang w:val="en-US" w:eastAsia="zh-CN" w:bidi="ar-SA"/>
        </w:rPr>
      </w:pPr>
      <w:r>
        <w:rPr>
          <w:rFonts w:hint="eastAsia" w:ascii="Times New Roman" w:hAnsi="Times New Roman" w:eastAsia="楷体_GB2312" w:cs="楷体_GB2312"/>
          <w:b/>
          <w:bCs w:val="0"/>
          <w:kern w:val="2"/>
          <w:sz w:val="32"/>
          <w:szCs w:val="32"/>
          <w:lang w:val="en-US" w:eastAsia="zh-CN" w:bidi="ar-SA"/>
        </w:rPr>
        <w:t>2.做好交通项目储备，全方位助力经济稳步增长。</w:t>
      </w:r>
      <w:r>
        <w:rPr>
          <w:rFonts w:hint="eastAsia" w:ascii="Times New Roman" w:hAnsi="Times New Roman" w:eastAsia="仿宋_GB2312" w:cs="Times New Roman"/>
          <w:b w:val="0"/>
          <w:bCs/>
          <w:color w:val="000000"/>
          <w:kern w:val="2"/>
          <w:sz w:val="32"/>
          <w:szCs w:val="32"/>
          <w:lang w:val="en-US" w:eastAsia="zh-CN" w:bidi="ar-SA"/>
        </w:rPr>
        <w:t>一是</w:t>
      </w:r>
      <w:r>
        <w:rPr>
          <w:rFonts w:hint="eastAsia" w:ascii="Times New Roman" w:hAnsi="Times New Roman" w:eastAsia="仿宋_GB2312" w:cs="Times New Roman"/>
          <w:b w:val="0"/>
          <w:bCs/>
          <w:sz w:val="32"/>
          <w:szCs w:val="32"/>
          <w:lang w:val="en-US" w:eastAsia="zh-CN"/>
        </w:rPr>
        <w:t>加快搭接立体交通“大动脉”。全力推进德罗干道施工进度，确保罗江段在2024年建成通车；加快推进G108罗江区金山镇（绵阳界）至白马关镇段改建工程建设，2024年形成实质性工程量；开展S108罗江段、S211罗江段改造工程初步设计</w:t>
      </w:r>
      <w:r>
        <w:rPr>
          <w:rFonts w:hint="eastAsia" w:ascii="Times New Roman" w:hAnsi="Times New Roman" w:eastAsia="仿宋_GB2312" w:cs="Times New Roman"/>
          <w:b w:val="0"/>
          <w:bCs/>
          <w:color w:val="000000"/>
          <w:kern w:val="2"/>
          <w:sz w:val="32"/>
          <w:szCs w:val="32"/>
          <w:lang w:val="en-US" w:eastAsia="zh-CN" w:bidi="ar-SA"/>
        </w:rPr>
        <w:t>。二是持</w:t>
      </w:r>
      <w:r>
        <w:rPr>
          <w:rFonts w:hint="eastAsia" w:ascii="Times New Roman" w:hAnsi="Times New Roman" w:eastAsia="仿宋_GB2312" w:cs="Times New Roman"/>
          <w:b w:val="0"/>
          <w:bCs/>
          <w:sz w:val="32"/>
          <w:szCs w:val="32"/>
          <w:lang w:val="en-US" w:eastAsia="zh-CN"/>
        </w:rPr>
        <w:t>续构建畅通末端“微循环”。建设自然村通硬化路10公里、幸福美丽乡村路11公里，拆除重建危桥2座。</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b w:val="0"/>
          <w:bCs/>
          <w:sz w:val="32"/>
          <w:lang w:val="en-US" w:eastAsia="zh-CN"/>
        </w:rPr>
      </w:pPr>
      <w:r>
        <w:rPr>
          <w:rFonts w:hint="eastAsia" w:ascii="Times New Roman" w:hAnsi="Times New Roman" w:eastAsia="楷体_GB2312" w:cs="楷体_GB2312"/>
          <w:b/>
          <w:bCs w:val="0"/>
          <w:kern w:val="2"/>
          <w:sz w:val="32"/>
          <w:szCs w:val="32"/>
          <w:lang w:val="en-US" w:eastAsia="zh-CN" w:bidi="ar-SA"/>
        </w:rPr>
        <w:t>3.做好公路保通保畅，全方位做实做细民生实事。</w:t>
      </w:r>
      <w:r>
        <w:rPr>
          <w:rFonts w:hint="eastAsia" w:ascii="Times New Roman" w:hAnsi="Times New Roman" w:eastAsia="仿宋_GB2312" w:cs="Times New Roman"/>
          <w:b w:val="0"/>
          <w:bCs/>
          <w:color w:val="000000"/>
          <w:kern w:val="2"/>
          <w:sz w:val="32"/>
          <w:szCs w:val="32"/>
          <w:lang w:val="en-US" w:eastAsia="zh-CN" w:bidi="ar-SA"/>
        </w:rPr>
        <w:t>一是</w:t>
      </w:r>
      <w:r>
        <w:rPr>
          <w:rFonts w:hint="eastAsia" w:ascii="Times New Roman" w:hAnsi="Times New Roman" w:eastAsia="仿宋_GB2312" w:cs="仿宋_GB2312"/>
          <w:b w:val="0"/>
          <w:bCs/>
          <w:color w:val="auto"/>
          <w:kern w:val="0"/>
          <w:sz w:val="32"/>
          <w:szCs w:val="31"/>
          <w:lang w:val="en-US" w:eastAsia="zh-CN" w:bidi="ar"/>
        </w:rPr>
        <w:t>聚焦</w:t>
      </w:r>
      <w:r>
        <w:rPr>
          <w:rFonts w:hint="eastAsia" w:ascii="Times New Roman" w:hAnsi="Times New Roman" w:eastAsia="仿宋_GB2312" w:cs="Times New Roman"/>
          <w:b w:val="0"/>
          <w:bCs/>
          <w:color w:val="auto"/>
          <w:kern w:val="2"/>
          <w:sz w:val="32"/>
          <w:szCs w:val="32"/>
          <w:lang w:val="en-US" w:eastAsia="zh-CN" w:bidi="ar-SA"/>
        </w:rPr>
        <w:t>群众急难愁盼问题，紧盯“</w:t>
      </w:r>
      <w:r>
        <w:rPr>
          <w:rFonts w:hint="default" w:ascii="Times New Roman" w:hAnsi="Times New Roman" w:eastAsia="仿宋_GB2312" w:cs="Times New Roman"/>
          <w:b w:val="0"/>
          <w:bCs/>
          <w:snapToGrid w:val="0"/>
          <w:spacing w:val="0"/>
          <w:sz w:val="32"/>
          <w:szCs w:val="32"/>
          <w:lang w:val="en-US" w:eastAsia="zh-CN"/>
        </w:rPr>
        <w:t>群众最不满意的十件事</w:t>
      </w:r>
      <w:r>
        <w:rPr>
          <w:rFonts w:hint="eastAsia" w:ascii="Times New Roman" w:hAnsi="Times New Roman" w:eastAsia="仿宋_GB2312" w:cs="Times New Roman"/>
          <w:b w:val="0"/>
          <w:bCs/>
          <w:color w:val="auto"/>
          <w:kern w:val="2"/>
          <w:sz w:val="32"/>
          <w:szCs w:val="32"/>
          <w:lang w:val="en-US" w:eastAsia="zh-CN" w:bidi="ar-SA"/>
        </w:rPr>
        <w:t>”整治工作，坚持问题导向，</w:t>
      </w:r>
      <w:r>
        <w:rPr>
          <w:rFonts w:ascii="Times New Roman" w:hAnsi="Times New Roman" w:eastAsia="仿宋_GB2312" w:cs="Times New Roman"/>
          <w:b w:val="0"/>
          <w:bCs/>
          <w:sz w:val="32"/>
          <w:szCs w:val="32"/>
        </w:rPr>
        <w:t>抢抓建设机遇，每年有计划、有预算地启动一批补短板项目，</w:t>
      </w:r>
      <w:r>
        <w:rPr>
          <w:rFonts w:hint="eastAsia" w:ascii="Times New Roman" w:hAnsi="Times New Roman" w:eastAsia="仿宋_GB2312" w:cs="Times New Roman"/>
          <w:b w:val="0"/>
          <w:bCs/>
          <w:sz w:val="32"/>
          <w:szCs w:val="32"/>
          <w:lang w:val="en-US" w:eastAsia="zh-CN"/>
        </w:rPr>
        <w:t>对荣富路、安罗路、罗新路实施提档升级行动，</w:t>
      </w:r>
      <w:r>
        <w:rPr>
          <w:rFonts w:ascii="Times New Roman" w:hAnsi="Times New Roman" w:eastAsia="仿宋_GB2312" w:cs="Times New Roman"/>
          <w:b w:val="0"/>
          <w:bCs/>
          <w:sz w:val="32"/>
          <w:szCs w:val="32"/>
        </w:rPr>
        <w:t>重点打造出“交通+文旅”融合发展样板路，努力把罗江</w:t>
      </w:r>
      <w:r>
        <w:rPr>
          <w:rFonts w:hint="eastAsia"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rPr>
        <w:t>四好农村路</w:t>
      </w:r>
      <w:r>
        <w:rPr>
          <w:rFonts w:hint="eastAsia" w:ascii="Times New Roman" w:hAnsi="Times New Roman" w:eastAsia="仿宋_GB2312" w:cs="Times New Roman"/>
          <w:b w:val="0"/>
          <w:bCs/>
          <w:sz w:val="32"/>
          <w:szCs w:val="32"/>
          <w:lang w:eastAsia="zh-CN"/>
        </w:rPr>
        <w:t>”</w:t>
      </w:r>
      <w:r>
        <w:rPr>
          <w:rFonts w:ascii="Times New Roman" w:hAnsi="Times New Roman" w:eastAsia="仿宋_GB2312" w:cs="Times New Roman"/>
          <w:b w:val="0"/>
          <w:bCs/>
          <w:sz w:val="32"/>
          <w:szCs w:val="32"/>
        </w:rPr>
        <w:t>打造成最美公路品牌。</w:t>
      </w:r>
      <w:r>
        <w:rPr>
          <w:rFonts w:hint="eastAsia" w:ascii="Times New Roman" w:hAnsi="Times New Roman" w:eastAsia="仿宋_GB2312" w:cs="Times New Roman"/>
          <w:b w:val="0"/>
          <w:bCs/>
          <w:color w:val="000000"/>
          <w:kern w:val="2"/>
          <w:sz w:val="32"/>
          <w:szCs w:val="32"/>
          <w:lang w:val="en-US" w:eastAsia="zh-CN" w:bidi="ar-SA"/>
        </w:rPr>
        <w:t>二是</w:t>
      </w:r>
      <w:r>
        <w:rPr>
          <w:rFonts w:ascii="Times New Roman" w:hAnsi="Times New Roman" w:eastAsia="仿宋_GB2312" w:cs="Times New Roman"/>
          <w:b w:val="0"/>
          <w:bCs/>
          <w:kern w:val="2"/>
          <w:sz w:val="32"/>
          <w:szCs w:val="32"/>
        </w:rPr>
        <w:t>进一步</w:t>
      </w:r>
      <w:r>
        <w:rPr>
          <w:rFonts w:ascii="Times New Roman" w:hAnsi="Times New Roman" w:eastAsia="仿宋_GB2312" w:cs="Times New Roman"/>
          <w:b w:val="0"/>
          <w:bCs/>
          <w:sz w:val="32"/>
          <w:szCs w:val="32"/>
        </w:rPr>
        <w:t>完善机制，理顺农村公路管养权限。</w:t>
      </w:r>
      <w:r>
        <w:rPr>
          <w:rFonts w:hint="eastAsia" w:ascii="Times New Roman" w:hAnsi="Times New Roman" w:eastAsia="仿宋_GB2312" w:cs="Times New Roman"/>
          <w:b w:val="0"/>
          <w:bCs/>
          <w:sz w:val="32"/>
          <w:szCs w:val="32"/>
          <w:lang w:val="en-US" w:eastAsia="zh-CN"/>
        </w:rPr>
        <w:t>全面落实</w:t>
      </w:r>
      <w:r>
        <w:rPr>
          <w:rFonts w:ascii="Times New Roman" w:hAnsi="Times New Roman" w:eastAsia="仿宋_GB2312" w:cs="Times New Roman"/>
          <w:b w:val="0"/>
          <w:bCs/>
          <w:sz w:val="32"/>
          <w:szCs w:val="32"/>
        </w:rPr>
        <w:t>县、乡、村三级路长制。</w:t>
      </w:r>
      <w:r>
        <w:rPr>
          <w:rFonts w:hint="eastAsia" w:ascii="Times New Roman" w:hAnsi="Times New Roman" w:eastAsia="仿宋_GB2312" w:cs="Times New Roman"/>
          <w:b w:val="0"/>
          <w:bCs/>
          <w:color w:val="auto"/>
          <w:kern w:val="2"/>
          <w:sz w:val="32"/>
          <w:szCs w:val="32"/>
          <w:lang w:val="en-US" w:eastAsia="zh-CN" w:bidi="ar-SA"/>
        </w:rPr>
        <w:t>常态开展全域无垃圾行动，加大道路巡查力度，及时排查和消除道路安全隐患，做好道路应急抢险工作，确保公路畅安舒美。</w:t>
      </w:r>
      <w:r>
        <w:rPr>
          <w:rFonts w:hint="default" w:ascii="Times New Roman" w:hAnsi="Times New Roman" w:eastAsia="仿宋_GB2312" w:cs="Times New Roman"/>
          <w:b w:val="0"/>
          <w:bCs/>
          <w:color w:val="auto"/>
          <w:kern w:val="2"/>
          <w:sz w:val="32"/>
          <w:szCs w:val="32"/>
          <w:lang w:val="en" w:eastAsia="zh-CN" w:bidi="ar-SA"/>
        </w:rPr>
        <w:t>让群众获得</w:t>
      </w:r>
      <w:r>
        <w:rPr>
          <w:rFonts w:hint="eastAsia" w:ascii="Times New Roman" w:hAnsi="Times New Roman" w:eastAsia="仿宋_GB2312" w:cs="Times New Roman"/>
          <w:b w:val="0"/>
          <w:bCs/>
          <w:color w:val="auto"/>
          <w:kern w:val="2"/>
          <w:sz w:val="32"/>
          <w:szCs w:val="32"/>
          <w:lang w:val="en-US" w:eastAsia="zh-CN" w:bidi="ar-SA"/>
        </w:rPr>
        <w:t>感成色</w:t>
      </w:r>
      <w:r>
        <w:rPr>
          <w:rFonts w:hint="default" w:ascii="Times New Roman" w:hAnsi="Times New Roman" w:eastAsia="仿宋_GB2312" w:cs="Times New Roman"/>
          <w:b w:val="0"/>
          <w:bCs/>
          <w:color w:val="auto"/>
          <w:kern w:val="2"/>
          <w:sz w:val="32"/>
          <w:szCs w:val="32"/>
          <w:lang w:val="en" w:eastAsia="zh-CN" w:bidi="ar-SA"/>
        </w:rPr>
        <w:t>更足、幸福感更可持续、安全感更有保障。</w:t>
      </w:r>
    </w:p>
    <w:p>
      <w:pPr>
        <w:pStyle w:val="1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Times New Roman" w:hAnsi="Times New Roman"/>
          <w:b w:val="0"/>
          <w:bCs/>
          <w:sz w:val="32"/>
          <w:lang w:val="en-US" w:eastAsia="zh-CN"/>
        </w:rPr>
      </w:pPr>
      <w:r>
        <w:rPr>
          <w:rFonts w:hint="eastAsia" w:ascii="Times New Roman" w:hAnsi="Times New Roman" w:eastAsia="楷体_GB2312" w:cs="楷体_GB2312"/>
          <w:b/>
          <w:bCs w:val="0"/>
          <w:kern w:val="2"/>
          <w:sz w:val="32"/>
          <w:szCs w:val="32"/>
          <w:lang w:val="en-US" w:eastAsia="zh-CN" w:bidi="ar-SA"/>
        </w:rPr>
        <w:t>4.做好协调对接联动，全方位强化项目要素保障。</w:t>
      </w:r>
      <w:r>
        <w:rPr>
          <w:rFonts w:hint="eastAsia" w:ascii="Times New Roman" w:hAnsi="Times New Roman" w:eastAsia="仿宋_GB2312" w:cs="Times New Roman"/>
          <w:b w:val="0"/>
          <w:bCs/>
          <w:color w:val="000000"/>
          <w:kern w:val="2"/>
          <w:sz w:val="32"/>
          <w:szCs w:val="32"/>
          <w:lang w:val="en-US" w:eastAsia="zh-CN" w:bidi="ar-SA"/>
        </w:rPr>
        <w:t>一是</w:t>
      </w:r>
      <w:r>
        <w:rPr>
          <w:rFonts w:ascii="Times New Roman" w:hAnsi="Times New Roman" w:eastAsia="仿宋_GB2312" w:cs="Times New Roman"/>
          <w:b w:val="0"/>
          <w:bCs/>
          <w:kern w:val="2"/>
          <w:sz w:val="32"/>
          <w:szCs w:val="32"/>
        </w:rPr>
        <w:t>抽调骨干力量成立项目建设协调专班，负责协调解决项目征拆、建设推进中存在的难点堵点问题。</w:t>
      </w:r>
      <w:r>
        <w:rPr>
          <w:rFonts w:hint="eastAsia" w:ascii="Times New Roman" w:hAnsi="Times New Roman" w:eastAsia="仿宋_GB2312" w:cs="Times New Roman"/>
          <w:b w:val="0"/>
          <w:bCs/>
          <w:sz w:val="32"/>
          <w:szCs w:val="32"/>
          <w:lang w:val="en-US" w:eastAsia="zh-CN"/>
        </w:rPr>
        <w:t>加强与发改、财政、自然资源、经信等部门和项目属地乡镇沟通协调，全力做好重大交通项目用地、房屋拆迁、杆管线迁改等工作，力争项目推进“无阻碍”。</w:t>
      </w:r>
      <w:r>
        <w:rPr>
          <w:rFonts w:hint="eastAsia" w:ascii="Times New Roman" w:hAnsi="Times New Roman" w:eastAsia="仿宋_GB2312" w:cs="Times New Roman"/>
          <w:b w:val="0"/>
          <w:bCs/>
          <w:color w:val="000000"/>
          <w:kern w:val="2"/>
          <w:sz w:val="32"/>
          <w:szCs w:val="32"/>
          <w:lang w:val="en-US" w:eastAsia="zh-CN" w:bidi="ar-SA"/>
        </w:rPr>
        <w:t>二是</w:t>
      </w:r>
      <w:r>
        <w:rPr>
          <w:rFonts w:hint="eastAsia" w:ascii="Times New Roman" w:hAnsi="Times New Roman" w:eastAsia="仿宋_GB2312" w:cs="Times New Roman"/>
          <w:b w:val="0"/>
          <w:bCs/>
          <w:sz w:val="32"/>
          <w:szCs w:val="32"/>
          <w:lang w:val="en-US" w:eastAsia="zh-CN"/>
        </w:rPr>
        <w:t>积极</w:t>
      </w:r>
      <w:r>
        <w:rPr>
          <w:rFonts w:hint="default" w:ascii="Times New Roman" w:hAnsi="Times New Roman" w:eastAsia="仿宋_GB2312" w:cs="Times New Roman"/>
          <w:b w:val="0"/>
          <w:bCs/>
          <w:sz w:val="32"/>
          <w:szCs w:val="32"/>
          <w:lang w:val="en-US" w:eastAsia="zh-CN"/>
        </w:rPr>
        <w:t>拓宽资金筹措渠道</w:t>
      </w:r>
      <w:r>
        <w:rPr>
          <w:rFonts w:hint="eastAsia" w:ascii="Times New Roman" w:hAnsi="Times New Roman" w:eastAsia="仿宋_GB2312" w:cs="Times New Roman"/>
          <w:b w:val="0"/>
          <w:bCs/>
          <w:sz w:val="32"/>
          <w:szCs w:val="32"/>
          <w:lang w:val="en-US" w:eastAsia="zh-CN"/>
        </w:rPr>
        <w:t>。健全以“国家补助、地方投入、社会参与”的资金筹措体系。把握部、省干线公路、农村公路建设政策机遇，积极争取上级补助资金；统筹整合涉农项目资金、地方财政资金兜底、包装债券资金等方式多渠道筹措资金。</w:t>
      </w:r>
    </w:p>
    <w:p>
      <w:pPr>
        <w:bidi w:val="0"/>
        <w:rPr>
          <w:rFonts w:hint="eastAsia"/>
        </w:rPr>
      </w:pPr>
      <w:bookmarkStart w:id="5" w:name="_Toc18124"/>
      <w:r>
        <w:rPr>
          <w:rFonts w:hint="eastAsia"/>
          <w:b/>
          <w:bCs/>
          <w:lang w:val="en-US" w:eastAsia="zh-CN"/>
        </w:rPr>
        <w:t>5.做好隐患排查整治，全方位守好交通安全底线。</w:t>
      </w:r>
      <w:r>
        <w:rPr>
          <w:rFonts w:hint="eastAsia"/>
          <w:lang w:val="en-US" w:eastAsia="zh-CN"/>
        </w:rPr>
        <w:t>以主题教育为抓手，深刻汲取金阳“8·21”山洪灾害等惨痛教训，切实提高政治站位，认真贯彻落实党中央、国务院和省市区有关工作部署，持续开展行业安全生产大排查大整治，加大道路巡查力度，</w:t>
      </w:r>
      <w:r>
        <w:rPr>
          <w:rFonts w:hint="eastAsia"/>
        </w:rPr>
        <w:t>做好</w:t>
      </w:r>
      <w:r>
        <w:rPr>
          <w:rFonts w:hint="eastAsia"/>
          <w:lang w:val="en-US" w:eastAsia="zh-CN"/>
        </w:rPr>
        <w:t>道路</w:t>
      </w:r>
      <w:r>
        <w:rPr>
          <w:rFonts w:hint="eastAsia"/>
        </w:rPr>
        <w:t>应急</w:t>
      </w:r>
      <w:r>
        <w:rPr>
          <w:rFonts w:hint="eastAsia"/>
          <w:lang w:eastAsia="zh-CN"/>
        </w:rPr>
        <w:t>抢险</w:t>
      </w:r>
      <w:r>
        <w:rPr>
          <w:rFonts w:hint="eastAsia"/>
        </w:rPr>
        <w:t>工作</w:t>
      </w:r>
      <w:r>
        <w:rPr>
          <w:rFonts w:hint="eastAsia"/>
          <w:lang w:eastAsia="zh-CN"/>
        </w:rPr>
        <w:t>，及时消除各类安全隐患，</w:t>
      </w:r>
      <w:r>
        <w:rPr>
          <w:rFonts w:hint="eastAsia"/>
        </w:rPr>
        <w:t>深入开展“打非治违”</w:t>
      </w:r>
      <w:r>
        <w:rPr>
          <w:rFonts w:hint="eastAsia"/>
          <w:lang w:eastAsia="zh-CN"/>
        </w:rPr>
        <w:t>，</w:t>
      </w:r>
      <w:r>
        <w:rPr>
          <w:rFonts w:hint="eastAsia"/>
          <w:lang w:val="en-US" w:eastAsia="zh-CN"/>
        </w:rPr>
        <w:t>严堵安全管理漏洞，严格源头安全治理，坚决遏制和有效防范行业安全生产事故发生，确保全行业安全生产形势平稳安定。</w:t>
      </w:r>
      <w:bookmarkEnd w:id="5"/>
    </w:p>
    <w:p>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ascii="Times New Roman" w:hAnsi="Times New Roman"/>
          <w:b w:val="0"/>
          <w:bCs/>
          <w:sz w:val="32"/>
        </w:rPr>
      </w:pPr>
      <w:bookmarkStart w:id="6" w:name="_Toc26350"/>
      <w:r>
        <w:rPr>
          <w:rFonts w:hint="eastAsia" w:ascii="Times New Roman" w:hAnsi="Times New Roman"/>
          <w:b w:val="0"/>
          <w:bCs/>
          <w:sz w:val="32"/>
        </w:rPr>
        <w:t>二、部门预算单位构成</w:t>
      </w:r>
      <w:bookmarkEnd w:id="6"/>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rPr>
      </w:pP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局下属二级预算单位</w:t>
      </w:r>
      <w:r>
        <w:rPr>
          <w:rFonts w:hint="eastAsia" w:ascii="Times New Roman" w:hAnsi="Times New Roman" w:eastAsia="仿宋_GB2312"/>
          <w:b w:val="0"/>
          <w:bCs/>
          <w:sz w:val="32"/>
          <w:szCs w:val="32"/>
          <w:lang w:val="en-US" w:eastAsia="zh-CN"/>
        </w:rPr>
        <w:t>3</w:t>
      </w:r>
      <w:r>
        <w:rPr>
          <w:rFonts w:hint="eastAsia" w:ascii="Times New Roman" w:hAnsi="Times New Roman" w:eastAsia="仿宋_GB2312"/>
          <w:b w:val="0"/>
          <w:bCs/>
          <w:sz w:val="32"/>
          <w:szCs w:val="32"/>
        </w:rPr>
        <w:t>个，其中行政单位</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个，</w:t>
      </w:r>
      <w:r>
        <w:rPr>
          <w:rFonts w:hint="eastAsia" w:ascii="Times New Roman" w:hAnsi="Times New Roman" w:eastAsia="仿宋_GB2312"/>
          <w:b w:val="0"/>
          <w:bCs/>
          <w:sz w:val="32"/>
          <w:szCs w:val="32"/>
          <w:lang w:eastAsia="zh-CN"/>
        </w:rPr>
        <w:t>参照公务员法管理事业单位</w:t>
      </w:r>
      <w:r>
        <w:rPr>
          <w:rFonts w:hint="eastAsia" w:ascii="Times New Roman" w:hAnsi="Times New Roman" w:eastAsia="仿宋_GB2312"/>
          <w:b w:val="0"/>
          <w:bCs/>
          <w:sz w:val="32"/>
          <w:szCs w:val="32"/>
          <w:lang w:val="en-US" w:eastAsia="zh-CN"/>
        </w:rPr>
        <w:t>2个</w:t>
      </w:r>
      <w:r>
        <w:rPr>
          <w:rFonts w:hint="eastAsia" w:ascii="Times New Roman" w:hAnsi="Times New Roman" w:eastAsia="仿宋_GB2312"/>
          <w:b w:val="0"/>
          <w:bCs/>
          <w:sz w:val="32"/>
          <w:szCs w:val="32"/>
        </w:rPr>
        <w:t>。主要包括：</w:t>
      </w:r>
      <w:r>
        <w:rPr>
          <w:rFonts w:hint="eastAsia" w:ascii="Times New Roman" w:hAnsi="Times New Roman" w:eastAsia="仿宋_GB2312"/>
          <w:b w:val="0"/>
          <w:bCs/>
          <w:sz w:val="32"/>
          <w:szCs w:val="32"/>
          <w:lang w:eastAsia="zh-CN"/>
        </w:rPr>
        <w:t>罗江区交通运输局、罗江区地方海事处、罗江区交通运输综合行政执法大队</w:t>
      </w:r>
      <w:r>
        <w:rPr>
          <w:rFonts w:hint="eastAsia" w:ascii="Times New Roman" w:hAnsi="Times New Roman" w:eastAsia="仿宋_GB2312"/>
          <w:b w:val="0"/>
          <w:bCs/>
          <w:sz w:val="32"/>
          <w:szCs w:val="32"/>
        </w:rPr>
        <w:t>。</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t>区交通运输</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局总编制</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3</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4</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名，其中行政编制</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9</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名，事业编制</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23</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名，工勤编制</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2</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名。在职人员总数</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20</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人，其中：行政人员</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7</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人，事业人员</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1</w:t>
      </w:r>
      <w:r>
        <w:rPr>
          <w:rFonts w:hint="eastAsia" w:ascii="Times New Roman" w:hAnsi="Times New Roman"/>
          <w:b w:val="0"/>
          <w:bCs/>
          <w:color w:val="000000" w:themeColor="text1"/>
          <w:sz w:val="32"/>
          <w:szCs w:val="32"/>
          <w:highlight w:val="none"/>
          <w:shd w:val="clear" w:color="auto" w:fill="auto"/>
          <w:lang w:val="en-US" w:eastAsia="zh-CN"/>
          <w14:textFill>
            <w14:solidFill>
              <w14:schemeClr w14:val="tx1"/>
            </w14:solidFill>
          </w14:textFill>
        </w:rPr>
        <w:t>2</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人，工勤人员</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1</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人；离退休人员</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7</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人，其中：退休人员</w:t>
      </w:r>
      <w:r>
        <w:rPr>
          <w:rFonts w:hint="eastAsia" w:ascii="Times New Roman" w:hAnsi="Times New Roman" w:eastAsia="仿宋_GB2312"/>
          <w:b w:val="0"/>
          <w:bCs/>
          <w:color w:val="000000" w:themeColor="text1"/>
          <w:sz w:val="32"/>
          <w:szCs w:val="32"/>
          <w:highlight w:val="none"/>
          <w:shd w:val="clear" w:color="auto" w:fill="auto"/>
          <w:lang w:val="en-US" w:eastAsia="zh-CN"/>
          <w14:textFill>
            <w14:solidFill>
              <w14:schemeClr w14:val="tx1"/>
            </w14:solidFill>
          </w14:textFill>
        </w:rPr>
        <w:t>7</w:t>
      </w:r>
      <w:r>
        <w:rPr>
          <w:rFonts w:hint="eastAsia" w:ascii="Times New Roman" w:hAnsi="Times New Roman" w:eastAsia="仿宋_GB2312"/>
          <w:b w:val="0"/>
          <w:bCs/>
          <w:color w:val="000000" w:themeColor="text1"/>
          <w:sz w:val="32"/>
          <w:szCs w:val="32"/>
          <w:highlight w:val="none"/>
          <w:shd w:val="clear" w:color="auto" w:fill="auto"/>
          <w14:textFill>
            <w14:solidFill>
              <w14:schemeClr w14:val="tx1"/>
            </w14:solidFill>
          </w14:textFill>
        </w:rPr>
        <w:t>人。</w:t>
      </w:r>
      <w:r>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t>本次公开数据包括在交通局机关统一核算的所有下属二级单位数据，其余独立核算的二级单位由其单位公开。</w:t>
      </w:r>
    </w:p>
    <w:p>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ascii="Times New Roman" w:hAnsi="Times New Roman"/>
          <w:b w:val="0"/>
          <w:bCs/>
          <w:sz w:val="32"/>
        </w:rPr>
      </w:pPr>
      <w:bookmarkStart w:id="7" w:name="_Toc17314"/>
      <w:r>
        <w:rPr>
          <w:rFonts w:hint="eastAsia" w:ascii="Times New Roman" w:hAnsi="Times New Roman"/>
          <w:b w:val="0"/>
          <w:bCs/>
          <w:sz w:val="32"/>
        </w:rPr>
        <w:t>三、收支预算增减变化情况说明</w:t>
      </w:r>
      <w:bookmarkEnd w:id="7"/>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eastAsia="仿宋_GB2312"/>
          <w:b w:val="0"/>
          <w:bCs/>
          <w:color w:val="auto"/>
          <w:sz w:val="32"/>
          <w:szCs w:val="32"/>
          <w:highlight w:val="none"/>
        </w:rPr>
        <w:t>按照综合预算的原则，</w:t>
      </w:r>
      <w:r>
        <w:rPr>
          <w:rFonts w:hint="eastAsia" w:ascii="Times New Roman" w:hAnsi="Times New Roman" w:eastAsia="仿宋_GB2312"/>
          <w:b w:val="0"/>
          <w:bCs/>
          <w:sz w:val="32"/>
          <w:szCs w:val="32"/>
          <w:highlight w:val="none"/>
          <w:lang w:eastAsia="zh-CN"/>
        </w:rPr>
        <w:t>交通运输</w:t>
      </w:r>
      <w:r>
        <w:rPr>
          <w:rFonts w:hint="eastAsia" w:ascii="Times New Roman" w:hAnsi="Times New Roman" w:eastAsia="仿宋_GB2312"/>
          <w:b w:val="0"/>
          <w:bCs/>
          <w:sz w:val="32"/>
          <w:szCs w:val="32"/>
          <w:highlight w:val="none"/>
        </w:rPr>
        <w:t>局所有收支数据，全部纳入</w:t>
      </w:r>
      <w:r>
        <w:rPr>
          <w:rFonts w:hint="eastAsia" w:ascii="Times New Roman" w:hAnsi="Times New Roman" w:eastAsia="仿宋_GB2312"/>
          <w:b w:val="0"/>
          <w:bCs/>
          <w:sz w:val="32"/>
          <w:szCs w:val="32"/>
          <w:highlight w:val="none"/>
          <w:lang w:eastAsia="zh-CN"/>
        </w:rPr>
        <w:t>单位</w:t>
      </w:r>
      <w:r>
        <w:rPr>
          <w:rFonts w:hint="eastAsia" w:ascii="Times New Roman" w:hAnsi="Times New Roman" w:eastAsia="仿宋_GB2312"/>
          <w:b w:val="0"/>
          <w:bCs/>
          <w:sz w:val="32"/>
          <w:szCs w:val="32"/>
          <w:highlight w:val="none"/>
        </w:rPr>
        <w:t>预算管理。收入包括：</w:t>
      </w:r>
      <w:r>
        <w:rPr>
          <w:rFonts w:hint="eastAsia" w:ascii="Times New Roman" w:hAnsi="Times New Roman" w:eastAsia="仿宋_GB2312"/>
          <w:b w:val="0"/>
          <w:bCs/>
          <w:sz w:val="32"/>
          <w:szCs w:val="32"/>
          <w:highlight w:val="none"/>
          <w:lang w:eastAsia="zh-CN"/>
        </w:rPr>
        <w:t>一般公共预算拨款</w:t>
      </w:r>
      <w:r>
        <w:rPr>
          <w:rFonts w:hint="eastAsia" w:ascii="Times New Roman" w:hAnsi="Times New Roman"/>
          <w:b w:val="0"/>
          <w:bCs/>
          <w:sz w:val="32"/>
          <w:szCs w:val="32"/>
          <w:highlight w:val="none"/>
          <w:lang w:val="en-US" w:eastAsia="zh-CN"/>
        </w:rPr>
        <w:t>411.17</w:t>
      </w:r>
      <w:r>
        <w:rPr>
          <w:rFonts w:hint="eastAsia" w:ascii="Times New Roman" w:hAnsi="Times New Roman" w:eastAsia="仿宋_GB2312"/>
          <w:b w:val="0"/>
          <w:bCs/>
          <w:sz w:val="32"/>
          <w:szCs w:val="32"/>
          <w:highlight w:val="none"/>
          <w:lang w:val="en-US" w:eastAsia="zh-CN"/>
        </w:rPr>
        <w:t>万元，比202</w:t>
      </w:r>
      <w:r>
        <w:rPr>
          <w:rFonts w:hint="eastAsia" w:ascii="Times New Roman" w:hAnsi="Times New Roman"/>
          <w:b w:val="0"/>
          <w:bCs/>
          <w:sz w:val="32"/>
          <w:szCs w:val="32"/>
          <w:highlight w:val="none"/>
          <w:lang w:val="en-US" w:eastAsia="zh-CN"/>
        </w:rPr>
        <w:t>3</w:t>
      </w:r>
      <w:r>
        <w:rPr>
          <w:rFonts w:hint="eastAsia" w:ascii="Times New Roman" w:hAnsi="Times New Roman" w:eastAsia="仿宋_GB2312"/>
          <w:b w:val="0"/>
          <w:bCs/>
          <w:sz w:val="32"/>
          <w:szCs w:val="32"/>
          <w:highlight w:val="none"/>
          <w:lang w:val="en-US" w:eastAsia="zh-CN"/>
        </w:rPr>
        <w:t>年预算数增加</w:t>
      </w:r>
      <w:r>
        <w:rPr>
          <w:rFonts w:hint="eastAsia" w:ascii="Times New Roman" w:hAnsi="Times New Roman"/>
          <w:b w:val="0"/>
          <w:bCs/>
          <w:sz w:val="32"/>
          <w:szCs w:val="32"/>
          <w:highlight w:val="none"/>
          <w:lang w:val="en-US" w:eastAsia="zh-CN"/>
        </w:rPr>
        <w:t>38.05</w:t>
      </w:r>
      <w:r>
        <w:rPr>
          <w:rFonts w:hint="eastAsia" w:ascii="Times New Roman" w:hAnsi="Times New Roman" w:eastAsia="仿宋_GB2312"/>
          <w:b w:val="0"/>
          <w:bCs/>
          <w:sz w:val="32"/>
          <w:szCs w:val="32"/>
          <w:highlight w:val="none"/>
          <w:lang w:val="en-US" w:eastAsia="zh-CN"/>
        </w:rPr>
        <w:t>万元，</w:t>
      </w:r>
      <w:r>
        <w:rPr>
          <w:rFonts w:hint="eastAsia" w:ascii="Times New Roman" w:hAnsi="Times New Roman" w:eastAsia="仿宋_GB2312"/>
          <w:b w:val="0"/>
          <w:bCs/>
          <w:sz w:val="32"/>
          <w:szCs w:val="32"/>
        </w:rPr>
        <w:t>主要</w:t>
      </w:r>
      <w:r>
        <w:rPr>
          <w:rFonts w:hint="eastAsia" w:ascii="Times New Roman" w:hAnsi="Times New Roman" w:eastAsia="仿宋_GB2312"/>
          <w:b w:val="0"/>
          <w:bCs/>
          <w:sz w:val="32"/>
          <w:szCs w:val="32"/>
          <w:lang w:eastAsia="zh-CN"/>
        </w:rPr>
        <w:t>原因</w:t>
      </w:r>
      <w:r>
        <w:rPr>
          <w:rFonts w:hint="eastAsia" w:ascii="Times New Roman" w:hAnsi="Times New Roman" w:eastAsia="仿宋_GB2312"/>
          <w:b w:val="0"/>
          <w:bCs/>
          <w:sz w:val="32"/>
          <w:szCs w:val="32"/>
        </w:rPr>
        <w:t>是</w:t>
      </w:r>
      <w:r>
        <w:rPr>
          <w:rFonts w:hint="eastAsia" w:ascii="Times New Roman" w:hAnsi="Times New Roman" w:eastAsia="仿宋_GB2312"/>
          <w:b w:val="0"/>
          <w:bCs/>
          <w:sz w:val="32"/>
          <w:szCs w:val="32"/>
          <w:lang w:eastAsia="zh-CN"/>
        </w:rPr>
        <w:t>人员增加和政策性增支；政府性基金预算拨款</w:t>
      </w:r>
      <w:r>
        <w:rPr>
          <w:rFonts w:hint="eastAsia" w:ascii="Times New Roman" w:hAnsi="Times New Roman" w:eastAsia="仿宋_GB2312"/>
          <w:b w:val="0"/>
          <w:bCs/>
          <w:sz w:val="32"/>
          <w:szCs w:val="32"/>
          <w:lang w:val="en-US" w:eastAsia="zh-CN"/>
        </w:rPr>
        <w:t>0万元，与202</w:t>
      </w:r>
      <w:r>
        <w:rPr>
          <w:rFonts w:hint="eastAsia" w:ascii="Times New Roman" w:hAnsi="Times New Roman"/>
          <w:b w:val="0"/>
          <w:bCs/>
          <w:sz w:val="32"/>
          <w:szCs w:val="32"/>
          <w:lang w:val="en-US" w:eastAsia="zh-CN"/>
        </w:rPr>
        <w:t>3</w:t>
      </w:r>
      <w:r>
        <w:rPr>
          <w:rFonts w:hint="eastAsia" w:ascii="Times New Roman" w:hAnsi="Times New Roman" w:eastAsia="仿宋_GB2312"/>
          <w:b w:val="0"/>
          <w:bCs/>
          <w:sz w:val="32"/>
          <w:szCs w:val="32"/>
          <w:lang w:val="en-US" w:eastAsia="zh-CN"/>
        </w:rPr>
        <w:t>年预算数持平；</w:t>
      </w:r>
      <w:r>
        <w:rPr>
          <w:rFonts w:hint="eastAsia" w:ascii="Times New Roman" w:hAnsi="Times New Roman" w:eastAsia="仿宋_GB2312"/>
          <w:b w:val="0"/>
          <w:bCs/>
          <w:sz w:val="32"/>
          <w:szCs w:val="32"/>
          <w:highlight w:val="none"/>
          <w:lang w:val="en-US" w:eastAsia="zh-CN"/>
        </w:rPr>
        <w:t>其他收入0万元，与202</w:t>
      </w:r>
      <w:r>
        <w:rPr>
          <w:rFonts w:hint="eastAsia" w:ascii="Times New Roman" w:hAnsi="Times New Roman"/>
          <w:b w:val="0"/>
          <w:bCs/>
          <w:sz w:val="32"/>
          <w:szCs w:val="32"/>
          <w:highlight w:val="none"/>
          <w:lang w:val="en-US" w:eastAsia="zh-CN"/>
        </w:rPr>
        <w:t>3</w:t>
      </w:r>
      <w:r>
        <w:rPr>
          <w:rFonts w:hint="eastAsia" w:ascii="Times New Roman" w:hAnsi="Times New Roman" w:eastAsia="仿宋_GB2312"/>
          <w:b w:val="0"/>
          <w:bCs/>
          <w:sz w:val="32"/>
          <w:szCs w:val="32"/>
          <w:highlight w:val="none"/>
          <w:lang w:val="en-US" w:eastAsia="zh-CN"/>
        </w:rPr>
        <w:t>年预算数持平</w:t>
      </w:r>
      <w:r>
        <w:rPr>
          <w:rFonts w:hint="eastAsia" w:ascii="Times New Roman" w:hAnsi="Times New Roman" w:eastAsia="仿宋_GB2312"/>
          <w:b w:val="0"/>
          <w:bCs/>
          <w:sz w:val="32"/>
          <w:szCs w:val="32"/>
          <w:highlight w:val="none"/>
          <w:lang w:eastAsia="zh-CN"/>
        </w:rPr>
        <w:t>；</w:t>
      </w:r>
      <w:r>
        <w:rPr>
          <w:rFonts w:hint="eastAsia" w:ascii="Times New Roman" w:hAnsi="Times New Roman" w:eastAsia="仿宋_GB2312"/>
          <w:b w:val="0"/>
          <w:bCs/>
          <w:sz w:val="32"/>
          <w:szCs w:val="32"/>
        </w:rPr>
        <w:t>支出包括：</w:t>
      </w:r>
      <w:r>
        <w:rPr>
          <w:rFonts w:hint="eastAsia" w:ascii="Times New Roman" w:hAnsi="Times New Roman" w:eastAsia="仿宋_GB2312"/>
          <w:b w:val="0"/>
          <w:bCs/>
          <w:sz w:val="32"/>
          <w:szCs w:val="32"/>
          <w:lang w:eastAsia="zh-CN"/>
        </w:rPr>
        <w:t>社会保障和就业支出</w:t>
      </w:r>
      <w:r>
        <w:rPr>
          <w:rFonts w:hint="eastAsia" w:ascii="Times New Roman" w:hAnsi="Times New Roman"/>
          <w:b w:val="0"/>
          <w:bCs/>
          <w:sz w:val="32"/>
          <w:szCs w:val="32"/>
          <w:lang w:val="en-US" w:eastAsia="zh-CN"/>
        </w:rPr>
        <w:t>62.81</w:t>
      </w:r>
      <w:r>
        <w:rPr>
          <w:rFonts w:hint="eastAsia" w:ascii="Times New Roman" w:hAnsi="Times New Roman" w:eastAsia="仿宋_GB2312"/>
          <w:b w:val="0"/>
          <w:bCs/>
          <w:sz w:val="32"/>
          <w:szCs w:val="32"/>
          <w:lang w:val="en-US" w:eastAsia="zh-CN"/>
        </w:rPr>
        <w:t>万元；卫生健康支出</w:t>
      </w:r>
      <w:r>
        <w:rPr>
          <w:rFonts w:hint="eastAsia" w:ascii="Times New Roman" w:hAnsi="Times New Roman"/>
          <w:b w:val="0"/>
          <w:bCs/>
          <w:sz w:val="32"/>
          <w:szCs w:val="32"/>
          <w:lang w:val="en-US" w:eastAsia="zh-CN"/>
        </w:rPr>
        <w:t>13.42</w:t>
      </w:r>
      <w:r>
        <w:rPr>
          <w:rFonts w:hint="eastAsia" w:ascii="Times New Roman" w:hAnsi="Times New Roman" w:eastAsia="仿宋_GB2312"/>
          <w:b w:val="0"/>
          <w:bCs/>
          <w:sz w:val="32"/>
          <w:szCs w:val="32"/>
          <w:lang w:val="en-US" w:eastAsia="zh-CN"/>
        </w:rPr>
        <w:t>万元；交通运输支出</w:t>
      </w:r>
      <w:r>
        <w:rPr>
          <w:rFonts w:hint="eastAsia" w:ascii="Times New Roman" w:hAnsi="Times New Roman"/>
          <w:b w:val="0"/>
          <w:bCs/>
          <w:sz w:val="32"/>
          <w:szCs w:val="32"/>
          <w:lang w:val="en-US" w:eastAsia="zh-CN"/>
        </w:rPr>
        <w:t>307.64</w:t>
      </w:r>
      <w:r>
        <w:rPr>
          <w:rFonts w:hint="eastAsia" w:ascii="Times New Roman" w:hAnsi="Times New Roman" w:eastAsia="仿宋_GB2312"/>
          <w:b w:val="0"/>
          <w:bCs/>
          <w:sz w:val="32"/>
          <w:szCs w:val="32"/>
          <w:lang w:val="en-US" w:eastAsia="zh-CN"/>
        </w:rPr>
        <w:t>万元；住房保障支出</w:t>
      </w:r>
      <w:r>
        <w:rPr>
          <w:rFonts w:hint="eastAsia" w:ascii="Times New Roman" w:hAnsi="Times New Roman"/>
          <w:b w:val="0"/>
          <w:bCs/>
          <w:sz w:val="32"/>
          <w:szCs w:val="32"/>
          <w:lang w:val="en-US" w:eastAsia="zh-CN"/>
        </w:rPr>
        <w:t>27.30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比20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3</w:t>
      </w:r>
      <w:r>
        <w:rPr>
          <w:rFonts w:hint="eastAsia" w:ascii="Times New Roman" w:hAnsi="Times New Roman" w:eastAsia="仿宋_GB2312"/>
          <w:b w:val="0"/>
          <w:bCs/>
          <w:sz w:val="32"/>
          <w:szCs w:val="32"/>
        </w:rPr>
        <w:t>年预算数</w:t>
      </w:r>
      <w:r>
        <w:rPr>
          <w:rFonts w:hint="eastAsia" w:ascii="Times New Roman" w:hAnsi="Times New Roman" w:eastAsia="仿宋_GB2312"/>
          <w:b w:val="0"/>
          <w:bCs/>
          <w:sz w:val="32"/>
          <w:szCs w:val="32"/>
          <w:lang w:eastAsia="zh-CN"/>
        </w:rPr>
        <w:t>增加</w:t>
      </w:r>
      <w:r>
        <w:rPr>
          <w:rFonts w:hint="eastAsia" w:ascii="Times New Roman" w:hAnsi="Times New Roman"/>
          <w:b w:val="0"/>
          <w:bCs/>
          <w:sz w:val="32"/>
          <w:szCs w:val="32"/>
          <w:lang w:val="en-US" w:eastAsia="zh-CN"/>
        </w:rPr>
        <w:t>38.05</w:t>
      </w:r>
      <w:r>
        <w:rPr>
          <w:rFonts w:hint="eastAsia" w:ascii="Times New Roman" w:hAnsi="Times New Roman" w:eastAsia="仿宋_GB2312"/>
          <w:b w:val="0"/>
          <w:bCs/>
          <w:sz w:val="32"/>
          <w:szCs w:val="32"/>
        </w:rPr>
        <w:t>万元，主要</w:t>
      </w:r>
      <w:r>
        <w:rPr>
          <w:rFonts w:hint="eastAsia" w:ascii="Times New Roman" w:hAnsi="Times New Roman" w:eastAsia="仿宋_GB2312"/>
          <w:b w:val="0"/>
          <w:bCs/>
          <w:sz w:val="32"/>
          <w:szCs w:val="32"/>
          <w:lang w:eastAsia="zh-CN"/>
        </w:rPr>
        <w:t>原因</w:t>
      </w:r>
      <w:r>
        <w:rPr>
          <w:rFonts w:hint="eastAsia" w:ascii="Times New Roman" w:hAnsi="Times New Roman" w:eastAsia="仿宋_GB2312"/>
          <w:b w:val="0"/>
          <w:bCs/>
          <w:sz w:val="32"/>
          <w:szCs w:val="32"/>
        </w:rPr>
        <w:t>是</w:t>
      </w:r>
      <w:r>
        <w:rPr>
          <w:rFonts w:hint="eastAsia" w:ascii="Times New Roman" w:hAnsi="Times New Roman" w:eastAsia="仿宋_GB2312"/>
          <w:b w:val="0"/>
          <w:bCs/>
          <w:sz w:val="32"/>
          <w:szCs w:val="32"/>
          <w:lang w:eastAsia="zh-CN"/>
        </w:rPr>
        <w:t>人员增加和政策性增支</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年收支总预算</w:t>
      </w:r>
      <w:r>
        <w:rPr>
          <w:rFonts w:hint="eastAsia" w:ascii="Times New Roman" w:hAnsi="Times New Roman"/>
          <w:b w:val="0"/>
          <w:bCs/>
          <w:sz w:val="32"/>
          <w:szCs w:val="32"/>
          <w:lang w:val="en-US" w:eastAsia="zh-CN"/>
        </w:rPr>
        <w:t>411.17</w:t>
      </w:r>
      <w:r>
        <w:rPr>
          <w:rFonts w:hint="eastAsia" w:ascii="Times New Roman" w:hAnsi="Times New Roman" w:eastAsia="仿宋_GB2312"/>
          <w:b w:val="0"/>
          <w:bCs/>
          <w:sz w:val="32"/>
          <w:szCs w:val="32"/>
        </w:rPr>
        <w:t>万元。</w:t>
      </w:r>
    </w:p>
    <w:p>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Style w:val="21"/>
          <w:rFonts w:hint="eastAsia" w:ascii="Times New Roman" w:hAnsi="Times New Roman" w:cs="Times New Roman"/>
          <w:b/>
          <w:kern w:val="2"/>
          <w:szCs w:val="24"/>
          <w:lang w:val="en-US" w:eastAsia="zh-CN" w:bidi="ar-SA"/>
        </w:rPr>
      </w:pPr>
      <w:r>
        <w:rPr>
          <w:rStyle w:val="21"/>
          <w:rFonts w:hint="eastAsia" w:ascii="Times New Roman" w:hAnsi="Times New Roman" w:cs="Times New Roman"/>
          <w:b/>
          <w:kern w:val="2"/>
          <w:szCs w:val="24"/>
          <w:lang w:val="en-US" w:eastAsia="zh-CN" w:bidi="ar-SA"/>
        </w:rPr>
        <w:t>（一）收入预算情况</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ascii="Times New Roman" w:hAnsi="Times New Roman" w:eastAsia="仿宋_GB2312"/>
          <w:b w:val="0"/>
          <w:bCs/>
          <w:sz w:val="32"/>
          <w:szCs w:val="32"/>
        </w:rPr>
        <w:t>年收入预算</w:t>
      </w:r>
      <w:r>
        <w:rPr>
          <w:rFonts w:hint="eastAsia" w:ascii="Times New Roman" w:hAnsi="Times New Roman"/>
          <w:b w:val="0"/>
          <w:bCs/>
          <w:sz w:val="32"/>
          <w:szCs w:val="32"/>
          <w:lang w:val="en-US" w:eastAsia="zh-CN"/>
        </w:rPr>
        <w:t>411.17</w:t>
      </w:r>
      <w:r>
        <w:rPr>
          <w:rFonts w:ascii="Times New Roman" w:hAnsi="Times New Roman" w:eastAsia="仿宋_GB2312"/>
          <w:b w:val="0"/>
          <w:bCs/>
          <w:sz w:val="32"/>
          <w:szCs w:val="32"/>
        </w:rPr>
        <w:t>万元，其中：上年结转</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%；一般公共预算拨款收入</w:t>
      </w:r>
      <w:r>
        <w:rPr>
          <w:rFonts w:hint="eastAsia" w:ascii="Times New Roman" w:hAnsi="Times New Roman"/>
          <w:b w:val="0"/>
          <w:bCs/>
          <w:sz w:val="32"/>
          <w:szCs w:val="32"/>
          <w:lang w:val="en-US" w:eastAsia="zh-CN"/>
        </w:rPr>
        <w:t>411.17</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100</w:t>
      </w:r>
      <w:r>
        <w:rPr>
          <w:rFonts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政府性基金预算拨款收入</w:t>
      </w:r>
      <w:r>
        <w:rPr>
          <w:rFonts w:hint="eastAsia" w:ascii="Times New Roman" w:hAnsi="Times New Roman" w:eastAsia="仿宋_GB2312"/>
          <w:b w:val="0"/>
          <w:bCs/>
          <w:sz w:val="32"/>
          <w:szCs w:val="32"/>
          <w:lang w:val="en-US" w:eastAsia="zh-CN"/>
        </w:rPr>
        <w:t>0.00万元，占0%；</w:t>
      </w:r>
      <w:r>
        <w:rPr>
          <w:rFonts w:ascii="Times New Roman" w:hAnsi="Times New Roman" w:eastAsia="仿宋_GB2312"/>
          <w:b w:val="0"/>
          <w:bCs/>
          <w:sz w:val="32"/>
          <w:szCs w:val="32"/>
        </w:rPr>
        <w:t>事业收入</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%；事业单位经营收</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%；其他收入</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w:t>
      </w:r>
    </w:p>
    <w:p>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Style w:val="21"/>
          <w:rFonts w:hint="eastAsia" w:ascii="Times New Roman" w:hAnsi="Times New Roman" w:cs="Times New Roman"/>
          <w:b/>
          <w:kern w:val="2"/>
          <w:szCs w:val="24"/>
          <w:lang w:val="en-US" w:eastAsia="zh-CN" w:bidi="ar-SA"/>
        </w:rPr>
      </w:pPr>
      <w:r>
        <w:rPr>
          <w:rStyle w:val="21"/>
          <w:rFonts w:hint="eastAsia" w:ascii="Times New Roman" w:hAnsi="Times New Roman" w:cs="Times New Roman"/>
          <w:b/>
          <w:kern w:val="2"/>
          <w:szCs w:val="24"/>
          <w:lang w:val="en-US" w:eastAsia="zh-CN" w:bidi="ar-SA"/>
        </w:rPr>
        <w:t>（二）支出预算情况</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ascii="Times New Roman" w:hAnsi="Times New Roman" w:eastAsia="仿宋_GB2312"/>
          <w:b w:val="0"/>
          <w:bCs/>
          <w:sz w:val="32"/>
          <w:szCs w:val="32"/>
        </w:rPr>
        <w:t>年支出预算</w:t>
      </w:r>
      <w:r>
        <w:rPr>
          <w:rFonts w:hint="eastAsia" w:ascii="Times New Roman" w:hAnsi="Times New Roman"/>
          <w:b w:val="0"/>
          <w:bCs/>
          <w:sz w:val="32"/>
          <w:szCs w:val="32"/>
          <w:lang w:val="en-US" w:eastAsia="zh-CN"/>
        </w:rPr>
        <w:t>411.17</w:t>
      </w:r>
      <w:r>
        <w:rPr>
          <w:rFonts w:ascii="Times New Roman" w:hAnsi="Times New Roman" w:eastAsia="仿宋_GB2312"/>
          <w:b w:val="0"/>
          <w:bCs/>
          <w:sz w:val="32"/>
          <w:szCs w:val="32"/>
        </w:rPr>
        <w:t>万元，其中：基本支出</w:t>
      </w:r>
      <w:r>
        <w:rPr>
          <w:rFonts w:hint="eastAsia" w:ascii="Times New Roman" w:hAnsi="Times New Roman"/>
          <w:b w:val="0"/>
          <w:bCs/>
          <w:sz w:val="32"/>
          <w:szCs w:val="32"/>
          <w:lang w:val="en-US" w:eastAsia="zh-CN"/>
        </w:rPr>
        <w:t>411.17</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100</w:t>
      </w:r>
      <w:r>
        <w:rPr>
          <w:rFonts w:ascii="Times New Roman" w:hAnsi="Times New Roman" w:eastAsia="仿宋_GB2312"/>
          <w:b w:val="0"/>
          <w:bCs/>
          <w:sz w:val="32"/>
          <w:szCs w:val="32"/>
        </w:rPr>
        <w:t>%；项目支出</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万元，占</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w:t>
      </w:r>
    </w:p>
    <w:p>
      <w:pPr>
        <w:pageBreakBefore w:val="0"/>
        <w:widowControl w:val="0"/>
        <w:kinsoku/>
        <w:wordWrap/>
        <w:overflowPunct/>
        <w:topLinePunct w:val="0"/>
        <w:autoSpaceDE/>
        <w:autoSpaceDN/>
        <w:bidi w:val="0"/>
        <w:spacing w:line="560" w:lineRule="exact"/>
        <w:ind w:left="0" w:firstLine="640" w:firstLineChars="200"/>
        <w:jc w:val="both"/>
        <w:textAlignment w:val="auto"/>
        <w:outlineLvl w:val="0"/>
        <w:rPr>
          <w:rFonts w:ascii="Times New Roman" w:hAnsi="Times New Roman" w:eastAsia="仿宋_GB2312"/>
          <w:b w:val="0"/>
          <w:bCs/>
          <w:sz w:val="32"/>
          <w:szCs w:val="32"/>
        </w:rPr>
      </w:pPr>
      <w:bookmarkStart w:id="8" w:name="_Toc751"/>
      <w:r>
        <w:rPr>
          <w:rStyle w:val="30"/>
          <w:rFonts w:hint="eastAsia" w:ascii="Times New Roman" w:hAnsi="Times New Roman"/>
          <w:b w:val="0"/>
          <w:bCs/>
          <w:sz w:val="32"/>
        </w:rPr>
        <w:t>四、财政拨款收支预算情况说明</w:t>
      </w:r>
      <w:bookmarkEnd w:id="8"/>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szCs w:val="32"/>
        </w:rPr>
      </w:pP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年财政拨款收支总预算</w:t>
      </w:r>
      <w:r>
        <w:rPr>
          <w:rFonts w:hint="eastAsia" w:ascii="Times New Roman" w:hAnsi="Times New Roman"/>
          <w:b w:val="0"/>
          <w:bCs/>
          <w:sz w:val="32"/>
          <w:szCs w:val="32"/>
          <w:lang w:val="en-US" w:eastAsia="zh-CN"/>
        </w:rPr>
        <w:t>411.17</w:t>
      </w:r>
      <w:r>
        <w:rPr>
          <w:rFonts w:hint="eastAsia" w:ascii="Times New Roman" w:hAnsi="Times New Roman" w:eastAsia="仿宋_GB2312"/>
          <w:b w:val="0"/>
          <w:bCs/>
          <w:sz w:val="32"/>
          <w:szCs w:val="32"/>
        </w:rPr>
        <w:t>万元。</w:t>
      </w:r>
      <w:r>
        <w:rPr>
          <w:rFonts w:hint="eastAsia" w:ascii="Times New Roman" w:hAnsi="Times New Roman" w:eastAsia="仿宋_GB2312"/>
          <w:b w:val="0"/>
          <w:bCs/>
          <w:color w:val="000000"/>
          <w:sz w:val="32"/>
          <w:szCs w:val="32"/>
        </w:rPr>
        <w:t>比20</w:t>
      </w:r>
      <w:r>
        <w:rPr>
          <w:rFonts w:hint="eastAsia" w:ascii="Times New Roman" w:hAnsi="Times New Roman" w:eastAsia="仿宋_GB2312"/>
          <w:b w:val="0"/>
          <w:bCs/>
          <w:color w:val="000000"/>
          <w:sz w:val="32"/>
          <w:szCs w:val="32"/>
          <w:lang w:val="en-US" w:eastAsia="zh-CN"/>
        </w:rPr>
        <w:t>2</w:t>
      </w:r>
      <w:r>
        <w:rPr>
          <w:rFonts w:hint="eastAsia" w:ascii="Times New Roman" w:hAnsi="Times New Roman"/>
          <w:b w:val="0"/>
          <w:bCs/>
          <w:color w:val="000000"/>
          <w:sz w:val="32"/>
          <w:szCs w:val="32"/>
          <w:lang w:val="en-US" w:eastAsia="zh-CN"/>
        </w:rPr>
        <w:t>3</w:t>
      </w:r>
      <w:r>
        <w:rPr>
          <w:rFonts w:hint="eastAsia" w:ascii="Times New Roman" w:hAnsi="Times New Roman" w:eastAsia="仿宋_GB2312"/>
          <w:b w:val="0"/>
          <w:bCs/>
          <w:color w:val="000000"/>
          <w:sz w:val="32"/>
          <w:szCs w:val="32"/>
        </w:rPr>
        <w:t>年财政拨款收支总预算增加</w:t>
      </w:r>
      <w:r>
        <w:rPr>
          <w:rFonts w:hint="eastAsia" w:ascii="Times New Roman" w:hAnsi="Times New Roman"/>
          <w:b w:val="0"/>
          <w:bCs/>
          <w:color w:val="000000"/>
          <w:sz w:val="32"/>
          <w:szCs w:val="32"/>
          <w:lang w:val="en-US" w:eastAsia="zh-CN"/>
        </w:rPr>
        <w:t>38.05</w:t>
      </w:r>
      <w:r>
        <w:rPr>
          <w:rFonts w:hint="eastAsia" w:ascii="Times New Roman" w:hAnsi="Times New Roman" w:eastAsia="仿宋_GB2312"/>
          <w:b w:val="0"/>
          <w:bCs/>
          <w:sz w:val="32"/>
          <w:szCs w:val="32"/>
        </w:rPr>
        <w:t>万元，主要</w:t>
      </w:r>
      <w:r>
        <w:rPr>
          <w:rFonts w:hint="eastAsia" w:ascii="Times New Roman" w:hAnsi="Times New Roman" w:eastAsia="仿宋_GB2312"/>
          <w:b w:val="0"/>
          <w:bCs/>
          <w:sz w:val="32"/>
          <w:szCs w:val="32"/>
          <w:lang w:eastAsia="zh-CN"/>
        </w:rPr>
        <w:t>原因人员增加和政策性增支。</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ascii="Times New Roman" w:hAnsi="Times New Roman" w:eastAsia="仿宋_GB2312"/>
          <w:b w:val="0"/>
          <w:bCs/>
          <w:sz w:val="32"/>
          <w:szCs w:val="32"/>
        </w:rPr>
        <w:t>收入包括：本年一般公共预算拨款收入</w:t>
      </w:r>
      <w:r>
        <w:rPr>
          <w:rFonts w:hint="eastAsia" w:ascii="Times New Roman" w:hAnsi="Times New Roman"/>
          <w:b w:val="0"/>
          <w:bCs/>
          <w:sz w:val="32"/>
          <w:szCs w:val="32"/>
          <w:lang w:val="en-US" w:eastAsia="zh-CN"/>
        </w:rPr>
        <w:t>411.17</w:t>
      </w:r>
      <w:r>
        <w:rPr>
          <w:rFonts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政府性基金预算拨款收入</w:t>
      </w:r>
      <w:r>
        <w:rPr>
          <w:rFonts w:hint="eastAsia" w:ascii="Times New Roman" w:hAnsi="Times New Roman" w:eastAsia="仿宋_GB2312"/>
          <w:b w:val="0"/>
          <w:bCs/>
          <w:sz w:val="32"/>
          <w:szCs w:val="32"/>
          <w:lang w:val="en-US" w:eastAsia="zh-CN"/>
        </w:rPr>
        <w:t>0.00万元、</w:t>
      </w:r>
      <w:r>
        <w:rPr>
          <w:rFonts w:ascii="Times New Roman" w:hAnsi="Times New Roman" w:eastAsia="仿宋_GB2312"/>
          <w:b w:val="0"/>
          <w:bCs/>
          <w:sz w:val="32"/>
          <w:szCs w:val="32"/>
        </w:rPr>
        <w:t>上年结转一般公共预算拨款收入</w:t>
      </w:r>
      <w:r>
        <w:rPr>
          <w:rFonts w:hint="eastAsia" w:ascii="Times New Roman" w:hAnsi="Times New Roman" w:eastAsia="仿宋_GB2312"/>
          <w:b w:val="0"/>
          <w:bCs/>
          <w:sz w:val="32"/>
          <w:szCs w:val="32"/>
          <w:lang w:val="en-US" w:eastAsia="zh-CN"/>
        </w:rPr>
        <w:t>0</w:t>
      </w:r>
      <w:r>
        <w:rPr>
          <w:rFonts w:ascii="Times New Roman" w:hAnsi="Times New Roman" w:eastAsia="仿宋_GB2312"/>
          <w:b w:val="0"/>
          <w:bCs/>
          <w:sz w:val="32"/>
          <w:szCs w:val="32"/>
        </w:rPr>
        <w:t>万元；</w:t>
      </w:r>
      <w:r>
        <w:rPr>
          <w:rFonts w:hint="eastAsia" w:ascii="Times New Roman" w:hAnsi="Times New Roman" w:eastAsia="仿宋_GB2312"/>
          <w:b w:val="0"/>
          <w:bCs/>
          <w:sz w:val="32"/>
          <w:szCs w:val="32"/>
        </w:rPr>
        <w:t>支出包括：</w:t>
      </w:r>
      <w:r>
        <w:rPr>
          <w:rFonts w:hint="eastAsia" w:ascii="Times New Roman" w:hAnsi="Times New Roman" w:eastAsia="仿宋_GB2312"/>
          <w:b w:val="0"/>
          <w:bCs/>
          <w:sz w:val="32"/>
          <w:szCs w:val="32"/>
          <w:lang w:eastAsia="zh-CN"/>
        </w:rPr>
        <w:t>社会保障和就业支出</w:t>
      </w:r>
      <w:r>
        <w:rPr>
          <w:rFonts w:hint="eastAsia" w:ascii="Times New Roman" w:hAnsi="Times New Roman"/>
          <w:b w:val="0"/>
          <w:bCs/>
          <w:sz w:val="32"/>
          <w:szCs w:val="32"/>
          <w:lang w:val="en-US" w:eastAsia="zh-CN"/>
        </w:rPr>
        <w:t>62.81</w:t>
      </w:r>
      <w:r>
        <w:rPr>
          <w:rFonts w:hint="eastAsia" w:ascii="Times New Roman" w:hAnsi="Times New Roman" w:eastAsia="仿宋_GB2312"/>
          <w:b w:val="0"/>
          <w:bCs/>
          <w:sz w:val="32"/>
          <w:szCs w:val="32"/>
          <w:lang w:val="en-US" w:eastAsia="zh-CN"/>
        </w:rPr>
        <w:t>万元；卫生健康支出</w:t>
      </w:r>
      <w:r>
        <w:rPr>
          <w:rFonts w:hint="eastAsia" w:ascii="Times New Roman" w:hAnsi="Times New Roman"/>
          <w:b w:val="0"/>
          <w:bCs/>
          <w:sz w:val="32"/>
          <w:szCs w:val="32"/>
          <w:lang w:val="en-US" w:eastAsia="zh-CN"/>
        </w:rPr>
        <w:t>13.42</w:t>
      </w:r>
      <w:r>
        <w:rPr>
          <w:rFonts w:hint="eastAsia" w:ascii="Times New Roman" w:hAnsi="Times New Roman" w:eastAsia="仿宋_GB2312"/>
          <w:b w:val="0"/>
          <w:bCs/>
          <w:sz w:val="32"/>
          <w:szCs w:val="32"/>
          <w:lang w:val="en-US" w:eastAsia="zh-CN"/>
        </w:rPr>
        <w:t>万元；交通运输支出</w:t>
      </w:r>
      <w:r>
        <w:rPr>
          <w:rFonts w:hint="eastAsia" w:ascii="Times New Roman" w:hAnsi="Times New Roman"/>
          <w:b w:val="0"/>
          <w:bCs/>
          <w:sz w:val="32"/>
          <w:szCs w:val="32"/>
          <w:lang w:val="en-US" w:eastAsia="zh-CN"/>
        </w:rPr>
        <w:t>307.64</w:t>
      </w:r>
      <w:r>
        <w:rPr>
          <w:rFonts w:hint="eastAsia" w:ascii="Times New Roman" w:hAnsi="Times New Roman" w:eastAsia="仿宋_GB2312"/>
          <w:b w:val="0"/>
          <w:bCs/>
          <w:sz w:val="32"/>
          <w:szCs w:val="32"/>
          <w:lang w:val="en-US" w:eastAsia="zh-CN"/>
        </w:rPr>
        <w:t>万元；住房保障支出</w:t>
      </w:r>
      <w:r>
        <w:rPr>
          <w:rFonts w:hint="eastAsia" w:ascii="Times New Roman" w:hAnsi="Times New Roman"/>
          <w:b w:val="0"/>
          <w:bCs/>
          <w:sz w:val="32"/>
          <w:szCs w:val="32"/>
          <w:lang w:val="en-US" w:eastAsia="zh-CN"/>
        </w:rPr>
        <w:t>27.30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p>
    <w:p>
      <w:pPr>
        <w:pageBreakBefore w:val="0"/>
        <w:widowControl w:val="0"/>
        <w:kinsoku/>
        <w:wordWrap/>
        <w:overflowPunct/>
        <w:topLinePunct w:val="0"/>
        <w:autoSpaceDE/>
        <w:autoSpaceDN/>
        <w:bidi w:val="0"/>
        <w:spacing w:line="560" w:lineRule="exact"/>
        <w:ind w:left="0" w:firstLine="640" w:firstLineChars="200"/>
        <w:jc w:val="both"/>
        <w:textAlignment w:val="auto"/>
        <w:outlineLvl w:val="0"/>
        <w:rPr>
          <w:rFonts w:ascii="Times New Roman" w:hAnsi="Times New Roman" w:eastAsia="仿宋_GB2312"/>
          <w:b w:val="0"/>
          <w:bCs/>
          <w:sz w:val="32"/>
          <w:szCs w:val="32"/>
        </w:rPr>
      </w:pPr>
      <w:bookmarkStart w:id="9" w:name="_Toc3772"/>
      <w:r>
        <w:rPr>
          <w:rStyle w:val="30"/>
          <w:rFonts w:hint="eastAsia" w:ascii="Times New Roman" w:hAnsi="Times New Roman"/>
          <w:b w:val="0"/>
          <w:bCs/>
          <w:sz w:val="32"/>
        </w:rPr>
        <w:t>五、一般公共预算当年拨款情况说明</w:t>
      </w:r>
      <w:bookmarkEnd w:id="9"/>
    </w:p>
    <w:p>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Style w:val="21"/>
          <w:rFonts w:hint="eastAsia" w:ascii="Times New Roman" w:hAnsi="Times New Roman" w:cs="Times New Roman"/>
          <w:b/>
          <w:kern w:val="2"/>
          <w:szCs w:val="24"/>
          <w:lang w:val="en-US" w:eastAsia="zh-CN" w:bidi="ar-SA"/>
        </w:rPr>
      </w:pPr>
      <w:r>
        <w:rPr>
          <w:rStyle w:val="21"/>
          <w:rFonts w:hint="eastAsia" w:ascii="Times New Roman" w:hAnsi="Times New Roman" w:cs="Times New Roman"/>
          <w:b/>
          <w:kern w:val="2"/>
          <w:szCs w:val="24"/>
          <w:lang w:val="en-US" w:eastAsia="zh-CN" w:bidi="ar-SA"/>
        </w:rPr>
        <w:t>（一）一般公共预算当年拨款规模变化情况</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年一般公共预算当年拨款</w:t>
      </w:r>
      <w:r>
        <w:rPr>
          <w:rFonts w:hint="eastAsia" w:ascii="Times New Roman" w:hAnsi="Times New Roman"/>
          <w:b w:val="0"/>
          <w:bCs/>
          <w:sz w:val="32"/>
          <w:szCs w:val="32"/>
          <w:lang w:val="en-US" w:eastAsia="zh-CN"/>
        </w:rPr>
        <w:t>411.17</w:t>
      </w:r>
      <w:r>
        <w:rPr>
          <w:rFonts w:hint="eastAsia" w:ascii="Times New Roman" w:hAnsi="Times New Roman" w:eastAsia="仿宋_GB2312"/>
          <w:b w:val="0"/>
          <w:bCs/>
          <w:sz w:val="32"/>
          <w:szCs w:val="32"/>
        </w:rPr>
        <w:t>万元，比20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3</w:t>
      </w:r>
      <w:r>
        <w:rPr>
          <w:rFonts w:hint="eastAsia" w:ascii="Times New Roman" w:hAnsi="Times New Roman" w:eastAsia="仿宋_GB2312"/>
          <w:b w:val="0"/>
          <w:bCs/>
          <w:sz w:val="32"/>
          <w:szCs w:val="32"/>
        </w:rPr>
        <w:t>年预算数增加</w:t>
      </w:r>
      <w:r>
        <w:rPr>
          <w:rFonts w:hint="eastAsia" w:ascii="Times New Roman" w:hAnsi="Times New Roman"/>
          <w:b w:val="0"/>
          <w:bCs/>
          <w:color w:val="000000"/>
          <w:sz w:val="32"/>
          <w:szCs w:val="32"/>
          <w:lang w:val="en-US" w:eastAsia="zh-CN"/>
        </w:rPr>
        <w:t>38.05</w:t>
      </w:r>
      <w:r>
        <w:rPr>
          <w:rFonts w:hint="eastAsia" w:ascii="Times New Roman" w:hAnsi="Times New Roman" w:eastAsia="仿宋_GB2312"/>
          <w:b w:val="0"/>
          <w:bCs/>
          <w:sz w:val="32"/>
          <w:szCs w:val="32"/>
        </w:rPr>
        <w:t>万元，主要</w:t>
      </w:r>
      <w:r>
        <w:rPr>
          <w:rFonts w:hint="eastAsia" w:ascii="Times New Roman" w:hAnsi="Times New Roman" w:eastAsia="仿宋_GB2312"/>
          <w:b w:val="0"/>
          <w:bCs/>
          <w:sz w:val="32"/>
          <w:szCs w:val="32"/>
          <w:lang w:eastAsia="zh-CN"/>
        </w:rPr>
        <w:t>原因</w:t>
      </w:r>
      <w:r>
        <w:rPr>
          <w:rFonts w:hint="eastAsia" w:ascii="Times New Roman" w:hAnsi="Times New Roman" w:eastAsia="仿宋_GB2312"/>
          <w:b w:val="0"/>
          <w:bCs/>
          <w:sz w:val="32"/>
          <w:szCs w:val="32"/>
        </w:rPr>
        <w:t>是</w:t>
      </w:r>
      <w:r>
        <w:rPr>
          <w:rFonts w:hint="eastAsia" w:ascii="Times New Roman" w:hAnsi="Times New Roman" w:eastAsia="仿宋_GB2312"/>
          <w:b w:val="0"/>
          <w:bCs/>
          <w:sz w:val="32"/>
          <w:szCs w:val="32"/>
          <w:lang w:eastAsia="zh-CN"/>
        </w:rPr>
        <w:t>人员增加和政策性增支。</w:t>
      </w:r>
    </w:p>
    <w:p>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Style w:val="21"/>
          <w:rFonts w:hint="eastAsia" w:ascii="Times New Roman" w:hAnsi="Times New Roman" w:cs="Times New Roman"/>
          <w:b/>
          <w:kern w:val="2"/>
          <w:szCs w:val="24"/>
          <w:lang w:val="en-US" w:eastAsia="zh-CN" w:bidi="ar-SA"/>
        </w:rPr>
      </w:pPr>
      <w:r>
        <w:rPr>
          <w:rStyle w:val="21"/>
          <w:rFonts w:hint="eastAsia" w:ascii="Times New Roman" w:hAnsi="Times New Roman" w:cs="Times New Roman"/>
          <w:b/>
          <w:kern w:val="2"/>
          <w:szCs w:val="24"/>
          <w:lang w:val="en-US" w:eastAsia="zh-CN" w:bidi="ar-SA"/>
        </w:rPr>
        <w:t>（二）一般公共预算当年拨款结构情况(按照功能科目类写)</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rPr>
      </w:pPr>
      <w:r>
        <w:rPr>
          <w:rFonts w:hint="eastAsia" w:ascii="Times New Roman" w:hAnsi="Times New Roman" w:eastAsia="仿宋_GB2312"/>
          <w:b w:val="0"/>
          <w:bCs/>
          <w:sz w:val="32"/>
          <w:szCs w:val="32"/>
          <w:lang w:eastAsia="zh-CN"/>
        </w:rPr>
        <w:t>社会保障和就业支出</w:t>
      </w:r>
      <w:r>
        <w:rPr>
          <w:rFonts w:hint="eastAsia" w:ascii="Times New Roman" w:hAnsi="Times New Roman"/>
          <w:b w:val="0"/>
          <w:bCs/>
          <w:sz w:val="32"/>
          <w:szCs w:val="32"/>
          <w:lang w:val="en-US" w:eastAsia="zh-CN"/>
        </w:rPr>
        <w:t>62.81</w:t>
      </w:r>
      <w:r>
        <w:rPr>
          <w:rFonts w:hint="eastAsia" w:ascii="Times New Roman" w:hAnsi="Times New Roman" w:eastAsia="仿宋_GB2312"/>
          <w:b w:val="0"/>
          <w:bCs/>
          <w:sz w:val="32"/>
          <w:szCs w:val="32"/>
          <w:lang w:val="en-US" w:eastAsia="zh-CN"/>
        </w:rPr>
        <w:t>万元，占15%；卫生健康支出</w:t>
      </w:r>
      <w:r>
        <w:rPr>
          <w:rFonts w:hint="eastAsia" w:ascii="Times New Roman" w:hAnsi="Times New Roman"/>
          <w:b w:val="0"/>
          <w:bCs/>
          <w:sz w:val="32"/>
          <w:szCs w:val="32"/>
          <w:lang w:val="en-US" w:eastAsia="zh-CN"/>
        </w:rPr>
        <w:t>13.42</w:t>
      </w:r>
      <w:r>
        <w:rPr>
          <w:rFonts w:hint="eastAsia" w:ascii="Times New Roman" w:hAnsi="Times New Roman" w:eastAsia="仿宋_GB2312"/>
          <w:b w:val="0"/>
          <w:bCs/>
          <w:sz w:val="32"/>
          <w:szCs w:val="32"/>
          <w:lang w:val="en-US" w:eastAsia="zh-CN"/>
        </w:rPr>
        <w:t>万元，占3%；交通运输支出</w:t>
      </w:r>
      <w:r>
        <w:rPr>
          <w:rFonts w:hint="eastAsia" w:ascii="Times New Roman" w:hAnsi="Times New Roman"/>
          <w:b w:val="0"/>
          <w:bCs/>
          <w:sz w:val="32"/>
          <w:szCs w:val="32"/>
          <w:lang w:val="en-US" w:eastAsia="zh-CN"/>
        </w:rPr>
        <w:t>307.64</w:t>
      </w:r>
      <w:r>
        <w:rPr>
          <w:rFonts w:hint="eastAsia" w:ascii="Times New Roman" w:hAnsi="Times New Roman" w:eastAsia="仿宋_GB2312"/>
          <w:b w:val="0"/>
          <w:bCs/>
          <w:sz w:val="32"/>
          <w:szCs w:val="32"/>
          <w:lang w:val="en-US" w:eastAsia="zh-CN"/>
        </w:rPr>
        <w:t>万元，占75%；住房保障支出</w:t>
      </w:r>
      <w:r>
        <w:rPr>
          <w:rFonts w:hint="eastAsia" w:ascii="Times New Roman" w:hAnsi="Times New Roman"/>
          <w:b w:val="0"/>
          <w:bCs/>
          <w:sz w:val="32"/>
          <w:szCs w:val="32"/>
          <w:lang w:val="en-US" w:eastAsia="zh-CN"/>
        </w:rPr>
        <w:t>27.30</w:t>
      </w:r>
      <w:r>
        <w:rPr>
          <w:rFonts w:hint="eastAsia" w:ascii="Times New Roman" w:hAnsi="Times New Roman" w:eastAsia="仿宋_GB2312"/>
          <w:b w:val="0"/>
          <w:bCs/>
          <w:sz w:val="32"/>
          <w:szCs w:val="32"/>
          <w:lang w:val="en-US" w:eastAsia="zh-CN"/>
        </w:rPr>
        <w:t>万元，占7%。</w:t>
      </w:r>
    </w:p>
    <w:p>
      <w:pPr>
        <w:pStyle w:val="3"/>
        <w:pageBreakBefore w:val="0"/>
        <w:widowControl w:val="0"/>
        <w:kinsoku/>
        <w:wordWrap/>
        <w:overflowPunct/>
        <w:topLinePunct w:val="0"/>
        <w:autoSpaceDE/>
        <w:autoSpaceDN/>
        <w:bidi w:val="0"/>
        <w:spacing w:beforeLines="0" w:afterLines="0" w:line="560" w:lineRule="exact"/>
        <w:ind w:left="0" w:firstLine="643" w:firstLineChars="200"/>
        <w:jc w:val="both"/>
        <w:textAlignment w:val="auto"/>
        <w:rPr>
          <w:rStyle w:val="21"/>
          <w:rFonts w:hint="eastAsia" w:ascii="Times New Roman" w:hAnsi="Times New Roman" w:cs="Times New Roman"/>
          <w:b/>
          <w:kern w:val="2"/>
          <w:szCs w:val="24"/>
          <w:lang w:val="en-US" w:eastAsia="zh-CN" w:bidi="ar-SA"/>
        </w:rPr>
      </w:pPr>
      <w:r>
        <w:rPr>
          <w:rStyle w:val="21"/>
          <w:rFonts w:hint="eastAsia" w:ascii="Times New Roman" w:hAnsi="Times New Roman" w:cs="Times New Roman"/>
          <w:b/>
          <w:kern w:val="2"/>
          <w:szCs w:val="24"/>
          <w:lang w:val="en-US" w:eastAsia="zh-CN" w:bidi="ar-SA"/>
        </w:rPr>
        <w:t>（三）一般公共预算当年拨款具体使用情况（按功能科目类款项写）</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1.</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行政事业单位养老支出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机关事业单位基本养老保险缴费支出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年预算数为</w:t>
      </w:r>
      <w:r>
        <w:rPr>
          <w:rFonts w:hint="eastAsia" w:ascii="Times New Roman" w:hAnsi="Times New Roman"/>
          <w:b w:val="0"/>
          <w:bCs/>
          <w:sz w:val="32"/>
          <w:szCs w:val="32"/>
          <w:lang w:val="en-US" w:eastAsia="zh-CN"/>
        </w:rPr>
        <w:t>32.24</w:t>
      </w:r>
      <w:r>
        <w:rPr>
          <w:rFonts w:hint="eastAsia" w:ascii="Times New Roman" w:hAnsi="Times New Roman" w:eastAsia="仿宋_GB2312"/>
          <w:b w:val="0"/>
          <w:bCs/>
          <w:sz w:val="32"/>
          <w:szCs w:val="32"/>
        </w:rPr>
        <w:t>万元，主要用于：</w:t>
      </w:r>
      <w:r>
        <w:rPr>
          <w:rFonts w:hint="eastAsia" w:ascii="Times New Roman" w:hAnsi="Times New Roman" w:eastAsia="仿宋_GB2312"/>
          <w:b w:val="0"/>
          <w:bCs/>
          <w:sz w:val="32"/>
          <w:szCs w:val="32"/>
          <w:lang w:val="en-US" w:eastAsia="zh-CN"/>
        </w:rPr>
        <w:t>局机关、海事处、交通综合行政执法大队等单位人员职工基本养老保险单位缴费支出，以确保落实行政事业单位基本养老保险制度改革相关规定。</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2.</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行政事业单位养老支出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机关事业单位职业年金缴费支出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年预算数为</w:t>
      </w:r>
      <w:r>
        <w:rPr>
          <w:rFonts w:hint="eastAsia" w:ascii="Times New Roman" w:hAnsi="Times New Roman"/>
          <w:b w:val="0"/>
          <w:bCs/>
          <w:sz w:val="32"/>
          <w:szCs w:val="32"/>
          <w:lang w:val="en-US" w:eastAsia="zh-CN"/>
        </w:rPr>
        <w:t>16.12</w:t>
      </w:r>
      <w:r>
        <w:rPr>
          <w:rFonts w:hint="eastAsia"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，主要用于：</w:t>
      </w:r>
      <w:r>
        <w:rPr>
          <w:rFonts w:hint="eastAsia" w:ascii="Times New Roman" w:hAnsi="Times New Roman" w:eastAsia="仿宋_GB2312"/>
          <w:b w:val="0"/>
          <w:bCs/>
          <w:sz w:val="32"/>
          <w:szCs w:val="32"/>
          <w:lang w:val="en-US" w:eastAsia="zh-CN"/>
        </w:rPr>
        <w:t>局机关、海事处、交通综合行政执法大队等单位人员职业年金单位缴费支出，以确保落实行政事业单位基本养老保险制度改革相关规定。</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lang w:val="en-US" w:eastAsia="zh-CN"/>
        </w:rPr>
        <w:t>3.</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行政事业单位养老支出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其他行政事业单位养老支出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年预算数为</w:t>
      </w:r>
      <w:r>
        <w:rPr>
          <w:rFonts w:hint="eastAsia" w:ascii="Times New Roman" w:hAnsi="Times New Roman" w:eastAsia="仿宋_GB2312"/>
          <w:b w:val="0"/>
          <w:bCs/>
          <w:sz w:val="32"/>
          <w:szCs w:val="32"/>
          <w:lang w:val="en-US" w:eastAsia="zh-CN"/>
        </w:rPr>
        <w:t>14</w:t>
      </w:r>
      <w:r>
        <w:rPr>
          <w:rFonts w:hint="eastAsia"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，主要用于：交通运输局退休人员绩效管理考核奖。</w:t>
      </w:r>
    </w:p>
    <w:p>
      <w:pPr>
        <w:pStyle w:val="22"/>
        <w:pageBreakBefore w:val="0"/>
        <w:widowControl w:val="0"/>
        <w:kinsoku/>
        <w:wordWrap/>
        <w:overflowPunct/>
        <w:topLinePunct w:val="0"/>
        <w:autoSpaceDE/>
        <w:autoSpaceDN/>
        <w:bidi w:val="0"/>
        <w:spacing w:line="560" w:lineRule="exact"/>
        <w:ind w:left="0" w:leftChars="0" w:firstLine="640" w:firstLineChars="200"/>
        <w:jc w:val="both"/>
        <w:textAlignment w:val="auto"/>
        <w:rPr>
          <w:rFonts w:ascii="Times New Roman" w:hAnsi="Times New Roman"/>
          <w:b w:val="0"/>
          <w:bCs/>
          <w:sz w:val="32"/>
        </w:rPr>
      </w:pPr>
      <w:r>
        <w:rPr>
          <w:rFonts w:hint="eastAsia" w:ascii="Times New Roman" w:hAnsi="Times New Roman" w:eastAsia="仿宋_GB2312"/>
          <w:b w:val="0"/>
          <w:bCs/>
          <w:sz w:val="32"/>
          <w:szCs w:val="32"/>
          <w:lang w:val="en-US" w:eastAsia="zh-CN"/>
        </w:rPr>
        <w:t>4.</w:t>
      </w:r>
      <w:r>
        <w:rPr>
          <w:rFonts w:hint="eastAsia" w:ascii="Times New Roman" w:hAnsi="Times New Roman" w:eastAsia="仿宋_GB2312"/>
          <w:b w:val="0"/>
          <w:bCs/>
          <w:sz w:val="32"/>
          <w:szCs w:val="32"/>
          <w:lang w:eastAsia="zh-CN"/>
        </w:rPr>
        <w:t>社会保障和就业支出</w:t>
      </w:r>
      <w:r>
        <w:rPr>
          <w:rFonts w:hint="eastAsia" w:ascii="Times New Roman" w:hAnsi="Times New Roman" w:eastAsia="仿宋_GB2312"/>
          <w:b w:val="0"/>
          <w:bCs/>
          <w:sz w:val="32"/>
          <w:szCs w:val="32"/>
        </w:rPr>
        <w:t>（类）</w:t>
      </w:r>
      <w:r>
        <w:rPr>
          <w:rFonts w:hint="eastAsia" w:ascii="Times New Roman" w:hAnsi="Times New Roman" w:eastAsia="仿宋_GB2312"/>
          <w:b w:val="0"/>
          <w:bCs/>
          <w:sz w:val="32"/>
          <w:szCs w:val="32"/>
          <w:lang w:eastAsia="zh-CN"/>
        </w:rPr>
        <w:t>其他社会保障和就业支出</w:t>
      </w:r>
      <w:r>
        <w:rPr>
          <w:rFonts w:hint="eastAsia" w:ascii="Times New Roman" w:hAnsi="Times New Roman" w:eastAsia="仿宋_GB2312"/>
          <w:b w:val="0"/>
          <w:bCs/>
          <w:sz w:val="32"/>
          <w:szCs w:val="32"/>
        </w:rPr>
        <w:t>（款）</w:t>
      </w:r>
      <w:r>
        <w:rPr>
          <w:rFonts w:hint="eastAsia" w:ascii="Times New Roman" w:hAnsi="Times New Roman" w:eastAsia="仿宋_GB2312"/>
          <w:b w:val="0"/>
          <w:bCs/>
          <w:sz w:val="32"/>
          <w:szCs w:val="32"/>
          <w:lang w:eastAsia="zh-CN"/>
        </w:rPr>
        <w:t>其他社会保障和就业支出</w:t>
      </w:r>
      <w:r>
        <w:rPr>
          <w:rFonts w:hint="eastAsia" w:ascii="Times New Roman" w:hAnsi="Times New Roman" w:eastAsia="仿宋_GB2312"/>
          <w:b w:val="0"/>
          <w:bCs/>
          <w:sz w:val="32"/>
          <w:szCs w:val="32"/>
        </w:rPr>
        <w:t>（项）20</w:t>
      </w:r>
      <w:r>
        <w:rPr>
          <w:rFonts w:hint="eastAsia" w:ascii="Times New Roman" w:hAnsi="Times New Roman" w:eastAsia="仿宋_GB2312"/>
          <w:b w:val="0"/>
          <w:bCs/>
          <w:sz w:val="32"/>
          <w:szCs w:val="32"/>
          <w:lang w:val="en-US" w:eastAsia="zh-CN"/>
        </w:rPr>
        <w:t>24</w:t>
      </w:r>
      <w:r>
        <w:rPr>
          <w:rFonts w:hint="eastAsia" w:ascii="Times New Roman" w:hAnsi="Times New Roman" w:eastAsia="仿宋_GB2312"/>
          <w:b w:val="0"/>
          <w:bCs/>
          <w:sz w:val="32"/>
          <w:szCs w:val="32"/>
        </w:rPr>
        <w:t>年预算数为</w:t>
      </w:r>
      <w:r>
        <w:rPr>
          <w:rFonts w:hint="eastAsia" w:ascii="Times New Roman" w:hAnsi="Times New Roman" w:eastAsia="仿宋_GB2312"/>
          <w:b w:val="0"/>
          <w:bCs/>
          <w:sz w:val="32"/>
          <w:szCs w:val="32"/>
          <w:lang w:val="en-US" w:eastAsia="zh-CN"/>
        </w:rPr>
        <w:t>0.45</w:t>
      </w:r>
      <w:r>
        <w:rPr>
          <w:rFonts w:hint="eastAsia"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，主要用于：</w:t>
      </w:r>
      <w:r>
        <w:rPr>
          <w:rFonts w:hint="eastAsia" w:ascii="Times New Roman" w:hAnsi="Times New Roman" w:eastAsia="仿宋_GB2312"/>
          <w:b w:val="0"/>
          <w:bCs/>
          <w:sz w:val="32"/>
          <w:szCs w:val="32"/>
          <w:lang w:val="en-US" w:eastAsia="zh-CN"/>
        </w:rPr>
        <w:t>局机关、海事处、交通综合行政执法大队等单位人员</w:t>
      </w:r>
      <w:r>
        <w:rPr>
          <w:rFonts w:hint="eastAsia" w:ascii="Times New Roman" w:hAnsi="Times New Roman" w:eastAsia="仿宋_GB2312"/>
          <w:b w:val="0"/>
          <w:bCs/>
          <w:sz w:val="32"/>
          <w:szCs w:val="32"/>
          <w:lang w:eastAsia="zh-CN"/>
        </w:rPr>
        <w:t>工伤保险缴费支出。</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lang w:val="en-US" w:eastAsia="zh-CN"/>
        </w:rPr>
        <w:t>5.卫生健康支出（类）行政事业单位医疗（款）行政单位医疗（项）202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13.42</w:t>
      </w:r>
      <w:r>
        <w:rPr>
          <w:rFonts w:hint="eastAsia" w:ascii="Times New Roman" w:hAnsi="Times New Roman" w:eastAsia="仿宋_GB2312"/>
          <w:b w:val="0"/>
          <w:bCs/>
          <w:sz w:val="32"/>
          <w:szCs w:val="32"/>
          <w:lang w:val="en-US" w:eastAsia="zh-CN"/>
        </w:rPr>
        <w:t>万元，主要用于：交通运输局机关、海事处、交通综合行政执法大队等行政及参公单位医疗保险单位缴费支出，以确保按相关规定落实行政事业单位人员基本医疗保险政策。</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lang w:val="en-US" w:eastAsia="zh-CN"/>
        </w:rPr>
        <w:t>6.交通运输支出（类）公路水路运输（款）行政运行（项）202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307.64</w:t>
      </w:r>
      <w:r>
        <w:rPr>
          <w:rFonts w:hint="eastAsia" w:ascii="Times New Roman" w:hAnsi="Times New Roman" w:eastAsia="仿宋_GB2312"/>
          <w:b w:val="0"/>
          <w:bCs/>
          <w:sz w:val="32"/>
          <w:szCs w:val="32"/>
          <w:lang w:val="en-US" w:eastAsia="zh-CN"/>
        </w:rPr>
        <w:t>万元，主要用于：局机关、海事处、交通综合行政执法大队等单位人员工资及日常公用支出，保障上述单位日常工作有序开展等。</w:t>
      </w:r>
    </w:p>
    <w:p>
      <w:pPr>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val="en-US" w:eastAsia="zh-CN"/>
        </w:rPr>
        <w:t>7.住房保障支出（类）住房改革支出（款）住房公积金（项）202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lang w:val="en-US" w:eastAsia="zh-CN"/>
        </w:rPr>
        <w:t>年预算数为</w:t>
      </w:r>
      <w:r>
        <w:rPr>
          <w:rFonts w:hint="eastAsia" w:ascii="Times New Roman" w:hAnsi="Times New Roman"/>
          <w:b w:val="0"/>
          <w:bCs/>
          <w:sz w:val="32"/>
          <w:szCs w:val="32"/>
          <w:lang w:val="en-US" w:eastAsia="zh-CN"/>
        </w:rPr>
        <w:t>27.30</w:t>
      </w:r>
      <w:r>
        <w:rPr>
          <w:rFonts w:hint="eastAsia" w:ascii="Times New Roman" w:hAnsi="Times New Roman" w:eastAsia="仿宋_GB2312"/>
          <w:b w:val="0"/>
          <w:bCs/>
          <w:sz w:val="32"/>
          <w:szCs w:val="32"/>
          <w:lang w:val="en-US" w:eastAsia="zh-CN"/>
        </w:rPr>
        <w:t>万元，主要用于：局机关、海事处、交通综合行政执法大队等单位为单位职工缴纳的住房公积金支出，以确保按相关规定落实行政事业单位人员住房公积金等住房改革补助政策。</w:t>
      </w:r>
      <w:r>
        <w:rPr>
          <w:rFonts w:hint="eastAsia" w:ascii="Times New Roman" w:hAnsi="Times New Roman" w:eastAsia="仿宋_GB2312"/>
          <w:b w:val="0"/>
          <w:bCs/>
          <w:sz w:val="32"/>
          <w:szCs w:val="32"/>
        </w:rPr>
        <w:t xml:space="preserve"> </w:t>
      </w:r>
    </w:p>
    <w:p>
      <w:pPr>
        <w:pageBreakBefore w:val="0"/>
        <w:widowControl w:val="0"/>
        <w:kinsoku/>
        <w:wordWrap/>
        <w:overflowPunct/>
        <w:topLinePunct w:val="0"/>
        <w:autoSpaceDE/>
        <w:autoSpaceDN/>
        <w:bidi w:val="0"/>
        <w:spacing w:line="560" w:lineRule="exact"/>
        <w:ind w:left="0" w:firstLine="640" w:firstLineChars="200"/>
        <w:jc w:val="both"/>
        <w:textAlignment w:val="auto"/>
        <w:outlineLvl w:val="0"/>
        <w:rPr>
          <w:rFonts w:ascii="Times New Roman" w:hAnsi="Times New Roman" w:eastAsia="仿宋_GB2312"/>
          <w:b w:val="0"/>
          <w:bCs/>
          <w:sz w:val="32"/>
          <w:szCs w:val="32"/>
        </w:rPr>
      </w:pPr>
      <w:bookmarkStart w:id="10" w:name="_Toc28779"/>
      <w:r>
        <w:rPr>
          <w:rStyle w:val="30"/>
          <w:rFonts w:hint="eastAsia" w:ascii="Times New Roman" w:hAnsi="Times New Roman"/>
          <w:b w:val="0"/>
          <w:bCs/>
          <w:sz w:val="32"/>
        </w:rPr>
        <w:t>六、一般公共预算基本支出情况说明</w:t>
      </w:r>
      <w:bookmarkEnd w:id="10"/>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eastAsia="zh-CN"/>
        </w:rPr>
        <w:t>交通运输</w:t>
      </w:r>
      <w:r>
        <w:rPr>
          <w:rFonts w:hint="eastAsia" w:ascii="Times New Roman" w:hAnsi="Times New Roman" w:eastAsia="仿宋_GB2312"/>
          <w:b w:val="0"/>
          <w:bCs/>
          <w:sz w:val="32"/>
          <w:szCs w:val="32"/>
        </w:rPr>
        <w:t>局20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年一般公共预算基本支出</w:t>
      </w:r>
      <w:r>
        <w:rPr>
          <w:rFonts w:hint="eastAsia" w:ascii="Times New Roman" w:hAnsi="Times New Roman"/>
          <w:b w:val="0"/>
          <w:bCs/>
          <w:sz w:val="32"/>
          <w:szCs w:val="32"/>
          <w:lang w:val="en-US" w:eastAsia="zh-CN"/>
        </w:rPr>
        <w:t>411.17</w:t>
      </w:r>
      <w:r>
        <w:rPr>
          <w:rFonts w:hint="eastAsia" w:ascii="Times New Roman" w:hAnsi="Times New Roman" w:eastAsia="仿宋_GB2312"/>
          <w:b w:val="0"/>
          <w:bCs/>
          <w:sz w:val="32"/>
          <w:szCs w:val="32"/>
        </w:rPr>
        <w:t>万元，其中：</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人员经费</w:t>
      </w:r>
      <w:r>
        <w:rPr>
          <w:rFonts w:hint="eastAsia" w:ascii="Times New Roman" w:hAnsi="Times New Roman"/>
          <w:b w:val="0"/>
          <w:bCs/>
          <w:sz w:val="32"/>
          <w:szCs w:val="32"/>
          <w:lang w:val="en-US" w:eastAsia="zh-CN"/>
        </w:rPr>
        <w:t>350.66</w:t>
      </w:r>
      <w:r>
        <w:rPr>
          <w:rFonts w:hint="eastAsia" w:ascii="Times New Roman" w:hAnsi="Times New Roman" w:eastAsia="仿宋_GB2312"/>
          <w:b w:val="0"/>
          <w:bCs/>
          <w:sz w:val="32"/>
          <w:szCs w:val="32"/>
        </w:rPr>
        <w:t>万元，主要包括：基本工资</w:t>
      </w:r>
      <w:r>
        <w:rPr>
          <w:rFonts w:hint="eastAsia" w:ascii="Times New Roman" w:hAnsi="Times New Roman"/>
          <w:b w:val="0"/>
          <w:bCs/>
          <w:sz w:val="32"/>
          <w:szCs w:val="32"/>
          <w:lang w:val="en-US" w:eastAsia="zh-CN"/>
        </w:rPr>
        <w:t>72.30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、津贴补贴</w:t>
      </w:r>
      <w:r>
        <w:rPr>
          <w:rFonts w:hint="eastAsia" w:ascii="Times New Roman" w:hAnsi="Times New Roman"/>
          <w:b w:val="0"/>
          <w:bCs/>
          <w:sz w:val="32"/>
          <w:szCs w:val="32"/>
          <w:lang w:val="en-US" w:eastAsia="zh-CN"/>
        </w:rPr>
        <w:t>143.16</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、奖金</w:t>
      </w:r>
      <w:r>
        <w:rPr>
          <w:rFonts w:hint="eastAsia" w:ascii="Times New Roman" w:hAnsi="Times New Roman"/>
          <w:b w:val="0"/>
          <w:bCs/>
          <w:sz w:val="32"/>
          <w:szCs w:val="32"/>
          <w:lang w:val="en-US" w:eastAsia="zh-CN"/>
        </w:rPr>
        <w:t>6.02</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、机关事业单位基本养老保险缴费</w:t>
      </w:r>
      <w:r>
        <w:rPr>
          <w:rFonts w:hint="eastAsia" w:ascii="Times New Roman" w:hAnsi="Times New Roman"/>
          <w:b w:val="0"/>
          <w:bCs/>
          <w:sz w:val="32"/>
          <w:szCs w:val="32"/>
          <w:lang w:val="en-US" w:eastAsia="zh-CN"/>
        </w:rPr>
        <w:t>32.24</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、职业年金缴费</w:t>
      </w:r>
      <w:r>
        <w:rPr>
          <w:rFonts w:hint="eastAsia" w:ascii="Times New Roman" w:hAnsi="Times New Roman"/>
          <w:b w:val="0"/>
          <w:bCs/>
          <w:sz w:val="32"/>
          <w:szCs w:val="32"/>
          <w:lang w:val="en-US" w:eastAsia="zh-CN"/>
        </w:rPr>
        <w:t>16.12</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职工基本医疗保险缴费</w:t>
      </w:r>
      <w:r>
        <w:rPr>
          <w:rFonts w:hint="eastAsia" w:ascii="Times New Roman" w:hAnsi="Times New Roman"/>
          <w:b w:val="0"/>
          <w:bCs/>
          <w:sz w:val="32"/>
          <w:szCs w:val="32"/>
          <w:lang w:val="en-US" w:eastAsia="zh-CN"/>
        </w:rPr>
        <w:t>13.42</w:t>
      </w:r>
      <w:r>
        <w:rPr>
          <w:rFonts w:hint="eastAsia" w:ascii="Times New Roman" w:hAnsi="Times New Roman" w:eastAsia="仿宋_GB2312"/>
          <w:b w:val="0"/>
          <w:bCs/>
          <w:sz w:val="32"/>
          <w:szCs w:val="32"/>
          <w:lang w:val="en-US" w:eastAsia="zh-CN"/>
        </w:rPr>
        <w:t>万元、住房公积金</w:t>
      </w:r>
      <w:r>
        <w:rPr>
          <w:rFonts w:hint="eastAsia" w:ascii="Times New Roman" w:hAnsi="Times New Roman"/>
          <w:b w:val="0"/>
          <w:bCs/>
          <w:sz w:val="32"/>
          <w:szCs w:val="32"/>
          <w:lang w:val="en-US" w:eastAsia="zh-CN"/>
        </w:rPr>
        <w:t>27.3</w:t>
      </w:r>
      <w:r>
        <w:rPr>
          <w:rFonts w:hint="eastAsia" w:ascii="Times New Roman" w:hAnsi="Times New Roman" w:eastAsia="仿宋_GB2312"/>
          <w:b w:val="0"/>
          <w:bCs/>
          <w:sz w:val="32"/>
          <w:szCs w:val="32"/>
          <w:lang w:val="en-US" w:eastAsia="zh-CN"/>
        </w:rPr>
        <w:t>万元、其他工资福利支出9.60万元、退休费14.00万元、生活补助0.97万元、奖励金0.0</w:t>
      </w:r>
      <w:r>
        <w:rPr>
          <w:rFonts w:hint="eastAsia" w:ascii="Times New Roman" w:hAnsi="Times New Roman"/>
          <w:b w:val="0"/>
          <w:bCs/>
          <w:sz w:val="32"/>
          <w:szCs w:val="32"/>
          <w:lang w:val="en-US" w:eastAsia="zh-CN"/>
        </w:rPr>
        <w:t>2</w:t>
      </w:r>
      <w:r>
        <w:rPr>
          <w:rFonts w:hint="eastAsia" w:ascii="Times New Roman" w:hAnsi="Times New Roman" w:eastAsia="仿宋_GB2312"/>
          <w:b w:val="0"/>
          <w:bCs/>
          <w:sz w:val="32"/>
          <w:szCs w:val="32"/>
          <w:lang w:val="en-US" w:eastAsia="zh-CN"/>
        </w:rPr>
        <w:t>万元、其他对个人和家庭的补助1.</w:t>
      </w:r>
      <w:r>
        <w:rPr>
          <w:rFonts w:hint="eastAsia" w:ascii="Times New Roman" w:hAnsi="Times New Roman"/>
          <w:b w:val="0"/>
          <w:bCs/>
          <w:sz w:val="32"/>
          <w:szCs w:val="32"/>
          <w:lang w:val="en-US" w:eastAsia="zh-CN"/>
        </w:rPr>
        <w:t>62</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公用经费</w:t>
      </w:r>
      <w:r>
        <w:rPr>
          <w:rFonts w:hint="eastAsia" w:ascii="Times New Roman" w:hAnsi="Times New Roman"/>
          <w:b w:val="0"/>
          <w:bCs/>
          <w:sz w:val="32"/>
          <w:szCs w:val="32"/>
          <w:lang w:val="en-US" w:eastAsia="zh-CN"/>
        </w:rPr>
        <w:t>60.51</w:t>
      </w:r>
      <w:r>
        <w:rPr>
          <w:rFonts w:hint="eastAsia" w:ascii="Times New Roman" w:hAnsi="Times New Roman" w:eastAsia="仿宋_GB2312"/>
          <w:b w:val="0"/>
          <w:bCs/>
          <w:sz w:val="32"/>
          <w:szCs w:val="32"/>
        </w:rPr>
        <w:t>万元，主要包括：办公费</w:t>
      </w:r>
      <w:r>
        <w:rPr>
          <w:rFonts w:hint="eastAsia" w:ascii="Times New Roman" w:hAnsi="Times New Roman"/>
          <w:b w:val="0"/>
          <w:bCs/>
          <w:sz w:val="32"/>
          <w:szCs w:val="32"/>
          <w:lang w:val="en-US" w:eastAsia="zh-CN"/>
        </w:rPr>
        <w:t>12.75</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、水电费</w:t>
      </w:r>
      <w:r>
        <w:rPr>
          <w:rFonts w:hint="eastAsia" w:ascii="Times New Roman" w:hAnsi="Times New Roman" w:eastAsia="仿宋_GB2312"/>
          <w:b w:val="0"/>
          <w:bCs/>
          <w:sz w:val="32"/>
          <w:szCs w:val="32"/>
          <w:lang w:val="en-US" w:eastAsia="zh-CN"/>
        </w:rPr>
        <w:t>0.00万元</w:t>
      </w:r>
      <w:r>
        <w:rPr>
          <w:rFonts w:hint="eastAsia" w:ascii="Times New Roman" w:hAnsi="Times New Roman" w:eastAsia="仿宋_GB2312"/>
          <w:b w:val="0"/>
          <w:bCs/>
          <w:sz w:val="32"/>
          <w:szCs w:val="32"/>
        </w:rPr>
        <w:t>、邮电费</w:t>
      </w:r>
      <w:r>
        <w:rPr>
          <w:rFonts w:hint="eastAsia" w:ascii="Times New Roman" w:hAnsi="Times New Roman"/>
          <w:b w:val="0"/>
          <w:bCs/>
          <w:sz w:val="32"/>
          <w:szCs w:val="32"/>
          <w:lang w:val="en-US" w:eastAsia="zh-CN"/>
        </w:rPr>
        <w:t>3.76</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、差旅费</w:t>
      </w:r>
      <w:r>
        <w:rPr>
          <w:rFonts w:hint="eastAsia" w:ascii="Times New Roman" w:hAnsi="Times New Roman"/>
          <w:b w:val="0"/>
          <w:bCs/>
          <w:sz w:val="32"/>
          <w:szCs w:val="32"/>
          <w:lang w:val="en-US" w:eastAsia="zh-CN"/>
        </w:rPr>
        <w:t>21.30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、维修（护）费</w:t>
      </w:r>
      <w:r>
        <w:rPr>
          <w:rFonts w:hint="eastAsia" w:ascii="Times New Roman" w:hAnsi="Times New Roman" w:eastAsia="仿宋_GB2312"/>
          <w:b w:val="0"/>
          <w:bCs/>
          <w:sz w:val="32"/>
          <w:szCs w:val="32"/>
          <w:lang w:val="en-US" w:eastAsia="zh-CN"/>
        </w:rPr>
        <w:t>0.</w:t>
      </w:r>
      <w:r>
        <w:rPr>
          <w:rFonts w:hint="eastAsia" w:ascii="Times New Roman" w:hAnsi="Times New Roman"/>
          <w:b w:val="0"/>
          <w:bCs/>
          <w:sz w:val="32"/>
          <w:szCs w:val="32"/>
          <w:lang w:val="en-US" w:eastAsia="zh-CN"/>
        </w:rPr>
        <w:t>48</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、培训费</w:t>
      </w:r>
      <w:r>
        <w:rPr>
          <w:rFonts w:hint="eastAsia" w:ascii="Times New Roman" w:hAnsi="Times New Roman" w:eastAsia="仿宋_GB2312"/>
          <w:b w:val="0"/>
          <w:bCs/>
          <w:sz w:val="32"/>
          <w:szCs w:val="32"/>
          <w:lang w:val="en-US" w:eastAsia="zh-CN"/>
        </w:rPr>
        <w:t>0.</w:t>
      </w:r>
      <w:r>
        <w:rPr>
          <w:rFonts w:hint="eastAsia" w:ascii="Times New Roman" w:hAnsi="Times New Roman"/>
          <w:b w:val="0"/>
          <w:bCs/>
          <w:sz w:val="32"/>
          <w:szCs w:val="32"/>
          <w:lang w:val="en-US" w:eastAsia="zh-CN"/>
        </w:rPr>
        <w:t>75</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公务接待费</w:t>
      </w:r>
      <w:r>
        <w:rPr>
          <w:rFonts w:hint="eastAsia" w:ascii="Times New Roman" w:hAnsi="Times New Roman" w:eastAsia="仿宋_GB2312"/>
          <w:b w:val="0"/>
          <w:bCs/>
          <w:sz w:val="32"/>
          <w:szCs w:val="32"/>
          <w:lang w:val="en-US" w:eastAsia="zh-CN"/>
        </w:rPr>
        <w:t>1.</w:t>
      </w:r>
      <w:r>
        <w:rPr>
          <w:rFonts w:hint="eastAsia" w:ascii="Times New Roman" w:hAnsi="Times New Roman"/>
          <w:b w:val="0"/>
          <w:bCs/>
          <w:sz w:val="32"/>
          <w:szCs w:val="32"/>
          <w:lang w:val="en-US" w:eastAsia="zh-CN"/>
        </w:rPr>
        <w:t>1</w:t>
      </w:r>
      <w:r>
        <w:rPr>
          <w:rFonts w:hint="eastAsia" w:ascii="Times New Roman" w:hAnsi="Times New Roman" w:eastAsia="仿宋_GB2312"/>
          <w:b w:val="0"/>
          <w:bCs/>
          <w:sz w:val="32"/>
          <w:szCs w:val="32"/>
          <w:lang w:val="en-US" w:eastAsia="zh-CN"/>
        </w:rPr>
        <w:t>0万元、劳务费0.00万元、</w:t>
      </w:r>
      <w:r>
        <w:rPr>
          <w:rFonts w:hint="eastAsia" w:ascii="Times New Roman" w:hAnsi="Times New Roman"/>
          <w:b w:val="0"/>
          <w:bCs/>
          <w:sz w:val="32"/>
          <w:szCs w:val="32"/>
          <w:lang w:val="en-US" w:eastAsia="zh-CN"/>
        </w:rPr>
        <w:t>专用材料费0.46万元、</w:t>
      </w:r>
      <w:r>
        <w:rPr>
          <w:rFonts w:hint="eastAsia" w:ascii="Times New Roman" w:hAnsi="Times New Roman" w:eastAsia="仿宋_GB2312"/>
          <w:b w:val="0"/>
          <w:bCs/>
          <w:sz w:val="32"/>
          <w:szCs w:val="32"/>
        </w:rPr>
        <w:t>工会经费</w:t>
      </w:r>
      <w:r>
        <w:rPr>
          <w:rFonts w:hint="eastAsia" w:ascii="Times New Roman" w:hAnsi="Times New Roman"/>
          <w:b w:val="0"/>
          <w:bCs/>
          <w:sz w:val="32"/>
          <w:szCs w:val="32"/>
          <w:lang w:val="en-US" w:eastAsia="zh-CN"/>
        </w:rPr>
        <w:t>9.01</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、福利费</w:t>
      </w:r>
      <w:r>
        <w:rPr>
          <w:rFonts w:hint="eastAsia" w:ascii="Times New Roman" w:hAnsi="Times New Roman"/>
          <w:b w:val="0"/>
          <w:bCs/>
          <w:sz w:val="32"/>
          <w:szCs w:val="32"/>
          <w:lang w:val="en-US" w:eastAsia="zh-CN"/>
        </w:rPr>
        <w:t>3.60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公务用车运行维护费</w:t>
      </w:r>
      <w:r>
        <w:rPr>
          <w:rFonts w:hint="eastAsia" w:ascii="Times New Roman" w:hAnsi="Times New Roman" w:eastAsia="仿宋_GB2312"/>
          <w:b w:val="0"/>
          <w:bCs/>
          <w:sz w:val="32"/>
          <w:szCs w:val="32"/>
          <w:lang w:val="en-US" w:eastAsia="zh-CN"/>
        </w:rPr>
        <w:t>1.90万元、</w:t>
      </w:r>
      <w:r>
        <w:rPr>
          <w:rFonts w:hint="eastAsia" w:ascii="Times New Roman" w:hAnsi="Times New Roman" w:eastAsia="仿宋_GB2312"/>
          <w:b w:val="0"/>
          <w:bCs/>
          <w:sz w:val="32"/>
          <w:szCs w:val="32"/>
        </w:rPr>
        <w:t>其他交通费</w:t>
      </w:r>
      <w:r>
        <w:rPr>
          <w:rFonts w:hint="eastAsia" w:ascii="Times New Roman" w:hAnsi="Times New Roman" w:eastAsia="仿宋_GB2312"/>
          <w:b w:val="0"/>
          <w:bCs/>
          <w:sz w:val="32"/>
          <w:szCs w:val="32"/>
          <w:lang w:val="en-US" w:eastAsia="zh-CN"/>
        </w:rPr>
        <w:t>1.10万元</w:t>
      </w:r>
      <w:r>
        <w:rPr>
          <w:rFonts w:hint="eastAsia" w:ascii="Times New Roman" w:hAnsi="Times New Roman" w:eastAsia="仿宋_GB2312"/>
          <w:b w:val="0"/>
          <w:bCs/>
          <w:sz w:val="32"/>
          <w:szCs w:val="32"/>
        </w:rPr>
        <w:t>、其他商品和服务支出</w:t>
      </w:r>
      <w:r>
        <w:rPr>
          <w:rFonts w:hint="eastAsia" w:ascii="Times New Roman" w:hAnsi="Times New Roman"/>
          <w:b w:val="0"/>
          <w:bCs/>
          <w:sz w:val="32"/>
          <w:szCs w:val="32"/>
          <w:lang w:val="en-US" w:eastAsia="zh-CN"/>
        </w:rPr>
        <w:t>0.80</w:t>
      </w:r>
      <w:r>
        <w:rPr>
          <w:rFonts w:hint="eastAsia" w:ascii="Times New Roman" w:hAnsi="Times New Roman" w:eastAsia="仿宋_GB2312"/>
          <w:b w:val="0"/>
          <w:bCs/>
          <w:sz w:val="32"/>
          <w:szCs w:val="32"/>
          <w:lang w:val="en-US" w:eastAsia="zh-CN"/>
        </w:rPr>
        <w:t>万元</w:t>
      </w:r>
      <w:r>
        <w:rPr>
          <w:rFonts w:hint="eastAsia" w:ascii="Times New Roman" w:hAnsi="Times New Roman" w:eastAsia="仿宋_GB2312"/>
          <w:b w:val="0"/>
          <w:bCs/>
          <w:sz w:val="32"/>
          <w:szCs w:val="32"/>
        </w:rPr>
        <w:t>。</w:t>
      </w:r>
    </w:p>
    <w:p>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ascii="Times New Roman" w:hAnsi="Times New Roman"/>
          <w:b w:val="0"/>
          <w:bCs/>
          <w:sz w:val="32"/>
        </w:rPr>
      </w:pPr>
      <w:bookmarkStart w:id="11" w:name="_Toc21897"/>
      <w:r>
        <w:rPr>
          <w:rFonts w:hint="eastAsia" w:ascii="Times New Roman" w:hAnsi="Times New Roman"/>
          <w:b w:val="0"/>
          <w:bCs/>
          <w:sz w:val="32"/>
        </w:rPr>
        <w:t>七、“三公”经费财政拨款预算安排情况说明</w:t>
      </w:r>
      <w:bookmarkEnd w:id="11"/>
    </w:p>
    <w:p>
      <w:pPr>
        <w:bidi w:val="0"/>
      </w:pPr>
      <w:r>
        <w:rPr>
          <w:rFonts w:hint="eastAsia"/>
          <w:lang w:eastAsia="zh-CN"/>
        </w:rPr>
        <w:t>罗江区交通运输</w:t>
      </w:r>
      <w:r>
        <w:rPr>
          <w:rFonts w:hint="eastAsia"/>
        </w:rPr>
        <w:t>局20</w:t>
      </w:r>
      <w:r>
        <w:rPr>
          <w:rFonts w:hint="eastAsia"/>
          <w:lang w:val="en-US" w:eastAsia="zh-CN"/>
        </w:rPr>
        <w:t>24</w:t>
      </w:r>
      <w:r>
        <w:rPr>
          <w:rFonts w:hint="eastAsia"/>
        </w:rPr>
        <w:t>年“三公”经费财政拨款预算数</w:t>
      </w:r>
      <w:r>
        <w:rPr>
          <w:rFonts w:hint="eastAsia"/>
          <w:lang w:val="en-US" w:eastAsia="zh-CN"/>
        </w:rPr>
        <w:t>3.00</w:t>
      </w:r>
      <w:r>
        <w:rPr>
          <w:rFonts w:hint="eastAsia"/>
        </w:rPr>
        <w:t>万元，其中：因公出国（境）经费</w:t>
      </w:r>
      <w:r>
        <w:rPr>
          <w:rFonts w:hint="eastAsia"/>
          <w:lang w:val="en-US" w:eastAsia="zh-CN"/>
        </w:rPr>
        <w:t>0</w:t>
      </w:r>
      <w:r>
        <w:rPr>
          <w:rFonts w:hint="eastAsia"/>
        </w:rPr>
        <w:t>万元，公务接待费</w:t>
      </w:r>
      <w:r>
        <w:rPr>
          <w:rFonts w:hint="eastAsia"/>
          <w:lang w:val="en-US" w:eastAsia="zh-CN"/>
        </w:rPr>
        <w:t>1.10</w:t>
      </w:r>
      <w:r>
        <w:rPr>
          <w:rFonts w:hint="eastAsia"/>
        </w:rPr>
        <w:t>万元，公务用车购置</w:t>
      </w:r>
      <w:r>
        <w:rPr>
          <w:rFonts w:hint="eastAsia"/>
          <w:lang w:val="en-US" w:eastAsia="zh-CN"/>
        </w:rPr>
        <w:t>0</w:t>
      </w:r>
      <w:r>
        <w:rPr>
          <w:rFonts w:hint="eastAsia"/>
        </w:rPr>
        <w:t>万元，公务用车运行维护费</w:t>
      </w:r>
      <w:r>
        <w:rPr>
          <w:rFonts w:hint="eastAsia"/>
          <w:lang w:val="en-US" w:eastAsia="zh-CN"/>
        </w:rPr>
        <w:t>1.90</w:t>
      </w:r>
      <w:r>
        <w:rPr>
          <w:rFonts w:hint="eastAsia"/>
        </w:rPr>
        <w:t>万元。</w:t>
      </w:r>
    </w:p>
    <w:p>
      <w:pPr>
        <w:bidi w:val="0"/>
      </w:pPr>
      <w:bookmarkStart w:id="12" w:name="_Toc12019"/>
      <w:r>
        <w:rPr>
          <w:rFonts w:hint="eastAsia" w:ascii="Times New Roman" w:hAnsi="Times New Roman" w:eastAsia="楷体_GB2312"/>
          <w:b/>
          <w:lang w:val="en-US" w:eastAsia="zh-CN"/>
        </w:rPr>
        <w:t>（一）因公出国（境）经费与2023年预算持平。</w:t>
      </w:r>
      <w:bookmarkEnd w:id="12"/>
      <w:r>
        <w:rPr>
          <w:rFonts w:hint="eastAsia"/>
        </w:rPr>
        <w:t>主要</w:t>
      </w:r>
      <w:r>
        <w:rPr>
          <w:rFonts w:hint="eastAsia" w:ascii="Times New Roman" w:hAnsi="Times New Roman" w:eastAsia="仿宋_GB2312"/>
          <w:b w:val="0"/>
          <w:bCs/>
          <w:szCs w:val="32"/>
        </w:rPr>
        <w:t>原因</w:t>
      </w:r>
      <w:r>
        <w:rPr>
          <w:rFonts w:hint="eastAsia"/>
        </w:rPr>
        <w:t>是</w:t>
      </w:r>
      <w:r>
        <w:rPr>
          <w:rFonts w:hint="eastAsia"/>
          <w:lang w:eastAsia="zh-CN"/>
        </w:rPr>
        <w:t>本部门无因公出国（境）事务</w:t>
      </w:r>
      <w:r>
        <w:rPr>
          <w:rFonts w:hint="eastAsia"/>
        </w:rPr>
        <w:t>。</w:t>
      </w:r>
    </w:p>
    <w:p>
      <w:pPr>
        <w:bidi w:val="0"/>
        <w:rPr>
          <w:rFonts w:hint="eastAsia"/>
        </w:rPr>
      </w:pPr>
      <w:bookmarkStart w:id="13" w:name="_Toc29418"/>
      <w:r>
        <w:rPr>
          <w:rFonts w:hint="eastAsia" w:eastAsia="楷体_GB2312"/>
          <w:b/>
          <w:lang w:val="en-US" w:eastAsia="zh-CN"/>
        </w:rPr>
        <w:t>（二）公务接待费比2023年预算减少0.80万元。</w:t>
      </w:r>
      <w:bookmarkEnd w:id="13"/>
      <w:r>
        <w:rPr>
          <w:rFonts w:hint="eastAsia"/>
          <w:lang w:eastAsia="zh-CN"/>
        </w:rPr>
        <w:t>主要原因是按照本年交通工作安排计划测算，和严格中央、省、市、区各项规定，从严控制公务接待支出。</w:t>
      </w:r>
    </w:p>
    <w:p>
      <w:pPr>
        <w:bidi w:val="0"/>
        <w:ind w:firstLine="880"/>
        <w:rPr>
          <w:rFonts w:hint="eastAsia" w:ascii="Times New Roman" w:hAnsi="Times New Roman" w:eastAsia="楷体_GB2312"/>
          <w:b/>
          <w:lang w:val="en-US" w:eastAsia="zh-CN"/>
        </w:rPr>
      </w:pPr>
      <w:bookmarkStart w:id="14" w:name="_Toc23489"/>
      <w:r>
        <w:rPr>
          <w:rFonts w:hint="eastAsia" w:ascii="Times New Roman" w:hAnsi="Times New Roman" w:eastAsia="楷体_GB2312"/>
          <w:b/>
          <w:lang w:val="en-US" w:eastAsia="zh-CN"/>
        </w:rPr>
        <w:t>（三）公务用车购置及运行维护费与2023年预算持平。</w:t>
      </w:r>
      <w:bookmarkEnd w:id="14"/>
    </w:p>
    <w:p>
      <w:pPr>
        <w:bidi w:val="0"/>
        <w:rPr>
          <w:rFonts w:hint="eastAsia" w:ascii="Times New Roman" w:hAnsi="Times New Roman" w:eastAsia="仿宋_GB2312"/>
          <w:b w:val="0"/>
          <w:bCs/>
          <w:szCs w:val="32"/>
        </w:rPr>
      </w:pPr>
      <w:r>
        <w:rPr>
          <w:rFonts w:hint="eastAsia"/>
        </w:rPr>
        <w:t>单位现有公务用车</w:t>
      </w:r>
      <w:r>
        <w:rPr>
          <w:rFonts w:hint="eastAsia"/>
          <w:lang w:val="en-US" w:eastAsia="zh-CN"/>
        </w:rPr>
        <w:t>1</w:t>
      </w:r>
      <w:r>
        <w:rPr>
          <w:rFonts w:hint="eastAsia"/>
        </w:rPr>
        <w:t>辆。其中：轿车</w:t>
      </w:r>
      <w:r>
        <w:rPr>
          <w:rFonts w:hint="eastAsia"/>
          <w:lang w:val="en-US" w:eastAsia="zh-CN"/>
        </w:rPr>
        <w:t>0</w:t>
      </w:r>
      <w:r>
        <w:rPr>
          <w:rFonts w:hint="eastAsia"/>
        </w:rPr>
        <w:t>辆，</w:t>
      </w:r>
      <w:r>
        <w:rPr>
          <w:rFonts w:hint="eastAsia"/>
          <w:lang w:eastAsia="zh-CN"/>
        </w:rPr>
        <w:t>越野车</w:t>
      </w:r>
      <w:r>
        <w:rPr>
          <w:rFonts w:hint="eastAsia"/>
          <w:lang w:val="en-US" w:eastAsia="zh-CN"/>
        </w:rPr>
        <w:t>1辆，小型客车0辆，</w:t>
      </w:r>
      <w:r>
        <w:rPr>
          <w:rFonts w:hint="eastAsia"/>
          <w:lang w:eastAsia="zh-CN"/>
        </w:rPr>
        <w:t>小型货车</w:t>
      </w:r>
      <w:r>
        <w:rPr>
          <w:rFonts w:hint="eastAsia"/>
          <w:lang w:val="en-US" w:eastAsia="zh-CN"/>
        </w:rPr>
        <w:t>0辆，特种车辆0辆，专用车0辆</w:t>
      </w:r>
      <w:r>
        <w:rPr>
          <w:rFonts w:hint="eastAsia" w:ascii="Times New Roman" w:hAnsi="Times New Roman" w:eastAsia="仿宋_GB2312"/>
          <w:b w:val="0"/>
          <w:bCs/>
          <w:szCs w:val="32"/>
        </w:rPr>
        <w:t>。</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年未安排公务用车购置费</w:t>
      </w:r>
      <w:r>
        <w:rPr>
          <w:rFonts w:hint="eastAsia" w:ascii="Times New Roman" w:hAnsi="Times New Roman" w:eastAsia="仿宋_GB2312"/>
          <w:b w:val="0"/>
          <w:bCs/>
          <w:sz w:val="32"/>
          <w:szCs w:val="32"/>
          <w:lang w:eastAsia="zh-CN"/>
        </w:rPr>
        <w:t>，与上年预算持平。主要原因是公务用车改革后，本年无需新增、购换公务用车。</w:t>
      </w:r>
    </w:p>
    <w:p>
      <w:pPr>
        <w:pageBreakBefore w:val="0"/>
        <w:widowControl w:val="0"/>
        <w:numPr>
          <w:ilvl w:val="0"/>
          <w:numId w:val="0"/>
        </w:numPr>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年安排公务用车运行维护费</w:t>
      </w:r>
      <w:r>
        <w:rPr>
          <w:rFonts w:hint="eastAsia" w:ascii="Times New Roman" w:hAnsi="Times New Roman" w:eastAsia="仿宋_GB2312"/>
          <w:b w:val="0"/>
          <w:bCs/>
          <w:sz w:val="32"/>
          <w:szCs w:val="32"/>
          <w:lang w:val="en-US" w:eastAsia="zh-CN"/>
        </w:rPr>
        <w:t>1.90</w:t>
      </w:r>
      <w:r>
        <w:rPr>
          <w:rFonts w:hint="eastAsia" w:ascii="Times New Roman" w:hAnsi="Times New Roman" w:eastAsia="仿宋_GB2312"/>
          <w:b w:val="0"/>
          <w:bCs/>
          <w:sz w:val="32"/>
          <w:szCs w:val="32"/>
        </w:rPr>
        <w:t>万元，用于</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辆公务用车燃油、</w:t>
      </w:r>
      <w:r>
        <w:rPr>
          <w:rFonts w:hint="eastAsia" w:ascii="Times New Roman" w:hAnsi="Times New Roman" w:eastAsia="仿宋_GB2312"/>
          <w:b w:val="0"/>
          <w:bCs/>
          <w:sz w:val="32"/>
          <w:szCs w:val="32"/>
          <w:lang w:eastAsia="zh-CN"/>
        </w:rPr>
        <w:t>过路过桥、</w:t>
      </w:r>
      <w:r>
        <w:rPr>
          <w:rFonts w:hint="eastAsia" w:ascii="Times New Roman" w:hAnsi="Times New Roman" w:eastAsia="仿宋_GB2312"/>
          <w:b w:val="0"/>
          <w:bCs/>
          <w:sz w:val="32"/>
          <w:szCs w:val="32"/>
        </w:rPr>
        <w:t>维修、保险等方面支出</w:t>
      </w:r>
      <w:r>
        <w:rPr>
          <w:rFonts w:hint="eastAsia" w:ascii="Times New Roman" w:hAnsi="Times New Roman" w:eastAsia="仿宋_GB2312"/>
          <w:b w:val="0"/>
          <w:bCs/>
          <w:sz w:val="32"/>
          <w:szCs w:val="32"/>
          <w:lang w:eastAsia="zh-CN"/>
        </w:rPr>
        <w:t>。</w:t>
      </w:r>
      <w:r>
        <w:rPr>
          <w:rFonts w:hint="eastAsia" w:ascii="Times New Roman" w:hAnsi="Times New Roman" w:eastAsia="仿宋_GB2312"/>
          <w:b w:val="0"/>
          <w:bCs/>
          <w:sz w:val="32"/>
          <w:szCs w:val="32"/>
        </w:rPr>
        <w:t>主要保障</w:t>
      </w:r>
      <w:r>
        <w:rPr>
          <w:rFonts w:hint="eastAsia" w:ascii="Times New Roman" w:hAnsi="Times New Roman" w:eastAsia="仿宋_GB2312" w:cs="仿宋_GB2312"/>
          <w:b w:val="0"/>
          <w:bCs/>
          <w:i w:val="0"/>
          <w:snapToGrid/>
          <w:color w:val="000000"/>
          <w:sz w:val="32"/>
          <w:szCs w:val="32"/>
          <w:lang w:eastAsia="zh-CN"/>
        </w:rPr>
        <w:t>国省干线公路、农村公路等路网的公路养护与管理，海事管理，公路水路安全生产和应急管理，抢险救灾，公路水路和运输信息化建设等工作的开展</w:t>
      </w:r>
      <w:r>
        <w:rPr>
          <w:rFonts w:hint="eastAsia" w:ascii="Times New Roman" w:hAnsi="Times New Roman" w:eastAsia="仿宋_GB2312"/>
          <w:b w:val="0"/>
          <w:bCs/>
          <w:sz w:val="32"/>
          <w:szCs w:val="32"/>
        </w:rPr>
        <w:t>。</w:t>
      </w:r>
    </w:p>
    <w:p>
      <w:pPr>
        <w:pStyle w:val="2"/>
        <w:pageBreakBefore w:val="0"/>
        <w:widowControl w:val="0"/>
        <w:numPr>
          <w:ilvl w:val="0"/>
          <w:numId w:val="0"/>
        </w:numPr>
        <w:kinsoku/>
        <w:wordWrap/>
        <w:overflowPunct/>
        <w:topLinePunct w:val="0"/>
        <w:autoSpaceDE/>
        <w:autoSpaceDN/>
        <w:bidi w:val="0"/>
        <w:spacing w:beforeLines="0" w:afterLines="0" w:line="560" w:lineRule="exact"/>
        <w:ind w:left="0" w:firstLine="640" w:firstLineChars="200"/>
        <w:jc w:val="both"/>
        <w:textAlignment w:val="auto"/>
        <w:rPr>
          <w:rFonts w:hint="eastAsia" w:ascii="Times New Roman" w:hAnsi="Times New Roman"/>
          <w:b w:val="0"/>
          <w:bCs/>
          <w:sz w:val="32"/>
        </w:rPr>
      </w:pPr>
      <w:bookmarkStart w:id="15" w:name="_Toc31586"/>
      <w:r>
        <w:rPr>
          <w:rFonts w:hint="eastAsia" w:ascii="Times New Roman" w:hAnsi="Times New Roman"/>
          <w:b w:val="0"/>
          <w:bCs/>
          <w:sz w:val="32"/>
          <w:lang w:eastAsia="zh-CN"/>
        </w:rPr>
        <w:t>八、</w:t>
      </w:r>
      <w:r>
        <w:rPr>
          <w:rFonts w:hint="eastAsia" w:ascii="Times New Roman" w:hAnsi="Times New Roman"/>
          <w:b w:val="0"/>
          <w:bCs/>
          <w:sz w:val="32"/>
        </w:rPr>
        <w:t>政府性基金预算收支情况说明</w:t>
      </w:r>
      <w:bookmarkEnd w:id="15"/>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rPr>
        <w:t>收入</w:t>
      </w:r>
      <w:r>
        <w:rPr>
          <w:rFonts w:hint="eastAsia" w:ascii="Times New Roman" w:hAnsi="Times New Roman" w:eastAsia="仿宋_GB2312"/>
          <w:b w:val="0"/>
          <w:bCs/>
          <w:sz w:val="32"/>
          <w:szCs w:val="32"/>
          <w:lang w:eastAsia="zh-CN"/>
        </w:rPr>
        <w:t>包括：政府性基金预算拨款收入</w:t>
      </w:r>
      <w:r>
        <w:rPr>
          <w:rFonts w:hint="eastAsia" w:ascii="Times New Roman" w:hAnsi="Times New Roman" w:eastAsia="仿宋_GB2312"/>
          <w:b w:val="0"/>
          <w:bCs/>
          <w:sz w:val="32"/>
          <w:szCs w:val="32"/>
          <w:lang w:val="en-US" w:eastAsia="zh-CN"/>
        </w:rPr>
        <w:t>0万元，</w:t>
      </w:r>
      <w:r>
        <w:rPr>
          <w:rFonts w:hint="eastAsia" w:ascii="Times New Roman" w:hAnsi="Times New Roman" w:eastAsia="仿宋_GB2312"/>
          <w:b w:val="0"/>
          <w:bCs/>
          <w:sz w:val="32"/>
          <w:szCs w:val="32"/>
          <w:lang w:eastAsia="zh-CN"/>
        </w:rPr>
        <w:t>与</w:t>
      </w: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3</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持平。</w:t>
      </w:r>
    </w:p>
    <w:p>
      <w:pPr>
        <w:pStyle w:val="2"/>
        <w:pageBreakBefore w:val="0"/>
        <w:widowControl w:val="0"/>
        <w:kinsoku/>
        <w:wordWrap/>
        <w:overflowPunct/>
        <w:topLinePunct w:val="0"/>
        <w:autoSpaceDE/>
        <w:autoSpaceDN/>
        <w:bidi w:val="0"/>
        <w:spacing w:beforeLines="0" w:afterLines="0" w:line="560" w:lineRule="exact"/>
        <w:ind w:left="0" w:firstLine="640" w:firstLineChars="200"/>
        <w:jc w:val="both"/>
        <w:textAlignment w:val="auto"/>
        <w:rPr>
          <w:rFonts w:hint="eastAsia" w:ascii="Times New Roman" w:hAnsi="Times New Roman"/>
          <w:b w:val="0"/>
          <w:bCs/>
          <w:sz w:val="32"/>
        </w:rPr>
      </w:pPr>
      <w:bookmarkStart w:id="16" w:name="_Toc28457"/>
      <w:r>
        <w:rPr>
          <w:rFonts w:hint="eastAsia" w:ascii="Times New Roman" w:hAnsi="Times New Roman"/>
          <w:b w:val="0"/>
          <w:bCs/>
          <w:sz w:val="32"/>
        </w:rPr>
        <w:t>九、国有资本经营预算支出情况说明</w:t>
      </w:r>
      <w:bookmarkEnd w:id="16"/>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lang w:eastAsia="zh-CN"/>
        </w:rPr>
      </w:pPr>
      <w:r>
        <w:rPr>
          <w:rFonts w:hint="eastAsia" w:ascii="Times New Roman" w:hAnsi="Times New Roman" w:eastAsia="仿宋_GB2312"/>
          <w:b w:val="0"/>
          <w:bCs/>
          <w:sz w:val="32"/>
          <w:szCs w:val="32"/>
          <w:lang w:eastAsia="zh-CN"/>
        </w:rPr>
        <w:t>罗江区交通运输局</w:t>
      </w: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未安排有</w:t>
      </w:r>
      <w:r>
        <w:rPr>
          <w:rFonts w:hint="eastAsia" w:ascii="Times New Roman" w:hAnsi="Times New Roman" w:eastAsia="仿宋_GB2312"/>
          <w:b w:val="0"/>
          <w:bCs/>
          <w:sz w:val="32"/>
          <w:szCs w:val="32"/>
        </w:rPr>
        <w:t>使用国有资本经营预算拨款</w:t>
      </w:r>
      <w:r>
        <w:rPr>
          <w:rFonts w:hint="eastAsia" w:ascii="Times New Roman" w:hAnsi="Times New Roman" w:eastAsia="仿宋_GB2312"/>
          <w:b w:val="0"/>
          <w:bCs/>
          <w:sz w:val="32"/>
          <w:szCs w:val="32"/>
          <w:lang w:eastAsia="zh-CN"/>
        </w:rPr>
        <w:t>的支出。</w:t>
      </w:r>
    </w:p>
    <w:p>
      <w:pPr>
        <w:pageBreakBefore w:val="0"/>
        <w:widowControl w:val="0"/>
        <w:kinsoku/>
        <w:wordWrap/>
        <w:overflowPunct/>
        <w:topLinePunct w:val="0"/>
        <w:autoSpaceDE/>
        <w:autoSpaceDN/>
        <w:bidi w:val="0"/>
        <w:spacing w:line="560" w:lineRule="exact"/>
        <w:ind w:left="0" w:firstLine="640" w:firstLineChars="200"/>
        <w:jc w:val="both"/>
        <w:textAlignment w:val="auto"/>
        <w:outlineLvl w:val="0"/>
        <w:rPr>
          <w:rStyle w:val="30"/>
          <w:rFonts w:ascii="Times New Roman" w:hAnsi="Times New Roman"/>
          <w:b w:val="0"/>
          <w:bCs/>
          <w:sz w:val="32"/>
        </w:rPr>
      </w:pPr>
      <w:bookmarkStart w:id="17" w:name="_Toc29965"/>
      <w:r>
        <w:rPr>
          <w:rStyle w:val="30"/>
          <w:rFonts w:hint="eastAsia" w:ascii="Times New Roman" w:hAnsi="Times New Roman"/>
          <w:b w:val="0"/>
          <w:bCs/>
          <w:sz w:val="32"/>
        </w:rPr>
        <w:t>十、其他重要事项的情况说明</w:t>
      </w:r>
      <w:bookmarkEnd w:id="17"/>
    </w:p>
    <w:p>
      <w:pPr>
        <w:pageBreakBefore w:val="0"/>
        <w:widowControl w:val="0"/>
        <w:kinsoku/>
        <w:wordWrap/>
        <w:overflowPunct/>
        <w:topLinePunct w:val="0"/>
        <w:autoSpaceDE/>
        <w:autoSpaceDN/>
        <w:bidi w:val="0"/>
        <w:spacing w:line="560" w:lineRule="exact"/>
        <w:ind w:left="0" w:firstLine="643" w:firstLineChars="200"/>
        <w:jc w:val="both"/>
        <w:textAlignment w:val="auto"/>
        <w:outlineLvl w:val="1"/>
        <w:rPr>
          <w:rStyle w:val="21"/>
          <w:rFonts w:hint="eastAsia" w:ascii="Times New Roman" w:hAnsi="Times New Roman" w:cs="Times New Roman"/>
          <w:kern w:val="2"/>
          <w:szCs w:val="24"/>
          <w:lang w:val="en-US" w:eastAsia="zh-CN" w:bidi="ar-SA"/>
        </w:rPr>
      </w:pPr>
      <w:r>
        <w:rPr>
          <w:rStyle w:val="21"/>
          <w:rFonts w:hint="eastAsia" w:ascii="Times New Roman" w:hAnsi="Times New Roman" w:cs="Times New Roman"/>
          <w:kern w:val="2"/>
          <w:szCs w:val="24"/>
          <w:lang w:val="en-US" w:eastAsia="zh-CN" w:bidi="ar-SA"/>
        </w:rPr>
        <w:t>（一）机关运行经费</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罗江区交通运输</w:t>
      </w:r>
      <w:r>
        <w:rPr>
          <w:rFonts w:hint="eastAsia" w:ascii="Times New Roman" w:hAnsi="Times New Roman" w:eastAsia="仿宋_GB2312"/>
          <w:b w:val="0"/>
          <w:bCs/>
          <w:sz w:val="32"/>
          <w:szCs w:val="32"/>
        </w:rPr>
        <w:t>局下属</w:t>
      </w:r>
      <w:r>
        <w:rPr>
          <w:rFonts w:hint="eastAsia" w:ascii="Times New Roman" w:hAnsi="Times New Roman" w:eastAsia="仿宋_GB2312"/>
          <w:b w:val="0"/>
          <w:bCs/>
          <w:sz w:val="32"/>
          <w:szCs w:val="32"/>
          <w:lang w:eastAsia="zh-CN"/>
        </w:rPr>
        <w:t>交通运输</w:t>
      </w:r>
      <w:r>
        <w:rPr>
          <w:rFonts w:hint="eastAsia" w:ascii="Times New Roman" w:hAnsi="Times New Roman" w:eastAsia="仿宋_GB2312"/>
          <w:b w:val="0"/>
          <w:bCs/>
          <w:sz w:val="32"/>
          <w:szCs w:val="32"/>
        </w:rPr>
        <w:t>局机关</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家行政单位</w:t>
      </w:r>
      <w:r>
        <w:rPr>
          <w:rFonts w:hint="eastAsia" w:ascii="Times New Roman" w:hAnsi="Times New Roman" w:eastAsia="仿宋_GB2312"/>
          <w:b w:val="0"/>
          <w:bCs/>
          <w:sz w:val="32"/>
          <w:szCs w:val="32"/>
          <w:lang w:eastAsia="zh-CN"/>
        </w:rPr>
        <w:t>、罗江区地方海事处和罗江区交通运输综合行政执法大队</w:t>
      </w:r>
      <w:r>
        <w:rPr>
          <w:rFonts w:hint="eastAsia" w:ascii="Times New Roman" w:hAnsi="Times New Roman" w:eastAsia="仿宋_GB2312"/>
          <w:b w:val="0"/>
          <w:bCs/>
          <w:sz w:val="32"/>
          <w:szCs w:val="32"/>
          <w:lang w:val="en-US" w:eastAsia="zh-CN"/>
        </w:rPr>
        <w:t>2家参公单位</w:t>
      </w:r>
      <w:r>
        <w:rPr>
          <w:rFonts w:hint="eastAsia" w:ascii="Times New Roman" w:hAnsi="Times New Roman" w:eastAsia="仿宋_GB2312"/>
          <w:b w:val="0"/>
          <w:bCs/>
          <w:sz w:val="32"/>
          <w:szCs w:val="32"/>
        </w:rPr>
        <w:t>的机关运行经费财政拨款预算为</w:t>
      </w:r>
      <w:r>
        <w:rPr>
          <w:rFonts w:hint="eastAsia" w:ascii="Times New Roman" w:hAnsi="Times New Roman"/>
          <w:b w:val="0"/>
          <w:bCs/>
          <w:sz w:val="32"/>
          <w:szCs w:val="32"/>
          <w:lang w:val="en-US" w:eastAsia="zh-CN"/>
        </w:rPr>
        <w:t>60.51</w:t>
      </w:r>
      <w:r>
        <w:rPr>
          <w:rFonts w:hint="eastAsia" w:ascii="Times New Roman" w:hAnsi="Times New Roman" w:eastAsia="仿宋_GB2312"/>
          <w:b w:val="0"/>
          <w:bCs/>
          <w:sz w:val="32"/>
          <w:szCs w:val="32"/>
        </w:rPr>
        <w:t>万元，比20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3</w:t>
      </w:r>
      <w:r>
        <w:rPr>
          <w:rFonts w:hint="eastAsia" w:ascii="Times New Roman" w:hAnsi="Times New Roman" w:eastAsia="仿宋_GB2312"/>
          <w:b w:val="0"/>
          <w:bCs/>
          <w:sz w:val="32"/>
          <w:szCs w:val="32"/>
        </w:rPr>
        <w:t>年预算</w:t>
      </w:r>
      <w:r>
        <w:rPr>
          <w:rFonts w:hint="eastAsia" w:ascii="Times New Roman" w:hAnsi="Times New Roman" w:eastAsia="仿宋_GB2312"/>
          <w:b w:val="0"/>
          <w:bCs/>
          <w:sz w:val="32"/>
          <w:szCs w:val="32"/>
          <w:lang w:eastAsia="zh-CN"/>
        </w:rPr>
        <w:t>增加</w:t>
      </w:r>
      <w:r>
        <w:rPr>
          <w:rFonts w:hint="eastAsia" w:ascii="Times New Roman" w:hAnsi="Times New Roman"/>
          <w:b w:val="0"/>
          <w:bCs/>
          <w:sz w:val="32"/>
          <w:szCs w:val="32"/>
          <w:lang w:val="en-US" w:eastAsia="zh-CN"/>
        </w:rPr>
        <w:t>5.75</w:t>
      </w:r>
      <w:r>
        <w:rPr>
          <w:rFonts w:hint="eastAsia" w:ascii="Times New Roman" w:hAnsi="Times New Roman" w:eastAsia="仿宋_GB2312"/>
          <w:b w:val="0"/>
          <w:bCs/>
          <w:sz w:val="32"/>
          <w:szCs w:val="32"/>
        </w:rPr>
        <w:t>万元，</w:t>
      </w:r>
      <w:r>
        <w:rPr>
          <w:rFonts w:hint="eastAsia" w:ascii="Times New Roman" w:hAnsi="Times New Roman" w:eastAsia="仿宋_GB2312"/>
          <w:b w:val="0"/>
          <w:bCs/>
          <w:sz w:val="32"/>
          <w:szCs w:val="32"/>
          <w:lang w:eastAsia="zh-CN"/>
        </w:rPr>
        <w:t>增加</w:t>
      </w:r>
      <w:r>
        <w:rPr>
          <w:rFonts w:hint="eastAsia" w:ascii="Times New Roman" w:hAnsi="Times New Roman"/>
          <w:b w:val="0"/>
          <w:bCs/>
          <w:sz w:val="32"/>
          <w:szCs w:val="32"/>
          <w:lang w:val="en-US" w:eastAsia="zh-CN"/>
        </w:rPr>
        <w:t>11</w:t>
      </w:r>
      <w:r>
        <w:rPr>
          <w:rFonts w:hint="eastAsia" w:ascii="Times New Roman" w:hAnsi="Times New Roman" w:eastAsia="仿宋_GB2312"/>
          <w:b w:val="0"/>
          <w:bCs/>
          <w:sz w:val="32"/>
          <w:szCs w:val="32"/>
        </w:rPr>
        <w:t>%</w:t>
      </w:r>
      <w:r>
        <w:rPr>
          <w:rFonts w:hint="eastAsia" w:ascii="Times New Roman" w:hAnsi="Times New Roman" w:eastAsia="仿宋_GB2312"/>
          <w:b w:val="0"/>
          <w:bCs/>
          <w:sz w:val="32"/>
          <w:szCs w:val="32"/>
          <w:lang w:eastAsia="zh-CN"/>
        </w:rPr>
        <w:t>，主要原因是人员增加</w:t>
      </w:r>
      <w:r>
        <w:rPr>
          <w:rFonts w:hint="eastAsia" w:ascii="Times New Roman" w:hAnsi="Times New Roman"/>
          <w:b w:val="0"/>
          <w:bCs/>
          <w:sz w:val="32"/>
          <w:szCs w:val="32"/>
          <w:lang w:eastAsia="zh-CN"/>
        </w:rPr>
        <w:t>和正常增支</w:t>
      </w:r>
      <w:r>
        <w:rPr>
          <w:rFonts w:hint="eastAsia" w:ascii="Times New Roman" w:hAnsi="Times New Roman" w:eastAsia="仿宋_GB2312"/>
          <w:b w:val="0"/>
          <w:bCs/>
          <w:sz w:val="32"/>
          <w:szCs w:val="32"/>
          <w:lang w:val="en-US" w:eastAsia="zh-CN"/>
        </w:rPr>
        <w:t>。</w:t>
      </w:r>
    </w:p>
    <w:p>
      <w:pPr>
        <w:pageBreakBefore w:val="0"/>
        <w:widowControl w:val="0"/>
        <w:kinsoku/>
        <w:wordWrap/>
        <w:overflowPunct/>
        <w:topLinePunct w:val="0"/>
        <w:autoSpaceDE/>
        <w:autoSpaceDN/>
        <w:bidi w:val="0"/>
        <w:spacing w:line="560" w:lineRule="exact"/>
        <w:ind w:left="0" w:firstLine="643" w:firstLineChars="200"/>
        <w:jc w:val="both"/>
        <w:textAlignment w:val="auto"/>
        <w:outlineLvl w:val="1"/>
        <w:rPr>
          <w:rStyle w:val="21"/>
          <w:rFonts w:hint="eastAsia" w:ascii="Times New Roman" w:hAnsi="Times New Roman" w:cs="Times New Roman"/>
          <w:kern w:val="2"/>
          <w:szCs w:val="24"/>
          <w:lang w:val="en-US" w:eastAsia="zh-CN" w:bidi="ar-SA"/>
        </w:rPr>
      </w:pPr>
      <w:r>
        <w:rPr>
          <w:rStyle w:val="21"/>
          <w:rFonts w:hint="eastAsia" w:ascii="Times New Roman" w:hAnsi="Times New Roman" w:cs="Times New Roman"/>
          <w:kern w:val="2"/>
          <w:szCs w:val="24"/>
          <w:lang w:val="en-US" w:eastAsia="zh-CN" w:bidi="ar-SA"/>
        </w:rPr>
        <w:t>（二）政府采购情况</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w:t>
      </w:r>
      <w:r>
        <w:rPr>
          <w:rFonts w:hint="eastAsia" w:ascii="Times New Roman" w:hAnsi="Times New Roman" w:eastAsia="仿宋_GB2312"/>
          <w:b w:val="0"/>
          <w:bCs/>
          <w:sz w:val="32"/>
          <w:szCs w:val="32"/>
          <w:lang w:eastAsia="zh-CN"/>
        </w:rPr>
        <w:t>交通运输</w:t>
      </w:r>
      <w:r>
        <w:rPr>
          <w:rFonts w:hint="eastAsia" w:ascii="Times New Roman" w:hAnsi="Times New Roman" w:eastAsia="仿宋_GB2312"/>
          <w:b w:val="0"/>
          <w:bCs/>
          <w:sz w:val="32"/>
          <w:szCs w:val="32"/>
        </w:rPr>
        <w:t>局安排政府采购预算</w:t>
      </w:r>
      <w:r>
        <w:rPr>
          <w:rFonts w:hint="eastAsia" w:ascii="Times New Roman" w:hAnsi="Times New Roman" w:eastAsia="仿宋_GB2312"/>
          <w:b w:val="0"/>
          <w:bCs/>
          <w:sz w:val="32"/>
          <w:szCs w:val="32"/>
          <w:lang w:val="en-US" w:eastAsia="zh-CN"/>
        </w:rPr>
        <w:t>0.</w:t>
      </w:r>
      <w:r>
        <w:rPr>
          <w:rFonts w:hint="eastAsia" w:ascii="Times New Roman" w:hAnsi="Times New Roman"/>
          <w:b w:val="0"/>
          <w:bCs/>
          <w:sz w:val="32"/>
          <w:szCs w:val="32"/>
          <w:lang w:val="en-US" w:eastAsia="zh-CN"/>
        </w:rPr>
        <w:t>00</w:t>
      </w:r>
      <w:r>
        <w:rPr>
          <w:rFonts w:hint="eastAsia" w:ascii="Times New Roman" w:hAnsi="Times New Roman" w:eastAsia="仿宋_GB2312"/>
          <w:b w:val="0"/>
          <w:bCs/>
          <w:sz w:val="32"/>
          <w:szCs w:val="32"/>
        </w:rPr>
        <w:t>万元</w:t>
      </w:r>
      <w:r>
        <w:rPr>
          <w:rFonts w:hint="eastAsia" w:ascii="Times New Roman" w:hAnsi="Times New Roman"/>
          <w:b w:val="0"/>
          <w:bCs/>
          <w:sz w:val="32"/>
          <w:szCs w:val="32"/>
          <w:lang w:eastAsia="zh-CN"/>
        </w:rPr>
        <w:t>。</w:t>
      </w:r>
    </w:p>
    <w:p>
      <w:pPr>
        <w:pageBreakBefore w:val="0"/>
        <w:widowControl w:val="0"/>
        <w:kinsoku/>
        <w:wordWrap/>
        <w:overflowPunct/>
        <w:topLinePunct w:val="0"/>
        <w:autoSpaceDE/>
        <w:autoSpaceDN/>
        <w:bidi w:val="0"/>
        <w:spacing w:line="560" w:lineRule="exact"/>
        <w:ind w:left="0" w:firstLine="643" w:firstLineChars="200"/>
        <w:jc w:val="both"/>
        <w:textAlignment w:val="auto"/>
        <w:outlineLvl w:val="1"/>
        <w:rPr>
          <w:rStyle w:val="21"/>
          <w:rFonts w:hint="eastAsia" w:ascii="Times New Roman" w:hAnsi="Times New Roman" w:cs="Times New Roman"/>
          <w:kern w:val="2"/>
          <w:szCs w:val="24"/>
          <w:lang w:val="en-US" w:eastAsia="zh-CN" w:bidi="ar-SA"/>
        </w:rPr>
      </w:pPr>
      <w:r>
        <w:rPr>
          <w:rStyle w:val="21"/>
          <w:rFonts w:hint="eastAsia" w:ascii="Times New Roman" w:hAnsi="Times New Roman" w:cs="Times New Roman"/>
          <w:kern w:val="2"/>
          <w:szCs w:val="24"/>
          <w:lang w:val="en-US" w:eastAsia="zh-CN" w:bidi="ar-SA"/>
        </w:rPr>
        <w:t>（三）国有资产占有使用情况</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lang w:val="en-US" w:eastAsia="zh-CN"/>
        </w:rPr>
        <w:t>截止202</w:t>
      </w:r>
      <w:r>
        <w:rPr>
          <w:rFonts w:hint="eastAsia" w:ascii="Times New Roman" w:hAnsi="Times New Roman"/>
          <w:b w:val="0"/>
          <w:bCs/>
          <w:sz w:val="32"/>
          <w:szCs w:val="32"/>
          <w:lang w:val="en-US" w:eastAsia="zh-CN"/>
        </w:rPr>
        <w:t>3</w:t>
      </w:r>
      <w:r>
        <w:rPr>
          <w:rFonts w:hint="eastAsia" w:ascii="Times New Roman" w:hAnsi="Times New Roman" w:eastAsia="仿宋_GB2312"/>
          <w:b w:val="0"/>
          <w:bCs/>
          <w:sz w:val="32"/>
          <w:szCs w:val="32"/>
          <w:lang w:val="en-US" w:eastAsia="zh-CN"/>
        </w:rPr>
        <w:t>年底，罗江区交通运输局单位</w:t>
      </w:r>
      <w:r>
        <w:rPr>
          <w:rFonts w:hint="eastAsia" w:ascii="Times New Roman" w:hAnsi="Times New Roman" w:eastAsia="仿宋_GB2312"/>
          <w:b w:val="0"/>
          <w:bCs/>
          <w:sz w:val="32"/>
          <w:szCs w:val="32"/>
        </w:rPr>
        <w:t>固定资产总额</w:t>
      </w:r>
      <w:r>
        <w:rPr>
          <w:rFonts w:hint="eastAsia" w:ascii="Times New Roman" w:hAnsi="Times New Roman" w:eastAsia="仿宋_GB2312"/>
          <w:b w:val="0"/>
          <w:bCs/>
          <w:sz w:val="32"/>
          <w:szCs w:val="32"/>
          <w:lang w:val="en-US" w:eastAsia="zh-CN"/>
        </w:rPr>
        <w:t>128.99</w:t>
      </w:r>
      <w:r>
        <w:rPr>
          <w:rFonts w:hint="eastAsia" w:ascii="Times New Roman" w:hAnsi="Times New Roman" w:eastAsia="仿宋_GB2312"/>
          <w:b w:val="0"/>
          <w:bCs/>
          <w:sz w:val="32"/>
          <w:szCs w:val="32"/>
        </w:rPr>
        <w:t>万元，其中公务用车</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辆</w:t>
      </w:r>
      <w:r>
        <w:rPr>
          <w:rFonts w:hint="eastAsia" w:ascii="Times New Roman" w:hAnsi="Times New Roman" w:eastAsia="仿宋_GB2312"/>
          <w:b w:val="0"/>
          <w:bCs/>
          <w:sz w:val="32"/>
          <w:szCs w:val="32"/>
          <w:lang w:val="en-US" w:eastAsia="zh-CN"/>
        </w:rPr>
        <w:t>,</w:t>
      </w:r>
      <w:r>
        <w:rPr>
          <w:rFonts w:hint="eastAsia" w:ascii="Times New Roman" w:hAnsi="Times New Roman" w:eastAsia="仿宋_GB2312"/>
          <w:b w:val="0"/>
          <w:bCs/>
          <w:sz w:val="32"/>
          <w:szCs w:val="32"/>
        </w:rPr>
        <w:t>实有公务用车</w:t>
      </w:r>
      <w:r>
        <w:rPr>
          <w:rFonts w:hint="eastAsia" w:ascii="Times New Roman" w:hAnsi="Times New Roman" w:eastAsia="仿宋_GB2312"/>
          <w:b w:val="0"/>
          <w:bCs/>
          <w:sz w:val="32"/>
          <w:szCs w:val="32"/>
          <w:lang w:val="en-US" w:eastAsia="zh-CN"/>
        </w:rPr>
        <w:t>1</w:t>
      </w:r>
      <w:r>
        <w:rPr>
          <w:rFonts w:hint="eastAsia" w:ascii="Times New Roman" w:hAnsi="Times New Roman" w:eastAsia="仿宋_GB2312"/>
          <w:b w:val="0"/>
          <w:bCs/>
          <w:sz w:val="32"/>
          <w:szCs w:val="32"/>
        </w:rPr>
        <w:t>辆。</w:t>
      </w:r>
    </w:p>
    <w:p>
      <w:pPr>
        <w:pageBreakBefore w:val="0"/>
        <w:widowControl w:val="0"/>
        <w:kinsoku/>
        <w:wordWrap/>
        <w:overflowPunct/>
        <w:topLinePunct w:val="0"/>
        <w:autoSpaceDE/>
        <w:autoSpaceDN/>
        <w:bidi w:val="0"/>
        <w:spacing w:line="560" w:lineRule="exact"/>
        <w:ind w:left="0" w:firstLine="640" w:firstLineChars="200"/>
        <w:jc w:val="both"/>
        <w:textAlignment w:val="auto"/>
        <w:rPr>
          <w:rFonts w:ascii="Times New Roman" w:hAnsi="Times New Roman" w:eastAsia="仿宋_GB2312"/>
          <w:b w:val="0"/>
          <w:bCs/>
          <w:sz w:val="32"/>
          <w:szCs w:val="32"/>
        </w:rPr>
      </w:pPr>
      <w:r>
        <w:rPr>
          <w:rFonts w:hint="eastAsia" w:ascii="Times New Roman" w:hAnsi="Times New Roman" w:eastAsia="仿宋_GB2312"/>
          <w:b w:val="0"/>
          <w:bCs/>
          <w:sz w:val="32"/>
          <w:szCs w:val="32"/>
        </w:rPr>
        <w:t>20</w:t>
      </w:r>
      <w:r>
        <w:rPr>
          <w:rFonts w:hint="eastAsia" w:ascii="Times New Roman" w:hAnsi="Times New Roman" w:eastAsia="仿宋_GB2312"/>
          <w:b w:val="0"/>
          <w:bCs/>
          <w:sz w:val="32"/>
          <w:szCs w:val="32"/>
          <w:lang w:val="en-US" w:eastAsia="zh-CN"/>
        </w:rPr>
        <w:t>2</w:t>
      </w:r>
      <w:r>
        <w:rPr>
          <w:rFonts w:hint="eastAsia" w:ascii="Times New Roman" w:hAnsi="Times New Roman"/>
          <w:b w:val="0"/>
          <w:bCs/>
          <w:sz w:val="32"/>
          <w:szCs w:val="32"/>
          <w:lang w:val="en-US" w:eastAsia="zh-CN"/>
        </w:rPr>
        <w:t>4</w:t>
      </w:r>
      <w:r>
        <w:rPr>
          <w:rFonts w:hint="eastAsia" w:ascii="Times New Roman" w:hAnsi="Times New Roman" w:eastAsia="仿宋_GB2312"/>
          <w:b w:val="0"/>
          <w:bCs/>
          <w:sz w:val="32"/>
          <w:szCs w:val="32"/>
        </w:rPr>
        <w:t>年部门预算未安排购置车辆及单位价值200万元以上大型设备。</w:t>
      </w:r>
    </w:p>
    <w:p>
      <w:pPr>
        <w:pageBreakBefore w:val="0"/>
        <w:widowControl w:val="0"/>
        <w:kinsoku/>
        <w:wordWrap/>
        <w:overflowPunct/>
        <w:topLinePunct w:val="0"/>
        <w:autoSpaceDE/>
        <w:autoSpaceDN/>
        <w:bidi w:val="0"/>
        <w:spacing w:line="560" w:lineRule="exact"/>
        <w:ind w:left="0" w:firstLine="643" w:firstLineChars="200"/>
        <w:jc w:val="both"/>
        <w:textAlignment w:val="auto"/>
        <w:outlineLvl w:val="1"/>
        <w:rPr>
          <w:rStyle w:val="21"/>
          <w:rFonts w:hint="eastAsia" w:ascii="Times New Roman" w:hAnsi="Times New Roman" w:cs="Times New Roman"/>
          <w:kern w:val="2"/>
          <w:szCs w:val="24"/>
          <w:lang w:val="en-US" w:eastAsia="zh-CN" w:bidi="ar-SA"/>
        </w:rPr>
      </w:pPr>
      <w:r>
        <w:rPr>
          <w:rStyle w:val="21"/>
          <w:rFonts w:hint="eastAsia" w:ascii="Times New Roman" w:hAnsi="Times New Roman" w:cs="Times New Roman"/>
          <w:kern w:val="2"/>
          <w:szCs w:val="24"/>
          <w:lang w:val="en-US" w:eastAsia="zh-CN" w:bidi="ar-SA"/>
        </w:rPr>
        <w:t>（四）绩效目标设置情况</w:t>
      </w:r>
    </w:p>
    <w:p>
      <w:pPr>
        <w:bidi w:val="0"/>
      </w:pPr>
      <w:r>
        <w:rPr>
          <w:rFonts w:hint="eastAsia"/>
        </w:rPr>
        <w:t>20</w:t>
      </w:r>
      <w:r>
        <w:rPr>
          <w:rFonts w:hint="eastAsia"/>
          <w:lang w:val="en-US" w:eastAsia="zh-CN"/>
        </w:rPr>
        <w:t>24</w:t>
      </w:r>
      <w:r>
        <w:rPr>
          <w:rFonts w:hint="eastAsia"/>
        </w:rPr>
        <w:t>年</w:t>
      </w:r>
      <w:r>
        <w:rPr>
          <w:rFonts w:hint="eastAsia"/>
          <w:lang w:eastAsia="zh-CN"/>
        </w:rPr>
        <w:t>罗江区交通运输</w:t>
      </w:r>
      <w:r>
        <w:rPr>
          <w:rFonts w:hint="eastAsia"/>
        </w:rPr>
        <w:t>局部门通用项目和专用项目均按要求实行绩效目标管理，</w:t>
      </w:r>
      <w:r>
        <w:rPr>
          <w:rFonts w:hint="eastAsia"/>
          <w:lang w:eastAsia="zh-CN"/>
        </w:rPr>
        <w:t>本年未安排有项目资金，</w:t>
      </w:r>
      <w:r>
        <w:rPr>
          <w:rFonts w:hint="eastAsia"/>
        </w:rPr>
        <w:t>涉及一般公共预算当年拨款</w:t>
      </w:r>
      <w:r>
        <w:rPr>
          <w:rFonts w:hint="eastAsia"/>
          <w:lang w:eastAsia="zh-CN"/>
        </w:rPr>
        <w:t>项目</w:t>
      </w:r>
      <w:r>
        <w:rPr>
          <w:rFonts w:hint="eastAsia"/>
          <w:lang w:val="en-US" w:eastAsia="zh-CN"/>
        </w:rPr>
        <w:t>0</w:t>
      </w:r>
      <w:r>
        <w:rPr>
          <w:rFonts w:hint="eastAsia"/>
        </w:rPr>
        <w:t>万元。</w:t>
      </w:r>
    </w:p>
    <w:p>
      <w:pPr>
        <w:pageBreakBefore w:val="0"/>
        <w:widowControl w:val="0"/>
        <w:kinsoku/>
        <w:wordWrap/>
        <w:overflowPunct/>
        <w:topLinePunct w:val="0"/>
        <w:autoSpaceDE/>
        <w:autoSpaceDN/>
        <w:bidi w:val="0"/>
        <w:spacing w:line="560" w:lineRule="exact"/>
        <w:ind w:left="0" w:firstLine="640" w:firstLineChars="200"/>
        <w:jc w:val="both"/>
        <w:textAlignment w:val="auto"/>
        <w:outlineLvl w:val="0"/>
        <w:rPr>
          <w:rFonts w:ascii="Times New Roman" w:hAnsi="Times New Roman" w:eastAsia="仿宋_GB2312"/>
          <w:b w:val="0"/>
          <w:bCs/>
          <w:sz w:val="32"/>
          <w:szCs w:val="32"/>
        </w:rPr>
      </w:pPr>
      <w:bookmarkStart w:id="18" w:name="_Toc19496"/>
      <w:r>
        <w:rPr>
          <w:rStyle w:val="30"/>
          <w:rFonts w:hint="eastAsia" w:ascii="Times New Roman" w:hAnsi="Times New Roman"/>
          <w:b w:val="0"/>
          <w:bCs/>
          <w:sz w:val="32"/>
        </w:rPr>
        <w:t>十</w:t>
      </w:r>
      <w:r>
        <w:rPr>
          <w:rStyle w:val="30"/>
          <w:rFonts w:hint="eastAsia" w:ascii="Times New Roman" w:hAnsi="Times New Roman"/>
          <w:b w:val="0"/>
          <w:bCs/>
          <w:sz w:val="32"/>
          <w:lang w:eastAsia="zh-CN"/>
        </w:rPr>
        <w:t>一</w:t>
      </w:r>
      <w:r>
        <w:rPr>
          <w:rStyle w:val="30"/>
          <w:rFonts w:hint="eastAsia" w:ascii="Times New Roman" w:hAnsi="Times New Roman"/>
          <w:b w:val="0"/>
          <w:bCs/>
          <w:sz w:val="32"/>
        </w:rPr>
        <w:t>、名词解释</w:t>
      </w:r>
      <w:bookmarkEnd w:id="18"/>
    </w:p>
    <w:p>
      <w:pPr>
        <w:pStyle w:val="5"/>
        <w:pageBreakBefore w:val="0"/>
        <w:widowControl w:val="0"/>
        <w:kinsoku/>
        <w:wordWrap/>
        <w:overflowPunct/>
        <w:topLinePunct w:val="0"/>
        <w:autoSpaceDE/>
        <w:autoSpaceDN/>
        <w:bidi w:val="0"/>
        <w:spacing w:line="560" w:lineRule="exact"/>
        <w:ind w:left="0" w:firstLine="643" w:firstLineChars="200"/>
        <w:jc w:val="both"/>
        <w:textAlignment w:val="auto"/>
        <w:outlineLvl w:val="1"/>
        <w:rPr>
          <w:rFonts w:hint="eastAsia" w:ascii="Times New Roman" w:hAnsi="Times New Roman"/>
          <w:b w:val="0"/>
          <w:bCs/>
          <w:sz w:val="32"/>
        </w:rPr>
      </w:pPr>
      <w:r>
        <w:rPr>
          <w:rStyle w:val="21"/>
          <w:rFonts w:hint="eastAsia"/>
          <w:lang w:val="en-US" w:eastAsia="zh-CN"/>
        </w:rPr>
        <w:t>（一）一般公共预算拨款收入：</w:t>
      </w:r>
      <w:r>
        <w:rPr>
          <w:rFonts w:hint="eastAsia" w:ascii="Times New Roman" w:hAnsi="Times New Roman"/>
          <w:b w:val="0"/>
          <w:bCs/>
          <w:sz w:val="32"/>
        </w:rPr>
        <w:t>指区级财政当年拨付的资金。</w:t>
      </w:r>
    </w:p>
    <w:p>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Style w:val="21"/>
          <w:rFonts w:hint="eastAsia" w:ascii="Times New Roman" w:hAnsi="Times New Roman"/>
          <w:lang w:val="en-US" w:eastAsia="zh-CN"/>
        </w:rPr>
        <w:t>（二）上年结转：</w:t>
      </w:r>
      <w:r>
        <w:rPr>
          <w:rFonts w:hint="eastAsia" w:ascii="Times New Roman" w:hAnsi="Times New Roman"/>
          <w:b w:val="0"/>
          <w:bCs/>
          <w:sz w:val="32"/>
        </w:rPr>
        <w:t>指以前年度尚未完成、结转到本年仍按原规定用途继续使用的资金。</w:t>
      </w:r>
    </w:p>
    <w:p>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Style w:val="21"/>
          <w:rFonts w:hint="eastAsia" w:ascii="Times New Roman" w:hAnsi="Times New Roman"/>
          <w:lang w:val="en-US" w:eastAsia="zh-CN"/>
        </w:rPr>
        <w:t>（三）基本支出：</w:t>
      </w:r>
      <w:r>
        <w:rPr>
          <w:rFonts w:hint="eastAsia" w:ascii="Times New Roman" w:hAnsi="Times New Roman"/>
          <w:b w:val="0"/>
          <w:bCs/>
          <w:sz w:val="32"/>
        </w:rPr>
        <w:t>指为保障机构正常运转、完成日常工作任务所必需的人员经费和日常公用经费。</w:t>
      </w:r>
    </w:p>
    <w:p>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Style w:val="21"/>
          <w:rFonts w:hint="eastAsia" w:ascii="Times New Roman" w:hAnsi="Times New Roman"/>
          <w:lang w:val="en-US" w:eastAsia="zh-CN"/>
        </w:rPr>
        <w:t>（四）项目支出：</w:t>
      </w:r>
      <w:r>
        <w:rPr>
          <w:rFonts w:hint="eastAsia" w:ascii="Times New Roman" w:hAnsi="Times New Roman"/>
          <w:b w:val="0"/>
          <w:bCs/>
          <w:sz w:val="32"/>
        </w:rPr>
        <w:t>指在基本支出之外，为完成特定的行政工作任务或事业发展目标所发生的支出。</w:t>
      </w:r>
    </w:p>
    <w:p>
      <w:pPr>
        <w:pStyle w:val="5"/>
        <w:pageBreakBefore w:val="0"/>
        <w:widowControl w:val="0"/>
        <w:kinsoku/>
        <w:wordWrap/>
        <w:overflowPunct/>
        <w:topLinePunct w:val="0"/>
        <w:autoSpaceDE/>
        <w:autoSpaceDN/>
        <w:bidi w:val="0"/>
        <w:spacing w:line="560" w:lineRule="exact"/>
        <w:ind w:left="0" w:firstLine="643" w:firstLineChars="200"/>
        <w:jc w:val="both"/>
        <w:textAlignment w:val="auto"/>
        <w:rPr>
          <w:rFonts w:hint="eastAsia" w:ascii="Times New Roman" w:hAnsi="Times New Roman"/>
          <w:b w:val="0"/>
          <w:bCs/>
          <w:sz w:val="32"/>
        </w:rPr>
      </w:pPr>
      <w:r>
        <w:rPr>
          <w:rStyle w:val="21"/>
          <w:rFonts w:hint="eastAsia" w:ascii="Times New Roman" w:hAnsi="Times New Roman"/>
          <w:lang w:val="en-US" w:eastAsia="zh-CN"/>
        </w:rPr>
        <w:t>（五）“三公”经费：</w:t>
      </w:r>
      <w:r>
        <w:rPr>
          <w:rFonts w:hint="eastAsia" w:ascii="Times New Roman" w:hAnsi="Times New Roman"/>
          <w:b w:val="0"/>
          <w:bCs/>
          <w:sz w:val="32"/>
        </w:rPr>
        <w:t>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5"/>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rPr>
      </w:pPr>
    </w:p>
    <w:p>
      <w:pPr>
        <w:pStyle w:val="5"/>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rPr>
      </w:pPr>
      <w:bookmarkStart w:id="19" w:name="_Toc23322_WPSOffice_Level1"/>
      <w:bookmarkStart w:id="20" w:name="_Toc14204_WPSOffice_Level1"/>
      <w:bookmarkStart w:id="21" w:name="_Toc16494_WPSOffice_Level1"/>
      <w:bookmarkStart w:id="22" w:name="_Toc27532_WPSOffice_Level1"/>
      <w:r>
        <w:rPr>
          <w:rFonts w:hint="eastAsia" w:ascii="Times New Roman" w:hAnsi="Times New Roman"/>
          <w:b w:val="0"/>
          <w:bCs/>
          <w:sz w:val="32"/>
        </w:rPr>
        <w:t xml:space="preserve">附件： </w:t>
      </w:r>
      <w:r>
        <w:rPr>
          <w:rFonts w:hint="eastAsia" w:ascii="Times New Roman" w:hAnsi="Times New Roman"/>
          <w:b w:val="0"/>
          <w:bCs/>
          <w:sz w:val="32"/>
          <w:lang w:val="en-US" w:eastAsia="zh-CN"/>
        </w:rPr>
        <w:t>1.</w:t>
      </w:r>
      <w:r>
        <w:rPr>
          <w:rFonts w:hint="eastAsia" w:ascii="Times New Roman" w:hAnsi="Times New Roman"/>
          <w:b w:val="0"/>
          <w:bCs/>
          <w:sz w:val="32"/>
        </w:rPr>
        <w:t>罗江区</w:t>
      </w:r>
      <w:r>
        <w:rPr>
          <w:rFonts w:hint="eastAsia" w:ascii="Times New Roman" w:hAnsi="Times New Roman"/>
          <w:b w:val="0"/>
          <w:bCs/>
          <w:sz w:val="32"/>
          <w:lang w:eastAsia="zh-CN"/>
        </w:rPr>
        <w:t>交通运输</w:t>
      </w:r>
      <w:r>
        <w:rPr>
          <w:rFonts w:hint="eastAsia" w:ascii="Times New Roman" w:hAnsi="Times New Roman"/>
          <w:b w:val="0"/>
          <w:bCs/>
          <w:sz w:val="32"/>
        </w:rPr>
        <w:t>局20</w:t>
      </w:r>
      <w:r>
        <w:rPr>
          <w:rFonts w:hint="eastAsia" w:ascii="Times New Roman" w:hAnsi="Times New Roman"/>
          <w:b w:val="0"/>
          <w:bCs/>
          <w:sz w:val="32"/>
          <w:lang w:val="en-US" w:eastAsia="zh-CN"/>
        </w:rPr>
        <w:t>24</w:t>
      </w:r>
      <w:r>
        <w:rPr>
          <w:rFonts w:hint="eastAsia" w:ascii="Times New Roman" w:hAnsi="Times New Roman"/>
          <w:b w:val="0"/>
          <w:bCs/>
          <w:sz w:val="32"/>
        </w:rPr>
        <w:t>年部门预算</w:t>
      </w:r>
      <w:r>
        <w:rPr>
          <w:rFonts w:hint="eastAsia" w:ascii="Times New Roman" w:hAnsi="Times New Roman"/>
          <w:b w:val="0"/>
          <w:bCs/>
          <w:sz w:val="32"/>
          <w:lang w:eastAsia="zh-CN"/>
        </w:rPr>
        <w:t>公开</w:t>
      </w:r>
      <w:r>
        <w:rPr>
          <w:rFonts w:hint="eastAsia" w:ascii="Times New Roman" w:hAnsi="Times New Roman"/>
          <w:b w:val="0"/>
          <w:bCs/>
          <w:sz w:val="32"/>
        </w:rPr>
        <w:t>表</w:t>
      </w:r>
      <w:bookmarkEnd w:id="19"/>
      <w:bookmarkEnd w:id="20"/>
      <w:bookmarkEnd w:id="21"/>
      <w:bookmarkEnd w:id="22"/>
      <w:r>
        <w:rPr>
          <w:rFonts w:hint="eastAsia" w:ascii="Times New Roman" w:hAnsi="Times New Roman"/>
          <w:b w:val="0"/>
          <w:bCs/>
          <w:sz w:val="32"/>
        </w:rPr>
        <w:t xml:space="preserve"> </w:t>
      </w:r>
    </w:p>
    <w:p>
      <w:pPr>
        <w:pStyle w:val="5"/>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Times New Roman" w:hAnsi="Times New Roman"/>
          <w:b w:val="0"/>
          <w:bCs/>
          <w:sz w:val="32"/>
        </w:rPr>
      </w:pPr>
      <w:r>
        <w:rPr>
          <w:rFonts w:hint="eastAsia" w:ascii="Times New Roman" w:hAnsi="Times New Roman"/>
          <w:b w:val="0"/>
          <w:bCs/>
          <w:sz w:val="32"/>
          <w:lang w:val="en-US" w:eastAsia="zh-CN"/>
        </w:rPr>
        <w:t xml:space="preserve">       </w:t>
      </w:r>
      <w:bookmarkStart w:id="23" w:name="_Toc32524_WPSOffice_Level1"/>
      <w:bookmarkStart w:id="24" w:name="_Toc8870_WPSOffice_Level1"/>
      <w:bookmarkStart w:id="25" w:name="_Toc27760_WPSOffice_Level1"/>
      <w:bookmarkStart w:id="26" w:name="_Toc4529_WPSOffice_Level1"/>
      <w:r>
        <w:rPr>
          <w:rFonts w:hint="eastAsia" w:ascii="Times New Roman" w:hAnsi="Times New Roman"/>
          <w:b w:val="0"/>
          <w:bCs/>
          <w:sz w:val="32"/>
          <w:lang w:val="en-US" w:eastAsia="zh-CN"/>
        </w:rPr>
        <w:t>2.部门预算项目支出绩效目标公开表</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val="0"/>
          <w:bCs/>
          <w:sz w:val="32"/>
          <w:szCs w:val="32"/>
        </w:rPr>
      </w:pPr>
      <w:bookmarkStart w:id="27" w:name="_Toc7854_WPSOffice_Level1"/>
      <w:bookmarkStart w:id="28" w:name="_Toc23215_WPSOffice_Level1"/>
      <w:bookmarkStart w:id="29" w:name="_Toc14774_WPSOffice_Level1"/>
      <w:bookmarkStart w:id="30" w:name="_Toc31992_WPSOffice_Level1"/>
    </w:p>
    <w:p>
      <w:pPr>
        <w:pStyle w:val="3"/>
        <w:bidi w:val="0"/>
        <w:outlineLvl w:val="9"/>
        <w:rPr>
          <w:rFonts w:hint="eastAsia"/>
        </w:rPr>
      </w:pPr>
    </w:p>
    <w:p>
      <w:pPr>
        <w:pStyle w:val="3"/>
        <w:bidi w:val="0"/>
        <w:outlineLvl w:val="9"/>
        <w:rPr>
          <w:rFonts w:hint="eastAsia"/>
        </w:rPr>
      </w:pPr>
    </w:p>
    <w:p>
      <w:pPr>
        <w:pStyle w:val="3"/>
        <w:bidi w:val="0"/>
        <w:outlineLvl w:val="9"/>
        <w:rPr>
          <w:rFonts w:hint="eastAsia"/>
        </w:rPr>
      </w:pPr>
    </w:p>
    <w:p>
      <w:pPr>
        <w:pStyle w:val="3"/>
        <w:bidi w:val="0"/>
        <w:outlineLvl w:val="9"/>
        <w:rPr>
          <w:rFonts w:hint="eastAsia"/>
        </w:rPr>
      </w:pPr>
    </w:p>
    <w:p>
      <w:pPr>
        <w:pStyle w:val="3"/>
        <w:bidi w:val="0"/>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仿宋_GB2312"/>
          <w:sz w:val="32"/>
          <w:szCs w:val="32"/>
          <w:lang w:eastAsia="zh-CN"/>
        </w:rPr>
      </w:pPr>
      <w:bookmarkStart w:id="89" w:name="_GoBack"/>
      <w:bookmarkEnd w:id="89"/>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年部门预算</w:t>
      </w:r>
      <w:r>
        <w:rPr>
          <w:rFonts w:hint="eastAsia" w:ascii="Times New Roman" w:hAnsi="Times New Roman" w:eastAsia="仿宋_GB2312"/>
          <w:sz w:val="32"/>
          <w:szCs w:val="32"/>
          <w:lang w:eastAsia="zh-CN"/>
        </w:rPr>
        <w:t>公开</w:t>
      </w:r>
      <w:r>
        <w:rPr>
          <w:rFonts w:hint="eastAsia" w:ascii="Times New Roman" w:hAnsi="Times New Roman" w:eastAsia="仿宋_GB2312"/>
          <w:sz w:val="32"/>
          <w:szCs w:val="32"/>
        </w:rPr>
        <w:t>表</w:t>
      </w:r>
      <w:r>
        <w:rPr>
          <w:rFonts w:hint="eastAsia" w:ascii="Times New Roman" w:hAnsi="Times New Roman" w:eastAsia="仿宋_GB2312"/>
          <w:sz w:val="32"/>
          <w:szCs w:val="32"/>
          <w:lang w:eastAsia="zh-CN"/>
        </w:rPr>
        <w:t>目录</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lang w:eastAsia="zh-CN"/>
        </w:rPr>
      </w:pPr>
      <w:bookmarkStart w:id="31" w:name="_Toc19109_WPSOffice_Level1"/>
      <w:bookmarkStart w:id="32" w:name="_Toc756_WPSOffice_Level1"/>
      <w:bookmarkStart w:id="33" w:name="_Toc32669_WPSOffice_Level1"/>
      <w:bookmarkStart w:id="34" w:name="_Toc26411_WPSOffice_Level1"/>
      <w:r>
        <w:rPr>
          <w:rFonts w:hint="eastAsia" w:ascii="仿宋_GB2312" w:hAnsi="仿宋_GB2312" w:eastAsia="仿宋_GB2312"/>
          <w:sz w:val="32"/>
          <w:szCs w:val="32"/>
          <w:lang w:eastAsia="zh-CN"/>
        </w:rPr>
        <w:t>部门收支总表</w:t>
      </w:r>
      <w:bookmarkEnd w:id="31"/>
      <w:bookmarkEnd w:id="32"/>
      <w:bookmarkEnd w:id="33"/>
      <w:bookmarkEnd w:id="34"/>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lang w:eastAsia="zh-CN"/>
        </w:rPr>
      </w:pPr>
      <w:bookmarkStart w:id="35" w:name="_Toc32524_WPSOffice_Level2"/>
      <w:bookmarkStart w:id="36" w:name="_Toc4529_WPSOffice_Level2"/>
      <w:bookmarkStart w:id="37" w:name="_Toc27760_WPSOffice_Level2"/>
      <w:bookmarkStart w:id="38" w:name="_Toc8870_WPSOffice_Level2"/>
      <w:r>
        <w:rPr>
          <w:rFonts w:hint="eastAsia" w:ascii="仿宋_GB2312" w:hAnsi="仿宋_GB2312" w:eastAsia="仿宋_GB2312"/>
          <w:sz w:val="32"/>
          <w:szCs w:val="32"/>
          <w:lang w:eastAsia="zh-CN"/>
        </w:rPr>
        <w:t>部门收入总表</w:t>
      </w:r>
      <w:bookmarkEnd w:id="35"/>
      <w:bookmarkEnd w:id="36"/>
      <w:bookmarkEnd w:id="37"/>
      <w:bookmarkEnd w:id="38"/>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lang w:eastAsia="zh-CN"/>
        </w:rPr>
      </w:pPr>
      <w:bookmarkStart w:id="39" w:name="_Toc14774_WPSOffice_Level2"/>
      <w:bookmarkStart w:id="40" w:name="_Toc7854_WPSOffice_Level2"/>
      <w:bookmarkStart w:id="41" w:name="_Toc31992_WPSOffice_Level2"/>
      <w:bookmarkStart w:id="42" w:name="_Toc23215_WPSOffice_Level2"/>
      <w:r>
        <w:rPr>
          <w:rFonts w:hint="eastAsia" w:ascii="仿宋_GB2312" w:hAnsi="仿宋_GB2312" w:eastAsia="仿宋_GB2312"/>
          <w:sz w:val="32"/>
          <w:szCs w:val="32"/>
          <w:lang w:eastAsia="zh-CN"/>
        </w:rPr>
        <w:t>部门支出总表</w:t>
      </w:r>
      <w:bookmarkEnd w:id="39"/>
      <w:bookmarkEnd w:id="40"/>
      <w:bookmarkEnd w:id="41"/>
      <w:bookmarkEnd w:id="42"/>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sz w:val="32"/>
          <w:szCs w:val="32"/>
          <w:lang w:val="en-US" w:eastAsia="zh-CN"/>
        </w:rPr>
      </w:pPr>
      <w:bookmarkStart w:id="43" w:name="_Toc5049_WPSOffice_Level1"/>
      <w:bookmarkStart w:id="44" w:name="_Toc5478_WPSOffice_Level1"/>
      <w:bookmarkStart w:id="45" w:name="_Toc6744_WPSOffice_Level1"/>
      <w:bookmarkStart w:id="46" w:name="_Toc20973_WPSOffice_Level1"/>
      <w:r>
        <w:rPr>
          <w:rFonts w:hint="eastAsia" w:ascii="仿宋_GB2312" w:hAnsi="仿宋_GB2312" w:eastAsia="仿宋_GB2312"/>
          <w:sz w:val="32"/>
          <w:szCs w:val="32"/>
          <w:lang w:val="en-US" w:eastAsia="zh-CN"/>
        </w:rPr>
        <w:t>财政拨款收支预算总表</w:t>
      </w:r>
      <w:bookmarkEnd w:id="43"/>
      <w:bookmarkEnd w:id="44"/>
      <w:bookmarkEnd w:id="45"/>
      <w:bookmarkEnd w:id="46"/>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sz w:val="32"/>
          <w:szCs w:val="32"/>
          <w:lang w:val="en-US" w:eastAsia="zh-CN"/>
        </w:rPr>
      </w:pPr>
      <w:bookmarkStart w:id="47" w:name="_Toc756_WPSOffice_Level2"/>
      <w:bookmarkStart w:id="48" w:name="_Toc19109_WPSOffice_Level2"/>
      <w:bookmarkStart w:id="49" w:name="_Toc26411_WPSOffice_Level2"/>
      <w:bookmarkStart w:id="50" w:name="_Toc32669_WPSOffice_Level2"/>
      <w:r>
        <w:rPr>
          <w:rFonts w:hint="eastAsia" w:ascii="仿宋_GB2312" w:hAnsi="仿宋_GB2312" w:eastAsia="仿宋_GB2312"/>
          <w:sz w:val="32"/>
          <w:szCs w:val="32"/>
          <w:lang w:val="en-US" w:eastAsia="zh-CN"/>
        </w:rPr>
        <w:t>财政拨款支出预算表（政府经济分类科目）</w:t>
      </w:r>
      <w:bookmarkEnd w:id="47"/>
      <w:bookmarkEnd w:id="48"/>
      <w:bookmarkEnd w:id="49"/>
      <w:bookmarkEnd w:id="50"/>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sz w:val="32"/>
          <w:szCs w:val="32"/>
          <w:lang w:val="en-US" w:eastAsia="zh-CN"/>
        </w:rPr>
      </w:pPr>
      <w:bookmarkStart w:id="51" w:name="_Toc7532_WPSOffice_Level1"/>
      <w:bookmarkStart w:id="52" w:name="_Toc5278_WPSOffice_Level1"/>
      <w:bookmarkStart w:id="53" w:name="_Toc531_WPSOffice_Level1"/>
      <w:bookmarkStart w:id="54" w:name="_Toc19766_WPSOffice_Level1"/>
      <w:r>
        <w:rPr>
          <w:rFonts w:hint="eastAsia" w:ascii="仿宋_GB2312" w:hAnsi="仿宋_GB2312" w:eastAsia="仿宋_GB2312"/>
          <w:sz w:val="32"/>
          <w:szCs w:val="32"/>
          <w:lang w:val="en-US" w:eastAsia="zh-CN"/>
        </w:rPr>
        <w:t>一般公共预算支出预算表</w:t>
      </w:r>
      <w:bookmarkEnd w:id="51"/>
      <w:bookmarkEnd w:id="52"/>
      <w:bookmarkEnd w:id="53"/>
      <w:bookmarkEnd w:id="54"/>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sz w:val="32"/>
          <w:szCs w:val="32"/>
          <w:lang w:val="en-US" w:eastAsia="zh-CN"/>
        </w:rPr>
      </w:pPr>
      <w:bookmarkStart w:id="55" w:name="_Toc6744_WPSOffice_Level2"/>
      <w:bookmarkStart w:id="56" w:name="_Toc20973_WPSOffice_Level2"/>
      <w:bookmarkStart w:id="57" w:name="_Toc5478_WPSOffice_Level2"/>
      <w:bookmarkStart w:id="58" w:name="_Toc5049_WPSOffice_Level2"/>
      <w:r>
        <w:rPr>
          <w:rFonts w:hint="eastAsia" w:ascii="仿宋_GB2312" w:hAnsi="仿宋_GB2312" w:eastAsia="仿宋_GB2312"/>
          <w:sz w:val="32"/>
          <w:szCs w:val="32"/>
          <w:lang w:val="en-US" w:eastAsia="zh-CN"/>
        </w:rPr>
        <w:t>一般公共预算基本支出预算表</w:t>
      </w:r>
      <w:bookmarkEnd w:id="55"/>
      <w:bookmarkEnd w:id="56"/>
      <w:bookmarkEnd w:id="57"/>
      <w:bookmarkEnd w:id="58"/>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sz w:val="32"/>
          <w:szCs w:val="32"/>
          <w:lang w:val="en-US" w:eastAsia="zh-CN"/>
        </w:rPr>
      </w:pPr>
      <w:bookmarkStart w:id="59" w:name="_Toc5278_WPSOffice_Level2"/>
      <w:bookmarkStart w:id="60" w:name="_Toc531_WPSOffice_Level2"/>
      <w:bookmarkStart w:id="61" w:name="_Toc19766_WPSOffice_Level2"/>
      <w:bookmarkStart w:id="62" w:name="_Toc7532_WPSOffice_Level2"/>
      <w:r>
        <w:rPr>
          <w:rFonts w:hint="default" w:ascii="仿宋_GB2312" w:hAnsi="仿宋_GB2312" w:eastAsia="仿宋_GB2312"/>
          <w:sz w:val="32"/>
          <w:szCs w:val="32"/>
          <w:lang w:val="en-US" w:eastAsia="zh-CN"/>
        </w:rPr>
        <w:t>一般公共预算项目支出预算表</w:t>
      </w:r>
      <w:bookmarkEnd w:id="59"/>
      <w:bookmarkEnd w:id="60"/>
      <w:bookmarkEnd w:id="61"/>
      <w:bookmarkEnd w:id="62"/>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sz w:val="32"/>
          <w:szCs w:val="32"/>
          <w:lang w:val="en-US" w:eastAsia="zh-CN"/>
        </w:rPr>
      </w:pPr>
      <w:bookmarkStart w:id="63" w:name="_Toc23651_WPSOffice_Level2"/>
      <w:bookmarkStart w:id="64" w:name="_Toc10718_WPSOffice_Level2"/>
      <w:bookmarkStart w:id="65" w:name="_Toc14041_WPSOffice_Level2"/>
      <w:bookmarkStart w:id="66" w:name="_Toc18557_WPSOffice_Level2"/>
      <w:r>
        <w:rPr>
          <w:rFonts w:hint="default" w:ascii="仿宋_GB2312" w:hAnsi="仿宋_GB2312" w:eastAsia="仿宋_GB2312"/>
          <w:sz w:val="32"/>
          <w:szCs w:val="32"/>
          <w:lang w:val="en-US" w:eastAsia="zh-CN"/>
        </w:rPr>
        <w:t>一般公共预算“三公”经费支出预算表</w:t>
      </w:r>
      <w:bookmarkEnd w:id="63"/>
      <w:bookmarkEnd w:id="64"/>
      <w:bookmarkEnd w:id="65"/>
      <w:bookmarkEnd w:id="66"/>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sz w:val="32"/>
          <w:szCs w:val="32"/>
          <w:lang w:val="en-US" w:eastAsia="zh-CN"/>
        </w:rPr>
      </w:pPr>
      <w:bookmarkStart w:id="67" w:name="_Toc18557_WPSOffice_Level1"/>
      <w:bookmarkStart w:id="68" w:name="_Toc10718_WPSOffice_Level1"/>
      <w:bookmarkStart w:id="69" w:name="_Toc14041_WPSOffice_Level1"/>
      <w:bookmarkStart w:id="70" w:name="_Toc23651_WPSOffice_Level1"/>
      <w:r>
        <w:rPr>
          <w:rFonts w:hint="eastAsia" w:ascii="仿宋_GB2312" w:hAnsi="仿宋_GB2312" w:eastAsia="仿宋_GB2312"/>
          <w:sz w:val="32"/>
          <w:szCs w:val="32"/>
          <w:lang w:val="en-US" w:eastAsia="zh-CN"/>
        </w:rPr>
        <w:t>政府性基金支出预算表</w:t>
      </w:r>
      <w:bookmarkEnd w:id="67"/>
      <w:bookmarkEnd w:id="68"/>
      <w:bookmarkEnd w:id="69"/>
      <w:bookmarkEnd w:id="70"/>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sz w:val="32"/>
          <w:szCs w:val="32"/>
          <w:lang w:val="en-US" w:eastAsia="zh-CN"/>
        </w:rPr>
      </w:pPr>
      <w:bookmarkStart w:id="71" w:name="_Toc22276_WPSOffice_Level2"/>
      <w:bookmarkStart w:id="72" w:name="_Toc22697_WPSOffice_Level2"/>
      <w:bookmarkStart w:id="73" w:name="_Toc25803_WPSOffice_Level2"/>
      <w:r>
        <w:rPr>
          <w:rFonts w:hint="default" w:ascii="仿宋_GB2312" w:hAnsi="仿宋_GB2312" w:eastAsia="仿宋_GB2312"/>
          <w:sz w:val="32"/>
          <w:szCs w:val="32"/>
          <w:lang w:val="en-US" w:eastAsia="zh-CN"/>
        </w:rPr>
        <w:t>政府性基金预算“三公”经费支出预算表</w:t>
      </w:r>
      <w:bookmarkEnd w:id="71"/>
      <w:bookmarkEnd w:id="72"/>
      <w:bookmarkEnd w:id="73"/>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sz w:val="32"/>
          <w:szCs w:val="32"/>
          <w:lang w:val="en-US" w:eastAsia="zh-CN"/>
        </w:rPr>
      </w:pPr>
      <w:bookmarkStart w:id="74" w:name="_Toc22697_WPSOffice_Level1"/>
      <w:bookmarkStart w:id="75" w:name="_Toc25803_WPSOffice_Level1"/>
      <w:bookmarkStart w:id="76" w:name="_Toc22276_WPSOffice_Level1"/>
      <w:r>
        <w:rPr>
          <w:rFonts w:hint="eastAsia" w:ascii="仿宋_GB2312" w:hAnsi="仿宋_GB2312" w:eastAsia="仿宋_GB2312"/>
          <w:sz w:val="32"/>
          <w:szCs w:val="32"/>
          <w:lang w:val="en-US" w:eastAsia="zh-CN"/>
        </w:rPr>
        <w:t>国有资本经营预算支出预算表</w:t>
      </w:r>
      <w:bookmarkEnd w:id="74"/>
      <w:bookmarkEnd w:id="75"/>
      <w:bookmarkEnd w:id="76"/>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sz w:val="32"/>
          <w:szCs w:val="32"/>
          <w:lang w:val="en-US" w:eastAsia="zh-CN"/>
        </w:rPr>
      </w:pPr>
      <w:bookmarkStart w:id="77" w:name="_Toc29664_WPSOffice_Level1"/>
      <w:bookmarkStart w:id="78" w:name="_Toc6641_WPSOffice_Level1"/>
      <w:bookmarkStart w:id="79" w:name="_Toc19466_WPSOffice_Level1"/>
      <w:bookmarkStart w:id="80" w:name="_Toc30333_WPSOffice_Level1"/>
      <w:r>
        <w:rPr>
          <w:rFonts w:hint="default" w:ascii="仿宋_GB2312" w:hAnsi="仿宋_GB2312" w:eastAsia="仿宋_GB2312"/>
          <w:sz w:val="32"/>
          <w:szCs w:val="32"/>
          <w:lang w:val="en-US" w:eastAsia="zh-CN"/>
        </w:rPr>
        <w:t>202</w:t>
      </w:r>
      <w:r>
        <w:rPr>
          <w:rFonts w:hint="eastAsia" w:ascii="仿宋_GB2312" w:hAnsi="仿宋_GB2312" w:eastAsia="仿宋_GB2312"/>
          <w:sz w:val="32"/>
          <w:szCs w:val="32"/>
          <w:lang w:val="en-US" w:eastAsia="zh-CN"/>
        </w:rPr>
        <w:t>3</w:t>
      </w:r>
      <w:r>
        <w:rPr>
          <w:rFonts w:hint="default" w:ascii="仿宋_GB2312" w:hAnsi="仿宋_GB2312" w:eastAsia="仿宋_GB2312"/>
          <w:sz w:val="32"/>
          <w:szCs w:val="32"/>
          <w:lang w:val="en-US" w:eastAsia="zh-CN"/>
        </w:rPr>
        <w:t>年部门预算项目绩效目标（部门预算）</w:t>
      </w:r>
      <w:bookmarkEnd w:id="77"/>
      <w:bookmarkEnd w:id="78"/>
      <w:bookmarkEnd w:id="79"/>
      <w:bookmarkEnd w:id="80"/>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sz w:val="32"/>
          <w:szCs w:val="32"/>
          <w:lang w:val="en-US" w:eastAsia="zh-CN"/>
        </w:rPr>
      </w:pPr>
      <w:bookmarkStart w:id="81" w:name="_Toc29664_WPSOffice_Level2"/>
      <w:bookmarkStart w:id="82" w:name="_Toc30333_WPSOffice_Level2"/>
      <w:bookmarkStart w:id="83" w:name="_Toc6641_WPSOffice_Level2"/>
      <w:bookmarkStart w:id="84" w:name="_Toc19466_WPSOffice_Level2"/>
      <w:r>
        <w:rPr>
          <w:rFonts w:hint="eastAsia" w:ascii="仿宋_GB2312" w:hAnsi="仿宋_GB2312" w:eastAsia="仿宋_GB2312"/>
          <w:sz w:val="32"/>
          <w:szCs w:val="32"/>
          <w:lang w:val="en-US" w:eastAsia="zh-CN"/>
        </w:rPr>
        <w:t>政府预算基本支出表</w:t>
      </w:r>
      <w:bookmarkEnd w:id="81"/>
      <w:bookmarkEnd w:id="82"/>
      <w:bookmarkEnd w:id="83"/>
      <w:bookmarkEnd w:id="84"/>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sz w:val="32"/>
          <w:szCs w:val="32"/>
          <w:lang w:val="en-US" w:eastAsia="zh-CN"/>
        </w:rPr>
      </w:pPr>
      <w:bookmarkStart w:id="85" w:name="_Toc31914_WPSOffice_Level2"/>
      <w:bookmarkStart w:id="86" w:name="_Toc7459_WPSOffice_Level2"/>
      <w:bookmarkStart w:id="87" w:name="_Toc28200_WPSOffice_Level2"/>
      <w:bookmarkStart w:id="88" w:name="_Toc31982_WPSOffice_Level2"/>
      <w:r>
        <w:rPr>
          <w:rFonts w:hint="default" w:ascii="仿宋_GB2312" w:hAnsi="仿宋_GB2312" w:eastAsia="仿宋_GB2312"/>
          <w:sz w:val="32"/>
          <w:szCs w:val="32"/>
          <w:lang w:val="en-US" w:eastAsia="zh-CN"/>
        </w:rPr>
        <w:t>政府预算项目支出表</w:t>
      </w:r>
      <w:bookmarkEnd w:id="85"/>
      <w:bookmarkEnd w:id="86"/>
      <w:bookmarkEnd w:id="87"/>
      <w:bookmarkEnd w:id="88"/>
    </w:p>
    <w:p>
      <w:pPr>
        <w:rPr>
          <w:rFonts w:hint="eastAsia" w:eastAsia="宋体"/>
          <w:lang w:eastAsia="zh-CN"/>
        </w:rPr>
      </w:pPr>
    </w:p>
    <w:p>
      <w:pPr>
        <w:pStyle w:val="22"/>
      </w:pPr>
      <w:r>
        <w:rPr>
          <w:rFonts w:hint="eastAsia" w:ascii="仿宋_GB2312" w:hAnsi="仿宋_GB2312" w:eastAsia="仿宋_GB2312"/>
          <w:sz w:val="32"/>
          <w:szCs w:val="32"/>
        </w:rPr>
        <w:t>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swiss"/>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mJiNTI3NTZlNjRjYjg0MjMzMzkxMzY0MDgwOTk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21E7CD0"/>
    <w:rsid w:val="054424CD"/>
    <w:rsid w:val="0744629F"/>
    <w:rsid w:val="09507EFF"/>
    <w:rsid w:val="0B9845F0"/>
    <w:rsid w:val="0CBC3A4D"/>
    <w:rsid w:val="0CEC21BB"/>
    <w:rsid w:val="0E1B56D8"/>
    <w:rsid w:val="0E435075"/>
    <w:rsid w:val="0F9B0DF2"/>
    <w:rsid w:val="104242AC"/>
    <w:rsid w:val="108C3076"/>
    <w:rsid w:val="10F40300"/>
    <w:rsid w:val="111C0B02"/>
    <w:rsid w:val="11D95C6F"/>
    <w:rsid w:val="12E14A89"/>
    <w:rsid w:val="13522181"/>
    <w:rsid w:val="13614ACE"/>
    <w:rsid w:val="14202A6C"/>
    <w:rsid w:val="176B4A8C"/>
    <w:rsid w:val="18583671"/>
    <w:rsid w:val="18F66D1C"/>
    <w:rsid w:val="199D6973"/>
    <w:rsid w:val="1A8B57AF"/>
    <w:rsid w:val="1B5451C8"/>
    <w:rsid w:val="1D294998"/>
    <w:rsid w:val="1FCE268A"/>
    <w:rsid w:val="20636C58"/>
    <w:rsid w:val="22E3199D"/>
    <w:rsid w:val="245C6234"/>
    <w:rsid w:val="24C01054"/>
    <w:rsid w:val="28B34E05"/>
    <w:rsid w:val="28D62297"/>
    <w:rsid w:val="29DC714D"/>
    <w:rsid w:val="29F3089A"/>
    <w:rsid w:val="2A0E7E00"/>
    <w:rsid w:val="2C5313C1"/>
    <w:rsid w:val="2CBD72B2"/>
    <w:rsid w:val="2DE51DEE"/>
    <w:rsid w:val="2E366DF4"/>
    <w:rsid w:val="319F28C3"/>
    <w:rsid w:val="336C6A28"/>
    <w:rsid w:val="3494002D"/>
    <w:rsid w:val="34EE7888"/>
    <w:rsid w:val="352A42C7"/>
    <w:rsid w:val="3610788F"/>
    <w:rsid w:val="363B1FF7"/>
    <w:rsid w:val="36470914"/>
    <w:rsid w:val="366720A8"/>
    <w:rsid w:val="37A90C11"/>
    <w:rsid w:val="38CB1D17"/>
    <w:rsid w:val="3AA61260"/>
    <w:rsid w:val="3B490F9B"/>
    <w:rsid w:val="3B7535D5"/>
    <w:rsid w:val="3CA5187F"/>
    <w:rsid w:val="3E2F023C"/>
    <w:rsid w:val="41196FEC"/>
    <w:rsid w:val="41743C2E"/>
    <w:rsid w:val="42991D01"/>
    <w:rsid w:val="42C43DC1"/>
    <w:rsid w:val="4392066A"/>
    <w:rsid w:val="44AF5840"/>
    <w:rsid w:val="44E1584B"/>
    <w:rsid w:val="44EB6240"/>
    <w:rsid w:val="458C523B"/>
    <w:rsid w:val="467225A6"/>
    <w:rsid w:val="492F6F71"/>
    <w:rsid w:val="4B3863F1"/>
    <w:rsid w:val="4D3A436D"/>
    <w:rsid w:val="4EF0650D"/>
    <w:rsid w:val="4F7D672D"/>
    <w:rsid w:val="500F6BF3"/>
    <w:rsid w:val="504635CC"/>
    <w:rsid w:val="514E2B50"/>
    <w:rsid w:val="547902DF"/>
    <w:rsid w:val="57F77629"/>
    <w:rsid w:val="59727939"/>
    <w:rsid w:val="5A6E4B5B"/>
    <w:rsid w:val="5B5730AC"/>
    <w:rsid w:val="5EB4741C"/>
    <w:rsid w:val="5EF02562"/>
    <w:rsid w:val="60E12058"/>
    <w:rsid w:val="613A63F7"/>
    <w:rsid w:val="61E16D53"/>
    <w:rsid w:val="633905C9"/>
    <w:rsid w:val="6455069C"/>
    <w:rsid w:val="6635076A"/>
    <w:rsid w:val="66452696"/>
    <w:rsid w:val="66DD07C1"/>
    <w:rsid w:val="67460541"/>
    <w:rsid w:val="6796723B"/>
    <w:rsid w:val="68917BEB"/>
    <w:rsid w:val="6B28251E"/>
    <w:rsid w:val="6C4200CF"/>
    <w:rsid w:val="6C7A6034"/>
    <w:rsid w:val="6EB23151"/>
    <w:rsid w:val="6EC93B1B"/>
    <w:rsid w:val="6F6D7478"/>
    <w:rsid w:val="6F9D54EF"/>
    <w:rsid w:val="7156268B"/>
    <w:rsid w:val="717F2CF2"/>
    <w:rsid w:val="72654236"/>
    <w:rsid w:val="73FD164A"/>
    <w:rsid w:val="77103EEA"/>
    <w:rsid w:val="77B900E4"/>
    <w:rsid w:val="795759CC"/>
    <w:rsid w:val="79BF20E1"/>
    <w:rsid w:val="7A802C40"/>
    <w:rsid w:val="7AF610F3"/>
    <w:rsid w:val="7C200F6A"/>
    <w:rsid w:val="7CEA3160"/>
    <w:rsid w:val="7EC77F7C"/>
    <w:rsid w:val="7F08359D"/>
    <w:rsid w:val="7F7D47B2"/>
    <w:rsid w:val="7FFE6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0"/>
    <w:qFormat/>
    <w:uiPriority w:val="9"/>
    <w:pPr>
      <w:keepNext/>
      <w:keepLines/>
      <w:adjustRightInd w:val="0"/>
      <w:snapToGrid w:val="0"/>
      <w:spacing w:beforeLines="0" w:beforeAutospacing="0" w:afterLines="0" w:afterAutospacing="0" w:line="560" w:lineRule="exact"/>
      <w:outlineLvl w:val="0"/>
    </w:pPr>
    <w:rPr>
      <w:rFonts w:ascii="Times New Roman" w:hAnsi="Times New Roman" w:eastAsia="黑体"/>
      <w:kern w:val="44"/>
    </w:rPr>
  </w:style>
  <w:style w:type="paragraph" w:styleId="3">
    <w:name w:val="heading 2"/>
    <w:basedOn w:val="1"/>
    <w:next w:val="1"/>
    <w:link w:val="21"/>
    <w:unhideWhenUsed/>
    <w:qFormat/>
    <w:uiPriority w:val="9"/>
    <w:pPr>
      <w:keepNext/>
      <w:keepLines/>
      <w:snapToGrid w:val="0"/>
      <w:spacing w:beforeLines="0" w:beforeAutospacing="0" w:afterLines="0" w:afterAutospacing="0" w:line="560" w:lineRule="exact"/>
      <w:ind w:firstLine="880" w:firstLineChars="200"/>
      <w:outlineLvl w:val="1"/>
    </w:pPr>
    <w:rPr>
      <w:rFonts w:ascii="Times New Roman" w:hAnsi="Times New Roman" w:eastAsia="楷体_GB2312"/>
      <w:b/>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w:basedOn w:val="1"/>
    <w:next w:val="1"/>
    <w:link w:val="27"/>
    <w:qFormat/>
    <w:uiPriority w:val="0"/>
    <w:pPr>
      <w:spacing w:before="93" w:beforeLines="30"/>
    </w:pPr>
    <w:rPr>
      <w:rFonts w:ascii="仿宋_GB2312" w:eastAsia="仿宋_GB2312"/>
      <w:sz w:val="30"/>
    </w:rPr>
  </w:style>
  <w:style w:type="paragraph" w:styleId="7">
    <w:name w:val="Body Text Indent"/>
    <w:basedOn w:val="1"/>
    <w:semiHidden/>
    <w:unhideWhenUsed/>
    <w:qFormat/>
    <w:uiPriority w:val="99"/>
    <w:pPr>
      <w:spacing w:after="120" w:afterLines="0" w:afterAutospacing="0"/>
      <w:ind w:left="420" w:leftChars="200"/>
    </w:pPr>
  </w:style>
  <w:style w:type="paragraph" w:styleId="8">
    <w:name w:val="Body Text Indent 2"/>
    <w:basedOn w:val="1"/>
    <w:qFormat/>
    <w:uiPriority w:val="0"/>
    <w:pPr>
      <w:spacing w:afterLines="0" w:afterAutospacing="0" w:line="580" w:lineRule="exact"/>
      <w:ind w:left="0" w:leftChars="0"/>
    </w:pPr>
    <w:rPr>
      <w:rFonts w:ascii="Times New Roman" w:hAnsi="Times New Roman"/>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able of figures"/>
    <w:basedOn w:val="1"/>
    <w:next w:val="1"/>
    <w:qFormat/>
    <w:uiPriority w:val="0"/>
    <w:rPr>
      <w:rFonts w:ascii="Times New Roman" w:hAnsi="Times New Roman" w:eastAsia="宋体" w:cs="Times New Roman"/>
      <w:szCs w:val="24"/>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6"/>
    <w:unhideWhenUsed/>
    <w:qFormat/>
    <w:uiPriority w:val="99"/>
    <w:pPr>
      <w:ind w:firstLine="420" w:firstLineChars="100"/>
    </w:pPr>
  </w:style>
  <w:style w:type="paragraph" w:styleId="16">
    <w:name w:val="Body Text First Indent 2"/>
    <w:basedOn w:val="7"/>
    <w:unhideWhenUsed/>
    <w:qFormat/>
    <w:uiPriority w:val="99"/>
    <w:pPr>
      <w:ind w:firstLine="420" w:firstLineChars="200"/>
    </w:pPr>
  </w:style>
  <w:style w:type="character" w:styleId="19">
    <w:name w:val="Emphasis"/>
    <w:basedOn w:val="18"/>
    <w:qFormat/>
    <w:uiPriority w:val="20"/>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2 Char"/>
    <w:link w:val="3"/>
    <w:qFormat/>
    <w:uiPriority w:val="0"/>
    <w:rPr>
      <w:rFonts w:ascii="Times New Roman" w:hAnsi="Times New Roman" w:eastAsia="楷体_GB2312"/>
      <w:b/>
      <w:sz w:val="32"/>
    </w:rPr>
  </w:style>
  <w:style w:type="paragraph" w:customStyle="1" w:styleId="22">
    <w:name w:val="图表目录1"/>
    <w:basedOn w:val="23"/>
    <w:next w:val="1"/>
    <w:unhideWhenUsed/>
    <w:qFormat/>
    <w:uiPriority w:val="99"/>
    <w:pPr>
      <w:ind w:left="200" w:leftChars="200" w:hanging="200" w:hangingChars="200"/>
    </w:pPr>
    <w:rPr>
      <w:rFonts w:hint="eastAsia"/>
      <w:sz w:val="32"/>
    </w:rPr>
  </w:style>
  <w:style w:type="paragraph" w:customStyle="1" w:styleId="23">
    <w:name w:val="正文 New"/>
    <w:next w:val="22"/>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页眉 Char"/>
    <w:basedOn w:val="18"/>
    <w:link w:val="10"/>
    <w:qFormat/>
    <w:uiPriority w:val="99"/>
    <w:rPr>
      <w:rFonts w:ascii="宋体" w:hAnsi="Times New Roman" w:eastAsia="宋体" w:cs="Times New Roman"/>
      <w:sz w:val="18"/>
      <w:szCs w:val="18"/>
    </w:rPr>
  </w:style>
  <w:style w:type="character" w:customStyle="1" w:styleId="26">
    <w:name w:val="页脚 Char"/>
    <w:basedOn w:val="18"/>
    <w:link w:val="9"/>
    <w:qFormat/>
    <w:uiPriority w:val="99"/>
    <w:rPr>
      <w:rFonts w:ascii="宋体" w:hAnsi="Times New Roman" w:eastAsia="宋体" w:cs="Times New Roman"/>
      <w:sz w:val="18"/>
      <w:szCs w:val="18"/>
    </w:rPr>
  </w:style>
  <w:style w:type="character" w:customStyle="1" w:styleId="27">
    <w:name w:val="正文文本 Char"/>
    <w:basedOn w:val="18"/>
    <w:link w:val="6"/>
    <w:qFormat/>
    <w:uiPriority w:val="0"/>
    <w:rPr>
      <w:rFonts w:ascii="仿宋_GB2312" w:hAnsi="Times New Roman" w:eastAsia="仿宋_GB2312" w:cs="Times New Roman"/>
      <w:kern w:val="2"/>
      <w:sz w:val="30"/>
      <w:szCs w:val="24"/>
    </w:rPr>
  </w:style>
  <w:style w:type="paragraph" w:customStyle="1" w:styleId="28">
    <w:name w:val="WPSOffice手动目录 1"/>
    <w:qFormat/>
    <w:uiPriority w:val="0"/>
    <w:pPr>
      <w:ind w:leftChars="0"/>
    </w:pPr>
    <w:rPr>
      <w:rFonts w:ascii="Calibri" w:hAnsi="Calibri" w:eastAsia="宋体" w:cs="Times New Roman"/>
      <w:sz w:val="20"/>
      <w:szCs w:val="20"/>
    </w:rPr>
  </w:style>
  <w:style w:type="paragraph" w:customStyle="1" w:styleId="29">
    <w:name w:val="WPSOffice手动目录 2"/>
    <w:qFormat/>
    <w:uiPriority w:val="0"/>
    <w:pPr>
      <w:ind w:leftChars="200"/>
    </w:pPr>
    <w:rPr>
      <w:rFonts w:ascii="Calibri" w:hAnsi="Calibri" w:eastAsia="宋体" w:cs="Times New Roman"/>
      <w:sz w:val="20"/>
      <w:szCs w:val="20"/>
    </w:rPr>
  </w:style>
  <w:style w:type="character" w:customStyle="1" w:styleId="30">
    <w:name w:val="标题 1 Char"/>
    <w:link w:val="2"/>
    <w:qFormat/>
    <w:uiPriority w:val="0"/>
    <w:rPr>
      <w:rFonts w:ascii="Times New Roman" w:hAnsi="Times New Roman" w:eastAsia="黑体"/>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371</Words>
  <Characters>2119</Characters>
  <Lines>17</Lines>
  <Paragraphs>4</Paragraphs>
  <TotalTime>0</TotalTime>
  <ScaleCrop>false</ScaleCrop>
  <LinksUpToDate>false</LinksUpToDate>
  <CharactersWithSpaces>2486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罗江区交通局</cp:lastModifiedBy>
  <cp:lastPrinted>2022-06-09T02:50:00Z</cp:lastPrinted>
  <dcterms:modified xsi:type="dcterms:W3CDTF">2024-01-26T02:30:08Z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8751DC2F96F74804B2D951AC7EAB6A87_12</vt:lpwstr>
  </property>
</Properties>
</file>