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37"/>
        <w:jc w:val="center"/>
        <w:rPr>
          <w:rStyle w:val="12"/>
          <w:rFonts w:hint="eastAsia" w:asciiTheme="majorEastAsia" w:hAnsiTheme="majorEastAsia" w:eastAsiaTheme="majorEastAsia" w:cstheme="majorEastAsia"/>
          <w:b/>
          <w:bCs/>
          <w:color w:val="000000"/>
          <w:sz w:val="44"/>
          <w:szCs w:val="44"/>
        </w:rPr>
      </w:pPr>
      <w:bookmarkStart w:id="0" w:name="卂GoBack"/>
      <w:r>
        <w:rPr>
          <w:rStyle w:val="12"/>
          <w:rFonts w:hint="eastAsia" w:asciiTheme="majorEastAsia" w:hAnsiTheme="majorEastAsia" w:eastAsiaTheme="majorEastAsia" w:cstheme="majorEastAsia"/>
          <w:b/>
          <w:bCs/>
          <w:color w:val="000000"/>
          <w:sz w:val="44"/>
          <w:szCs w:val="44"/>
        </w:rPr>
        <w:t>德阳市罗江区供销合作社联合社</w:t>
      </w:r>
    </w:p>
    <w:p>
      <w:pPr>
        <w:jc w:val="center"/>
        <w:rPr>
          <w:rFonts w:hint="eastAsia" w:asciiTheme="majorEastAsia" w:hAnsiTheme="majorEastAsia" w:eastAsiaTheme="majorEastAsia" w:cstheme="majorEastAsia"/>
          <w:b/>
          <w:bCs/>
          <w:sz w:val="44"/>
          <w:szCs w:val="44"/>
        </w:rPr>
      </w:pPr>
      <w:r>
        <w:rPr>
          <w:rStyle w:val="12"/>
          <w:rFonts w:hint="eastAsia" w:asciiTheme="majorEastAsia" w:hAnsiTheme="majorEastAsia" w:eastAsiaTheme="majorEastAsia" w:cstheme="majorEastAsia"/>
          <w:b/>
          <w:bCs/>
          <w:color w:val="000000"/>
          <w:sz w:val="44"/>
          <w:szCs w:val="44"/>
          <w:lang w:val="en-US" w:eastAsia="zh-CN"/>
        </w:rPr>
        <w:t>2024</w:t>
      </w:r>
      <w:r>
        <w:rPr>
          <w:rStyle w:val="12"/>
          <w:rFonts w:hint="eastAsia" w:asciiTheme="majorEastAsia" w:hAnsiTheme="majorEastAsia" w:eastAsiaTheme="majorEastAsia" w:cstheme="majorEastAsia"/>
          <w:b/>
          <w:bCs/>
          <w:color w:val="000000"/>
          <w:sz w:val="44"/>
          <w:szCs w:val="44"/>
        </w:rPr>
        <w:t>年部门预算编制说明</w:t>
      </w:r>
    </w:p>
    <w:p>
      <w:pPr>
        <w:pStyle w:val="4"/>
        <w:keepNext w:val="0"/>
        <w:keepLines w:val="0"/>
        <w:pageBreakBefore w:val="0"/>
        <w:kinsoku/>
        <w:wordWrap/>
        <w:overflowPunct/>
        <w:topLinePunct w:val="0"/>
        <w:autoSpaceDE/>
        <w:autoSpaceDN/>
        <w:bidi w:val="0"/>
        <w:adjustRightInd w:val="0"/>
        <w:snapToGrid w:val="0"/>
        <w:spacing w:beforeLines="0" w:afterAutospacing="0" w:line="600" w:lineRule="exact"/>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 xml:space="preserve">                      目  录</w:t>
      </w:r>
    </w:p>
    <w:p>
      <w:pPr>
        <w:pStyle w:val="4"/>
        <w:keepNext w:val="0"/>
        <w:keepLines w:val="0"/>
        <w:pageBreakBefore w:val="0"/>
        <w:widowControl w:val="0"/>
        <w:kinsoku/>
        <w:wordWrap/>
        <w:overflowPunct/>
        <w:topLinePunct w:val="0"/>
        <w:autoSpaceDE/>
        <w:autoSpaceDN/>
        <w:bidi w:val="0"/>
        <w:adjustRightInd w:val="0"/>
        <w:snapToGrid w:val="0"/>
        <w:spacing w:beforeLines="0" w:afterAutospacing="0" w:line="360" w:lineRule="auto"/>
        <w:jc w:val="left"/>
        <w:textAlignment w:val="auto"/>
        <w:rPr>
          <w:rFonts w:hint="eastAsia" w:ascii="黑体" w:hAnsi="黑体" w:eastAsia="黑体" w:cs="黑体"/>
          <w:b w:val="0"/>
          <w:bCs w:val="0"/>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Lines="0"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一、基本职能及主要工作</w:t>
      </w:r>
      <w:r>
        <w:rPr>
          <w:rFonts w:hint="eastAsia" w:ascii="黑体" w:hAnsi="黑体" w:eastAsia="黑体" w:cs="黑体"/>
          <w:b w:val="0"/>
          <w:bCs w:val="0"/>
          <w:sz w:val="24"/>
          <w:szCs w:val="24"/>
          <w:lang w:val="en-US" w:eastAsia="zh-CN"/>
        </w:rPr>
        <w:t>----------------------------------------2</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sz w:val="24"/>
          <w:szCs w:val="24"/>
        </w:rPr>
        <w:t>(一)主要职能</w:t>
      </w:r>
      <w:r>
        <w:rPr>
          <w:rFonts w:hint="eastAsia" w:asciiTheme="minorEastAsia" w:hAnsiTheme="minorEastAsia" w:eastAsiaTheme="minorEastAsia" w:cstheme="minorEastAsia"/>
          <w:b w:val="0"/>
          <w:bCs w:val="0"/>
          <w:sz w:val="24"/>
          <w:szCs w:val="24"/>
          <w:lang w:val="en-US" w:eastAsia="zh-CN"/>
        </w:rPr>
        <w:t>---------------------------------------------------2</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（二）20</w:t>
      </w:r>
      <w:r>
        <w:rPr>
          <w:rFonts w:hint="eastAsia" w:asciiTheme="minorEastAsia" w:hAnsiTheme="minorEastAsia" w:eastAsiaTheme="minorEastAsia" w:cstheme="minorEastAsia"/>
          <w:b w:val="0"/>
          <w:bCs w:val="0"/>
          <w:color w:val="000000"/>
          <w:sz w:val="24"/>
          <w:szCs w:val="24"/>
          <w:lang w:val="en-US" w:eastAsia="zh-CN"/>
        </w:rPr>
        <w:t>24</w:t>
      </w:r>
      <w:r>
        <w:rPr>
          <w:rFonts w:hint="eastAsia" w:asciiTheme="minorEastAsia" w:hAnsiTheme="minorEastAsia" w:eastAsiaTheme="minorEastAsia" w:cstheme="minorEastAsia"/>
          <w:b w:val="0"/>
          <w:bCs w:val="0"/>
          <w:color w:val="000000"/>
          <w:sz w:val="24"/>
          <w:szCs w:val="24"/>
        </w:rPr>
        <w:t>年重点工作完成情况</w:t>
      </w: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二、部门概况</w:t>
      </w:r>
      <w:r>
        <w:rPr>
          <w:rFonts w:hint="eastAsia" w:ascii="黑体" w:hAnsi="黑体" w:eastAsia="黑体" w:cs="黑体"/>
          <w:b w:val="0"/>
          <w:bCs w:val="0"/>
          <w:sz w:val="24"/>
          <w:szCs w:val="24"/>
          <w:lang w:val="en-US" w:eastAsia="zh-CN"/>
        </w:rPr>
        <w:t>--------------------------------------------------3</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三、收支预算增减变化情况说明</w:t>
      </w:r>
      <w:r>
        <w:rPr>
          <w:rFonts w:hint="eastAsia" w:ascii="黑体" w:hAnsi="黑体" w:eastAsia="黑体" w:cs="黑体"/>
          <w:b w:val="0"/>
          <w:bCs w:val="0"/>
          <w:sz w:val="24"/>
          <w:szCs w:val="24"/>
          <w:lang w:val="en-US" w:eastAsia="zh-CN"/>
        </w:rPr>
        <w:t>-----------------------------------4</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（一）收入预算情况</w:t>
      </w:r>
      <w:r>
        <w:rPr>
          <w:rFonts w:hint="eastAsia" w:asciiTheme="minorEastAsia" w:hAnsiTheme="minorEastAsia" w:eastAsiaTheme="minorEastAsia" w:cstheme="minorEastAsia"/>
          <w:b w:val="0"/>
          <w:bCs w:val="0"/>
          <w:sz w:val="24"/>
          <w:szCs w:val="24"/>
          <w:lang w:val="en-US" w:eastAsia="zh-CN"/>
        </w:rPr>
        <w:t>---------------------------------------------4</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（二）支出预算情况</w:t>
      </w:r>
      <w:r>
        <w:rPr>
          <w:rFonts w:hint="eastAsia" w:asciiTheme="minorEastAsia" w:hAnsiTheme="minorEastAsia" w:eastAsiaTheme="minorEastAsia" w:cstheme="minorEastAsia"/>
          <w:b w:val="0"/>
          <w:bCs w:val="0"/>
          <w:sz w:val="24"/>
          <w:szCs w:val="24"/>
          <w:lang w:val="en-US" w:eastAsia="zh-CN"/>
        </w:rPr>
        <w:t>---------------------------------------------4</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四、财政拨款收支预算情况说明</w:t>
      </w:r>
      <w:r>
        <w:rPr>
          <w:rFonts w:hint="eastAsia" w:ascii="黑体" w:hAnsi="黑体" w:eastAsia="黑体" w:cs="黑体"/>
          <w:b w:val="0"/>
          <w:bCs w:val="0"/>
          <w:sz w:val="24"/>
          <w:szCs w:val="24"/>
          <w:lang w:val="en-US" w:eastAsia="zh-CN"/>
        </w:rPr>
        <w:t>-----------------------------------4</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五、一般公共预算当年拨款情况说明</w:t>
      </w:r>
      <w:r>
        <w:rPr>
          <w:rFonts w:hint="eastAsia" w:ascii="黑体" w:hAnsi="黑体" w:eastAsia="黑体" w:cs="黑体"/>
          <w:b w:val="0"/>
          <w:bCs w:val="0"/>
          <w:sz w:val="24"/>
          <w:szCs w:val="24"/>
          <w:lang w:val="en-US" w:eastAsia="zh-CN"/>
        </w:rPr>
        <w:t>-------------------------------5</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（一）一般公共预算当年拨款规模变化情况</w:t>
      </w:r>
      <w:r>
        <w:rPr>
          <w:rFonts w:hint="eastAsia" w:asciiTheme="minorEastAsia" w:hAnsiTheme="minorEastAsia" w:eastAsiaTheme="minorEastAsia" w:cstheme="minorEastAsia"/>
          <w:b w:val="0"/>
          <w:bCs w:val="0"/>
          <w:sz w:val="24"/>
          <w:szCs w:val="24"/>
          <w:lang w:val="en-US" w:eastAsia="zh-CN"/>
        </w:rPr>
        <w:t>-------------------------5</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（二）一般公共预算当年拨款结构情况</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（三）一般公共预算当年拨款具体使用情况</w:t>
      </w:r>
      <w:r>
        <w:rPr>
          <w:rFonts w:hint="eastAsia" w:asciiTheme="minorEastAsia" w:hAnsiTheme="minorEastAsia" w:eastAsiaTheme="minorEastAsia" w:cstheme="minorEastAsia"/>
          <w:b w:val="0"/>
          <w:bCs w:val="0"/>
          <w:sz w:val="24"/>
          <w:szCs w:val="24"/>
          <w:lang w:val="en-US" w:eastAsia="zh-CN"/>
        </w:rPr>
        <w:t>-------------------------5</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六、一般公共预算基本支出情况说明</w:t>
      </w:r>
      <w:r>
        <w:rPr>
          <w:rFonts w:hint="eastAsia" w:ascii="黑体" w:hAnsi="黑体" w:eastAsia="黑体" w:cs="黑体"/>
          <w:b w:val="0"/>
          <w:bCs w:val="0"/>
          <w:sz w:val="24"/>
          <w:szCs w:val="24"/>
          <w:lang w:val="en-US" w:eastAsia="zh-CN"/>
        </w:rPr>
        <w:t>-------------------------------6</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七、“三公”经费财政拨款预算安排情况说明</w:t>
      </w:r>
      <w:r>
        <w:rPr>
          <w:rFonts w:hint="eastAsia" w:ascii="黑体" w:hAnsi="黑体" w:eastAsia="黑体" w:cs="黑体"/>
          <w:b w:val="0"/>
          <w:bCs w:val="0"/>
          <w:sz w:val="24"/>
          <w:szCs w:val="24"/>
          <w:lang w:val="en-US" w:eastAsia="zh-CN"/>
        </w:rPr>
        <w:t>------------------------7</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八、政府性基金预算收支情况说明</w:t>
      </w:r>
      <w:r>
        <w:rPr>
          <w:rFonts w:hint="eastAsia" w:ascii="黑体" w:hAnsi="黑体" w:eastAsia="黑体" w:cs="黑体"/>
          <w:b w:val="0"/>
          <w:bCs w:val="0"/>
          <w:sz w:val="24"/>
          <w:szCs w:val="24"/>
          <w:lang w:val="en-US" w:eastAsia="zh-CN"/>
        </w:rPr>
        <w:t>---------------------------------7</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九</w:t>
      </w:r>
      <w:r>
        <w:rPr>
          <w:rFonts w:hint="eastAsia" w:ascii="黑体" w:hAnsi="黑体" w:eastAsia="黑体" w:cs="黑体"/>
          <w:b w:val="0"/>
          <w:bCs w:val="0"/>
          <w:sz w:val="24"/>
          <w:szCs w:val="24"/>
        </w:rPr>
        <w:t>、其他重要事项的情况说明</w:t>
      </w:r>
      <w:r>
        <w:rPr>
          <w:rFonts w:hint="eastAsia" w:ascii="黑体" w:hAnsi="黑体" w:eastAsia="黑体" w:cs="黑体"/>
          <w:b w:val="0"/>
          <w:bCs w:val="0"/>
          <w:sz w:val="24"/>
          <w:szCs w:val="24"/>
          <w:lang w:val="en-US" w:eastAsia="zh-CN"/>
        </w:rPr>
        <w:t>-------------------------------------8</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（一）机关运行经费</w:t>
      </w:r>
      <w:r>
        <w:rPr>
          <w:rFonts w:hint="eastAsia" w:asciiTheme="minorEastAsia" w:hAnsiTheme="minorEastAsia" w:eastAsiaTheme="minorEastAsia" w:cstheme="minorEastAsia"/>
          <w:b w:val="0"/>
          <w:bCs w:val="0"/>
          <w:sz w:val="24"/>
          <w:szCs w:val="24"/>
          <w:lang w:val="en-US" w:eastAsia="zh-CN"/>
        </w:rPr>
        <w:t>---------------------------------------------8</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（二）政府采购情况</w:t>
      </w:r>
      <w:r>
        <w:rPr>
          <w:rFonts w:hint="eastAsia" w:asciiTheme="minorEastAsia" w:hAnsiTheme="minorEastAsia" w:eastAsiaTheme="minorEastAsia" w:cstheme="minorEastAsia"/>
          <w:b w:val="0"/>
          <w:bCs w:val="0"/>
          <w:sz w:val="24"/>
          <w:szCs w:val="24"/>
          <w:lang w:val="en-US" w:eastAsia="zh-CN"/>
        </w:rPr>
        <w:t>---------------------------------------------8</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（三）国有资产占有使用情况</w:t>
      </w:r>
      <w:r>
        <w:rPr>
          <w:rFonts w:hint="eastAsia" w:asciiTheme="minorEastAsia" w:hAnsiTheme="minorEastAsia" w:eastAsiaTheme="minorEastAsia" w:cstheme="minorEastAsia"/>
          <w:b w:val="0"/>
          <w:bCs w:val="0"/>
          <w:sz w:val="24"/>
          <w:szCs w:val="24"/>
          <w:lang w:val="en-US" w:eastAsia="zh-CN"/>
        </w:rPr>
        <w:t>-------------------------------------8</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（四）绩效目标设置情况</w:t>
      </w:r>
      <w:r>
        <w:rPr>
          <w:rFonts w:hint="eastAsia" w:asciiTheme="minorEastAsia" w:hAnsiTheme="minorEastAsia" w:eastAsiaTheme="minorEastAsia" w:cstheme="minorEastAsia"/>
          <w:b w:val="0"/>
          <w:bCs w:val="0"/>
          <w:sz w:val="24"/>
          <w:szCs w:val="24"/>
          <w:lang w:val="en-US" w:eastAsia="zh-CN"/>
        </w:rPr>
        <w:t>-----------------------------------------8</w:t>
      </w:r>
    </w:p>
    <w:p>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十、名词解释</w:t>
      </w:r>
      <w:r>
        <w:rPr>
          <w:rFonts w:hint="eastAsia" w:ascii="黑体" w:hAnsi="黑体" w:eastAsia="黑体" w:cs="黑体"/>
          <w:b w:val="0"/>
          <w:bCs w:val="0"/>
          <w:sz w:val="24"/>
          <w:szCs w:val="24"/>
          <w:lang w:val="en-US" w:eastAsia="zh-CN"/>
        </w:rPr>
        <w:t>---------------------------------------------------8</w:t>
      </w:r>
    </w:p>
    <w:p>
      <w:pPr>
        <w:pStyle w:val="4"/>
        <w:keepNext w:val="0"/>
        <w:keepLines w:val="0"/>
        <w:pageBreakBefore w:val="0"/>
        <w:widowControl w:val="0"/>
        <w:kinsoku/>
        <w:wordWrap/>
        <w:overflowPunct/>
        <w:topLinePunct w:val="0"/>
        <w:autoSpaceDE/>
        <w:autoSpaceDN/>
        <w:bidi w:val="0"/>
        <w:adjustRightInd w:val="0"/>
        <w:snapToGrid w:val="0"/>
        <w:spacing w:beforeLines="0" w:afterAutospacing="0" w:line="600" w:lineRule="exact"/>
        <w:jc w:val="left"/>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Lines="0" w:afterAutospacing="0" w:line="600" w:lineRule="exact"/>
        <w:jc w:val="left"/>
        <w:textAlignment w:val="auto"/>
        <w:rPr>
          <w:rFonts w:hint="eastAsia" w:ascii="黑体" w:eastAsia="黑体" w:cs="黑体"/>
          <w:sz w:val="32"/>
          <w:szCs w:val="32"/>
          <w:lang w:val="en-US" w:eastAsia="zh-CN"/>
        </w:rPr>
      </w:pPr>
    </w:p>
    <w:p>
      <w:pPr>
        <w:pStyle w:val="4"/>
        <w:keepNext w:val="0"/>
        <w:keepLines w:val="0"/>
        <w:pageBreakBefore w:val="0"/>
        <w:kinsoku/>
        <w:wordWrap/>
        <w:overflowPunct/>
        <w:topLinePunct w:val="0"/>
        <w:autoSpaceDE/>
        <w:autoSpaceDN/>
        <w:bidi w:val="0"/>
        <w:adjustRightInd w:val="0"/>
        <w:snapToGrid w:val="0"/>
        <w:spacing w:beforeLines="0" w:afterAutospacing="0" w:line="600" w:lineRule="exact"/>
        <w:textAlignment w:val="auto"/>
        <w:rPr>
          <w:rFonts w:hint="eastAsia" w:ascii="黑体" w:eastAsia="黑体" w:cs="黑体"/>
          <w:sz w:val="32"/>
          <w:szCs w:val="32"/>
          <w:lang w:val="en-US" w:eastAsia="zh-CN"/>
        </w:rPr>
      </w:pPr>
    </w:p>
    <w:p>
      <w:pPr>
        <w:pStyle w:val="4"/>
        <w:keepNext w:val="0"/>
        <w:keepLines w:val="0"/>
        <w:pageBreakBefore w:val="0"/>
        <w:kinsoku/>
        <w:wordWrap/>
        <w:overflowPunct/>
        <w:topLinePunct w:val="0"/>
        <w:autoSpaceDE/>
        <w:autoSpaceDN/>
        <w:bidi w:val="0"/>
        <w:adjustRightInd w:val="0"/>
        <w:snapToGrid w:val="0"/>
        <w:spacing w:beforeLines="0" w:afterAutospacing="0" w:line="600" w:lineRule="exact"/>
        <w:textAlignment w:val="auto"/>
        <w:rPr>
          <w:rFonts w:ascii="宋体" w:hAnsi="宋体" w:eastAsia="宋体" w:cs="Times New Roman"/>
          <w:b/>
          <w:bCs/>
          <w:sz w:val="32"/>
          <w:szCs w:val="32"/>
        </w:rPr>
      </w:pPr>
      <w:r>
        <w:rPr>
          <w:rFonts w:hint="eastAsia" w:ascii="黑体" w:eastAsia="黑体" w:cs="黑体"/>
          <w:sz w:val="32"/>
          <w:szCs w:val="32"/>
          <w:lang w:val="en-US" w:eastAsia="zh-CN"/>
        </w:rPr>
        <w:t xml:space="preserve"> </w:t>
      </w:r>
      <w:r>
        <w:rPr>
          <w:rFonts w:hint="eastAsia" w:ascii="黑体" w:eastAsia="黑体" w:cs="黑体"/>
          <w:sz w:val="32"/>
          <w:szCs w:val="32"/>
        </w:rPr>
        <w:t>一、基本职能及主要工作</w:t>
      </w:r>
    </w:p>
    <w:p>
      <w:pPr>
        <w:keepNext w:val="0"/>
        <w:keepLines w:val="0"/>
        <w:pageBreakBefore w:val="0"/>
        <w:kinsoku/>
        <w:wordWrap/>
        <w:overflowPunct/>
        <w:topLinePunct w:val="0"/>
        <w:autoSpaceDE/>
        <w:autoSpaceDN/>
        <w:bidi w:val="0"/>
        <w:spacing w:afterAutospacing="0"/>
        <w:ind w:firstLine="643" w:firstLineChars="200"/>
        <w:textAlignment w:val="auto"/>
        <w:rPr>
          <w:rFonts w:ascii="仿宋_GB2312" w:hAnsi="宋体" w:eastAsia="仿宋_GB2312" w:cs="Times New Roman"/>
          <w:color w:val="000000"/>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一</w:t>
      </w:r>
      <w:r>
        <w:rPr>
          <w:rFonts w:ascii="楷体_GB2312" w:eastAsia="楷体_GB2312" w:cs="楷体_GB2312"/>
          <w:b/>
          <w:bCs/>
          <w:sz w:val="32"/>
          <w:szCs w:val="32"/>
        </w:rPr>
        <w:t>)</w:t>
      </w:r>
      <w:r>
        <w:rPr>
          <w:rFonts w:hint="eastAsia" w:ascii="楷体_GB2312" w:eastAsia="楷体_GB2312" w:cs="楷体_GB2312"/>
          <w:b/>
          <w:bCs/>
          <w:sz w:val="32"/>
          <w:szCs w:val="32"/>
        </w:rPr>
        <w:t>主要职能</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宣传贯彻党和国家有关农村经济工作的方针、政策；负责拟定全区农民专业合作组织的发展规划；参与制定全区农村市场体系和农业社会化服务体系建设发展规划。</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承担对农民专业合作组织的管理、指导、协调和服务职能。指导农民专业合作社示范建设，推进农民专业合作组织体制机制创新；引导农民专业合作组织发展现代农业，推进农业产业化经营，推动农民专业合作组织持续、健康发展。</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000000"/>
          <w:sz w:val="32"/>
          <w:szCs w:val="32"/>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组织实施“社会主义新农村现代流通服务网络工程</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建设，加快构建农村现代流通服务体系；推进农业生产资料现代经营服务网络、农村日用消费品经营网络、社区综合服务中心建设。</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000000"/>
          <w:sz w:val="32"/>
          <w:szCs w:val="32"/>
        </w:rPr>
      </w:pP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承担供销合作社行业指导、协调、监督、服务、教育培训职能；推进供销合作社体制机制创新，强化社有资产监管职能，切实履行出资人职责。</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000000"/>
          <w:sz w:val="32"/>
          <w:szCs w:val="32"/>
        </w:rPr>
      </w:pP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加强供销社基层组织建设，抓好传统业务的重组、巩固和扩大。</w:t>
      </w:r>
    </w:p>
    <w:p>
      <w:pPr>
        <w:keepNext w:val="0"/>
        <w:keepLines w:val="0"/>
        <w:pageBreakBefore w:val="0"/>
        <w:kinsoku/>
        <w:wordWrap/>
        <w:overflowPunct/>
        <w:topLinePunct w:val="0"/>
        <w:autoSpaceDE/>
        <w:autoSpaceDN/>
        <w:bidi w:val="0"/>
        <w:spacing w:afterAutospacing="0"/>
        <w:ind w:firstLine="643" w:firstLineChars="200"/>
        <w:textAlignment w:val="auto"/>
        <w:rPr>
          <w:rFonts w:ascii="仿宋_GB2312" w:hAnsi="仿宋_GB2312" w:eastAsia="仿宋_GB2312" w:cs="仿宋_GB2312"/>
          <w:sz w:val="32"/>
          <w:szCs w:val="32"/>
        </w:rPr>
      </w:pPr>
      <w:r>
        <w:rPr>
          <w:rFonts w:hint="eastAsia" w:ascii="楷体_GB2312" w:hAnsi="宋体" w:eastAsia="楷体_GB2312" w:cs="楷体_GB2312"/>
          <w:b/>
          <w:bCs/>
          <w:color w:val="000000"/>
          <w:sz w:val="32"/>
          <w:szCs w:val="32"/>
        </w:rPr>
        <w:t>（二）</w:t>
      </w:r>
      <w:r>
        <w:rPr>
          <w:rFonts w:ascii="楷体_GB2312" w:eastAsia="楷体_GB2312" w:cs="楷体_GB2312"/>
          <w:b/>
          <w:bCs/>
          <w:color w:val="000000"/>
          <w:sz w:val="32"/>
          <w:szCs w:val="32"/>
        </w:rPr>
        <w:t>20</w:t>
      </w:r>
      <w:r>
        <w:rPr>
          <w:rFonts w:hint="eastAsia" w:ascii="楷体_GB2312" w:eastAsia="楷体_GB2312" w:cs="楷体_GB2312"/>
          <w:b/>
          <w:bCs/>
          <w:color w:val="000000"/>
          <w:sz w:val="32"/>
          <w:szCs w:val="32"/>
          <w:lang w:val="en-US" w:eastAsia="zh-CN"/>
        </w:rPr>
        <w:t>24</w:t>
      </w:r>
      <w:r>
        <w:rPr>
          <w:rFonts w:hint="eastAsia" w:ascii="楷体_GB2312" w:eastAsia="楷体_GB2312" w:cs="楷体_GB2312"/>
          <w:b/>
          <w:bCs/>
          <w:color w:val="000000"/>
          <w:sz w:val="32"/>
          <w:szCs w:val="32"/>
        </w:rPr>
        <w:t>年重点工作完成情况</w:t>
      </w:r>
      <w:r>
        <w:rPr>
          <w:rFonts w:ascii="仿宋_GB2312" w:hAnsi="仿宋_GB2312" w:eastAsia="仿宋_GB2312" w:cs="仿宋_GB2312"/>
          <w:sz w:val="32"/>
          <w:szCs w:val="32"/>
        </w:rPr>
        <w:t xml:space="preserve"> </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紧盯产业发展，加快服务转变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围绕全区贵妃枣、青花椒、翠冠梨、柑橘、蔬菜、优质粮油等农业主导产业，开展生产全周期服务。一是加强与四川省供销农资集团有限公司、四川美丰化工股份有限公司等农资公司对接，加强农资产品直供业务合作，降低生产成本。二是积极与农民专业合作社、龙头企业等签订社会化服务协议，由社有企业总协调，各类新型经营主体参与的形式，全面开展农资配送、土地托管、农机服务等农业生产社会化服务工作，保障农业生产。三是直接参与农产品销售。推动社有企业与农批市场、连锁超市、电商平台等开展多种形式合作，不断拓展丰富农产品供销渠道。</w:t>
      </w:r>
    </w:p>
    <w:p>
      <w:pPr>
        <w:spacing w:line="576" w:lineRule="exact"/>
        <w:ind w:firstLine="643" w:firstLineChars="200"/>
        <w:rPr>
          <w:rFonts w:ascii="仿宋" w:hAnsi="仿宋" w:eastAsia="仿宋" w:cs="Times New Roman"/>
          <w:sz w:val="32"/>
          <w:szCs w:val="32"/>
        </w:rPr>
      </w:pPr>
      <w:r>
        <w:rPr>
          <w:rFonts w:hint="eastAsia" w:ascii="楷体_GB2312" w:hAnsi="楷体_GB2312" w:eastAsia="楷体_GB2312" w:cs="楷体_GB2312"/>
          <w:b/>
          <w:bCs/>
          <w:sz w:val="32"/>
          <w:szCs w:val="32"/>
          <w:lang w:val="en-US" w:eastAsia="zh-CN"/>
        </w:rPr>
        <w:t>2.建强组织体系，推进体系建设。</w:t>
      </w:r>
      <w:r>
        <w:rPr>
          <w:rFonts w:hint="eastAsia" w:ascii="仿宋_GB2312" w:hAnsi="仿宋_GB2312" w:eastAsia="仿宋_GB2312" w:cs="仿宋_GB2312"/>
          <w:sz w:val="32"/>
          <w:szCs w:val="32"/>
        </w:rPr>
        <w:t>以供销合作社联合社为主导、社有企业为主体、镇、村级供销社为骨干，全力构建供销合作体系，打通全区农产品“产、供、销”关键环节。</w:t>
      </w:r>
      <w:r>
        <w:rPr>
          <w:rFonts w:hint="eastAsia" w:ascii="仿宋" w:hAnsi="仿宋" w:eastAsia="仿宋" w:cs="Times New Roman"/>
          <w:sz w:val="32"/>
          <w:szCs w:val="32"/>
        </w:rPr>
        <w:t>一方面通</w:t>
      </w:r>
      <w:r>
        <w:rPr>
          <w:rFonts w:hint="eastAsia" w:ascii="仿宋_GB2312" w:hAnsi="仿宋_GB2312" w:eastAsia="仿宋_GB2312" w:cs="仿宋_GB2312"/>
          <w:sz w:val="32"/>
          <w:szCs w:val="32"/>
        </w:rPr>
        <w:t>过社有企业与金融机构、物流快递公司、农资公司、农民专业合作社、家庭农场等机构合作，将为农服务充分延伸到村、社，构建具有供销特色的上下贯通、双线运行、区社整体协调管理的运行机制。另一方面，采取以金山镇、新盛镇、略坪镇三个中心镇和略坪镇广安村等13个中心村为先导，逐步在全区布局规划建设基层社，建立以农资配送、农产品购销、日用产品销售、农机</w:t>
      </w:r>
      <w:r>
        <w:rPr>
          <w:rFonts w:hint="eastAsia" w:ascii="仿宋_GB2312" w:hAnsi="仿宋" w:eastAsia="仿宋_GB2312" w:cs="Times New Roman"/>
          <w:sz w:val="32"/>
          <w:szCs w:val="32"/>
        </w:rPr>
        <w:t>服务等为民服务机制，</w:t>
      </w:r>
      <w:r>
        <w:rPr>
          <w:rFonts w:hint="eastAsia" w:ascii="仿宋_GB2312" w:hAnsi="仿宋_GB2312" w:eastAsia="仿宋_GB2312" w:cs="仿宋_GB2312"/>
          <w:sz w:val="32"/>
          <w:szCs w:val="32"/>
        </w:rPr>
        <w:t>不断提升“区、镇、村”供销合作体系的活力和服务能力。</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val="en-US" w:eastAsia="zh-CN"/>
        </w:rPr>
        <w:t>3.强化能力提升，拓展服务功能。</w:t>
      </w:r>
      <w:r>
        <w:rPr>
          <w:rFonts w:hint="eastAsia" w:ascii="仿宋_GB2312" w:hAnsi="仿宋" w:eastAsia="仿宋_GB2312" w:cs="Times New Roman"/>
          <w:sz w:val="32"/>
          <w:szCs w:val="32"/>
        </w:rPr>
        <w:t>以村集体经济组织、镇、村供销社、农民专业合作社等新型农业经营主体共同参与的基层社供销组织为核心，联合为农服务中心和供销经营网点，扩展服务功能。一是组织镇、村基层社承接农产品加工、储藏、销售、土地整理、人居环境整治、劳务输出、高标准农田建设等相关涉农项目及其他公共服务，不断拓宽服务范围。二是吸纳“土专家”、农村能人、返乡创业人员和退伍军人加入</w:t>
      </w:r>
      <w:r>
        <w:rPr>
          <w:rFonts w:hint="eastAsia" w:ascii="仿宋_GB2312" w:hAnsi="仿宋_GB2312" w:eastAsia="仿宋_GB2312" w:cs="仿宋_GB2312"/>
          <w:color w:val="000000"/>
          <w:sz w:val="32"/>
          <w:szCs w:val="32"/>
        </w:rPr>
        <w:t>农业社会化服务队伍建设，全方位开展农资配送、农机指导、农机耕作、统防统治等农业社会化服务。三是积极开展“供销+政务”，进一步赋予供销新能量，实现民生服务到家。</w:t>
      </w:r>
    </w:p>
    <w:p>
      <w:pPr>
        <w:keepNext w:val="0"/>
        <w:keepLines w:val="0"/>
        <w:pageBreakBefore w:val="0"/>
        <w:kinsoku/>
        <w:wordWrap/>
        <w:overflowPunct/>
        <w:topLinePunct w:val="0"/>
        <w:autoSpaceDE/>
        <w:autoSpaceDN/>
        <w:bidi w:val="0"/>
        <w:spacing w:afterAutospacing="0"/>
        <w:textAlignment w:val="auto"/>
        <w:rPr>
          <w:rFonts w:ascii="黑体" w:hAnsi="仿宋_GB2312" w:eastAsia="黑体" w:cs="Times New Roman"/>
          <w:sz w:val="32"/>
          <w:szCs w:val="32"/>
        </w:rPr>
      </w:pPr>
      <w:r>
        <w:rPr>
          <w:rFonts w:hint="eastAsia" w:ascii="仿宋_GB2312" w:hAnsi="仿宋_GB2312" w:eastAsia="仿宋_GB2312" w:cs="仿宋_GB2312"/>
          <w:bCs/>
          <w:sz w:val="32"/>
          <w:szCs w:val="32"/>
          <w:lang w:val="en-US" w:eastAsia="zh-CN"/>
        </w:rPr>
        <w:t xml:space="preserve"> </w:t>
      </w:r>
      <w:r>
        <w:rPr>
          <w:rFonts w:hint="eastAsia" w:ascii="黑体" w:hAnsi="仿宋_GB2312" w:eastAsia="黑体" w:cs="黑体"/>
          <w:sz w:val="32"/>
          <w:szCs w:val="32"/>
        </w:rPr>
        <w:t>二、部门概况</w:t>
      </w:r>
    </w:p>
    <w:p>
      <w:pPr>
        <w:keepNext w:val="0"/>
        <w:keepLines w:val="0"/>
        <w:pageBreakBefore w:val="0"/>
        <w:kinsoku/>
        <w:wordWrap/>
        <w:overflowPunct/>
        <w:topLinePunct w:val="0"/>
        <w:autoSpaceDE/>
        <w:autoSpaceDN/>
        <w:bidi w:val="0"/>
        <w:spacing w:afterAutospacing="0"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区供销社是参照公务员法管理的事业单位，</w:t>
      </w:r>
      <w:r>
        <w:rPr>
          <w:rFonts w:hint="eastAsia" w:ascii="仿宋_GB2312" w:hAnsi="宋体" w:eastAsia="仿宋_GB2312" w:cs="仿宋_GB2312"/>
          <w:color w:val="000000"/>
          <w:sz w:val="32"/>
          <w:szCs w:val="32"/>
        </w:rPr>
        <w:t>设</w:t>
      </w:r>
      <w:r>
        <w:rPr>
          <w:rFonts w:hint="eastAsia" w:ascii="仿宋_GB2312" w:hAnsi="宋体" w:eastAsia="仿宋_GB2312" w:cs="仿宋_GB2312"/>
          <w:color w:val="000000"/>
          <w:sz w:val="32"/>
          <w:szCs w:val="32"/>
          <w:lang w:val="en-US" w:eastAsia="zh-CN"/>
        </w:rPr>
        <w:t>3</w:t>
      </w:r>
      <w:r>
        <w:rPr>
          <w:rFonts w:hint="eastAsia" w:ascii="仿宋_GB2312" w:hAnsi="宋体" w:eastAsia="仿宋_GB2312" w:cs="仿宋_GB2312"/>
          <w:color w:val="000000"/>
          <w:sz w:val="32"/>
          <w:szCs w:val="32"/>
        </w:rPr>
        <w:t>个内设机构，</w:t>
      </w:r>
      <w:r>
        <w:rPr>
          <w:rFonts w:hint="eastAsia" w:ascii="仿宋_GB2312" w:hAnsi="宋体" w:eastAsia="仿宋_GB2312" w:cs="仿宋_GB2312"/>
          <w:color w:val="000000"/>
          <w:sz w:val="32"/>
          <w:szCs w:val="32"/>
          <w:lang w:eastAsia="zh-CN"/>
        </w:rPr>
        <w:t>社</w:t>
      </w:r>
      <w:r>
        <w:rPr>
          <w:rFonts w:hint="eastAsia" w:ascii="仿宋_GB2312" w:hAnsi="宋体" w:eastAsia="仿宋_GB2312" w:cs="仿宋_GB2312"/>
          <w:color w:val="000000"/>
          <w:sz w:val="32"/>
          <w:szCs w:val="32"/>
        </w:rPr>
        <w:t>办公室、综合指导股</w:t>
      </w:r>
      <w:r>
        <w:rPr>
          <w:rFonts w:hint="eastAsia" w:ascii="仿宋_GB2312" w:hAnsi="宋体" w:eastAsia="仿宋_GB2312" w:cs="仿宋_GB2312"/>
          <w:color w:val="000000"/>
          <w:sz w:val="32"/>
          <w:szCs w:val="32"/>
          <w:lang w:eastAsia="zh-CN"/>
        </w:rPr>
        <w:t>、监事会办公室</w:t>
      </w:r>
      <w:r>
        <w:rPr>
          <w:rFonts w:hint="eastAsia" w:ascii="仿宋_GB2312" w:hAnsi="仿宋_GB2312" w:eastAsia="仿宋_GB2312" w:cs="仿宋_GB2312"/>
          <w:sz w:val="32"/>
          <w:szCs w:val="32"/>
        </w:rPr>
        <w:t>，无下属二级决算单位。单位总编制人数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人，在职人数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参公管理人员</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，退休人员</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sz w:val="32"/>
          <w:szCs w:val="32"/>
        </w:rPr>
      </w:pPr>
      <w:r>
        <w:rPr>
          <w:rFonts w:hint="eastAsia" w:ascii="黑体" w:hAnsi="宋体" w:eastAsia="黑体" w:cs="黑体"/>
          <w:sz w:val="32"/>
          <w:szCs w:val="32"/>
        </w:rPr>
        <w:t>三、收支预算增减变化情况说明</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宋体" w:eastAsia="仿宋_GB2312" w:cs="仿宋_GB2312"/>
          <w:sz w:val="32"/>
          <w:szCs w:val="32"/>
        </w:rPr>
        <w:t>按照综合预算的原则，</w:t>
      </w:r>
      <w:r>
        <w:rPr>
          <w:rFonts w:hint="eastAsia" w:ascii="仿宋_GB2312" w:hAnsi="??_GB2312" w:eastAsia="仿宋_GB2312" w:cs="仿宋_GB2312"/>
          <w:sz w:val="32"/>
          <w:szCs w:val="32"/>
        </w:rPr>
        <w:t>供销社</w:t>
      </w:r>
      <w:r>
        <w:rPr>
          <w:rFonts w:hint="eastAsia" w:ascii="仿宋_GB2312" w:hAnsi="宋体" w:eastAsia="仿宋_GB2312" w:cs="仿宋_GB2312"/>
          <w:sz w:val="32"/>
          <w:szCs w:val="32"/>
        </w:rPr>
        <w:t>所有收支数据，全部纳入部门预算管理。</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175.28</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万元，主要是人员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所致；支出</w:t>
      </w:r>
      <w:r>
        <w:rPr>
          <w:rFonts w:hint="eastAsia" w:ascii="仿宋_GB2312" w:hAnsi="仿宋_GB2312" w:eastAsia="仿宋_GB2312" w:cs="仿宋_GB2312"/>
          <w:sz w:val="32"/>
          <w:szCs w:val="32"/>
          <w:lang w:val="en-US" w:eastAsia="zh-CN"/>
        </w:rPr>
        <w:t xml:space="preserve"> 175.28 </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万元，主要是人员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所致。</w:t>
      </w:r>
      <w:r>
        <w:rPr>
          <w:rFonts w:ascii="仿宋_GB2312" w:hAnsi="仿宋_GB2312" w:eastAsia="仿宋_GB2312" w:cs="仿宋_GB2312"/>
          <w:sz w:val="32"/>
          <w:szCs w:val="32"/>
        </w:rPr>
        <w:t xml:space="preserve"> </w:t>
      </w:r>
    </w:p>
    <w:bookmarkEnd w:id="0"/>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_GB2312" w:eastAsia="楷体_GB2312" w:cs="Times New Roman"/>
          <w:b/>
          <w:bCs/>
          <w:sz w:val="32"/>
          <w:szCs w:val="32"/>
        </w:rPr>
      </w:pPr>
      <w:r>
        <w:rPr>
          <w:rFonts w:hint="eastAsia" w:ascii="楷体_GB2312" w:hAnsi="宋体" w:eastAsia="楷体_GB2312" w:cs="楷体_GB2312"/>
          <w:b/>
          <w:bCs/>
          <w:sz w:val="32"/>
          <w:szCs w:val="32"/>
        </w:rPr>
        <w:t>（一）收入预算情况</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_GB2312" w:eastAsia="仿宋_GB2312" w:cs="Times New Roman"/>
          <w:sz w:val="32"/>
          <w:szCs w:val="32"/>
          <w:lang w:val="en-US" w:eastAsia="zh-CN"/>
        </w:rPr>
      </w:pPr>
      <w:r>
        <w:rPr>
          <w:rFonts w:hint="eastAsia" w:ascii="仿宋_GB2312" w:hAnsi="??_GB2312" w:eastAsia="仿宋_GB2312" w:cs="仿宋_GB2312"/>
          <w:sz w:val="32"/>
          <w:szCs w:val="32"/>
          <w:lang w:val="en-US" w:eastAsia="zh-CN"/>
        </w:rPr>
        <w:t>2024</w:t>
      </w:r>
      <w:r>
        <w:rPr>
          <w:rFonts w:hint="eastAsia" w:ascii="仿宋_GB2312" w:hAnsi="宋体" w:eastAsia="仿宋_GB2312" w:cs="仿宋_GB2312"/>
          <w:sz w:val="32"/>
          <w:szCs w:val="32"/>
        </w:rPr>
        <w:t>年收入预算</w:t>
      </w:r>
      <w:r>
        <w:rPr>
          <w:rFonts w:hint="eastAsia" w:ascii="仿宋_GB2312" w:hAnsi="仿宋_GB2312" w:eastAsia="仿宋_GB2312" w:cs="仿宋_GB2312"/>
          <w:sz w:val="32"/>
          <w:szCs w:val="32"/>
          <w:lang w:val="en-US" w:eastAsia="zh-CN"/>
        </w:rPr>
        <w:t>175.28</w:t>
      </w:r>
      <w:r>
        <w:rPr>
          <w:rFonts w:hint="eastAsia" w:ascii="仿宋_GB2312" w:hAnsi="宋体"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165.28</w:t>
      </w:r>
      <w:r>
        <w:rPr>
          <w:rFonts w:hint="eastAsia" w:ascii="仿宋_GB2312" w:hAnsi="宋体" w:eastAsia="仿宋_GB2312" w:cs="仿宋_GB2312"/>
          <w:sz w:val="32"/>
          <w:szCs w:val="32"/>
        </w:rPr>
        <w:t>万元，</w:t>
      </w:r>
      <w:r>
        <w:rPr>
          <w:rFonts w:hint="default" w:ascii="仿宋_GB2312" w:eastAsia="仿宋_GB2312" w:cs="仿宋_GB2312"/>
          <w:sz w:val="31"/>
          <w:szCs w:val="31"/>
          <w:shd w:val="clear" w:fill="FFFFFF"/>
        </w:rPr>
        <w:t>上年结转</w:t>
      </w:r>
      <w:r>
        <w:rPr>
          <w:rFonts w:hint="eastAsia" w:ascii="仿宋_GB2312" w:eastAsia="仿宋_GB2312" w:cs="仿宋_GB2312"/>
          <w:sz w:val="31"/>
          <w:szCs w:val="31"/>
          <w:shd w:val="clear" w:fill="FFFFFF"/>
          <w:lang w:val="en-US" w:eastAsia="zh-CN"/>
        </w:rPr>
        <w:t>10</w:t>
      </w:r>
      <w:r>
        <w:rPr>
          <w:rFonts w:hint="default" w:ascii="仿宋_GB2312" w:eastAsia="仿宋_GB2312" w:cs="仿宋_GB2312"/>
          <w:sz w:val="31"/>
          <w:szCs w:val="31"/>
          <w:shd w:val="clear" w:fill="FFFFFF"/>
        </w:rPr>
        <w:t>万元</w:t>
      </w:r>
      <w:r>
        <w:rPr>
          <w:rFonts w:hint="eastAsia" w:ascii="仿宋_GB2312" w:eastAsia="仿宋_GB2312" w:cs="仿宋_GB2312"/>
          <w:sz w:val="31"/>
          <w:szCs w:val="31"/>
          <w:shd w:val="clear" w:fill="FFFFFF"/>
          <w:lang w:eastAsia="zh-CN"/>
        </w:rPr>
        <w:t>。</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_GB2312" w:eastAsia="楷体_GB2312" w:cs="Times New Roman"/>
          <w:b/>
          <w:bCs/>
          <w:sz w:val="32"/>
          <w:szCs w:val="32"/>
        </w:rPr>
      </w:pPr>
      <w:r>
        <w:rPr>
          <w:rFonts w:hint="eastAsia" w:ascii="楷体_GB2312" w:hAnsi="宋体" w:eastAsia="楷体_GB2312" w:cs="楷体_GB2312"/>
          <w:b/>
          <w:bCs/>
          <w:sz w:val="32"/>
          <w:szCs w:val="32"/>
        </w:rPr>
        <w:t>（二）支出预算情况</w:t>
      </w:r>
    </w:p>
    <w:p>
      <w:pPr>
        <w:keepNext w:val="0"/>
        <w:keepLines w:val="0"/>
        <w:pageBreakBefore w:val="0"/>
        <w:kinsoku/>
        <w:wordWrap/>
        <w:overflowPunct/>
        <w:topLinePunct w:val="0"/>
        <w:autoSpaceDE/>
        <w:autoSpaceDN/>
        <w:bidi w:val="0"/>
        <w:spacing w:afterAutospacing="0"/>
        <w:ind w:firstLine="640" w:firstLineChars="200"/>
        <w:textAlignment w:val="auto"/>
        <w:rPr>
          <w:rFonts w:ascii="??_GB2312" w:hAnsi="??_GB2312" w:cs="??_GB2312"/>
          <w:sz w:val="32"/>
          <w:szCs w:val="32"/>
        </w:rPr>
      </w:pPr>
      <w:r>
        <w:rPr>
          <w:rFonts w:hint="eastAsia" w:ascii="仿宋_GB2312" w:hAnsi="??_GB2312" w:eastAsia="仿宋_GB2312" w:cs="仿宋_GB2312"/>
          <w:sz w:val="32"/>
          <w:szCs w:val="32"/>
          <w:lang w:val="en-US" w:eastAsia="zh-CN"/>
        </w:rPr>
        <w:t>2024</w:t>
      </w:r>
      <w:r>
        <w:rPr>
          <w:rFonts w:hint="eastAsia" w:ascii="仿宋_GB2312" w:hAnsi="宋体" w:eastAsia="仿宋_GB2312" w:cs="仿宋_GB2312"/>
          <w:sz w:val="32"/>
          <w:szCs w:val="32"/>
        </w:rPr>
        <w:t>年支出预算</w:t>
      </w:r>
      <w:r>
        <w:rPr>
          <w:rFonts w:hint="eastAsia" w:ascii="仿宋_GB2312" w:hAnsi="仿宋_GB2312" w:eastAsia="仿宋_GB2312" w:cs="仿宋_GB2312"/>
          <w:sz w:val="32"/>
          <w:szCs w:val="32"/>
          <w:lang w:val="en-US" w:eastAsia="zh-CN"/>
        </w:rPr>
        <w:t>175.28</w:t>
      </w:r>
      <w:r>
        <w:rPr>
          <w:rFonts w:hint="eastAsia" w:ascii="仿宋_GB2312" w:hAnsi="宋体" w:eastAsia="仿宋_GB2312" w:cs="仿宋_GB2312"/>
          <w:sz w:val="32"/>
          <w:szCs w:val="32"/>
        </w:rPr>
        <w:t>万元，其中：基本支出</w:t>
      </w:r>
      <w:r>
        <w:rPr>
          <w:rFonts w:hint="eastAsia" w:ascii="仿宋_GB2312" w:hAnsi="仿宋_GB2312" w:eastAsia="仿宋_GB2312" w:cs="仿宋_GB2312"/>
          <w:sz w:val="32"/>
          <w:szCs w:val="32"/>
          <w:lang w:val="en-US" w:eastAsia="zh-CN"/>
        </w:rPr>
        <w:t>165.28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项目支出</w:t>
      </w:r>
      <w:r>
        <w:rPr>
          <w:rFonts w:hint="eastAsia" w:ascii="仿宋_GB2312" w:hAnsi="宋体" w:eastAsia="仿宋_GB2312" w:cs="仿宋_GB2312"/>
          <w:sz w:val="32"/>
          <w:szCs w:val="32"/>
          <w:lang w:val="en-US" w:eastAsia="zh-CN"/>
        </w:rPr>
        <w:t xml:space="preserve">10万元 </w:t>
      </w:r>
      <w:r>
        <w:rPr>
          <w:rFonts w:hint="eastAsia" w:hAnsi="宋体"/>
          <w:sz w:val="32"/>
          <w:szCs w:val="32"/>
        </w:rPr>
        <w:t>。</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_GB2312" w:eastAsia="黑体" w:cs="Times New Roman"/>
          <w:sz w:val="32"/>
          <w:szCs w:val="32"/>
        </w:rPr>
      </w:pPr>
      <w:r>
        <w:rPr>
          <w:rFonts w:hint="eastAsia" w:ascii="黑体" w:hAnsi="宋体" w:eastAsia="黑体" w:cs="黑体"/>
          <w:sz w:val="32"/>
          <w:szCs w:val="32"/>
        </w:rPr>
        <w:t>四、财政拨款收支预算情况说明</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sz w:val="32"/>
          <w:szCs w:val="32"/>
        </w:rPr>
      </w:pPr>
      <w:r>
        <w:rPr>
          <w:rFonts w:hint="eastAsia" w:ascii="仿宋_GB2312" w:hAnsi="??_GB2312" w:eastAsia="仿宋_GB2312" w:cs="仿宋_GB2312"/>
          <w:sz w:val="32"/>
          <w:szCs w:val="32"/>
        </w:rPr>
        <w:t>供销社</w:t>
      </w:r>
      <w:r>
        <w:rPr>
          <w:rFonts w:hint="eastAsia" w:ascii="仿宋_GB2312" w:hAnsi="??_GB2312" w:eastAsia="仿宋_GB2312" w:cs="仿宋_GB2312"/>
          <w:sz w:val="32"/>
          <w:szCs w:val="32"/>
          <w:lang w:val="en-US" w:eastAsia="zh-CN"/>
        </w:rPr>
        <w:t>2024</w:t>
      </w:r>
      <w:r>
        <w:rPr>
          <w:rFonts w:hint="eastAsia" w:ascii="仿宋_GB2312" w:hAnsi="宋体" w:eastAsia="仿宋_GB2312" w:cs="仿宋_GB2312"/>
          <w:sz w:val="32"/>
          <w:szCs w:val="32"/>
        </w:rPr>
        <w:t>年财政拨款收支总预算</w:t>
      </w:r>
      <w:r>
        <w:rPr>
          <w:rFonts w:hint="eastAsia" w:ascii="仿宋_GB2312" w:hAnsi="仿宋_GB2312" w:eastAsia="仿宋_GB2312" w:cs="仿宋_GB2312"/>
          <w:sz w:val="32"/>
          <w:szCs w:val="32"/>
          <w:lang w:val="en-US" w:eastAsia="zh-CN"/>
        </w:rPr>
        <w:t>175.28</w:t>
      </w:r>
      <w:r>
        <w:rPr>
          <w:rFonts w:hint="eastAsia" w:ascii="仿宋_GB2312" w:hAnsi="宋体" w:eastAsia="仿宋_GB2312" w:cs="仿宋_GB2312"/>
          <w:sz w:val="32"/>
          <w:szCs w:val="32"/>
        </w:rPr>
        <w:t>万元。本年一般公共预算拨款收入</w:t>
      </w:r>
      <w:r>
        <w:rPr>
          <w:rFonts w:hint="eastAsia" w:ascii="仿宋_GB2312" w:hAnsi="仿宋_GB2312" w:eastAsia="仿宋_GB2312" w:cs="仿宋_GB2312"/>
          <w:sz w:val="32"/>
          <w:szCs w:val="32"/>
          <w:lang w:val="en-US" w:eastAsia="zh-CN"/>
        </w:rPr>
        <w:t>165.28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default" w:ascii="仿宋_GB2312" w:eastAsia="仿宋_GB2312" w:cs="仿宋_GB2312"/>
          <w:sz w:val="31"/>
          <w:szCs w:val="31"/>
          <w:shd w:val="clear" w:fill="FFFFFF"/>
        </w:rPr>
        <w:t>上年结转</w:t>
      </w:r>
      <w:r>
        <w:rPr>
          <w:rFonts w:hint="eastAsia" w:ascii="仿宋_GB2312" w:eastAsia="仿宋_GB2312" w:cs="仿宋_GB2312"/>
          <w:sz w:val="31"/>
          <w:szCs w:val="31"/>
          <w:shd w:val="clear" w:fill="FFFFFF"/>
          <w:lang w:val="en-US" w:eastAsia="zh-CN"/>
        </w:rPr>
        <w:t>10</w:t>
      </w:r>
      <w:r>
        <w:rPr>
          <w:rFonts w:hint="default" w:ascii="仿宋_GB2312" w:eastAsia="仿宋_GB2312" w:cs="仿宋_GB2312"/>
          <w:sz w:val="31"/>
          <w:szCs w:val="31"/>
          <w:shd w:val="clear" w:fill="FFFFFF"/>
        </w:rPr>
        <w:t>万元</w:t>
      </w:r>
      <w:r>
        <w:rPr>
          <w:rFonts w:hint="eastAsia" w:ascii="仿宋_GB2312" w:eastAsia="仿宋_GB2312" w:cs="仿宋_GB2312"/>
          <w:sz w:val="31"/>
          <w:szCs w:val="31"/>
          <w:shd w:val="clear" w:fill="FFFFFF"/>
          <w:lang w:eastAsia="zh-CN"/>
        </w:rPr>
        <w:t>。</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_GB2312" w:eastAsia="黑体" w:cs="Times New Roman"/>
          <w:sz w:val="32"/>
          <w:szCs w:val="32"/>
        </w:rPr>
      </w:pPr>
      <w:r>
        <w:rPr>
          <w:rFonts w:hint="eastAsia" w:ascii="黑体" w:hAnsi="宋体" w:eastAsia="黑体" w:cs="黑体"/>
          <w:sz w:val="32"/>
          <w:szCs w:val="32"/>
        </w:rPr>
        <w:t>五、一般公共预算当年拨款情况说明</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_GB2312" w:eastAsia="楷体_GB2312" w:cs="Times New Roman"/>
          <w:b/>
          <w:bCs/>
          <w:sz w:val="32"/>
          <w:szCs w:val="32"/>
        </w:rPr>
      </w:pPr>
      <w:r>
        <w:rPr>
          <w:rFonts w:hint="eastAsia" w:ascii="楷体_GB2312" w:hAnsi="宋体" w:eastAsia="楷体_GB2312" w:cs="楷体_GB2312"/>
          <w:b/>
          <w:bCs/>
          <w:sz w:val="32"/>
          <w:szCs w:val="32"/>
        </w:rPr>
        <w:t>（一）一般公共预算当年拨款规模变化情况</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_GB2312" w:eastAsia="仿宋_GB2312" w:cs="仿宋_GB2312"/>
          <w:sz w:val="32"/>
          <w:szCs w:val="32"/>
        </w:rPr>
        <w:t>供销社</w:t>
      </w:r>
      <w:r>
        <w:rPr>
          <w:rFonts w:hint="eastAsia" w:ascii="仿宋_GB2312" w:hAnsi="??_GB2312" w:eastAsia="仿宋_GB2312" w:cs="仿宋_GB2312"/>
          <w:sz w:val="32"/>
          <w:szCs w:val="32"/>
          <w:lang w:val="en-US" w:eastAsia="zh-CN"/>
        </w:rPr>
        <w:t>2024</w:t>
      </w:r>
      <w:r>
        <w:rPr>
          <w:rFonts w:hint="eastAsia" w:ascii="仿宋_GB2312" w:hAnsi="宋体"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165.28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default" w:ascii="仿宋_GB2312" w:eastAsia="仿宋_GB2312" w:cs="仿宋_GB2312"/>
          <w:sz w:val="31"/>
          <w:szCs w:val="31"/>
          <w:shd w:val="clear" w:fill="FFFFFF"/>
        </w:rPr>
        <w:t>上年结转</w:t>
      </w:r>
      <w:r>
        <w:rPr>
          <w:rFonts w:hint="eastAsia" w:ascii="仿宋_GB2312" w:eastAsia="仿宋_GB2312" w:cs="仿宋_GB2312"/>
          <w:sz w:val="31"/>
          <w:szCs w:val="31"/>
          <w:shd w:val="clear" w:fill="FFFFFF"/>
          <w:lang w:val="en-US" w:eastAsia="zh-CN"/>
        </w:rPr>
        <w:t>10</w:t>
      </w:r>
      <w:r>
        <w:rPr>
          <w:rFonts w:hint="default" w:ascii="仿宋_GB2312" w:eastAsia="仿宋_GB2312" w:cs="仿宋_GB2312"/>
          <w:sz w:val="31"/>
          <w:szCs w:val="31"/>
          <w:shd w:val="clear" w:fill="FFFFFF"/>
        </w:rPr>
        <w:t>万元</w:t>
      </w:r>
      <w:r>
        <w:rPr>
          <w:rFonts w:hint="eastAsia" w:ascii="仿宋_GB2312" w:eastAsia="仿宋_GB2312" w:cs="仿宋_GB2312"/>
          <w:sz w:val="31"/>
          <w:szCs w:val="31"/>
          <w:shd w:val="clear" w:fill="FFFFFF"/>
          <w:lang w:eastAsia="zh-CN"/>
        </w:rPr>
        <w:t>。</w:t>
      </w:r>
      <w:r>
        <w:rPr>
          <w:rFonts w:hint="eastAsia" w:ascii="仿宋_GB2312" w:hAnsi="宋体" w:eastAsia="仿宋_GB2312" w:cs="仿宋_GB2312"/>
          <w:sz w:val="32"/>
          <w:szCs w:val="32"/>
        </w:rPr>
        <w:t>比</w:t>
      </w:r>
      <w:r>
        <w:rPr>
          <w:rFonts w:ascii="仿宋_GB2312" w:hAnsi="??_GB2312" w:eastAsia="仿宋_GB2312" w:cs="仿宋_GB2312"/>
          <w:sz w:val="32"/>
          <w:szCs w:val="32"/>
        </w:rPr>
        <w:t>20</w:t>
      </w:r>
      <w:r>
        <w:rPr>
          <w:rFonts w:hint="eastAsia" w:ascii="仿宋_GB2312" w:hAnsi="??_GB2312" w:eastAsia="仿宋_GB2312" w:cs="仿宋_GB2312"/>
          <w:sz w:val="32"/>
          <w:szCs w:val="32"/>
          <w:lang w:val="en-US" w:eastAsia="zh-CN"/>
        </w:rPr>
        <w:t>23</w:t>
      </w:r>
      <w:r>
        <w:rPr>
          <w:rFonts w:hint="eastAsia" w:ascii="仿宋_GB2312" w:hAnsi="宋体" w:eastAsia="仿宋_GB2312" w:cs="仿宋_GB2312"/>
          <w:sz w:val="32"/>
          <w:szCs w:val="32"/>
        </w:rPr>
        <w:t>年预算</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万元，主要是人员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所致。</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仿宋_GB2312" w:eastAsia="楷体_GB2312" w:cs="Times New Roman"/>
          <w:b/>
          <w:bCs/>
          <w:sz w:val="32"/>
          <w:szCs w:val="32"/>
        </w:rPr>
      </w:pPr>
      <w:r>
        <w:rPr>
          <w:rFonts w:hint="eastAsia" w:ascii="楷体_GB2312" w:hAnsi="宋体" w:eastAsia="楷体_GB2312" w:cs="楷体_GB2312"/>
          <w:b/>
          <w:bCs/>
          <w:sz w:val="32"/>
          <w:szCs w:val="32"/>
        </w:rPr>
        <w:t>（二）一般公共预算当年拨款结构情况</w:t>
      </w:r>
      <w:r>
        <w:rPr>
          <w:rFonts w:ascii="楷体_GB2312" w:hAnsi="??_GB2312" w:eastAsia="楷体_GB2312" w:cs="楷体_GB2312"/>
          <w:b/>
          <w:bCs/>
          <w:sz w:val="32"/>
          <w:szCs w:val="32"/>
        </w:rPr>
        <w:t>(</w:t>
      </w:r>
      <w:r>
        <w:rPr>
          <w:rFonts w:hint="eastAsia" w:ascii="楷体_GB2312" w:hAnsi="宋体" w:eastAsia="楷体_GB2312" w:cs="楷体_GB2312"/>
          <w:b/>
          <w:bCs/>
          <w:sz w:val="32"/>
          <w:szCs w:val="32"/>
        </w:rPr>
        <w:t>按照功能科目类写</w:t>
      </w:r>
      <w:r>
        <w:rPr>
          <w:rFonts w:ascii="楷体_GB2312" w:hAnsi="??_GB2312" w:eastAsia="楷体_GB2312" w:cs="楷体_GB2312"/>
          <w:b/>
          <w:bCs/>
          <w:sz w:val="32"/>
          <w:szCs w:val="32"/>
        </w:rPr>
        <w:t>)</w:t>
      </w:r>
      <w:r>
        <w:rPr>
          <w:rFonts w:ascii="楷体_GB2312" w:hAnsi="仿宋_GB2312" w:eastAsia="楷体_GB2312" w:cs="楷体_GB2312"/>
          <w:b/>
          <w:bCs/>
          <w:sz w:val="32"/>
          <w:szCs w:val="32"/>
        </w:rPr>
        <w:t xml:space="preserve"> </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 xml:space="preserve"> 29.48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 xml:space="preserve"> 16.82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）商业服务业等支出</w:t>
      </w:r>
      <w:r>
        <w:rPr>
          <w:rFonts w:hint="eastAsia" w:ascii="仿宋_GB2312" w:hAnsi="仿宋_GB2312" w:eastAsia="仿宋_GB2312" w:cs="仿宋_GB2312"/>
          <w:sz w:val="32"/>
          <w:szCs w:val="32"/>
          <w:lang w:val="en-US" w:eastAsia="zh-CN"/>
        </w:rPr>
        <w:t xml:space="preserve"> 131.50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 xml:space="preserve">75.02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 xml:space="preserve"> 5.46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仿宋_GB2312" w:eastAsia="楷体_GB2312" w:cs="Times New Roman"/>
          <w:b/>
          <w:bCs/>
          <w:sz w:val="32"/>
          <w:szCs w:val="32"/>
        </w:rPr>
      </w:pPr>
      <w:r>
        <w:rPr>
          <w:rFonts w:hint="eastAsia" w:ascii="楷体_GB2312" w:eastAsia="楷体_GB2312" w:cs="楷体_GB2312"/>
          <w:b/>
          <w:bCs/>
          <w:sz w:val="32"/>
          <w:szCs w:val="32"/>
        </w:rPr>
        <w:t>（</w:t>
      </w:r>
      <w:r>
        <w:rPr>
          <w:rFonts w:hint="eastAsia" w:ascii="楷体_GB2312" w:hAnsi="仿宋_GB2312" w:eastAsia="楷体_GB2312" w:cs="楷体_GB2312"/>
          <w:b/>
          <w:bCs/>
          <w:sz w:val="32"/>
          <w:szCs w:val="32"/>
        </w:rPr>
        <w:t>三）一般公共预算当年拨款具体使用情况（按功能科目类款项写）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社会保障和就业支出（类）行政事业单位离退休（款）机关事业单位基本养老保险缴费支出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s="仿宋_GB2312"/>
          <w:kern w:val="2"/>
          <w:sz w:val="32"/>
          <w:szCs w:val="32"/>
          <w:lang w:val="en-US" w:eastAsia="zh-CN" w:bidi="ar-SA"/>
        </w:rPr>
        <w:t>11.50万元，</w:t>
      </w:r>
      <w:r>
        <w:rPr>
          <w:rFonts w:hint="eastAsia" w:ascii="仿宋_GB2312" w:hAnsi="仿宋_GB2312" w:eastAsia="仿宋_GB2312" w:cs="仿宋_GB2312"/>
          <w:sz w:val="32"/>
          <w:szCs w:val="32"/>
        </w:rPr>
        <w:t>主要</w:t>
      </w:r>
      <w:r>
        <w:rPr>
          <w:rFonts w:hint="eastAsia" w:ascii="仿宋_GB2312" w:hAnsi="仿宋_GB2312" w:eastAsia="仿宋_GB2312" w:cs="仿宋_GB2312"/>
          <w:kern w:val="2"/>
          <w:sz w:val="32"/>
          <w:szCs w:val="32"/>
          <w:lang w:val="en-US" w:eastAsia="zh-CN" w:bidi="ar-SA"/>
        </w:rPr>
        <w:t>用于在职人员基本养老保险缴费。</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2.社会保障和就业支出（类）行政事业单位离退休（款）机关事业单位职业年金缴费支出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s="仿宋_GB2312"/>
          <w:kern w:val="2"/>
          <w:sz w:val="32"/>
          <w:szCs w:val="32"/>
          <w:lang w:val="en-US" w:eastAsia="zh-CN" w:bidi="ar-SA"/>
        </w:rPr>
        <w:t>5.75万元，</w:t>
      </w:r>
      <w:r>
        <w:rPr>
          <w:rFonts w:hint="eastAsia" w:ascii="仿宋_GB2312" w:hAnsi="仿宋_GB2312" w:eastAsia="仿宋_GB2312" w:cs="仿宋_GB2312"/>
          <w:sz w:val="32"/>
          <w:szCs w:val="32"/>
        </w:rPr>
        <w:t>主要</w:t>
      </w:r>
      <w:r>
        <w:rPr>
          <w:rFonts w:hint="eastAsia" w:ascii="仿宋_GB2312" w:hAnsi="仿宋_GB2312" w:eastAsia="仿宋_GB2312" w:cs="仿宋_GB2312"/>
          <w:kern w:val="2"/>
          <w:sz w:val="32"/>
          <w:szCs w:val="32"/>
          <w:lang w:val="en-US" w:eastAsia="zh-CN" w:bidi="ar-SA"/>
        </w:rPr>
        <w:t>用于在职人员职业年金缴费。</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1" w:name="_GoBack"/>
      <w:bookmarkEnd w:id="1"/>
      <w:r>
        <w:rPr>
          <w:rFonts w:hint="eastAsia" w:ascii="仿宋_GB2312" w:hAnsi="仿宋_GB2312" w:eastAsia="仿宋_GB2312" w:cs="仿宋_GB2312"/>
          <w:b w:val="0"/>
          <w:bCs w:val="0"/>
          <w:kern w:val="2"/>
          <w:sz w:val="32"/>
          <w:szCs w:val="32"/>
          <w:lang w:val="en-US" w:eastAsia="zh-CN" w:bidi="ar-SA"/>
        </w:rPr>
        <w:t>3.社会保障和就业支出（类）行政事业单位离退休（款）其他行政事业单位养老支出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s="仿宋_GB2312"/>
          <w:b w:val="0"/>
          <w:bCs w:val="0"/>
          <w:kern w:val="2"/>
          <w:sz w:val="32"/>
          <w:szCs w:val="32"/>
          <w:lang w:val="en-US" w:eastAsia="zh-CN" w:bidi="ar-SA"/>
        </w:rPr>
        <w:t>12.07万元，</w:t>
      </w:r>
      <w:r>
        <w:rPr>
          <w:rFonts w:hint="eastAsia" w:ascii="仿宋_GB2312" w:hAnsi="仿宋_GB2312" w:eastAsia="仿宋_GB2312" w:cs="仿宋_GB2312"/>
          <w:b w:val="0"/>
          <w:bCs w:val="0"/>
          <w:sz w:val="32"/>
          <w:szCs w:val="32"/>
        </w:rPr>
        <w:t>主要</w:t>
      </w:r>
      <w:r>
        <w:rPr>
          <w:rFonts w:hint="eastAsia" w:ascii="仿宋_GB2312" w:hAnsi="仿宋_GB2312" w:eastAsia="仿宋_GB2312" w:cs="仿宋_GB2312"/>
          <w:b w:val="0"/>
          <w:bCs w:val="0"/>
          <w:kern w:val="2"/>
          <w:sz w:val="32"/>
          <w:szCs w:val="32"/>
          <w:lang w:val="en-US" w:eastAsia="zh-CN" w:bidi="ar-SA"/>
        </w:rPr>
        <w:t>用于退休人员生活费补助支出。</w:t>
      </w:r>
    </w:p>
    <w:p>
      <w:pPr>
        <w:pStyle w:val="2"/>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kern w:val="2"/>
          <w:sz w:val="32"/>
          <w:szCs w:val="32"/>
          <w:lang w:val="en-US" w:eastAsia="zh-CN" w:bidi="ar-SA"/>
        </w:rPr>
        <w:t>社会保障和就业支出（类）行政事业单位离退休（款）其他社会保障和就业支出</w:t>
      </w:r>
      <w:r>
        <w:rPr>
          <w:rFonts w:hint="eastAsia" w:ascii="仿宋" w:hAnsi="仿宋" w:eastAsia="仿宋" w:cs="仿宋"/>
          <w:b w:val="0"/>
          <w:bCs w:val="0"/>
          <w:color w:val="auto"/>
          <w:sz w:val="32"/>
          <w:szCs w:val="32"/>
        </w:rPr>
        <w:t>（项）20</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年预算数为</w:t>
      </w:r>
      <w:r>
        <w:rPr>
          <w:rFonts w:hint="eastAsia" w:ascii="仿宋" w:hAnsi="仿宋" w:eastAsia="仿宋" w:cs="仿宋"/>
          <w:b w:val="0"/>
          <w:bCs w:val="0"/>
          <w:kern w:val="2"/>
          <w:sz w:val="32"/>
          <w:szCs w:val="32"/>
          <w:lang w:val="en-US" w:eastAsia="zh-CN" w:bidi="ar-SA"/>
        </w:rPr>
        <w:t>0.16万元，主要用于其他社会保障和就业支出。</w:t>
      </w:r>
    </w:p>
    <w:p>
      <w:pPr>
        <w:pStyle w:val="2"/>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5.卫生健康支出（类）行政事业单位医疗（款）行政事业单位医疗</w:t>
      </w:r>
      <w:r>
        <w:rPr>
          <w:rFonts w:hint="eastAsia" w:ascii="仿宋" w:hAnsi="仿宋" w:eastAsia="仿宋" w:cs="仿宋"/>
          <w:b w:val="0"/>
          <w:bCs w:val="0"/>
          <w:color w:val="auto"/>
          <w:sz w:val="32"/>
          <w:szCs w:val="32"/>
        </w:rPr>
        <w:t>（项）20</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年预算数为</w:t>
      </w:r>
      <w:r>
        <w:rPr>
          <w:rFonts w:hint="eastAsia" w:ascii="仿宋" w:hAnsi="仿宋" w:eastAsia="仿宋" w:cs="仿宋"/>
          <w:b w:val="0"/>
          <w:bCs w:val="0"/>
          <w:kern w:val="2"/>
          <w:sz w:val="32"/>
          <w:szCs w:val="32"/>
          <w:lang w:val="en-US" w:eastAsia="zh-CN" w:bidi="ar-SA"/>
        </w:rPr>
        <w:t>4.74万元，</w:t>
      </w:r>
      <w:r>
        <w:rPr>
          <w:rFonts w:hint="eastAsia" w:ascii="仿宋" w:hAnsi="仿宋" w:eastAsia="仿宋" w:cs="仿宋"/>
          <w:b w:val="0"/>
          <w:bCs w:val="0"/>
          <w:sz w:val="32"/>
          <w:szCs w:val="32"/>
        </w:rPr>
        <w:t>主要用于机关事业单位按照规定标准为职工缴纳的基本医疗保险及公务员医疗补助等支出。</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6.商业服务业等支出（类）商业流通事务（款）行政运行</w:t>
      </w:r>
      <w:r>
        <w:rPr>
          <w:rFonts w:hint="eastAsia" w:ascii="仿宋" w:hAnsi="仿宋" w:eastAsia="仿宋" w:cs="仿宋"/>
          <w:b w:val="0"/>
          <w:bCs w:val="0"/>
          <w:color w:val="auto"/>
          <w:sz w:val="32"/>
          <w:szCs w:val="32"/>
        </w:rPr>
        <w:t>（项）20</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年预算数为</w:t>
      </w:r>
      <w:r>
        <w:rPr>
          <w:rFonts w:hint="eastAsia" w:ascii="仿宋" w:hAnsi="仿宋" w:eastAsia="仿宋" w:cs="仿宋"/>
          <w:b w:val="0"/>
          <w:bCs w:val="0"/>
          <w:kern w:val="2"/>
          <w:sz w:val="32"/>
          <w:szCs w:val="32"/>
          <w:lang w:val="en-US" w:eastAsia="zh-CN" w:bidi="ar-SA"/>
        </w:rPr>
        <w:t>131.50万元。</w:t>
      </w:r>
      <w:r>
        <w:rPr>
          <w:rFonts w:hint="eastAsia" w:ascii="仿宋" w:hAnsi="仿宋" w:eastAsia="仿宋" w:cs="仿宋"/>
          <w:b w:val="0"/>
          <w:bCs w:val="0"/>
          <w:sz w:val="32"/>
          <w:szCs w:val="32"/>
        </w:rPr>
        <w:t>主要用于机关事业单位人员工资、日常运转以及为完成特定行政工作任务和事业发展目标而安排的。</w:t>
      </w:r>
    </w:p>
    <w:p>
      <w:pPr>
        <w:keepNext w:val="0"/>
        <w:keepLines w:val="0"/>
        <w:pageBreakBefore w:val="0"/>
        <w:kinsoku/>
        <w:wordWrap/>
        <w:overflowPunct/>
        <w:topLinePunct w:val="0"/>
        <w:autoSpaceDE/>
        <w:autoSpaceDN/>
        <w:bidi w:val="0"/>
        <w:spacing w:afterAutospacing="0"/>
        <w:ind w:firstLine="640" w:firstLineChars="200"/>
        <w:textAlignment w:val="auto"/>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bidi="ar-SA"/>
        </w:rPr>
        <w:t>7.住房保障支出（类）住房改革支出（款）住房公积金</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s="仿宋_GB2312"/>
          <w:b w:val="0"/>
          <w:bCs w:val="0"/>
          <w:kern w:val="2"/>
          <w:sz w:val="32"/>
          <w:szCs w:val="32"/>
          <w:lang w:val="en-US" w:eastAsia="zh-CN" w:bidi="ar-SA"/>
        </w:rPr>
        <w:t>9.56万元，</w:t>
      </w:r>
      <w:r>
        <w:rPr>
          <w:rFonts w:hint="eastAsia" w:ascii="仿宋_GB2312" w:hAnsi="仿宋_GB2312" w:eastAsia="仿宋_GB2312" w:cs="仿宋_GB2312"/>
          <w:b w:val="0"/>
          <w:bCs w:val="0"/>
          <w:sz w:val="32"/>
          <w:szCs w:val="32"/>
        </w:rPr>
        <w:t>主要用于机关事业单位按照规定</w:t>
      </w:r>
      <w:r>
        <w:rPr>
          <w:rFonts w:hint="eastAsia" w:ascii="仿宋_GB2312" w:hAnsi="仿宋_GB2312" w:eastAsia="仿宋_GB2312" w:cs="仿宋_GB2312"/>
          <w:b w:val="0"/>
          <w:bCs w:val="0"/>
          <w:color w:val="auto"/>
          <w:sz w:val="32"/>
          <w:szCs w:val="32"/>
        </w:rPr>
        <w:t>标准为职工缴纳住房公积金等支出。</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_GB2312" w:eastAsia="黑体" w:cs="Times New Roman"/>
          <w:color w:val="auto"/>
          <w:sz w:val="32"/>
          <w:szCs w:val="32"/>
        </w:rPr>
      </w:pPr>
      <w:r>
        <w:rPr>
          <w:rFonts w:hint="eastAsia" w:ascii="黑体" w:hAnsi="宋体" w:eastAsia="黑体" w:cs="黑体"/>
          <w:color w:val="auto"/>
          <w:sz w:val="32"/>
          <w:szCs w:val="32"/>
        </w:rPr>
        <w:t>六、一般公共预算基本支出情况说明</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color w:val="auto"/>
          <w:sz w:val="32"/>
          <w:szCs w:val="32"/>
        </w:rPr>
      </w:pPr>
      <w:r>
        <w:rPr>
          <w:rFonts w:hint="eastAsia" w:ascii="仿宋_GB2312" w:hAnsi="??_GB2312" w:eastAsia="仿宋_GB2312" w:cs="仿宋_GB2312"/>
          <w:color w:val="auto"/>
          <w:sz w:val="32"/>
          <w:szCs w:val="32"/>
        </w:rPr>
        <w:t>供销社</w:t>
      </w:r>
      <w:r>
        <w:rPr>
          <w:rFonts w:hint="eastAsia" w:ascii="仿宋_GB2312" w:hAnsi="??_GB2312" w:eastAsia="仿宋_GB2312" w:cs="仿宋_GB2312"/>
          <w:color w:val="auto"/>
          <w:sz w:val="32"/>
          <w:szCs w:val="32"/>
          <w:lang w:val="en-US" w:eastAsia="zh-CN"/>
        </w:rPr>
        <w:t>2024</w:t>
      </w:r>
      <w:r>
        <w:rPr>
          <w:rFonts w:hint="eastAsia" w:ascii="仿宋_GB2312" w:hAnsi="宋体" w:eastAsia="仿宋_GB2312" w:cs="仿宋_GB2312"/>
          <w:color w:val="auto"/>
          <w:sz w:val="32"/>
          <w:szCs w:val="32"/>
        </w:rPr>
        <w:t>年一般公共预算基本支出</w:t>
      </w:r>
      <w:r>
        <w:rPr>
          <w:rFonts w:hint="eastAsia" w:ascii="仿宋_GB2312" w:hAnsi="仿宋_GB2312" w:eastAsia="仿宋_GB2312" w:cs="仿宋_GB2312"/>
          <w:color w:val="auto"/>
          <w:sz w:val="32"/>
          <w:szCs w:val="32"/>
          <w:lang w:val="en-US" w:eastAsia="zh-CN"/>
        </w:rPr>
        <w:t>165.28</w:t>
      </w:r>
      <w:r>
        <w:rPr>
          <w:rFonts w:hint="eastAsia" w:ascii="仿宋_GB2312" w:hAnsi="宋体" w:eastAsia="仿宋_GB2312" w:cs="仿宋_GB2312"/>
          <w:color w:val="auto"/>
          <w:sz w:val="32"/>
          <w:szCs w:val="32"/>
        </w:rPr>
        <w:t>万元，其中：</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人员经费</w:t>
      </w:r>
      <w:r>
        <w:rPr>
          <w:rFonts w:hint="eastAsia" w:ascii="仿宋_GB2312" w:hAnsi="??_GB2312" w:eastAsia="仿宋_GB2312" w:cs="仿宋_GB2312"/>
          <w:color w:val="auto"/>
          <w:sz w:val="32"/>
          <w:szCs w:val="32"/>
          <w:lang w:val="en-US" w:eastAsia="zh-CN"/>
        </w:rPr>
        <w:t xml:space="preserve"> 150.90</w:t>
      </w:r>
      <w:r>
        <w:rPr>
          <w:rFonts w:hint="eastAsia" w:ascii="仿宋_GB2312" w:hAnsi="宋体" w:eastAsia="仿宋_GB2312" w:cs="仿宋_GB2312"/>
          <w:color w:val="auto"/>
          <w:sz w:val="32"/>
          <w:szCs w:val="32"/>
        </w:rPr>
        <w:t>万元，主要包括：基本工资、津贴补贴、奖金、社会保险缴费、绩效工资、机关事业单位基本养老保险缴费、职业年金缴费、其他工资福利支出。</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仿宋_GB2312"/>
          <w:color w:val="auto"/>
          <w:sz w:val="32"/>
          <w:szCs w:val="32"/>
        </w:rPr>
        <w:t>公用经费</w:t>
      </w:r>
      <w:r>
        <w:rPr>
          <w:rFonts w:hint="eastAsia" w:ascii="仿宋_GB2312" w:hAnsi="??_GB2312" w:eastAsia="仿宋_GB2312" w:cs="仿宋_GB2312"/>
          <w:color w:val="auto"/>
          <w:sz w:val="32"/>
          <w:szCs w:val="32"/>
          <w:lang w:val="en-US" w:eastAsia="zh-CN"/>
        </w:rPr>
        <w:t>14.38</w:t>
      </w:r>
      <w:r>
        <w:rPr>
          <w:rFonts w:hint="eastAsia" w:ascii="仿宋_GB2312" w:hAnsi="宋体" w:eastAsia="仿宋_GB2312" w:cs="仿宋_GB2312"/>
          <w:color w:val="auto"/>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仿宋_GB2312" w:eastAsia="黑体" w:cs="Times New Roman"/>
          <w:color w:val="auto"/>
          <w:sz w:val="32"/>
          <w:szCs w:val="32"/>
        </w:rPr>
      </w:pPr>
      <w:r>
        <w:rPr>
          <w:rFonts w:hint="eastAsia" w:ascii="黑体" w:hAnsi="仿宋_GB2312" w:eastAsia="黑体" w:cs="黑体"/>
          <w:color w:val="auto"/>
          <w:sz w:val="32"/>
          <w:szCs w:val="32"/>
        </w:rPr>
        <w:t>七、“三公”经费财政拨款预算安排情况说明</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罗江区供销社</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年“三公”经费财政拨款预算</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万元，其中：因公出国（境）经费</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万元，公务接待费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万元，公务用车购置及运行维护费</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因公出国（境）经费</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万元，与上年一致，因无因公出国安排。</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万元与上年</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1.2万元持平</w:t>
      </w:r>
      <w:r>
        <w:rPr>
          <w:rFonts w:hint="eastAsia" w:ascii="仿宋_GB2312" w:hAnsi="仿宋_GB2312" w:eastAsia="仿宋_GB2312" w:cs="仿宋_GB2312"/>
          <w:color w:val="auto"/>
          <w:sz w:val="32"/>
          <w:szCs w:val="32"/>
        </w:rPr>
        <w:t>。主要原因是我社认真贯彻执行中央八项规定，省委省政府、市委市政府、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政府十项规定以及《党政机厉行节约反对浪费条例》规定，严格控制公务接待消费。</w:t>
      </w:r>
    </w:p>
    <w:p>
      <w:pPr>
        <w:keepNext w:val="0"/>
        <w:keepLines w:val="0"/>
        <w:pageBreakBefore w:val="0"/>
        <w:kinsoku/>
        <w:wordWrap/>
        <w:overflowPunct/>
        <w:topLinePunct w:val="0"/>
        <w:autoSpaceDE/>
        <w:autoSpaceDN/>
        <w:bidi w:val="0"/>
        <w:adjustRightInd/>
        <w:snapToGrid/>
        <w:spacing w:afterAutospacing="0" w:line="620" w:lineRule="exact"/>
        <w:ind w:firstLine="640" w:firstLineChars="200"/>
        <w:textAlignment w:val="auto"/>
        <w:rPr>
          <w:rFonts w:hint="eastAsia" w:ascii="仿宋_GB2312" w:hAnsi="微软雅黑" w:eastAsia="仿宋_GB2312" w:cs="仿宋_GB2312"/>
          <w:i w:val="0"/>
          <w:caps w:val="0"/>
          <w:color w:val="auto"/>
          <w:spacing w:val="0"/>
          <w:kern w:val="0"/>
          <w:sz w:val="32"/>
          <w:szCs w:val="32"/>
          <w:shd w:val="clear" w:color="auto" w:fill="FFFFFF"/>
          <w:lang w:val="en-US" w:eastAsia="zh-CN" w:bidi="ar"/>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3.</w:t>
      </w:r>
      <w:r>
        <w:rPr>
          <w:rFonts w:ascii="仿宋_GB2312" w:hAnsi="微软雅黑" w:eastAsia="仿宋_GB2312" w:cs="仿宋_GB2312"/>
          <w:i w:val="0"/>
          <w:caps w:val="0"/>
          <w:color w:val="auto"/>
          <w:spacing w:val="0"/>
          <w:kern w:val="0"/>
          <w:sz w:val="32"/>
          <w:szCs w:val="32"/>
          <w:shd w:val="clear" w:color="auto" w:fill="FFFFFF"/>
          <w:lang w:val="en-US" w:eastAsia="zh-CN" w:bidi="ar"/>
        </w:rPr>
        <w:t>公务用车购置</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0万元较2023年0万元预算增长0%。主要原因是公车改革后无公务用车购置计划。公务用车运行维护费0万元较2023年0万元预算增长0%。主要原因是公车改革后无公务用车。</w:t>
      </w:r>
    </w:p>
    <w:p>
      <w:pPr>
        <w:keepNext w:val="0"/>
        <w:keepLines w:val="0"/>
        <w:pageBreakBefore w:val="0"/>
        <w:kinsoku/>
        <w:wordWrap/>
        <w:overflowPunct/>
        <w:topLinePunct w:val="0"/>
        <w:autoSpaceDE/>
        <w:autoSpaceDN/>
        <w:bidi w:val="0"/>
        <w:adjustRightInd/>
        <w:snapToGrid/>
        <w:spacing w:afterAutospacing="0" w:line="620" w:lineRule="exact"/>
        <w:ind w:firstLine="640" w:firstLineChars="200"/>
        <w:textAlignment w:val="auto"/>
        <w:rPr>
          <w:rFonts w:hint="default" w:ascii="微软雅黑" w:hAnsi="微软雅黑" w:eastAsia="微软雅黑" w:cs="微软雅黑"/>
          <w:i w:val="0"/>
          <w:caps w:val="0"/>
          <w:color w:val="auto"/>
          <w:spacing w:val="0"/>
          <w:sz w:val="18"/>
          <w:szCs w:val="18"/>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单位现有公务用车0辆。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0" w:line="620" w:lineRule="exact"/>
        <w:ind w:right="0"/>
        <w:jc w:val="left"/>
        <w:textAlignment w:val="auto"/>
        <w:rPr>
          <w:rFonts w:hint="default" w:ascii="微软雅黑" w:hAnsi="微软雅黑" w:eastAsia="微软雅黑" w:cs="微软雅黑"/>
          <w:i w:val="0"/>
          <w:caps w:val="0"/>
          <w:color w:val="auto"/>
          <w:spacing w:val="0"/>
          <w:sz w:val="18"/>
          <w:szCs w:val="18"/>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 xml:space="preserve">    2024年安排公务用车运行维护费0万元。</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宋体" w:eastAsia="黑体" w:cs="Times New Roman"/>
          <w:color w:val="auto"/>
          <w:sz w:val="32"/>
          <w:szCs w:val="32"/>
        </w:rPr>
      </w:pPr>
      <w:r>
        <w:rPr>
          <w:rFonts w:hint="eastAsia" w:ascii="黑体" w:hAnsi="宋体" w:eastAsia="黑体" w:cs="黑体"/>
          <w:color w:val="auto"/>
          <w:sz w:val="32"/>
          <w:szCs w:val="32"/>
        </w:rPr>
        <w:t>八、政府性基金预算收支情况说明</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收入</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仿宋_GB2312" w:eastAsia="黑体" w:cs="Times New Roman"/>
          <w:color w:val="auto"/>
          <w:sz w:val="32"/>
          <w:szCs w:val="32"/>
        </w:rPr>
      </w:pPr>
      <w:r>
        <w:rPr>
          <w:rFonts w:hint="eastAsia" w:ascii="黑体" w:hAnsi="仿宋_GB2312" w:eastAsia="黑体" w:cs="黑体"/>
          <w:color w:val="auto"/>
          <w:sz w:val="32"/>
          <w:szCs w:val="32"/>
          <w:lang w:eastAsia="zh-CN"/>
        </w:rPr>
        <w:t>九</w:t>
      </w:r>
      <w:r>
        <w:rPr>
          <w:rFonts w:hint="eastAsia" w:ascii="黑体" w:hAnsi="仿宋_GB2312" w:eastAsia="黑体" w:cs="黑体"/>
          <w:color w:val="auto"/>
          <w:sz w:val="32"/>
          <w:szCs w:val="32"/>
        </w:rPr>
        <w:t>、其他重要事项的情况说明</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仿宋_GB2312" w:eastAsia="楷体_GB2312" w:cs="Times New Roman"/>
          <w:b/>
          <w:bCs/>
          <w:color w:val="auto"/>
          <w:sz w:val="32"/>
          <w:szCs w:val="32"/>
        </w:rPr>
      </w:pPr>
      <w:r>
        <w:rPr>
          <w:rFonts w:hint="eastAsia" w:ascii="楷体_GB2312" w:hAnsi="仿宋_GB2312" w:eastAsia="楷体_GB2312" w:cs="楷体_GB2312"/>
          <w:b/>
          <w:bCs/>
          <w:color w:val="auto"/>
          <w:sz w:val="32"/>
          <w:szCs w:val="32"/>
        </w:rPr>
        <w:t>（一）机关运行经费</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年，罗江区供销社的机关运行经费财政拨款预算为</w:t>
      </w:r>
      <w:r>
        <w:rPr>
          <w:rFonts w:hint="eastAsia" w:ascii="仿宋_GB2312" w:hAnsi="仿宋_GB2312" w:eastAsia="仿宋_GB2312" w:cs="仿宋_GB2312"/>
          <w:color w:val="auto"/>
          <w:sz w:val="32"/>
          <w:szCs w:val="32"/>
          <w:lang w:val="en-US" w:eastAsia="zh-CN"/>
        </w:rPr>
        <w:t>165.28</w:t>
      </w:r>
      <w:r>
        <w:rPr>
          <w:rFonts w:hint="eastAsia" w:ascii="仿宋_GB2312" w:hAnsi="仿宋_GB2312" w:eastAsia="仿宋_GB2312" w:cs="仿宋_GB2312"/>
          <w:color w:val="auto"/>
          <w:sz w:val="32"/>
          <w:szCs w:val="32"/>
        </w:rPr>
        <w:t>万元，比</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21.95</w:t>
      </w:r>
      <w:r>
        <w:rPr>
          <w:rFonts w:hint="eastAsia" w:ascii="仿宋_GB2312" w:hAnsi="仿宋_GB2312" w:eastAsia="仿宋_GB2312" w:cs="仿宋_GB2312"/>
          <w:color w:val="auto"/>
          <w:sz w:val="32"/>
          <w:szCs w:val="32"/>
        </w:rPr>
        <w:t>万元</w:t>
      </w:r>
      <w:r>
        <w:rPr>
          <w:rFonts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仿宋_GB2312" w:eastAsia="楷体_GB2312" w:cs="Times New Roman"/>
          <w:b/>
          <w:bCs/>
          <w:color w:val="auto"/>
          <w:sz w:val="32"/>
          <w:szCs w:val="32"/>
        </w:rPr>
      </w:pPr>
      <w:r>
        <w:rPr>
          <w:rFonts w:hint="eastAsia" w:ascii="楷体_GB2312" w:hAnsi="仿宋_GB2312" w:eastAsia="楷体_GB2312" w:cs="楷体_GB2312"/>
          <w:b/>
          <w:bCs/>
          <w:color w:val="auto"/>
          <w:sz w:val="32"/>
          <w:szCs w:val="32"/>
        </w:rPr>
        <w:t>（二）政府采购情况</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年，罗江区供销社未安排政府采购预算。</w:t>
      </w:r>
    </w:p>
    <w:p>
      <w:pPr>
        <w:keepNext w:val="0"/>
        <w:keepLines w:val="0"/>
        <w:pageBreakBefore w:val="0"/>
        <w:kinsoku/>
        <w:wordWrap/>
        <w:overflowPunct/>
        <w:topLinePunct w:val="0"/>
        <w:autoSpaceDE/>
        <w:autoSpaceDN/>
        <w:bidi w:val="0"/>
        <w:spacing w:afterAutospacing="0"/>
        <w:ind w:firstLine="643" w:firstLineChars="200"/>
        <w:textAlignment w:val="auto"/>
        <w:rPr>
          <w:rFonts w:ascii="楷体_GB2312" w:hAnsi="仿宋_GB2312" w:eastAsia="楷体_GB2312" w:cs="Times New Roman"/>
          <w:b/>
          <w:bCs/>
          <w:color w:val="auto"/>
          <w:sz w:val="32"/>
          <w:szCs w:val="32"/>
        </w:rPr>
      </w:pPr>
      <w:r>
        <w:rPr>
          <w:rFonts w:hint="eastAsia" w:ascii="楷体_GB2312" w:hAnsi="仿宋_GB2312" w:eastAsia="楷体_GB2312" w:cs="楷体_GB2312"/>
          <w:b/>
          <w:bCs/>
          <w:color w:val="auto"/>
          <w:sz w:val="32"/>
          <w:szCs w:val="32"/>
        </w:rPr>
        <w:t>（三）国有资产占有使用情况</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年底，罗江区供销社共有车辆</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辆。</w:t>
      </w:r>
    </w:p>
    <w:p>
      <w:pPr>
        <w:keepNext w:val="0"/>
        <w:keepLines w:val="0"/>
        <w:pageBreakBefore w:val="0"/>
        <w:kinsoku/>
        <w:wordWrap/>
        <w:overflowPunct/>
        <w:topLinePunct w:val="0"/>
        <w:autoSpaceDE/>
        <w:autoSpaceDN/>
        <w:bidi w:val="0"/>
        <w:spacing w:afterAutospacing="0"/>
        <w:ind w:firstLine="643" w:firstLineChars="200"/>
        <w:textAlignment w:val="auto"/>
        <w:rPr>
          <w:rFonts w:ascii="仿宋_GB2312" w:hAnsi="仿宋_GB2312" w:eastAsia="仿宋_GB2312" w:cs="Times New Roman"/>
          <w:color w:val="auto"/>
          <w:sz w:val="32"/>
          <w:szCs w:val="32"/>
        </w:rPr>
      </w:pPr>
      <w:r>
        <w:rPr>
          <w:rFonts w:hint="eastAsia" w:ascii="楷体_GB2312" w:hAnsi="仿宋_GB2312" w:eastAsia="楷体_GB2312" w:cs="楷体_GB2312"/>
          <w:b/>
          <w:bCs/>
          <w:color w:val="auto"/>
          <w:sz w:val="32"/>
          <w:szCs w:val="32"/>
        </w:rPr>
        <w:t>（四）绩效目标设置情况</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年，罗江区供销社未安排</w:t>
      </w:r>
      <w:r>
        <w:rPr>
          <w:rFonts w:hint="eastAsia" w:ascii="仿宋_GB2312" w:hAnsi="仿宋_GB2312" w:eastAsia="仿宋_GB2312" w:cs="仿宋_GB2312"/>
          <w:color w:val="auto"/>
          <w:sz w:val="32"/>
          <w:szCs w:val="32"/>
          <w:lang w:eastAsia="zh-CN"/>
        </w:rPr>
        <w:t>专项资金</w:t>
      </w:r>
      <w:r>
        <w:rPr>
          <w:rFonts w:hint="eastAsia" w:ascii="仿宋_GB2312" w:hAnsi="仿宋_GB2312" w:eastAsia="仿宋_GB2312" w:cs="仿宋_GB2312"/>
          <w:color w:val="auto"/>
          <w:sz w:val="32"/>
          <w:szCs w:val="32"/>
        </w:rPr>
        <w:t>预算。</w:t>
      </w:r>
    </w:p>
    <w:p>
      <w:pPr>
        <w:keepNext w:val="0"/>
        <w:keepLines w:val="0"/>
        <w:pageBreakBefore w:val="0"/>
        <w:kinsoku/>
        <w:wordWrap/>
        <w:overflowPunct/>
        <w:topLinePunct w:val="0"/>
        <w:autoSpaceDE/>
        <w:autoSpaceDN/>
        <w:bidi w:val="0"/>
        <w:spacing w:afterAutospacing="0"/>
        <w:ind w:firstLine="640" w:firstLineChars="200"/>
        <w:textAlignment w:val="auto"/>
        <w:rPr>
          <w:rFonts w:ascii="黑体" w:hAnsi="??_GB2312" w:eastAsia="黑体" w:cs="Times New Roman"/>
          <w:color w:val="auto"/>
          <w:sz w:val="32"/>
          <w:szCs w:val="32"/>
        </w:rPr>
      </w:pPr>
      <w:r>
        <w:rPr>
          <w:rFonts w:hint="eastAsia" w:ascii="黑体" w:hAnsi="宋体" w:eastAsia="黑体" w:cs="黑体"/>
          <w:color w:val="auto"/>
          <w:sz w:val="32"/>
          <w:szCs w:val="32"/>
        </w:rPr>
        <w:t>十、名词解释</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（一）一般公共预算拨款收入：指区级财政当年拨付的资金。</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sz w:val="32"/>
          <w:szCs w:val="32"/>
        </w:rPr>
      </w:pPr>
      <w:r>
        <w:rPr>
          <w:rFonts w:hint="eastAsia" w:ascii="仿宋_GB2312" w:hAnsi="宋体" w:eastAsia="仿宋_GB2312" w:cs="仿宋_GB2312"/>
          <w:sz w:val="32"/>
          <w:szCs w:val="32"/>
        </w:rPr>
        <w:t>（二）上年结转：指以前年度尚未完成、结转到本年仍按原规定用途继续使用的资金。</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sz w:val="32"/>
          <w:szCs w:val="32"/>
        </w:rPr>
      </w:pPr>
      <w:r>
        <w:rPr>
          <w:rFonts w:hint="eastAsia" w:ascii="仿宋_GB2312" w:hAnsi="宋体" w:eastAsia="仿宋_GB2312" w:cs="仿宋_GB2312"/>
          <w:sz w:val="32"/>
          <w:szCs w:val="32"/>
        </w:rPr>
        <w:t>（三）基本支出：指为保障机构正常运转、完成日常工作任务所必需的人员经费和日常公用经费。</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_GB2312" w:eastAsia="仿宋_GB2312" w:cs="Times New Roman"/>
          <w:sz w:val="32"/>
          <w:szCs w:val="32"/>
        </w:rPr>
      </w:pPr>
      <w:r>
        <w:rPr>
          <w:rFonts w:hint="eastAsia" w:ascii="仿宋_GB2312" w:hAnsi="宋体" w:eastAsia="仿宋_GB2312" w:cs="仿宋_GB2312"/>
          <w:sz w:val="32"/>
          <w:szCs w:val="32"/>
        </w:rPr>
        <w:t>（四）项目支出：指在基本支出之外，为完成特定的行政工作任务或事业发展目标所发生的支出。</w:t>
      </w:r>
    </w:p>
    <w:p>
      <w:pPr>
        <w:keepNext w:val="0"/>
        <w:keepLines w:val="0"/>
        <w:pageBreakBefore w:val="0"/>
        <w:kinsoku/>
        <w:wordWrap/>
        <w:overflowPunct/>
        <w:topLinePunct w:val="0"/>
        <w:autoSpaceDE/>
        <w:autoSpaceDN/>
        <w:bidi w:val="0"/>
        <w:spacing w:afterAutospacing="0"/>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1.2024</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表</w:t>
      </w:r>
    </w:p>
    <w:p>
      <w:pPr>
        <w:keepNext w:val="0"/>
        <w:keepLines w:val="0"/>
        <w:pageBreakBefore w:val="0"/>
        <w:kinsoku/>
        <w:wordWrap/>
        <w:overflowPunct/>
        <w:topLinePunct w:val="0"/>
        <w:autoSpaceDE/>
        <w:autoSpaceDN/>
        <w:bidi w:val="0"/>
        <w:spacing w:afterAutospacing="0"/>
        <w:ind w:left="1914" w:leftChars="132"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2.2024年部门项目绩效目标公开表</w:t>
      </w:r>
    </w:p>
    <w:p>
      <w:pPr>
        <w:keepNext w:val="0"/>
        <w:keepLines w:val="0"/>
        <w:pageBreakBefore w:val="0"/>
        <w:kinsoku/>
        <w:wordWrap/>
        <w:overflowPunct/>
        <w:topLinePunct w:val="0"/>
        <w:autoSpaceDE/>
        <w:autoSpaceDN/>
        <w:bidi w:val="0"/>
        <w:spacing w:afterAutospacing="0"/>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3.2024年</w:t>
      </w:r>
      <w:r>
        <w:rPr>
          <w:rFonts w:hint="eastAsia" w:ascii="仿宋_GB2312" w:hAnsi="仿宋_GB2312" w:eastAsia="仿宋_GB2312" w:cs="仿宋_GB2312"/>
          <w:sz w:val="32"/>
          <w:szCs w:val="32"/>
          <w:lang w:eastAsia="zh-CN"/>
        </w:rPr>
        <w:t>整体支出绩效目标公开表</w:t>
      </w:r>
    </w:p>
    <w:p>
      <w:pPr>
        <w:keepNext w:val="0"/>
        <w:keepLines w:val="0"/>
        <w:pageBreakBefore w:val="0"/>
        <w:kinsoku/>
        <w:wordWrap/>
        <w:overflowPunct/>
        <w:topLinePunct w:val="0"/>
        <w:autoSpaceDE/>
        <w:autoSpaceDN/>
        <w:bidi w:val="0"/>
        <w:spacing w:afterAutospacing="0"/>
        <w:ind w:firstLine="2168" w:firstLineChars="600"/>
        <w:textAlignment w:val="auto"/>
        <w:rPr>
          <w:rFonts w:hint="eastAsia" w:ascii="仿宋_GB2312" w:hAnsi="??_GB2312" w:eastAsia="仿宋_GB2312" w:cs="Times New Roman"/>
          <w:b/>
          <w:bCs/>
          <w:sz w:val="36"/>
          <w:szCs w:val="36"/>
          <w:lang w:val="en-US" w:eastAsia="zh-CN"/>
        </w:rPr>
      </w:pPr>
      <w:r>
        <w:rPr>
          <w:rFonts w:hint="eastAsia" w:ascii="仿宋_GB2312" w:hAnsi="??_GB2312" w:eastAsia="仿宋_GB2312" w:cs="Times New Roman"/>
          <w:b/>
          <w:bCs/>
          <w:sz w:val="36"/>
          <w:szCs w:val="36"/>
          <w:lang w:val="en-US" w:eastAsia="zh-CN"/>
        </w:rPr>
        <w:t>2024年部门预算公开表目录</w:t>
      </w:r>
    </w:p>
    <w:p>
      <w:pPr>
        <w:pStyle w:val="2"/>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1.部门收支总表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1-1.部门收入总表</w:t>
      </w:r>
    </w:p>
    <w:p>
      <w:pPr>
        <w:pStyle w:val="2"/>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1-2部门支出总表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2.财政拨款收支预算总表</w:t>
      </w:r>
    </w:p>
    <w:p>
      <w:pPr>
        <w:pStyle w:val="2"/>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2-1财政拨款支出预算表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3.一般公共预算支出预算表</w:t>
      </w:r>
    </w:p>
    <w:p>
      <w:pPr>
        <w:pStyle w:val="2"/>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3-1一般公共预算基本支出预算表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3-2一般公共预算项目支出预算表</w:t>
      </w:r>
    </w:p>
    <w:p>
      <w:pPr>
        <w:pStyle w:val="2"/>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3-3一般公共预算“三公”经费支出预算表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4.政府性基金支出预算表</w:t>
      </w:r>
    </w:p>
    <w:p>
      <w:pPr>
        <w:pStyle w:val="2"/>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4-1政府性基金预算“三公”经费支出预算表</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5.国有资本经营预算支出预算表</w:t>
      </w:r>
    </w:p>
    <w:p>
      <w:pPr>
        <w:ind w:firstLine="4480" w:firstLineChars="1400"/>
        <w:rPr>
          <w:rFonts w:hint="eastAsia" w:ascii="仿宋_GB2312" w:eastAsia="仿宋_GB2312" w:cs="仿宋_GB2312"/>
          <w:sz w:val="32"/>
          <w:szCs w:val="32"/>
          <w:lang w:val="en-US" w:eastAsia="zh-CN"/>
        </w:rPr>
      </w:pPr>
    </w:p>
    <w:p>
      <w:pPr>
        <w:ind w:firstLine="4480" w:firstLineChars="14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p>
    <w:p>
      <w:pPr>
        <w:ind w:firstLine="4480" w:firstLineChars="1400"/>
        <w:rPr>
          <w:rFonts w:hint="eastAsia" w:ascii="仿宋_GB2312" w:eastAsia="仿宋_GB2312" w:cs="仿宋_GB2312"/>
          <w:sz w:val="32"/>
          <w:szCs w:val="32"/>
          <w:lang w:val="en-US" w:eastAsia="zh-CN"/>
        </w:rPr>
      </w:pPr>
    </w:p>
    <w:p>
      <w:pPr>
        <w:ind w:firstLine="4480" w:firstLineChars="1400"/>
        <w:rPr>
          <w:rFonts w:hint="eastAsia" w:ascii="仿宋_GB2312" w:eastAsia="仿宋_GB2312" w:cs="仿宋_GB2312"/>
          <w:sz w:val="32"/>
          <w:szCs w:val="32"/>
          <w:lang w:val="en-US" w:eastAsia="zh-CN"/>
        </w:rPr>
      </w:pPr>
    </w:p>
    <w:p>
      <w:pPr>
        <w:ind w:firstLine="4480" w:firstLineChars="1400"/>
        <w:rPr>
          <w:rFonts w:hint="eastAsia" w:ascii="仿宋_GB2312" w:eastAsia="仿宋_GB2312" w:cs="仿宋_GB2312"/>
          <w:sz w:val="32"/>
          <w:szCs w:val="32"/>
          <w:lang w:val="en-US" w:eastAsia="zh-CN"/>
        </w:rPr>
      </w:pPr>
    </w:p>
    <w:p>
      <w:pPr>
        <w:ind w:firstLine="4480" w:firstLineChars="1400"/>
        <w:rPr>
          <w:rFonts w:ascii="仿宋_GB2312" w:eastAsia="仿宋_GB2312" w:cs="Times New Roman"/>
          <w:sz w:val="32"/>
          <w:szCs w:val="32"/>
        </w:rPr>
      </w:pPr>
      <w:r>
        <w:rPr>
          <w:rFonts w:hint="eastAsia" w:ascii="仿宋_GB2312" w:eastAsia="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日</w:t>
      </w:r>
    </w:p>
    <w:sectPr>
      <w:footerReference r:id="rId3" w:type="default"/>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zN2JkMTA0Yjk3OWZkNTFjNjBjMzdhYTExNmYzOWYifQ=="/>
  </w:docVars>
  <w:rsids>
    <w:rsidRoot w:val="004E4A63"/>
    <w:rsid w:val="00022090"/>
    <w:rsid w:val="00030C46"/>
    <w:rsid w:val="0007076F"/>
    <w:rsid w:val="00073923"/>
    <w:rsid w:val="000A5174"/>
    <w:rsid w:val="000F50E3"/>
    <w:rsid w:val="00107AF7"/>
    <w:rsid w:val="0012683C"/>
    <w:rsid w:val="001A556C"/>
    <w:rsid w:val="001A5E61"/>
    <w:rsid w:val="001C44AF"/>
    <w:rsid w:val="001E7C6E"/>
    <w:rsid w:val="00202136"/>
    <w:rsid w:val="00202A4E"/>
    <w:rsid w:val="00225889"/>
    <w:rsid w:val="002459E9"/>
    <w:rsid w:val="002555B3"/>
    <w:rsid w:val="002815ED"/>
    <w:rsid w:val="002F4DAC"/>
    <w:rsid w:val="002F6687"/>
    <w:rsid w:val="003204AD"/>
    <w:rsid w:val="00325291"/>
    <w:rsid w:val="00342E49"/>
    <w:rsid w:val="00363AC0"/>
    <w:rsid w:val="003B46C0"/>
    <w:rsid w:val="003D3134"/>
    <w:rsid w:val="003F61DC"/>
    <w:rsid w:val="00406B68"/>
    <w:rsid w:val="00417892"/>
    <w:rsid w:val="0042021F"/>
    <w:rsid w:val="004205B8"/>
    <w:rsid w:val="0044036E"/>
    <w:rsid w:val="0044209A"/>
    <w:rsid w:val="00450923"/>
    <w:rsid w:val="00487170"/>
    <w:rsid w:val="004A1FB9"/>
    <w:rsid w:val="004A24BC"/>
    <w:rsid w:val="004B3EB9"/>
    <w:rsid w:val="004D53A9"/>
    <w:rsid w:val="004E3DB3"/>
    <w:rsid w:val="004E4A63"/>
    <w:rsid w:val="00504316"/>
    <w:rsid w:val="00513FAA"/>
    <w:rsid w:val="005227DC"/>
    <w:rsid w:val="005572B3"/>
    <w:rsid w:val="00563314"/>
    <w:rsid w:val="005A0F05"/>
    <w:rsid w:val="005C43E2"/>
    <w:rsid w:val="005D1FE2"/>
    <w:rsid w:val="00604550"/>
    <w:rsid w:val="00615D82"/>
    <w:rsid w:val="00630265"/>
    <w:rsid w:val="00631DF5"/>
    <w:rsid w:val="00640CC1"/>
    <w:rsid w:val="00650FDC"/>
    <w:rsid w:val="00662D27"/>
    <w:rsid w:val="00674E72"/>
    <w:rsid w:val="00686269"/>
    <w:rsid w:val="0069523C"/>
    <w:rsid w:val="006A4F58"/>
    <w:rsid w:val="006B7F6F"/>
    <w:rsid w:val="006C5E3E"/>
    <w:rsid w:val="006D04BA"/>
    <w:rsid w:val="007065FD"/>
    <w:rsid w:val="007133B9"/>
    <w:rsid w:val="00714C13"/>
    <w:rsid w:val="007225E2"/>
    <w:rsid w:val="007365C4"/>
    <w:rsid w:val="00742770"/>
    <w:rsid w:val="007545C4"/>
    <w:rsid w:val="00755CEA"/>
    <w:rsid w:val="007565E7"/>
    <w:rsid w:val="007604CB"/>
    <w:rsid w:val="007C209C"/>
    <w:rsid w:val="00833C24"/>
    <w:rsid w:val="0083694F"/>
    <w:rsid w:val="00861097"/>
    <w:rsid w:val="009049CB"/>
    <w:rsid w:val="00927421"/>
    <w:rsid w:val="009434BA"/>
    <w:rsid w:val="009B175F"/>
    <w:rsid w:val="009B3B78"/>
    <w:rsid w:val="009B699C"/>
    <w:rsid w:val="009C1330"/>
    <w:rsid w:val="00A35F1B"/>
    <w:rsid w:val="00A46B69"/>
    <w:rsid w:val="00A5551E"/>
    <w:rsid w:val="00A60A56"/>
    <w:rsid w:val="00A63410"/>
    <w:rsid w:val="00AC1B07"/>
    <w:rsid w:val="00B47D0C"/>
    <w:rsid w:val="00B66514"/>
    <w:rsid w:val="00B66EA5"/>
    <w:rsid w:val="00B77931"/>
    <w:rsid w:val="00B9036D"/>
    <w:rsid w:val="00BA16B3"/>
    <w:rsid w:val="00BA4763"/>
    <w:rsid w:val="00C02A19"/>
    <w:rsid w:val="00C244EC"/>
    <w:rsid w:val="00C34E78"/>
    <w:rsid w:val="00C81C03"/>
    <w:rsid w:val="00C91270"/>
    <w:rsid w:val="00C915FF"/>
    <w:rsid w:val="00CD28B7"/>
    <w:rsid w:val="00D0120A"/>
    <w:rsid w:val="00D17EA4"/>
    <w:rsid w:val="00D83C0A"/>
    <w:rsid w:val="00DC34F5"/>
    <w:rsid w:val="00E23BA1"/>
    <w:rsid w:val="00EB235A"/>
    <w:rsid w:val="00EC369F"/>
    <w:rsid w:val="00ED6080"/>
    <w:rsid w:val="00EE0B1D"/>
    <w:rsid w:val="00EE23D3"/>
    <w:rsid w:val="00EE7A75"/>
    <w:rsid w:val="00F0687E"/>
    <w:rsid w:val="00F10FD3"/>
    <w:rsid w:val="00F1340D"/>
    <w:rsid w:val="00F14FC4"/>
    <w:rsid w:val="00F2477D"/>
    <w:rsid w:val="00F770EC"/>
    <w:rsid w:val="00F77F22"/>
    <w:rsid w:val="00FA3B18"/>
    <w:rsid w:val="00FD2F29"/>
    <w:rsid w:val="00FE2E5C"/>
    <w:rsid w:val="01657C13"/>
    <w:rsid w:val="016D7EBC"/>
    <w:rsid w:val="019654FD"/>
    <w:rsid w:val="01D81514"/>
    <w:rsid w:val="021A5795"/>
    <w:rsid w:val="026154C1"/>
    <w:rsid w:val="02820350"/>
    <w:rsid w:val="02877774"/>
    <w:rsid w:val="03962D97"/>
    <w:rsid w:val="043A78AC"/>
    <w:rsid w:val="0496133A"/>
    <w:rsid w:val="04FD170D"/>
    <w:rsid w:val="071A149F"/>
    <w:rsid w:val="07B5432A"/>
    <w:rsid w:val="07EF217E"/>
    <w:rsid w:val="082F0CC2"/>
    <w:rsid w:val="0889068B"/>
    <w:rsid w:val="094960B4"/>
    <w:rsid w:val="0A104AFD"/>
    <w:rsid w:val="0A2F1C08"/>
    <w:rsid w:val="0AFA26BC"/>
    <w:rsid w:val="0B62605C"/>
    <w:rsid w:val="0CCE483D"/>
    <w:rsid w:val="0D4B0B55"/>
    <w:rsid w:val="0D7D5D42"/>
    <w:rsid w:val="0E943F04"/>
    <w:rsid w:val="0F3057FD"/>
    <w:rsid w:val="111064B7"/>
    <w:rsid w:val="1182667A"/>
    <w:rsid w:val="136E6F66"/>
    <w:rsid w:val="13B67EA4"/>
    <w:rsid w:val="15A34F5A"/>
    <w:rsid w:val="17B81CB1"/>
    <w:rsid w:val="17B82658"/>
    <w:rsid w:val="17C110E3"/>
    <w:rsid w:val="197113F3"/>
    <w:rsid w:val="19E25E4D"/>
    <w:rsid w:val="1B140288"/>
    <w:rsid w:val="1C573A6D"/>
    <w:rsid w:val="1CD51C99"/>
    <w:rsid w:val="1DA107FB"/>
    <w:rsid w:val="1E311151"/>
    <w:rsid w:val="1F0313B8"/>
    <w:rsid w:val="2053248C"/>
    <w:rsid w:val="209822E5"/>
    <w:rsid w:val="21DF593D"/>
    <w:rsid w:val="2240150A"/>
    <w:rsid w:val="22810B81"/>
    <w:rsid w:val="22A5210D"/>
    <w:rsid w:val="23BD5235"/>
    <w:rsid w:val="24073D5B"/>
    <w:rsid w:val="24B14776"/>
    <w:rsid w:val="252B2B44"/>
    <w:rsid w:val="2533755C"/>
    <w:rsid w:val="256B7474"/>
    <w:rsid w:val="26282E39"/>
    <w:rsid w:val="2693439F"/>
    <w:rsid w:val="28553A37"/>
    <w:rsid w:val="28BD67A0"/>
    <w:rsid w:val="296E14AB"/>
    <w:rsid w:val="299E5A35"/>
    <w:rsid w:val="2ABB4AE2"/>
    <w:rsid w:val="2B1E7644"/>
    <w:rsid w:val="2CDA6E57"/>
    <w:rsid w:val="2CF17675"/>
    <w:rsid w:val="2DFF51EF"/>
    <w:rsid w:val="310426F5"/>
    <w:rsid w:val="318B25A3"/>
    <w:rsid w:val="333F7791"/>
    <w:rsid w:val="33D00CCC"/>
    <w:rsid w:val="34705166"/>
    <w:rsid w:val="35F42D38"/>
    <w:rsid w:val="361C2037"/>
    <w:rsid w:val="36AC3612"/>
    <w:rsid w:val="36EF54A3"/>
    <w:rsid w:val="36FE3213"/>
    <w:rsid w:val="372F2D33"/>
    <w:rsid w:val="382F4872"/>
    <w:rsid w:val="39502C5B"/>
    <w:rsid w:val="39D960E9"/>
    <w:rsid w:val="39F67C21"/>
    <w:rsid w:val="3A12378C"/>
    <w:rsid w:val="3ADC235D"/>
    <w:rsid w:val="3CC571DC"/>
    <w:rsid w:val="3D8358ED"/>
    <w:rsid w:val="3DA2134B"/>
    <w:rsid w:val="3E1E4D03"/>
    <w:rsid w:val="3E5313AD"/>
    <w:rsid w:val="3EDC3C75"/>
    <w:rsid w:val="3EFA562C"/>
    <w:rsid w:val="3F0538C0"/>
    <w:rsid w:val="3FD66070"/>
    <w:rsid w:val="41395AA3"/>
    <w:rsid w:val="41683BBC"/>
    <w:rsid w:val="41844B13"/>
    <w:rsid w:val="42440042"/>
    <w:rsid w:val="43064AF2"/>
    <w:rsid w:val="432A5FEB"/>
    <w:rsid w:val="43382C5B"/>
    <w:rsid w:val="437B1086"/>
    <w:rsid w:val="43B81461"/>
    <w:rsid w:val="4563686B"/>
    <w:rsid w:val="45765517"/>
    <w:rsid w:val="462272BB"/>
    <w:rsid w:val="465515D1"/>
    <w:rsid w:val="466B2BA2"/>
    <w:rsid w:val="46E45C0D"/>
    <w:rsid w:val="47666E75"/>
    <w:rsid w:val="48952158"/>
    <w:rsid w:val="4A08775C"/>
    <w:rsid w:val="4AB875CC"/>
    <w:rsid w:val="4B756CA7"/>
    <w:rsid w:val="4D1E1A9B"/>
    <w:rsid w:val="4DC4528E"/>
    <w:rsid w:val="4E2E1590"/>
    <w:rsid w:val="4E3239C5"/>
    <w:rsid w:val="50553602"/>
    <w:rsid w:val="505C321B"/>
    <w:rsid w:val="507A334F"/>
    <w:rsid w:val="54B56E63"/>
    <w:rsid w:val="55DC7770"/>
    <w:rsid w:val="55F17EA3"/>
    <w:rsid w:val="55F8592B"/>
    <w:rsid w:val="5706772C"/>
    <w:rsid w:val="57797372"/>
    <w:rsid w:val="578D1117"/>
    <w:rsid w:val="581A43F8"/>
    <w:rsid w:val="599A5970"/>
    <w:rsid w:val="59BA01FC"/>
    <w:rsid w:val="5A5A255E"/>
    <w:rsid w:val="5B14425C"/>
    <w:rsid w:val="5B1F6114"/>
    <w:rsid w:val="5B766FAB"/>
    <w:rsid w:val="5BB22BCA"/>
    <w:rsid w:val="5CB06411"/>
    <w:rsid w:val="5CC849C7"/>
    <w:rsid w:val="5D804126"/>
    <w:rsid w:val="5D806CEC"/>
    <w:rsid w:val="5F3077AA"/>
    <w:rsid w:val="5FFE0F81"/>
    <w:rsid w:val="60366D31"/>
    <w:rsid w:val="60AF2B0B"/>
    <w:rsid w:val="60F84935"/>
    <w:rsid w:val="61255871"/>
    <w:rsid w:val="613E2782"/>
    <w:rsid w:val="61C765B1"/>
    <w:rsid w:val="61EB0BE3"/>
    <w:rsid w:val="627A1B42"/>
    <w:rsid w:val="6309262B"/>
    <w:rsid w:val="632443AD"/>
    <w:rsid w:val="63A96D46"/>
    <w:rsid w:val="63C92614"/>
    <w:rsid w:val="63E56243"/>
    <w:rsid w:val="64085294"/>
    <w:rsid w:val="645A22DB"/>
    <w:rsid w:val="64F25577"/>
    <w:rsid w:val="65982204"/>
    <w:rsid w:val="66862D5B"/>
    <w:rsid w:val="671D183F"/>
    <w:rsid w:val="672A6A3F"/>
    <w:rsid w:val="68053C62"/>
    <w:rsid w:val="69D429FE"/>
    <w:rsid w:val="6AAE4AA9"/>
    <w:rsid w:val="6BB27FAE"/>
    <w:rsid w:val="6BF32B6E"/>
    <w:rsid w:val="6C1D11D6"/>
    <w:rsid w:val="6C7F18B1"/>
    <w:rsid w:val="6CC7157C"/>
    <w:rsid w:val="6D380C62"/>
    <w:rsid w:val="6D675A64"/>
    <w:rsid w:val="6EB83BFB"/>
    <w:rsid w:val="707E2322"/>
    <w:rsid w:val="71066EA0"/>
    <w:rsid w:val="75150F3D"/>
    <w:rsid w:val="755A41EA"/>
    <w:rsid w:val="7615764E"/>
    <w:rsid w:val="76B704A4"/>
    <w:rsid w:val="77BF249E"/>
    <w:rsid w:val="789456D9"/>
    <w:rsid w:val="78E24696"/>
    <w:rsid w:val="78E6614F"/>
    <w:rsid w:val="794013BD"/>
    <w:rsid w:val="7A4F4C35"/>
    <w:rsid w:val="7B104B4F"/>
    <w:rsid w:val="7BB5201B"/>
    <w:rsid w:val="7CB36A83"/>
    <w:rsid w:val="7CDD764F"/>
    <w:rsid w:val="7DC10C2F"/>
    <w:rsid w:val="7EAF4E3A"/>
    <w:rsid w:val="7F1A2158"/>
    <w:rsid w:val="7F2412DD"/>
    <w:rsid w:val="7FD12B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宋体"/>
      <w:kern w:val="2"/>
      <w:sz w:val="48"/>
      <w:szCs w:val="48"/>
      <w:lang w:val="en-US" w:eastAsia="zh-CN" w:bidi="ar-SA"/>
    </w:rPr>
  </w:style>
  <w:style w:type="paragraph" w:styleId="3">
    <w:name w:val="heading 2"/>
    <w:basedOn w:val="1"/>
    <w:next w:val="1"/>
    <w:autoRedefine/>
    <w:unhideWhenUsed/>
    <w:qFormat/>
    <w:locked/>
    <w:uiPriority w:val="0"/>
    <w:pPr>
      <w:spacing w:before="100" w:beforeAutospacing="1" w:after="100" w:afterAutospacing="1"/>
      <w:jc w:val="left"/>
      <w:outlineLvl w:val="1"/>
    </w:pPr>
    <w:rPr>
      <w:rFonts w:hint="eastAsia" w:ascii="宋体" w:hAnsi="宋体"/>
      <w:b/>
      <w:sz w:val="36"/>
      <w:szCs w:val="36"/>
    </w:rPr>
  </w:style>
  <w:style w:type="paragraph" w:styleId="2">
    <w:name w:val="heading 4"/>
    <w:basedOn w:val="3"/>
    <w:next w:val="1"/>
    <w:autoRedefine/>
    <w:qFormat/>
    <w:locked/>
    <w:uiPriority w:val="0"/>
    <w:pPr>
      <w:keepNext/>
      <w:keepLines/>
      <w:spacing w:before="280" w:after="290" w:line="374" w:lineRule="auto"/>
      <w:outlineLvl w:val="3"/>
    </w:pPr>
    <w:rPr>
      <w:rFonts w:ascii="Cambria" w:hAnsi="Cambria"/>
      <w:bCs/>
      <w:sz w:val="28"/>
      <w:szCs w:val="28"/>
    </w:rPr>
  </w:style>
  <w:style w:type="character" w:default="1" w:styleId="10">
    <w:name w:val="Default Paragraph Font"/>
    <w:autoRedefine/>
    <w:semiHidden/>
    <w:qFormat/>
    <w:uiPriority w:val="99"/>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6"/>
    <w:autoRedefine/>
    <w:qFormat/>
    <w:uiPriority w:val="99"/>
    <w:pPr>
      <w:spacing w:beforeLines="30"/>
    </w:pPr>
    <w:rPr>
      <w:rFonts w:ascii="仿宋_GB2312" w:eastAsia="仿宋_GB2312" w:cs="仿宋_GB2312"/>
      <w:sz w:val="30"/>
      <w:szCs w:val="30"/>
    </w:rPr>
  </w:style>
  <w:style w:type="paragraph" w:styleId="5">
    <w:name w:val="Body Text Indent"/>
    <w:basedOn w:val="1"/>
    <w:autoRedefine/>
    <w:qFormat/>
    <w:uiPriority w:val="0"/>
    <w:pPr>
      <w:tabs>
        <w:tab w:val="left" w:pos="960"/>
      </w:tabs>
      <w:spacing w:line="540" w:lineRule="exact"/>
      <w:ind w:firstLine="5440" w:firstLineChars="1700"/>
    </w:pPr>
    <w:rPr>
      <w:rFonts w:ascii="Times New Roman" w:hAnsi="Times New Roman" w:eastAsia="宋体" w:cs="Times New Roman"/>
      <w:sz w:val="32"/>
      <w:szCs w:val="32"/>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autoRedefine/>
    <w:qFormat/>
    <w:uiPriority w:val="0"/>
    <w:pPr>
      <w:ind w:firstLine="420" w:firstLineChars="200"/>
    </w:pPr>
    <w:rPr>
      <w:rFonts w:ascii="Times New Roman" w:hAnsi="Times New Roman" w:eastAsia="宋体" w:cs="Times New Roman"/>
    </w:rPr>
  </w:style>
  <w:style w:type="character" w:styleId="11">
    <w:name w:val="page number"/>
    <w:basedOn w:val="10"/>
    <w:autoRedefine/>
    <w:qFormat/>
    <w:uiPriority w:val="99"/>
  </w:style>
  <w:style w:type="character" w:styleId="12">
    <w:name w:val="Emphasis"/>
    <w:basedOn w:val="10"/>
    <w:autoRedefine/>
    <w:qFormat/>
    <w:uiPriority w:val="99"/>
  </w:style>
  <w:style w:type="character" w:customStyle="1" w:styleId="13">
    <w:name w:val="Footer Char"/>
    <w:basedOn w:val="10"/>
    <w:link w:val="6"/>
    <w:autoRedefine/>
    <w:qFormat/>
    <w:locked/>
    <w:uiPriority w:val="99"/>
    <w:rPr>
      <w:rFonts w:ascii="宋体" w:hAnsi="Times New Roman" w:eastAsia="宋体" w:cs="宋体"/>
      <w:sz w:val="18"/>
      <w:szCs w:val="18"/>
    </w:rPr>
  </w:style>
  <w:style w:type="character" w:customStyle="1" w:styleId="14">
    <w:name w:val="Header Char"/>
    <w:basedOn w:val="10"/>
    <w:link w:val="7"/>
    <w:autoRedefine/>
    <w:qFormat/>
    <w:locked/>
    <w:uiPriority w:val="99"/>
    <w:rPr>
      <w:rFonts w:ascii="宋体" w:hAnsi="Times New Roman" w:eastAsia="宋体" w:cs="宋体"/>
      <w:sz w:val="18"/>
      <w:szCs w:val="18"/>
    </w:rPr>
  </w:style>
  <w:style w:type="paragraph" w:customStyle="1" w:styleId="15">
    <w:name w:val="List Paragraph1"/>
    <w:basedOn w:val="1"/>
    <w:autoRedefine/>
    <w:qFormat/>
    <w:uiPriority w:val="99"/>
    <w:pPr>
      <w:ind w:firstLine="420" w:firstLineChars="200"/>
    </w:pPr>
  </w:style>
  <w:style w:type="character" w:customStyle="1" w:styleId="16">
    <w:name w:val="Body Text Char"/>
    <w:basedOn w:val="10"/>
    <w:link w:val="4"/>
    <w:autoRedefine/>
    <w:semiHidden/>
    <w:qFormat/>
    <w:locked/>
    <w:uiPriority w:val="99"/>
    <w:rPr>
      <w:rFonts w:ascii="宋体" w:hAnsi="Times New Roman" w:cs="宋体"/>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6</Pages>
  <Words>423</Words>
  <Characters>2417</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2017-11-29T09:09:00Z</dcterms:created>
  <dc:creator>null,null,总收发</dc:creator>
  <cp:lastModifiedBy>Administrator</cp:lastModifiedBy>
  <cp:lastPrinted>2024-01-25T02:16:00Z</cp:lastPrinted>
  <dcterms:modified xsi:type="dcterms:W3CDTF">2024-01-25T02:23:31Z</dcterms:modified>
  <dc:title>罗江区供销社2019年部门预算编制说明</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C48D716EEDD148B18141D2EF0015A819_12</vt:lpwstr>
  </property>
</Properties>
</file>