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outlineLvl w:val="0"/>
        <w:rPr>
          <w:rFonts w:ascii="黑体" w:hAnsi="黑体" w:eastAsia="黑体"/>
          <w:color w:val="000000"/>
          <w:sz w:val="72"/>
          <w:szCs w:val="72"/>
        </w:rPr>
      </w:pPr>
      <w:bookmarkStart w:id="0" w:name="_Toc15377425"/>
      <w:bookmarkStart w:id="1" w:name="_Toc15377193"/>
      <w:bookmarkStart w:id="2" w:name="_Toc15396597"/>
      <w:bookmarkStart w:id="3" w:name="_Toc15378441"/>
      <w:bookmarkStart w:id="4" w:name="_Toc15396475"/>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w:t>
      </w:r>
      <w:r>
        <w:rPr>
          <w:rFonts w:hint="eastAsia" w:ascii="黑体" w:hAnsi="黑体" w:eastAsia="黑体"/>
          <w:color w:val="000000"/>
          <w:sz w:val="72"/>
          <w:szCs w:val="72"/>
          <w:lang w:val="en-US" w:eastAsia="zh-CN"/>
        </w:rPr>
        <w:t>4</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color w:val="000000"/>
          <w:sz w:val="48"/>
          <w:szCs w:val="48"/>
        </w:rPr>
      </w:pPr>
      <w:bookmarkStart w:id="5" w:name="_Toc15396598"/>
      <w:bookmarkStart w:id="6" w:name="_Toc15377194"/>
      <w:bookmarkStart w:id="7" w:name="_Toc15378442"/>
      <w:bookmarkStart w:id="8" w:name="_Toc15396476"/>
      <w:bookmarkStart w:id="9" w:name="_Toc15377426"/>
      <w:bookmarkStart w:id="10" w:name="_Toc15306268"/>
      <w:r>
        <w:rPr>
          <w:rFonts w:hint="eastAsia" w:ascii="方正小标宋简体" w:hAnsi="宋体" w:eastAsia="方正小标宋简体"/>
          <w:color w:val="000000"/>
          <w:sz w:val="48"/>
          <w:szCs w:val="48"/>
        </w:rPr>
        <w:t>中国人民政治协商会议</w:t>
      </w:r>
    </w:p>
    <w:p>
      <w:pPr>
        <w:adjustRightInd w:val="0"/>
        <w:snapToGrid w:val="0"/>
        <w:spacing w:line="360" w:lineRule="auto"/>
        <w:jc w:val="center"/>
        <w:outlineLvl w:val="0"/>
        <w:rPr>
          <w:rFonts w:hint="eastAsia" w:ascii="方正小标宋简体" w:hAnsi="宋体" w:eastAsia="方正小标宋简体"/>
          <w:color w:val="000000"/>
          <w:sz w:val="48"/>
          <w:szCs w:val="48"/>
        </w:rPr>
      </w:pPr>
      <w:r>
        <w:rPr>
          <w:rFonts w:hint="eastAsia" w:ascii="方正小标宋简体" w:hAnsi="宋体" w:eastAsia="方正小标宋简体"/>
          <w:color w:val="000000"/>
          <w:sz w:val="48"/>
          <w:szCs w:val="48"/>
        </w:rPr>
        <w:t>四川省德阳市罗江区委员会办公室</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w:t>
      </w:r>
      <w:r>
        <w:rPr>
          <w:rFonts w:hint="eastAsia" w:ascii="方正小标宋简体" w:hAnsi="宋体" w:eastAsia="方正小标宋简体"/>
          <w:color w:val="000000"/>
          <w:sz w:val="72"/>
          <w:szCs w:val="72"/>
          <w:lang w:val="en-US" w:eastAsia="zh-CN"/>
        </w:rPr>
        <w:t>预</w:t>
      </w:r>
      <w:r>
        <w:rPr>
          <w:rFonts w:hint="eastAsia" w:ascii="方正小标宋简体" w:hAnsi="宋体" w:eastAsia="方正小标宋简体"/>
          <w:color w:val="000000"/>
          <w:sz w:val="72"/>
          <w:szCs w:val="72"/>
        </w:rPr>
        <w:t>算</w:t>
      </w:r>
      <w:bookmarkEnd w:id="5"/>
      <w:bookmarkEnd w:id="6"/>
      <w:bookmarkEnd w:id="7"/>
      <w:bookmarkEnd w:id="8"/>
      <w:bookmarkEnd w:id="9"/>
      <w:bookmarkEnd w:id="10"/>
      <w:r>
        <w:rPr>
          <w:rFonts w:hint="eastAsia" w:ascii="方正小标宋简体" w:hAnsi="宋体" w:eastAsia="方正小标宋简体"/>
          <w:color w:val="000000"/>
          <w:sz w:val="72"/>
          <w:szCs w:val="72"/>
        </w:rPr>
        <w:t>公开</w:t>
      </w:r>
    </w:p>
    <w:p>
      <w:pPr>
        <w:ind w:firstLine="412" w:firstLineChars="100"/>
        <w:jc w:val="center"/>
        <w:rPr>
          <w:rStyle w:val="9"/>
          <w:rFonts w:hint="eastAsia" w:ascii="ˎ̥" w:hAnsi="ˎ̥"/>
          <w:b/>
          <w:bCs/>
          <w:color w:val="000000"/>
          <w:sz w:val="41"/>
          <w:szCs w:val="41"/>
          <w:lang w:val="en-US" w:eastAsia="zh-CN"/>
        </w:rPr>
      </w:pPr>
    </w:p>
    <w:p>
      <w:pPr>
        <w:ind w:firstLine="412" w:firstLineChars="100"/>
        <w:jc w:val="center"/>
        <w:rPr>
          <w:rStyle w:val="9"/>
          <w:rFonts w:hint="eastAsia" w:ascii="ˎ̥" w:hAnsi="ˎ̥"/>
          <w:b/>
          <w:bCs/>
          <w:color w:val="000000"/>
          <w:sz w:val="41"/>
          <w:szCs w:val="41"/>
          <w:lang w:val="en-US" w:eastAsia="zh-CN"/>
        </w:rPr>
      </w:pPr>
    </w:p>
    <w:p>
      <w:pPr>
        <w:ind w:firstLine="412" w:firstLineChars="100"/>
        <w:jc w:val="center"/>
        <w:rPr>
          <w:rStyle w:val="9"/>
          <w:rFonts w:hint="eastAsia" w:ascii="ˎ̥" w:hAnsi="ˎ̥"/>
          <w:b/>
          <w:bCs/>
          <w:color w:val="000000"/>
          <w:sz w:val="41"/>
          <w:szCs w:val="41"/>
          <w:lang w:val="en-US" w:eastAsia="zh-CN"/>
        </w:rPr>
      </w:pPr>
    </w:p>
    <w:p>
      <w:pPr>
        <w:jc w:val="both"/>
        <w:rPr>
          <w:rStyle w:val="9"/>
          <w:rFonts w:hint="eastAsia" w:ascii="ˎ̥" w:hAnsi="ˎ̥"/>
          <w:b/>
          <w:bCs/>
          <w:color w:val="000000"/>
          <w:sz w:val="41"/>
          <w:szCs w:val="41"/>
          <w:lang w:val="en-US" w:eastAsia="zh-CN"/>
        </w:rPr>
      </w:pPr>
    </w:p>
    <w:sdt>
      <w:sdtPr>
        <w:rPr>
          <w:rFonts w:ascii="宋体" w:hAnsi="宋体" w:eastAsia="宋体" w:cs="Times New Roman"/>
          <w:kern w:val="2"/>
          <w:sz w:val="21"/>
          <w:szCs w:val="24"/>
          <w:lang w:val="en-US" w:eastAsia="zh-CN" w:bidi="ar-SA"/>
        </w:rPr>
        <w:id w:val="147471545"/>
        <w15:color w:val="DBDBDB"/>
      </w:sdtPr>
      <w:sdtEndPr>
        <w:rPr>
          <w:rFonts w:hint="eastAsia" w:ascii="ˎ̥" w:hAnsi="ˎ̥" w:eastAsia="宋体" w:cs="Times New Roman"/>
          <w:b/>
          <w:bCs/>
          <w:color w:val="000000"/>
          <w:kern w:val="2"/>
          <w:sz w:val="48"/>
          <w:szCs w:val="41"/>
          <w:lang w:val="en-US" w:eastAsia="zh-CN" w:bidi="ar-SA"/>
        </w:rPr>
      </w:sdtEndPr>
      <w:sdtContent>
        <w:p>
          <w:pPr>
            <w:spacing w:before="0" w:beforeLines="0" w:after="0" w:afterLines="0" w:line="240" w:lineRule="auto"/>
            <w:ind w:left="0" w:leftChars="0" w:right="0" w:rightChars="0" w:firstLine="0" w:firstLineChars="0"/>
            <w:jc w:val="both"/>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pPr>
          <w:bookmarkStart w:id="11" w:name="_Toc28770"/>
          <w:bookmarkStart w:id="12" w:name="_Toc3604"/>
          <w:r>
            <w:rPr>
              <w:rFonts w:ascii="宋体" w:hAnsi="宋体" w:eastAsia="宋体"/>
              <w:sz w:val="21"/>
            </w:rPr>
            <w:t>目录</w:t>
          </w:r>
        </w:p>
        <w:p>
          <w:pPr>
            <w:pStyle w:val="15"/>
            <w:tabs>
              <w:tab w:val="right" w:leader="dot" w:pos="8845"/>
            </w:tabs>
            <w:rPr>
              <w:rFonts w:hint="eastAsia" w:ascii="ˎ̥" w:hAnsi="ˎ̥"/>
              <w:b/>
              <w:bCs/>
              <w:color w:val="000000"/>
              <w:szCs w:val="41"/>
            </w:rPr>
          </w:pPr>
          <w:r>
            <w:rPr>
              <w:rStyle w:val="9"/>
              <w:rFonts w:hint="eastAsia" w:ascii="ˎ̥" w:hAnsi="ˎ̥"/>
              <w:b/>
              <w:bCs/>
              <w:color w:val="000000"/>
              <w:sz w:val="41"/>
              <w:szCs w:val="41"/>
            </w:rPr>
            <w:fldChar w:fldCharType="begin"/>
          </w:r>
          <w:r>
            <w:rPr>
              <w:rStyle w:val="9"/>
              <w:rFonts w:hint="eastAsia" w:ascii="ˎ̥" w:hAnsi="ˎ̥"/>
              <w:b/>
              <w:bCs/>
              <w:color w:val="000000"/>
              <w:sz w:val="41"/>
              <w:szCs w:val="41"/>
            </w:rPr>
            <w:instrText xml:space="preserve">TOC \o "1-2" \h \u </w:instrText>
          </w:r>
          <w:r>
            <w:rPr>
              <w:rStyle w:val="9"/>
              <w:rFonts w:hint="eastAsia" w:ascii="ˎ̥" w:hAnsi="ˎ̥"/>
              <w:b/>
              <w:bCs/>
              <w:color w:val="000000"/>
              <w:sz w:val="41"/>
              <w:szCs w:val="41"/>
            </w:rPr>
            <w:fldChar w:fldCharType="separate"/>
          </w:r>
          <w:r>
            <w:rPr>
              <w:rFonts w:hint="eastAsia" w:ascii="ˎ̥" w:hAnsi="ˎ̥"/>
              <w:b/>
              <w:bCs/>
              <w:color w:val="000000"/>
              <w:szCs w:val="41"/>
            </w:rPr>
            <w:fldChar w:fldCharType="begin"/>
          </w:r>
          <w:r>
            <w:rPr>
              <w:rFonts w:hint="eastAsia" w:ascii="ˎ̥" w:hAnsi="ˎ̥"/>
              <w:b/>
              <w:bCs/>
              <w:szCs w:val="41"/>
            </w:rPr>
            <w:instrText xml:space="preserve"> HYPERLINK \l _Toc28770 </w:instrText>
          </w:r>
          <w:r>
            <w:rPr>
              <w:rFonts w:hint="eastAsia" w:ascii="ˎ̥" w:hAnsi="ˎ̥"/>
              <w:b/>
              <w:bCs/>
              <w:szCs w:val="41"/>
            </w:rPr>
            <w:fldChar w:fldCharType="separate"/>
          </w:r>
          <w:r>
            <w:rPr>
              <w:rFonts w:hint="eastAsia" w:ascii="黑体" w:hAnsi="黑体" w:eastAsia="黑体" w:cs="黑体"/>
              <w:b/>
              <w:szCs w:val="32"/>
            </w:rPr>
            <w:t>一、基本职能及主要工作</w:t>
          </w:r>
          <w:r>
            <w:rPr>
              <w:b/>
            </w:rPr>
            <w:tab/>
          </w:r>
          <w:r>
            <w:rPr>
              <w:rFonts w:hint="eastAsia"/>
              <w:b/>
              <w:lang w:val="en-US" w:eastAsia="zh-CN"/>
            </w:rPr>
            <w:t>1</w:t>
          </w:r>
          <w:r>
            <w:rPr>
              <w:rFonts w:hint="eastAsia" w:ascii="ˎ̥" w:hAnsi="ˎ̥"/>
              <w:b/>
              <w:bCs/>
              <w:color w:val="000000"/>
              <w:szCs w:val="41"/>
            </w:rPr>
            <w:fldChar w:fldCharType="end"/>
          </w:r>
        </w:p>
        <w:p>
          <w:pPr>
            <w:pStyle w:val="16"/>
            <w:tabs>
              <w:tab w:val="right" w:leader="dot" w:pos="8845"/>
            </w:tabs>
            <w:ind w:left="0" w:leftChars="0" w:firstLine="400" w:firstLineChars="200"/>
          </w:pPr>
          <w:r>
            <w:rPr>
              <w:rFonts w:hint="eastAsia" w:ascii="ˎ̥" w:hAnsi="ˎ̥"/>
              <w:bCs/>
              <w:color w:val="000000"/>
              <w:szCs w:val="41"/>
            </w:rPr>
            <w:fldChar w:fldCharType="begin"/>
          </w:r>
          <w:r>
            <w:rPr>
              <w:rFonts w:hint="eastAsia" w:ascii="ˎ̥" w:hAnsi="ˎ̥"/>
              <w:bCs/>
              <w:szCs w:val="41"/>
            </w:rPr>
            <w:instrText xml:space="preserve"> HYPERLINK \l _Toc21884 </w:instrText>
          </w:r>
          <w:r>
            <w:rPr>
              <w:rFonts w:hint="eastAsia" w:ascii="ˎ̥" w:hAnsi="ˎ̥"/>
              <w:bCs/>
              <w:szCs w:val="41"/>
            </w:rPr>
            <w:fldChar w:fldCharType="separate"/>
          </w:r>
          <w:r>
            <w:rPr>
              <w:rFonts w:hint="eastAsia" w:ascii="楷体_GB2312" w:hAnsi="楷体_GB2312" w:eastAsia="楷体_GB2312" w:cs="楷体_GB2312"/>
              <w:bCs/>
              <w:szCs w:val="32"/>
            </w:rPr>
            <w:t>（一）机构设置及主要职责</w:t>
          </w:r>
          <w:r>
            <w:tab/>
          </w:r>
          <w:r>
            <w:fldChar w:fldCharType="begin"/>
          </w:r>
          <w:r>
            <w:instrText xml:space="preserve"> PAGEREF _Toc21884 \h </w:instrText>
          </w:r>
          <w:r>
            <w:fldChar w:fldCharType="separate"/>
          </w:r>
          <w:r>
            <w:t>1</w:t>
          </w:r>
          <w:r>
            <w:fldChar w:fldCharType="end"/>
          </w:r>
          <w:r>
            <w:rPr>
              <w:rFonts w:hint="eastAsia" w:ascii="ˎ̥" w:hAnsi="ˎ̥"/>
              <w:bCs/>
              <w:color w:val="000000"/>
              <w:szCs w:val="41"/>
            </w:rPr>
            <w:fldChar w:fldCharType="end"/>
          </w:r>
        </w:p>
        <w:p>
          <w:pPr>
            <w:pStyle w:val="15"/>
            <w:tabs>
              <w:tab w:val="right" w:leader="dot" w:pos="8845"/>
            </w:tabs>
            <w:ind w:firstLine="400" w:firstLineChars="200"/>
            <w:rPr>
              <w:rFonts w:hint="eastAsia" w:ascii="ˎ̥" w:hAnsi="ˎ̥" w:eastAsia="宋体"/>
              <w:bCs/>
              <w:color w:val="000000"/>
              <w:szCs w:val="41"/>
              <w:lang w:val="en-US" w:eastAsia="zh-CN"/>
            </w:rPr>
          </w:pPr>
          <w:r>
            <w:rPr>
              <w:rFonts w:hint="eastAsia" w:ascii="ˎ̥" w:hAnsi="ˎ̥"/>
              <w:bCs/>
              <w:color w:val="000000"/>
              <w:szCs w:val="41"/>
            </w:rPr>
            <w:fldChar w:fldCharType="begin"/>
          </w:r>
          <w:r>
            <w:rPr>
              <w:rFonts w:hint="eastAsia" w:ascii="ˎ̥" w:hAnsi="ˎ̥"/>
              <w:bCs/>
              <w:szCs w:val="41"/>
            </w:rPr>
            <w:instrText xml:space="preserve"> HYPERLINK \l _Toc818 </w:instrText>
          </w:r>
          <w:r>
            <w:rPr>
              <w:rFonts w:hint="eastAsia" w:ascii="ˎ̥" w:hAnsi="ˎ̥"/>
              <w:bCs/>
              <w:szCs w:val="41"/>
            </w:rPr>
            <w:fldChar w:fldCharType="separate"/>
          </w:r>
          <w:r>
            <w:rPr>
              <w:rFonts w:hint="eastAsia" w:ascii="楷体_GB2312" w:hAnsi="楷体_GB2312" w:eastAsia="楷体_GB2312" w:cs="楷体_GB2312"/>
              <w:bCs/>
              <w:szCs w:val="32"/>
            </w:rPr>
            <w:t>（二）20</w:t>
          </w:r>
          <w:r>
            <w:rPr>
              <w:rFonts w:hint="eastAsia" w:ascii="楷体_GB2312" w:hAnsi="楷体_GB2312" w:eastAsia="楷体_GB2312" w:cs="楷体_GB2312"/>
              <w:bCs/>
              <w:szCs w:val="32"/>
              <w:lang w:val="en-US" w:eastAsia="zh-CN"/>
            </w:rPr>
            <w:t>24</w:t>
          </w:r>
          <w:r>
            <w:rPr>
              <w:rFonts w:hint="eastAsia" w:ascii="楷体_GB2312" w:hAnsi="楷体_GB2312" w:eastAsia="楷体_GB2312" w:cs="楷体_GB2312"/>
              <w:bCs/>
              <w:szCs w:val="32"/>
            </w:rPr>
            <w:t>年重点工作</w:t>
          </w:r>
          <w:r>
            <w:tab/>
          </w:r>
          <w:r>
            <w:rPr>
              <w:rFonts w:hint="eastAsia" w:ascii="ˎ̥" w:hAnsi="ˎ̥"/>
              <w:bCs/>
              <w:color w:val="000000"/>
              <w:szCs w:val="41"/>
            </w:rPr>
            <w:fldChar w:fldCharType="end"/>
          </w:r>
          <w:r>
            <w:rPr>
              <w:rFonts w:hint="eastAsia" w:ascii="ˎ̥" w:hAnsi="ˎ̥"/>
              <w:bCs/>
              <w:color w:val="000000"/>
              <w:szCs w:val="41"/>
              <w:lang w:val="en-US" w:eastAsia="zh-CN"/>
            </w:rPr>
            <w:t>2</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_Toc27442 </w:instrText>
          </w:r>
          <w:r>
            <w:rPr>
              <w:rFonts w:hint="eastAsia" w:ascii="ˎ̥" w:hAnsi="ˎ̥"/>
              <w:b/>
              <w:bCs/>
              <w:szCs w:val="41"/>
            </w:rPr>
            <w:fldChar w:fldCharType="separate"/>
          </w:r>
          <w:r>
            <w:rPr>
              <w:rFonts w:hint="eastAsia" w:ascii="黑体" w:hAnsi="黑体" w:eastAsia="黑体" w:cs="黑体"/>
              <w:b/>
              <w:szCs w:val="32"/>
            </w:rPr>
            <w:t>二、部门预算单位构成</w:t>
          </w:r>
          <w:r>
            <w:rPr>
              <w:b/>
            </w:rPr>
            <w:tab/>
          </w:r>
          <w:r>
            <w:rPr>
              <w:rFonts w:hint="eastAsia" w:ascii="ˎ̥" w:hAnsi="ˎ̥"/>
              <w:b/>
              <w:bCs/>
              <w:color w:val="000000"/>
              <w:szCs w:val="41"/>
            </w:rPr>
            <w:fldChar w:fldCharType="end"/>
          </w:r>
          <w:r>
            <w:rPr>
              <w:rFonts w:hint="eastAsia" w:ascii="ˎ̥" w:hAnsi="ˎ̥"/>
              <w:b/>
              <w:bCs/>
              <w:color w:val="000000"/>
              <w:szCs w:val="41"/>
              <w:lang w:val="en-US" w:eastAsia="zh-CN"/>
            </w:rPr>
            <w:t>4</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_Toc1848 </w:instrText>
          </w:r>
          <w:r>
            <w:rPr>
              <w:rFonts w:hint="eastAsia" w:ascii="ˎ̥" w:hAnsi="ˎ̥"/>
              <w:b/>
              <w:bCs/>
              <w:szCs w:val="41"/>
            </w:rPr>
            <w:fldChar w:fldCharType="separate"/>
          </w:r>
          <w:r>
            <w:rPr>
              <w:rFonts w:hint="eastAsia" w:ascii="黑体" w:hAnsi="黑体" w:eastAsia="黑体" w:cs="黑体"/>
              <w:b/>
              <w:szCs w:val="32"/>
            </w:rPr>
            <w:t>三、收支预算增减变化情况说明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4</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_Toc193 </w:instrText>
          </w:r>
          <w:r>
            <w:rPr>
              <w:rFonts w:hint="eastAsia" w:ascii="ˎ̥" w:hAnsi="ˎ̥"/>
              <w:bCs/>
              <w:szCs w:val="41"/>
            </w:rPr>
            <w:fldChar w:fldCharType="separate"/>
          </w:r>
          <w:r>
            <w:rPr>
              <w:rFonts w:hint="eastAsia" w:ascii="楷体_GB2312" w:hAnsi="楷体_GB2312" w:eastAsia="楷体_GB2312" w:cs="楷体_GB2312"/>
              <w:bCs/>
              <w:szCs w:val="32"/>
            </w:rPr>
            <w:t>（一）收入预算情况</w:t>
          </w:r>
          <w:r>
            <w:tab/>
          </w:r>
          <w:r>
            <w:rPr>
              <w:rFonts w:hint="eastAsia" w:ascii="ˎ̥" w:hAnsi="ˎ̥"/>
              <w:bCs/>
              <w:color w:val="000000"/>
              <w:szCs w:val="41"/>
            </w:rPr>
            <w:fldChar w:fldCharType="end"/>
          </w:r>
          <w:r>
            <w:rPr>
              <w:rFonts w:hint="eastAsia" w:ascii="ˎ̥" w:hAnsi="ˎ̥"/>
              <w:bCs/>
              <w:color w:val="000000"/>
              <w:szCs w:val="41"/>
              <w:lang w:val="en-US" w:eastAsia="zh-CN"/>
            </w:rPr>
            <w:t>5</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_Toc3651 </w:instrText>
          </w:r>
          <w:r>
            <w:rPr>
              <w:rFonts w:hint="eastAsia" w:ascii="ˎ̥" w:hAnsi="ˎ̥"/>
              <w:bCs/>
              <w:szCs w:val="41"/>
            </w:rPr>
            <w:fldChar w:fldCharType="separate"/>
          </w:r>
          <w:r>
            <w:rPr>
              <w:rFonts w:hint="eastAsia" w:ascii="楷体_GB2312" w:hAnsi="楷体_GB2312" w:eastAsia="楷体_GB2312" w:cs="楷体_GB2312"/>
              <w:bCs/>
              <w:szCs w:val="32"/>
            </w:rPr>
            <w:t>（二）支出预算情况</w:t>
          </w:r>
          <w:r>
            <w:tab/>
          </w:r>
          <w:r>
            <w:rPr>
              <w:rFonts w:hint="eastAsia" w:ascii="ˎ̥" w:hAnsi="ˎ̥"/>
              <w:bCs/>
              <w:color w:val="000000"/>
              <w:szCs w:val="41"/>
            </w:rPr>
            <w:fldChar w:fldCharType="end"/>
          </w:r>
          <w:r>
            <w:rPr>
              <w:rFonts w:hint="eastAsia" w:ascii="ˎ̥" w:hAnsi="ˎ̥"/>
              <w:bCs/>
              <w:color w:val="000000"/>
              <w:szCs w:val="41"/>
              <w:lang w:val="en-US" w:eastAsia="zh-CN"/>
            </w:rPr>
            <w:t>5</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_Toc3738 </w:instrText>
          </w:r>
          <w:r>
            <w:rPr>
              <w:rFonts w:hint="eastAsia" w:ascii="ˎ̥" w:hAnsi="ˎ̥"/>
              <w:b/>
              <w:bCs/>
              <w:szCs w:val="41"/>
            </w:rPr>
            <w:fldChar w:fldCharType="separate"/>
          </w:r>
          <w:r>
            <w:rPr>
              <w:rFonts w:hint="eastAsia" w:ascii="黑体" w:hAnsi="黑体" w:eastAsia="黑体" w:cs="黑体"/>
              <w:b/>
              <w:szCs w:val="32"/>
            </w:rPr>
            <w:t>四、财政拨款收支预算情况说明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5</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_Toc3440 </w:instrText>
          </w:r>
          <w:r>
            <w:rPr>
              <w:rFonts w:hint="eastAsia" w:ascii="ˎ̥" w:hAnsi="ˎ̥"/>
              <w:b/>
              <w:bCs/>
              <w:szCs w:val="41"/>
            </w:rPr>
            <w:fldChar w:fldCharType="separate"/>
          </w:r>
          <w:r>
            <w:rPr>
              <w:rFonts w:hint="eastAsia" w:ascii="黑体" w:hAnsi="黑体" w:eastAsia="黑体" w:cs="黑体"/>
              <w:b/>
              <w:szCs w:val="32"/>
            </w:rPr>
            <w:t>五、一般公共预算当年拨款情况说明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5</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_Toc25098 </w:instrText>
          </w:r>
          <w:r>
            <w:rPr>
              <w:rFonts w:hint="eastAsia" w:ascii="ˎ̥" w:hAnsi="ˎ̥"/>
              <w:bCs/>
              <w:szCs w:val="41"/>
            </w:rPr>
            <w:fldChar w:fldCharType="separate"/>
          </w:r>
          <w:r>
            <w:rPr>
              <w:rFonts w:hint="eastAsia" w:ascii="楷体_GB2312" w:hAnsi="楷体_GB2312" w:eastAsia="楷体_GB2312" w:cs="楷体_GB2312"/>
              <w:bCs/>
              <w:szCs w:val="32"/>
            </w:rPr>
            <w:t>（一）一般公共预算当年拨款规模变化情况</w:t>
          </w:r>
          <w:r>
            <w:tab/>
          </w:r>
          <w:r>
            <w:rPr>
              <w:rFonts w:hint="eastAsia" w:ascii="ˎ̥" w:hAnsi="ˎ̥"/>
              <w:bCs/>
              <w:color w:val="000000"/>
              <w:szCs w:val="41"/>
            </w:rPr>
            <w:fldChar w:fldCharType="end"/>
          </w:r>
          <w:r>
            <w:rPr>
              <w:rFonts w:hint="eastAsia" w:ascii="ˎ̥" w:hAnsi="ˎ̥"/>
              <w:bCs/>
              <w:color w:val="000000"/>
              <w:szCs w:val="41"/>
              <w:lang w:val="en-US" w:eastAsia="zh-CN"/>
            </w:rPr>
            <w:t>5</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_Toc16092 </w:instrText>
          </w:r>
          <w:r>
            <w:rPr>
              <w:rFonts w:hint="eastAsia" w:ascii="ˎ̥" w:hAnsi="ˎ̥"/>
              <w:bCs/>
              <w:szCs w:val="41"/>
            </w:rPr>
            <w:fldChar w:fldCharType="separate"/>
          </w:r>
          <w:r>
            <w:rPr>
              <w:rFonts w:hint="eastAsia" w:ascii="仿宋_GB2312" w:hAnsi="仿宋_GB2312" w:eastAsia="仿宋_GB2312"/>
              <w:bCs/>
              <w:szCs w:val="32"/>
            </w:rPr>
            <w:t>（二）一般公共预算当年拨款结构情况(按照功能科目类写)</w:t>
          </w:r>
          <w:r>
            <w:tab/>
          </w:r>
          <w:r>
            <w:rPr>
              <w:rFonts w:hint="eastAsia" w:ascii="ˎ̥" w:hAnsi="ˎ̥"/>
              <w:bCs/>
              <w:color w:val="000000"/>
              <w:szCs w:val="41"/>
            </w:rPr>
            <w:fldChar w:fldCharType="end"/>
          </w:r>
          <w:r>
            <w:rPr>
              <w:rFonts w:hint="eastAsia" w:ascii="ˎ̥" w:hAnsi="ˎ̥"/>
              <w:bCs/>
              <w:color w:val="000000"/>
              <w:szCs w:val="41"/>
              <w:lang w:val="en-US" w:eastAsia="zh-CN"/>
            </w:rPr>
            <w:t>5</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_Toc28341 </w:instrText>
          </w:r>
          <w:r>
            <w:rPr>
              <w:rFonts w:hint="eastAsia" w:ascii="ˎ̥" w:hAnsi="ˎ̥"/>
              <w:bCs/>
              <w:szCs w:val="41"/>
            </w:rPr>
            <w:fldChar w:fldCharType="separate"/>
          </w:r>
          <w:r>
            <w:rPr>
              <w:rFonts w:hint="eastAsia" w:ascii="楷体_GB2312" w:hAnsi="楷体_GB2312" w:eastAsia="楷体_GB2312" w:cs="楷体_GB2312"/>
              <w:bCs/>
              <w:szCs w:val="32"/>
            </w:rPr>
            <w:t>（三）一般公共预算当年拨款具体使用情况（按功能科目类款项写）</w:t>
          </w:r>
          <w:r>
            <w:tab/>
          </w:r>
          <w:r>
            <w:rPr>
              <w:rFonts w:hint="eastAsia" w:ascii="ˎ̥" w:hAnsi="ˎ̥"/>
              <w:bCs/>
              <w:color w:val="000000"/>
              <w:szCs w:val="41"/>
            </w:rPr>
            <w:fldChar w:fldCharType="end"/>
          </w:r>
          <w:r>
            <w:rPr>
              <w:rFonts w:hint="eastAsia" w:ascii="ˎ̥" w:hAnsi="ˎ̥"/>
              <w:bCs/>
              <w:color w:val="000000"/>
              <w:szCs w:val="41"/>
              <w:lang w:val="en-US" w:eastAsia="zh-CN"/>
            </w:rPr>
            <w:t>6</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_Toc18858 </w:instrText>
          </w:r>
          <w:r>
            <w:rPr>
              <w:rFonts w:hint="eastAsia" w:ascii="ˎ̥" w:hAnsi="ˎ̥"/>
              <w:b/>
              <w:bCs/>
              <w:szCs w:val="41"/>
            </w:rPr>
            <w:fldChar w:fldCharType="separate"/>
          </w:r>
          <w:r>
            <w:rPr>
              <w:rFonts w:hint="eastAsia" w:ascii="黑体" w:hAnsi="黑体" w:eastAsia="黑体" w:cs="黑体"/>
              <w:b/>
              <w:szCs w:val="32"/>
            </w:rPr>
            <w:t>六、一般公共预算基本支出情况说明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7</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_Toc256 </w:instrText>
          </w:r>
          <w:r>
            <w:rPr>
              <w:rFonts w:hint="eastAsia" w:ascii="ˎ̥" w:hAnsi="ˎ̥"/>
              <w:b/>
              <w:bCs/>
              <w:szCs w:val="41"/>
            </w:rPr>
            <w:fldChar w:fldCharType="separate"/>
          </w:r>
          <w:r>
            <w:rPr>
              <w:rFonts w:hint="eastAsia" w:ascii="黑体" w:hAnsi="黑体" w:eastAsia="黑体" w:cs="黑体"/>
              <w:b/>
              <w:szCs w:val="32"/>
            </w:rPr>
            <w:t>七、“三公”经费财政拨款预算安排情况说明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7</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_Toc11086 </w:instrText>
          </w:r>
          <w:r>
            <w:rPr>
              <w:rFonts w:hint="eastAsia" w:ascii="ˎ̥" w:hAnsi="ˎ̥"/>
              <w:b/>
              <w:bCs/>
              <w:szCs w:val="41"/>
            </w:rPr>
            <w:fldChar w:fldCharType="separate"/>
          </w:r>
          <w:r>
            <w:rPr>
              <w:rFonts w:hint="eastAsia" w:ascii="黑体" w:hAnsi="黑体" w:eastAsia="黑体" w:cs="黑体"/>
              <w:b/>
              <w:bCs w:val="0"/>
              <w:szCs w:val="32"/>
            </w:rPr>
            <w:t>八、政府性基金预算收支情况说明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8</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_Toc165 </w:instrText>
          </w:r>
          <w:r>
            <w:rPr>
              <w:rFonts w:hint="eastAsia" w:ascii="ˎ̥" w:hAnsi="ˎ̥"/>
              <w:b/>
              <w:bCs/>
              <w:szCs w:val="41"/>
            </w:rPr>
            <w:fldChar w:fldCharType="separate"/>
          </w:r>
          <w:r>
            <w:rPr>
              <w:rFonts w:hint="eastAsia" w:ascii="黑体" w:hAnsi="黑体" w:eastAsia="黑体" w:cs="黑体"/>
              <w:b/>
              <w:szCs w:val="32"/>
            </w:rPr>
            <w:t>九、国有资本经营预算支出情况说明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8</w:t>
          </w:r>
        </w:p>
        <w:p>
          <w:pPr>
            <w:pStyle w:val="15"/>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_Toc29771 </w:instrText>
          </w:r>
          <w:r>
            <w:rPr>
              <w:rFonts w:hint="eastAsia" w:ascii="ˎ̥" w:hAnsi="ˎ̥"/>
              <w:b/>
              <w:bCs/>
              <w:szCs w:val="41"/>
            </w:rPr>
            <w:fldChar w:fldCharType="separate"/>
          </w:r>
          <w:r>
            <w:rPr>
              <w:rFonts w:hint="eastAsia" w:ascii="黑体" w:hAnsi="黑体" w:eastAsia="黑体" w:cs="黑体"/>
              <w:b/>
              <w:szCs w:val="32"/>
            </w:rPr>
            <w:t>十、其他重要事项的情况说明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8</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_Toc11525 </w:instrText>
          </w:r>
          <w:r>
            <w:rPr>
              <w:rFonts w:hint="eastAsia" w:ascii="ˎ̥" w:hAnsi="ˎ̥"/>
              <w:bCs/>
              <w:szCs w:val="41"/>
            </w:rPr>
            <w:fldChar w:fldCharType="separate"/>
          </w:r>
          <w:r>
            <w:rPr>
              <w:rFonts w:hint="eastAsia" w:ascii="仿宋_GB2312" w:hAnsi="仿宋_GB2312" w:eastAsia="仿宋_GB2312"/>
              <w:szCs w:val="32"/>
            </w:rPr>
            <w:t>（一）机关运行经费</w:t>
          </w:r>
          <w:r>
            <w:tab/>
          </w:r>
          <w:r>
            <w:rPr>
              <w:rFonts w:hint="eastAsia" w:ascii="ˎ̥" w:hAnsi="ˎ̥"/>
              <w:bCs/>
              <w:color w:val="000000"/>
              <w:szCs w:val="41"/>
            </w:rPr>
            <w:fldChar w:fldCharType="end"/>
          </w:r>
          <w:r>
            <w:rPr>
              <w:rFonts w:hint="eastAsia" w:ascii="ˎ̥" w:hAnsi="ˎ̥"/>
              <w:bCs/>
              <w:color w:val="000000"/>
              <w:szCs w:val="41"/>
              <w:lang w:val="en-US" w:eastAsia="zh-CN"/>
            </w:rPr>
            <w:t>8</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_Toc15299 </w:instrText>
          </w:r>
          <w:r>
            <w:rPr>
              <w:rFonts w:hint="eastAsia" w:ascii="ˎ̥" w:hAnsi="ˎ̥"/>
              <w:bCs/>
              <w:szCs w:val="41"/>
            </w:rPr>
            <w:fldChar w:fldCharType="separate"/>
          </w:r>
          <w:r>
            <w:rPr>
              <w:rFonts w:hint="eastAsia" w:ascii="仿宋_GB2312" w:hAnsi="仿宋_GB2312" w:eastAsia="仿宋_GB2312"/>
              <w:szCs w:val="32"/>
            </w:rPr>
            <w:t>（二）政府采购情况</w:t>
          </w:r>
          <w:r>
            <w:tab/>
          </w:r>
          <w:r>
            <w:rPr>
              <w:rFonts w:hint="eastAsia" w:ascii="ˎ̥" w:hAnsi="ˎ̥"/>
              <w:bCs/>
              <w:color w:val="000000"/>
              <w:szCs w:val="41"/>
            </w:rPr>
            <w:fldChar w:fldCharType="end"/>
          </w:r>
          <w:r>
            <w:rPr>
              <w:rFonts w:hint="eastAsia" w:ascii="ˎ̥" w:hAnsi="ˎ̥"/>
              <w:bCs/>
              <w:color w:val="000000"/>
              <w:szCs w:val="41"/>
              <w:lang w:val="en-US" w:eastAsia="zh-CN"/>
            </w:rPr>
            <w:t>8</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_Toc18679 </w:instrText>
          </w:r>
          <w:r>
            <w:rPr>
              <w:rFonts w:hint="eastAsia" w:ascii="ˎ̥" w:hAnsi="ˎ̥"/>
              <w:bCs/>
              <w:szCs w:val="41"/>
            </w:rPr>
            <w:fldChar w:fldCharType="separate"/>
          </w:r>
          <w:r>
            <w:rPr>
              <w:rFonts w:hint="eastAsia" w:ascii="仿宋_GB2312" w:hAnsi="仿宋_GB2312" w:eastAsia="仿宋_GB2312"/>
              <w:szCs w:val="32"/>
            </w:rPr>
            <w:t>（三）国有资产占有使用情况</w:t>
          </w:r>
          <w:r>
            <w:tab/>
          </w:r>
          <w:r>
            <w:rPr>
              <w:rFonts w:hint="eastAsia" w:ascii="ˎ̥" w:hAnsi="ˎ̥"/>
              <w:bCs/>
              <w:color w:val="000000"/>
              <w:szCs w:val="41"/>
            </w:rPr>
            <w:fldChar w:fldCharType="end"/>
          </w:r>
          <w:r>
            <w:rPr>
              <w:rFonts w:hint="eastAsia" w:ascii="ˎ̥" w:hAnsi="ˎ̥"/>
              <w:bCs/>
              <w:color w:val="000000"/>
              <w:szCs w:val="41"/>
              <w:lang w:val="en-US" w:eastAsia="zh-CN"/>
            </w:rPr>
            <w:t>8</w:t>
          </w:r>
        </w:p>
        <w:p>
          <w:pPr>
            <w:pStyle w:val="16"/>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_Toc2176 </w:instrText>
          </w:r>
          <w:r>
            <w:rPr>
              <w:rFonts w:hint="eastAsia" w:ascii="ˎ̥" w:hAnsi="ˎ̥"/>
              <w:bCs/>
              <w:szCs w:val="41"/>
            </w:rPr>
            <w:fldChar w:fldCharType="separate"/>
          </w:r>
          <w:r>
            <w:rPr>
              <w:rFonts w:hint="eastAsia" w:ascii="仿宋_GB2312" w:hAnsi="仿宋_GB2312" w:eastAsia="仿宋_GB2312"/>
              <w:szCs w:val="32"/>
            </w:rPr>
            <w:t>（四）绩效目标设置情况</w:t>
          </w:r>
          <w:r>
            <w:tab/>
          </w:r>
          <w:r>
            <w:rPr>
              <w:rFonts w:hint="eastAsia" w:ascii="ˎ̥" w:hAnsi="ˎ̥"/>
              <w:bCs/>
              <w:color w:val="000000"/>
              <w:szCs w:val="41"/>
            </w:rPr>
            <w:fldChar w:fldCharType="end"/>
          </w:r>
          <w:r>
            <w:rPr>
              <w:rFonts w:hint="eastAsia" w:ascii="ˎ̥" w:hAnsi="ˎ̥"/>
              <w:bCs/>
              <w:color w:val="000000"/>
              <w:szCs w:val="41"/>
              <w:lang w:val="en-US" w:eastAsia="zh-CN"/>
            </w:rPr>
            <w:t>8</w:t>
          </w:r>
        </w:p>
        <w:p>
          <w:pPr>
            <w:pStyle w:val="15"/>
            <w:tabs>
              <w:tab w:val="right" w:leader="dot" w:pos="8845"/>
            </w:tabs>
            <w:rPr>
              <w:rFonts w:hint="eastAsia" w:eastAsia="宋体"/>
              <w:b/>
              <w:bCs w:val="0"/>
              <w:lang w:val="en-US" w:eastAsia="zh-CN"/>
            </w:rPr>
          </w:pPr>
          <w:r>
            <w:rPr>
              <w:rFonts w:hint="eastAsia" w:ascii="ˎ̥" w:hAnsi="ˎ̥"/>
              <w:b/>
              <w:bCs w:val="0"/>
              <w:color w:val="000000"/>
              <w:szCs w:val="41"/>
            </w:rPr>
            <w:fldChar w:fldCharType="begin"/>
          </w:r>
          <w:r>
            <w:rPr>
              <w:rFonts w:hint="eastAsia" w:ascii="ˎ̥" w:hAnsi="ˎ̥"/>
              <w:b/>
              <w:bCs w:val="0"/>
              <w:szCs w:val="41"/>
            </w:rPr>
            <w:instrText xml:space="preserve"> HYPERLINK \l _Toc6693 </w:instrText>
          </w:r>
          <w:r>
            <w:rPr>
              <w:rFonts w:hint="eastAsia" w:ascii="ˎ̥" w:hAnsi="ˎ̥"/>
              <w:b/>
              <w:bCs w:val="0"/>
              <w:szCs w:val="41"/>
            </w:rPr>
            <w:fldChar w:fldCharType="separate"/>
          </w:r>
          <w:r>
            <w:rPr>
              <w:rFonts w:hint="eastAsia" w:ascii="仿宋_GB2312" w:hAnsi="仿宋_GB2312" w:eastAsia="仿宋_GB2312"/>
              <w:b/>
              <w:bCs w:val="0"/>
              <w:szCs w:val="32"/>
              <w:lang w:val="en-US" w:eastAsia="zh-CN"/>
            </w:rPr>
            <w:t>十一</w:t>
          </w:r>
          <w:r>
            <w:rPr>
              <w:rFonts w:hint="eastAsia" w:ascii="仿宋_GB2312" w:hAnsi="仿宋_GB2312" w:eastAsia="仿宋_GB2312"/>
              <w:b/>
              <w:bCs w:val="0"/>
              <w:szCs w:val="32"/>
            </w:rPr>
            <w:t>、名词解释</w:t>
          </w:r>
          <w:r>
            <w:rPr>
              <w:b/>
              <w:bCs w:val="0"/>
            </w:rPr>
            <w:tab/>
          </w:r>
          <w:r>
            <w:rPr>
              <w:rFonts w:hint="eastAsia" w:ascii="ˎ̥" w:hAnsi="ˎ̥"/>
              <w:b/>
              <w:bCs w:val="0"/>
              <w:color w:val="000000"/>
              <w:szCs w:val="41"/>
            </w:rPr>
            <w:fldChar w:fldCharType="end"/>
          </w:r>
          <w:r>
            <w:rPr>
              <w:rFonts w:hint="eastAsia" w:ascii="ˎ̥" w:hAnsi="ˎ̥"/>
              <w:b/>
              <w:bCs w:val="0"/>
              <w:color w:val="000000"/>
              <w:szCs w:val="41"/>
              <w:lang w:val="en-US" w:eastAsia="zh-CN"/>
            </w:rPr>
            <w:t>9</w:t>
          </w:r>
        </w:p>
        <w:p>
          <w:pPr>
            <w:ind w:firstLine="482" w:firstLineChars="100"/>
            <w:jc w:val="center"/>
            <w:rPr>
              <w:rStyle w:val="9"/>
              <w:rFonts w:hint="eastAsia" w:ascii="ˎ̥" w:hAnsi="ˎ̥"/>
              <w:b/>
              <w:bCs/>
              <w:color w:val="000000"/>
              <w:sz w:val="41"/>
              <w:szCs w:val="41"/>
            </w:rPr>
          </w:pPr>
          <w:r>
            <w:rPr>
              <w:rFonts w:hint="eastAsia" w:ascii="ˎ̥" w:hAnsi="ˎ̥"/>
              <w:b/>
              <w:bCs/>
              <w:color w:val="000000"/>
              <w:szCs w:val="41"/>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4" w:leftChars="132" w:hanging="960" w:hangingChars="3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政协德阳市罗江区委员会办公室</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val="en-US" w:eastAsia="zh-CN"/>
            </w:rPr>
            <w:t>批复</w:t>
          </w:r>
          <w:r>
            <w:rPr>
              <w:rFonts w:hint="eastAsia" w:ascii="仿宋_GB2312" w:hAnsi="仿宋_GB2312"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2.部门项目支出绩效目标批复表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3.部门整体支出绩效目标批复表</w:t>
          </w:r>
          <w:bookmarkEnd w:id="11"/>
          <w:bookmarkEnd w:id="12"/>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val="en-US" w:eastAsia="zh-CN"/>
        </w:rPr>
        <w:t>批复</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_GB2312" w:hAns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12" w:firstLineChars="100"/>
        <w:jc w:val="center"/>
        <w:textAlignment w:val="auto"/>
        <w:rPr>
          <w:rStyle w:val="9"/>
          <w:rFonts w:hint="eastAsia" w:ascii="ˎ̥" w:hAnsi="ˎ̥"/>
          <w:b/>
          <w:bCs/>
          <w:color w:val="000000"/>
          <w:sz w:val="41"/>
          <w:szCs w:val="41"/>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sectPr>
          <w:head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一、基本职能及主要工作</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政协办</w:t>
      </w:r>
      <w:r>
        <w:rPr>
          <w:rFonts w:hint="eastAsia" w:ascii="楷体_GB2312" w:hAnsi="楷体_GB2312" w:eastAsia="楷体_GB2312" w:cs="楷体_GB2312"/>
          <w:b/>
          <w:bCs/>
          <w:sz w:val="32"/>
          <w:szCs w:val="32"/>
        </w:rPr>
        <w:t>机构设置及主要职责。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bCs/>
          <w:sz w:val="32"/>
          <w:szCs w:val="32"/>
        </w:rPr>
      </w:pPr>
      <w:r>
        <w:rPr>
          <w:rFonts w:hint="eastAsia" w:eastAsia="仿宋_GB2312"/>
          <w:bCs/>
          <w:sz w:val="32"/>
          <w:szCs w:val="32"/>
          <w:lang w:eastAsia="zh-CN"/>
        </w:rPr>
        <w:t>　　</w:t>
      </w:r>
      <w:r>
        <w:rPr>
          <w:rFonts w:hint="eastAsia" w:ascii="仿宋_GB2312" w:hAnsi="仿宋_GB2312" w:eastAsia="仿宋_GB2312" w:cs="仿宋_GB2312"/>
          <w:bCs/>
          <w:sz w:val="32"/>
          <w:szCs w:val="32"/>
        </w:rPr>
        <w:t>1.负责</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政协全委会议、常委会会议、主席会议和其他重要会议及重大活动的会务、文秘和后期服务等工作。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2.负责与</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委办、</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人大办、</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政府办、</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级部门和镇的联系、配合、协调工作。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3.负责与</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政协各专门委员会工作的协调、沟通、配合工作。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4.负责与市政协及兄弟县（市、区）政协办的联系工作；</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政协的对内外宣传工作。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5.负责</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政协开展活动的后勤保障、财务管理、基建维修及其他有关工作。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6.负责机关来往电处理、文书档案、机要保密、文印、通讯、信访、音像器材、安全保卫、接待及小车管理工作。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7.负责权限范围内的机构调整和人事工作；离退休人员管理服务工作。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8.承办</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政协主席、副主席交办的其他工作。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新宋体" w:eastAsia="仿宋_GB2312"/>
          <w:sz w:val="32"/>
          <w:szCs w:val="32"/>
          <w:lang w:eastAsia="zh-CN"/>
        </w:rPr>
      </w:pPr>
      <w:r>
        <w:rPr>
          <w:rFonts w:hint="eastAsia" w:ascii="楷体" w:hAnsi="楷体" w:eastAsia="楷体" w:cs="楷体"/>
          <w:b/>
          <w:bCs w:val="0"/>
          <w:sz w:val="32"/>
          <w:szCs w:val="32"/>
          <w:lang w:val="en-US" w:eastAsia="zh-CN"/>
        </w:rPr>
        <w:t>（二）</w:t>
      </w:r>
      <w:r>
        <w:rPr>
          <w:rFonts w:hint="eastAsia" w:ascii="楷体" w:hAnsi="楷体" w:eastAsia="楷体" w:cs="楷体"/>
          <w:b/>
          <w:bCs w:val="0"/>
          <w:sz w:val="32"/>
          <w:szCs w:val="32"/>
          <w:lang w:eastAsia="zh-CN"/>
        </w:rPr>
        <w:t>德阳市罗江区政协信息中心</w:t>
      </w:r>
      <w:r>
        <w:rPr>
          <w:rFonts w:hint="eastAsia" w:ascii="楷体" w:hAnsi="楷体" w:eastAsia="楷体" w:cs="楷体"/>
          <w:b/>
          <w:bCs w:val="0"/>
          <w:sz w:val="32"/>
          <w:szCs w:val="32"/>
          <w:lang w:val="en-US" w:eastAsia="zh-CN"/>
        </w:rPr>
        <w:t>及主要职责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hAnsi="新宋体" w:eastAsia="仿宋_GB2312"/>
          <w:sz w:val="32"/>
          <w:szCs w:val="32"/>
          <w:lang w:eastAsia="zh-CN"/>
        </w:rPr>
        <w:t>为区政协办所属公益一类事业单位，机构规格为正股级，核定事业编制1名，设主任1名（</w:t>
      </w:r>
      <w:r>
        <w:rPr>
          <w:rFonts w:hint="eastAsia" w:ascii="仿宋_GB2312" w:eastAsia="仿宋_GB2312"/>
          <w:sz w:val="32"/>
          <w:szCs w:val="32"/>
          <w:lang w:eastAsia="zh-CN"/>
        </w:rPr>
        <w:t>正股级</w:t>
      </w:r>
      <w:r>
        <w:rPr>
          <w:rFonts w:hint="eastAsia" w:ascii="仿宋_GB2312" w:hAnsi="新宋体" w:eastAsia="仿宋_GB2312"/>
          <w:sz w:val="32"/>
          <w:szCs w:val="32"/>
          <w:lang w:eastAsia="zh-CN"/>
        </w:rPr>
        <w:t>）</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rPr>
      </w:pPr>
      <w:r>
        <w:rPr>
          <w:rFonts w:hint="eastAsia" w:ascii="Times New Roman" w:hAnsi="Times New Roman" w:eastAsia="仿宋_GB2312"/>
          <w:sz w:val="32"/>
          <w:szCs w:val="32"/>
          <w:lang w:eastAsia="zh-CN"/>
        </w:rPr>
        <w:t>主要职责：</w:t>
      </w:r>
      <w:r>
        <w:rPr>
          <w:rFonts w:hint="eastAsia" w:ascii="仿宋_GB2312" w:hAnsi="新宋体" w:eastAsia="仿宋_GB2312"/>
          <w:sz w:val="32"/>
          <w:szCs w:val="32"/>
          <w:lang w:eastAsia="zh-CN"/>
        </w:rPr>
        <w:t>负责区政协信息网络规划、建设和日常管理维护；负责政协网络宣传工作及重大活动、重要会议的策划、宣传和相关会务工作；承担区政协委员提案的网络交办工作；负责政协信息编纂、委员联络服务等工作。</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w:t>
      </w:r>
      <w:r>
        <w:rPr>
          <w:rFonts w:hint="eastAsia" w:ascii="仿宋_GB2312" w:hAnsi="仿宋_GB2312" w:eastAsia="仿宋_GB2312"/>
          <w:b/>
          <w:bCs/>
          <w:sz w:val="32"/>
          <w:szCs w:val="32"/>
          <w:lang w:val="en-US" w:eastAsia="zh-CN"/>
        </w:rPr>
        <w:t>三</w:t>
      </w:r>
      <w:r>
        <w:rPr>
          <w:rFonts w:hint="eastAsia" w:ascii="仿宋_GB2312" w:hAnsi="仿宋_GB2312" w:eastAsia="仿宋_GB2312"/>
          <w:b/>
          <w:bCs/>
          <w:sz w:val="32"/>
          <w:szCs w:val="32"/>
        </w:rPr>
        <w:t>）</w:t>
      </w:r>
      <w:r>
        <w:rPr>
          <w:rFonts w:hint="eastAsia" w:ascii="仿宋_GB2312" w:hAnsi="仿宋_GB2312" w:eastAsia="仿宋_GB2312"/>
          <w:b/>
          <w:bCs/>
          <w:sz w:val="32"/>
          <w:szCs w:val="32"/>
          <w:lang w:eastAsia="zh-CN"/>
        </w:rPr>
        <w:t>政协办</w:t>
      </w:r>
      <w:r>
        <w:rPr>
          <w:rFonts w:hint="eastAsia" w:ascii="仿宋_GB2312" w:hAnsi="仿宋_GB2312" w:eastAsia="仿宋_GB2312"/>
          <w:b/>
          <w:bCs/>
          <w:sz w:val="32"/>
          <w:szCs w:val="32"/>
        </w:rPr>
        <w:t>20</w:t>
      </w:r>
      <w:r>
        <w:rPr>
          <w:rFonts w:hint="eastAsia" w:ascii="仿宋_GB2312" w:hAnsi="仿宋_GB2312" w:eastAsia="仿宋_GB2312"/>
          <w:b/>
          <w:bCs/>
          <w:sz w:val="32"/>
          <w:szCs w:val="32"/>
          <w:lang w:val="en-US" w:eastAsia="zh-CN"/>
        </w:rPr>
        <w:t>24</w:t>
      </w:r>
      <w:r>
        <w:rPr>
          <w:rFonts w:hint="eastAsia" w:ascii="仿宋_GB2312" w:hAnsi="仿宋_GB2312" w:eastAsia="仿宋_GB2312"/>
          <w:b/>
          <w:bCs/>
          <w:sz w:val="32"/>
          <w:szCs w:val="32"/>
        </w:rPr>
        <w:t>年重点工作。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1.加强理论武装，筑牢理想信念之基。</w:t>
      </w:r>
      <w:r>
        <w:rPr>
          <w:rFonts w:hint="default" w:ascii="Times New Roman" w:hAnsi="Times New Roman" w:eastAsia="仿宋_GB2312" w:cs="Times New Roman"/>
          <w:color w:val="000000"/>
          <w:kern w:val="0"/>
          <w:sz w:val="32"/>
          <w:szCs w:val="32"/>
          <w:lang w:val="en-US" w:eastAsia="zh-CN" w:bidi="ar"/>
        </w:rPr>
        <w:t>高度重视理论的实践指引作用，坚持“第一议题”制度，通过政协党组理论学习中心组学习、专题学习交流研讨、讲堂讲座领学等灵活多样形式，做好习近平新时代中国特色社会主义思想及习近平总书记关于统战和人民政协工作重要论述的学习，自觉用创新理论武装头脑、统揽政协工作，不断提高</w:t>
      </w:r>
      <w:r>
        <w:rPr>
          <w:rFonts w:hint="eastAsia" w:ascii="Times New Roman" w:eastAsia="仿宋_GB2312" w:cs="Times New Roman"/>
          <w:color w:val="000000"/>
          <w:kern w:val="0"/>
          <w:sz w:val="32"/>
          <w:szCs w:val="32"/>
          <w:lang w:val="en-US" w:eastAsia="zh-CN" w:bidi="ar"/>
        </w:rPr>
        <w:t>政治判断力、政治领悟力、政治执行力</w:t>
      </w:r>
      <w:r>
        <w:rPr>
          <w:rFonts w:hint="default" w:ascii="Times New Roman" w:hAnsi="Times New Roman" w:eastAsia="仿宋_GB2312" w:cs="Times New Roman"/>
          <w:color w:val="000000"/>
          <w:kern w:val="0"/>
          <w:sz w:val="32"/>
          <w:szCs w:val="32"/>
          <w:lang w:val="en-US" w:eastAsia="zh-CN" w:bidi="ar"/>
        </w:rPr>
        <w:t>，始终以理论上的清醒保持政治上的坚定，深刻领悟“两个确立”</w:t>
      </w:r>
      <w:r>
        <w:rPr>
          <w:rFonts w:hint="default" w:ascii="Times New Roman" w:hAnsi="Times New Roman" w:eastAsia="仿宋_GB2312" w:cs="Times New Roman"/>
          <w:color w:val="000000"/>
          <w:kern w:val="0"/>
          <w:sz w:val="21"/>
          <w:szCs w:val="21"/>
          <w:lang w:val="en-US" w:eastAsia="zh-CN" w:bidi="ar"/>
        </w:rPr>
        <w:t>⑥</w:t>
      </w:r>
      <w:r>
        <w:rPr>
          <w:rFonts w:hint="default" w:ascii="Times New Roman" w:hAnsi="Times New Roman" w:eastAsia="仿宋_GB2312" w:cs="Times New Roman"/>
          <w:color w:val="000000"/>
          <w:kern w:val="0"/>
          <w:sz w:val="32"/>
          <w:szCs w:val="32"/>
          <w:lang w:val="en-US" w:eastAsia="zh-CN" w:bidi="ar"/>
        </w:rPr>
        <w:t xml:space="preserve">的决定性意义，不断增强“四个意识”、坚定“四个自信”、做到“两个维护”。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2.坚持党的领导，把准履职方向之舵。</w:t>
      </w:r>
      <w:r>
        <w:rPr>
          <w:rFonts w:hint="eastAsia" w:ascii="仿宋_GB2312" w:hAnsi="仿宋_GB2312" w:eastAsia="仿宋_GB2312" w:cs="仿宋_GB2312"/>
          <w:color w:val="000000"/>
          <w:kern w:val="0"/>
          <w:sz w:val="32"/>
          <w:szCs w:val="32"/>
          <w:lang w:val="en-US" w:eastAsia="zh-CN" w:bidi="ar"/>
        </w:rPr>
        <w:t>牢记</w:t>
      </w:r>
      <w:r>
        <w:rPr>
          <w:rFonts w:hint="default" w:ascii="Times New Roman" w:hAnsi="Times New Roman" w:eastAsia="仿宋_GB2312" w:cs="Times New Roman"/>
          <w:color w:val="000000"/>
          <w:kern w:val="0"/>
          <w:sz w:val="32"/>
          <w:szCs w:val="32"/>
          <w:lang w:val="en-US" w:eastAsia="zh-CN" w:bidi="ar"/>
        </w:rPr>
        <w:t>和践行人民政协的初心，坚持党对政协工作的</w:t>
      </w:r>
      <w:bookmarkStart w:id="13" w:name="_GoBack"/>
      <w:bookmarkEnd w:id="13"/>
      <w:r>
        <w:rPr>
          <w:rFonts w:hint="default" w:ascii="Times New Roman" w:hAnsi="Times New Roman" w:eastAsia="仿宋_GB2312" w:cs="Times New Roman"/>
          <w:color w:val="000000"/>
          <w:kern w:val="0"/>
          <w:sz w:val="32"/>
          <w:szCs w:val="32"/>
          <w:lang w:val="en-US" w:eastAsia="zh-CN" w:bidi="ar"/>
        </w:rPr>
        <w:t>全面领导，严格执行重大事项请示报告制度，聚力区委关切事，抓好区委交办事，坚决讲政治、听安排、抓落实。发挥党组把关作用，落实管党治党政治责任，抓好政协党建、党风廉政和意识形态工作，巩固深化</w:t>
      </w:r>
      <w:r>
        <w:rPr>
          <w:rFonts w:hint="eastAsia" w:ascii="Times New Roman" w:eastAsia="仿宋_GB2312" w:cs="Times New Roman"/>
          <w:color w:val="000000"/>
          <w:kern w:val="0"/>
          <w:sz w:val="32"/>
          <w:szCs w:val="32"/>
          <w:lang w:val="en-US" w:eastAsia="zh-CN" w:bidi="ar"/>
        </w:rPr>
        <w:t>学习贯彻习近平新时代中国特色社会主义思想主题教育</w:t>
      </w:r>
      <w:r>
        <w:rPr>
          <w:rFonts w:hint="default" w:ascii="Times New Roman" w:hAnsi="Times New Roman" w:eastAsia="仿宋_GB2312" w:cs="Times New Roman"/>
          <w:color w:val="000000"/>
          <w:kern w:val="0"/>
          <w:sz w:val="32"/>
          <w:szCs w:val="32"/>
          <w:lang w:val="en-US" w:eastAsia="zh-CN" w:bidi="ar"/>
        </w:rPr>
        <w:t xml:space="preserve">成果，推动巡视反馈问题整改见行见效。坚定不移围绕中心服务大局，以更高站位建言资政，以更高标准履职尽责，在助发展的广泛实践中释放政协制度效能，在利民生的一言一行中彰显政协为民情怀，始终以“赶考”之姿书写实干奋进的履职新篇。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3.服务罗江发展，发挥协商机构之能。</w:t>
      </w:r>
      <w:r>
        <w:rPr>
          <w:rFonts w:hint="default" w:ascii="Times New Roman" w:hAnsi="Times New Roman" w:eastAsia="仿宋_GB2312" w:cs="Times New Roman"/>
          <w:color w:val="000000"/>
          <w:kern w:val="0"/>
          <w:sz w:val="32"/>
          <w:szCs w:val="32"/>
          <w:lang w:val="en-US" w:eastAsia="zh-CN" w:bidi="ar"/>
        </w:rPr>
        <w:t xml:space="preserve">践行人民政协“四个一线”要求，落实“四下基层”工作方法，走好新时代群众路线，在调查研究上“求深”，在议政建言上“求精”，在民主监督上求“求实”，在方式载体上“求效”，在履职为民上“求真”，着力提升服务中心大局贡献率。高效高质完成党政点题交题任务，围绕全域建设城乡融合示范区、完善县域城市功能等举行议政性常委会协商；聚焦创建全国乡村振兴示范县、提升城市供排水能力、城市公园建设、文旅名村创建等开展主席会议专题协商或视察；围绕主导产业融链发展、城乡公共服务均等化、农村产权制度改革、农村养老体系建设等组织深入调研；对德罗干道、三渔水库等重大工程项目及民生实事项目等开展民主监督。积极做好提案办理协商、专委会界别对口协商等工作，坚持开展好“有事来协商”工作和履职为民系列活动，拓展政协工作的参与广度、资政精度、监督力度，推动履职成果更好转化运用。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4.广泛凝聚共识，汇集同心奋进之力。</w:t>
      </w:r>
      <w:r>
        <w:rPr>
          <w:rFonts w:hint="default" w:ascii="Times New Roman" w:hAnsi="Times New Roman" w:eastAsia="仿宋_GB2312" w:cs="Times New Roman"/>
          <w:color w:val="000000"/>
          <w:kern w:val="0"/>
          <w:sz w:val="32"/>
          <w:szCs w:val="32"/>
          <w:lang w:val="en-US" w:eastAsia="zh-CN" w:bidi="ar"/>
        </w:rPr>
        <w:t xml:space="preserve">强化政治“共同体”意识，发挥政协“重要阵地”“重要渠道”“重要平台”作用，用共同目标引领人、共同事业鼓舞人。坚持以“六聚焦六助力”为抓手，精心谋划年度工作计划，推动“同心共建现代化罗江”专项行动走深走实。深化“书香政协”建设，营造“爱读书、乐分享、共进步”浓厚氛围，开展读书分享交流和成果展示活动，促进读书润心、分享启智，不断开阔视野、涵养修为、增长见识、凝聚共识。加强与政协各参加单位、各界别人士和各方面人才的团结联谊，深入开展“联谊联亲 助推发展”活动，以真诚真心广交朋友，以坦诚交流融合情感，营造民主平等、协商共事的良好氛围，拓宽各方意见充分表达渠道，助力实现有序政治参与，持续扩大“朋友圈”，着力为落实党的政策主张和区委决策部署团结更多同向者、画出更大同心圆。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5.强化自身建设，提升实干争先之效。</w:t>
      </w:r>
      <w:r>
        <w:rPr>
          <w:rFonts w:hint="default" w:ascii="Times New Roman" w:hAnsi="Times New Roman" w:eastAsia="仿宋_GB2312" w:cs="Times New Roman"/>
          <w:color w:val="000000"/>
          <w:kern w:val="0"/>
          <w:sz w:val="32"/>
          <w:szCs w:val="32"/>
          <w:lang w:val="en-US" w:eastAsia="zh-CN" w:bidi="ar"/>
        </w:rPr>
        <w:t xml:space="preserve">开展政协工作品牌创建，抓实政协经常性工作，夯实政协工作基础。加强政协宣传思想文化工作，充分展现政协工作全貌、委员履职风采。加强履职能力建设，抓好学习培训、强化实践参与，做好履职管理和考评，建设有担当、有本领、有素质、有实绩的政协委员队伍和工作者队伍。健全完善政协工作制度，建好“智慧政协”服务平台，提升政协服务和管理水平。加强专委会自身建设，坚持年度工作目标管理、定期调度、年终述职，压实专委会指导联系乡镇政协委员工作站（室）建设责任，加强指导和督促，打造“有事来协商” </w:t>
      </w:r>
      <w:r>
        <w:rPr>
          <w:rFonts w:hint="eastAsia" w:ascii="Times New Roman" w:hAnsi="Times New Roman" w:eastAsia="仿宋_GB2312" w:cs="Times New Roman"/>
          <w:color w:val="000000"/>
          <w:kern w:val="0"/>
          <w:sz w:val="32"/>
          <w:szCs w:val="32"/>
          <w:lang w:val="en-US" w:eastAsia="zh-CN" w:bidi="ar"/>
        </w:rPr>
        <w:t>工</w:t>
      </w:r>
      <w:r>
        <w:rPr>
          <w:rFonts w:hint="default" w:ascii="Times New Roman" w:hAnsi="Times New Roman" w:eastAsia="仿宋_GB2312" w:cs="Times New Roman"/>
          <w:color w:val="000000"/>
          <w:kern w:val="0"/>
          <w:sz w:val="32"/>
          <w:szCs w:val="32"/>
          <w:lang w:val="en-US" w:eastAsia="zh-CN" w:bidi="ar"/>
        </w:rPr>
        <w:t>作升级版</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b/>
          <w:bCs/>
          <w:sz w:val="32"/>
          <w:szCs w:val="32"/>
        </w:rPr>
      </w:pPr>
      <w:r>
        <w:rPr>
          <w:rFonts w:hint="eastAsia" w:ascii="仿宋_GB2312" w:hAnsi="仿宋_GB2312" w:eastAsia="仿宋_GB2312"/>
          <w:sz w:val="32"/>
          <w:szCs w:val="32"/>
          <w:lang w:val="en-US" w:eastAsia="zh-CN"/>
        </w:rPr>
        <w:t xml:space="preserve">    </w:t>
      </w:r>
      <w:r>
        <w:rPr>
          <w:rFonts w:hint="eastAsia" w:ascii="黑体" w:hAnsi="黑体" w:eastAsia="黑体" w:cs="黑体"/>
          <w:b/>
          <w:bCs/>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属</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级预算单位，其中行政单位</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个</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事业单位1个。</w:t>
      </w:r>
    </w:p>
    <w:p>
      <w:pPr>
        <w:pStyle w:val="2"/>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sz w:val="32"/>
          <w:szCs w:val="32"/>
          <w:highlight w:val="none"/>
        </w:rPr>
      </w:pPr>
      <w:r>
        <w:rPr>
          <w:rFonts w:hint="eastAsia" w:ascii="仿宋_GB2312" w:hAnsi="仿宋_GB2312" w:eastAsia="仿宋_GB2312"/>
          <w:color w:val="auto"/>
          <w:sz w:val="32"/>
          <w:szCs w:val="32"/>
          <w:highlight w:val="none"/>
          <w:lang w:eastAsia="zh-CN"/>
        </w:rPr>
        <w:t>政协办</w:t>
      </w:r>
      <w:r>
        <w:rPr>
          <w:rFonts w:hint="eastAsia" w:ascii="仿宋_GB2312" w:eastAsia="仿宋_GB2312"/>
          <w:color w:val="auto"/>
          <w:sz w:val="32"/>
          <w:szCs w:val="32"/>
          <w:highlight w:val="none"/>
        </w:rPr>
        <w:t>总编制</w:t>
      </w:r>
      <w:r>
        <w:rPr>
          <w:rFonts w:hint="eastAsia" w:ascii="仿宋_GB2312" w:eastAsia="仿宋_GB2312"/>
          <w:color w:val="auto"/>
          <w:sz w:val="32"/>
          <w:szCs w:val="32"/>
          <w:highlight w:val="none"/>
          <w:lang w:val="en-US" w:eastAsia="zh-CN"/>
        </w:rPr>
        <w:t>2</w:t>
      </w:r>
      <w:r>
        <w:rPr>
          <w:rFonts w:hint="eastAsia"/>
          <w:color w:val="auto"/>
          <w:sz w:val="32"/>
          <w:szCs w:val="32"/>
          <w:highlight w:val="none"/>
          <w:lang w:val="en-US" w:eastAsia="zh-CN"/>
        </w:rPr>
        <w:t>2</w:t>
      </w:r>
      <w:r>
        <w:rPr>
          <w:rFonts w:hint="eastAsia" w:ascii="仿宋_GB2312" w:eastAsia="仿宋_GB2312"/>
          <w:color w:val="auto"/>
          <w:sz w:val="32"/>
          <w:szCs w:val="32"/>
          <w:highlight w:val="none"/>
        </w:rPr>
        <w:t>名，其中行政</w:t>
      </w:r>
      <w:r>
        <w:rPr>
          <w:rFonts w:hint="eastAsia"/>
          <w:color w:val="auto"/>
          <w:sz w:val="32"/>
          <w:szCs w:val="32"/>
          <w:highlight w:val="none"/>
          <w:lang w:val="en-US" w:eastAsia="zh-CN"/>
        </w:rPr>
        <w:t>19</w:t>
      </w:r>
      <w:r>
        <w:rPr>
          <w:rFonts w:hint="eastAsia" w:ascii="仿宋_GB2312" w:eastAsia="仿宋_GB2312"/>
          <w:color w:val="auto"/>
          <w:sz w:val="32"/>
          <w:szCs w:val="32"/>
          <w:highlight w:val="none"/>
        </w:rPr>
        <w:t>名，</w:t>
      </w:r>
      <w:r>
        <w:rPr>
          <w:rFonts w:hint="eastAsia"/>
          <w:color w:val="auto"/>
          <w:sz w:val="32"/>
          <w:szCs w:val="32"/>
          <w:highlight w:val="none"/>
          <w:lang w:eastAsia="zh-CN"/>
        </w:rPr>
        <w:t>工勤</w:t>
      </w:r>
      <w:r>
        <w:rPr>
          <w:rFonts w:hint="eastAsia"/>
          <w:color w:val="auto"/>
          <w:sz w:val="32"/>
          <w:szCs w:val="32"/>
          <w:highlight w:val="none"/>
          <w:lang w:val="en-US" w:eastAsia="zh-CN"/>
        </w:rPr>
        <w:t>2</w:t>
      </w:r>
      <w:r>
        <w:rPr>
          <w:rFonts w:hint="eastAsia" w:ascii="仿宋_GB2312" w:eastAsia="仿宋_GB2312"/>
          <w:color w:val="auto"/>
          <w:sz w:val="32"/>
          <w:szCs w:val="32"/>
          <w:highlight w:val="none"/>
        </w:rPr>
        <w:t>名</w:t>
      </w:r>
      <w:r>
        <w:rPr>
          <w:rFonts w:hint="eastAsia"/>
          <w:color w:val="auto"/>
          <w:sz w:val="32"/>
          <w:szCs w:val="32"/>
          <w:highlight w:val="none"/>
          <w:lang w:eastAsia="zh-CN"/>
        </w:rPr>
        <w:t>，</w:t>
      </w:r>
      <w:r>
        <w:rPr>
          <w:rFonts w:hint="eastAsia"/>
          <w:color w:val="auto"/>
          <w:sz w:val="32"/>
          <w:szCs w:val="32"/>
          <w:highlight w:val="none"/>
          <w:lang w:val="en-US" w:eastAsia="zh-CN"/>
        </w:rPr>
        <w:t>事业1人</w:t>
      </w:r>
      <w:r>
        <w:rPr>
          <w:rFonts w:hint="eastAsia" w:ascii="仿宋_GB2312" w:eastAsia="仿宋_GB2312"/>
          <w:color w:val="auto"/>
          <w:sz w:val="32"/>
          <w:szCs w:val="32"/>
          <w:highlight w:val="none"/>
        </w:rPr>
        <w:t>。在职人员总数</w:t>
      </w:r>
      <w:r>
        <w:rPr>
          <w:rFonts w:hint="eastAsia"/>
          <w:color w:val="auto"/>
          <w:sz w:val="32"/>
          <w:szCs w:val="32"/>
          <w:highlight w:val="none"/>
          <w:lang w:val="en-US" w:eastAsia="zh-CN"/>
        </w:rPr>
        <w:t>20</w:t>
      </w:r>
      <w:r>
        <w:rPr>
          <w:rFonts w:hint="eastAsia" w:ascii="仿宋_GB2312" w:eastAsia="仿宋_GB2312"/>
          <w:color w:val="auto"/>
          <w:sz w:val="32"/>
          <w:szCs w:val="32"/>
          <w:highlight w:val="none"/>
        </w:rPr>
        <w:t>人，其中：行政人员</w:t>
      </w:r>
      <w:r>
        <w:rPr>
          <w:rFonts w:hint="eastAsia"/>
          <w:color w:val="auto"/>
          <w:sz w:val="32"/>
          <w:szCs w:val="32"/>
          <w:highlight w:val="none"/>
          <w:lang w:val="en-US" w:eastAsia="zh-CN"/>
        </w:rPr>
        <w:t>19</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事业人员</w:t>
      </w:r>
      <w:r>
        <w:rPr>
          <w:rFonts w:hint="eastAsia"/>
          <w:color w:val="auto"/>
          <w:sz w:val="32"/>
          <w:szCs w:val="32"/>
          <w:highlight w:val="none"/>
          <w:lang w:val="en-US" w:eastAsia="zh-CN"/>
        </w:rPr>
        <w:t>1</w:t>
      </w:r>
      <w:r>
        <w:rPr>
          <w:rFonts w:hint="eastAsia" w:ascii="仿宋_GB2312" w:eastAsia="仿宋_GB2312"/>
          <w:color w:val="auto"/>
          <w:sz w:val="32"/>
          <w:szCs w:val="32"/>
          <w:highlight w:val="none"/>
          <w:lang w:val="en-US" w:eastAsia="zh-CN"/>
        </w:rPr>
        <w:t>人，</w:t>
      </w:r>
      <w:r>
        <w:rPr>
          <w:rFonts w:hint="eastAsia" w:ascii="仿宋_GB2312" w:eastAsia="仿宋_GB2312"/>
          <w:color w:val="auto"/>
          <w:sz w:val="32"/>
          <w:szCs w:val="32"/>
          <w:highlight w:val="none"/>
        </w:rPr>
        <w:t>工勤人员</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人；离退休人员</w:t>
      </w:r>
      <w:r>
        <w:rPr>
          <w:rFonts w:hint="eastAsia"/>
          <w:color w:val="auto"/>
          <w:sz w:val="32"/>
          <w:szCs w:val="32"/>
          <w:highlight w:val="none"/>
          <w:lang w:val="en-US" w:eastAsia="zh-CN"/>
        </w:rPr>
        <w:t>12</w:t>
      </w:r>
      <w:r>
        <w:rPr>
          <w:rFonts w:hint="eastAsia" w:ascii="仿宋_GB2312" w:eastAsia="仿宋_GB2312"/>
          <w:color w:val="auto"/>
          <w:sz w:val="32"/>
          <w:szCs w:val="32"/>
          <w:highlight w:val="none"/>
        </w:rPr>
        <w:t>人，其中：退休人员</w:t>
      </w:r>
      <w:r>
        <w:rPr>
          <w:rFonts w:hint="eastAsia"/>
          <w:color w:val="auto"/>
          <w:sz w:val="32"/>
          <w:szCs w:val="32"/>
          <w:highlight w:val="none"/>
          <w:lang w:val="en-US" w:eastAsia="zh-CN"/>
        </w:rPr>
        <w:t>12</w:t>
      </w:r>
      <w:r>
        <w:rPr>
          <w:rFonts w:hint="eastAsia" w:ascii="仿宋_GB2312" w:eastAsia="仿宋_GB2312"/>
          <w:color w:val="auto"/>
          <w:sz w:val="32"/>
          <w:szCs w:val="32"/>
          <w:highlight w:val="none"/>
        </w:rPr>
        <w:t>人。</w:t>
      </w:r>
      <w:r>
        <w:rPr>
          <w:rFonts w:hint="eastAsia"/>
          <w:sz w:val="32"/>
          <w:szCs w:val="32"/>
          <w:highlight w:val="none"/>
        </w:rPr>
        <w:t>本次公开数据包括所有下属二级单位数据。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_GB2312" w:hAnsi="仿宋_GB2312" w:eastAsia="仿宋_GB2312"/>
          <w:b/>
          <w:bCs/>
          <w:sz w:val="32"/>
          <w:szCs w:val="32"/>
          <w:highlight w:val="none"/>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三、收支预算增减变化情况说明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highlight w:val="none"/>
        </w:rPr>
        <w:t>按照综合预算的原则，</w:t>
      </w:r>
      <w:r>
        <w:rPr>
          <w:rFonts w:hint="eastAsia" w:ascii="仿宋_GB2312" w:hAnsi="仿宋_GB2312" w:eastAsia="仿宋_GB2312"/>
          <w:sz w:val="32"/>
          <w:szCs w:val="32"/>
          <w:highlight w:val="none"/>
          <w:lang w:eastAsia="zh-CN"/>
        </w:rPr>
        <w:t>政协办</w:t>
      </w:r>
      <w:r>
        <w:rPr>
          <w:rFonts w:hint="eastAsia" w:ascii="仿宋_GB2312" w:hAnsi="仿宋_GB2312" w:eastAsia="仿宋_GB2312"/>
          <w:sz w:val="32"/>
          <w:szCs w:val="32"/>
          <w:highlight w:val="none"/>
        </w:rPr>
        <w:t>所有收支均包含下属单位数据，全部纳入部门预算管理。收</w:t>
      </w:r>
      <w:r>
        <w:rPr>
          <w:rFonts w:hint="eastAsia" w:ascii="仿宋_GB2312" w:hAnsi="仿宋_GB2312" w:eastAsia="仿宋_GB2312"/>
          <w:sz w:val="32"/>
          <w:szCs w:val="32"/>
        </w:rPr>
        <w:t>入包括：</w:t>
      </w:r>
      <w:r>
        <w:rPr>
          <w:rFonts w:hint="eastAsia" w:ascii="仿宋_GB2312" w:hAnsi="仿宋_GB2312" w:eastAsia="仿宋_GB2312"/>
          <w:sz w:val="32"/>
          <w:szCs w:val="32"/>
          <w:lang w:eastAsia="zh-CN"/>
        </w:rPr>
        <w:t>财政拨款收入</w:t>
      </w:r>
      <w:r>
        <w:rPr>
          <w:rFonts w:hint="eastAsia" w:ascii="仿宋_GB2312" w:hAnsi="仿宋_GB2312" w:eastAsia="仿宋_GB2312"/>
          <w:sz w:val="32"/>
          <w:szCs w:val="32"/>
          <w:lang w:val="en-US" w:eastAsia="zh-CN"/>
        </w:rPr>
        <w:t>656.97万元，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减少27.81</w:t>
      </w:r>
      <w:r>
        <w:rPr>
          <w:rFonts w:hint="eastAsia" w:ascii="仿宋_GB2312" w:hAnsi="仿宋_GB2312" w:eastAsia="仿宋_GB2312"/>
          <w:sz w:val="32"/>
          <w:szCs w:val="32"/>
        </w:rPr>
        <w:t>万</w:t>
      </w:r>
      <w:r>
        <w:rPr>
          <w:rFonts w:hint="eastAsia" w:ascii="仿宋_GB2312" w:hAnsi="仿宋_GB2312" w:eastAsia="仿宋_GB2312"/>
          <w:sz w:val="32"/>
          <w:szCs w:val="32"/>
          <w:lang w:eastAsia="zh-CN"/>
        </w:rPr>
        <w:t>元，主要是</w:t>
      </w:r>
      <w:r>
        <w:rPr>
          <w:rFonts w:hint="eastAsia" w:ascii="仿宋_GB2312" w:hAnsi="仿宋_GB2312" w:eastAsia="仿宋_GB2312"/>
          <w:sz w:val="32"/>
          <w:szCs w:val="32"/>
          <w:lang w:val="en-US" w:eastAsia="zh-CN"/>
        </w:rPr>
        <w:t>由于人员减少</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财政拨款支出</w:t>
      </w:r>
      <w:r>
        <w:rPr>
          <w:rFonts w:hint="eastAsia" w:ascii="仿宋_GB2312" w:hAnsi="仿宋_GB2312" w:eastAsia="仿宋_GB2312"/>
          <w:sz w:val="32"/>
          <w:szCs w:val="32"/>
          <w:lang w:val="en-US" w:eastAsia="zh-CN"/>
        </w:rPr>
        <w:t>656.97万元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减少27.81</w:t>
      </w:r>
      <w:r>
        <w:rPr>
          <w:rFonts w:hint="eastAsia" w:ascii="仿宋_GB2312" w:hAnsi="仿宋_GB2312" w:eastAsia="仿宋_GB2312"/>
          <w:sz w:val="32"/>
          <w:szCs w:val="32"/>
        </w:rPr>
        <w:t>万</w:t>
      </w:r>
      <w:r>
        <w:rPr>
          <w:rFonts w:hint="eastAsia" w:ascii="仿宋_GB2312" w:hAnsi="仿宋_GB2312" w:eastAsia="仿宋_GB2312"/>
          <w:sz w:val="32"/>
          <w:szCs w:val="32"/>
          <w:lang w:eastAsia="zh-CN"/>
        </w:rPr>
        <w:t>元，主要是</w:t>
      </w:r>
      <w:r>
        <w:rPr>
          <w:rFonts w:hint="eastAsia" w:ascii="仿宋_GB2312" w:hAnsi="仿宋_GB2312" w:eastAsia="仿宋_GB2312"/>
          <w:sz w:val="32"/>
          <w:szCs w:val="32"/>
          <w:lang w:val="en-US" w:eastAsia="zh-CN"/>
        </w:rPr>
        <w:t>由于人员减少</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656.97</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ascii="仿宋_GB2312" w:hAnsi="仿宋_GB2312" w:eastAsia="仿宋_GB2312"/>
          <w:sz w:val="32"/>
          <w:szCs w:val="32"/>
        </w:rPr>
      </w:pPr>
      <w:r>
        <w:rPr>
          <w:rFonts w:hint="eastAsia" w:ascii="仿宋_GB2312" w:hAnsi="仿宋_GB2312" w:eastAsia="仿宋_GB2312"/>
          <w:sz w:val="32"/>
          <w:szCs w:val="32"/>
        </w:rPr>
        <w:t>（一）收入预算情况</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656.97</w:t>
      </w:r>
      <w:r>
        <w:rPr>
          <w:rFonts w:ascii="仿宋_GB2312" w:hAnsi="仿宋_GB2312" w:eastAsia="仿宋_GB2312"/>
          <w:sz w:val="32"/>
          <w:szCs w:val="32"/>
        </w:rPr>
        <w:t>万元，其中：一般公共预算拨款收入</w:t>
      </w:r>
      <w:r>
        <w:rPr>
          <w:rFonts w:hint="eastAsia" w:ascii="仿宋_GB2312" w:hAnsi="仿宋_GB2312" w:eastAsia="仿宋_GB2312"/>
          <w:sz w:val="32"/>
          <w:szCs w:val="32"/>
        </w:rPr>
        <w:t>656.97</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（二）支出预算情况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656.97</w:t>
      </w:r>
      <w:r>
        <w:rPr>
          <w:rFonts w:ascii="仿宋_GB2312" w:hAnsi="仿宋_GB2312" w:eastAsia="仿宋_GB2312"/>
          <w:sz w:val="32"/>
          <w:szCs w:val="32"/>
        </w:rPr>
        <w:t>万元，其中：基本支出</w:t>
      </w:r>
      <w:r>
        <w:rPr>
          <w:rFonts w:hint="eastAsia" w:ascii="仿宋_GB2312" w:hAnsi="仿宋_GB2312" w:eastAsia="仿宋_GB2312"/>
          <w:sz w:val="32"/>
          <w:szCs w:val="32"/>
        </w:rPr>
        <w:t>546.97</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83.25</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110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16.75</w:t>
      </w:r>
      <w:r>
        <w:rPr>
          <w:rFonts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bCs/>
          <w:sz w:val="32"/>
          <w:szCs w:val="32"/>
        </w:rPr>
      </w:pPr>
      <w:r>
        <w:rPr>
          <w:rFonts w:hint="eastAsia" w:ascii="仿宋_GB2312" w:hAnsi="仿宋_GB2312" w:eastAsia="仿宋_GB2312"/>
          <w:sz w:val="32"/>
          <w:szCs w:val="32"/>
        </w:rPr>
        <w:t>　　</w:t>
      </w:r>
      <w:r>
        <w:rPr>
          <w:rFonts w:hint="eastAsia" w:ascii="黑体" w:hAnsi="黑体" w:eastAsia="黑体" w:cs="黑体"/>
          <w:b/>
          <w:bCs/>
          <w:sz w:val="32"/>
          <w:szCs w:val="32"/>
        </w:rPr>
        <w:t>四、财政拨款收支预算情况说明</w:t>
      </w:r>
    </w:p>
    <w:p>
      <w:pPr>
        <w:keepNext w:val="0"/>
        <w:keepLines w:val="0"/>
        <w:pageBreakBefore w:val="0"/>
        <w:kinsoku/>
        <w:wordWrap/>
        <w:overflowPunct/>
        <w:topLinePunct w:val="0"/>
        <w:autoSpaceDE/>
        <w:autoSpaceDN/>
        <w:bidi w:val="0"/>
        <w:spacing w:line="560" w:lineRule="exact"/>
        <w:ind w:firstLine="645"/>
        <w:textAlignment w:val="auto"/>
        <w:rPr>
          <w:rFonts w:hint="eastAsia"/>
          <w:sz w:val="32"/>
          <w:szCs w:val="32"/>
        </w:rPr>
      </w:pP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656.97</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val="en-US" w:eastAsia="zh-CN"/>
        </w:rPr>
        <w:t>减少27.81</w:t>
      </w:r>
      <w:r>
        <w:rPr>
          <w:rFonts w:hint="eastAsia" w:ascii="仿宋_GB2312" w:eastAsia="仿宋_GB2312"/>
          <w:sz w:val="32"/>
          <w:szCs w:val="32"/>
        </w:rPr>
        <w:t>万元，</w:t>
      </w:r>
      <w:r>
        <w:rPr>
          <w:rFonts w:hint="eastAsia" w:ascii="仿宋_GB2312" w:eastAsia="仿宋_GB2312"/>
          <w:sz w:val="32"/>
          <w:szCs w:val="32"/>
          <w:highlight w:val="none"/>
        </w:rPr>
        <w:t>主要是</w:t>
      </w:r>
      <w:r>
        <w:rPr>
          <w:rFonts w:hint="eastAsia" w:ascii="仿宋_GB2312" w:hAnsi="仿宋_GB2312" w:eastAsia="仿宋_GB2312"/>
          <w:sz w:val="32"/>
          <w:szCs w:val="32"/>
          <w:lang w:val="en-US" w:eastAsia="zh-CN"/>
        </w:rPr>
        <w:t>由于人员减少。</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656.97</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一般公共服务支出</w:t>
      </w:r>
      <w:r>
        <w:rPr>
          <w:rFonts w:hint="eastAsia" w:ascii="仿宋_GB2312" w:hAnsi="仿宋_GB2312" w:eastAsia="仿宋_GB2312"/>
          <w:sz w:val="32"/>
          <w:szCs w:val="32"/>
          <w:lang w:val="en-US" w:eastAsia="zh-CN"/>
        </w:rPr>
        <w:t>506.97万元；社会保障和就业支出92.69万元；医疗卫生与计划生育支出</w:t>
      </w:r>
      <w:r>
        <w:rPr>
          <w:rFonts w:hint="eastAsia" w:ascii="仿宋_GB2312" w:hAnsi="仿宋_GB2312" w:eastAsia="仿宋_GB2312"/>
          <w:color w:val="auto"/>
          <w:sz w:val="32"/>
          <w:szCs w:val="32"/>
          <w:lang w:val="en-US" w:eastAsia="zh-CN"/>
        </w:rPr>
        <w:t>19.33万</w:t>
      </w:r>
      <w:r>
        <w:rPr>
          <w:rFonts w:hint="eastAsia" w:ascii="仿宋_GB2312" w:hAnsi="仿宋_GB2312" w:eastAsia="仿宋_GB2312"/>
          <w:sz w:val="32"/>
          <w:szCs w:val="32"/>
          <w:lang w:val="en-US" w:eastAsia="zh-CN"/>
        </w:rPr>
        <w:t>元；住房保障支出37.98万元</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bCs/>
          <w:sz w:val="32"/>
          <w:szCs w:val="32"/>
        </w:rPr>
      </w:pPr>
      <w:r>
        <w:rPr>
          <w:rFonts w:hint="eastAsia" w:ascii="仿宋_GB2312" w:hAnsi="仿宋_GB2312" w:eastAsia="仿宋_GB2312"/>
          <w:sz w:val="32"/>
          <w:szCs w:val="32"/>
        </w:rPr>
        <w:t>　　</w:t>
      </w:r>
      <w:r>
        <w:rPr>
          <w:rFonts w:hint="eastAsia" w:ascii="黑体" w:hAnsi="黑体" w:eastAsia="黑体" w:cs="黑体"/>
          <w:b/>
          <w:bCs/>
          <w:sz w:val="32"/>
          <w:szCs w:val="32"/>
        </w:rPr>
        <w:t>五、一般公共预算当年拨款情况说明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sz w:val="32"/>
          <w:szCs w:val="32"/>
        </w:rPr>
      </w:pP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656.97</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减少27.81</w:t>
      </w:r>
      <w:r>
        <w:rPr>
          <w:rFonts w:hint="eastAsia" w:ascii="仿宋_GB2312" w:hAnsi="仿宋_GB2312" w:eastAsia="仿宋_GB2312"/>
          <w:sz w:val="32"/>
          <w:szCs w:val="32"/>
        </w:rPr>
        <w:t>万元，</w:t>
      </w:r>
      <w:r>
        <w:rPr>
          <w:rFonts w:hint="eastAsia" w:ascii="仿宋_GB2312" w:eastAsia="仿宋_GB2312"/>
          <w:sz w:val="32"/>
          <w:szCs w:val="32"/>
          <w:highlight w:val="none"/>
        </w:rPr>
        <w:t>主要是</w:t>
      </w:r>
      <w:r>
        <w:rPr>
          <w:rFonts w:hint="eastAsia" w:ascii="仿宋_GB2312" w:hAnsi="仿宋_GB2312" w:eastAsia="仿宋_GB2312"/>
          <w:sz w:val="32"/>
          <w:szCs w:val="32"/>
          <w:lang w:val="en-US" w:eastAsia="zh-CN"/>
        </w:rPr>
        <w:t>由于人员减少。</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一般公共服务支出</w:t>
      </w:r>
      <w:r>
        <w:rPr>
          <w:rFonts w:hint="eastAsia" w:ascii="仿宋_GB2312" w:hAnsi="仿宋_GB2312" w:eastAsia="仿宋_GB2312"/>
          <w:sz w:val="32"/>
          <w:szCs w:val="32"/>
          <w:lang w:val="en-US" w:eastAsia="zh-CN"/>
        </w:rPr>
        <w:t>506.97万元，占77.17%；社会保障和就业支出92.69万元，占14.11%；医疗卫生与计划生育支出</w:t>
      </w:r>
      <w:r>
        <w:rPr>
          <w:rFonts w:hint="eastAsia" w:ascii="仿宋_GB2312" w:hAnsi="仿宋_GB2312" w:eastAsia="仿宋_GB2312"/>
          <w:color w:val="auto"/>
          <w:sz w:val="32"/>
          <w:szCs w:val="32"/>
          <w:lang w:val="en-US" w:eastAsia="zh-CN"/>
        </w:rPr>
        <w:t>19.33</w:t>
      </w:r>
      <w:r>
        <w:rPr>
          <w:rFonts w:hint="eastAsia" w:ascii="仿宋_GB2312" w:hAnsi="仿宋_GB2312" w:eastAsia="仿宋_GB2312"/>
          <w:sz w:val="32"/>
          <w:szCs w:val="32"/>
          <w:lang w:val="en-US" w:eastAsia="zh-CN"/>
        </w:rPr>
        <w:t>万元，占2.94%；住房保障支出37.98万元，占5.78%</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（三）一般公共预算当年拨款具体使用情况（按功能科目类款项写）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一般公共服务</w:t>
      </w:r>
      <w:r>
        <w:rPr>
          <w:rFonts w:hint="eastAsia" w:ascii="仿宋_GB2312" w:hAnsi="仿宋_GB2312" w:eastAsia="仿宋_GB2312"/>
          <w:sz w:val="32"/>
          <w:szCs w:val="32"/>
          <w:lang w:val="en-US" w:eastAsia="zh-CN"/>
        </w:rPr>
        <w:t>-政协事务-</w:t>
      </w:r>
      <w:r>
        <w:rPr>
          <w:rFonts w:hint="eastAsia" w:ascii="仿宋_GB2312" w:hAnsi="仿宋_GB2312" w:eastAsia="仿宋_GB2312"/>
          <w:sz w:val="32"/>
          <w:szCs w:val="32"/>
          <w:lang w:eastAsia="zh-CN"/>
        </w:rPr>
        <w:t>行政运行</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380.09</w:t>
      </w:r>
      <w:r>
        <w:rPr>
          <w:rFonts w:hint="eastAsia" w:ascii="仿宋_GB2312" w:hAnsi="仿宋_GB2312" w:eastAsia="仿宋_GB2312"/>
          <w:sz w:val="32"/>
          <w:szCs w:val="32"/>
        </w:rPr>
        <w:t>万元，主要用于：</w:t>
      </w:r>
      <w:r>
        <w:rPr>
          <w:rFonts w:ascii="仿宋_GB2312" w:hAnsi="宋体" w:eastAsia="仿宋_GB2312" w:cs="仿宋_GB2312"/>
          <w:b w:val="0"/>
          <w:i w:val="0"/>
          <w:caps w:val="0"/>
          <w:color w:val="000000"/>
          <w:spacing w:val="0"/>
          <w:sz w:val="32"/>
          <w:szCs w:val="32"/>
          <w:shd w:val="clear" w:fill="FFFFFF"/>
        </w:rPr>
        <w:t>保障机构正常运转、完成日常工作任务而发生的人员支出和公用支出</w:t>
      </w:r>
      <w:r>
        <w:rPr>
          <w:rFonts w:hint="eastAsia" w:ascii="仿宋_GB2312" w:hAns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rPr>
        <w:t>一般公共服务</w:t>
      </w:r>
      <w:r>
        <w:rPr>
          <w:rFonts w:hint="eastAsia" w:ascii="仿宋_GB2312" w:hAnsi="仿宋_GB2312" w:eastAsia="仿宋_GB2312"/>
          <w:sz w:val="32"/>
          <w:szCs w:val="32"/>
          <w:lang w:val="en-US" w:eastAsia="zh-CN"/>
        </w:rPr>
        <w:t>-政协事务-</w:t>
      </w:r>
      <w:r>
        <w:rPr>
          <w:rFonts w:hint="eastAsia" w:ascii="仿宋_GB2312" w:hAnsi="仿宋_GB2312" w:eastAsia="仿宋_GB2312"/>
          <w:sz w:val="32"/>
          <w:szCs w:val="32"/>
          <w:lang w:eastAsia="zh-CN"/>
        </w:rPr>
        <w:t> 参政议政</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60</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保障区政协委员参政议政、民主监督、政协会议、委员活动、培训视察等。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rPr>
        <w:t>一般公共服务</w:t>
      </w:r>
      <w:r>
        <w:rPr>
          <w:rFonts w:hint="eastAsia" w:ascii="仿宋_GB2312" w:hAnsi="仿宋_GB2312" w:eastAsia="仿宋_GB2312"/>
          <w:sz w:val="32"/>
          <w:szCs w:val="32"/>
          <w:lang w:val="en-US" w:eastAsia="zh-CN"/>
        </w:rPr>
        <w:t>-政协事务-</w:t>
      </w:r>
      <w:r>
        <w:rPr>
          <w:rFonts w:hint="eastAsia" w:ascii="仿宋_GB2312" w:hAnsi="仿宋_GB2312" w:eastAsia="仿宋_GB2312"/>
          <w:sz w:val="32"/>
          <w:szCs w:val="32"/>
          <w:lang w:eastAsia="zh-CN"/>
        </w:rPr>
        <w:t> 其他政协事务支出</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50</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保障政协综合管理服务工作正常开展。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rPr>
        <w:t>一般公共服务</w:t>
      </w:r>
      <w:r>
        <w:rPr>
          <w:rFonts w:hint="eastAsia" w:ascii="仿宋_GB2312" w:hAnsi="仿宋_GB2312" w:eastAsia="仿宋_GB2312"/>
          <w:sz w:val="32"/>
          <w:szCs w:val="32"/>
          <w:lang w:val="en-US" w:eastAsia="zh-CN"/>
        </w:rPr>
        <w:t>-政协事务-</w:t>
      </w:r>
      <w:r>
        <w:rPr>
          <w:rFonts w:hint="eastAsia" w:ascii="仿宋_GB2312" w:hAnsi="仿宋_GB2312" w:eastAsia="仿宋_GB2312"/>
          <w:sz w:val="32"/>
          <w:szCs w:val="32"/>
          <w:lang w:eastAsia="zh-CN"/>
        </w:rPr>
        <w:t> </w:t>
      </w:r>
      <w:r>
        <w:rPr>
          <w:rFonts w:hint="eastAsia" w:ascii="仿宋_GB2312" w:hAnsi="仿宋_GB2312" w:eastAsia="仿宋_GB2312"/>
          <w:sz w:val="32"/>
          <w:szCs w:val="32"/>
          <w:lang w:val="en-US" w:eastAsia="zh-CN"/>
        </w:rPr>
        <w:t>事业运行</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16.88</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保障</w:t>
      </w:r>
      <w:r>
        <w:rPr>
          <w:rFonts w:ascii="仿宋_GB2312" w:hAnsi="宋体" w:eastAsia="仿宋_GB2312" w:cs="仿宋_GB2312"/>
          <w:b w:val="0"/>
          <w:i w:val="0"/>
          <w:caps w:val="0"/>
          <w:color w:val="000000"/>
          <w:spacing w:val="0"/>
          <w:sz w:val="32"/>
          <w:szCs w:val="32"/>
          <w:shd w:val="clear" w:fill="FFFFFF"/>
        </w:rPr>
        <w:t>完成日常工作任务而发生的</w:t>
      </w:r>
      <w:r>
        <w:rPr>
          <w:rFonts w:hint="eastAsia" w:ascii="仿宋_GB2312" w:hAnsi="宋体" w:eastAsia="仿宋_GB2312" w:cs="仿宋_GB2312"/>
          <w:b w:val="0"/>
          <w:i w:val="0"/>
          <w:caps w:val="0"/>
          <w:color w:val="000000"/>
          <w:spacing w:val="0"/>
          <w:sz w:val="32"/>
          <w:szCs w:val="32"/>
          <w:shd w:val="clear" w:fill="FFFFFF"/>
          <w:lang w:val="en-US" w:eastAsia="zh-CN"/>
        </w:rPr>
        <w:t>其他</w:t>
      </w:r>
      <w:r>
        <w:rPr>
          <w:rFonts w:ascii="仿宋_GB2312" w:hAnsi="宋体" w:eastAsia="仿宋_GB2312" w:cs="仿宋_GB2312"/>
          <w:b w:val="0"/>
          <w:i w:val="0"/>
          <w:caps w:val="0"/>
          <w:color w:val="000000"/>
          <w:spacing w:val="0"/>
          <w:sz w:val="32"/>
          <w:szCs w:val="32"/>
          <w:shd w:val="clear" w:fill="FFFFFF"/>
        </w:rPr>
        <w:t>人员支出</w:t>
      </w:r>
      <w:r>
        <w:rPr>
          <w:rFonts w:hint="eastAsia" w:ascii="仿宋_GB2312" w:hAns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社会保障和就业</w:t>
      </w:r>
      <w:r>
        <w:rPr>
          <w:rFonts w:hint="eastAsia" w:ascii="仿宋_GB2312" w:hAnsi="仿宋_GB2312" w:eastAsia="仿宋_GB2312"/>
          <w:sz w:val="32"/>
          <w:szCs w:val="32"/>
          <w:lang w:val="en-US" w:eastAsia="zh-CN"/>
        </w:rPr>
        <w:t>-行政事业单位离退休-机关事业单位基本养老保险缴费支出</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46.48万元，</w:t>
      </w:r>
      <w:r>
        <w:rPr>
          <w:rFonts w:hint="eastAsia" w:ascii="仿宋_GB2312" w:hAnsi="仿宋_GB2312" w:eastAsia="仿宋_GB2312"/>
          <w:sz w:val="32"/>
          <w:szCs w:val="32"/>
        </w:rPr>
        <w:t>主要用于：</w:t>
      </w:r>
      <w:r>
        <w:rPr>
          <w:rFonts w:hint="eastAsia" w:ascii="仿宋_GB2312" w:hAnsi="仿宋_GB2312" w:eastAsia="仿宋_GB2312"/>
          <w:sz w:val="32"/>
          <w:szCs w:val="32"/>
          <w:lang w:val="en-US" w:eastAsia="zh-CN"/>
        </w:rPr>
        <w:t>基本养老保险缴费。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社会保障和就业</w:t>
      </w:r>
      <w:r>
        <w:rPr>
          <w:rFonts w:hint="eastAsia" w:ascii="仿宋_GB2312" w:hAnsi="仿宋_GB2312" w:eastAsia="仿宋_GB2312"/>
          <w:sz w:val="32"/>
          <w:szCs w:val="32"/>
          <w:lang w:val="en-US" w:eastAsia="zh-CN"/>
        </w:rPr>
        <w:t>-行政事业单位离退休-机关事业单位职业年金缴费支出</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 xml:space="preserve">23.24万元，主要用于：职业年金缴费。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社会保障和就业</w:t>
      </w:r>
      <w:r>
        <w:rPr>
          <w:rFonts w:hint="eastAsia" w:ascii="仿宋_GB2312" w:hAnsi="仿宋_GB2312" w:eastAsia="仿宋_GB2312"/>
          <w:sz w:val="32"/>
          <w:szCs w:val="32"/>
          <w:lang w:val="en-US" w:eastAsia="zh-CN"/>
        </w:rPr>
        <w:t>-行政事业单位离退休-</w:t>
      </w:r>
      <w:r>
        <w:rPr>
          <w:rFonts w:hint="eastAsia" w:ascii="仿宋_GB2312" w:hAnsi="仿宋_GB2312" w:eastAsia="仿宋_GB2312"/>
          <w:sz w:val="32"/>
          <w:szCs w:val="32"/>
          <w:lang w:eastAsia="zh-CN"/>
        </w:rPr>
        <w:t>其他行政事业单位</w:t>
      </w:r>
      <w:r>
        <w:rPr>
          <w:rFonts w:hint="eastAsia" w:ascii="仿宋_GB2312" w:hAnsi="仿宋_GB2312" w:eastAsia="仿宋_GB2312"/>
          <w:sz w:val="32"/>
          <w:szCs w:val="32"/>
          <w:lang w:val="en-US" w:eastAsia="zh-CN"/>
        </w:rPr>
        <w:t>养老</w:t>
      </w:r>
      <w:r>
        <w:rPr>
          <w:rFonts w:hint="eastAsia" w:ascii="仿宋_GB2312" w:hAnsi="仿宋_GB2312" w:eastAsia="仿宋_GB2312"/>
          <w:sz w:val="32"/>
          <w:szCs w:val="32"/>
          <w:lang w:eastAsia="zh-CN"/>
        </w:rPr>
        <w:t>支出</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22.3</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退休人员支出。</w:t>
      </w:r>
    </w:p>
    <w:p>
      <w:pPr>
        <w:pStyle w:val="6"/>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lang w:eastAsia="zh-CN"/>
        </w:rPr>
      </w:pPr>
      <w:r>
        <w:rPr>
          <w:rFonts w:hint="eastAsia" w:ascii="仿宋_GB2312" w:hAnsi="仿宋_GB2312" w:eastAsia="仿宋_GB2312"/>
          <w:sz w:val="32"/>
          <w:szCs w:val="32"/>
          <w:lang w:eastAsia="zh-CN"/>
        </w:rPr>
        <w:t>社会保障和就业</w:t>
      </w:r>
      <w:r>
        <w:rPr>
          <w:rFonts w:hint="eastAsia" w:ascii="仿宋_GB2312" w:hAnsi="仿宋_GB2312" w:eastAsia="仿宋_GB2312"/>
          <w:sz w:val="32"/>
          <w:szCs w:val="32"/>
          <w:lang w:val="en-US" w:eastAsia="zh-CN"/>
        </w:rPr>
        <w:t>-其他社会保障和就业支出-其他社会保障和就业支出</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0.67万元，主要用于：工伤保险、失业保险缴费。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卫生健康</w:t>
      </w:r>
      <w:r>
        <w:rPr>
          <w:rFonts w:hint="eastAsia" w:ascii="仿宋_GB2312" w:hAnsi="仿宋_GB2312" w:eastAsia="仿宋_GB2312"/>
          <w:sz w:val="32"/>
          <w:szCs w:val="32"/>
          <w:lang w:val="en-US" w:eastAsia="zh-CN"/>
        </w:rPr>
        <w:t>-行政事业单位医疗-行政单位医疗</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18.77万元，主要用于行政人员社会保险缴费。</w:t>
      </w:r>
    </w:p>
    <w:p>
      <w:pPr>
        <w:pStyle w:val="6"/>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卫生健康</w:t>
      </w:r>
      <w:r>
        <w:rPr>
          <w:rFonts w:hint="eastAsia" w:ascii="仿宋_GB2312" w:hAnsi="仿宋_GB2312" w:eastAsia="仿宋_GB2312"/>
          <w:sz w:val="32"/>
          <w:szCs w:val="32"/>
          <w:lang w:val="en-US" w:eastAsia="zh-CN"/>
        </w:rPr>
        <w:t>-行政事业单位医疗-行政单位医疗</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0.56万元，主要用于事业人员社会保险缴费。</w:t>
      </w:r>
    </w:p>
    <w:p>
      <w:pPr>
        <w:pStyle w:val="6"/>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住房保障支出</w:t>
      </w:r>
      <w:r>
        <w:rPr>
          <w:rFonts w:hint="eastAsia" w:ascii="仿宋_GB2312" w:hAnsi="仿宋_GB2312" w:eastAsia="仿宋_GB2312"/>
          <w:sz w:val="32"/>
          <w:szCs w:val="32"/>
          <w:lang w:val="en-US" w:eastAsia="zh-CN"/>
        </w:rPr>
        <w:t>-住房改革支出-</w:t>
      </w:r>
      <w:r>
        <w:rPr>
          <w:rFonts w:hint="eastAsia" w:ascii="仿宋_GB2312" w:hAnsi="仿宋_GB2312" w:eastAsia="仿宋_GB2312"/>
          <w:sz w:val="32"/>
          <w:szCs w:val="32"/>
          <w:lang w:eastAsia="zh-CN"/>
        </w:rPr>
        <w:t>住房公积金支出</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37.98万元，主要用于：缴纳职工住房公积金。</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b/>
          <w:bCs/>
          <w:sz w:val="32"/>
          <w:szCs w:val="32"/>
        </w:rPr>
      </w:pPr>
      <w:r>
        <w:rPr>
          <w:rFonts w:hint="eastAsia" w:ascii="仿宋_GB2312" w:hAnsi="仿宋_GB2312" w:eastAsia="仿宋_GB2312"/>
          <w:sz w:val="32"/>
          <w:szCs w:val="32"/>
        </w:rPr>
        <w:t>　　</w:t>
      </w:r>
      <w:r>
        <w:rPr>
          <w:rFonts w:hint="eastAsia" w:ascii="黑体" w:hAnsi="黑体" w:eastAsia="黑体" w:cs="黑体"/>
          <w:b/>
          <w:bCs/>
          <w:sz w:val="32"/>
          <w:szCs w:val="32"/>
        </w:rPr>
        <w:t>六、一般公共预算基本支出情况说明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546.97</w:t>
      </w:r>
      <w:r>
        <w:rPr>
          <w:rFonts w:hint="eastAsia" w:ascii="仿宋_GB2312" w:hAnsi="仿宋_GB2312" w:eastAsia="仿宋_GB2312"/>
          <w:sz w:val="32"/>
          <w:szCs w:val="32"/>
        </w:rPr>
        <w:t>万元，其中：</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488.37</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58.6</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bCs/>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b/>
          <w:bCs/>
          <w:sz w:val="32"/>
          <w:szCs w:val="32"/>
          <w:lang w:val="en-US" w:eastAsia="zh-CN"/>
        </w:rPr>
        <w:t xml:space="preserve"> </w:t>
      </w:r>
      <w:r>
        <w:rPr>
          <w:rFonts w:hint="eastAsia" w:ascii="黑体" w:hAnsi="黑体" w:eastAsia="黑体" w:cs="黑体"/>
          <w:b/>
          <w:bCs/>
          <w:sz w:val="32"/>
          <w:szCs w:val="32"/>
        </w:rPr>
        <w:t>七、“三公”经费财政拨款预算安排情况说明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　　（一）因公出国（境）经费</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rPr>
        <w:t>与20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年预算持平。</w:t>
      </w:r>
      <w:r>
        <w:rPr>
          <w:rFonts w:hint="eastAsia" w:ascii="仿宋_GB2312" w:hAnsi="仿宋_GB2312" w:eastAsia="仿宋_GB2312"/>
          <w:sz w:val="32"/>
          <w:szCs w:val="32"/>
          <w:highlight w:val="none"/>
        </w:rPr>
        <w:t>主要原因是</w:t>
      </w:r>
      <w:r>
        <w:rPr>
          <w:rFonts w:hint="eastAsia" w:ascii="仿宋_GB2312" w:hAnsi="仿宋_GB2312" w:eastAsia="仿宋_GB2312"/>
          <w:sz w:val="32"/>
          <w:szCs w:val="32"/>
          <w:highlight w:val="none"/>
          <w:lang w:eastAsia="zh-CN"/>
        </w:rPr>
        <w:t>无此预算</w:t>
      </w:r>
      <w:r>
        <w:rPr>
          <w:rFonts w:hint="eastAsia" w:ascii="仿宋_GB2312" w:hAns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hAnsi="仿宋_GB2312" w:eastAsia="仿宋_GB2312"/>
          <w:sz w:val="32"/>
          <w:szCs w:val="32"/>
        </w:rPr>
        <w:t>（二）</w:t>
      </w:r>
      <w:r>
        <w:rPr>
          <w:rFonts w:hint="eastAsia" w:ascii="楷体_GB2312" w:eastAsia="楷体_GB2312"/>
          <w:bCs/>
          <w:sz w:val="32"/>
          <w:szCs w:val="32"/>
        </w:rPr>
        <w:t>公务接待费与20</w:t>
      </w:r>
      <w:r>
        <w:rPr>
          <w:rFonts w:hint="eastAsia" w:ascii="楷体_GB2312" w:eastAsia="楷体_GB2312"/>
          <w:bCs/>
          <w:sz w:val="32"/>
          <w:szCs w:val="32"/>
          <w:lang w:val="en-US" w:eastAsia="zh-CN"/>
        </w:rPr>
        <w:t>23</w:t>
      </w:r>
      <w:r>
        <w:rPr>
          <w:rFonts w:hint="eastAsia" w:ascii="楷体_GB2312" w:eastAsia="楷体_GB2312"/>
          <w:bCs/>
          <w:sz w:val="32"/>
          <w:szCs w:val="32"/>
        </w:rPr>
        <w:t>年预算</w:t>
      </w:r>
      <w:r>
        <w:rPr>
          <w:rFonts w:hint="eastAsia" w:ascii="楷体_GB2312" w:eastAsia="楷体_GB2312"/>
          <w:bCs/>
          <w:sz w:val="32"/>
          <w:szCs w:val="32"/>
          <w:lang w:eastAsia="zh-CN"/>
        </w:rPr>
        <w:t>数</w:t>
      </w:r>
      <w:r>
        <w:rPr>
          <w:rFonts w:hint="eastAsia" w:ascii="楷体_GB2312" w:eastAsia="楷体_GB2312"/>
          <w:bCs/>
          <w:sz w:val="32"/>
          <w:szCs w:val="32"/>
        </w:rPr>
        <w:t>持平。</w:t>
      </w:r>
      <w:r>
        <w:rPr>
          <w:rFonts w:hint="eastAsia" w:ascii="楷体_GB2312" w:eastAsia="楷体_GB2312"/>
          <w:bCs/>
          <w:sz w:val="32"/>
          <w:szCs w:val="32"/>
          <w:lang w:eastAsia="zh-CN"/>
        </w:rPr>
        <w:t>主要原因是严格按照规定进行公务接待。</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（三）公务用车购置</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w:t>
      </w:r>
      <w:r>
        <w:rPr>
          <w:rFonts w:hint="eastAsia" w:ascii="仿宋_GB2312" w:hAnsi="仿宋_GB2312" w:eastAsia="仿宋_GB2312"/>
          <w:color w:val="auto"/>
          <w:sz w:val="32"/>
          <w:szCs w:val="32"/>
          <w:highlight w:val="none"/>
          <w:lang w:eastAsia="zh-CN"/>
        </w:rPr>
        <w:t>，与</w:t>
      </w:r>
      <w:r>
        <w:rPr>
          <w:rFonts w:hint="eastAsia" w:ascii="仿宋_GB2312" w:hAnsi="仿宋_GB2312" w:eastAsia="仿宋_GB2312"/>
          <w:color w:val="auto"/>
          <w:sz w:val="32"/>
          <w:szCs w:val="32"/>
          <w:highlight w:val="none"/>
        </w:rPr>
        <w:t>20</w:t>
      </w:r>
      <w:r>
        <w:rPr>
          <w:rFonts w:hint="eastAsia" w:ascii="仿宋_GB2312" w:hAnsi="仿宋_GB2312" w:eastAsia="仿宋_GB2312"/>
          <w:color w:val="auto"/>
          <w:sz w:val="32"/>
          <w:szCs w:val="32"/>
          <w:highlight w:val="none"/>
          <w:lang w:val="en-US" w:eastAsia="zh-CN"/>
        </w:rPr>
        <w:t>23</w:t>
      </w:r>
      <w:r>
        <w:rPr>
          <w:rFonts w:hint="eastAsia" w:ascii="仿宋_GB2312" w:hAnsi="仿宋_GB2312" w:eastAsia="仿宋_GB2312"/>
          <w:color w:val="auto"/>
          <w:sz w:val="32"/>
          <w:szCs w:val="32"/>
          <w:highlight w:val="none"/>
        </w:rPr>
        <w:t>年</w:t>
      </w:r>
      <w:r>
        <w:rPr>
          <w:rFonts w:hint="eastAsia" w:ascii="仿宋_GB2312" w:hAnsi="仿宋_GB2312" w:eastAsia="仿宋_GB2312"/>
          <w:color w:val="auto"/>
          <w:sz w:val="32"/>
          <w:szCs w:val="32"/>
          <w:highlight w:val="none"/>
          <w:lang w:val="en-US" w:eastAsia="zh-CN"/>
        </w:rPr>
        <w:t>持平</w:t>
      </w:r>
      <w:r>
        <w:rPr>
          <w:rFonts w:hint="eastAsia" w:ascii="仿宋_GB2312" w:hAnsi="仿宋_GB2312" w:eastAsia="仿宋_GB2312"/>
          <w:color w:val="auto"/>
          <w:sz w:val="32"/>
          <w:szCs w:val="32"/>
          <w:highlight w:val="none"/>
        </w:rPr>
        <w:t>。主要原因是</w:t>
      </w:r>
      <w:r>
        <w:rPr>
          <w:rFonts w:hint="eastAsia" w:ascii="仿宋_GB2312" w:hAnsi="仿宋_GB2312" w:eastAsia="仿宋_GB2312"/>
          <w:color w:val="auto"/>
          <w:sz w:val="32"/>
          <w:szCs w:val="32"/>
          <w:highlight w:val="none"/>
          <w:lang w:eastAsia="zh-CN"/>
        </w:rPr>
        <w:t>公车改革后无公务用车购置计划</w:t>
      </w:r>
      <w:r>
        <w:rPr>
          <w:rFonts w:hint="eastAsia" w:ascii="仿宋_GB2312" w:hAnsi="仿宋_GB2312" w:eastAsia="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val="en-US" w:eastAsia="zh-CN"/>
        </w:rPr>
        <w:t xml:space="preserve">    </w:t>
      </w:r>
      <w:r>
        <w:rPr>
          <w:rFonts w:hint="eastAsia" w:ascii="仿宋_GB2312" w:hAnsi="仿宋_GB2312" w:eastAsia="仿宋_GB2312"/>
          <w:color w:val="auto"/>
          <w:sz w:val="32"/>
          <w:szCs w:val="32"/>
          <w:highlight w:val="none"/>
        </w:rPr>
        <w:t>单位现有公务用车</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辆。</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20</w:t>
      </w:r>
      <w:r>
        <w:rPr>
          <w:rFonts w:hint="eastAsia" w:ascii="仿宋_GB2312" w:hAnsi="仿宋_GB2312" w:eastAsia="仿宋_GB2312"/>
          <w:color w:val="auto"/>
          <w:sz w:val="32"/>
          <w:szCs w:val="32"/>
          <w:highlight w:val="none"/>
          <w:lang w:val="en-US" w:eastAsia="zh-CN"/>
        </w:rPr>
        <w:t>24</w:t>
      </w:r>
      <w:r>
        <w:rPr>
          <w:rFonts w:hint="eastAsia" w:ascii="仿宋_GB2312" w:hAnsi="仿宋_GB2312" w:eastAsia="仿宋_GB2312"/>
          <w:color w:val="auto"/>
          <w:sz w:val="32"/>
          <w:szCs w:val="32"/>
          <w:highlight w:val="none"/>
        </w:rPr>
        <w:t>年安排公务用车运行维护费</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八、政府性基金预算收支情况说明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政协办</w:t>
      </w:r>
      <w:r>
        <w:rPr>
          <w:rFonts w:hint="eastAsia" w:ascii="仿宋_GB2312" w:hAnsi="仿宋_GB2312" w:eastAsia="仿宋_GB2312"/>
          <w:sz w:val="32"/>
          <w:szCs w:val="32"/>
          <w:lang w:val="en-US" w:eastAsia="zh-CN"/>
        </w:rPr>
        <w:t>2024年无</w:t>
      </w:r>
      <w:r>
        <w:rPr>
          <w:rFonts w:hint="eastAsia" w:ascii="仿宋_GB2312" w:hAnsi="仿宋_GB2312" w:eastAsia="仿宋_GB2312"/>
          <w:sz w:val="32"/>
          <w:szCs w:val="32"/>
        </w:rPr>
        <w:t>使用政府性基金预算拨款安排的支出。</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b/>
          <w:bCs/>
          <w:sz w:val="32"/>
          <w:szCs w:val="32"/>
        </w:rPr>
      </w:pPr>
      <w:r>
        <w:rPr>
          <w:rFonts w:hint="eastAsia" w:ascii="仿宋_GB2312" w:hAnsi="仿宋_GB2312" w:eastAsia="仿宋_GB2312"/>
          <w:sz w:val="32"/>
          <w:szCs w:val="32"/>
          <w:lang w:val="en-US" w:eastAsia="zh-CN"/>
        </w:rPr>
        <w:t xml:space="preserve">    </w:t>
      </w:r>
      <w:r>
        <w:rPr>
          <w:rFonts w:hint="eastAsia" w:ascii="黑体" w:hAnsi="黑体" w:eastAsia="黑体" w:cs="黑体"/>
          <w:b/>
          <w:bCs/>
          <w:sz w:val="32"/>
          <w:szCs w:val="32"/>
        </w:rPr>
        <w:t>九、国有资本经营预算支出情况说明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使用国有资本经营预算拨款安排支出</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b/>
          <w:bCs/>
          <w:sz w:val="32"/>
          <w:szCs w:val="32"/>
        </w:rPr>
      </w:pPr>
      <w:r>
        <w:rPr>
          <w:rFonts w:hint="eastAsia" w:ascii="仿宋_GB2312" w:hAnsi="仿宋_GB2312" w:eastAsia="仿宋_GB2312"/>
          <w:sz w:val="32"/>
          <w:szCs w:val="32"/>
        </w:rPr>
        <w:t>　　</w:t>
      </w:r>
      <w:r>
        <w:rPr>
          <w:rFonts w:hint="eastAsia" w:ascii="黑体" w:hAnsi="黑体" w:eastAsia="黑体" w:cs="黑体"/>
          <w:b/>
          <w:bCs/>
          <w:sz w:val="32"/>
          <w:szCs w:val="32"/>
        </w:rPr>
        <w:t>十、其他重要事项的情况说明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（一）机关运行经费</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机关运行经费财政拨款预算为</w:t>
      </w:r>
      <w:r>
        <w:rPr>
          <w:rFonts w:hint="eastAsia" w:ascii="仿宋_GB2312" w:hAnsi="仿宋_GB2312" w:eastAsia="仿宋_GB2312"/>
          <w:sz w:val="32"/>
          <w:szCs w:val="32"/>
          <w:lang w:val="en-US" w:eastAsia="zh-CN"/>
        </w:rPr>
        <w:t>38.60</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（二）政府采购情况</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政协办未</w:t>
      </w:r>
      <w:r>
        <w:rPr>
          <w:rFonts w:hint="eastAsia" w:ascii="仿宋_GB2312" w:hAnsi="仿宋_GB2312" w:eastAsia="仿宋_GB2312"/>
          <w:sz w:val="32"/>
          <w:szCs w:val="32"/>
        </w:rPr>
        <w:t>安排政府采购预算。</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highlight w:val="none"/>
          <w:lang w:val="en-US" w:eastAsia="zh-CN"/>
        </w:rPr>
        <w:t xml:space="preserve">    </w:t>
      </w:r>
      <w:r>
        <w:rPr>
          <w:rFonts w:hint="eastAsia" w:ascii="仿宋_GB2312" w:hAnsi="仿宋_GB2312" w:eastAsia="仿宋_GB2312"/>
          <w:sz w:val="32"/>
          <w:szCs w:val="32"/>
          <w:highlight w:val="none"/>
        </w:rPr>
        <w:t>截至20</w:t>
      </w:r>
      <w:r>
        <w:rPr>
          <w:rFonts w:hint="eastAsia" w:ascii="仿宋_GB2312" w:hAnsi="仿宋_GB2312" w:eastAsia="仿宋_GB2312"/>
          <w:sz w:val="32"/>
          <w:szCs w:val="32"/>
          <w:highlight w:val="none"/>
          <w:lang w:val="en-US" w:eastAsia="zh-CN"/>
        </w:rPr>
        <w:t>23</w:t>
      </w:r>
      <w:r>
        <w:rPr>
          <w:rFonts w:hint="eastAsia" w:ascii="仿宋_GB2312" w:hAnsi="仿宋_GB2312" w:eastAsia="仿宋_GB2312"/>
          <w:sz w:val="32"/>
          <w:szCs w:val="32"/>
          <w:highlight w:val="none"/>
        </w:rPr>
        <w:t>年底，</w:t>
      </w:r>
      <w:r>
        <w:rPr>
          <w:rFonts w:hint="eastAsia" w:ascii="仿宋_GB2312" w:hAnsi="仿宋_GB2312" w:eastAsia="仿宋_GB2312"/>
          <w:sz w:val="32"/>
          <w:szCs w:val="32"/>
          <w:highlight w:val="none"/>
          <w:lang w:eastAsia="zh-CN"/>
        </w:rPr>
        <w:t>政协办</w:t>
      </w:r>
      <w:r>
        <w:rPr>
          <w:rFonts w:hint="eastAsia" w:ascii="仿宋_GB2312" w:hAnsi="仿宋_GB2312" w:eastAsia="仿宋_GB2312"/>
          <w:sz w:val="32"/>
          <w:szCs w:val="32"/>
          <w:highlight w:val="none"/>
        </w:rPr>
        <w:t>共有</w:t>
      </w:r>
      <w:r>
        <w:rPr>
          <w:rFonts w:hint="eastAsia" w:ascii="仿宋_GB2312" w:eastAsia="仿宋_GB2312"/>
          <w:sz w:val="32"/>
          <w:szCs w:val="32"/>
          <w:highlight w:val="none"/>
        </w:rPr>
        <w:t>固定资产总额</w:t>
      </w:r>
      <w:r>
        <w:rPr>
          <w:rFonts w:hint="eastAsia" w:ascii="仿宋_GB2312" w:eastAsia="仿宋_GB2312"/>
          <w:sz w:val="32"/>
          <w:szCs w:val="32"/>
          <w:highlight w:val="none"/>
          <w:lang w:val="en-US" w:eastAsia="zh-CN"/>
        </w:rPr>
        <w:t>39.71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hAnsi="仿宋_GB2312" w:eastAsia="仿宋_GB2312"/>
          <w:sz w:val="32"/>
          <w:szCs w:val="32"/>
          <w:highlight w:val="none"/>
        </w:rPr>
        <w:t>　　</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年部门预算未安排购置车辆及单位价值200万元以上大型设备。</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（四）绩效目标设置情况</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政协办</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sz w:val="32"/>
          <w:szCs w:val="32"/>
          <w:lang w:val="en-US" w:eastAsia="zh-CN"/>
        </w:rPr>
        <w:t>110</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bCs/>
          <w:sz w:val="32"/>
          <w:szCs w:val="32"/>
        </w:rPr>
      </w:pPr>
      <w:r>
        <w:rPr>
          <w:rFonts w:hint="eastAsia" w:ascii="仿宋_GB2312" w:hAnsi="仿宋_GB2312" w:eastAsia="仿宋_GB2312"/>
          <w:sz w:val="32"/>
          <w:szCs w:val="32"/>
        </w:rPr>
        <w:t>　　</w:t>
      </w:r>
      <w:r>
        <w:rPr>
          <w:rFonts w:hint="eastAsia" w:ascii="黑体" w:hAnsi="黑体" w:eastAsia="黑体" w:cs="黑体"/>
          <w:b/>
          <w:bCs/>
          <w:sz w:val="32"/>
          <w:szCs w:val="32"/>
        </w:rPr>
        <w:t>十</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宋体" w:eastAsia="仿宋_GB2312" w:cs="仿宋_GB2312"/>
          <w:b w:val="0"/>
          <w:i w:val="0"/>
          <w:caps w:val="0"/>
          <w:color w:val="000000"/>
          <w:spacing w:val="0"/>
          <w:sz w:val="32"/>
          <w:szCs w:val="32"/>
          <w:shd w:val="clear" w:fill="FFFFFF"/>
          <w:lang w:eastAsia="zh-CN"/>
        </w:rPr>
        <w:t>（六）</w:t>
      </w:r>
      <w:r>
        <w:rPr>
          <w:rFonts w:ascii="仿宋_GB2312" w:hAnsi="宋体" w:eastAsia="仿宋_GB2312" w:cs="仿宋_GB2312"/>
          <w:b w:val="0"/>
          <w:i w:val="0"/>
          <w:caps w:val="0"/>
          <w:color w:val="000000"/>
          <w:spacing w:val="0"/>
          <w:sz w:val="32"/>
          <w:szCs w:val="32"/>
          <w:shd w:val="clear"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 aixinjuel">
    <w:altName w:val="宋体"/>
    <w:panose1 w:val="02010600040101010101"/>
    <w:charset w:val="86"/>
    <w:family w:val="auto"/>
    <w:pitch w:val="default"/>
    <w:sig w:usb0="00000000" w:usb1="00000000" w:usb2="00000016"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decorative"/>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abstractNum w:abstractNumId="2">
    <w:nsid w:val="5C6E1E68"/>
    <w:multiLevelType w:val="singleLevel"/>
    <w:tmpl w:val="5C6E1E68"/>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3B21DAA"/>
    <w:rsid w:val="03F41285"/>
    <w:rsid w:val="0B682C10"/>
    <w:rsid w:val="0BEA2FA7"/>
    <w:rsid w:val="0CBC3A4D"/>
    <w:rsid w:val="117C1E78"/>
    <w:rsid w:val="11E05CF7"/>
    <w:rsid w:val="11F503B0"/>
    <w:rsid w:val="12535319"/>
    <w:rsid w:val="13522181"/>
    <w:rsid w:val="144D4918"/>
    <w:rsid w:val="147D4239"/>
    <w:rsid w:val="1A8B57AF"/>
    <w:rsid w:val="1B4B4C19"/>
    <w:rsid w:val="1BF418F8"/>
    <w:rsid w:val="1C437767"/>
    <w:rsid w:val="1F500E29"/>
    <w:rsid w:val="1FCE268A"/>
    <w:rsid w:val="2A0143FB"/>
    <w:rsid w:val="2B46035D"/>
    <w:rsid w:val="2B8A4C7C"/>
    <w:rsid w:val="2CBD72B2"/>
    <w:rsid w:val="382A0105"/>
    <w:rsid w:val="389B46A9"/>
    <w:rsid w:val="3AAA2FF5"/>
    <w:rsid w:val="42991D01"/>
    <w:rsid w:val="43074B98"/>
    <w:rsid w:val="4467365A"/>
    <w:rsid w:val="44E1584B"/>
    <w:rsid w:val="47141954"/>
    <w:rsid w:val="47573FFC"/>
    <w:rsid w:val="47F20366"/>
    <w:rsid w:val="4A564538"/>
    <w:rsid w:val="550B1BA8"/>
    <w:rsid w:val="55EE2673"/>
    <w:rsid w:val="564D61BE"/>
    <w:rsid w:val="58B76DBF"/>
    <w:rsid w:val="5D6B62E5"/>
    <w:rsid w:val="5E6304D8"/>
    <w:rsid w:val="5EC8589C"/>
    <w:rsid w:val="5EEC05C1"/>
    <w:rsid w:val="626D7763"/>
    <w:rsid w:val="651A76D9"/>
    <w:rsid w:val="65792927"/>
    <w:rsid w:val="6B9D5311"/>
    <w:rsid w:val="6C5B55F5"/>
    <w:rsid w:val="6D480389"/>
    <w:rsid w:val="6F9D54EF"/>
    <w:rsid w:val="70C05D4F"/>
    <w:rsid w:val="73CF7B58"/>
    <w:rsid w:val="77103EEA"/>
    <w:rsid w:val="7836417C"/>
    <w:rsid w:val="7B636E1D"/>
    <w:rsid w:val="7D9C25F6"/>
    <w:rsid w:val="7DD04F73"/>
    <w:rsid w:val="7E6D33AD"/>
    <w:rsid w:val="7F7D47B2"/>
    <w:rsid w:val="7FBC68D6"/>
    <w:rsid w:val="7FF7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before="93" w:beforeLines="30"/>
    </w:pPr>
    <w:rPr>
      <w:rFonts w:ascii="仿宋_GB2312" w:eastAsia="仿宋_GB2312"/>
      <w:sz w:val="30"/>
    </w:rPr>
  </w:style>
  <w:style w:type="paragraph" w:styleId="3">
    <w:name w:val="Body Text Indent"/>
    <w:basedOn w:val="1"/>
    <w:unhideWhenUsed/>
    <w:qFormat/>
    <w:uiPriority w:val="99"/>
    <w:pPr>
      <w:ind w:firstLine="645"/>
    </w:pPr>
    <w:rPr>
      <w:szCs w:val="30"/>
      <w:lang w:val="zh-CN"/>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unhideWhenUsed/>
    <w:qFormat/>
    <w:uiPriority w:val="99"/>
    <w:pPr>
      <w:spacing w:after="120"/>
      <w:ind w:left="420" w:leftChars="200" w:firstLine="420" w:firstLineChars="200"/>
    </w:pPr>
    <w:rPr>
      <w:szCs w:val="32"/>
      <w:lang w:val="en-US"/>
    </w:rPr>
  </w:style>
  <w:style w:type="character" w:styleId="9">
    <w:name w:val="Emphasis"/>
    <w:basedOn w:val="8"/>
    <w:autoRedefine/>
    <w:qFormat/>
    <w:uiPriority w:val="20"/>
  </w:style>
  <w:style w:type="paragraph" w:customStyle="1" w:styleId="10">
    <w:name w:val="List Paragraph"/>
    <w:basedOn w:val="1"/>
    <w:qFormat/>
    <w:uiPriority w:val="34"/>
    <w:pPr>
      <w:ind w:firstLine="420" w:firstLineChars="200"/>
    </w:pPr>
  </w:style>
  <w:style w:type="character" w:customStyle="1" w:styleId="11">
    <w:name w:val="页眉 Char"/>
    <w:basedOn w:val="8"/>
    <w:link w:val="5"/>
    <w:autoRedefine/>
    <w:qFormat/>
    <w:uiPriority w:val="99"/>
    <w:rPr>
      <w:rFonts w:ascii="宋体" w:hAnsi="Times New Roman" w:eastAsia="宋体" w:cs="Times New Roman"/>
      <w:sz w:val="18"/>
      <w:szCs w:val="18"/>
    </w:rPr>
  </w:style>
  <w:style w:type="character" w:customStyle="1" w:styleId="12">
    <w:name w:val="页脚 Char"/>
    <w:basedOn w:val="8"/>
    <w:link w:val="4"/>
    <w:qFormat/>
    <w:uiPriority w:val="99"/>
    <w:rPr>
      <w:rFonts w:ascii="宋体" w:hAnsi="Times New Roman" w:eastAsia="宋体" w:cs="Times New Roman"/>
      <w:sz w:val="18"/>
      <w:szCs w:val="18"/>
    </w:rPr>
  </w:style>
  <w:style w:type="character" w:customStyle="1" w:styleId="13">
    <w:name w:val="正文文本 Char"/>
    <w:basedOn w:val="8"/>
    <w:link w:val="2"/>
    <w:qFormat/>
    <w:uiPriority w:val="0"/>
    <w:rPr>
      <w:rFonts w:ascii="仿宋_GB2312" w:hAnsi="Times New Roman" w:eastAsia="仿宋_GB2312" w:cs="Times New Roman"/>
      <w:kern w:val="2"/>
      <w:sz w:val="30"/>
      <w:szCs w:val="24"/>
    </w:rPr>
  </w:style>
  <w:style w:type="paragraph" w:customStyle="1" w:styleId="14">
    <w:name w:val="样式46"/>
    <w:basedOn w:val="1"/>
    <w:qFormat/>
    <w:uiPriority w:val="0"/>
    <w:pPr>
      <w:spacing w:line="594" w:lineRule="atLeast"/>
      <w:ind w:firstLine="640" w:firstLineChars="200"/>
    </w:pPr>
    <w:rPr>
      <w:rFonts w:ascii="华文楷体 - aixinjuel" w:hAnsi="华文楷体 - aixinjuel" w:eastAsia="华文楷体 - aixinjuel" w:cs="楷体_GB2312"/>
      <w:color w:val="000000"/>
      <w:spacing w:val="-8"/>
      <w:sz w:val="30"/>
      <w:szCs w:val="30"/>
    </w:rPr>
  </w:style>
  <w:style w:type="paragraph" w:customStyle="1" w:styleId="15">
    <w:name w:val="WPSOffice手动目录 1"/>
    <w:autoRedefine/>
    <w:qFormat/>
    <w:uiPriority w:val="0"/>
    <w:pPr>
      <w:ind w:leftChars="0"/>
    </w:pPr>
    <w:rPr>
      <w:rFonts w:ascii="Calibri" w:hAnsi="Calibri" w:eastAsia="宋体" w:cs="Times New Roman"/>
      <w:sz w:val="20"/>
      <w:szCs w:val="20"/>
    </w:rPr>
  </w:style>
  <w:style w:type="paragraph" w:customStyle="1" w:styleId="16">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5556</Words>
  <Characters>5890</Characters>
  <Lines>17</Lines>
  <Paragraphs>4</Paragraphs>
  <TotalTime>6</TotalTime>
  <ScaleCrop>false</ScaleCrop>
  <LinksUpToDate>false</LinksUpToDate>
  <CharactersWithSpaces>6075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阁主</cp:lastModifiedBy>
  <dcterms:modified xsi:type="dcterms:W3CDTF">2024-01-25T09:20:18Z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9DD7BEB662DD47E182B55849CC71D92F_13</vt:lpwstr>
  </property>
</Properties>
</file>