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jc w:val="center"/>
        <w:rPr>
          <w:rFonts w:hint="eastAsia" w:ascii="方正小标宋简体" w:hAnsi="方正小标宋简体" w:eastAsia="方正小标宋简体"/>
          <w:kern w:val="2"/>
          <w:sz w:val="72"/>
          <w:lang w:val="zh-CN"/>
        </w:rPr>
      </w:pPr>
    </w:p>
    <w:p>
      <w:pPr>
        <w:spacing w:beforeLines="0" w:afterLines="0" w:line="360" w:lineRule="auto"/>
        <w:jc w:val="center"/>
        <w:rPr>
          <w:rFonts w:hint="eastAsia" w:ascii="方正小标宋简体" w:hAnsi="方正小标宋简体" w:eastAsia="方正小标宋简体"/>
          <w:kern w:val="2"/>
          <w:sz w:val="72"/>
          <w:lang w:val="zh-CN"/>
        </w:rPr>
      </w:pPr>
    </w:p>
    <w:p>
      <w:pPr>
        <w:spacing w:beforeLines="0" w:afterLines="0" w:line="360" w:lineRule="auto"/>
        <w:jc w:val="center"/>
        <w:rPr>
          <w:rFonts w:hint="eastAsia" w:ascii="方正小标宋简体" w:hAnsi="方正小标宋简体" w:eastAsia="方正小标宋简体"/>
          <w:kern w:val="2"/>
          <w:sz w:val="72"/>
          <w:lang w:val="zh-CN"/>
        </w:rPr>
      </w:pPr>
    </w:p>
    <w:p>
      <w:pPr>
        <w:spacing w:beforeLines="0" w:afterLines="0" w:line="360" w:lineRule="auto"/>
        <w:jc w:val="center"/>
        <w:rPr>
          <w:rFonts w:hint="eastAsia" w:ascii="方正小标宋简体" w:hAnsi="方正小标宋简体" w:eastAsia="方正小标宋简体"/>
          <w:kern w:val="2"/>
          <w:sz w:val="72"/>
          <w:lang w:val="zh-CN"/>
        </w:rPr>
      </w:pPr>
      <w:r>
        <w:rPr>
          <w:rFonts w:hint="eastAsia" w:ascii="方正小标宋简体" w:hAnsi="方正小标宋简体" w:eastAsia="方正小标宋简体"/>
          <w:kern w:val="2"/>
          <w:sz w:val="72"/>
          <w:lang w:val="zh-CN"/>
        </w:rPr>
        <w:t>2022年度</w:t>
      </w:r>
    </w:p>
    <w:p>
      <w:pPr>
        <w:spacing w:beforeLines="0" w:afterLines="0" w:line="360" w:lineRule="auto"/>
        <w:jc w:val="center"/>
        <w:rPr>
          <w:rFonts w:hint="eastAsia" w:ascii="方正小标宋简体" w:hAnsi="方正小标宋简体" w:eastAsia="方正小标宋简体"/>
          <w:kern w:val="2"/>
          <w:sz w:val="72"/>
          <w:lang w:val="zh-CN"/>
        </w:rPr>
      </w:pPr>
      <w:r>
        <w:rPr>
          <w:rFonts w:hint="eastAsia" w:ascii="方正小标宋简体" w:hAnsi="方正小标宋简体" w:eastAsia="方正小标宋简体"/>
          <w:kern w:val="2"/>
          <w:sz w:val="72"/>
          <w:lang w:val="zh-CN"/>
        </w:rPr>
        <w:t>四川省德阳市罗江区交通运输局（本级）单位决算</w:t>
      </w:r>
    </w:p>
    <w:p>
      <w:pPr>
        <w:keepNext/>
        <w:keepLines/>
        <w:tabs>
          <w:tab w:val="right" w:leader="dot" w:pos="8296"/>
        </w:tabs>
        <w:spacing w:beforeLines="0" w:afterLines="0" w:line="576" w:lineRule="exact"/>
        <w:rPr>
          <w:rFonts w:hint="eastAsia" w:ascii="黑体" w:hAnsi="黑体" w:eastAsia="黑体"/>
          <w:b/>
          <w:color w:val="FF0000"/>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both"/>
        <w:rPr>
          <w:rFonts w:hint="eastAsia" w:ascii="黑体" w:hAnsi="黑体" w:eastAsia="黑体"/>
          <w:color w:val="auto"/>
          <w:kern w:val="2"/>
          <w:sz w:val="48"/>
          <w:lang w:val="zh-CN"/>
        </w:rPr>
      </w:pPr>
    </w:p>
    <w:p>
      <w:pPr>
        <w:pStyle w:val="2"/>
        <w:rPr>
          <w:rFonts w:hint="eastAsia"/>
          <w:lang w:val="zh-CN"/>
        </w:rPr>
      </w:pPr>
    </w:p>
    <w:sdt>
      <w:sdtPr>
        <w:rPr>
          <w:rFonts w:hint="default" w:ascii="宋体" w:hAnsi="宋体" w:eastAsia="宋体" w:cstheme="minorBidi"/>
          <w:sz w:val="21"/>
        </w:rPr>
        <w:id w:val="147472076"/>
        <w:docPartObj>
          <w:docPartGallery w:val="Table of Contents"/>
          <w:docPartUnique/>
        </w:docPartObj>
      </w:sdtPr>
      <w:sdtEndPr>
        <w:rPr>
          <w:rFonts w:hint="default" w:ascii="Calibri" w:hAnsi="Calibri" w:eastAsia="宋体" w:cs="Times New Roman"/>
          <w:sz w:val="20"/>
          <w:szCs w:val="20"/>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32"/>
            </w:rPr>
          </w:pPr>
          <w:bookmarkStart w:id="0" w:name="_Toc6772_WPSOffice_Type2"/>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2"/>
            <w:jc w:val="center"/>
            <w:rPr>
              <w:rFonts w:hint="default" w:eastAsia="宋体"/>
              <w:b/>
              <w:bCs/>
              <w:sz w:val="32"/>
              <w:szCs w:val="32"/>
              <w:lang w:val="en-US" w:eastAsia="zh-CN"/>
            </w:rPr>
          </w:pPr>
          <w:r>
            <w:rPr>
              <w:rFonts w:hint="eastAsia" w:ascii="宋体" w:hAnsi="宋体" w:eastAsia="宋体"/>
              <w:b/>
              <w:bCs/>
              <w:sz w:val="32"/>
              <w:szCs w:val="32"/>
              <w:lang w:eastAsia="zh-CN"/>
            </w:rPr>
            <w:t>公开时间：</w:t>
          </w:r>
          <w:r>
            <w:rPr>
              <w:rFonts w:hint="eastAsia" w:ascii="宋体" w:hAnsi="宋体" w:eastAsia="宋体"/>
              <w:b/>
              <w:bCs/>
              <w:sz w:val="32"/>
              <w:szCs w:val="32"/>
              <w:lang w:val="en-US" w:eastAsia="zh-CN"/>
            </w:rPr>
            <w:t>2023年10月27日</w:t>
          </w:r>
        </w:p>
        <w:p>
          <w:pPr>
            <w:pStyle w:val="12"/>
            <w:tabs>
              <w:tab w:val="right" w:leader="dot" w:pos="8640"/>
            </w:tabs>
          </w:pPr>
          <w:r>
            <w:rPr>
              <w:b/>
              <w:bCs/>
            </w:rPr>
            <w:fldChar w:fldCharType="begin"/>
          </w:r>
          <w:r>
            <w:instrText xml:space="preserve"> HYPERLINK \l _Toc27043_WPSOffice_Level1 </w:instrText>
          </w:r>
          <w:r>
            <w:rPr>
              <w:b/>
              <w:bCs/>
            </w:rPr>
            <w:fldChar w:fldCharType="separate"/>
          </w:r>
          <w:sdt>
            <w:sdtPr>
              <w:rPr>
                <w:rFonts w:hint="default" w:ascii="仿宋_GB2312" w:eastAsia="仿宋_GB2312" w:hAnsiTheme="minorHAnsi" w:cstheme="minorBidi"/>
                <w:b/>
                <w:bCs/>
                <w:kern w:val="0"/>
                <w:sz w:val="30"/>
              </w:rPr>
              <w:id w:val="147472076"/>
              <w:placeholder>
                <w:docPart w:val="{200f7443-0339-4672-98f3-b7cb21a78b12}"/>
              </w:placeholder>
            </w:sdtPr>
            <w:sdtEndPr>
              <w:rPr>
                <w:rFonts w:hint="default" w:ascii="仿宋_GB2312" w:eastAsia="仿宋_GB2312" w:hAnsiTheme="minorHAnsi" w:cstheme="minorBidi"/>
                <w:b/>
                <w:bCs/>
                <w:kern w:val="0"/>
                <w:sz w:val="30"/>
              </w:rPr>
            </w:sdtEndPr>
            <w:sdtContent>
              <w:r>
                <w:rPr>
                  <w:rFonts w:hint="eastAsia" w:ascii="黑体" w:hAnsi="黑体" w:eastAsia="黑体" w:cstheme="minorBidi"/>
                  <w:b/>
                  <w:bCs/>
                </w:rPr>
                <w:t>第一部分 单位概况</w:t>
              </w:r>
            </w:sdtContent>
          </w:sdt>
          <w:r>
            <w:rPr>
              <w:b/>
              <w:bCs/>
            </w:rPr>
            <w:tab/>
          </w:r>
          <w:bookmarkStart w:id="1" w:name="_Toc27043_WPSOffice_Level1Page"/>
          <w:r>
            <w:rPr>
              <w:b/>
              <w:bCs/>
            </w:rPr>
            <w:t>1</w:t>
          </w:r>
          <w:bookmarkEnd w:id="1"/>
          <w:r>
            <w:rPr>
              <w:b/>
              <w:bCs/>
            </w:rPr>
            <w:fldChar w:fldCharType="end"/>
          </w:r>
        </w:p>
        <w:p>
          <w:pPr>
            <w:pStyle w:val="13"/>
            <w:tabs>
              <w:tab w:val="right" w:leader="dot" w:pos="8640"/>
            </w:tabs>
          </w:pPr>
          <w:r>
            <w:fldChar w:fldCharType="begin"/>
          </w:r>
          <w:r>
            <w:instrText xml:space="preserve"> HYPERLINK \l _Toc6772_WPSOffice_Level2 </w:instrText>
          </w:r>
          <w:r>
            <w:fldChar w:fldCharType="separate"/>
          </w:r>
          <w:sdt>
            <w:sdtPr>
              <w:rPr>
                <w:rFonts w:hint="default" w:ascii="仿宋_GB2312" w:eastAsia="仿宋_GB2312" w:hAnsiTheme="minorHAnsi" w:cstheme="minorBidi"/>
                <w:kern w:val="0"/>
                <w:sz w:val="30"/>
              </w:rPr>
              <w:id w:val="147472076"/>
              <w:placeholder>
                <w:docPart w:val="{bb78c1ad-4cee-41a7-9937-123d40e73db0}"/>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一、主要职责</w:t>
              </w:r>
            </w:sdtContent>
          </w:sdt>
          <w:r>
            <w:tab/>
          </w:r>
          <w:bookmarkStart w:id="2" w:name="_Toc6772_WPSOffice_Level2Page"/>
          <w:r>
            <w:t>1</w:t>
          </w:r>
          <w:bookmarkEnd w:id="2"/>
          <w:r>
            <w:fldChar w:fldCharType="end"/>
          </w:r>
        </w:p>
        <w:p>
          <w:pPr>
            <w:pStyle w:val="13"/>
            <w:tabs>
              <w:tab w:val="right" w:leader="dot" w:pos="8640"/>
            </w:tabs>
          </w:pPr>
          <w:r>
            <w:fldChar w:fldCharType="begin"/>
          </w:r>
          <w:r>
            <w:instrText xml:space="preserve"> HYPERLINK \l _Toc1752_WPSOffice_Level2 </w:instrText>
          </w:r>
          <w:r>
            <w:fldChar w:fldCharType="separate"/>
          </w:r>
          <w:sdt>
            <w:sdtPr>
              <w:rPr>
                <w:rFonts w:hint="default" w:ascii="仿宋_GB2312" w:eastAsia="仿宋_GB2312" w:hAnsiTheme="minorHAnsi" w:cstheme="minorBidi"/>
                <w:kern w:val="0"/>
                <w:sz w:val="30"/>
              </w:rPr>
              <w:id w:val="147472076"/>
              <w:placeholder>
                <w:docPart w:val="{13ea20dd-04cb-4988-838c-db130f1994e9}"/>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二、机构设置</w:t>
              </w:r>
            </w:sdtContent>
          </w:sdt>
          <w:r>
            <w:tab/>
          </w:r>
          <w:bookmarkStart w:id="3" w:name="_Toc1752_WPSOffice_Level2Page"/>
          <w:r>
            <w:t>3</w:t>
          </w:r>
          <w:bookmarkEnd w:id="3"/>
          <w:r>
            <w:fldChar w:fldCharType="end"/>
          </w:r>
        </w:p>
        <w:p>
          <w:pPr>
            <w:pStyle w:val="12"/>
            <w:tabs>
              <w:tab w:val="right" w:leader="dot" w:pos="8640"/>
            </w:tabs>
          </w:pPr>
          <w:r>
            <w:rPr>
              <w:b/>
              <w:bCs/>
            </w:rPr>
            <w:fldChar w:fldCharType="begin"/>
          </w:r>
          <w:r>
            <w:instrText xml:space="preserve"> HYPERLINK \l _Toc6772_WPSOffice_Level1 </w:instrText>
          </w:r>
          <w:r>
            <w:rPr>
              <w:b/>
              <w:bCs/>
            </w:rPr>
            <w:fldChar w:fldCharType="separate"/>
          </w:r>
          <w:sdt>
            <w:sdtPr>
              <w:rPr>
                <w:rFonts w:hint="default" w:ascii="仿宋_GB2312" w:eastAsia="仿宋_GB2312" w:hAnsiTheme="minorHAnsi" w:cstheme="minorBidi"/>
                <w:b/>
                <w:bCs/>
                <w:kern w:val="0"/>
                <w:sz w:val="30"/>
              </w:rPr>
              <w:id w:val="147472076"/>
              <w:placeholder>
                <w:docPart w:val="{1e6774c9-479d-451c-a15f-d6520998db71}"/>
              </w:placeholder>
            </w:sdtPr>
            <w:sdtEndPr>
              <w:rPr>
                <w:rFonts w:hint="default" w:ascii="仿宋_GB2312" w:eastAsia="仿宋_GB2312" w:hAnsiTheme="minorHAnsi" w:cstheme="minorBidi"/>
                <w:b/>
                <w:bCs/>
                <w:kern w:val="0"/>
                <w:sz w:val="30"/>
              </w:rPr>
            </w:sdtEndPr>
            <w:sdtContent>
              <w:r>
                <w:rPr>
                  <w:rFonts w:hint="eastAsia" w:ascii="黑体" w:hAnsi="黑体" w:eastAsia="黑体" w:cstheme="minorBidi"/>
                  <w:b/>
                  <w:bCs/>
                </w:rPr>
                <w:t>第二部分 2022年度单位决算情况说明</w:t>
              </w:r>
            </w:sdtContent>
          </w:sdt>
          <w:r>
            <w:rPr>
              <w:b/>
              <w:bCs/>
            </w:rPr>
            <w:tab/>
          </w:r>
          <w:bookmarkStart w:id="4" w:name="_Toc6772_WPSOffice_Level1Page"/>
          <w:r>
            <w:rPr>
              <w:b/>
              <w:bCs/>
            </w:rPr>
            <w:t>3</w:t>
          </w:r>
          <w:bookmarkEnd w:id="4"/>
          <w:r>
            <w:rPr>
              <w:b/>
              <w:bCs/>
            </w:rPr>
            <w:fldChar w:fldCharType="end"/>
          </w:r>
        </w:p>
        <w:p>
          <w:pPr>
            <w:pStyle w:val="13"/>
            <w:tabs>
              <w:tab w:val="right" w:leader="dot" w:pos="8640"/>
            </w:tabs>
          </w:pPr>
          <w:r>
            <w:fldChar w:fldCharType="begin"/>
          </w:r>
          <w:r>
            <w:instrText xml:space="preserve"> HYPERLINK \l _Toc23075_WPSOffice_Level2 </w:instrText>
          </w:r>
          <w:r>
            <w:fldChar w:fldCharType="separate"/>
          </w:r>
          <w:sdt>
            <w:sdtPr>
              <w:rPr>
                <w:rFonts w:hint="default" w:ascii="仿宋_GB2312" w:eastAsia="仿宋_GB2312" w:hAnsiTheme="minorHAnsi" w:cstheme="minorBidi"/>
                <w:kern w:val="0"/>
                <w:sz w:val="30"/>
              </w:rPr>
              <w:id w:val="147472076"/>
              <w:placeholder>
                <w:docPart w:val="{68f6b4b6-7317-4382-b318-9a381c0d24e3}"/>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一、收入支出决算总体情况说明</w:t>
              </w:r>
            </w:sdtContent>
          </w:sdt>
          <w:r>
            <w:tab/>
          </w:r>
          <w:bookmarkStart w:id="5" w:name="_Toc23075_WPSOffice_Level2Page"/>
          <w:r>
            <w:t>3</w:t>
          </w:r>
          <w:bookmarkEnd w:id="5"/>
          <w:r>
            <w:fldChar w:fldCharType="end"/>
          </w:r>
        </w:p>
        <w:p>
          <w:pPr>
            <w:pStyle w:val="13"/>
            <w:tabs>
              <w:tab w:val="right" w:leader="dot" w:pos="8640"/>
            </w:tabs>
          </w:pPr>
          <w:r>
            <w:fldChar w:fldCharType="begin"/>
          </w:r>
          <w:r>
            <w:instrText xml:space="preserve"> HYPERLINK \l _Toc14349_WPSOffice_Level2 </w:instrText>
          </w:r>
          <w:r>
            <w:fldChar w:fldCharType="separate"/>
          </w:r>
          <w:sdt>
            <w:sdtPr>
              <w:rPr>
                <w:rFonts w:hint="default" w:ascii="仿宋_GB2312" w:eastAsia="仿宋_GB2312" w:hAnsiTheme="minorHAnsi" w:cstheme="minorBidi"/>
                <w:kern w:val="0"/>
                <w:sz w:val="30"/>
              </w:rPr>
              <w:id w:val="147472076"/>
              <w:placeholder>
                <w:docPart w:val="{aef096f4-80e9-4887-bc93-df428c846b53}"/>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二、收入决算情况说明</w:t>
              </w:r>
            </w:sdtContent>
          </w:sdt>
          <w:r>
            <w:tab/>
          </w:r>
          <w:bookmarkStart w:id="6" w:name="_Toc14349_WPSOffice_Level2Page"/>
          <w:r>
            <w:t>5</w:t>
          </w:r>
          <w:bookmarkEnd w:id="6"/>
          <w:r>
            <w:fldChar w:fldCharType="end"/>
          </w:r>
        </w:p>
        <w:p>
          <w:pPr>
            <w:pStyle w:val="13"/>
            <w:tabs>
              <w:tab w:val="right" w:leader="dot" w:pos="8640"/>
            </w:tabs>
          </w:pPr>
          <w:r>
            <w:fldChar w:fldCharType="begin"/>
          </w:r>
          <w:r>
            <w:instrText xml:space="preserve"> HYPERLINK \l _Toc29530_WPSOffice_Level2 </w:instrText>
          </w:r>
          <w:r>
            <w:fldChar w:fldCharType="separate"/>
          </w:r>
          <w:sdt>
            <w:sdtPr>
              <w:rPr>
                <w:rFonts w:hint="default" w:ascii="仿宋_GB2312" w:eastAsia="仿宋_GB2312" w:hAnsiTheme="minorHAnsi" w:cstheme="minorBidi"/>
                <w:kern w:val="0"/>
                <w:sz w:val="30"/>
              </w:rPr>
              <w:id w:val="147472076"/>
              <w:placeholder>
                <w:docPart w:val="{3f03bea3-eabc-4d00-8b21-da9a49ef4468}"/>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三、支出决算情况说明</w:t>
              </w:r>
            </w:sdtContent>
          </w:sdt>
          <w:r>
            <w:tab/>
          </w:r>
          <w:bookmarkStart w:id="7" w:name="_Toc29530_WPSOffice_Level2Page"/>
          <w:r>
            <w:t>5</w:t>
          </w:r>
          <w:bookmarkEnd w:id="7"/>
          <w:r>
            <w:fldChar w:fldCharType="end"/>
          </w:r>
        </w:p>
        <w:p>
          <w:pPr>
            <w:pStyle w:val="13"/>
            <w:tabs>
              <w:tab w:val="right" w:leader="dot" w:pos="8640"/>
            </w:tabs>
          </w:pPr>
          <w:r>
            <w:fldChar w:fldCharType="begin"/>
          </w:r>
          <w:r>
            <w:instrText xml:space="preserve"> HYPERLINK \l _Toc27907_WPSOffice_Level2 </w:instrText>
          </w:r>
          <w:r>
            <w:fldChar w:fldCharType="separate"/>
          </w:r>
          <w:sdt>
            <w:sdtPr>
              <w:rPr>
                <w:rFonts w:hint="default" w:ascii="仿宋_GB2312" w:eastAsia="仿宋_GB2312" w:hAnsiTheme="minorHAnsi" w:cstheme="minorBidi"/>
                <w:kern w:val="0"/>
                <w:sz w:val="30"/>
              </w:rPr>
              <w:id w:val="147472076"/>
              <w:placeholder>
                <w:docPart w:val="{0037cd61-3523-4625-8c0d-3afbf942f7c0}"/>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四、财政拨款收入支出决算总体情况说明</w:t>
              </w:r>
            </w:sdtContent>
          </w:sdt>
          <w:r>
            <w:tab/>
          </w:r>
          <w:bookmarkStart w:id="8" w:name="_Toc27907_WPSOffice_Level2Page"/>
          <w:r>
            <w:t>6</w:t>
          </w:r>
          <w:bookmarkEnd w:id="8"/>
          <w:r>
            <w:fldChar w:fldCharType="end"/>
          </w:r>
        </w:p>
        <w:p>
          <w:pPr>
            <w:pStyle w:val="13"/>
            <w:tabs>
              <w:tab w:val="right" w:leader="dot" w:pos="8640"/>
            </w:tabs>
          </w:pPr>
          <w:r>
            <w:fldChar w:fldCharType="begin"/>
          </w:r>
          <w:r>
            <w:instrText xml:space="preserve"> HYPERLINK \l _Toc15690_WPSOffice_Level2 </w:instrText>
          </w:r>
          <w:r>
            <w:fldChar w:fldCharType="separate"/>
          </w:r>
          <w:sdt>
            <w:sdtPr>
              <w:rPr>
                <w:rFonts w:hint="default" w:ascii="仿宋_GB2312" w:eastAsia="仿宋_GB2312" w:hAnsiTheme="minorHAnsi" w:cstheme="minorBidi"/>
                <w:kern w:val="0"/>
                <w:sz w:val="30"/>
              </w:rPr>
              <w:id w:val="147472076"/>
              <w:placeholder>
                <w:docPart w:val="{77baa11e-3fd4-4a4f-8e0c-47a1bdfb4286}"/>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五、一般公共预算财政拨款支出决算情况说明</w:t>
              </w:r>
            </w:sdtContent>
          </w:sdt>
          <w:r>
            <w:tab/>
          </w:r>
          <w:bookmarkStart w:id="9" w:name="_Toc15690_WPSOffice_Level2Page"/>
          <w:r>
            <w:t>7</w:t>
          </w:r>
          <w:bookmarkEnd w:id="9"/>
          <w:r>
            <w:fldChar w:fldCharType="end"/>
          </w:r>
        </w:p>
        <w:p>
          <w:pPr>
            <w:pStyle w:val="13"/>
            <w:tabs>
              <w:tab w:val="right" w:leader="dot" w:pos="8640"/>
            </w:tabs>
          </w:pPr>
          <w:r>
            <w:fldChar w:fldCharType="begin"/>
          </w:r>
          <w:r>
            <w:instrText xml:space="preserve"> HYPERLINK \l _Toc5341_WPSOffice_Level2 </w:instrText>
          </w:r>
          <w:r>
            <w:fldChar w:fldCharType="separate"/>
          </w:r>
          <w:sdt>
            <w:sdtPr>
              <w:rPr>
                <w:rFonts w:hint="default" w:ascii="仿宋_GB2312" w:eastAsia="仿宋_GB2312" w:hAnsiTheme="minorHAnsi" w:cstheme="minorBidi"/>
                <w:kern w:val="0"/>
                <w:sz w:val="30"/>
              </w:rPr>
              <w:id w:val="147472076"/>
              <w:placeholder>
                <w:docPart w:val="{2582a388-91ef-4940-9137-0ed09703497f}"/>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六、一般公共预算财政拨款基本支出决算情况说明</w:t>
              </w:r>
            </w:sdtContent>
          </w:sdt>
          <w:r>
            <w:tab/>
          </w:r>
          <w:bookmarkStart w:id="10" w:name="_Toc5341_WPSOffice_Level2Page"/>
          <w:r>
            <w:t>11</w:t>
          </w:r>
          <w:bookmarkEnd w:id="10"/>
          <w:r>
            <w:fldChar w:fldCharType="end"/>
          </w:r>
        </w:p>
        <w:p>
          <w:pPr>
            <w:pStyle w:val="13"/>
            <w:tabs>
              <w:tab w:val="right" w:leader="dot" w:pos="8640"/>
            </w:tabs>
          </w:pPr>
          <w:r>
            <w:fldChar w:fldCharType="begin"/>
          </w:r>
          <w:r>
            <w:instrText xml:space="preserve"> HYPERLINK \l _Toc29786_WPSOffice_Level2 </w:instrText>
          </w:r>
          <w:r>
            <w:fldChar w:fldCharType="separate"/>
          </w:r>
          <w:sdt>
            <w:sdtPr>
              <w:rPr>
                <w:rFonts w:hint="default" w:ascii="仿宋_GB2312" w:eastAsia="仿宋_GB2312" w:hAnsiTheme="minorHAnsi" w:cstheme="minorBidi"/>
                <w:kern w:val="0"/>
                <w:sz w:val="30"/>
              </w:rPr>
              <w:id w:val="147472076"/>
              <w:placeholder>
                <w:docPart w:val="{140f21ac-96ad-43e8-9ff3-3cc2ad7649cd}"/>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七、</w:t>
              </w:r>
              <w:r>
                <w:rPr>
                  <w:rFonts w:hint="default" w:ascii="黑体" w:hAnsi="黑体" w:eastAsia="黑体" w:cstheme="minorBidi"/>
                </w:rPr>
                <w:t>“</w:t>
              </w:r>
              <w:r>
                <w:rPr>
                  <w:rFonts w:hint="eastAsia" w:ascii="黑体" w:hAnsi="黑体" w:eastAsia="黑体" w:cstheme="minorBidi"/>
                </w:rPr>
                <w:t>三公</w:t>
              </w:r>
              <w:r>
                <w:rPr>
                  <w:rFonts w:hint="default" w:ascii="黑体" w:hAnsi="黑体" w:eastAsia="黑体" w:cstheme="minorBidi"/>
                </w:rPr>
                <w:t>”</w:t>
              </w:r>
              <w:r>
                <w:rPr>
                  <w:rFonts w:hint="eastAsia" w:ascii="黑体" w:hAnsi="黑体" w:eastAsia="黑体" w:cstheme="minorBidi"/>
                </w:rPr>
                <w:t>经费财政拨款支出决算情况说明</w:t>
              </w:r>
            </w:sdtContent>
          </w:sdt>
          <w:r>
            <w:tab/>
          </w:r>
          <w:bookmarkStart w:id="11" w:name="_Toc29786_WPSOffice_Level2Page"/>
          <w:r>
            <w:t>12</w:t>
          </w:r>
          <w:bookmarkEnd w:id="11"/>
          <w:r>
            <w:fldChar w:fldCharType="end"/>
          </w:r>
        </w:p>
        <w:p>
          <w:pPr>
            <w:pStyle w:val="13"/>
            <w:tabs>
              <w:tab w:val="right" w:leader="dot" w:pos="8640"/>
            </w:tabs>
          </w:pPr>
          <w:r>
            <w:fldChar w:fldCharType="begin"/>
          </w:r>
          <w:r>
            <w:instrText xml:space="preserve"> HYPERLINK \l _Toc9463_WPSOffice_Level2 </w:instrText>
          </w:r>
          <w:r>
            <w:fldChar w:fldCharType="separate"/>
          </w:r>
          <w:sdt>
            <w:sdtPr>
              <w:rPr>
                <w:rFonts w:hint="default" w:ascii="仿宋_GB2312" w:eastAsia="仿宋_GB2312" w:hAnsiTheme="minorHAnsi" w:cstheme="minorBidi"/>
                <w:kern w:val="0"/>
                <w:sz w:val="30"/>
              </w:rPr>
              <w:id w:val="147472076"/>
              <w:placeholder>
                <w:docPart w:val="{815af14f-e06d-4e76-a84a-fc7b63b70372}"/>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八、政府性基金预算支出决算情况说明</w:t>
              </w:r>
            </w:sdtContent>
          </w:sdt>
          <w:r>
            <w:tab/>
          </w:r>
          <w:bookmarkStart w:id="12" w:name="_Toc9463_WPSOffice_Level2Page"/>
          <w:r>
            <w:t>14</w:t>
          </w:r>
          <w:bookmarkEnd w:id="12"/>
          <w:r>
            <w:fldChar w:fldCharType="end"/>
          </w:r>
        </w:p>
        <w:p>
          <w:pPr>
            <w:pStyle w:val="13"/>
            <w:tabs>
              <w:tab w:val="right" w:leader="dot" w:pos="8640"/>
            </w:tabs>
          </w:pPr>
          <w:r>
            <w:fldChar w:fldCharType="begin"/>
          </w:r>
          <w:r>
            <w:instrText xml:space="preserve"> HYPERLINK \l _Toc24793_WPSOffice_Level2 </w:instrText>
          </w:r>
          <w:r>
            <w:fldChar w:fldCharType="separate"/>
          </w:r>
          <w:sdt>
            <w:sdtPr>
              <w:rPr>
                <w:rFonts w:hint="default" w:ascii="仿宋_GB2312" w:eastAsia="仿宋_GB2312" w:hAnsiTheme="minorHAnsi" w:cstheme="minorBidi"/>
                <w:kern w:val="0"/>
                <w:sz w:val="30"/>
              </w:rPr>
              <w:id w:val="147472076"/>
              <w:placeholder>
                <w:docPart w:val="{e6f81194-1d13-4e3a-b83e-47d1935b0476}"/>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九、国有资本经营预算支出决算情况说明</w:t>
              </w:r>
            </w:sdtContent>
          </w:sdt>
          <w:r>
            <w:tab/>
          </w:r>
          <w:bookmarkStart w:id="13" w:name="_Toc24793_WPSOffice_Level2Page"/>
          <w:r>
            <w:t>15</w:t>
          </w:r>
          <w:bookmarkEnd w:id="13"/>
          <w:r>
            <w:fldChar w:fldCharType="end"/>
          </w:r>
        </w:p>
        <w:p>
          <w:pPr>
            <w:pStyle w:val="13"/>
            <w:tabs>
              <w:tab w:val="right" w:leader="dot" w:pos="8640"/>
            </w:tabs>
          </w:pPr>
          <w:r>
            <w:fldChar w:fldCharType="begin"/>
          </w:r>
          <w:r>
            <w:instrText xml:space="preserve"> HYPERLINK \l _Toc21300_WPSOffice_Level2 </w:instrText>
          </w:r>
          <w:r>
            <w:fldChar w:fldCharType="separate"/>
          </w:r>
          <w:sdt>
            <w:sdtPr>
              <w:rPr>
                <w:rFonts w:hint="default" w:ascii="仿宋_GB2312" w:eastAsia="仿宋_GB2312" w:hAnsiTheme="minorHAnsi" w:cstheme="minorBidi"/>
                <w:kern w:val="0"/>
                <w:sz w:val="30"/>
              </w:rPr>
              <w:id w:val="147472076"/>
              <w:placeholder>
                <w:docPart w:val="{9062e9f6-4abc-4d45-8be9-3599f66fcdc2}"/>
              </w:placeholder>
            </w:sdtPr>
            <w:sdtEndPr>
              <w:rPr>
                <w:rFonts w:hint="default" w:ascii="仿宋_GB2312" w:eastAsia="仿宋_GB2312" w:hAnsiTheme="minorHAnsi" w:cstheme="minorBidi"/>
                <w:kern w:val="0"/>
                <w:sz w:val="30"/>
              </w:rPr>
            </w:sdtEndPr>
            <w:sdtContent>
              <w:r>
                <w:rPr>
                  <w:rFonts w:hint="eastAsia" w:ascii="黑体" w:hAnsi="黑体" w:eastAsia="黑体" w:cstheme="minorBidi"/>
                </w:rPr>
                <w:t>十、其他重要事项的情况说明</w:t>
              </w:r>
            </w:sdtContent>
          </w:sdt>
          <w:r>
            <w:tab/>
          </w:r>
          <w:bookmarkStart w:id="14" w:name="_Toc21300_WPSOffice_Level2Page"/>
          <w:r>
            <w:t>15</w:t>
          </w:r>
          <w:bookmarkEnd w:id="14"/>
          <w:r>
            <w:fldChar w:fldCharType="end"/>
          </w:r>
        </w:p>
        <w:p>
          <w:pPr>
            <w:pStyle w:val="12"/>
            <w:tabs>
              <w:tab w:val="right" w:leader="dot" w:pos="8640"/>
            </w:tabs>
          </w:pPr>
          <w:r>
            <w:rPr>
              <w:b/>
              <w:bCs/>
            </w:rPr>
            <w:fldChar w:fldCharType="begin"/>
          </w:r>
          <w:r>
            <w:instrText xml:space="preserve"> HYPERLINK \l _Toc1752_WPSOffice_Level1 </w:instrText>
          </w:r>
          <w:r>
            <w:rPr>
              <w:b/>
              <w:bCs/>
            </w:rPr>
            <w:fldChar w:fldCharType="separate"/>
          </w:r>
          <w:sdt>
            <w:sdtPr>
              <w:rPr>
                <w:rFonts w:hint="default" w:ascii="仿宋_GB2312" w:eastAsia="仿宋_GB2312" w:hAnsiTheme="minorHAnsi" w:cstheme="minorBidi"/>
                <w:b/>
                <w:bCs/>
                <w:kern w:val="0"/>
                <w:sz w:val="30"/>
              </w:rPr>
              <w:id w:val="147472076"/>
              <w:placeholder>
                <w:docPart w:val="{ad13c410-da6f-46b6-b320-a4a80cd037b9}"/>
              </w:placeholder>
            </w:sdtPr>
            <w:sdtEndPr>
              <w:rPr>
                <w:rFonts w:hint="default" w:ascii="仿宋_GB2312" w:eastAsia="仿宋_GB2312" w:hAnsiTheme="minorHAnsi" w:cstheme="minorBidi"/>
                <w:b/>
                <w:bCs/>
                <w:kern w:val="0"/>
                <w:sz w:val="30"/>
              </w:rPr>
            </w:sdtEndPr>
            <w:sdtContent>
              <w:r>
                <w:rPr>
                  <w:rFonts w:hint="eastAsia" w:eastAsia="黑体" w:asciiTheme="minorAscii" w:hAnsiTheme="minorAscii" w:cstheme="minorBidi"/>
                  <w:b/>
                  <w:bCs/>
                </w:rPr>
                <w:t>第三部分 名词解释</w:t>
              </w:r>
            </w:sdtContent>
          </w:sdt>
          <w:r>
            <w:rPr>
              <w:b/>
              <w:bCs/>
            </w:rPr>
            <w:tab/>
          </w:r>
          <w:bookmarkStart w:id="15" w:name="_Toc1752_WPSOffice_Level1Page"/>
          <w:r>
            <w:rPr>
              <w:b/>
              <w:bCs/>
            </w:rPr>
            <w:t>16</w:t>
          </w:r>
          <w:bookmarkEnd w:id="15"/>
          <w:r>
            <w:rPr>
              <w:b/>
              <w:bCs/>
            </w:rPr>
            <w:fldChar w:fldCharType="end"/>
          </w:r>
        </w:p>
        <w:p>
          <w:pPr>
            <w:pStyle w:val="12"/>
            <w:tabs>
              <w:tab w:val="right" w:leader="dot" w:pos="8640"/>
            </w:tabs>
          </w:pPr>
          <w:r>
            <w:rPr>
              <w:b/>
              <w:bCs/>
            </w:rPr>
            <w:fldChar w:fldCharType="begin"/>
          </w:r>
          <w:r>
            <w:instrText xml:space="preserve"> HYPERLINK \l _Toc23075_WPSOffice_Level1 </w:instrText>
          </w:r>
          <w:r>
            <w:rPr>
              <w:b/>
              <w:bCs/>
            </w:rPr>
            <w:fldChar w:fldCharType="separate"/>
          </w:r>
          <w:sdt>
            <w:sdtPr>
              <w:rPr>
                <w:rFonts w:hint="default" w:ascii="仿宋_GB2312" w:eastAsia="仿宋_GB2312" w:hAnsiTheme="minorHAnsi" w:cstheme="minorBidi"/>
                <w:b/>
                <w:bCs/>
                <w:kern w:val="0"/>
                <w:sz w:val="30"/>
              </w:rPr>
              <w:id w:val="147472076"/>
              <w:placeholder>
                <w:docPart w:val="{e8624c13-2e71-469e-9be1-51727a57c414}"/>
              </w:placeholder>
            </w:sdtPr>
            <w:sdtEndPr>
              <w:rPr>
                <w:rFonts w:hint="default" w:ascii="仿宋_GB2312" w:eastAsia="仿宋_GB2312" w:hAnsiTheme="minorHAnsi" w:cstheme="minorBidi"/>
                <w:b/>
                <w:bCs/>
                <w:kern w:val="0"/>
                <w:sz w:val="30"/>
              </w:rPr>
            </w:sdtEndPr>
            <w:sdtContent>
              <w:r>
                <w:rPr>
                  <w:rFonts w:hint="eastAsia" w:eastAsia="黑体" w:asciiTheme="minorAscii" w:hAnsiTheme="minorAscii" w:cstheme="minorBidi"/>
                  <w:b/>
                  <w:bCs/>
                </w:rPr>
                <w:t>第四部分 附件</w:t>
              </w:r>
            </w:sdtContent>
          </w:sdt>
          <w:r>
            <w:rPr>
              <w:b/>
              <w:bCs/>
            </w:rPr>
            <w:tab/>
          </w:r>
          <w:bookmarkStart w:id="16" w:name="_Toc23075_WPSOffice_Level1Page"/>
          <w:r>
            <w:rPr>
              <w:b/>
              <w:bCs/>
            </w:rPr>
            <w:t>20</w:t>
          </w:r>
          <w:bookmarkEnd w:id="16"/>
          <w:r>
            <w:rPr>
              <w:b/>
              <w:bCs/>
            </w:rPr>
            <w:fldChar w:fldCharType="end"/>
          </w:r>
        </w:p>
        <w:p>
          <w:pPr>
            <w:pStyle w:val="12"/>
            <w:tabs>
              <w:tab w:val="right" w:leader="dot" w:pos="8640"/>
            </w:tabs>
          </w:pPr>
          <w:r>
            <w:rPr>
              <w:b/>
              <w:bCs/>
            </w:rPr>
            <w:fldChar w:fldCharType="begin"/>
          </w:r>
          <w:r>
            <w:instrText xml:space="preserve"> HYPERLINK \l _Toc14349_WPSOffice_Level1 </w:instrText>
          </w:r>
          <w:r>
            <w:rPr>
              <w:b/>
              <w:bCs/>
            </w:rPr>
            <w:fldChar w:fldCharType="separate"/>
          </w:r>
          <w:sdt>
            <w:sdtPr>
              <w:rPr>
                <w:rFonts w:hint="default" w:ascii="仿宋_GB2312" w:eastAsia="仿宋_GB2312" w:hAnsiTheme="minorHAnsi" w:cstheme="minorBidi"/>
                <w:b/>
                <w:bCs/>
                <w:kern w:val="0"/>
                <w:sz w:val="30"/>
              </w:rPr>
              <w:id w:val="147472076"/>
              <w:placeholder>
                <w:docPart w:val="{a50ad054-2cf6-4641-b9bd-00ed4f153767}"/>
              </w:placeholder>
            </w:sdtPr>
            <w:sdtEndPr>
              <w:rPr>
                <w:rFonts w:hint="default" w:ascii="仿宋_GB2312" w:eastAsia="仿宋_GB2312" w:hAnsiTheme="minorHAnsi" w:cstheme="minorBidi"/>
                <w:b/>
                <w:bCs/>
                <w:kern w:val="0"/>
                <w:sz w:val="30"/>
              </w:rPr>
            </w:sdtEndPr>
            <w:sdtContent>
              <w:r>
                <w:rPr>
                  <w:rFonts w:hint="eastAsia" w:eastAsia="黑体" w:asciiTheme="minorAscii" w:hAnsiTheme="minorAscii" w:cstheme="minorBidi"/>
                  <w:b/>
                  <w:bCs/>
                </w:rPr>
                <w:t>第五部分</w:t>
              </w:r>
              <w:r>
                <w:rPr>
                  <w:rFonts w:hint="default" w:eastAsia="黑体" w:asciiTheme="minorAscii" w:hAnsiTheme="minorAscii" w:cstheme="minorBidi"/>
                  <w:b/>
                  <w:bCs/>
                </w:rPr>
                <w:t xml:space="preserve"> </w:t>
              </w:r>
              <w:r>
                <w:rPr>
                  <w:rFonts w:hint="eastAsia" w:eastAsia="黑体" w:asciiTheme="minorAscii" w:hAnsiTheme="minorAscii" w:cstheme="minorBidi"/>
                  <w:b/>
                  <w:bCs/>
                </w:rPr>
                <w:t>附表</w:t>
              </w:r>
            </w:sdtContent>
          </w:sdt>
          <w:r>
            <w:rPr>
              <w:b/>
              <w:bCs/>
            </w:rPr>
            <w:tab/>
          </w:r>
          <w:bookmarkStart w:id="17" w:name="_Toc14349_WPSOffice_Level1Page"/>
          <w:r>
            <w:rPr>
              <w:b/>
              <w:bCs/>
            </w:rPr>
            <w:t>56</w:t>
          </w:r>
          <w:bookmarkEnd w:id="17"/>
          <w:r>
            <w:rPr>
              <w:b/>
              <w:bCs/>
            </w:rPr>
            <w:fldChar w:fldCharType="end"/>
          </w:r>
        </w:p>
        <w:p>
          <w:pPr>
            <w:pStyle w:val="13"/>
            <w:tabs>
              <w:tab w:val="right" w:leader="dot" w:pos="8640"/>
            </w:tabs>
          </w:pPr>
          <w:r>
            <w:fldChar w:fldCharType="begin"/>
          </w:r>
          <w:r>
            <w:instrText xml:space="preserve"> HYPERLINK \l _Toc26606_WPSOffice_Level2 </w:instrText>
          </w:r>
          <w:r>
            <w:fldChar w:fldCharType="separate"/>
          </w:r>
          <w:sdt>
            <w:sdtPr>
              <w:rPr>
                <w:rFonts w:hint="default" w:ascii="仿宋_GB2312" w:eastAsia="仿宋_GB2312" w:hAnsiTheme="minorHAnsi" w:cstheme="minorBidi"/>
                <w:kern w:val="0"/>
                <w:sz w:val="30"/>
              </w:rPr>
              <w:id w:val="147472076"/>
              <w:placeholder>
                <w:docPart w:val="{43975ecc-4da0-4fd5-bd73-6f989c70b7d9}"/>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一、收入支出决算总表</w:t>
              </w:r>
            </w:sdtContent>
          </w:sdt>
          <w:r>
            <w:tab/>
          </w:r>
          <w:bookmarkStart w:id="18" w:name="_Toc26606_WPSOffice_Level2Page"/>
          <w:r>
            <w:t>56</w:t>
          </w:r>
          <w:bookmarkEnd w:id="18"/>
          <w:r>
            <w:fldChar w:fldCharType="end"/>
          </w:r>
        </w:p>
        <w:p>
          <w:pPr>
            <w:pStyle w:val="13"/>
            <w:tabs>
              <w:tab w:val="right" w:leader="dot" w:pos="8640"/>
            </w:tabs>
          </w:pPr>
          <w:r>
            <w:fldChar w:fldCharType="begin"/>
          </w:r>
          <w:r>
            <w:instrText xml:space="preserve"> HYPERLINK \l _Toc13679_WPSOffice_Level2 </w:instrText>
          </w:r>
          <w:r>
            <w:fldChar w:fldCharType="separate"/>
          </w:r>
          <w:sdt>
            <w:sdtPr>
              <w:rPr>
                <w:rFonts w:hint="default" w:ascii="仿宋_GB2312" w:eastAsia="仿宋_GB2312" w:hAnsiTheme="minorHAnsi" w:cstheme="minorBidi"/>
                <w:kern w:val="0"/>
                <w:sz w:val="30"/>
              </w:rPr>
              <w:id w:val="147472076"/>
              <w:placeholder>
                <w:docPart w:val="{56fb4d52-02c5-442a-a314-c516845df37d}"/>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二、收入决算表</w:t>
              </w:r>
            </w:sdtContent>
          </w:sdt>
          <w:r>
            <w:tab/>
          </w:r>
          <w:bookmarkStart w:id="19" w:name="_Toc13679_WPSOffice_Level2Page"/>
          <w:r>
            <w:t>56</w:t>
          </w:r>
          <w:bookmarkEnd w:id="19"/>
          <w:r>
            <w:fldChar w:fldCharType="end"/>
          </w:r>
        </w:p>
        <w:p>
          <w:pPr>
            <w:pStyle w:val="13"/>
            <w:tabs>
              <w:tab w:val="right" w:leader="dot" w:pos="8640"/>
            </w:tabs>
          </w:pPr>
          <w:r>
            <w:fldChar w:fldCharType="begin"/>
          </w:r>
          <w:r>
            <w:instrText xml:space="preserve"> HYPERLINK \l _Toc3138_WPSOffice_Level2 </w:instrText>
          </w:r>
          <w:r>
            <w:fldChar w:fldCharType="separate"/>
          </w:r>
          <w:sdt>
            <w:sdtPr>
              <w:rPr>
                <w:rFonts w:hint="default" w:ascii="仿宋_GB2312" w:eastAsia="仿宋_GB2312" w:hAnsiTheme="minorHAnsi" w:cstheme="minorBidi"/>
                <w:kern w:val="0"/>
                <w:sz w:val="30"/>
              </w:rPr>
              <w:id w:val="147472076"/>
              <w:placeholder>
                <w:docPart w:val="{fb4af504-b21d-4e33-99f1-49879527a2db}"/>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三、支出决算表</w:t>
              </w:r>
            </w:sdtContent>
          </w:sdt>
          <w:r>
            <w:tab/>
          </w:r>
          <w:bookmarkStart w:id="20" w:name="_Toc3138_WPSOffice_Level2Page"/>
          <w:r>
            <w:t>56</w:t>
          </w:r>
          <w:bookmarkEnd w:id="20"/>
          <w:r>
            <w:fldChar w:fldCharType="end"/>
          </w:r>
        </w:p>
        <w:p>
          <w:pPr>
            <w:pStyle w:val="13"/>
            <w:tabs>
              <w:tab w:val="right" w:leader="dot" w:pos="8640"/>
            </w:tabs>
          </w:pPr>
          <w:r>
            <w:fldChar w:fldCharType="begin"/>
          </w:r>
          <w:r>
            <w:instrText xml:space="preserve"> HYPERLINK \l _Toc7990_WPSOffice_Level2 </w:instrText>
          </w:r>
          <w:r>
            <w:fldChar w:fldCharType="separate"/>
          </w:r>
          <w:sdt>
            <w:sdtPr>
              <w:rPr>
                <w:rFonts w:hint="default" w:ascii="仿宋_GB2312" w:eastAsia="仿宋_GB2312" w:hAnsiTheme="minorHAnsi" w:cstheme="minorBidi"/>
                <w:kern w:val="0"/>
                <w:sz w:val="30"/>
              </w:rPr>
              <w:id w:val="147472076"/>
              <w:placeholder>
                <w:docPart w:val="{8604b781-ee40-4a64-9dfb-353d87ad1678}"/>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四、财政拨款收入支出决算总表</w:t>
              </w:r>
            </w:sdtContent>
          </w:sdt>
          <w:r>
            <w:tab/>
          </w:r>
          <w:bookmarkStart w:id="21" w:name="_Toc7990_WPSOffice_Level2Page"/>
          <w:r>
            <w:t>56</w:t>
          </w:r>
          <w:bookmarkEnd w:id="21"/>
          <w:r>
            <w:fldChar w:fldCharType="end"/>
          </w:r>
        </w:p>
        <w:p>
          <w:pPr>
            <w:pStyle w:val="13"/>
            <w:tabs>
              <w:tab w:val="right" w:leader="dot" w:pos="8640"/>
            </w:tabs>
          </w:pPr>
          <w:r>
            <w:fldChar w:fldCharType="begin"/>
          </w:r>
          <w:r>
            <w:instrText xml:space="preserve"> HYPERLINK \l _Toc24517_WPSOffice_Level2 </w:instrText>
          </w:r>
          <w:r>
            <w:fldChar w:fldCharType="separate"/>
          </w:r>
          <w:sdt>
            <w:sdtPr>
              <w:rPr>
                <w:rFonts w:hint="default" w:ascii="仿宋_GB2312" w:eastAsia="仿宋_GB2312" w:hAnsiTheme="minorHAnsi" w:cstheme="minorBidi"/>
                <w:kern w:val="0"/>
                <w:sz w:val="30"/>
              </w:rPr>
              <w:id w:val="147472076"/>
              <w:placeholder>
                <w:docPart w:val="{747d1901-7476-4895-921f-adbd23df1b8d}"/>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五、财政拨款支出决算明细表</w:t>
              </w:r>
            </w:sdtContent>
          </w:sdt>
          <w:r>
            <w:tab/>
          </w:r>
          <w:bookmarkStart w:id="22" w:name="_Toc24517_WPSOffice_Level2Page"/>
          <w:r>
            <w:t>56</w:t>
          </w:r>
          <w:bookmarkEnd w:id="22"/>
          <w:r>
            <w:fldChar w:fldCharType="end"/>
          </w:r>
        </w:p>
        <w:p>
          <w:pPr>
            <w:pStyle w:val="13"/>
            <w:tabs>
              <w:tab w:val="right" w:leader="dot" w:pos="8640"/>
            </w:tabs>
          </w:pPr>
          <w:r>
            <w:fldChar w:fldCharType="begin"/>
          </w:r>
          <w:r>
            <w:instrText xml:space="preserve"> HYPERLINK \l _Toc12997_WPSOffice_Level2 </w:instrText>
          </w:r>
          <w:r>
            <w:fldChar w:fldCharType="separate"/>
          </w:r>
          <w:sdt>
            <w:sdtPr>
              <w:rPr>
                <w:rFonts w:hint="default" w:ascii="仿宋_GB2312" w:eastAsia="仿宋_GB2312" w:hAnsiTheme="minorHAnsi" w:cstheme="minorBidi"/>
                <w:kern w:val="0"/>
                <w:sz w:val="30"/>
              </w:rPr>
              <w:id w:val="147472076"/>
              <w:placeholder>
                <w:docPart w:val="{6f34f94f-c958-4af1-af18-cc322b96f2f6}"/>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六、一般公共预算财政拨款支出决算表</w:t>
              </w:r>
            </w:sdtContent>
          </w:sdt>
          <w:r>
            <w:tab/>
          </w:r>
          <w:bookmarkStart w:id="23" w:name="_Toc12997_WPSOffice_Level2Page"/>
          <w:r>
            <w:t>56</w:t>
          </w:r>
          <w:bookmarkEnd w:id="23"/>
          <w:r>
            <w:fldChar w:fldCharType="end"/>
          </w:r>
        </w:p>
        <w:p>
          <w:pPr>
            <w:pStyle w:val="13"/>
            <w:tabs>
              <w:tab w:val="right" w:leader="dot" w:pos="8640"/>
            </w:tabs>
          </w:pPr>
          <w:r>
            <w:fldChar w:fldCharType="begin"/>
          </w:r>
          <w:r>
            <w:instrText xml:space="preserve"> HYPERLINK \l _Toc14573_WPSOffice_Level2 </w:instrText>
          </w:r>
          <w:r>
            <w:fldChar w:fldCharType="separate"/>
          </w:r>
          <w:sdt>
            <w:sdtPr>
              <w:rPr>
                <w:rFonts w:hint="default" w:ascii="仿宋_GB2312" w:eastAsia="仿宋_GB2312" w:hAnsiTheme="minorHAnsi" w:cstheme="minorBidi"/>
                <w:kern w:val="0"/>
                <w:sz w:val="30"/>
              </w:rPr>
              <w:id w:val="147472076"/>
              <w:placeholder>
                <w:docPart w:val="{87c09e8a-cf18-45c3-94bb-74b37a1a4ae3}"/>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七、一般公共预算财政拨款支出决算明细表</w:t>
              </w:r>
            </w:sdtContent>
          </w:sdt>
          <w:r>
            <w:tab/>
          </w:r>
          <w:bookmarkStart w:id="24" w:name="_Toc14573_WPSOffice_Level2Page"/>
          <w:r>
            <w:t>56</w:t>
          </w:r>
          <w:bookmarkEnd w:id="24"/>
          <w:r>
            <w:fldChar w:fldCharType="end"/>
          </w:r>
        </w:p>
        <w:p>
          <w:pPr>
            <w:pStyle w:val="13"/>
            <w:tabs>
              <w:tab w:val="right" w:leader="dot" w:pos="8640"/>
            </w:tabs>
          </w:pPr>
          <w:r>
            <w:fldChar w:fldCharType="begin"/>
          </w:r>
          <w:r>
            <w:instrText xml:space="preserve"> HYPERLINK \l _Toc12653_WPSOffice_Level2 </w:instrText>
          </w:r>
          <w:r>
            <w:fldChar w:fldCharType="separate"/>
          </w:r>
          <w:sdt>
            <w:sdtPr>
              <w:rPr>
                <w:rFonts w:hint="default" w:ascii="仿宋_GB2312" w:eastAsia="仿宋_GB2312" w:hAnsiTheme="minorHAnsi" w:cstheme="minorBidi"/>
                <w:kern w:val="0"/>
                <w:sz w:val="30"/>
              </w:rPr>
              <w:id w:val="147472076"/>
              <w:placeholder>
                <w:docPart w:val="{9d4bef33-2032-4796-a7d7-6b0157a49176}"/>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八、一般公共预算财政拨款基本支出决算表</w:t>
              </w:r>
            </w:sdtContent>
          </w:sdt>
          <w:r>
            <w:tab/>
          </w:r>
          <w:bookmarkStart w:id="25" w:name="_Toc12653_WPSOffice_Level2Page"/>
          <w:r>
            <w:t>56</w:t>
          </w:r>
          <w:bookmarkEnd w:id="25"/>
          <w:r>
            <w:fldChar w:fldCharType="end"/>
          </w:r>
        </w:p>
        <w:p>
          <w:pPr>
            <w:pStyle w:val="13"/>
            <w:tabs>
              <w:tab w:val="right" w:leader="dot" w:pos="8640"/>
            </w:tabs>
          </w:pPr>
          <w:r>
            <w:fldChar w:fldCharType="begin"/>
          </w:r>
          <w:r>
            <w:instrText xml:space="preserve"> HYPERLINK \l _Toc19888_WPSOffice_Level2 </w:instrText>
          </w:r>
          <w:r>
            <w:fldChar w:fldCharType="separate"/>
          </w:r>
          <w:sdt>
            <w:sdtPr>
              <w:rPr>
                <w:rFonts w:hint="default" w:ascii="仿宋_GB2312" w:eastAsia="仿宋_GB2312" w:hAnsiTheme="minorHAnsi" w:cstheme="minorBidi"/>
                <w:kern w:val="0"/>
                <w:sz w:val="30"/>
              </w:rPr>
              <w:id w:val="147472076"/>
              <w:placeholder>
                <w:docPart w:val="{a0e61d56-e71b-4974-8422-1da383b2ef91}"/>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九、一般公共预算财政拨款项目支出决算表</w:t>
              </w:r>
            </w:sdtContent>
          </w:sdt>
          <w:r>
            <w:tab/>
          </w:r>
          <w:bookmarkStart w:id="26" w:name="_Toc19888_WPSOffice_Level2Page"/>
          <w:r>
            <w:t>56</w:t>
          </w:r>
          <w:bookmarkEnd w:id="26"/>
          <w:r>
            <w:fldChar w:fldCharType="end"/>
          </w:r>
        </w:p>
        <w:p>
          <w:pPr>
            <w:pStyle w:val="13"/>
            <w:tabs>
              <w:tab w:val="right" w:leader="dot" w:pos="8640"/>
            </w:tabs>
          </w:pPr>
          <w:r>
            <w:fldChar w:fldCharType="begin"/>
          </w:r>
          <w:r>
            <w:instrText xml:space="preserve"> HYPERLINK \l _Toc13200_WPSOffice_Level2 </w:instrText>
          </w:r>
          <w:r>
            <w:fldChar w:fldCharType="separate"/>
          </w:r>
          <w:sdt>
            <w:sdtPr>
              <w:rPr>
                <w:rFonts w:hint="default" w:ascii="仿宋_GB2312" w:eastAsia="仿宋_GB2312" w:hAnsiTheme="minorHAnsi" w:cstheme="minorBidi"/>
                <w:kern w:val="0"/>
                <w:sz w:val="30"/>
              </w:rPr>
              <w:id w:val="147472076"/>
              <w:placeholder>
                <w:docPart w:val="{44196860-4331-4575-b917-7c40fa5c0801}"/>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十、政府性基金预算财政拨款收入支出决算表</w:t>
              </w:r>
            </w:sdtContent>
          </w:sdt>
          <w:r>
            <w:tab/>
          </w:r>
          <w:bookmarkStart w:id="27" w:name="_Toc13200_WPSOffice_Level2Page"/>
          <w:r>
            <w:t>56</w:t>
          </w:r>
          <w:bookmarkEnd w:id="27"/>
          <w:r>
            <w:fldChar w:fldCharType="end"/>
          </w:r>
        </w:p>
        <w:p>
          <w:pPr>
            <w:pStyle w:val="13"/>
            <w:tabs>
              <w:tab w:val="right" w:leader="dot" w:pos="8640"/>
            </w:tabs>
          </w:pPr>
          <w:r>
            <w:fldChar w:fldCharType="begin"/>
          </w:r>
          <w:r>
            <w:instrText xml:space="preserve"> HYPERLINK \l _Toc11813_WPSOffice_Level2 </w:instrText>
          </w:r>
          <w:r>
            <w:fldChar w:fldCharType="separate"/>
          </w:r>
          <w:sdt>
            <w:sdtPr>
              <w:rPr>
                <w:rFonts w:hint="default" w:ascii="仿宋_GB2312" w:eastAsia="仿宋_GB2312" w:hAnsiTheme="minorHAnsi" w:cstheme="minorBidi"/>
                <w:kern w:val="0"/>
                <w:sz w:val="30"/>
              </w:rPr>
              <w:id w:val="147472076"/>
              <w:placeholder>
                <w:docPart w:val="{b531909b-f9e5-40a8-93df-215d0ed1f0d2}"/>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十一、国有资本经营预算财政拨款收入支出决算表</w:t>
              </w:r>
            </w:sdtContent>
          </w:sdt>
          <w:r>
            <w:tab/>
          </w:r>
          <w:bookmarkStart w:id="28" w:name="_Toc11813_WPSOffice_Level2Page"/>
          <w:r>
            <w:t>56</w:t>
          </w:r>
          <w:bookmarkEnd w:id="28"/>
          <w:r>
            <w:fldChar w:fldCharType="end"/>
          </w:r>
        </w:p>
        <w:p>
          <w:pPr>
            <w:pStyle w:val="13"/>
            <w:tabs>
              <w:tab w:val="right" w:leader="dot" w:pos="8640"/>
            </w:tabs>
          </w:pPr>
          <w:r>
            <w:fldChar w:fldCharType="begin"/>
          </w:r>
          <w:r>
            <w:instrText xml:space="preserve"> HYPERLINK \l _Toc25915_WPSOffice_Level2 </w:instrText>
          </w:r>
          <w:r>
            <w:fldChar w:fldCharType="separate"/>
          </w:r>
          <w:sdt>
            <w:sdtPr>
              <w:rPr>
                <w:rFonts w:hint="default" w:ascii="仿宋_GB2312" w:eastAsia="仿宋_GB2312" w:hAnsiTheme="minorHAnsi" w:cstheme="minorBidi"/>
                <w:kern w:val="0"/>
                <w:sz w:val="30"/>
              </w:rPr>
              <w:id w:val="147472076"/>
              <w:placeholder>
                <w:docPart w:val="{7296e7d4-9736-41b8-ac89-c021d80d96bc}"/>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十二、国有资本经营预算财政拨款支出决算表</w:t>
              </w:r>
            </w:sdtContent>
          </w:sdt>
          <w:r>
            <w:tab/>
          </w:r>
          <w:bookmarkStart w:id="29" w:name="_Toc25915_WPSOffice_Level2Page"/>
          <w:r>
            <w:t>56</w:t>
          </w:r>
          <w:bookmarkEnd w:id="29"/>
          <w:r>
            <w:fldChar w:fldCharType="end"/>
          </w:r>
        </w:p>
        <w:p>
          <w:pPr>
            <w:pStyle w:val="13"/>
            <w:tabs>
              <w:tab w:val="right" w:leader="dot" w:pos="8640"/>
            </w:tabs>
          </w:pPr>
          <w:r>
            <w:fldChar w:fldCharType="begin"/>
          </w:r>
          <w:r>
            <w:instrText xml:space="preserve"> HYPERLINK \l _Toc2349_WPSOffice_Level2 </w:instrText>
          </w:r>
          <w:r>
            <w:fldChar w:fldCharType="separate"/>
          </w:r>
          <w:sdt>
            <w:sdtPr>
              <w:rPr>
                <w:rFonts w:hint="default" w:ascii="仿宋_GB2312" w:eastAsia="仿宋_GB2312" w:hAnsiTheme="minorHAnsi" w:cstheme="minorBidi"/>
                <w:kern w:val="0"/>
                <w:sz w:val="30"/>
              </w:rPr>
              <w:id w:val="147472076"/>
              <w:placeholder>
                <w:docPart w:val="{24163a96-4563-4949-8246-a74ab9dd76e0}"/>
              </w:placeholder>
            </w:sdtPr>
            <w:sdtEndPr>
              <w:rPr>
                <w:rFonts w:hint="default" w:ascii="仿宋_GB2312" w:eastAsia="仿宋_GB2312" w:hAnsiTheme="minorHAnsi" w:cstheme="minorBidi"/>
                <w:kern w:val="0"/>
                <w:sz w:val="30"/>
              </w:rPr>
            </w:sdtEndPr>
            <w:sdtContent>
              <w:r>
                <w:rPr>
                  <w:rFonts w:hint="eastAsia" w:eastAsia="仿宋" w:asciiTheme="minorAscii" w:hAnsiTheme="minorAscii" w:cstheme="minorBidi"/>
                </w:rPr>
                <w:t>十三、财政拨款</w:t>
              </w:r>
              <w:r>
                <w:rPr>
                  <w:rFonts w:hint="default" w:eastAsia="仿宋" w:asciiTheme="minorAscii" w:hAnsiTheme="minorAscii" w:cstheme="minorBidi"/>
                </w:rPr>
                <w:t>“</w:t>
              </w:r>
              <w:r>
                <w:rPr>
                  <w:rFonts w:hint="eastAsia" w:eastAsia="仿宋" w:asciiTheme="minorAscii" w:hAnsiTheme="minorAscii" w:cstheme="minorBidi"/>
                </w:rPr>
                <w:t>三公</w:t>
              </w:r>
              <w:r>
                <w:rPr>
                  <w:rFonts w:hint="default" w:eastAsia="仿宋" w:asciiTheme="minorAscii" w:hAnsiTheme="minorAscii" w:cstheme="minorBidi"/>
                </w:rPr>
                <w:t>”</w:t>
              </w:r>
              <w:r>
                <w:rPr>
                  <w:rFonts w:hint="eastAsia" w:eastAsia="仿宋" w:asciiTheme="minorAscii" w:hAnsiTheme="minorAscii" w:cstheme="minorBidi"/>
                </w:rPr>
                <w:t>经费支出决算表</w:t>
              </w:r>
            </w:sdtContent>
          </w:sdt>
          <w:r>
            <w:tab/>
          </w:r>
          <w:bookmarkStart w:id="30" w:name="_Toc2349_WPSOffice_Level2Page"/>
          <w:r>
            <w:t>56</w:t>
          </w:r>
          <w:bookmarkEnd w:id="30"/>
          <w:r>
            <w:fldChar w:fldCharType="end"/>
          </w:r>
          <w:bookmarkEnd w:id="0"/>
        </w:p>
      </w:sdtContent>
    </w:sdt>
    <w:p>
      <w:pPr>
        <w:pStyle w:val="2"/>
        <w:rPr>
          <w:rFonts w:hint="eastAsia"/>
          <w:lang w:val="zh-CN"/>
        </w:rPr>
        <w:sectPr>
          <w:pgSz w:w="12240" w:h="15840"/>
          <w:pgMar w:top="1440" w:right="1800" w:bottom="1440" w:left="1800" w:header="720" w:footer="720" w:gutter="0"/>
          <w:lnNumType w:countBy="0" w:distance="360"/>
          <w:cols w:space="720" w:num="1"/>
          <w:docGrid w:type="lines" w:linePitch="312" w:charSpace="0"/>
        </w:sectPr>
      </w:pPr>
    </w:p>
    <w:p>
      <w:pPr>
        <w:pStyle w:val="2"/>
        <w:rPr>
          <w:rFonts w:hint="eastAsia"/>
          <w:lang w:val="zh-CN"/>
        </w:rPr>
      </w:pPr>
    </w:p>
    <w:p>
      <w:pPr>
        <w:pStyle w:val="3"/>
        <w:keepNext/>
        <w:keepLines/>
        <w:spacing w:before="340" w:beforeLines="0" w:after="330" w:afterLines="0" w:line="576" w:lineRule="exact"/>
        <w:ind w:right="442" w:firstLine="880"/>
        <w:jc w:val="center"/>
        <w:rPr>
          <w:rFonts w:hint="eastAsia" w:ascii="黑体" w:hAnsi="黑体" w:eastAsia="黑体"/>
          <w:color w:val="000000"/>
          <w:kern w:val="44"/>
          <w:sz w:val="44"/>
          <w:szCs w:val="22"/>
          <w:lang w:val="zh-CN"/>
        </w:rPr>
      </w:pPr>
      <w:bookmarkStart w:id="31" w:name="_Toc27043_WPSOffice_Level1"/>
      <w:r>
        <w:rPr>
          <w:rFonts w:hint="eastAsia" w:ascii="黑体" w:hAnsi="黑体" w:eastAsia="黑体"/>
          <w:color w:val="000000"/>
          <w:kern w:val="44"/>
          <w:sz w:val="44"/>
          <w:szCs w:val="22"/>
          <w:lang w:val="zh-CN"/>
        </w:rPr>
        <w:t>第一部分 单位概况</w:t>
      </w:r>
      <w:bookmarkEnd w:id="31"/>
    </w:p>
    <w:p>
      <w:pPr>
        <w:pStyle w:val="4"/>
        <w:keepNext/>
        <w:keepLines/>
        <w:spacing w:before="260" w:beforeLines="0" w:after="260" w:afterLines="0" w:line="576" w:lineRule="exact"/>
        <w:ind w:firstLine="640"/>
        <w:jc w:val="both"/>
        <w:rPr>
          <w:rFonts w:hint="eastAsia" w:ascii="黑体" w:hAnsi="黑体" w:eastAsia="黑体"/>
          <w:color w:val="auto"/>
          <w:kern w:val="2"/>
          <w:sz w:val="32"/>
          <w:lang w:val="zh-CN"/>
        </w:rPr>
      </w:pPr>
      <w:bookmarkStart w:id="32" w:name="_Toc6772_WPSOffice_Level2"/>
      <w:r>
        <w:rPr>
          <w:rFonts w:hint="eastAsia" w:ascii="黑体" w:hAnsi="黑体" w:eastAsia="黑体"/>
          <w:color w:val="000000"/>
          <w:kern w:val="2"/>
          <w:sz w:val="32"/>
          <w:lang w:val="zh-CN"/>
        </w:rPr>
        <w:t>一、主要</w:t>
      </w:r>
      <w:r>
        <w:rPr>
          <w:rFonts w:hint="eastAsia" w:ascii="黑体" w:hAnsi="黑体" w:eastAsia="黑体"/>
          <w:color w:val="auto"/>
          <w:kern w:val="2"/>
          <w:sz w:val="32"/>
          <w:lang w:val="zh-CN"/>
        </w:rPr>
        <w:t>职责</w:t>
      </w:r>
      <w:bookmarkEnd w:id="32"/>
    </w:p>
    <w:p>
      <w:pPr>
        <w:widowControl/>
        <w:spacing w:before="150" w:after="150" w:line="36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贯彻执行国家、省、市有关交通运输行业的方针、政策和法律、法规、规章及行政规范性文件上。组织拟定并监督实施全县公路、水路等行业规划，会同有关部门组织编制综合运输体系规划，参与拟订物流业发展战略和规划。</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负责本系统、本部门依法行政工作，落实行政执法责任制。指导公路、水路行业有关体制改革工作。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承担公路、水路交通运输市场监管责任，指导城乡客运管理工作，指导出租汽车行业管理工作，会同有关部门制定运输价格。</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承担水上交通安全监管责任。负责船员管理相关工作。指导水上交通安全事故、船舶及相关水上设施污染事故的应急处置，依法组织或参与事故调查处理工作。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提出公路、水路固定资产投资规模和方向、县财政性资金安排建议，按照规定权限审批、核准国家、省规划内和年度计划规模内固定资产投资项目。会同有关部门拟订公路、水路有关规费政策并监督实施，提出有关财政、土地、价格等政策建议。指导交通运输行业审计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公路、水路建设市场监管责任。组织协调公路、水路有关重点工程质量、安全生产监督管理工作；负责对交通行业和产业项目的招投标活动的监督；按规定负责码头、渡改桥规划工作，指导交通运输行业特许经营管理；会同有关部门组织实施交通运输行业资格管理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负责全县公路、水路交通建设（含客货运输和旅游运输场站建设）行业管理，维护交通建设行业平等竞争秩序。组织实施国家和省、市、县重点公路、水路工程建设，监督全县地方交通建设项目实施。</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负责全公路、水路设施的维护和路产、路权及路政管理工作。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指导公路、水路行业安全生产和应急管理工作。按规定组织协调国家、省、市、县重点物资和紧急客货运输，组织协调地方交通战备工作，承担国防动员有关工作。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贯彻执行交通运输科技政策，推广新的科技项目，加强行业科技创新和进步，指导公路、水路行业环境保护和节能减排工作。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指导交通行业的体制改革和交通特许经营企业的管理，建立健全规范的交通行业财务管理与会计核算体系，监督管理县属交通行业国有资产。</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负责公路、水路有关涉外工作，开展对外经济技术交流与合作，指导全县交通运输行业招商引资和利用外资工作。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承担县政府公布的有关行政审批及公共服务事项。</w:t>
      </w:r>
    </w:p>
    <w:p>
      <w:pPr>
        <w:pStyle w:val="4"/>
        <w:keepNext/>
        <w:keepLines/>
        <w:spacing w:before="260" w:beforeLines="0" w:after="260" w:afterLines="0" w:line="576" w:lineRule="exact"/>
        <w:ind w:firstLine="640"/>
        <w:jc w:val="both"/>
        <w:rPr>
          <w:rFonts w:hint="eastAsia" w:ascii="仿宋_GB2312" w:hAnsi="仿宋_GB2312" w:eastAsia="仿宋_GB2312" w:cs="仿宋_GB2312"/>
          <w:color w:val="auto"/>
          <w:kern w:val="2"/>
          <w:sz w:val="32"/>
          <w:lang w:val="zh-CN"/>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承办县政府交办的其他事项。</w:t>
      </w:r>
    </w:p>
    <w:p>
      <w:pPr>
        <w:pStyle w:val="4"/>
        <w:keepNext/>
        <w:keepLines/>
        <w:spacing w:before="260" w:beforeLines="0" w:after="260" w:afterLines="0" w:line="576" w:lineRule="exact"/>
        <w:ind w:firstLine="640"/>
        <w:jc w:val="both"/>
        <w:rPr>
          <w:rFonts w:hint="eastAsia" w:ascii="黑体" w:hAnsi="黑体" w:eastAsia="黑体"/>
          <w:color w:val="auto"/>
          <w:kern w:val="2"/>
          <w:sz w:val="32"/>
          <w:lang w:val="zh-CN"/>
        </w:rPr>
      </w:pPr>
      <w:bookmarkStart w:id="33" w:name="_Toc1752_WPSOffice_Level2"/>
      <w:r>
        <w:rPr>
          <w:rFonts w:hint="eastAsia" w:ascii="黑体" w:hAnsi="黑体" w:eastAsia="黑体"/>
          <w:color w:val="000000"/>
          <w:kern w:val="2"/>
          <w:sz w:val="32"/>
          <w:lang w:val="zh-CN"/>
        </w:rPr>
        <w:t>二、机</w:t>
      </w:r>
      <w:r>
        <w:rPr>
          <w:rFonts w:hint="eastAsia" w:ascii="黑体" w:hAnsi="黑体" w:eastAsia="黑体"/>
          <w:color w:val="auto"/>
          <w:kern w:val="2"/>
          <w:sz w:val="32"/>
          <w:lang w:val="zh-CN"/>
        </w:rPr>
        <w:t>构设置</w:t>
      </w:r>
      <w:bookmarkEnd w:id="33"/>
    </w:p>
    <w:p>
      <w:pPr>
        <w:pStyle w:val="2"/>
        <w:adjustRightInd w:val="0"/>
        <w:snapToGrid w:val="0"/>
        <w:spacing w:before="93" w:line="600" w:lineRule="exact"/>
        <w:ind w:firstLine="672" w:firstLineChars="210"/>
        <w:rPr>
          <w:color w:val="000000"/>
          <w:sz w:val="32"/>
          <w:szCs w:val="32"/>
        </w:rPr>
      </w:pPr>
      <w:r>
        <w:rPr>
          <w:rFonts w:hint="eastAsia"/>
          <w:color w:val="000000"/>
          <w:sz w:val="32"/>
          <w:szCs w:val="32"/>
        </w:rPr>
        <w:t>德阳市罗江区交通运输局下属二级单位6个，其中</w:t>
      </w:r>
      <w:r>
        <w:rPr>
          <w:rFonts w:hint="eastAsia"/>
          <w:color w:val="000000"/>
          <w:sz w:val="32"/>
          <w:szCs w:val="32"/>
          <w:lang w:eastAsia="zh-CN"/>
        </w:rPr>
        <w:t>：</w:t>
      </w:r>
      <w:r>
        <w:rPr>
          <w:rFonts w:hint="eastAsia"/>
          <w:color w:val="000000"/>
          <w:sz w:val="32"/>
          <w:szCs w:val="32"/>
        </w:rPr>
        <w:t>行政单位1个，参照公务员法管理的事业单位</w:t>
      </w:r>
      <w:r>
        <w:rPr>
          <w:rFonts w:hint="eastAsia"/>
          <w:bCs/>
          <w:color w:val="000000"/>
          <w:sz w:val="32"/>
          <w:szCs w:val="32"/>
        </w:rPr>
        <w:t>2</w:t>
      </w:r>
      <w:r>
        <w:rPr>
          <w:rFonts w:hint="eastAsia"/>
          <w:color w:val="000000"/>
          <w:sz w:val="32"/>
          <w:szCs w:val="32"/>
        </w:rPr>
        <w:t>个，其他事业单位3个。</w:t>
      </w:r>
    </w:p>
    <w:p>
      <w:pPr>
        <w:pStyle w:val="2"/>
        <w:adjustRightInd w:val="0"/>
        <w:snapToGrid w:val="0"/>
        <w:spacing w:before="93" w:line="600" w:lineRule="exact"/>
        <w:ind w:firstLine="672" w:firstLineChars="210"/>
        <w:rPr>
          <w:color w:val="000000"/>
          <w:sz w:val="32"/>
          <w:szCs w:val="32"/>
        </w:rPr>
      </w:pPr>
      <w:r>
        <w:rPr>
          <w:rFonts w:hint="eastAsia"/>
          <w:color w:val="000000"/>
          <w:sz w:val="32"/>
          <w:szCs w:val="32"/>
        </w:rPr>
        <w:t>纳入罗江区交通运输局</w:t>
      </w:r>
      <w:r>
        <w:rPr>
          <w:rFonts w:hint="eastAsia"/>
          <w:color w:val="000000"/>
          <w:sz w:val="32"/>
          <w:szCs w:val="32"/>
          <w:lang w:eastAsia="zh-CN"/>
        </w:rPr>
        <w:t>（本级）</w:t>
      </w:r>
      <w:r>
        <w:rPr>
          <w:rFonts w:hint="eastAsia"/>
          <w:color w:val="000000"/>
          <w:sz w:val="32"/>
          <w:szCs w:val="32"/>
        </w:rPr>
        <w:t>部门决算编制范围的二级单位</w:t>
      </w:r>
      <w:r>
        <w:rPr>
          <w:rFonts w:hint="eastAsia"/>
          <w:color w:val="000000"/>
          <w:sz w:val="32"/>
          <w:szCs w:val="32"/>
          <w:lang w:eastAsia="zh-CN"/>
        </w:rPr>
        <w:t>有</w:t>
      </w:r>
      <w:r>
        <w:rPr>
          <w:rFonts w:hint="eastAsia"/>
          <w:color w:val="000000"/>
          <w:sz w:val="32"/>
          <w:szCs w:val="32"/>
          <w:lang w:val="en-US" w:eastAsia="zh-CN"/>
        </w:rPr>
        <w:t>2个，包括</w:t>
      </w:r>
      <w:r>
        <w:rPr>
          <w:rFonts w:hint="eastAsia"/>
          <w:color w:val="000000"/>
          <w:sz w:val="32"/>
          <w:szCs w:val="32"/>
        </w:rPr>
        <w:t>：</w:t>
      </w:r>
    </w:p>
    <w:p>
      <w:pPr>
        <w:pStyle w:val="2"/>
        <w:adjustRightInd w:val="0"/>
        <w:snapToGrid w:val="0"/>
        <w:spacing w:before="93" w:line="600" w:lineRule="exact"/>
        <w:ind w:firstLine="672" w:firstLineChars="210"/>
        <w:rPr>
          <w:rFonts w:hint="eastAsia" w:eastAsia="仿宋_GB2312"/>
          <w:color w:val="000000"/>
          <w:sz w:val="32"/>
          <w:szCs w:val="32"/>
          <w:lang w:eastAsia="zh-CN"/>
        </w:rPr>
      </w:pPr>
      <w:r>
        <w:rPr>
          <w:rFonts w:hint="eastAsia"/>
          <w:color w:val="000000"/>
          <w:sz w:val="32"/>
          <w:szCs w:val="32"/>
        </w:rPr>
        <w:t>1.罗江区交通运输局</w:t>
      </w:r>
      <w:r>
        <w:rPr>
          <w:rFonts w:hint="eastAsia"/>
          <w:color w:val="000000"/>
          <w:sz w:val="32"/>
          <w:szCs w:val="32"/>
          <w:lang w:eastAsia="zh-CN"/>
        </w:rPr>
        <w:t>（罗江区交通运输综合行政执法大队）</w:t>
      </w:r>
    </w:p>
    <w:p>
      <w:pPr>
        <w:pStyle w:val="2"/>
        <w:adjustRightInd w:val="0"/>
        <w:snapToGrid w:val="0"/>
        <w:spacing w:before="93" w:line="600" w:lineRule="exact"/>
        <w:ind w:firstLine="672" w:firstLineChars="210"/>
        <w:rPr>
          <w:color w:val="000000"/>
          <w:sz w:val="32"/>
          <w:szCs w:val="32"/>
        </w:rPr>
      </w:pPr>
      <w:r>
        <w:rPr>
          <w:rFonts w:hint="eastAsia"/>
          <w:color w:val="000000"/>
          <w:sz w:val="32"/>
          <w:szCs w:val="32"/>
          <w:lang w:val="en-US" w:eastAsia="zh-CN"/>
        </w:rPr>
        <w:t>2</w:t>
      </w:r>
      <w:r>
        <w:rPr>
          <w:rFonts w:hint="eastAsia"/>
          <w:color w:val="000000"/>
          <w:sz w:val="32"/>
          <w:szCs w:val="32"/>
        </w:rPr>
        <w:t>.罗江区地方海事处</w:t>
      </w:r>
    </w:p>
    <w:p>
      <w:pPr>
        <w:pStyle w:val="3"/>
        <w:keepNext/>
        <w:keepLines/>
        <w:spacing w:before="340" w:beforeLines="0" w:after="330" w:afterLines="0" w:line="576" w:lineRule="exact"/>
        <w:ind w:right="442" w:firstLine="880"/>
        <w:jc w:val="center"/>
        <w:rPr>
          <w:rFonts w:hint="eastAsia" w:ascii="Times New Roman" w:hAnsi="Times New Roman" w:eastAsia="Times New Roman"/>
          <w:b/>
          <w:color w:val="auto"/>
          <w:kern w:val="44"/>
          <w:sz w:val="44"/>
          <w:lang w:val="zh-CN"/>
        </w:rPr>
      </w:pPr>
      <w:bookmarkStart w:id="34" w:name="_Toc6772_WPSOffice_Level1"/>
      <w:r>
        <w:rPr>
          <w:rFonts w:hint="eastAsia" w:ascii="黑体" w:hAnsi="黑体" w:eastAsia="黑体"/>
          <w:color w:val="000000"/>
          <w:kern w:val="44"/>
          <w:sz w:val="44"/>
          <w:lang w:val="zh-CN"/>
        </w:rPr>
        <w:t>第二部分</w:t>
      </w:r>
      <w:r>
        <w:rPr>
          <w:rFonts w:hint="eastAsia" w:ascii="黑体" w:hAnsi="黑体" w:eastAsia="黑体"/>
          <w:b/>
          <w:color w:val="000000"/>
          <w:kern w:val="44"/>
          <w:sz w:val="44"/>
          <w:lang w:val="zh-CN"/>
        </w:rPr>
        <w:t xml:space="preserve"> </w:t>
      </w:r>
      <w:r>
        <w:rPr>
          <w:rFonts w:hint="eastAsia" w:ascii="黑体" w:hAnsi="黑体" w:eastAsia="黑体"/>
          <w:color w:val="auto"/>
          <w:kern w:val="44"/>
          <w:sz w:val="44"/>
          <w:lang w:val="zh-CN"/>
        </w:rPr>
        <w:t>2022年度单位决算情况说明</w:t>
      </w:r>
      <w:bookmarkEnd w:id="34"/>
    </w:p>
    <w:p>
      <w:pPr>
        <w:pStyle w:val="4"/>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r>
        <w:rPr>
          <w:rFonts w:hint="eastAsia" w:ascii="黑体" w:hAnsi="黑体" w:eastAsia="黑体"/>
          <w:color w:val="000000"/>
          <w:kern w:val="2"/>
          <w:sz w:val="32"/>
          <w:szCs w:val="22"/>
          <w:lang w:val="zh-CN"/>
        </w:rPr>
        <w:t xml:space="preserve"> </w:t>
      </w:r>
      <w:bookmarkStart w:id="35" w:name="_Toc23075_WPSOffice_Level2"/>
      <w:r>
        <w:rPr>
          <w:rFonts w:hint="eastAsia" w:ascii="黑体" w:hAnsi="黑体" w:eastAsia="黑体"/>
          <w:color w:val="000000"/>
          <w:kern w:val="2"/>
          <w:sz w:val="32"/>
          <w:szCs w:val="22"/>
          <w:lang w:val="zh-CN"/>
        </w:rPr>
        <w:t>一、收入支出决算总体情况说明</w:t>
      </w:r>
      <w:bookmarkEnd w:id="35"/>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2022年度收、支总计2,603.33万元。与2021年相比，收、支总计各减少1,228.03万元，下降32.1%。主要变动原因是上级专项资金项目减少。</w:t>
      </w:r>
    </w:p>
    <w:p>
      <w:pPr>
        <w:spacing w:beforeLines="0" w:afterLines="0" w:line="600" w:lineRule="exact"/>
        <w:ind w:firstLine="640"/>
        <w:jc w:val="both"/>
        <w:rPr>
          <w:rFonts w:hint="eastAsia" w:ascii="仿宋" w:hAnsi="仿宋" w:eastAsia="仿宋"/>
          <w:color w:val="auto"/>
          <w:kern w:val="2"/>
          <w:sz w:val="32"/>
          <w:lang w:val="en-US"/>
        </w:rPr>
      </w:pPr>
    </w:p>
    <w:p>
      <w:pPr>
        <w:pStyle w:val="2"/>
        <w:rPr>
          <w:rFonts w:hint="eastAsia" w:eastAsia="仿宋_GB2312"/>
          <w:lang w:val="en-US" w:eastAsia="zh-CN"/>
        </w:rPr>
      </w:pPr>
      <w:r>
        <w:rPr>
          <w:rFonts w:hint="eastAsia" w:eastAsia="仿宋_GB2312"/>
          <w:lang w:val="en-US" w:eastAsia="zh-CN"/>
        </w:rPr>
        <w:drawing>
          <wp:inline distT="0" distB="0" distL="114300" distR="114300">
            <wp:extent cx="5486400" cy="3460750"/>
            <wp:effectExtent l="4445" t="4445" r="82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jc w:val="center"/>
        <w:rPr>
          <w:rFonts w:hint="eastAsia" w:eastAsia="仿宋_GB2312"/>
          <w:lang w:val="en-US" w:eastAsia="zh-CN"/>
        </w:rPr>
      </w:pPr>
      <w:r>
        <w:rPr>
          <w:rFonts w:hint="eastAsia" w:ascii="仿宋" w:hAnsi="仿宋" w:eastAsia="仿宋"/>
          <w:color w:val="auto"/>
          <w:kern w:val="2"/>
          <w:sz w:val="32"/>
          <w:lang w:val="en-US"/>
        </w:rPr>
        <w:t>图1：收、支决算总计变动情况图（</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pStyle w:val="4"/>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36" w:name="_Toc14349_WPSOffice_Level2"/>
      <w:r>
        <w:rPr>
          <w:rFonts w:hint="eastAsia" w:ascii="黑体" w:hAnsi="黑体" w:eastAsia="黑体"/>
          <w:color w:val="000000"/>
          <w:kern w:val="2"/>
          <w:sz w:val="32"/>
          <w:szCs w:val="22"/>
          <w:lang w:val="zh-CN"/>
        </w:rPr>
        <w:t>二、收入决算情况说明</w:t>
      </w:r>
      <w:bookmarkEnd w:id="36"/>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2022年本年收入合计2,168.85万元，其中：一般公共预算财政拨款收入1,095.73万元，占50.5%；政府性基金预算财政拨款收入860.99万元，占39.7%；其他收入212.14万元，占9.8%。</w:t>
      </w:r>
    </w:p>
    <w:p>
      <w:pPr>
        <w:pStyle w:val="2"/>
        <w:rPr>
          <w:rFonts w:hint="eastAsia" w:ascii="仿宋" w:hAnsi="仿宋" w:eastAsia="仿宋"/>
          <w:color w:val="auto"/>
          <w:kern w:val="2"/>
          <w:sz w:val="32"/>
          <w:lang w:val="en-US" w:eastAsia="zh-CN"/>
        </w:rPr>
      </w:pPr>
      <w:r>
        <w:rPr>
          <w:rFonts w:hint="eastAsia" w:ascii="仿宋" w:hAnsi="仿宋" w:eastAsia="仿宋"/>
          <w:color w:val="auto"/>
          <w:kern w:val="2"/>
          <w:sz w:val="32"/>
          <w:lang w:val="en-US" w:eastAsia="zh-CN"/>
        </w:rPr>
        <w:drawing>
          <wp:inline distT="0" distB="0" distL="114300" distR="114300">
            <wp:extent cx="5397500" cy="3206750"/>
            <wp:effectExtent l="4445" t="4445" r="82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beforeLines="0" w:afterLines="0" w:line="600" w:lineRule="exact"/>
        <w:ind w:firstLine="640"/>
        <w:jc w:val="center"/>
        <w:rPr>
          <w:rFonts w:hint="eastAsia" w:ascii="仿宋" w:hAnsi="仿宋" w:eastAsia="仿宋"/>
          <w:color w:val="auto"/>
          <w:kern w:val="2"/>
          <w:sz w:val="32"/>
          <w:lang w:val="en-US"/>
        </w:rPr>
      </w:pPr>
      <w:r>
        <w:rPr>
          <w:rFonts w:hint="eastAsia" w:ascii="仿宋" w:hAnsi="仿宋" w:eastAsia="仿宋"/>
          <w:color w:val="auto"/>
          <w:kern w:val="2"/>
          <w:sz w:val="32"/>
          <w:lang w:val="en-US"/>
        </w:rPr>
        <w:t>图2：收入决算结构图（</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pStyle w:val="4"/>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37" w:name="_Toc29530_WPSOffice_Level2"/>
      <w:r>
        <w:rPr>
          <w:rFonts w:hint="eastAsia" w:ascii="黑体" w:hAnsi="黑体" w:eastAsia="黑体"/>
          <w:color w:val="000000"/>
          <w:kern w:val="2"/>
          <w:sz w:val="32"/>
          <w:szCs w:val="22"/>
          <w:lang w:val="zh-CN"/>
        </w:rPr>
        <w:t>三、支出决算情况说明</w:t>
      </w:r>
      <w:bookmarkEnd w:id="37"/>
    </w:p>
    <w:p>
      <w:pPr>
        <w:keepNext/>
        <w:keepLines/>
        <w:spacing w:beforeLines="0" w:afterLines="0" w:line="576" w:lineRule="exact"/>
        <w:ind w:firstLine="640"/>
        <w:jc w:val="both"/>
        <w:rPr>
          <w:rFonts w:hint="eastAsia" w:ascii="仿宋_GB2312" w:hAnsi="仿宋_GB2312" w:eastAsia="仿宋_GB2312"/>
          <w:color w:val="000000"/>
          <w:kern w:val="2"/>
          <w:sz w:val="32"/>
          <w:lang w:val="en-US" w:eastAsia="zh-CN"/>
        </w:rPr>
      </w:pPr>
      <w:r>
        <w:rPr>
          <w:rFonts w:hint="eastAsia" w:ascii="仿宋_GB2312" w:hAnsi="仿宋_GB2312" w:eastAsia="仿宋_GB2312"/>
          <w:color w:val="000000"/>
          <w:kern w:val="2"/>
          <w:sz w:val="32"/>
          <w:lang w:val="zh-CN"/>
        </w:rPr>
        <w:t>2022年本年支出合计2,356.57万元，其中：基本支出354.8万元，占15.1%；项目支出2,001.77万元，占84.9%。</w:t>
      </w:r>
    </w:p>
    <w:p>
      <w:pPr>
        <w:spacing w:beforeLines="0" w:afterLines="0" w:line="600" w:lineRule="exact"/>
        <w:ind w:firstLine="640"/>
        <w:jc w:val="both"/>
        <w:rPr>
          <w:rFonts w:hint="eastAsia" w:ascii="仿宋" w:hAnsi="仿宋" w:eastAsia="仿宋"/>
          <w:color w:val="auto"/>
          <w:kern w:val="2"/>
          <w:sz w:val="32"/>
          <w:lang w:val="en-US"/>
        </w:rPr>
      </w:pPr>
    </w:p>
    <w:p>
      <w:pPr>
        <w:pStyle w:val="2"/>
        <w:rPr>
          <w:rFonts w:hint="eastAsia" w:ascii="仿宋" w:hAnsi="仿宋" w:eastAsia="仿宋"/>
          <w:color w:val="auto"/>
          <w:kern w:val="2"/>
          <w:sz w:val="32"/>
          <w:lang w:val="en-US" w:eastAsia="zh-CN"/>
        </w:rPr>
      </w:pPr>
      <w:r>
        <w:rPr>
          <w:rFonts w:hint="eastAsia" w:ascii="仿宋" w:hAnsi="仿宋" w:eastAsia="仿宋"/>
          <w:color w:val="auto"/>
          <w:kern w:val="2"/>
          <w:sz w:val="32"/>
          <w:lang w:val="en-US" w:eastAsia="zh-CN"/>
        </w:rPr>
        <w:drawing>
          <wp:inline distT="0" distB="0" distL="114300" distR="114300">
            <wp:extent cx="5384800" cy="3194050"/>
            <wp:effectExtent l="4445" t="4445" r="82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jc w:val="center"/>
        <w:rPr>
          <w:rFonts w:hint="eastAsia" w:ascii="仿宋" w:hAnsi="仿宋" w:eastAsia="仿宋"/>
          <w:color w:val="auto"/>
          <w:kern w:val="2"/>
          <w:sz w:val="32"/>
          <w:lang w:val="en-US"/>
        </w:rPr>
      </w:pPr>
      <w:r>
        <w:rPr>
          <w:rFonts w:hint="eastAsia" w:ascii="仿宋" w:hAnsi="仿宋" w:eastAsia="仿宋"/>
          <w:color w:val="auto"/>
          <w:kern w:val="2"/>
          <w:sz w:val="32"/>
          <w:lang w:val="en-US"/>
        </w:rPr>
        <w:t>图3：支出决算结构图（</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pStyle w:val="4"/>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38" w:name="_Toc27907_WPSOffice_Level2"/>
      <w:r>
        <w:rPr>
          <w:rFonts w:hint="eastAsia" w:ascii="黑体" w:hAnsi="黑体" w:eastAsia="黑体"/>
          <w:color w:val="000000"/>
          <w:kern w:val="2"/>
          <w:sz w:val="32"/>
          <w:szCs w:val="22"/>
          <w:lang w:val="zh-CN"/>
        </w:rPr>
        <w:t>四、财政拨款收入支出决算总体情况说明</w:t>
      </w:r>
      <w:bookmarkEnd w:id="38"/>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2022年财政拨款收、支总计1,958.7万元。与2021年相比，财政拨款收、支总计各减少1,005.32万元，下降33.9%。主要变动原因是上级专项资金项目减少。</w:t>
      </w:r>
    </w:p>
    <w:p>
      <w:pPr>
        <w:spacing w:beforeLines="0" w:afterLines="0" w:line="600" w:lineRule="exact"/>
        <w:ind w:firstLine="640"/>
        <w:jc w:val="both"/>
        <w:rPr>
          <w:rFonts w:hint="eastAsia" w:ascii="仿宋" w:hAnsi="仿宋" w:eastAsia="仿宋"/>
          <w:color w:val="auto"/>
          <w:kern w:val="2"/>
          <w:sz w:val="32"/>
          <w:lang w:val="en-US"/>
        </w:rPr>
      </w:pPr>
    </w:p>
    <w:p>
      <w:pPr>
        <w:pStyle w:val="2"/>
        <w:rPr>
          <w:rFonts w:hint="eastAsia" w:eastAsia="仿宋"/>
          <w:lang w:val="en-US" w:eastAsia="zh-CN"/>
        </w:rPr>
      </w:pPr>
      <w:r>
        <w:rPr>
          <w:rFonts w:hint="eastAsia" w:eastAsia="仿宋"/>
          <w:lang w:val="en-US" w:eastAsia="zh-CN"/>
        </w:rPr>
        <w:drawing>
          <wp:inline distT="0" distB="0" distL="114300" distR="114300">
            <wp:extent cx="5467985" cy="3898900"/>
            <wp:effectExtent l="4445" t="4445" r="13970" b="82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jc w:val="center"/>
        <w:rPr>
          <w:rFonts w:hint="eastAsia" w:eastAsia="仿宋"/>
          <w:lang w:val="zh-CN" w:eastAsia="zh-CN"/>
        </w:rPr>
      </w:pPr>
      <w:r>
        <w:rPr>
          <w:rFonts w:hint="eastAsia" w:ascii="仿宋" w:hAnsi="仿宋" w:eastAsia="仿宋"/>
          <w:color w:val="auto"/>
          <w:kern w:val="2"/>
          <w:sz w:val="32"/>
          <w:lang w:val="en-US"/>
        </w:rPr>
        <w:t>图4：财政拨款收、支决算总计变动情况（</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pStyle w:val="4"/>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39" w:name="_Toc15690_WPSOffice_Level2"/>
      <w:r>
        <w:rPr>
          <w:rFonts w:hint="eastAsia" w:ascii="黑体" w:hAnsi="黑体" w:eastAsia="黑体"/>
          <w:color w:val="000000"/>
          <w:kern w:val="2"/>
          <w:sz w:val="32"/>
          <w:szCs w:val="22"/>
          <w:lang w:val="zh-CN"/>
        </w:rPr>
        <w:t>五、一般公共预算财政拨款支出决算情况说明</w:t>
      </w:r>
      <w:bookmarkEnd w:id="39"/>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2022年一般公共预算财政拨款支出1,096.08万元，占本年支出合计的46.5%。与2021年相比，一般公共预算财政拨款支出减少1,865.96万元，下降63%。主要变动原因是今年一般共公预算财政拨款上级专项减少。</w:t>
      </w:r>
    </w:p>
    <w:p>
      <w:pPr>
        <w:spacing w:beforeLines="0" w:afterLines="0" w:line="600" w:lineRule="exact"/>
        <w:jc w:val="both"/>
        <w:rPr>
          <w:rFonts w:hint="eastAsia" w:ascii="仿宋" w:hAnsi="仿宋" w:eastAsia="仿宋"/>
          <w:color w:val="auto"/>
          <w:kern w:val="2"/>
          <w:sz w:val="32"/>
          <w:lang w:val="en-US"/>
        </w:rPr>
      </w:pPr>
    </w:p>
    <w:p>
      <w:pPr>
        <w:pStyle w:val="2"/>
        <w:rPr>
          <w:rFonts w:hint="eastAsia" w:eastAsia="仿宋"/>
          <w:lang w:val="en-US" w:eastAsia="zh-CN"/>
        </w:rPr>
      </w:pPr>
      <w:r>
        <w:rPr>
          <w:rFonts w:hint="eastAsia" w:eastAsia="仿宋"/>
          <w:lang w:val="en-US" w:eastAsia="zh-CN"/>
        </w:rPr>
        <w:drawing>
          <wp:inline distT="0" distB="0" distL="114300" distR="114300">
            <wp:extent cx="5435600" cy="3841750"/>
            <wp:effectExtent l="5080" t="4445" r="7620"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rPr>
          <w:rFonts w:hint="eastAsia" w:eastAsia="仿宋"/>
          <w:lang w:val="en-US" w:eastAsia="zh-CN"/>
        </w:rPr>
      </w:pPr>
      <w:r>
        <w:rPr>
          <w:rFonts w:hint="eastAsia" w:ascii="仿宋" w:hAnsi="仿宋" w:eastAsia="仿宋"/>
          <w:color w:val="auto"/>
          <w:kern w:val="2"/>
          <w:sz w:val="32"/>
          <w:lang w:val="en-US"/>
        </w:rPr>
        <w:t>图5：一般公共预算财政拨款支出决算变动情况（</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（二）一般公共预算财政拨款支出决算结构情况。</w:t>
      </w:r>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2022年一般公共预算财政拨款支出1,096.08万元，主要用于以下方面: 社会保障和就业支出47.72万元，占4.4%；卫生健康支出7.92万元，占0.7%；农林水支出184.5万元，占16.8%；交通运输支出831.31万元，占75.8%；住房保障支出24.62万元，占2.2%。</w:t>
      </w:r>
    </w:p>
    <w:p>
      <w:pPr>
        <w:spacing w:beforeLines="0" w:afterLines="0" w:line="600" w:lineRule="exact"/>
        <w:ind w:firstLine="640"/>
        <w:jc w:val="both"/>
        <w:rPr>
          <w:rFonts w:hint="eastAsia" w:ascii="仿宋" w:hAnsi="仿宋" w:eastAsia="仿宋"/>
          <w:color w:val="auto"/>
          <w:kern w:val="2"/>
          <w:sz w:val="32"/>
          <w:lang w:val="en-US"/>
        </w:rPr>
      </w:pPr>
    </w:p>
    <w:p>
      <w:pPr>
        <w:pStyle w:val="2"/>
        <w:rPr>
          <w:rFonts w:hint="eastAsia" w:ascii="仿宋" w:hAnsi="仿宋" w:eastAsia="仿宋"/>
          <w:color w:val="auto"/>
          <w:kern w:val="2"/>
          <w:sz w:val="32"/>
          <w:lang w:val="en-US"/>
        </w:rPr>
      </w:pPr>
    </w:p>
    <w:p>
      <w:pPr>
        <w:pStyle w:val="2"/>
        <w:rPr>
          <w:rFonts w:hint="eastAsia" w:ascii="仿宋" w:hAnsi="仿宋" w:eastAsia="仿宋"/>
          <w:color w:val="auto"/>
          <w:kern w:val="2"/>
          <w:sz w:val="32"/>
          <w:lang w:val="en-US"/>
        </w:rPr>
      </w:pPr>
    </w:p>
    <w:p>
      <w:pPr>
        <w:pStyle w:val="2"/>
        <w:rPr>
          <w:rFonts w:hint="eastAsia" w:ascii="仿宋" w:hAnsi="仿宋" w:eastAsia="仿宋"/>
          <w:color w:val="auto"/>
          <w:kern w:val="2"/>
          <w:sz w:val="32"/>
          <w:lang w:val="en-US" w:eastAsia="zh-CN"/>
        </w:rPr>
      </w:pPr>
      <w:r>
        <w:rPr>
          <w:rFonts w:hint="eastAsia" w:ascii="仿宋" w:hAnsi="仿宋" w:eastAsia="仿宋"/>
          <w:color w:val="auto"/>
          <w:kern w:val="2"/>
          <w:sz w:val="32"/>
          <w:lang w:val="en-US" w:eastAsia="zh-CN"/>
        </w:rPr>
        <w:drawing>
          <wp:inline distT="0" distB="0" distL="114300" distR="114300">
            <wp:extent cx="5454015" cy="3803650"/>
            <wp:effectExtent l="4445" t="4445" r="8890" b="2095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jc w:val="center"/>
        <w:rPr>
          <w:rFonts w:hint="eastAsia" w:ascii="仿宋" w:hAnsi="仿宋" w:eastAsia="仿宋"/>
          <w:color w:val="auto"/>
          <w:kern w:val="2"/>
          <w:sz w:val="32"/>
          <w:lang w:val="en-US" w:eastAsia="zh-CN"/>
        </w:rPr>
      </w:pPr>
      <w:r>
        <w:rPr>
          <w:rFonts w:hint="eastAsia" w:ascii="仿宋" w:hAnsi="仿宋" w:eastAsia="仿宋"/>
          <w:color w:val="auto"/>
          <w:kern w:val="2"/>
          <w:sz w:val="32"/>
          <w:lang w:val="en-US"/>
        </w:rPr>
        <w:t>图6：一般公共预算财政拨款支出决算结构（</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（三）一般公共预算财政拨款支出决算具体情况。</w:t>
      </w:r>
    </w:p>
    <w:p>
      <w:pPr>
        <w:keepNext/>
        <w:keepLines/>
        <w:spacing w:beforeLines="0" w:afterLines="0" w:line="576" w:lineRule="exact"/>
        <w:ind w:firstLine="643"/>
        <w:jc w:val="both"/>
        <w:rPr>
          <w:rFonts w:hint="eastAsia" w:ascii="仿宋_GB2312" w:hAnsi="仿宋_GB2312" w:eastAsia="仿宋_GB2312"/>
          <w:b/>
          <w:color w:val="000000"/>
          <w:kern w:val="2"/>
          <w:sz w:val="32"/>
          <w:lang w:val="en-US"/>
        </w:rPr>
      </w:pPr>
      <w:r>
        <w:rPr>
          <w:rFonts w:hint="eastAsia" w:ascii="仿宋_GB2312" w:hAnsi="仿宋_GB2312" w:eastAsia="仿宋_GB2312"/>
          <w:b/>
          <w:color w:val="000000"/>
          <w:kern w:val="2"/>
          <w:sz w:val="32"/>
          <w:lang w:val="zh-CN"/>
        </w:rPr>
        <w:t>2022年一般公共预算支出决算数为1,096.08万元</w:t>
      </w:r>
      <w:r>
        <w:rPr>
          <w:rFonts w:hint="eastAsia" w:ascii="仿宋_GB2312" w:hAnsi="仿宋_GB2312" w:eastAsia="仿宋_GB2312"/>
          <w:color w:val="000000"/>
          <w:kern w:val="2"/>
          <w:sz w:val="32"/>
          <w:lang w:val="zh-CN"/>
        </w:rPr>
        <w:t>，</w:t>
      </w:r>
      <w:r>
        <w:rPr>
          <w:rFonts w:hint="eastAsia" w:ascii="仿宋_GB2312" w:hAnsi="仿宋_GB2312" w:eastAsia="仿宋_GB2312"/>
          <w:b/>
          <w:color w:val="000000"/>
          <w:kern w:val="2"/>
          <w:sz w:val="32"/>
          <w:lang w:val="zh-CN"/>
        </w:rPr>
        <w:t>完成预算99.9%。其中：</w:t>
      </w:r>
    </w:p>
    <w:p>
      <w:pPr>
        <w:keepNext/>
        <w:keepLines/>
        <w:numPr>
          <w:ilvl w:val="0"/>
          <w:numId w:val="0"/>
        </w:numPr>
        <w:spacing w:beforeLines="0" w:afterLines="0" w:line="576" w:lineRule="exact"/>
        <w:ind w:firstLine="643" w:firstLineChars="200"/>
        <w:jc w:val="both"/>
        <w:rPr>
          <w:rFonts w:hint="eastAsia" w:ascii="仿宋_GB2312" w:hAnsi="仿宋_GB2312" w:eastAsia="仿宋_GB2312" w:cs="仿宋_GB2312"/>
          <w:color w:val="auto"/>
          <w:kern w:val="2"/>
          <w:sz w:val="32"/>
          <w:lang w:val="en-US"/>
        </w:rPr>
      </w:pPr>
      <w:r>
        <w:rPr>
          <w:rFonts w:hint="eastAsia" w:ascii="仿宋_GB2312" w:hAnsi="仿宋_GB2312" w:eastAsia="仿宋_GB2312"/>
          <w:b/>
          <w:color w:val="000000"/>
          <w:kern w:val="2"/>
          <w:sz w:val="32"/>
          <w:lang w:val="en-US" w:eastAsia="zh-CN"/>
        </w:rPr>
        <w:t>1.</w:t>
      </w:r>
      <w:r>
        <w:rPr>
          <w:rFonts w:hint="eastAsia" w:ascii="仿宋_GB2312" w:hAnsi="仿宋_GB2312" w:eastAsia="仿宋_GB2312"/>
          <w:b/>
          <w:color w:val="000000"/>
          <w:kern w:val="2"/>
          <w:sz w:val="32"/>
          <w:lang w:val="en-US"/>
        </w:rPr>
        <w:t>社会保障和就业支出（类）</w:t>
      </w:r>
      <w:r>
        <w:rPr>
          <w:rFonts w:hint="eastAsia" w:ascii="仿宋_GB2312" w:hAnsi="仿宋_GB2312" w:eastAsia="仿宋_GB2312"/>
          <w:b/>
          <w:color w:val="000000"/>
          <w:kern w:val="2"/>
          <w:sz w:val="32"/>
          <w:lang w:val="en-US" w:eastAsia="zh-CN"/>
        </w:rPr>
        <w:t>行政事业单位养老支出</w:t>
      </w:r>
      <w:r>
        <w:rPr>
          <w:rFonts w:hint="eastAsia" w:ascii="仿宋_GB2312" w:hAnsi="仿宋_GB2312" w:eastAsia="仿宋_GB2312"/>
          <w:b/>
          <w:color w:val="000000"/>
          <w:kern w:val="2"/>
          <w:sz w:val="32"/>
          <w:lang w:val="en-US"/>
        </w:rPr>
        <w:t>（款）机关事业单位基本养老保险缴费支出（项）: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21.5</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p>
    <w:p>
      <w:pPr>
        <w:pStyle w:val="7"/>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2.</w:t>
      </w:r>
      <w:r>
        <w:rPr>
          <w:rFonts w:hint="eastAsia" w:ascii="仿宋_GB2312" w:hAnsi="仿宋_GB2312" w:eastAsia="仿宋_GB2312"/>
          <w:b/>
          <w:color w:val="000000"/>
          <w:kern w:val="2"/>
          <w:sz w:val="32"/>
          <w:lang w:val="en-US"/>
        </w:rPr>
        <w:t>社会保障和就业支出（类）</w:t>
      </w:r>
      <w:r>
        <w:rPr>
          <w:rFonts w:hint="eastAsia" w:ascii="仿宋_GB2312" w:hAnsi="仿宋_GB2312" w:eastAsia="仿宋_GB2312"/>
          <w:b/>
          <w:color w:val="000000"/>
          <w:kern w:val="2"/>
          <w:sz w:val="32"/>
          <w:lang w:val="en-US" w:eastAsia="zh-CN"/>
        </w:rPr>
        <w:t>行政事业单位养老支出</w:t>
      </w:r>
      <w:r>
        <w:rPr>
          <w:rFonts w:hint="eastAsia" w:ascii="仿宋_GB2312" w:hAnsi="仿宋_GB2312" w:eastAsia="仿宋_GB2312"/>
          <w:b/>
          <w:color w:val="000000"/>
          <w:kern w:val="2"/>
          <w:sz w:val="32"/>
          <w:lang w:val="en-US"/>
        </w:rPr>
        <w:t>（款）机关事业单位职业年金缴费支出（项）: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10.75</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3.</w:t>
      </w:r>
      <w:r>
        <w:rPr>
          <w:rFonts w:hint="eastAsia" w:ascii="仿宋_GB2312" w:hAnsi="仿宋_GB2312" w:eastAsia="仿宋_GB2312"/>
          <w:b/>
          <w:color w:val="000000"/>
          <w:kern w:val="2"/>
          <w:sz w:val="32"/>
          <w:lang w:val="en-US"/>
        </w:rPr>
        <w:t>社会保障和就业支出（类）</w:t>
      </w:r>
      <w:r>
        <w:rPr>
          <w:rFonts w:hint="eastAsia" w:ascii="仿宋_GB2312" w:hAnsi="仿宋_GB2312" w:eastAsia="仿宋_GB2312"/>
          <w:b/>
          <w:color w:val="000000"/>
          <w:kern w:val="2"/>
          <w:sz w:val="32"/>
          <w:lang w:val="en-US" w:eastAsia="zh-CN"/>
        </w:rPr>
        <w:t>行政事业单位养老支出</w:t>
      </w:r>
      <w:r>
        <w:rPr>
          <w:rFonts w:hint="eastAsia" w:ascii="仿宋_GB2312" w:hAnsi="仿宋_GB2312" w:eastAsia="仿宋_GB2312"/>
          <w:b/>
          <w:color w:val="000000"/>
          <w:kern w:val="2"/>
          <w:sz w:val="32"/>
          <w:lang w:val="en-US"/>
        </w:rPr>
        <w:t>（款）其他行政事业单位养老支出（项）: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15.19</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4.</w:t>
      </w:r>
      <w:r>
        <w:rPr>
          <w:rFonts w:hint="eastAsia" w:ascii="仿宋_GB2312" w:hAnsi="仿宋_GB2312" w:eastAsia="仿宋_GB2312"/>
          <w:b/>
          <w:color w:val="000000"/>
          <w:kern w:val="2"/>
          <w:sz w:val="32"/>
          <w:lang w:val="en-US"/>
        </w:rPr>
        <w:t>社会保障和就业支出（类）</w:t>
      </w:r>
      <w:r>
        <w:rPr>
          <w:rFonts w:hint="eastAsia" w:ascii="仿宋_GB2312" w:hAnsi="仿宋_GB2312" w:eastAsia="仿宋_GB2312"/>
          <w:b/>
          <w:color w:val="000000"/>
          <w:kern w:val="2"/>
          <w:sz w:val="32"/>
          <w:lang w:val="en-US" w:eastAsia="zh-CN"/>
        </w:rPr>
        <w:t>其他社会保障和就业支出</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其他社会保障和就业支出</w:t>
      </w:r>
      <w:r>
        <w:rPr>
          <w:rFonts w:hint="eastAsia" w:ascii="仿宋_GB2312" w:hAnsi="仿宋_GB2312" w:eastAsia="仿宋_GB2312"/>
          <w:b/>
          <w:color w:val="000000"/>
          <w:kern w:val="2"/>
          <w:sz w:val="32"/>
          <w:lang w:val="en-US"/>
        </w:rPr>
        <w:t>（项）: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0.28</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keepNext/>
        <w:keepLines/>
        <w:spacing w:beforeLines="0" w:afterLines="0" w:line="576" w:lineRule="exact"/>
        <w:ind w:firstLine="643" w:firstLineChars="200"/>
        <w:jc w:val="both"/>
        <w:rPr>
          <w:rFonts w:hint="eastAsia" w:ascii="仿宋_GB2312" w:eastAsia="仿宋_GB2312"/>
          <w:color w:val="000000"/>
          <w:sz w:val="32"/>
          <w:szCs w:val="32"/>
        </w:rPr>
      </w:pPr>
      <w:r>
        <w:rPr>
          <w:rFonts w:hint="eastAsia" w:ascii="仿宋_GB2312" w:hAnsi="仿宋_GB2312" w:eastAsia="仿宋_GB2312"/>
          <w:b/>
          <w:color w:val="000000"/>
          <w:kern w:val="2"/>
          <w:sz w:val="32"/>
          <w:lang w:val="en-US" w:eastAsia="zh-CN"/>
        </w:rPr>
        <w:t>5.</w:t>
      </w:r>
      <w:r>
        <w:rPr>
          <w:rFonts w:hint="eastAsia" w:ascii="仿宋_GB2312" w:hAnsi="仿宋_GB2312" w:eastAsia="仿宋_GB2312"/>
          <w:b/>
          <w:color w:val="000000"/>
          <w:kern w:val="2"/>
          <w:sz w:val="32"/>
          <w:lang w:val="en-US"/>
        </w:rPr>
        <w:t>卫生健康支出（类）</w:t>
      </w:r>
      <w:r>
        <w:rPr>
          <w:rFonts w:hint="eastAsia" w:ascii="仿宋_GB2312" w:hAnsi="仿宋_GB2312" w:eastAsia="仿宋_GB2312"/>
          <w:b/>
          <w:color w:val="000000"/>
          <w:kern w:val="2"/>
          <w:sz w:val="32"/>
          <w:lang w:val="en-US" w:eastAsia="zh-CN"/>
        </w:rPr>
        <w:t>公共卫生</w:t>
      </w:r>
      <w:r>
        <w:rPr>
          <w:rFonts w:hint="eastAsia" w:ascii="仿宋_GB2312" w:hAnsi="仿宋_GB2312" w:eastAsia="仿宋_GB2312"/>
          <w:b/>
          <w:color w:val="000000"/>
          <w:kern w:val="2"/>
          <w:sz w:val="32"/>
          <w:lang w:val="en-US"/>
        </w:rPr>
        <w:t>（款）突发公共卫生事件应急处理（项）: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0.35</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17</w:t>
      </w:r>
      <w:r>
        <w:rPr>
          <w:rFonts w:hint="eastAsia" w:ascii="仿宋_GB2312" w:hAnsi="仿宋_GB2312" w:eastAsia="仿宋_GB2312" w:cs="仿宋_GB2312"/>
          <w:color w:val="auto"/>
          <w:kern w:val="2"/>
          <w:sz w:val="32"/>
          <w:lang w:val="en-US"/>
        </w:rPr>
        <w:t>%，决算数小于</w:t>
      </w:r>
      <w:r>
        <w:rPr>
          <w:rFonts w:hint="eastAsia" w:ascii="仿宋_GB2312" w:hAnsi="仿宋_GB2312" w:eastAsia="仿宋_GB2312" w:cs="仿宋_GB2312"/>
          <w:color w:val="auto"/>
          <w:kern w:val="2"/>
          <w:sz w:val="32"/>
          <w:lang w:val="en-US" w:eastAsia="zh-CN"/>
        </w:rPr>
        <w:t>预算数的</w:t>
      </w:r>
      <w:r>
        <w:rPr>
          <w:rFonts w:hint="eastAsia" w:ascii="仿宋_GB2312" w:hAnsi="仿宋_GB2312" w:eastAsia="仿宋_GB2312" w:cs="仿宋_GB2312"/>
          <w:color w:val="auto"/>
          <w:kern w:val="2"/>
          <w:sz w:val="32"/>
          <w:lang w:val="en-US"/>
        </w:rPr>
        <w:t>主要原因是</w:t>
      </w:r>
      <w:r>
        <w:rPr>
          <w:rFonts w:hint="eastAsia" w:ascii="仿宋_GB2312" w:eastAsia="仿宋_GB2312"/>
          <w:color w:val="000000"/>
          <w:sz w:val="32"/>
          <w:szCs w:val="32"/>
        </w:rPr>
        <w:t>项目还在</w:t>
      </w:r>
      <w:r>
        <w:rPr>
          <w:rFonts w:hint="eastAsia" w:ascii="仿宋_GB2312" w:eastAsia="仿宋_GB2312"/>
          <w:color w:val="000000"/>
          <w:sz w:val="32"/>
          <w:szCs w:val="32"/>
          <w:lang w:eastAsia="zh-CN"/>
        </w:rPr>
        <w:t>实施中</w:t>
      </w:r>
      <w:r>
        <w:rPr>
          <w:rFonts w:hint="eastAsia" w:ascii="仿宋_GB2312" w:eastAsia="仿宋_GB2312"/>
          <w:color w:val="000000"/>
          <w:sz w:val="32"/>
          <w:szCs w:val="32"/>
        </w:rPr>
        <w:t>，按进度支付款项，资金需结转202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年继续使用。</w:t>
      </w:r>
    </w:p>
    <w:p>
      <w:pPr>
        <w:pStyle w:val="7"/>
        <w:ind w:left="0" w:leftChars="0"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6.</w:t>
      </w:r>
      <w:r>
        <w:rPr>
          <w:rFonts w:hint="eastAsia" w:ascii="仿宋_GB2312" w:hAnsi="仿宋_GB2312" w:eastAsia="仿宋_GB2312"/>
          <w:b/>
          <w:color w:val="000000"/>
          <w:kern w:val="2"/>
          <w:sz w:val="32"/>
          <w:lang w:val="en-US"/>
        </w:rPr>
        <w:t>卫生健康支出（类）</w:t>
      </w:r>
      <w:r>
        <w:rPr>
          <w:rFonts w:hint="eastAsia" w:ascii="仿宋_GB2312" w:hAnsi="仿宋_GB2312" w:eastAsia="仿宋_GB2312"/>
          <w:b/>
          <w:color w:val="000000"/>
          <w:kern w:val="2"/>
          <w:sz w:val="32"/>
          <w:lang w:val="en-US" w:eastAsia="zh-CN"/>
        </w:rPr>
        <w:t>行政事业单位医疗</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行政单位医疗</w:t>
      </w:r>
      <w:r>
        <w:rPr>
          <w:rFonts w:hint="eastAsia" w:ascii="仿宋_GB2312" w:hAnsi="仿宋_GB2312" w:eastAsia="仿宋_GB2312"/>
          <w:b/>
          <w:color w:val="000000"/>
          <w:kern w:val="2"/>
          <w:sz w:val="32"/>
          <w:lang w:val="en-US"/>
        </w:rPr>
        <w:t>（项）: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7.58</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ind w:left="0" w:leftChars="0"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7.农林水支出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巩固脱贫衔接乡村振兴</w:t>
      </w:r>
      <w:r>
        <w:rPr>
          <w:rFonts w:hint="eastAsia" w:ascii="仿宋_GB2312" w:hAnsi="仿宋_GB2312" w:eastAsia="仿宋_GB2312"/>
          <w:b/>
          <w:color w:val="000000"/>
          <w:kern w:val="2"/>
          <w:sz w:val="32"/>
          <w:lang w:val="en-US"/>
        </w:rPr>
        <w:t>（款）其他巩固脱贫衔接乡村振兴支出（项）: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184.5</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ind w:left="0" w:leftChars="0"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8.交通运输支出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行政运行</w:t>
      </w:r>
      <w:r>
        <w:rPr>
          <w:rFonts w:hint="eastAsia" w:ascii="仿宋_GB2312" w:hAnsi="仿宋_GB2312" w:eastAsia="仿宋_GB2312"/>
          <w:b/>
          <w:color w:val="000000"/>
          <w:kern w:val="2"/>
          <w:sz w:val="32"/>
          <w:lang w:val="en-US"/>
        </w:rPr>
        <w:t>（项）: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274.17</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ind w:left="0" w:leftChars="0"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9.交通运输支出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一般行政管理事务</w:t>
      </w:r>
      <w:r>
        <w:rPr>
          <w:rFonts w:hint="eastAsia" w:ascii="仿宋_GB2312" w:hAnsi="仿宋_GB2312" w:eastAsia="仿宋_GB2312"/>
          <w:b/>
          <w:color w:val="000000"/>
          <w:kern w:val="2"/>
          <w:sz w:val="32"/>
          <w:lang w:val="en-US"/>
        </w:rPr>
        <w:t>（项）: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3.2</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ind w:left="0" w:leftChars="0"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10.交通运输支出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公路建设</w:t>
      </w:r>
      <w:r>
        <w:rPr>
          <w:rFonts w:hint="eastAsia" w:ascii="仿宋_GB2312" w:hAnsi="仿宋_GB2312" w:eastAsia="仿宋_GB2312"/>
          <w:b/>
          <w:color w:val="000000"/>
          <w:kern w:val="2"/>
          <w:sz w:val="32"/>
          <w:lang w:val="en-US"/>
        </w:rPr>
        <w:t>（项）: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4.15</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ind w:left="0" w:leftChars="0"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11.交通运输支出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公路养护</w:t>
      </w:r>
      <w:r>
        <w:rPr>
          <w:rFonts w:hint="eastAsia" w:ascii="仿宋_GB2312" w:hAnsi="仿宋_GB2312" w:eastAsia="仿宋_GB2312"/>
          <w:b/>
          <w:color w:val="000000"/>
          <w:kern w:val="2"/>
          <w:sz w:val="32"/>
          <w:lang w:val="en-US"/>
        </w:rPr>
        <w:t>（项）: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173.8</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ind w:left="0" w:leftChars="0"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12.交通运输支出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公路运输管理</w:t>
      </w:r>
      <w:r>
        <w:rPr>
          <w:rFonts w:hint="eastAsia" w:ascii="仿宋_GB2312" w:hAnsi="仿宋_GB2312" w:eastAsia="仿宋_GB2312"/>
          <w:b/>
          <w:color w:val="000000"/>
          <w:kern w:val="2"/>
          <w:sz w:val="32"/>
          <w:lang w:val="en-US"/>
        </w:rPr>
        <w:t>（项）: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20.79</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ind w:left="0" w:leftChars="0"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13.交通运输支出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其他公路水路运输支出</w:t>
      </w:r>
      <w:r>
        <w:rPr>
          <w:rFonts w:hint="eastAsia" w:ascii="仿宋_GB2312" w:hAnsi="仿宋_GB2312" w:eastAsia="仿宋_GB2312"/>
          <w:b/>
          <w:color w:val="000000"/>
          <w:kern w:val="2"/>
          <w:sz w:val="32"/>
          <w:lang w:val="en-US"/>
        </w:rPr>
        <w:t>（项）: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213.96</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ind w:left="0" w:leftChars="0"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14.交通运输支出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车辆购置税支出</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车辆购置税用于公路等基础设施建设支出</w:t>
      </w:r>
      <w:r>
        <w:rPr>
          <w:rFonts w:hint="eastAsia" w:ascii="仿宋_GB2312" w:hAnsi="仿宋_GB2312" w:eastAsia="仿宋_GB2312"/>
          <w:b/>
          <w:color w:val="000000"/>
          <w:kern w:val="2"/>
          <w:sz w:val="32"/>
          <w:lang w:val="en-US"/>
        </w:rPr>
        <w:t>（项）: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141.24</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7"/>
        <w:ind w:left="0" w:leftChars="0"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15.住房保障支出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住房改革支出</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住房公积金</w:t>
      </w:r>
      <w:r>
        <w:rPr>
          <w:rFonts w:hint="eastAsia" w:ascii="仿宋_GB2312" w:hAnsi="仿宋_GB2312" w:eastAsia="仿宋_GB2312"/>
          <w:b/>
          <w:color w:val="000000"/>
          <w:kern w:val="2"/>
          <w:sz w:val="32"/>
          <w:lang w:val="en-US"/>
        </w:rPr>
        <w:t>（项）:</w:t>
      </w:r>
      <w:r>
        <w:rPr>
          <w:rFonts w:hint="eastAsia" w:ascii="仿宋_GB2312" w:hAnsi="仿宋_GB2312" w:eastAsia="仿宋_GB2312" w:cs="仿宋_GB2312"/>
          <w:color w:val="auto"/>
          <w:kern w:val="2"/>
          <w:sz w:val="32"/>
          <w:lang w:val="en-US"/>
        </w:rPr>
        <w:t>支出决算为</w:t>
      </w:r>
      <w:r>
        <w:rPr>
          <w:rFonts w:hint="eastAsia" w:ascii="仿宋_GB2312" w:hAnsi="仿宋_GB2312" w:eastAsia="仿宋_GB2312" w:cs="仿宋_GB2312"/>
          <w:color w:val="auto"/>
          <w:kern w:val="2"/>
          <w:sz w:val="32"/>
          <w:lang w:val="en-US" w:eastAsia="zh-CN"/>
        </w:rPr>
        <w:t>24.62</w:t>
      </w:r>
      <w:r>
        <w:rPr>
          <w:rFonts w:hint="eastAsia" w:ascii="仿宋_GB2312" w:hAnsi="仿宋_GB2312" w:eastAsia="仿宋_GB2312" w:cs="仿宋_GB2312"/>
          <w:color w:val="auto"/>
          <w:kern w:val="2"/>
          <w:sz w:val="32"/>
          <w:lang w:val="en-US"/>
        </w:rPr>
        <w:t>万元，完成预算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4"/>
        <w:keepNext/>
        <w:keepLines/>
        <w:spacing w:before="260" w:beforeLines="0" w:after="260" w:afterLines="0" w:line="576" w:lineRule="exact"/>
        <w:ind w:firstLine="640"/>
        <w:jc w:val="both"/>
        <w:rPr>
          <w:rFonts w:hint="default" w:ascii="黑体" w:hAnsi="黑体" w:eastAsia="黑体"/>
          <w:color w:val="000000"/>
          <w:kern w:val="2"/>
          <w:sz w:val="32"/>
          <w:szCs w:val="22"/>
          <w:lang w:val="zh-CN"/>
        </w:rPr>
      </w:pPr>
      <w:bookmarkStart w:id="40" w:name="_Toc5341_WPSOffice_Level2"/>
      <w:r>
        <w:rPr>
          <w:rFonts w:hint="eastAsia" w:ascii="黑体" w:hAnsi="黑体" w:eastAsia="黑体"/>
          <w:color w:val="000000"/>
          <w:kern w:val="2"/>
          <w:sz w:val="32"/>
          <w:szCs w:val="22"/>
          <w:lang w:val="zh-CN"/>
        </w:rPr>
        <w:t>六、一般公共预算财政拨款基本支出决算情况说明</w:t>
      </w:r>
      <w:bookmarkEnd w:id="40"/>
      <w:r>
        <w:rPr>
          <w:rFonts w:hint="eastAsia" w:ascii="黑体" w:hAnsi="黑体" w:eastAsia="黑体"/>
          <w:color w:val="000000"/>
          <w:kern w:val="2"/>
          <w:sz w:val="32"/>
          <w:szCs w:val="22"/>
          <w:lang w:val="zh-CN"/>
        </w:rPr>
        <w:tab/>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2022年一般公共预算财政拨款基本支出354.09万元，其中：</w:t>
      </w:r>
    </w:p>
    <w:p>
      <w:pPr>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人员经费</w:t>
      </w:r>
      <w:r>
        <w:rPr>
          <w:rFonts w:hint="eastAsia" w:ascii="仿宋_GB2312" w:hAnsi="仿宋_GB2312" w:eastAsia="仿宋_GB2312"/>
          <w:color w:val="000000"/>
          <w:kern w:val="2"/>
          <w:sz w:val="32"/>
          <w:lang w:val="zh-CN"/>
        </w:rPr>
        <w:t>298.52万元，主要包括：</w:t>
      </w:r>
      <w:r>
        <w:rPr>
          <w:rFonts w:hint="eastAsia" w:ascii="仿宋" w:hAnsi="仿宋" w:eastAsia="仿宋"/>
          <w:color w:val="auto"/>
          <w:kern w:val="2"/>
          <w:sz w:val="32"/>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lang w:val="zh-CN"/>
        </w:rPr>
        <w:t>。</w:t>
      </w:r>
    </w:p>
    <w:p>
      <w:pPr>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公用经费</w:t>
      </w:r>
      <w:r>
        <w:rPr>
          <w:rFonts w:hint="eastAsia" w:ascii="仿宋_GB2312" w:hAnsi="仿宋_GB2312" w:eastAsia="仿宋_GB2312"/>
          <w:color w:val="000000"/>
          <w:kern w:val="2"/>
          <w:sz w:val="32"/>
          <w:lang w:val="zh-CN"/>
        </w:rPr>
        <w:t>55.57万元，主要包括：</w:t>
      </w:r>
      <w:r>
        <w:rPr>
          <w:rFonts w:hint="eastAsia" w:ascii="仿宋" w:hAnsi="仿宋" w:eastAsia="仿宋"/>
          <w:color w:val="auto"/>
          <w:kern w:val="2"/>
          <w:sz w:val="32"/>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lang w:val="zh-CN"/>
        </w:rPr>
        <w:t>。</w:t>
      </w:r>
    </w:p>
    <w:p>
      <w:pPr>
        <w:pStyle w:val="4"/>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41" w:name="_Toc29786_WPSOffice_Level2"/>
      <w:r>
        <w:rPr>
          <w:rFonts w:hint="eastAsia" w:ascii="黑体" w:hAnsi="黑体" w:eastAsia="黑体"/>
          <w:color w:val="000000"/>
          <w:kern w:val="2"/>
          <w:sz w:val="32"/>
          <w:szCs w:val="22"/>
          <w:lang w:val="zh-CN"/>
        </w:rPr>
        <w:t>七、</w:t>
      </w:r>
      <w:r>
        <w:rPr>
          <w:rFonts w:hint="default" w:ascii="黑体" w:hAnsi="黑体" w:eastAsia="黑体"/>
          <w:color w:val="000000"/>
          <w:kern w:val="2"/>
          <w:sz w:val="32"/>
          <w:szCs w:val="22"/>
          <w:lang w:val="zh-CN"/>
        </w:rPr>
        <w:t>“</w:t>
      </w:r>
      <w:r>
        <w:rPr>
          <w:rFonts w:hint="eastAsia" w:ascii="黑体" w:hAnsi="黑体" w:eastAsia="黑体"/>
          <w:color w:val="000000"/>
          <w:kern w:val="2"/>
          <w:sz w:val="32"/>
          <w:szCs w:val="22"/>
          <w:lang w:val="zh-CN"/>
        </w:rPr>
        <w:t>三公</w:t>
      </w:r>
      <w:r>
        <w:rPr>
          <w:rFonts w:hint="default" w:ascii="黑体" w:hAnsi="黑体" w:eastAsia="黑体"/>
          <w:color w:val="000000"/>
          <w:kern w:val="2"/>
          <w:sz w:val="32"/>
          <w:szCs w:val="22"/>
          <w:lang w:val="zh-CN"/>
        </w:rPr>
        <w:t>”</w:t>
      </w:r>
      <w:r>
        <w:rPr>
          <w:rFonts w:hint="eastAsia" w:ascii="黑体" w:hAnsi="黑体" w:eastAsia="黑体"/>
          <w:color w:val="000000"/>
          <w:kern w:val="2"/>
          <w:sz w:val="32"/>
          <w:szCs w:val="22"/>
          <w:lang w:val="zh-CN"/>
        </w:rPr>
        <w:t>经费财政拨款支出决算情况说明</w:t>
      </w:r>
      <w:bookmarkEnd w:id="41"/>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（一）</w:t>
      </w:r>
      <w:r>
        <w:rPr>
          <w:rFonts w:hint="default" w:ascii="仿宋_GB2312" w:hAnsi="仿宋_GB2312" w:eastAsia="仿宋_GB2312"/>
          <w:b/>
          <w:color w:val="000000"/>
          <w:kern w:val="2"/>
          <w:sz w:val="32"/>
          <w:lang w:val="zh-CN"/>
        </w:rPr>
        <w:t>“</w:t>
      </w:r>
      <w:r>
        <w:rPr>
          <w:rFonts w:hint="eastAsia" w:ascii="仿宋_GB2312" w:hAnsi="仿宋_GB2312" w:eastAsia="仿宋_GB2312"/>
          <w:b/>
          <w:color w:val="000000"/>
          <w:kern w:val="2"/>
          <w:sz w:val="32"/>
          <w:lang w:val="zh-CN"/>
        </w:rPr>
        <w:t>三公</w:t>
      </w:r>
      <w:r>
        <w:rPr>
          <w:rFonts w:hint="default" w:ascii="仿宋_GB2312" w:hAnsi="仿宋_GB2312" w:eastAsia="仿宋_GB2312"/>
          <w:b/>
          <w:color w:val="000000"/>
          <w:kern w:val="2"/>
          <w:sz w:val="32"/>
          <w:lang w:val="zh-CN"/>
        </w:rPr>
        <w:t>”</w:t>
      </w:r>
      <w:r>
        <w:rPr>
          <w:rFonts w:hint="eastAsia" w:ascii="仿宋_GB2312" w:hAnsi="仿宋_GB2312" w:eastAsia="仿宋_GB2312"/>
          <w:b/>
          <w:color w:val="000000"/>
          <w:kern w:val="2"/>
          <w:sz w:val="32"/>
          <w:lang w:val="zh-CN"/>
        </w:rPr>
        <w:t>经费财政拨款支出决算总体情况说明</w:t>
      </w:r>
    </w:p>
    <w:p>
      <w:pPr>
        <w:keepNext/>
        <w:keepLines/>
        <w:spacing w:beforeLines="0" w:afterLines="0" w:line="576" w:lineRule="exact"/>
        <w:ind w:firstLine="640"/>
        <w:jc w:val="both"/>
        <w:rPr>
          <w:rFonts w:hint="eastAsia" w:ascii="仿宋" w:hAnsi="仿宋" w:eastAsia="仿宋"/>
          <w:b/>
          <w:color w:val="auto"/>
          <w:kern w:val="2"/>
          <w:sz w:val="32"/>
          <w:lang w:val="en-US"/>
        </w:rPr>
      </w:pPr>
      <w:r>
        <w:rPr>
          <w:rFonts w:hint="eastAsia" w:ascii="仿宋_GB2312" w:hAnsi="仿宋_GB2312" w:eastAsia="仿宋_GB2312"/>
          <w:color w:val="000000"/>
          <w:kern w:val="2"/>
          <w:sz w:val="32"/>
          <w:lang w:val="zh-CN"/>
        </w:rPr>
        <w:t>2022年</w:t>
      </w:r>
      <w:r>
        <w:rPr>
          <w:rFonts w:hint="default" w:ascii="仿宋_GB2312" w:hAnsi="仿宋_GB2312" w:eastAsia="仿宋_GB2312"/>
          <w:color w:val="000000"/>
          <w:kern w:val="2"/>
          <w:sz w:val="32"/>
          <w:lang w:val="zh-CN"/>
        </w:rPr>
        <w:t>“</w:t>
      </w:r>
      <w:r>
        <w:rPr>
          <w:rFonts w:hint="eastAsia" w:ascii="仿宋_GB2312" w:hAnsi="仿宋_GB2312" w:eastAsia="仿宋_GB2312"/>
          <w:color w:val="000000"/>
          <w:kern w:val="2"/>
          <w:sz w:val="32"/>
          <w:lang w:val="zh-CN"/>
        </w:rPr>
        <w:t>三公</w:t>
      </w:r>
      <w:r>
        <w:rPr>
          <w:rFonts w:hint="default" w:ascii="仿宋_GB2312" w:hAnsi="仿宋_GB2312" w:eastAsia="仿宋_GB2312"/>
          <w:color w:val="000000"/>
          <w:kern w:val="2"/>
          <w:sz w:val="32"/>
          <w:lang w:val="zh-CN"/>
        </w:rPr>
        <w:t>”</w:t>
      </w:r>
      <w:r>
        <w:rPr>
          <w:rFonts w:hint="eastAsia" w:ascii="仿宋_GB2312" w:hAnsi="仿宋_GB2312" w:eastAsia="仿宋_GB2312"/>
          <w:color w:val="000000"/>
          <w:kern w:val="2"/>
          <w:sz w:val="32"/>
          <w:lang w:val="zh-CN"/>
        </w:rPr>
        <w:t>经费财政拨款支出决算为1.83万元，完成预算45.8%；较上年增加0.04万元，增长2.2%。决算数小于预算数的主要原因是</w:t>
      </w:r>
      <w:r>
        <w:rPr>
          <w:rFonts w:hint="eastAsia" w:ascii="仿宋_GB2312" w:hAnsi="仿宋_GB2312" w:eastAsia="仿宋_GB2312" w:cs="仿宋_GB2312"/>
          <w:color w:val="444444"/>
          <w:sz w:val="32"/>
          <w:szCs w:val="32"/>
        </w:rPr>
        <w:t>按照《党政机关厉行节约反对浪费条例》及省、市、区相关要求，简化接待工作；规范公务用车管理，降低了公务接待费和公务用车运行成本</w:t>
      </w:r>
      <w:r>
        <w:rPr>
          <w:rFonts w:hint="eastAsia" w:ascii="仿宋" w:hAnsi="仿宋" w:eastAsia="仿宋"/>
          <w:color w:val="000000"/>
          <w:sz w:val="32"/>
          <w:szCs w:val="32"/>
        </w:rPr>
        <w:t>。</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（二）</w:t>
      </w:r>
      <w:r>
        <w:rPr>
          <w:rFonts w:hint="default" w:ascii="仿宋_GB2312" w:hAnsi="仿宋_GB2312" w:eastAsia="仿宋_GB2312"/>
          <w:b/>
          <w:color w:val="000000"/>
          <w:kern w:val="2"/>
          <w:sz w:val="32"/>
          <w:lang w:val="zh-CN"/>
        </w:rPr>
        <w:t>“</w:t>
      </w:r>
      <w:r>
        <w:rPr>
          <w:rFonts w:hint="eastAsia" w:ascii="仿宋_GB2312" w:hAnsi="仿宋_GB2312" w:eastAsia="仿宋_GB2312"/>
          <w:b/>
          <w:color w:val="000000"/>
          <w:kern w:val="2"/>
          <w:sz w:val="32"/>
          <w:lang w:val="zh-CN"/>
        </w:rPr>
        <w:t>三公</w:t>
      </w:r>
      <w:r>
        <w:rPr>
          <w:rFonts w:hint="default" w:ascii="仿宋_GB2312" w:hAnsi="仿宋_GB2312" w:eastAsia="仿宋_GB2312"/>
          <w:b/>
          <w:color w:val="000000"/>
          <w:kern w:val="2"/>
          <w:sz w:val="32"/>
          <w:lang w:val="zh-CN"/>
        </w:rPr>
        <w:t>”</w:t>
      </w:r>
      <w:r>
        <w:rPr>
          <w:rFonts w:hint="eastAsia" w:ascii="仿宋_GB2312" w:hAnsi="仿宋_GB2312" w:eastAsia="仿宋_GB2312"/>
          <w:b/>
          <w:color w:val="000000"/>
          <w:kern w:val="2"/>
          <w:sz w:val="32"/>
          <w:lang w:val="zh-CN"/>
        </w:rPr>
        <w:t>经费财政拨款支出决算具体情况说明</w:t>
      </w:r>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w:t>
      </w:r>
      <w:r>
        <w:rPr>
          <w:rFonts w:hint="default" w:ascii="仿宋_GB2312" w:hAnsi="仿宋_GB2312" w:eastAsia="仿宋_GB2312"/>
          <w:color w:val="000000"/>
          <w:kern w:val="2"/>
          <w:sz w:val="32"/>
          <w:lang w:val="zh-CN"/>
        </w:rPr>
        <w:t>“</w:t>
      </w:r>
      <w:r>
        <w:rPr>
          <w:rFonts w:hint="eastAsia" w:ascii="仿宋_GB2312" w:hAnsi="仿宋_GB2312" w:eastAsia="仿宋_GB2312"/>
          <w:color w:val="000000"/>
          <w:kern w:val="2"/>
          <w:sz w:val="32"/>
          <w:lang w:val="zh-CN"/>
        </w:rPr>
        <w:t>三公</w:t>
      </w:r>
      <w:r>
        <w:rPr>
          <w:rFonts w:hint="default" w:ascii="仿宋_GB2312" w:hAnsi="仿宋_GB2312" w:eastAsia="仿宋_GB2312"/>
          <w:color w:val="000000"/>
          <w:kern w:val="2"/>
          <w:sz w:val="32"/>
          <w:lang w:val="zh-CN"/>
        </w:rPr>
        <w:t>”</w:t>
      </w:r>
      <w:r>
        <w:rPr>
          <w:rFonts w:hint="eastAsia" w:ascii="仿宋_GB2312" w:hAnsi="仿宋_GB2312" w:eastAsia="仿宋_GB2312"/>
          <w:color w:val="000000"/>
          <w:kern w:val="2"/>
          <w:sz w:val="32"/>
          <w:lang w:val="zh-CN"/>
        </w:rPr>
        <w:t>经费财政拨款支出决算中，因公出国（境）费支出决算0万元，占0%；公务用车购置及运行维护费支出决算0.92万元，占50.3%；公务接待费支出决算0.91万元，占49.7%。具体情况如下：</w:t>
      </w:r>
    </w:p>
    <w:p>
      <w:pPr>
        <w:spacing w:beforeLines="0" w:afterLines="0" w:line="600" w:lineRule="exact"/>
        <w:ind w:firstLine="640"/>
        <w:jc w:val="both"/>
        <w:rPr>
          <w:rFonts w:hint="eastAsia" w:ascii="仿宋" w:hAnsi="仿宋" w:eastAsia="仿宋"/>
          <w:color w:val="auto"/>
          <w:kern w:val="2"/>
          <w:sz w:val="32"/>
          <w:lang w:val="en-US"/>
        </w:rPr>
      </w:pPr>
    </w:p>
    <w:p>
      <w:pPr>
        <w:pStyle w:val="2"/>
        <w:rPr>
          <w:rFonts w:hint="eastAsia" w:eastAsia="仿宋"/>
          <w:lang w:val="en-US" w:eastAsia="zh-CN"/>
        </w:rPr>
      </w:pPr>
      <w:r>
        <w:rPr>
          <w:rFonts w:hint="eastAsia" w:eastAsia="仿宋"/>
          <w:lang w:val="en-US" w:eastAsia="zh-CN"/>
        </w:rPr>
        <w:drawing>
          <wp:inline distT="0" distB="0" distL="114300" distR="114300">
            <wp:extent cx="5450840" cy="3828415"/>
            <wp:effectExtent l="0" t="0" r="16510" b="6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jc w:val="center"/>
        <w:rPr>
          <w:rFonts w:hint="eastAsia" w:eastAsia="仿宋"/>
          <w:lang w:val="en-US" w:eastAsia="zh-CN"/>
        </w:rPr>
      </w:pPr>
      <w:r>
        <w:rPr>
          <w:rFonts w:hint="eastAsia" w:ascii="仿宋" w:hAnsi="仿宋" w:eastAsia="仿宋"/>
          <w:color w:val="auto"/>
          <w:kern w:val="2"/>
          <w:sz w:val="32"/>
          <w:lang w:val="en-US"/>
        </w:rPr>
        <w:t>图7：</w:t>
      </w:r>
      <w:r>
        <w:rPr>
          <w:rFonts w:hint="default" w:ascii="仿宋" w:hAnsi="仿宋" w:eastAsia="仿宋"/>
          <w:color w:val="auto"/>
          <w:kern w:val="2"/>
          <w:sz w:val="32"/>
          <w:lang w:val="en-US"/>
        </w:rPr>
        <w:t>“</w:t>
      </w:r>
      <w:r>
        <w:rPr>
          <w:rFonts w:hint="eastAsia" w:ascii="仿宋" w:hAnsi="仿宋" w:eastAsia="仿宋"/>
          <w:color w:val="auto"/>
          <w:kern w:val="2"/>
          <w:sz w:val="32"/>
          <w:lang w:val="en-US"/>
        </w:rPr>
        <w:t>三公</w:t>
      </w:r>
      <w:r>
        <w:rPr>
          <w:rFonts w:hint="default" w:ascii="仿宋" w:hAnsi="仿宋" w:eastAsia="仿宋"/>
          <w:color w:val="auto"/>
          <w:kern w:val="2"/>
          <w:sz w:val="32"/>
          <w:lang w:val="en-US"/>
        </w:rPr>
        <w:t>”</w:t>
      </w:r>
      <w:r>
        <w:rPr>
          <w:rFonts w:hint="eastAsia" w:ascii="仿宋" w:hAnsi="仿宋" w:eastAsia="仿宋"/>
          <w:color w:val="auto"/>
          <w:kern w:val="2"/>
          <w:sz w:val="32"/>
          <w:lang w:val="en-US"/>
        </w:rPr>
        <w:t>经费财政拨款支出结构（</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pStyle w:val="2"/>
        <w:numPr>
          <w:ilvl w:val="0"/>
          <w:numId w:val="1"/>
        </w:numPr>
        <w:ind w:firstLine="643" w:firstLineChars="200"/>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因公出国（境）经费</w:t>
      </w:r>
      <w:r>
        <w:rPr>
          <w:rFonts w:hint="eastAsia" w:ascii="仿宋_GB2312" w:hAnsi="仿宋_GB2312" w:eastAsia="仿宋_GB2312"/>
          <w:color w:val="000000"/>
          <w:kern w:val="2"/>
          <w:sz w:val="32"/>
          <w:lang w:val="zh-CN"/>
        </w:rPr>
        <w:t>支出0万元，完成预算0%。全年安排因公出国（境）团组0个，出国（境）0人。因公出国（境）支出决算与2021年持平。</w:t>
      </w:r>
    </w:p>
    <w:p>
      <w:pPr>
        <w:pStyle w:val="2"/>
        <w:numPr>
          <w:ilvl w:val="0"/>
          <w:numId w:val="1"/>
        </w:numPr>
        <w:ind w:left="0" w:leftChars="0" w:firstLine="643" w:firstLineChars="200"/>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公务用车购置及运行维护费</w:t>
      </w:r>
      <w:r>
        <w:rPr>
          <w:rFonts w:hint="eastAsia" w:ascii="仿宋_GB2312" w:hAnsi="仿宋_GB2312" w:eastAsia="仿宋_GB2312"/>
          <w:color w:val="000000"/>
          <w:kern w:val="2"/>
          <w:sz w:val="32"/>
          <w:lang w:val="zh-CN"/>
        </w:rPr>
        <w:t>支出0.92万元，完成预算46%。公务用车购置及运行维护费支出决算比2021年增加0.05万元，增长5.7%。主要原因是</w:t>
      </w:r>
      <w:r>
        <w:rPr>
          <w:rFonts w:hint="eastAsia" w:ascii="仿宋_GB2312" w:eastAsia="仿宋_GB2312"/>
          <w:color w:val="000000"/>
          <w:sz w:val="32"/>
          <w:szCs w:val="32"/>
          <w:lang w:eastAsia="zh-CN"/>
        </w:rPr>
        <w:t>车辆年限长，车况老化，费用有所增加</w:t>
      </w:r>
      <w:r>
        <w:rPr>
          <w:rFonts w:hint="eastAsia" w:ascii="仿宋_GB2312" w:hAnsi="仿宋_GB2312" w:eastAsia="仿宋_GB2312"/>
          <w:color w:val="000000"/>
          <w:kern w:val="2"/>
          <w:sz w:val="32"/>
          <w:lang w:val="zh-CN"/>
        </w:rPr>
        <w:t>。</w:t>
      </w:r>
    </w:p>
    <w:p>
      <w:pPr>
        <w:pStyle w:val="2"/>
        <w:numPr>
          <w:ilvl w:val="0"/>
          <w:numId w:val="0"/>
        </w:numPr>
        <w:ind w:firstLine="640" w:firstLineChars="200"/>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其中：</w:t>
      </w:r>
      <w:r>
        <w:rPr>
          <w:rFonts w:hint="eastAsia" w:ascii="仿宋_GB2312" w:hAnsi="仿宋_GB2312" w:eastAsia="仿宋_GB2312"/>
          <w:b/>
          <w:color w:val="000000"/>
          <w:kern w:val="2"/>
          <w:sz w:val="32"/>
          <w:lang w:val="zh-CN"/>
        </w:rPr>
        <w:t>公务用车购置费</w:t>
      </w:r>
      <w:r>
        <w:rPr>
          <w:rFonts w:hint="eastAsia" w:ascii="仿宋_GB2312" w:hAnsi="仿宋_GB2312" w:eastAsia="仿宋_GB2312"/>
          <w:color w:val="000000"/>
          <w:kern w:val="2"/>
          <w:sz w:val="32"/>
          <w:lang w:val="zh-CN"/>
        </w:rPr>
        <w:t>支出0万元。全年按规定更新购置公务用车0辆，其中：轿车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辆、金额</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万元，越野车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辆、金额</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万元，小型载客汽车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辆、金额</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万元，大中型载客汽车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辆、金额</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万元，其他车型</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辆、金额</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万元。截至2022年12月底，本部门共有公务用车1辆，其中：轿车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辆、越野车</w:t>
      </w:r>
      <w:r>
        <w:rPr>
          <w:rFonts w:hint="eastAsia" w:ascii="仿宋_GB2312" w:hAnsi="仿宋_GB2312" w:eastAsia="仿宋_GB2312"/>
          <w:color w:val="000000"/>
          <w:kern w:val="2"/>
          <w:sz w:val="32"/>
          <w:lang w:val="en-US" w:eastAsia="zh-CN"/>
        </w:rPr>
        <w:t>1</w:t>
      </w:r>
      <w:r>
        <w:rPr>
          <w:rFonts w:hint="eastAsia" w:ascii="仿宋_GB2312" w:hAnsi="仿宋_GB2312" w:eastAsia="仿宋_GB2312"/>
          <w:color w:val="000000"/>
          <w:kern w:val="2"/>
          <w:sz w:val="32"/>
          <w:lang w:val="zh-CN"/>
        </w:rPr>
        <w:t>辆、小型载客汽车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辆、大中型载客汽车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辆、其他车型</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w:t>
      </w:r>
    </w:p>
    <w:p>
      <w:pPr>
        <w:keepNext/>
        <w:keepLines/>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公务用车运行维护费</w:t>
      </w:r>
      <w:r>
        <w:rPr>
          <w:rFonts w:hint="eastAsia" w:ascii="仿宋_GB2312" w:hAnsi="仿宋_GB2312" w:eastAsia="仿宋_GB2312"/>
          <w:color w:val="000000"/>
          <w:kern w:val="2"/>
          <w:sz w:val="32"/>
          <w:lang w:val="zh-CN"/>
        </w:rPr>
        <w:t>支出0.92万元。主要用于</w:t>
      </w:r>
      <w:r>
        <w:rPr>
          <w:rFonts w:hint="eastAsia" w:ascii="仿宋_GB2312" w:hAnsi="仿宋_GB2312" w:eastAsia="仿宋_GB2312" w:cs="仿宋_GB2312"/>
          <w:color w:val="000000"/>
          <w:sz w:val="32"/>
          <w:szCs w:val="32"/>
        </w:rPr>
        <w:t>海事管理，公路水路安全生产和应急管理，抢险救灾</w:t>
      </w:r>
      <w:r>
        <w:rPr>
          <w:rFonts w:hint="eastAsia" w:ascii="仿宋_GB2312" w:eastAsia="仿宋_GB2312"/>
          <w:color w:val="000000"/>
          <w:sz w:val="32"/>
          <w:szCs w:val="32"/>
        </w:rPr>
        <w:t>等所需的公务用车燃料费、维修费、过路过桥费、保险费等支出。</w:t>
      </w:r>
    </w:p>
    <w:p>
      <w:pPr>
        <w:keepNext/>
        <w:keepLines/>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3.公务接待费</w:t>
      </w:r>
      <w:r>
        <w:rPr>
          <w:rFonts w:hint="eastAsia" w:ascii="仿宋_GB2312" w:hAnsi="仿宋_GB2312" w:eastAsia="仿宋_GB2312"/>
          <w:color w:val="000000"/>
          <w:kern w:val="2"/>
          <w:sz w:val="32"/>
          <w:lang w:val="zh-CN"/>
        </w:rPr>
        <w:t>支出0.91万元，完成预算45.5%。公务接待费支出决算比2021年减少0.01万元，下降1.1%。主要原因是</w:t>
      </w:r>
      <w:r>
        <w:rPr>
          <w:rFonts w:hint="eastAsia" w:ascii="仿宋_GB2312" w:eastAsia="仿宋_GB2312"/>
          <w:sz w:val="32"/>
          <w:szCs w:val="32"/>
          <w:lang w:eastAsia="zh-CN"/>
        </w:rPr>
        <w:t>严格执行中央八项规定，严格控制公务接待数量，厉行节约</w:t>
      </w:r>
      <w:r>
        <w:rPr>
          <w:rFonts w:hint="eastAsia" w:ascii="仿宋_GB2312" w:hAnsi="仿宋_GB2312" w:eastAsia="仿宋_GB2312"/>
          <w:color w:val="000000"/>
          <w:kern w:val="2"/>
          <w:sz w:val="32"/>
          <w:lang w:val="zh-CN"/>
        </w:rPr>
        <w:t>。其中：</w:t>
      </w:r>
    </w:p>
    <w:p>
      <w:pPr>
        <w:keepNext/>
        <w:keepLines/>
        <w:spacing w:beforeLines="0" w:afterLines="0" w:line="576" w:lineRule="exact"/>
        <w:ind w:firstLine="643"/>
        <w:jc w:val="both"/>
        <w:rPr>
          <w:rFonts w:hint="eastAsia" w:ascii="仿宋_GB2312" w:hAnsi="仿宋_GB2312" w:eastAsia="仿宋_GB2312"/>
          <w:color w:val="000000"/>
          <w:kern w:val="2"/>
          <w:sz w:val="32"/>
          <w:lang w:val="en-US"/>
        </w:rPr>
      </w:pPr>
      <w:r>
        <w:rPr>
          <w:rFonts w:hint="eastAsia" w:ascii="仿宋_GB2312" w:hAnsi="仿宋_GB2312" w:eastAsia="仿宋_GB2312"/>
          <w:b/>
          <w:color w:val="000000"/>
          <w:kern w:val="2"/>
          <w:sz w:val="32"/>
          <w:lang w:val="zh-CN"/>
        </w:rPr>
        <w:t>国内公务接待</w:t>
      </w:r>
      <w:r>
        <w:rPr>
          <w:rFonts w:hint="eastAsia" w:ascii="仿宋_GB2312" w:hAnsi="仿宋_GB2312" w:eastAsia="仿宋_GB2312"/>
          <w:color w:val="000000"/>
          <w:kern w:val="2"/>
          <w:sz w:val="32"/>
          <w:lang w:val="zh-CN"/>
        </w:rPr>
        <w:t>支出0.91万元。主要用于</w:t>
      </w:r>
      <w:r>
        <w:rPr>
          <w:rFonts w:hint="eastAsia" w:ascii="仿宋_GB2312" w:hAnsi="仿宋_GB2312" w:eastAsia="仿宋_GB2312"/>
          <w:color w:val="000000"/>
          <w:kern w:val="2"/>
          <w:sz w:val="32"/>
          <w:highlight w:val="white"/>
          <w:lang w:val="en-US"/>
        </w:rPr>
        <w:t>执行公务、开展业务活动开支的交通费、住宿费、用餐费等。</w:t>
      </w:r>
      <w:r>
        <w:rPr>
          <w:rFonts w:hint="eastAsia" w:ascii="仿宋_GB2312" w:hAnsi="仿宋_GB2312" w:eastAsia="仿宋_GB2312"/>
          <w:color w:val="000000"/>
          <w:kern w:val="2"/>
          <w:sz w:val="32"/>
          <w:lang w:val="zh-CN"/>
        </w:rPr>
        <w:t>国内公务接待11批次，111人次，共计支出0.91万元，</w:t>
      </w:r>
      <w:r>
        <w:rPr>
          <w:rFonts w:hint="eastAsia" w:ascii="仿宋_GB2312" w:hAnsi="仿宋_GB2312" w:eastAsia="仿宋_GB2312"/>
          <w:color w:val="auto"/>
          <w:kern w:val="2"/>
          <w:sz w:val="32"/>
          <w:lang w:val="zh-CN"/>
        </w:rPr>
        <w:t>具体内容包括：</w:t>
      </w:r>
      <w:r>
        <w:rPr>
          <w:rFonts w:hint="eastAsia" w:ascii="仿宋_GB2312" w:hAnsi="仿宋_GB2312" w:eastAsia="仿宋_GB2312"/>
          <w:color w:val="auto"/>
          <w:kern w:val="2"/>
          <w:sz w:val="32"/>
          <w:highlight w:val="white"/>
          <w:lang w:val="en-US" w:eastAsia="zh-CN"/>
        </w:rPr>
        <w:t>相关单位到我区交流学习接待0.91万元</w:t>
      </w:r>
      <w:r>
        <w:rPr>
          <w:rFonts w:hint="eastAsia" w:ascii="仿宋_GB2312" w:hAnsi="仿宋_GB2312" w:eastAsia="仿宋_GB2312"/>
          <w:color w:val="000000"/>
          <w:kern w:val="2"/>
          <w:sz w:val="32"/>
          <w:highlight w:val="white"/>
          <w:lang w:val="en-US"/>
        </w:rPr>
        <w:t>。</w:t>
      </w:r>
    </w:p>
    <w:p>
      <w:pPr>
        <w:keepNext/>
        <w:keepLines/>
        <w:spacing w:beforeLines="0" w:afterLines="0" w:line="576" w:lineRule="exact"/>
        <w:ind w:firstLine="643"/>
        <w:jc w:val="both"/>
        <w:rPr>
          <w:rFonts w:hint="eastAsia" w:ascii="仿宋_GB2312" w:hAnsi="仿宋_GB2312" w:eastAsia="仿宋_GB2312"/>
          <w:color w:val="000000"/>
          <w:kern w:val="2"/>
          <w:sz w:val="32"/>
          <w:lang w:val="en-US"/>
        </w:rPr>
      </w:pPr>
      <w:r>
        <w:rPr>
          <w:rFonts w:hint="eastAsia" w:ascii="仿宋_GB2312" w:hAnsi="仿宋_GB2312" w:eastAsia="仿宋_GB2312"/>
          <w:b/>
          <w:color w:val="000000"/>
          <w:kern w:val="2"/>
          <w:sz w:val="32"/>
          <w:lang w:val="zh-CN"/>
        </w:rPr>
        <w:t>外事接待</w:t>
      </w:r>
      <w:r>
        <w:rPr>
          <w:rFonts w:hint="eastAsia" w:ascii="仿宋_GB2312" w:hAnsi="仿宋_GB2312" w:eastAsia="仿宋_GB2312"/>
          <w:color w:val="000000"/>
          <w:kern w:val="2"/>
          <w:sz w:val="32"/>
          <w:lang w:val="zh-CN"/>
        </w:rPr>
        <w:t>支出0万元，外事接待0批次，0人，共计支出0万元。</w:t>
      </w:r>
    </w:p>
    <w:p>
      <w:pPr>
        <w:pStyle w:val="4"/>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42" w:name="_Toc9463_WPSOffice_Level2"/>
      <w:r>
        <w:rPr>
          <w:rFonts w:hint="eastAsia" w:ascii="黑体" w:hAnsi="黑体" w:eastAsia="黑体"/>
          <w:color w:val="000000"/>
          <w:kern w:val="2"/>
          <w:sz w:val="32"/>
          <w:szCs w:val="22"/>
          <w:lang w:val="zh-CN"/>
        </w:rPr>
        <w:t>八、政府性基金预算支出决算情况说明</w:t>
      </w:r>
      <w:bookmarkEnd w:id="42"/>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德阳市罗江区交通运输局（本级）2022年政府性基金预算拨款支出860.99万元，主要是安排用于农村公路交通建设项目的相关支出。</w:t>
      </w:r>
    </w:p>
    <w:p>
      <w:pPr>
        <w:pStyle w:val="4"/>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43" w:name="_Toc24793_WPSOffice_Level2"/>
      <w:r>
        <w:rPr>
          <w:rFonts w:hint="eastAsia" w:ascii="黑体" w:hAnsi="黑体" w:eastAsia="黑体"/>
          <w:color w:val="000000"/>
          <w:kern w:val="2"/>
          <w:sz w:val="32"/>
          <w:szCs w:val="22"/>
          <w:lang w:val="zh-CN"/>
        </w:rPr>
        <w:t>九、国有资本经营预算支出决算情况说明</w:t>
      </w:r>
      <w:bookmarkEnd w:id="43"/>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德阳市罗江区交通运输局（本级）2022年无国有资本经营预算拨款支出。</w:t>
      </w:r>
    </w:p>
    <w:p>
      <w:pPr>
        <w:pStyle w:val="4"/>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44" w:name="_Toc21300_WPSOffice_Level2"/>
      <w:r>
        <w:rPr>
          <w:rFonts w:hint="eastAsia" w:ascii="黑体" w:hAnsi="黑体" w:eastAsia="黑体"/>
          <w:color w:val="000000"/>
          <w:kern w:val="2"/>
          <w:sz w:val="32"/>
          <w:szCs w:val="22"/>
          <w:lang w:val="zh-CN"/>
        </w:rPr>
        <w:t>十、其他重要事项的情况说明</w:t>
      </w:r>
      <w:bookmarkEnd w:id="44"/>
    </w:p>
    <w:p>
      <w:pPr>
        <w:keepNext/>
        <w:keepLines/>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2022年，四川省德阳市罗江区交通运输局（本级）机关运行经费支出55.57万元，比2021年增加13.69万元，增长32.7%。主要原因是</w:t>
      </w:r>
      <w:r>
        <w:rPr>
          <w:rFonts w:hint="eastAsia" w:ascii="仿宋_GB2312" w:eastAsia="仿宋_GB2312"/>
          <w:color w:val="000000" w:themeColor="text1"/>
          <w:sz w:val="32"/>
          <w:szCs w:val="32"/>
          <w:lang w:eastAsia="zh-CN"/>
          <w14:textFill>
            <w14:solidFill>
              <w14:schemeClr w14:val="tx1"/>
            </w14:solidFill>
          </w14:textFill>
        </w:rPr>
        <w:t>新进录用人员和调入人员共增加</w:t>
      </w:r>
      <w:r>
        <w:rPr>
          <w:rFonts w:hint="eastAsia" w:ascii="仿宋_GB2312" w:eastAsia="仿宋_GB2312"/>
          <w:color w:val="000000" w:themeColor="text1"/>
          <w:sz w:val="32"/>
          <w:szCs w:val="32"/>
          <w:lang w:val="en-US" w:eastAsia="zh-CN"/>
          <w14:textFill>
            <w14:solidFill>
              <w14:schemeClr w14:val="tx1"/>
            </w14:solidFill>
          </w14:textFill>
        </w:rPr>
        <w:t>5人</w:t>
      </w:r>
      <w:r>
        <w:rPr>
          <w:rFonts w:hint="eastAsia" w:ascii="仿宋_GB2312" w:eastAsia="仿宋_GB2312"/>
          <w:color w:val="000000" w:themeColor="text1"/>
          <w:sz w:val="32"/>
          <w:szCs w:val="32"/>
          <w:lang w:eastAsia="zh-CN"/>
          <w14:textFill>
            <w14:solidFill>
              <w14:schemeClr w14:val="tx1"/>
            </w14:solidFill>
          </w14:textFill>
        </w:rPr>
        <w:t>，公用经费相应增加。</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四川省德阳市罗江区交通运输局（本级）政府采购支出总额0万元，其中：政府采购货物支出0万元、政府采购工程支出0万元、政府采购服务支出0万元。授予中小企业合同金额0万元，占政府采购支出总额的0%，其中：授予小微企业合同金额0万元，</w:t>
      </w:r>
      <w:r>
        <w:rPr>
          <w:rFonts w:hint="eastAsia" w:ascii="仿宋_GB2312" w:hAnsi="仿宋_GB2312" w:eastAsia="仿宋_GB2312"/>
          <w:color w:val="auto"/>
          <w:kern w:val="2"/>
          <w:sz w:val="32"/>
          <w:lang w:val="en-US"/>
        </w:rPr>
        <w:t>占政府采购支出总额的</w:t>
      </w:r>
      <w:r>
        <w:rPr>
          <w:rFonts w:hint="eastAsia" w:ascii="仿宋_GB2312" w:hAnsi="仿宋_GB2312" w:eastAsia="仿宋_GB2312"/>
          <w:color w:val="000000"/>
          <w:kern w:val="2"/>
          <w:sz w:val="32"/>
          <w:lang w:val="zh-CN"/>
        </w:rPr>
        <w:t>0%。</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（三）国有资产占有使用情况</w:t>
      </w:r>
    </w:p>
    <w:p>
      <w:pPr>
        <w:spacing w:beforeLines="0" w:afterLines="0" w:line="576" w:lineRule="exact"/>
        <w:ind w:firstLine="640"/>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截至2022年12月31日，四川省德阳市罗江区交通运输局（本级）共有车辆1辆，其中：副部（省）级及以上领导用车0辆、主要领导干部用车0辆、机要通信用车0辆、应急保障用车0辆、执法执勤用车1辆、特种专业技术用车0辆、离退休干部用车0辆、其他用车0辆。单价100万元（含）以上设备0台（套)。</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（四）预算绩效管理情况。</w:t>
      </w:r>
    </w:p>
    <w:p>
      <w:pPr>
        <w:spacing w:beforeLines="0" w:afterLines="0" w:line="576" w:lineRule="exact"/>
        <w:ind w:firstLine="643"/>
        <w:jc w:val="both"/>
        <w:rPr>
          <w:rFonts w:hint="eastAsia" w:ascii="仿宋_GB2312" w:hAnsi="仿宋_GB2312" w:eastAsia="仿宋_GB2312"/>
          <w:color w:val="auto"/>
          <w:kern w:val="2"/>
          <w:sz w:val="32"/>
          <w:lang w:val="en-US"/>
        </w:rPr>
      </w:pPr>
      <w:r>
        <w:rPr>
          <w:rFonts w:hint="eastAsia" w:ascii="仿宋_GB2312" w:hAnsi="仿宋_GB2312" w:eastAsia="仿宋_GB2312"/>
          <w:color w:val="auto"/>
          <w:kern w:val="2"/>
          <w:sz w:val="32"/>
          <w:lang w:val="en-US"/>
        </w:rPr>
        <w:t>根据预算绩效管理要求，本单位在</w:t>
      </w:r>
      <w:r>
        <w:rPr>
          <w:rFonts w:hint="eastAsia" w:ascii="仿宋_GB2312" w:hAnsi="仿宋_GB2312" w:eastAsia="仿宋_GB2312"/>
          <w:color w:val="auto"/>
          <w:kern w:val="2"/>
          <w:sz w:val="32"/>
          <w:lang w:val="en-US" w:eastAsia="zh-CN"/>
        </w:rPr>
        <w:t>2022</w:t>
      </w:r>
      <w:r>
        <w:rPr>
          <w:rFonts w:hint="eastAsia" w:ascii="仿宋_GB2312" w:hAnsi="仿宋_GB2312" w:eastAsia="仿宋_GB2312"/>
          <w:color w:val="auto"/>
          <w:kern w:val="2"/>
          <w:sz w:val="32"/>
          <w:lang w:val="en-US"/>
        </w:rPr>
        <w:t>年度预算编制阶段，组织对白马关旅游道路（广济桥至万佛寺段）改扩建工程和景观节点打造项目设计费</w:t>
      </w:r>
      <w:r>
        <w:rPr>
          <w:rFonts w:hint="eastAsia" w:ascii="仿宋_GB2312" w:hAnsi="仿宋_GB2312" w:eastAsia="仿宋_GB2312"/>
          <w:color w:val="auto"/>
          <w:kern w:val="2"/>
          <w:sz w:val="32"/>
          <w:lang w:val="en-US" w:eastAsia="zh-CN"/>
        </w:rPr>
        <w:t>、罗江区自然灾害综合风险公路承载体普查、G108线罗江区刘家桥危桥整治工程</w:t>
      </w:r>
      <w:r>
        <w:rPr>
          <w:rFonts w:hint="eastAsia" w:ascii="仿宋_GB2312" w:hAnsi="仿宋_GB2312" w:eastAsia="仿宋_GB2312"/>
          <w:color w:val="auto"/>
          <w:kern w:val="2"/>
          <w:sz w:val="32"/>
          <w:lang w:val="en-US"/>
        </w:rPr>
        <w:t>项目等</w:t>
      </w:r>
      <w:r>
        <w:rPr>
          <w:rFonts w:hint="eastAsia" w:ascii="仿宋_GB2312" w:hAnsi="仿宋_GB2312" w:eastAsia="仿宋_GB2312"/>
          <w:color w:val="auto"/>
          <w:kern w:val="2"/>
          <w:sz w:val="32"/>
          <w:lang w:val="en-US" w:eastAsia="zh-CN"/>
        </w:rPr>
        <w:t>15</w:t>
      </w:r>
      <w:r>
        <w:rPr>
          <w:rFonts w:hint="eastAsia" w:ascii="仿宋_GB2312" w:hAnsi="仿宋_GB2312" w:eastAsia="仿宋_GB2312"/>
          <w:color w:val="auto"/>
          <w:kern w:val="2"/>
          <w:sz w:val="32"/>
          <w:lang w:val="en-US"/>
        </w:rPr>
        <w:t>个项目开展了预算事前绩效评估，对</w:t>
      </w:r>
      <w:r>
        <w:rPr>
          <w:rFonts w:hint="eastAsia" w:ascii="仿宋_GB2312" w:hAnsi="仿宋_GB2312" w:eastAsia="仿宋_GB2312"/>
          <w:color w:val="auto"/>
          <w:kern w:val="2"/>
          <w:sz w:val="32"/>
          <w:lang w:val="en-US" w:eastAsia="zh-CN"/>
        </w:rPr>
        <w:t>15</w:t>
      </w:r>
      <w:r>
        <w:rPr>
          <w:rFonts w:hint="eastAsia" w:ascii="仿宋_GB2312" w:hAnsi="仿宋_GB2312" w:eastAsia="仿宋_GB2312"/>
          <w:color w:val="auto"/>
          <w:kern w:val="2"/>
          <w:sz w:val="32"/>
          <w:lang w:val="en-US"/>
        </w:rPr>
        <w:t>个项目编制了绩效目标，预算执行过程中，选取</w:t>
      </w:r>
      <w:r>
        <w:rPr>
          <w:rFonts w:hint="eastAsia" w:ascii="仿宋_GB2312" w:hAnsi="仿宋_GB2312" w:eastAsia="仿宋_GB2312"/>
          <w:color w:val="auto"/>
          <w:kern w:val="2"/>
          <w:sz w:val="32"/>
          <w:lang w:val="en-US" w:eastAsia="zh-CN"/>
        </w:rPr>
        <w:t>5</w:t>
      </w:r>
      <w:r>
        <w:rPr>
          <w:rFonts w:hint="eastAsia" w:ascii="仿宋_GB2312" w:hAnsi="仿宋_GB2312" w:eastAsia="仿宋_GB2312"/>
          <w:color w:val="auto"/>
          <w:kern w:val="2"/>
          <w:sz w:val="32"/>
          <w:lang w:val="en-US"/>
        </w:rPr>
        <w:t>个项目开展绩效监控，组织对</w:t>
      </w:r>
      <w:r>
        <w:rPr>
          <w:rFonts w:hint="eastAsia" w:ascii="仿宋_GB2312" w:hAnsi="仿宋_GB2312" w:eastAsia="仿宋_GB2312"/>
          <w:color w:val="auto"/>
          <w:kern w:val="2"/>
          <w:sz w:val="32"/>
          <w:lang w:val="en-US" w:eastAsia="zh-CN"/>
        </w:rPr>
        <w:t>15</w:t>
      </w:r>
      <w:r>
        <w:rPr>
          <w:rFonts w:hint="eastAsia" w:ascii="仿宋_GB2312" w:hAnsi="仿宋_GB2312" w:eastAsia="仿宋_GB2312"/>
          <w:color w:val="auto"/>
          <w:kern w:val="2"/>
          <w:sz w:val="32"/>
          <w:lang w:val="en-US"/>
        </w:rPr>
        <w:t>个项目开展绩效自评，绩效自评表详见第四部分附件。</w:t>
      </w:r>
    </w:p>
    <w:p>
      <w:pPr>
        <w:spacing w:beforeLines="0" w:afterLines="0" w:line="576" w:lineRule="exact"/>
        <w:ind w:firstLine="643"/>
        <w:jc w:val="both"/>
        <w:rPr>
          <w:rFonts w:hint="eastAsia" w:ascii="仿宋_GB2312" w:hAnsi="仿宋_GB2312" w:eastAsia="仿宋_GB2312"/>
          <w:b/>
          <w:color w:val="000000"/>
          <w:kern w:val="2"/>
          <w:sz w:val="32"/>
          <w:lang w:val="zh-CN"/>
        </w:rPr>
      </w:pPr>
    </w:p>
    <w:p>
      <w:pPr>
        <w:pStyle w:val="3"/>
        <w:bidi w:val="0"/>
        <w:jc w:val="center"/>
        <w:rPr>
          <w:rFonts w:hint="eastAsia"/>
          <w:lang w:val="zh-CN"/>
        </w:rPr>
      </w:pPr>
      <w:bookmarkStart w:id="45" w:name="_Toc1752_WPSOffice_Level1"/>
      <w:r>
        <w:rPr>
          <w:rFonts w:hint="eastAsia"/>
          <w:lang w:val="zh-CN"/>
        </w:rPr>
        <w:t>第三部分 名词解释</w:t>
      </w:r>
      <w:bookmarkEnd w:id="45"/>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1.财政拨款收入：指单位从同级财政部门取得的财政预算资金。</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2.事业收入：指事业单位开展专业业务活动及辅助活动取得的收入。</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en-US"/>
        </w:rPr>
        <w:t>.其他收入：指单位取得的除上述收入以外的各项收入。</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lang w:val="en-US"/>
        </w:rPr>
        <w:t xml:space="preserve">.使用非财政拨款结余：指事业单位使用以前年度积累的非财政拨款结余弥补当年收支差额的金额。 </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lang w:val="en-US"/>
        </w:rPr>
        <w:t xml:space="preserve">.年初结转和结余：指以前年度尚未完成、结转到本年按有关规定继续使用的资金。 </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lang w:val="en-US"/>
        </w:rPr>
        <w:t>.结余分配：指事业单位按照会计制度规定缴纳的所得税、提取的专用结余以及转入非财政拨款结余的金额等。</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eastAsia="zh-CN"/>
        </w:rPr>
        <w:t>7</w:t>
      </w:r>
      <w:r>
        <w:rPr>
          <w:rFonts w:hint="eastAsia" w:ascii="仿宋_GB2312" w:hAnsi="仿宋_GB2312" w:eastAsia="仿宋_GB2312"/>
          <w:color w:val="000000"/>
          <w:sz w:val="32"/>
          <w:lang w:val="en-US"/>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.社会保障和就业支出（类）行政事业单位养老支出（款）机关事业单位基本养老保险缴费支出（项）：指交通局机关实施养老保险制度由单位缴纳的基本养老保险支出。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.社会保障和就业支出（类）行政事业单位养老支出（款）机关事业单位职业年金缴费支出（项）：指交通局机关实施养老保险制度由单位缴纳的职业年金支出。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.社会保障和就业支出（类）行政事业单位养老支出（款）其他行政事业单位养老支出（项）：指交通局机关退休人员的相关支出。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.社会保障和就业支出（类）</w:t>
      </w:r>
      <w:r>
        <w:rPr>
          <w:rFonts w:hint="eastAsia" w:ascii="仿宋_GB2312" w:eastAsia="仿宋_GB2312"/>
          <w:color w:val="000000"/>
          <w:sz w:val="32"/>
          <w:szCs w:val="32"/>
          <w:lang w:eastAsia="zh-CN"/>
        </w:rPr>
        <w:t>其他社会保障和就业支出</w:t>
      </w:r>
      <w:r>
        <w:rPr>
          <w:rFonts w:hint="eastAsia" w:ascii="仿宋_GB2312" w:eastAsia="仿宋_GB2312"/>
          <w:color w:val="000000"/>
          <w:sz w:val="32"/>
          <w:szCs w:val="32"/>
        </w:rPr>
        <w:t>（款）其他</w:t>
      </w:r>
      <w:r>
        <w:rPr>
          <w:rFonts w:hint="eastAsia" w:ascii="仿宋_GB2312" w:eastAsia="仿宋_GB2312"/>
          <w:color w:val="000000"/>
          <w:sz w:val="32"/>
          <w:szCs w:val="32"/>
          <w:lang w:eastAsia="zh-CN"/>
        </w:rPr>
        <w:t>社会保障和就业</w:t>
      </w:r>
      <w:r>
        <w:rPr>
          <w:rFonts w:hint="eastAsia" w:ascii="仿宋_GB2312" w:eastAsia="仿宋_GB2312"/>
          <w:color w:val="000000"/>
          <w:sz w:val="32"/>
          <w:szCs w:val="32"/>
        </w:rPr>
        <w:t>支出（项）：指交通局机关</w:t>
      </w:r>
      <w:r>
        <w:rPr>
          <w:rFonts w:hint="eastAsia" w:ascii="仿宋_GB2312" w:eastAsia="仿宋_GB2312"/>
          <w:color w:val="000000"/>
          <w:sz w:val="32"/>
          <w:szCs w:val="32"/>
          <w:lang w:eastAsia="zh-CN"/>
        </w:rPr>
        <w:t>为职工缴纳的工伤保险</w:t>
      </w:r>
      <w:r>
        <w:rPr>
          <w:rFonts w:hint="eastAsia" w:ascii="仿宋_GB2312" w:eastAsia="仿宋_GB2312"/>
          <w:color w:val="000000"/>
          <w:sz w:val="32"/>
          <w:szCs w:val="32"/>
        </w:rPr>
        <w:t>支出。</w:t>
      </w:r>
    </w:p>
    <w:p>
      <w:pPr>
        <w:spacing w:beforeLines="0" w:afterLines="0" w:line="576" w:lineRule="exact"/>
        <w:ind w:firstLine="64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.卫生健康支出（类）公共卫生（款）  突发公共卫生事件应急处理（项）：指用于突发公共卫生事件应急处理的支出。</w:t>
      </w:r>
      <w:r>
        <w:rPr>
          <w:rFonts w:hint="eastAsia" w:ascii="仿宋_GB2312" w:hAnsi="仿宋_GB2312" w:eastAsia="仿宋_GB2312" w:cs="仿宋_GB2312"/>
          <w:color w:val="000000"/>
          <w:sz w:val="32"/>
          <w:szCs w:val="32"/>
          <w:lang w:val="en-US" w:eastAsia="zh-CN"/>
        </w:rPr>
        <w:t xml:space="preserve">  </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s="仿宋_GB2312"/>
          <w:color w:val="000000"/>
          <w:sz w:val="32"/>
          <w:szCs w:val="32"/>
          <w:lang w:val="en-US" w:eastAsia="zh-CN"/>
        </w:rPr>
        <w:t>13.</w:t>
      </w:r>
      <w:r>
        <w:rPr>
          <w:rFonts w:hint="eastAsia" w:ascii="仿宋_GB2312" w:eastAsia="仿宋_GB2312"/>
          <w:color w:val="000000"/>
          <w:sz w:val="32"/>
          <w:szCs w:val="32"/>
        </w:rPr>
        <w:t>卫生健康支出（类）行政事业单位医疗（款）行政单位医疗（项）：指交通局机关医疗保险缴费支出。</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eastAsia="zh-CN"/>
        </w:rPr>
        <w:t>14</w:t>
      </w:r>
      <w:r>
        <w:rPr>
          <w:rFonts w:hint="eastAsia" w:ascii="仿宋_GB2312" w:hAnsi="仿宋_GB2312" w:eastAsia="仿宋_GB2312"/>
          <w:color w:val="000000"/>
          <w:kern w:val="2"/>
          <w:sz w:val="32"/>
          <w:lang w:val="en-US"/>
        </w:rPr>
        <w:t>.</w:t>
      </w:r>
      <w:r>
        <w:rPr>
          <w:rFonts w:hint="eastAsia" w:ascii="仿宋_GB2312" w:hAnsi="仿宋_GB2312" w:eastAsia="仿宋_GB2312"/>
          <w:color w:val="000000"/>
          <w:kern w:val="2"/>
          <w:sz w:val="32"/>
          <w:lang w:val="en-US" w:eastAsia="zh-CN"/>
        </w:rPr>
        <w:t>农林水支出</w:t>
      </w:r>
      <w:r>
        <w:rPr>
          <w:rFonts w:hint="eastAsia" w:ascii="仿宋_GB2312" w:hAnsi="仿宋_GB2312" w:eastAsia="仿宋_GB2312"/>
          <w:color w:val="000000"/>
          <w:kern w:val="2"/>
          <w:sz w:val="32"/>
          <w:lang w:val="en-US"/>
        </w:rPr>
        <w:t>（类）</w:t>
      </w:r>
      <w:r>
        <w:rPr>
          <w:rFonts w:hint="eastAsia" w:ascii="仿宋_GB2312" w:hAnsi="仿宋_GB2312" w:eastAsia="仿宋_GB2312"/>
          <w:color w:val="000000"/>
          <w:kern w:val="2"/>
          <w:sz w:val="32"/>
          <w:lang w:val="en-US" w:eastAsia="zh-CN"/>
        </w:rPr>
        <w:t>巩固脱贫衔接乡村振兴</w:t>
      </w:r>
      <w:r>
        <w:rPr>
          <w:rFonts w:hint="eastAsia" w:ascii="仿宋_GB2312" w:hAnsi="仿宋_GB2312" w:eastAsia="仿宋_GB2312"/>
          <w:color w:val="000000"/>
          <w:kern w:val="2"/>
          <w:sz w:val="32"/>
          <w:lang w:val="en-US"/>
        </w:rPr>
        <w:t>（款）</w:t>
      </w:r>
      <w:r>
        <w:rPr>
          <w:rFonts w:hint="eastAsia" w:ascii="仿宋_GB2312" w:hAnsi="仿宋_GB2312" w:eastAsia="仿宋_GB2312"/>
          <w:color w:val="000000"/>
          <w:kern w:val="2"/>
          <w:sz w:val="32"/>
          <w:lang w:val="en-US" w:eastAsia="zh-CN"/>
        </w:rPr>
        <w:t>其他巩固脱贫衔接乡村振兴支出</w:t>
      </w:r>
      <w:r>
        <w:rPr>
          <w:rFonts w:hint="eastAsia" w:ascii="仿宋_GB2312" w:hAnsi="仿宋_GB2312" w:eastAsia="仿宋_GB2312"/>
          <w:color w:val="000000"/>
          <w:kern w:val="2"/>
          <w:sz w:val="32"/>
          <w:lang w:val="en-US"/>
        </w:rPr>
        <w:t>（项）：指</w:t>
      </w:r>
      <w:r>
        <w:rPr>
          <w:rFonts w:hint="eastAsia" w:ascii="仿宋_GB2312" w:hAnsi="仿宋_GB2312" w:eastAsia="仿宋_GB2312"/>
          <w:color w:val="000000"/>
          <w:kern w:val="2"/>
          <w:sz w:val="32"/>
          <w:lang w:val="en-US" w:eastAsia="zh-CN"/>
        </w:rPr>
        <w:t>交通局机关用于二O二二年市级财政巩固拓展脱贫攻坚成果同乡村振兴有效衔接资金的支出</w:t>
      </w:r>
      <w:r>
        <w:rPr>
          <w:rFonts w:hint="eastAsia" w:ascii="仿宋_GB2312" w:hAnsi="仿宋_GB2312" w:eastAsia="仿宋_GB2312"/>
          <w:color w:val="000000"/>
          <w:kern w:val="2"/>
          <w:sz w:val="32"/>
          <w:lang w:val="en-US"/>
        </w:rPr>
        <w:t>。</w:t>
      </w:r>
    </w:p>
    <w:p>
      <w:pPr>
        <w:spacing w:beforeLines="0" w:afterLines="0" w:line="576"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.交通运输支出（类）公路水路运输（款）行政运行（项）：指交通局机关的基本支出（人员经费及日常公用经费）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.交通运输支出（类）公路水路运输（款）一般行政管理事务（项）：指局机关用于保障机</w:t>
      </w:r>
      <w:bookmarkStart w:id="65" w:name="_GoBack"/>
      <w:bookmarkEnd w:id="65"/>
      <w:r>
        <w:rPr>
          <w:rFonts w:hint="eastAsia" w:ascii="仿宋_GB2312" w:eastAsia="仿宋_GB2312"/>
          <w:color w:val="000000"/>
          <w:sz w:val="32"/>
          <w:szCs w:val="32"/>
        </w:rPr>
        <w:t>构正常运转和完成202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年工作任务的专项经费。</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.交通运输支出（类）公路水路运输（款）公路建设（项）：指单位用于公路建设的支出。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.交通运输支出（类）公路水路运输（款）公路</w:t>
      </w:r>
      <w:r>
        <w:rPr>
          <w:rFonts w:hint="eastAsia" w:ascii="仿宋_GB2312" w:eastAsia="仿宋_GB2312"/>
          <w:color w:val="000000"/>
          <w:sz w:val="32"/>
          <w:szCs w:val="32"/>
          <w:lang w:eastAsia="zh-CN"/>
        </w:rPr>
        <w:t>养护</w:t>
      </w:r>
      <w:r>
        <w:rPr>
          <w:rFonts w:hint="eastAsia" w:ascii="仿宋_GB2312" w:eastAsia="仿宋_GB2312"/>
          <w:color w:val="000000"/>
          <w:sz w:val="32"/>
          <w:szCs w:val="32"/>
        </w:rPr>
        <w:t>（项）：指单位用于公路</w:t>
      </w:r>
      <w:r>
        <w:rPr>
          <w:rFonts w:hint="eastAsia" w:ascii="仿宋_GB2312" w:eastAsia="仿宋_GB2312"/>
          <w:color w:val="000000"/>
          <w:sz w:val="32"/>
          <w:szCs w:val="32"/>
          <w:lang w:eastAsia="zh-CN"/>
        </w:rPr>
        <w:t>养护</w:t>
      </w:r>
      <w:r>
        <w:rPr>
          <w:rFonts w:hint="eastAsia" w:ascii="仿宋_GB2312" w:eastAsia="仿宋_GB2312"/>
          <w:color w:val="000000"/>
          <w:sz w:val="32"/>
          <w:szCs w:val="32"/>
        </w:rPr>
        <w:t>的支出。</w:t>
      </w:r>
    </w:p>
    <w:p>
      <w:pPr>
        <w:pStyle w:val="2"/>
        <w:ind w:firstLine="640" w:firstLineChars="200"/>
      </w:pPr>
      <w:r>
        <w:rPr>
          <w:rFonts w:hint="eastAsia"/>
          <w:color w:val="000000"/>
          <w:sz w:val="32"/>
          <w:szCs w:val="32"/>
          <w:lang w:val="en-US" w:eastAsia="zh-CN"/>
        </w:rPr>
        <w:t>19.</w:t>
      </w:r>
      <w:r>
        <w:rPr>
          <w:rFonts w:hint="eastAsia" w:ascii="仿宋_GB2312" w:eastAsia="仿宋_GB2312"/>
          <w:color w:val="000000"/>
          <w:sz w:val="32"/>
          <w:szCs w:val="32"/>
        </w:rPr>
        <w:t>交通运输支出（类）公路水路运输（款）</w:t>
      </w:r>
      <w:r>
        <w:rPr>
          <w:rFonts w:hint="eastAsia"/>
          <w:color w:val="000000"/>
          <w:sz w:val="32"/>
          <w:szCs w:val="32"/>
          <w:lang w:eastAsia="zh-CN"/>
        </w:rPr>
        <w:t>公路运输管理</w:t>
      </w:r>
      <w:r>
        <w:rPr>
          <w:rFonts w:hint="eastAsia" w:ascii="仿宋_GB2312" w:eastAsia="仿宋_GB2312"/>
          <w:color w:val="000000"/>
          <w:sz w:val="32"/>
          <w:szCs w:val="32"/>
        </w:rPr>
        <w:t>（项）：指单位用于公路</w:t>
      </w:r>
      <w:r>
        <w:rPr>
          <w:rFonts w:hint="eastAsia"/>
          <w:color w:val="000000"/>
          <w:sz w:val="32"/>
          <w:szCs w:val="32"/>
          <w:lang w:eastAsia="zh-CN"/>
        </w:rPr>
        <w:t>运输管理</w:t>
      </w:r>
      <w:r>
        <w:rPr>
          <w:rFonts w:hint="eastAsia" w:ascii="仿宋_GB2312" w:eastAsia="仿宋_GB2312"/>
          <w:color w:val="000000"/>
          <w:sz w:val="32"/>
          <w:szCs w:val="32"/>
        </w:rPr>
        <w:t>建设的支出。</w:t>
      </w:r>
    </w:p>
    <w:p>
      <w:pPr>
        <w:spacing w:beforeLines="0" w:afterLines="0" w:line="576"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.交通运输支出（类）公路水路运输（款）其他公路水路运输支出（项）：指</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年部分上级补助</w:t>
      </w:r>
      <w:r>
        <w:rPr>
          <w:rFonts w:hint="eastAsia" w:ascii="仿宋_GB2312" w:eastAsia="仿宋_GB2312"/>
          <w:color w:val="000000"/>
          <w:sz w:val="32"/>
          <w:szCs w:val="32"/>
          <w:lang w:eastAsia="zh-CN"/>
        </w:rPr>
        <w:t>和本级</w:t>
      </w:r>
      <w:r>
        <w:rPr>
          <w:rFonts w:hint="eastAsia" w:ascii="仿宋_GB2312" w:eastAsia="仿宋_GB2312"/>
          <w:color w:val="000000"/>
          <w:sz w:val="32"/>
          <w:szCs w:val="32"/>
        </w:rPr>
        <w:t>资金安排的</w:t>
      </w:r>
      <w:r>
        <w:rPr>
          <w:rFonts w:hint="eastAsia" w:ascii="仿宋_GB2312" w:eastAsia="仿宋_GB2312"/>
          <w:color w:val="000000"/>
          <w:sz w:val="32"/>
          <w:szCs w:val="32"/>
          <w:lang w:eastAsia="zh-CN"/>
        </w:rPr>
        <w:t>其他</w:t>
      </w:r>
      <w:r>
        <w:rPr>
          <w:rFonts w:hint="eastAsia" w:ascii="仿宋_GB2312" w:eastAsia="仿宋_GB2312"/>
          <w:color w:val="000000"/>
          <w:sz w:val="32"/>
          <w:szCs w:val="32"/>
        </w:rPr>
        <w:t>公路建设项目</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开支等。</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.交通运输支出（类）车辆购置税支出（款）车辆购置税用于公路等基础设施建设支出（项）：指车辆购税收入安排用于公路等基础设施建设的支出。</w:t>
      </w:r>
    </w:p>
    <w:p>
      <w:pPr>
        <w:pStyle w:val="10"/>
        <w:spacing w:line="560" w:lineRule="exact"/>
        <w:ind w:firstLine="640" w:firstLineChars="200"/>
        <w:rPr>
          <w:rFonts w:hint="eastAsia" w:ascii="仿宋" w:hAnsi="仿宋" w:eastAsia="仿宋"/>
          <w:b/>
          <w:color w:val="auto"/>
          <w:kern w:val="2"/>
          <w:sz w:val="32"/>
          <w:lang w:val="en-US"/>
        </w:rPr>
      </w:pP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.住房保障支出（类）住房改革支出（款）住房公积金（项）：指局机关按规定比例为职工缴纳的住房公积金。</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2</w:t>
      </w:r>
      <w:r>
        <w:rPr>
          <w:rFonts w:hint="eastAsia" w:ascii="仿宋_GB2312" w:hAnsi="仿宋_GB2312" w:eastAsia="仿宋_GB2312"/>
          <w:color w:val="000000"/>
          <w:kern w:val="2"/>
          <w:sz w:val="32"/>
          <w:lang w:val="en-US" w:eastAsia="zh-CN"/>
        </w:rPr>
        <w:t>3</w:t>
      </w:r>
      <w:r>
        <w:rPr>
          <w:rFonts w:hint="eastAsia" w:ascii="仿宋_GB2312" w:hAnsi="仿宋_GB2312" w:eastAsia="仿宋_GB2312"/>
          <w:color w:val="000000"/>
          <w:kern w:val="2"/>
          <w:sz w:val="32"/>
          <w:lang w:val="en-US"/>
        </w:rPr>
        <w:t>.基本支出：指为保障机构正常运转、完成日常工作任务而发生的人员支出和公用支出。</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2</w:t>
      </w:r>
      <w:r>
        <w:rPr>
          <w:rFonts w:hint="eastAsia" w:ascii="仿宋_GB2312" w:hAnsi="仿宋_GB2312" w:eastAsia="仿宋_GB2312"/>
          <w:color w:val="000000"/>
          <w:kern w:val="2"/>
          <w:sz w:val="32"/>
          <w:lang w:val="en-US" w:eastAsia="zh-CN"/>
        </w:rPr>
        <w:t>4</w:t>
      </w:r>
      <w:r>
        <w:rPr>
          <w:rFonts w:hint="eastAsia" w:ascii="仿宋_GB2312" w:hAnsi="仿宋_GB2312" w:eastAsia="仿宋_GB2312"/>
          <w:color w:val="000000"/>
          <w:kern w:val="2"/>
          <w:sz w:val="32"/>
          <w:lang w:val="en-US"/>
        </w:rPr>
        <w:t xml:space="preserve">.项目支出：指在基本支出之外为完成特定行政任务和事业发展目标所发生的支出。 </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eastAsia="zh-CN"/>
        </w:rPr>
        <w:t>25</w:t>
      </w:r>
      <w:r>
        <w:rPr>
          <w:rFonts w:hint="eastAsia" w:ascii="仿宋_GB2312" w:hAnsi="仿宋_GB2312" w:eastAsia="仿宋_GB2312"/>
          <w:color w:val="000000"/>
          <w:sz w:val="32"/>
          <w:lang w:val="en-US"/>
        </w:rPr>
        <w:t>.</w:t>
      </w:r>
      <w:r>
        <w:rPr>
          <w:rFonts w:hint="default" w:ascii="仿宋_GB2312" w:hAnsi="仿宋_GB2312" w:eastAsia="仿宋_GB2312"/>
          <w:color w:val="000000"/>
          <w:sz w:val="32"/>
          <w:lang w:val="en-US"/>
        </w:rPr>
        <w:t>“</w:t>
      </w:r>
      <w:r>
        <w:rPr>
          <w:rFonts w:hint="eastAsia" w:ascii="仿宋_GB2312" w:hAnsi="仿宋_GB2312" w:eastAsia="仿宋_GB2312"/>
          <w:color w:val="000000"/>
          <w:sz w:val="32"/>
          <w:lang w:val="en-US"/>
        </w:rPr>
        <w:t>三公</w:t>
      </w:r>
      <w:r>
        <w:rPr>
          <w:rFonts w:hint="default" w:ascii="仿宋_GB2312" w:hAnsi="仿宋_GB2312" w:eastAsia="仿宋_GB2312"/>
          <w:color w:val="000000"/>
          <w:sz w:val="32"/>
          <w:lang w:val="en-US"/>
        </w:rPr>
        <w:t>”</w:t>
      </w:r>
      <w:r>
        <w:rPr>
          <w:rFonts w:hint="eastAsia" w:ascii="仿宋_GB2312" w:hAnsi="仿宋_GB2312" w:eastAsia="仿宋_GB2312"/>
          <w:color w:val="000000"/>
          <w:sz w:val="32"/>
          <w:lang w:val="en-US"/>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560"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000000"/>
          <w:sz w:val="32"/>
          <w:lang w:val="en-US" w:eastAsia="zh-CN"/>
        </w:rPr>
        <w:t>26</w:t>
      </w:r>
      <w:r>
        <w:rPr>
          <w:rFonts w:hint="eastAsia" w:ascii="仿宋_GB2312" w:hAnsi="仿宋_GB2312" w:eastAsia="仿宋_GB2312"/>
          <w:color w:val="000000"/>
          <w:sz w:val="32"/>
          <w:lang w:val="en-US"/>
        </w:rPr>
        <w:t>.机关运行经费：</w:t>
      </w:r>
      <w:r>
        <w:rPr>
          <w:rFonts w:hint="eastAsia" w:ascii="仿宋_GB2312" w:hAnsi="仿宋_GB2312" w:eastAsia="仿宋_GB2312"/>
          <w:color w:val="auto"/>
          <w:sz w:val="32"/>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beforeLines="0" w:afterLines="0" w:line="576" w:lineRule="exact"/>
        <w:jc w:val="center"/>
        <w:rPr>
          <w:rFonts w:hint="eastAsia" w:ascii="黑体" w:hAnsi="黑体" w:eastAsia="黑体"/>
          <w:color w:val="auto"/>
          <w:kern w:val="44"/>
          <w:sz w:val="44"/>
          <w:lang w:val="zh-CN"/>
        </w:rPr>
      </w:pPr>
    </w:p>
    <w:p>
      <w:pPr>
        <w:pStyle w:val="3"/>
        <w:bidi w:val="0"/>
        <w:jc w:val="center"/>
        <w:rPr>
          <w:rFonts w:hint="eastAsia"/>
          <w:lang w:val="en-US"/>
        </w:rPr>
      </w:pPr>
    </w:p>
    <w:p>
      <w:pPr>
        <w:pStyle w:val="3"/>
        <w:bidi w:val="0"/>
        <w:jc w:val="center"/>
        <w:rPr>
          <w:rFonts w:hint="eastAsia"/>
          <w:lang w:val="en-US"/>
        </w:rPr>
      </w:pPr>
    </w:p>
    <w:p>
      <w:pPr>
        <w:pStyle w:val="3"/>
        <w:bidi w:val="0"/>
        <w:jc w:val="center"/>
        <w:rPr>
          <w:rFonts w:hint="eastAsia"/>
          <w:lang w:val="en-US"/>
        </w:rPr>
      </w:pPr>
    </w:p>
    <w:p>
      <w:pPr>
        <w:pStyle w:val="3"/>
        <w:bidi w:val="0"/>
        <w:jc w:val="center"/>
        <w:rPr>
          <w:rFonts w:hint="eastAsia"/>
          <w:lang w:val="en-US"/>
        </w:rPr>
      </w:pPr>
    </w:p>
    <w:p>
      <w:pPr>
        <w:pStyle w:val="3"/>
        <w:bidi w:val="0"/>
        <w:jc w:val="center"/>
        <w:rPr>
          <w:rFonts w:hint="eastAsia"/>
          <w:lang w:val="en-US"/>
        </w:rPr>
      </w:pPr>
    </w:p>
    <w:p>
      <w:pPr>
        <w:pStyle w:val="3"/>
        <w:bidi w:val="0"/>
        <w:jc w:val="center"/>
        <w:rPr>
          <w:rFonts w:hint="eastAsia"/>
          <w:lang w:val="en-US"/>
        </w:rPr>
      </w:pPr>
    </w:p>
    <w:p>
      <w:pPr>
        <w:pStyle w:val="3"/>
        <w:bidi w:val="0"/>
        <w:jc w:val="center"/>
        <w:rPr>
          <w:rFonts w:hint="eastAsia"/>
          <w:lang w:val="en-US"/>
        </w:rPr>
      </w:pPr>
    </w:p>
    <w:p>
      <w:pPr>
        <w:pStyle w:val="3"/>
        <w:bidi w:val="0"/>
        <w:jc w:val="center"/>
        <w:rPr>
          <w:rFonts w:hint="eastAsia"/>
          <w:lang w:val="en-US"/>
        </w:rPr>
      </w:pPr>
    </w:p>
    <w:p>
      <w:pPr>
        <w:pStyle w:val="3"/>
        <w:bidi w:val="0"/>
        <w:jc w:val="center"/>
        <w:rPr>
          <w:rFonts w:hint="eastAsia"/>
          <w:lang w:val="en-US"/>
        </w:rPr>
      </w:pPr>
      <w:bookmarkStart w:id="46" w:name="_Toc23075_WPSOffice_Level1"/>
      <w:r>
        <w:rPr>
          <w:rFonts w:hint="eastAsia"/>
          <w:lang w:val="en-US"/>
        </w:rPr>
        <w:t>第四部分 附件</w:t>
      </w:r>
      <w:bookmarkEnd w:id="46"/>
    </w:p>
    <w:p>
      <w:pPr>
        <w:keepNext/>
        <w:keepLines/>
        <w:spacing w:beforeLines="0" w:afterLines="0" w:line="572" w:lineRule="exact"/>
        <w:rPr>
          <w:rFonts w:hint="eastAsia" w:ascii="仿宋_GB2312" w:hAnsi="仿宋_GB2312" w:eastAsia="仿宋_GB2312"/>
          <w:color w:val="auto"/>
          <w:kern w:val="2"/>
          <w:sz w:val="32"/>
          <w:lang w:val="en-US"/>
        </w:rPr>
      </w:pPr>
    </w:p>
    <w:p>
      <w:pPr>
        <w:spacing w:beforeLines="0" w:afterLines="0" w:line="600" w:lineRule="exact"/>
        <w:jc w:val="center"/>
        <w:rPr>
          <w:rFonts w:hint="eastAsia" w:ascii="仿宋_GB2312" w:hAnsi="仿宋_GB2312" w:eastAsia="仿宋_GB2312" w:cs="仿宋_GB2312"/>
          <w:color w:val="auto"/>
          <w:sz w:val="32"/>
          <w:lang w:val="en-US"/>
        </w:rPr>
      </w:pPr>
      <w:bookmarkStart w:id="47" w:name="_Toc15518_WPSOffice_Level2"/>
      <w:bookmarkStart w:id="48" w:name="_Toc22148_WPSOffice_Level2"/>
      <w:bookmarkStart w:id="49" w:name="_Toc13949_WPSOffice_Level2"/>
      <w:bookmarkStart w:id="50" w:name="_Toc7311_WPSOffice_Level2"/>
      <w:r>
        <w:rPr>
          <w:rFonts w:hint="eastAsia" w:ascii="仿宋_GB2312" w:hAnsi="仿宋_GB2312" w:eastAsia="仿宋_GB2312" w:cs="仿宋_GB2312"/>
          <w:color w:val="auto"/>
          <w:sz w:val="32"/>
          <w:lang w:val="en-US"/>
        </w:rPr>
        <w:t>部门预算项目支出绩效自评表（2022年度）</w:t>
      </w:r>
      <w:bookmarkEnd w:id="47"/>
      <w:bookmarkEnd w:id="48"/>
      <w:bookmarkEnd w:id="49"/>
      <w:bookmarkEnd w:id="50"/>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51060422T000000326225-白马关旅游道路（广济桥至万佛寺段）改扩建工程和景观节点打造项目设计费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完成项目方案及初步设计和景观节点打造设计工作，为项目开工建设奠定基础。</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该项目严格按照相关程序确定设计单位，全程有监督人员、评标人员等组成的招标组织，组织成全健全，职责分工明确。确定实施单位后即刻开展设计工作，设计过程中严格按照勘察设计相关程序和步骤进行设计，资金得到有效保障。设计成果完成后按照相关规定找行业专业机构进行审核，具有针对成果的质量审核和验收的控制措施，也具有针对未知风险的应急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方案及初步设计成果资料</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份</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评审及审查通过率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份</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方案及初步设计服务费</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万</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带动区域经济发展</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项目持续发挥作用的期限</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群众对项目发挥作用的满意度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自评得分99.4分，项目实施为公路建设提供了建设方案依据，确保后期建设顺利完成。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绩效目标设置不规范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绩效目标设定时，全面老虑目标设置流程，加强目标审核把关。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51060422T000000326249-罗江区自然灾害综合风险公路承载体普查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完成罗江区自然灾害综合风险公路承载体普查工作</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完成了罗江区自然灾害综合风险公路承载体的普查工作，并完成相关电子版和纸质版报送工作。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对罗江区全路段道路存在自然灾害风险的公路承载体进行普查。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因该项目分年度施实，财政年初预算收入未达到预期，年初暂未纳入预算，在中期调整时予以预算。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普查公路里程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841.954</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841.954</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普查桥梁座数</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普查完成率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普查完成时间</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普查成本费用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万元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3.2万元</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自然灾害防治与应急管理效果</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明显</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持续发挥作用的期限</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长期</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人民群众安全保障</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综上所述，罗江区全路段道路存在自然灾害风险的公路承载体普查完成率较好，有效完成预期目标，自评得分100分。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51060422T000005396230-交通工程建设项目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按期完成建设投资</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861.82</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860.99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99.90%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因该项目分年度施实，财政年初预算收入未达到预期，年初暂未纳入预算，在中期调整时予以预算。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861.82</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860.99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99.90%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满足行业标准</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100 </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完成时间</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12月</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8618242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860.99万元</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完成项目个数</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19</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19个</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改善公路通行环境</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优良中差</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优</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项目持续发挥作用的期限</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群众对项目发挥作用的认可度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自评得分100分，按期完成建设任务，消除道路安全隐患。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少部分项目在施工进度达到资金拨付的条件下，未能及时对项目资金进行支付。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加强沟通，保证资金及时足额支付。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51060422T000006701614-德市罗财建[2021]19号2021年车辆购置税收入补助地方资金（第一批）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完成“十四五”现代综合交通运输体系发展规划范围内的综合交通、公路、水运等年度建设任务。</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将现有危桥（实腹式拱桥）拆除后原址重建一座简支预应力空心板桥梁。桥梁全长19m，桥面宽12m，桥跨布置为1×13m。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10.85</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10.85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因该项目分年度施实，财政年初预算收入未达到预期，年初暂未纳入预算，在中期调整时予以预算。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10.85</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10.85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支持普通国道危桥梁改造（座）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资金使用合规性</w:t>
            </w:r>
          </w:p>
        </w:tc>
        <w:tc>
          <w:tcPr>
            <w:tcW w:w="51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9.7</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优良中低差</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 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 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99.7</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该项目得分99.7分，总体完成情况良好，消除了桥梁安全隐患，保证了过往车辆的通行安全。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在施工进度达到资金拨付的条件下，未能及时对项目资金进行支付。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加强沟通，保证资金及时足额支付。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51060422T000006848738-德市罗财农[2022]18号下达2022年市级财政巩固拓展脱贫攻坚成果同乡村振兴有效衔接专项资金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完成2022年市级财政巩固拓展脱贫攻坚成果同乡村振兴有效衔接专项资金任务，支持农村公路日常养护54.5万元，支持农村客运30万元，支持四好农村公路100万元。</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对农村公路进行日常养护、支持农村客运补助、对四好农村公路12.5公里进行维修。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184.50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184.50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该项目资金为市级年中下达资金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184.50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184.50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支持“四好农村公路”建设里程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按期完成项目建设任务</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strike/>
                <w:color w:val="000000"/>
                <w:sz w:val="18"/>
                <w:szCs w:val="18"/>
              </w:rPr>
            </w:pPr>
            <w:r>
              <w:rPr>
                <w:rFonts w:hint="default" w:ascii="宋体" w:hAnsi="宋体" w:eastAsia="宋体" w:cs="宋体"/>
                <w:i w:val="0"/>
                <w:strike/>
                <w:dstrike w:val="0"/>
                <w:color w:val="000000"/>
                <w:kern w:val="0"/>
                <w:sz w:val="18"/>
                <w:szCs w:val="18"/>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自评得分100分，按期完成建设任务，消除道路安全隐患。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51060422T000006947188-德市罗财建[2021]5号“8.11”洪灾交通应急资金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完成受损道路的修复，完成总工程量的100%。</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修建桥梁一座，并已顺利实施完成。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修建桥梁一座。该桥于2021年1月由区行政审批局批准实施方案，同年7月动工，11月完工，目前该桥已投入使用。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27.90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27.90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因该项目分年度施实，财政年初预算收入未达到预期，年初暂未纳入预算，在中期调整时予以预算。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27.90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27.90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自评得分100分，按期完成建设任务，消除道路安全隐患。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实施过程中存在取土、弃土堆放场地难寻等难题；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在项目实施前，由当地政府协调解决取土、弃土的场地，并征得环保部门的同意。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51060422T000006947274-德市罗财建[2021]15号2021年中央财政成品油税费改革转移支付资金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完成G108线罗江段9.148公里养护工程维修工程量。</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按期完成施工任务，有效提升改善公路路况水平。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对罗江区G108线2段约9.4公里公里路面实施养护工程。项目于2021年5月由区发改局批复实施，同年9月开工，2022年1月完工后投入使用，2022年4月交工验收合格。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本项目为上级专项，分年度实施。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整治路面维修里程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9.148</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管理和服务水平的提高程度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整治路面适应未来一定时期内交通需求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整治路面适应未来一定时期内交通需求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实施管理制措施的延续性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本项目绩效满分100分，实得99分；该项目实施，有效改善罗江区G108线的路况水平，提高了公路服务质量。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实施过程中，由于无法进行断道施工，加之该线路车流量远超设计服务流量，施工与道路保通矛盾突出。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加强与公安交警部门协作，进一步做好施工期间安全管理。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51060422T000006971708-德市罗财建[2022]9号-关于下达2022年省级专项资金（成品油税费改革转移支付部分）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完成工程量100%</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完成9.86公里建设任务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对9.86公里农村公路进行安防设施维修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77.00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77.00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该项目为上级专项资金，年中下达。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77.00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77.00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支持村道安防工程里程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9.86</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自评得分100分，按期完成建设任务，消除道路安全隐患。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51060422T000006996146-德市罗财建[2021]31号2021年车辆购置税收入补助地方资金（普通省道和农村公路部分）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完成总工程量的100%</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为解决撤并建制村后断头路问题，对撤并建制村相连道路进行加宽改造提升，项目总里程12.4km。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91.92</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91.92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91.92</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91.92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支持撤并建制村畅通工程里程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5.9</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自评得分100分，打通了撤并建制村之间的断头路，方便了群众出行办事，带动了乡村经济发展。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在项目顺利推进的情况下，不能及时按照合同约定对资金进行足额支付。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加强与财政沟通协调，保证资金按时足额支付。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51060422T000007109018-德市罗财建[2022]15号关于下达2022年第一批省级交通专项资金的通知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完成13.9公里撤并建制村畅通工程建设省级补助292万元，农村公路养护补助资金103万元的任务。</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撤并建制村完成工程的80%，农村公路日常养护完成100%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对13.9公里撤并建制村畅通工程进行建设，完成农村公路省级补助的日常养护任务。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395.00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173.80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44.00%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因撤并建制村畅通工程为跨年度项目，本年度已完成工程量的80%，年终时因施工单位计量资料暂未提交，无法支付款项，结转下年支付。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395.00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173.80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44.00%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公路建设里程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13.9</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自评得分98分，打通了撤并建制村之间的断头路，方便了群众出行办事，带动了乡村经济发展。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施工进度与资金支付进度不一致。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加强对施工单位的督促，及时根据施工进度完善计量资料的审核和提交。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51060422T000007109048--德市罗财建[2022]16号关于预下达中央财政2020年度农村客运出租车成品油价格补助资金的通知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全面提升出租汽车服务能力，更好满足广大人民群众安全便捷出行需求，提升群众获得感和幸福感。 </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对42辆出租汽车进行成品油价格补贴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10.66</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10.66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10.66</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10.66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补贴车辆数</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补贴对象车辆覆盖率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完成时间</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可持续发展指标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出租客运行业未来发展的需求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每台车补贴额</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2538.09</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服务质量群众满意度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自评得分100分，按期完成补贴任务。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51060422T000007129662-德市罗财建[2020]12号2020年车辆购置税收入补助地方资金（第一批）用于一般公路项目）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完成农村公路安全生命防护工程</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实施内容为C20砼护肩26m³、波形护栏5252米、标志标牌67个、标线9459.9㎡、减速带20米、附着式轮廓标744个、道口标注228个、示警桩7个等。修建桥梁一座，该桥于2021年12月由区发展和改革局批准实施方案，2022年6月动工，同年12月完工，目前该桥已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38.47</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38.47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38.47</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38.47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整治农村公路安保里程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5.252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自评得分100分，达到预期效果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实施过程中，与地方沟通不到位，导致施工时压断了群众家的电线，工程协调需进一步加强。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加强与各单位、各部门的沟通，加强监管力度，减少不必要的损失。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51060422T000007129705-德市罗财建[2021]3号2019年第五批交通建设省级补助资金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完成罗江城际列车客运站及周边配套道路建设任务</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完成城际列车客运站建设的结算审计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1.13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1.13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客运站数量</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自评得分100分，达到预期效果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51060422T000007457212-德市罗财建[2020]4号关于下达公路应急抢险救灾补助资金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完成项目总工程量的100%</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混凝土护栏、轮廓标、路面标线已顺利实施完成。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完成C30混凝土护栏40.5立方米、反光轮廓标498个、标线1862.1平方米。混凝土护栏及轮廓标2022年6月开工，当月完工；标线2022年1月开工，2022年2月完工。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14.83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14.83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14.83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14.83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桥梁</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标线</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11862.16</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平方米</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提高</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适应未来交通需求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投资额</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18.86</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万元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自评得分100分，该项目的实施达到了消除安全隐患，保障群众通行安全，提升服务水平的目标。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局部路段养护不到位，管理制度文件不够精细，管理人员业务能力有待提升。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后期将加强局部路段养护力度，安排专人精细化制定管理制度文件，组织提升管理人员应业务知识能力。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51060422T000007464522-德市罗交[2022]29号交通运输系统综合行政执法服装经费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为规范执法人员执法，树立良好的执法形象，适应改革后的执法需要。</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对一线执法人员完成换装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为一线执法人员购买执法服装45套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13.59</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13.59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13.59</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13.59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完成时间</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执法服装</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执法形象提升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女式（常装）</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2670.2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元/套</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男式（常装）</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3124.2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元/套</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交通执法满意度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自评得分100分，该项目的实施规范了执法人员执法，树立良好的执法形象。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51060423T000008024586-德阳市罗江区大井养护站改造工程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对站内现有建筑及场地进行提升改造，改造后新增公共卫生间、冷热水供应等服务设备，改善G108线罗江段的通行环境</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顺利完成施工任务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对大井养护站进行改造。项目于2019年9月由区行政审批局批复实施，同年12月开工，2020年3月完工后投入使用，2020年4月交工验收合格。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4.15</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4.15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4.15</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4.15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支持建设公路养护站数量</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自评得分100分，该项目实施，有效消除老旧建筑安全隐患，进一步完善公路基础设施，提升公路服务水平，改善职工办公环境。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管理制度文件不够精细，管理人员业务能力有待提升。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后期将加强局部维护力度，安排专人精细化制定管理制度文件，组织提升管理人员应业务知识能力。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51060423T000008044967-德市罗财建[2020]3号关于下达2019年第二批交通建设省级补助资金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完成项目总工程量的100%，消除桥梁安全隐患。</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修建桥梁一座。该桥于2020年9月由区行政审批局批准实施方案，2020年11月动工，2021年2月完工，目前该桥已投入使用。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0.30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0.30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0.30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0.30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整治危桥座数</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自评得分100分，按期完成建设任务，消除道路安全隐患。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51060423T000008759941-“十四五”交通运输规划编制和农村公路专项规划编制项目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编制我区“十四五”交通运输规划和农村公路专项规划，为罗江未来交通发展提供依据，完成规划编制。</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完成了“十四五”交通运输规划编制和农村公路专项规划编制工作，并完成相关电子版和纸质版报送工作。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根据罗江区经济发展需求，编制“十四五”交通运输规划编制和农村公路专项规划。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7.20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7.20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7.20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7.20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规划成果电子档</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份</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规划成果纸质档</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份</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专家评审及审查通过率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带动区域经济发展</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项目持续发挥作用的期限</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长期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编制服务费</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14.4</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万元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满足群众出行交通需求满意度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综上所述，罗江区“十四五”交通运输规划编制和农村公路专项规划编制完成率较好，有效完成预期目标，自评得分100分。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pPr>
        <w:spacing w:beforeLines="0" w:afterLines="0" w:line="600" w:lineRule="exact"/>
        <w:rPr>
          <w:rFonts w:hint="eastAsia" w:ascii="仿宋_GB2312" w:hAnsi="仿宋_GB2312" w:eastAsia="仿宋_GB2312"/>
          <w:color w:val="auto"/>
          <w:sz w:val="32"/>
          <w:lang w:val="en-US"/>
        </w:rPr>
      </w:pPr>
    </w:p>
    <w:p>
      <w:pPr>
        <w:spacing w:beforeLines="0" w:afterLines="0"/>
        <w:jc w:val="both"/>
        <w:rPr>
          <w:rFonts w:hint="eastAsia" w:ascii="仿宋_GB2312" w:hAnsi="仿宋_GB2312" w:eastAsia="仿宋_GB2312"/>
          <w:color w:val="auto"/>
          <w:sz w:val="32"/>
          <w:lang w:val="en-US"/>
        </w:rPr>
      </w:pPr>
    </w:p>
    <w:p>
      <w:pPr>
        <w:pStyle w:val="2"/>
        <w:rPr>
          <w:rFonts w:hint="eastAsia" w:ascii="仿宋_GB2312" w:hAnsi="仿宋_GB2312" w:eastAsia="仿宋_GB2312"/>
          <w:color w:val="auto"/>
          <w:sz w:val="32"/>
          <w:lang w:val="en-US"/>
        </w:rPr>
      </w:pPr>
    </w:p>
    <w:p>
      <w:pPr>
        <w:pStyle w:val="2"/>
        <w:rPr>
          <w:rFonts w:hint="eastAsia" w:ascii="仿宋_GB2312" w:hAnsi="仿宋_GB2312" w:eastAsia="仿宋_GB2312"/>
          <w:color w:val="auto"/>
          <w:sz w:val="32"/>
          <w:lang w:val="en-US"/>
        </w:rPr>
      </w:pPr>
    </w:p>
    <w:p>
      <w:pPr>
        <w:pStyle w:val="2"/>
        <w:rPr>
          <w:rFonts w:hint="eastAsia" w:ascii="仿宋_GB2312" w:hAnsi="仿宋_GB2312" w:eastAsia="仿宋_GB2312"/>
          <w:color w:val="auto"/>
          <w:sz w:val="32"/>
          <w:lang w:val="en-US"/>
        </w:rPr>
      </w:pPr>
    </w:p>
    <w:p>
      <w:pPr>
        <w:pStyle w:val="2"/>
        <w:rPr>
          <w:rFonts w:hint="eastAsia" w:ascii="仿宋_GB2312" w:hAnsi="仿宋_GB2312" w:eastAsia="仿宋_GB2312"/>
          <w:color w:val="auto"/>
          <w:sz w:val="32"/>
          <w:lang w:val="en-US"/>
        </w:rPr>
      </w:pPr>
    </w:p>
    <w:p>
      <w:pPr>
        <w:pStyle w:val="2"/>
        <w:rPr>
          <w:rFonts w:hint="eastAsia" w:ascii="仿宋_GB2312" w:hAnsi="仿宋_GB2312" w:eastAsia="仿宋_GB2312"/>
          <w:color w:val="auto"/>
          <w:sz w:val="32"/>
          <w:lang w:val="en-US"/>
        </w:rPr>
      </w:pPr>
    </w:p>
    <w:p>
      <w:pPr>
        <w:pStyle w:val="2"/>
        <w:rPr>
          <w:rFonts w:hint="eastAsia" w:ascii="仿宋_GB2312" w:hAnsi="仿宋_GB2312" w:eastAsia="仿宋_GB2312"/>
          <w:color w:val="auto"/>
          <w:sz w:val="32"/>
          <w:lang w:val="en-US"/>
        </w:rPr>
      </w:pPr>
    </w:p>
    <w:p>
      <w:pPr>
        <w:pStyle w:val="2"/>
        <w:rPr>
          <w:rFonts w:hint="eastAsia" w:ascii="仿宋_GB2312" w:hAnsi="仿宋_GB2312" w:eastAsia="仿宋_GB2312"/>
          <w:color w:val="auto"/>
          <w:sz w:val="32"/>
          <w:lang w:val="en-US"/>
        </w:rPr>
      </w:pPr>
    </w:p>
    <w:p>
      <w:pPr>
        <w:autoSpaceDE w:val="0"/>
        <w:autoSpaceDN w:val="0"/>
        <w:adjustRightInd w:val="0"/>
        <w:jc w:val="left"/>
        <w:rPr>
          <w:rFonts w:ascii="黑体" w:hAnsi="Cambria" w:eastAsia="黑体" w:cs="黑体"/>
          <w:kern w:val="44"/>
          <w:sz w:val="44"/>
          <w:szCs w:val="44"/>
        </w:rPr>
      </w:pPr>
    </w:p>
    <w:p>
      <w:pPr>
        <w:pStyle w:val="3"/>
        <w:bidi w:val="0"/>
        <w:jc w:val="center"/>
      </w:pPr>
      <w:bookmarkStart w:id="51" w:name="_Toc14349_WPSOffice_Level1"/>
      <w:r>
        <w:rPr>
          <w:rFonts w:hint="eastAsia"/>
        </w:rPr>
        <w:t>第五部分</w:t>
      </w:r>
      <w:r>
        <w:t xml:space="preserve"> </w:t>
      </w:r>
      <w:r>
        <w:rPr>
          <w:rFonts w:hint="eastAsia"/>
        </w:rPr>
        <w:t>附表</w:t>
      </w:r>
      <w:bookmarkEnd w:id="51"/>
    </w:p>
    <w:p>
      <w:pPr>
        <w:pStyle w:val="4"/>
        <w:bidi w:val="0"/>
        <w:rPr>
          <w:rFonts w:hint="eastAsia"/>
        </w:rPr>
      </w:pPr>
      <w:bookmarkStart w:id="52" w:name="_Toc26606_WPSOffice_Level2"/>
      <w:r>
        <w:rPr>
          <w:rFonts w:hint="eastAsia"/>
        </w:rPr>
        <w:t>一、收入支出决算总表</w:t>
      </w:r>
      <w:bookmarkEnd w:id="52"/>
    </w:p>
    <w:p>
      <w:pPr>
        <w:pStyle w:val="4"/>
        <w:bidi w:val="0"/>
        <w:rPr>
          <w:rFonts w:hint="eastAsia"/>
        </w:rPr>
      </w:pPr>
      <w:bookmarkStart w:id="53" w:name="_Toc13679_WPSOffice_Level2"/>
      <w:r>
        <w:rPr>
          <w:rFonts w:hint="eastAsia"/>
        </w:rPr>
        <w:t>二、收入决算表</w:t>
      </w:r>
      <w:bookmarkEnd w:id="53"/>
    </w:p>
    <w:p>
      <w:pPr>
        <w:pStyle w:val="4"/>
        <w:bidi w:val="0"/>
        <w:rPr>
          <w:rFonts w:hint="eastAsia"/>
        </w:rPr>
      </w:pPr>
      <w:bookmarkStart w:id="54" w:name="_Toc3138_WPSOffice_Level2"/>
      <w:r>
        <w:rPr>
          <w:rFonts w:hint="eastAsia"/>
        </w:rPr>
        <w:t>三、支出决算表</w:t>
      </w:r>
      <w:bookmarkEnd w:id="54"/>
    </w:p>
    <w:p>
      <w:pPr>
        <w:pStyle w:val="4"/>
        <w:bidi w:val="0"/>
        <w:rPr>
          <w:rFonts w:hint="eastAsia"/>
        </w:rPr>
      </w:pPr>
      <w:bookmarkStart w:id="55" w:name="_Toc7990_WPSOffice_Level2"/>
      <w:r>
        <w:rPr>
          <w:rFonts w:hint="eastAsia"/>
        </w:rPr>
        <w:t>四、财政拨款收入支出决算总表</w:t>
      </w:r>
      <w:bookmarkEnd w:id="55"/>
    </w:p>
    <w:p>
      <w:pPr>
        <w:pStyle w:val="4"/>
        <w:bidi w:val="0"/>
        <w:rPr>
          <w:rFonts w:hint="eastAsia"/>
        </w:rPr>
      </w:pPr>
      <w:bookmarkStart w:id="56" w:name="_Toc24517_WPSOffice_Level2"/>
      <w:r>
        <w:rPr>
          <w:rFonts w:hint="eastAsia"/>
        </w:rPr>
        <w:t>五、财政拨款支出决算明细表</w:t>
      </w:r>
      <w:bookmarkEnd w:id="56"/>
    </w:p>
    <w:p>
      <w:pPr>
        <w:pStyle w:val="4"/>
        <w:bidi w:val="0"/>
        <w:rPr>
          <w:rFonts w:hint="eastAsia"/>
        </w:rPr>
      </w:pPr>
      <w:bookmarkStart w:id="57" w:name="_Toc12997_WPSOffice_Level2"/>
      <w:r>
        <w:rPr>
          <w:rFonts w:hint="eastAsia"/>
        </w:rPr>
        <w:t>六、一般公共预算财政拨款支出决算表</w:t>
      </w:r>
      <w:bookmarkEnd w:id="57"/>
    </w:p>
    <w:p>
      <w:pPr>
        <w:pStyle w:val="4"/>
        <w:bidi w:val="0"/>
        <w:rPr>
          <w:rFonts w:hint="eastAsia"/>
        </w:rPr>
      </w:pPr>
      <w:bookmarkStart w:id="58" w:name="_Toc14573_WPSOffice_Level2"/>
      <w:r>
        <w:rPr>
          <w:rFonts w:hint="eastAsia"/>
        </w:rPr>
        <w:t>七、一般公共预算财政拨款支出决算明细表</w:t>
      </w:r>
      <w:bookmarkEnd w:id="58"/>
    </w:p>
    <w:p>
      <w:pPr>
        <w:pStyle w:val="4"/>
        <w:bidi w:val="0"/>
        <w:rPr>
          <w:rFonts w:hint="eastAsia"/>
        </w:rPr>
      </w:pPr>
      <w:bookmarkStart w:id="59" w:name="_Toc12653_WPSOffice_Level2"/>
      <w:r>
        <w:rPr>
          <w:rFonts w:hint="eastAsia"/>
        </w:rPr>
        <w:t>八、一般公共预算财政拨款基本支出决算表</w:t>
      </w:r>
      <w:bookmarkEnd w:id="59"/>
    </w:p>
    <w:p>
      <w:pPr>
        <w:pStyle w:val="4"/>
        <w:bidi w:val="0"/>
        <w:rPr>
          <w:rFonts w:hint="eastAsia"/>
        </w:rPr>
      </w:pPr>
      <w:bookmarkStart w:id="60" w:name="_Toc19888_WPSOffice_Level2"/>
      <w:r>
        <w:rPr>
          <w:rFonts w:hint="eastAsia"/>
        </w:rPr>
        <w:t>九、一般公共预算财政拨款项目支出决算表</w:t>
      </w:r>
      <w:bookmarkEnd w:id="60"/>
    </w:p>
    <w:p>
      <w:pPr>
        <w:pStyle w:val="4"/>
        <w:bidi w:val="0"/>
        <w:rPr>
          <w:rFonts w:hint="eastAsia"/>
        </w:rPr>
      </w:pPr>
      <w:bookmarkStart w:id="61" w:name="_Toc13200_WPSOffice_Level2"/>
      <w:r>
        <w:rPr>
          <w:rFonts w:hint="eastAsia"/>
        </w:rPr>
        <w:t>十、政府性基金预算财政拨款收入支出决算表</w:t>
      </w:r>
      <w:bookmarkEnd w:id="61"/>
    </w:p>
    <w:p>
      <w:pPr>
        <w:pStyle w:val="4"/>
        <w:bidi w:val="0"/>
        <w:rPr>
          <w:rFonts w:hint="eastAsia"/>
        </w:rPr>
      </w:pPr>
      <w:bookmarkStart w:id="62" w:name="_Toc11813_WPSOffice_Level2"/>
      <w:r>
        <w:rPr>
          <w:rFonts w:hint="eastAsia"/>
        </w:rPr>
        <w:t>十一、国有资本经营预算财政拨款收入支出决算表</w:t>
      </w:r>
      <w:bookmarkEnd w:id="62"/>
    </w:p>
    <w:p>
      <w:pPr>
        <w:pStyle w:val="4"/>
        <w:bidi w:val="0"/>
        <w:rPr>
          <w:rFonts w:hint="eastAsia"/>
        </w:rPr>
      </w:pPr>
      <w:bookmarkStart w:id="63" w:name="_Toc25915_WPSOffice_Level2"/>
      <w:r>
        <w:rPr>
          <w:rFonts w:hint="eastAsia"/>
        </w:rPr>
        <w:t>十二、国有资本经营预算财政拨款支出决算表</w:t>
      </w:r>
      <w:bookmarkEnd w:id="63"/>
    </w:p>
    <w:p>
      <w:pPr>
        <w:pStyle w:val="4"/>
        <w:bidi w:val="0"/>
        <w:rPr>
          <w:rFonts w:hint="eastAsia"/>
          <w:lang w:val="en-US"/>
        </w:rPr>
      </w:pPr>
      <w:bookmarkStart w:id="64" w:name="_Toc2349_WPSOffice_Level2"/>
      <w:r>
        <w:rPr>
          <w:rFonts w:hint="eastAsia"/>
        </w:rPr>
        <w:t>十三、财政拨款</w:t>
      </w:r>
      <w:r>
        <w:t>“</w:t>
      </w:r>
      <w:r>
        <w:rPr>
          <w:rFonts w:hint="eastAsia"/>
        </w:rPr>
        <w:t>三公</w:t>
      </w:r>
      <w:r>
        <w:t>”</w:t>
      </w:r>
      <w:r>
        <w:rPr>
          <w:rFonts w:hint="eastAsia"/>
        </w:rPr>
        <w:t>经费支出决算表</w:t>
      </w:r>
      <w:bookmarkEnd w:id="64"/>
    </w:p>
    <w:p>
      <w:pPr>
        <w:pStyle w:val="2"/>
        <w:numPr>
          <w:ilvl w:val="0"/>
          <w:numId w:val="0"/>
        </w:numPr>
        <w:rPr>
          <w:rFonts w:hint="eastAsia"/>
          <w:sz w:val="32"/>
          <w:szCs w:val="32"/>
          <w:lang w:val="en-US"/>
        </w:rPr>
      </w:pPr>
    </w:p>
    <w:p>
      <w:pPr>
        <w:spacing w:beforeLines="0" w:afterLines="0"/>
        <w:rPr>
          <w:rFonts w:hint="eastAsia" w:ascii="华文中宋" w:hAnsi="华文中宋" w:eastAsia="华文中宋"/>
          <w:color w:val="auto"/>
          <w:kern w:val="2"/>
          <w:sz w:val="36"/>
          <w:lang w:val="en-US"/>
        </w:rPr>
      </w:pPr>
    </w:p>
    <w:p/>
    <w:sectPr>
      <w:footerReference r:id="rId4" w:type="default"/>
      <w:pgSz w:w="12240" w:h="15840"/>
      <w:pgMar w:top="1440" w:right="1800" w:bottom="1440" w:left="1800" w:header="720" w:footer="720" w:gutter="0"/>
      <w:lnNumType w:countBy="0" w:distance="36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imes New Roman" w:hAnsi="Times New Roman" w:eastAsiaTheme="minorEastAsia"/>
                              <w:sz w:val="28"/>
                              <w:szCs w:val="28"/>
                              <w:lang w:eastAsia="zh-CN"/>
                            </w:rPr>
                          </w:pPr>
                          <w:r>
                            <w:rPr>
                              <w:rFonts w:hint="eastAsia" w:hAnsi="Times New Roman" w:asciiTheme="majorAscii" w:eastAsiaTheme="minorEastAsia"/>
                              <w:sz w:val="18"/>
                              <w:szCs w:val="18"/>
                              <w:lang w:eastAsia="zh-CN"/>
                            </w:rPr>
                            <w:t>—</w:t>
                          </w:r>
                          <w:r>
                            <w:rPr>
                              <w:rFonts w:hint="eastAsia" w:ascii="Times New Roman" w:hAnsi="Times New Roman" w:eastAsiaTheme="minorEastAsia"/>
                              <w:sz w:val="28"/>
                              <w:szCs w:val="28"/>
                              <w:lang w:eastAsia="zh-CN"/>
                            </w:rPr>
                            <w:t xml:space="preserve"> </w:t>
                          </w:r>
                          <w:r>
                            <w:rPr>
                              <w:rFonts w:hint="eastAsia" w:ascii="Times New Roman" w:hAnsi="Times New Roman" w:eastAsiaTheme="minorEastAsia"/>
                              <w:sz w:val="28"/>
                              <w:szCs w:val="28"/>
                              <w:lang w:eastAsia="zh-CN"/>
                            </w:rPr>
                            <w:fldChar w:fldCharType="begin"/>
                          </w:r>
                          <w:r>
                            <w:rPr>
                              <w:rFonts w:hint="eastAsia" w:ascii="Times New Roman" w:hAnsi="Times New Roman" w:eastAsiaTheme="minorEastAsia"/>
                              <w:sz w:val="28"/>
                              <w:szCs w:val="28"/>
                              <w:lang w:eastAsia="zh-CN"/>
                            </w:rPr>
                            <w:instrText xml:space="preserve"> PAGE  \* MERGEFORMAT </w:instrText>
                          </w:r>
                          <w:r>
                            <w:rPr>
                              <w:rFonts w:hint="eastAsia" w:ascii="Times New Roman" w:hAnsi="Times New Roman" w:eastAsiaTheme="minorEastAsia"/>
                              <w:sz w:val="28"/>
                              <w:szCs w:val="28"/>
                              <w:lang w:eastAsia="zh-CN"/>
                            </w:rPr>
                            <w:fldChar w:fldCharType="separate"/>
                          </w:r>
                          <w:r>
                            <w:rPr>
                              <w:rFonts w:hint="eastAsia" w:ascii="Times New Roman" w:hAnsi="Times New Roman" w:eastAsiaTheme="minorEastAsia"/>
                              <w:sz w:val="28"/>
                              <w:szCs w:val="28"/>
                              <w:lang w:eastAsia="zh-CN"/>
                            </w:rPr>
                            <w:t>4</w:t>
                          </w:r>
                          <w:r>
                            <w:rPr>
                              <w:rFonts w:hint="eastAsia" w:ascii="Times New Roman" w:hAnsi="Times New Roman" w:eastAsiaTheme="minorEastAsia"/>
                              <w:sz w:val="28"/>
                              <w:szCs w:val="28"/>
                              <w:lang w:eastAsia="zh-CN"/>
                            </w:rPr>
                            <w:fldChar w:fldCharType="end"/>
                          </w:r>
                          <w:r>
                            <w:rPr>
                              <w:rFonts w:hint="eastAsia" w:ascii="Times New Roman" w:hAnsi="Times New Roman" w:eastAsiaTheme="minorEastAsia"/>
                              <w:sz w:val="28"/>
                              <w:szCs w:val="28"/>
                              <w:lang w:eastAsia="zh-CN"/>
                            </w:rPr>
                            <w:t xml:space="preserve"> </w:t>
                          </w:r>
                          <w:r>
                            <w:rPr>
                              <w:rFonts w:hint="eastAsia" w:hAnsi="Times New Roman" w:asciiTheme="majorAscii" w:eastAsiaTheme="minorEastAsia"/>
                              <w:sz w:val="18"/>
                              <w:szCs w:val="1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imes New Roman" w:hAnsi="Times New Roman" w:eastAsiaTheme="minorEastAsia"/>
                        <w:sz w:val="28"/>
                        <w:szCs w:val="28"/>
                        <w:lang w:eastAsia="zh-CN"/>
                      </w:rPr>
                    </w:pPr>
                    <w:r>
                      <w:rPr>
                        <w:rFonts w:hint="eastAsia" w:hAnsi="Times New Roman" w:asciiTheme="majorAscii" w:eastAsiaTheme="minorEastAsia"/>
                        <w:sz w:val="18"/>
                        <w:szCs w:val="18"/>
                        <w:lang w:eastAsia="zh-CN"/>
                      </w:rPr>
                      <w:t>—</w:t>
                    </w:r>
                    <w:r>
                      <w:rPr>
                        <w:rFonts w:hint="eastAsia" w:ascii="Times New Roman" w:hAnsi="Times New Roman" w:eastAsiaTheme="minorEastAsia"/>
                        <w:sz w:val="28"/>
                        <w:szCs w:val="28"/>
                        <w:lang w:eastAsia="zh-CN"/>
                      </w:rPr>
                      <w:t xml:space="preserve"> </w:t>
                    </w:r>
                    <w:r>
                      <w:rPr>
                        <w:rFonts w:hint="eastAsia" w:ascii="Times New Roman" w:hAnsi="Times New Roman" w:eastAsiaTheme="minorEastAsia"/>
                        <w:sz w:val="28"/>
                        <w:szCs w:val="28"/>
                        <w:lang w:eastAsia="zh-CN"/>
                      </w:rPr>
                      <w:fldChar w:fldCharType="begin"/>
                    </w:r>
                    <w:r>
                      <w:rPr>
                        <w:rFonts w:hint="eastAsia" w:ascii="Times New Roman" w:hAnsi="Times New Roman" w:eastAsiaTheme="minorEastAsia"/>
                        <w:sz w:val="28"/>
                        <w:szCs w:val="28"/>
                        <w:lang w:eastAsia="zh-CN"/>
                      </w:rPr>
                      <w:instrText xml:space="preserve"> PAGE  \* MERGEFORMAT </w:instrText>
                    </w:r>
                    <w:r>
                      <w:rPr>
                        <w:rFonts w:hint="eastAsia" w:ascii="Times New Roman" w:hAnsi="Times New Roman" w:eastAsiaTheme="minorEastAsia"/>
                        <w:sz w:val="28"/>
                        <w:szCs w:val="28"/>
                        <w:lang w:eastAsia="zh-CN"/>
                      </w:rPr>
                      <w:fldChar w:fldCharType="separate"/>
                    </w:r>
                    <w:r>
                      <w:rPr>
                        <w:rFonts w:hint="eastAsia" w:ascii="Times New Roman" w:hAnsi="Times New Roman" w:eastAsiaTheme="minorEastAsia"/>
                        <w:sz w:val="28"/>
                        <w:szCs w:val="28"/>
                        <w:lang w:eastAsia="zh-CN"/>
                      </w:rPr>
                      <w:t>4</w:t>
                    </w:r>
                    <w:r>
                      <w:rPr>
                        <w:rFonts w:hint="eastAsia" w:ascii="Times New Roman" w:hAnsi="Times New Roman" w:eastAsiaTheme="minorEastAsia"/>
                        <w:sz w:val="28"/>
                        <w:szCs w:val="28"/>
                        <w:lang w:eastAsia="zh-CN"/>
                      </w:rPr>
                      <w:fldChar w:fldCharType="end"/>
                    </w:r>
                    <w:r>
                      <w:rPr>
                        <w:rFonts w:hint="eastAsia" w:ascii="Times New Roman" w:hAnsi="Times New Roman" w:eastAsiaTheme="minorEastAsia"/>
                        <w:sz w:val="28"/>
                        <w:szCs w:val="28"/>
                        <w:lang w:eastAsia="zh-CN"/>
                      </w:rPr>
                      <w:t xml:space="preserve"> </w:t>
                    </w:r>
                    <w:r>
                      <w:rPr>
                        <w:rFonts w:hint="eastAsia" w:hAnsi="Times New Roman" w:asciiTheme="majorAscii" w:eastAsiaTheme="minorEastAsia"/>
                        <w:sz w:val="18"/>
                        <w:szCs w:val="1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04EF4"/>
    <w:multiLevelType w:val="singleLevel"/>
    <w:tmpl w:val="8FC04EF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00172A27"/>
    <w:rsid w:val="016E0D6D"/>
    <w:rsid w:val="01934058"/>
    <w:rsid w:val="01F0613D"/>
    <w:rsid w:val="024960DA"/>
    <w:rsid w:val="02DE60DE"/>
    <w:rsid w:val="0312456B"/>
    <w:rsid w:val="050D2864"/>
    <w:rsid w:val="056858EA"/>
    <w:rsid w:val="05D95DC2"/>
    <w:rsid w:val="073804EE"/>
    <w:rsid w:val="09BB01F7"/>
    <w:rsid w:val="0C6876AB"/>
    <w:rsid w:val="12166A4E"/>
    <w:rsid w:val="1259350C"/>
    <w:rsid w:val="16247600"/>
    <w:rsid w:val="16D649B1"/>
    <w:rsid w:val="1A697AED"/>
    <w:rsid w:val="1E0A74AC"/>
    <w:rsid w:val="22295056"/>
    <w:rsid w:val="22B86BED"/>
    <w:rsid w:val="22FA4B99"/>
    <w:rsid w:val="27D64833"/>
    <w:rsid w:val="28AC2B8B"/>
    <w:rsid w:val="28EA3CB0"/>
    <w:rsid w:val="2CA119ED"/>
    <w:rsid w:val="2D187D14"/>
    <w:rsid w:val="2EFC4F68"/>
    <w:rsid w:val="30F74425"/>
    <w:rsid w:val="3367155C"/>
    <w:rsid w:val="35DA5480"/>
    <w:rsid w:val="363736B2"/>
    <w:rsid w:val="367F278F"/>
    <w:rsid w:val="36DE2F41"/>
    <w:rsid w:val="37F41F65"/>
    <w:rsid w:val="3A9C6354"/>
    <w:rsid w:val="3B521D16"/>
    <w:rsid w:val="3BF26391"/>
    <w:rsid w:val="3E7343F7"/>
    <w:rsid w:val="3F871452"/>
    <w:rsid w:val="40850686"/>
    <w:rsid w:val="40BA40EB"/>
    <w:rsid w:val="42AC565D"/>
    <w:rsid w:val="431B7968"/>
    <w:rsid w:val="43C4152F"/>
    <w:rsid w:val="47E91B5D"/>
    <w:rsid w:val="49B23CE8"/>
    <w:rsid w:val="4A3D6ADD"/>
    <w:rsid w:val="4B361831"/>
    <w:rsid w:val="4B88082B"/>
    <w:rsid w:val="4BC62BD5"/>
    <w:rsid w:val="4D1E45E6"/>
    <w:rsid w:val="4EB454A1"/>
    <w:rsid w:val="51F20B18"/>
    <w:rsid w:val="541F7B4A"/>
    <w:rsid w:val="5456389C"/>
    <w:rsid w:val="565533C2"/>
    <w:rsid w:val="574B49AC"/>
    <w:rsid w:val="576049D0"/>
    <w:rsid w:val="584E2874"/>
    <w:rsid w:val="59F10677"/>
    <w:rsid w:val="5A873130"/>
    <w:rsid w:val="5F5C39A9"/>
    <w:rsid w:val="66625DBC"/>
    <w:rsid w:val="67A06FC8"/>
    <w:rsid w:val="6C472E3F"/>
    <w:rsid w:val="6FCB2766"/>
    <w:rsid w:val="707E553A"/>
    <w:rsid w:val="70F55111"/>
    <w:rsid w:val="75D42315"/>
    <w:rsid w:val="78D26011"/>
    <w:rsid w:val="79DA6625"/>
    <w:rsid w:val="7ABA0CA0"/>
    <w:rsid w:val="7B3F613A"/>
    <w:rsid w:val="7EBF7626"/>
    <w:rsid w:val="7F00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Theme="minorHAnsi" w:hAnsiTheme="minorHAnsi" w:eastAsiaTheme="minorEastAsia" w:cstheme="minorBidi"/>
      <w:sz w:val="24"/>
    </w:rPr>
  </w:style>
  <w:style w:type="paragraph" w:styleId="3">
    <w:name w:val="heading 1"/>
    <w:next w:val="1"/>
    <w:unhideWhenUsed/>
    <w:qFormat/>
    <w:uiPriority w:val="99"/>
    <w:pPr>
      <w:widowControl w:val="0"/>
      <w:autoSpaceDE w:val="0"/>
      <w:autoSpaceDN w:val="0"/>
      <w:adjustRightInd w:val="0"/>
      <w:spacing w:beforeLines="0" w:afterLines="0"/>
      <w:outlineLvl w:val="0"/>
    </w:pPr>
    <w:rPr>
      <w:rFonts w:hint="default" w:eastAsia="黑体" w:asciiTheme="minorAscii" w:hAnsiTheme="minorAscii" w:cstheme="minorBidi"/>
      <w:sz w:val="44"/>
    </w:rPr>
  </w:style>
  <w:style w:type="paragraph" w:styleId="4">
    <w:name w:val="heading 2"/>
    <w:next w:val="1"/>
    <w:unhideWhenUsed/>
    <w:qFormat/>
    <w:uiPriority w:val="99"/>
    <w:pPr>
      <w:widowControl w:val="0"/>
      <w:autoSpaceDE w:val="0"/>
      <w:autoSpaceDN w:val="0"/>
      <w:adjustRightInd w:val="0"/>
      <w:spacing w:beforeLines="0" w:afterLines="0"/>
      <w:outlineLvl w:val="1"/>
    </w:pPr>
    <w:rPr>
      <w:rFonts w:hint="default" w:eastAsia="仿宋" w:asciiTheme="minorAscii" w:hAnsiTheme="minorAscii" w:cstheme="minorBidi"/>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semiHidden/>
    <w:unhideWhenUsed/>
    <w:qFormat/>
    <w:uiPriority w:val="99"/>
    <w:pPr>
      <w:spacing w:beforeLines="0" w:after="120"/>
      <w:ind w:firstLine="420" w:firstLineChars="100"/>
    </w:pPr>
    <w:rPr>
      <w:rFonts w:ascii="Times New Roman" w:eastAsia="宋体"/>
      <w:kern w:val="2"/>
      <w:sz w:val="21"/>
    </w:rPr>
  </w:style>
  <w:style w:type="paragraph" w:customStyle="1" w:styleId="1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1">
    <w:name w:val="font21"/>
    <w:basedOn w:val="9"/>
    <w:qFormat/>
    <w:uiPriority w:val="0"/>
    <w:rPr>
      <w:rFonts w:hint="eastAsia" w:ascii="微软雅黑" w:hAnsi="微软雅黑" w:eastAsia="微软雅黑" w:cs="微软雅黑"/>
      <w:i/>
      <w:color w:val="000000"/>
      <w:sz w:val="16"/>
      <w:szCs w:val="16"/>
      <w:u w:val="none"/>
    </w:rPr>
  </w:style>
  <w:style w:type="paragraph" w:customStyle="1" w:styleId="12">
    <w:name w:val="WPSOffice手动目录 1"/>
    <w:qFormat/>
    <w:uiPriority w:val="0"/>
    <w:pPr>
      <w:ind w:leftChars="0"/>
    </w:pPr>
    <w:rPr>
      <w:rFonts w:ascii="Calibri" w:hAnsi="Calibri" w:eastAsia="宋体" w:cs="Times New Roman"/>
      <w:sz w:val="20"/>
      <w:szCs w:val="20"/>
    </w:rPr>
  </w:style>
  <w:style w:type="paragraph" w:customStyle="1" w:styleId="13">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c15:sqref>
                  </c15:fullRef>
                </c:ext>
              </c:extLst>
              <c:f>Sheet1!$A$2</c:f>
              <c:strCache>
                <c:ptCount val="1"/>
                <c:pt idx="0">
                  <c:v>类别 1</c:v>
                </c:pt>
              </c:strCache>
            </c:strRef>
          </c:cat>
          <c:val>
            <c:numRef>
              <c:extLst>
                <c:ext xmlns:c15="http://schemas.microsoft.com/office/drawing/2012/chart" uri="{02D57815-91ED-43cb-92C2-25804820EDAC}">
                  <c15:fullRef>
                    <c15:sqref>Sheet1!$B$2</c15:sqref>
                  </c15:fullRef>
                </c:ext>
              </c:extLst>
              <c:f>Sheet1!$B$2</c:f>
              <c:numCache>
                <c:formatCode>General</c:formatCode>
                <c:ptCount val="1"/>
                <c:pt idx="0">
                  <c:v>3891.36</c:v>
                </c:pt>
              </c:numCache>
            </c:numRef>
          </c:val>
        </c:ser>
        <c:ser>
          <c:idx val="1"/>
          <c:order val="1"/>
          <c:tx>
            <c:strRef>
              <c:f>Sheet1!$C$1</c:f>
              <c:strCache>
                <c:ptCount val="1"/>
                <c:pt idx="0">
                  <c:v>2022年收、支总计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c15:sqref>
                  </c15:fullRef>
                </c:ext>
              </c:extLst>
              <c:f>Sheet1!$A$2</c:f>
              <c:strCache>
                <c:ptCount val="1"/>
                <c:pt idx="0">
                  <c:v>类别 1</c:v>
                </c:pt>
              </c:strCache>
            </c:strRef>
          </c:cat>
          <c:val>
            <c:numRef>
              <c:extLst>
                <c:ext xmlns:c15="http://schemas.microsoft.com/office/drawing/2012/chart" uri="{02D57815-91ED-43cb-92C2-25804820EDAC}">
                  <c15:fullRef>
                    <c15:sqref>Sheet1!$C$2</c15:sqref>
                  </c15:fullRef>
                </c:ext>
              </c:extLst>
              <c:f>Sheet1!$C$2</c:f>
              <c:numCache>
                <c:formatCode>General</c:formatCode>
                <c:ptCount val="1"/>
                <c:pt idx="0">
                  <c:v>2603.33</c:v>
                </c:pt>
              </c:numCache>
            </c:numRef>
          </c:val>
        </c:ser>
        <c:dLbls>
          <c:showLegendKey val="0"/>
          <c:showVal val="1"/>
          <c:showCatName val="0"/>
          <c:showSerName val="0"/>
          <c:showPercent val="0"/>
          <c:showBubbleSize val="0"/>
        </c:dLbls>
        <c:gapWidth val="219"/>
        <c:overlap val="-27"/>
        <c:axId val="455856236"/>
        <c:axId val="843916175"/>
      </c:barChart>
      <c:catAx>
        <c:axId val="4558562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916175"/>
        <c:crosses val="autoZero"/>
        <c:auto val="1"/>
        <c:lblAlgn val="ctr"/>
        <c:lblOffset val="100"/>
        <c:noMultiLvlLbl val="0"/>
      </c:catAx>
      <c:valAx>
        <c:axId val="843916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8562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收入决算结构图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47058823529412"/>
          <c:y val="0.115247524752475"/>
          <c:w val="0.948235294117647"/>
          <c:h val="0.715841584158416"/>
        </c:manualLayout>
      </c:layout>
      <c:pie3DChart>
        <c:varyColors val="1"/>
        <c:ser>
          <c:idx val="0"/>
          <c:order val="0"/>
          <c:tx>
            <c:strRef>
              <c:f>Sheet1!$B$1</c:f>
              <c:strCache>
                <c:ptCount val="1"/>
                <c:pt idx="0">
                  <c:v>2022年本年收入合计</c:v>
                </c:pt>
              </c:strCache>
            </c:strRef>
          </c:tx>
          <c:spPr>
            <a:scene3d>
              <a:camera prst="orthographicFront"/>
              <a:lightRig rig="threePt" dir="t"/>
            </a:scene3d>
            <a:sp3d contourW="9525"/>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一般公共预算财政拨款收入</c:v>
                </c:pt>
                <c:pt idx="1">
                  <c:v>政府性基金预算财政拨款收入</c:v>
                </c:pt>
                <c:pt idx="2">
                  <c:v>其他收入</c:v>
                </c:pt>
              </c:strCache>
            </c:strRef>
          </c:cat>
          <c:val>
            <c:numRef>
              <c:f>Sheet1!$B$2:$B$5</c:f>
              <c:numCache>
                <c:formatCode>General</c:formatCode>
                <c:ptCount val="4"/>
                <c:pt idx="0">
                  <c:v>1095.73</c:v>
                </c:pt>
                <c:pt idx="1">
                  <c:v>860.99</c:v>
                </c:pt>
                <c:pt idx="2">
                  <c:v>212.14</c:v>
                </c:pt>
              </c:numCache>
            </c:numRef>
          </c:val>
        </c:ser>
        <c:dLbls>
          <c:showLegendKey val="0"/>
          <c:showVal val="0"/>
          <c:showCatName val="1"/>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支出决算结构图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47641509433962"/>
          <c:y val="0.151491053677932"/>
          <c:w val="0.94811320754717"/>
          <c:h val="0.714711729622266"/>
        </c:manualLayout>
      </c:layout>
      <c:pie3DChart>
        <c:varyColors val="1"/>
        <c:ser>
          <c:idx val="0"/>
          <c:order val="0"/>
          <c:tx>
            <c:strRef>
              <c:f>Sheet1!$B$1</c:f>
              <c:strCache>
                <c:ptCount val="1"/>
                <c:pt idx="0">
                  <c:v>2022年本年支出合计</c:v>
                </c:pt>
              </c:strCache>
            </c:strRef>
          </c:tx>
          <c:spPr>
            <a:scene3d>
              <a:camera prst="orthographicFront"/>
              <a:lightRig rig="threePt" dir="t"/>
            </a:scene3d>
            <a:sp3d contourW="9525"/>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0.151</c:v>
                </c:pt>
                <c:pt idx="1">
                  <c:v>0.849</c:v>
                </c:pt>
              </c:numCache>
            </c:numRef>
          </c:val>
        </c:ser>
        <c:dLbls>
          <c:showLegendKey val="0"/>
          <c:showVal val="0"/>
          <c:showCatName val="1"/>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0653661955379045"/>
          <c:y val="0.0281306715063521"/>
          <c:w val="0.930195070669314"/>
          <c:h val="0.897168784029038"/>
        </c:manualLayout>
      </c:layout>
      <c:barChart>
        <c:barDir val="col"/>
        <c:grouping val="clustered"/>
        <c:varyColors val="0"/>
        <c:ser>
          <c:idx val="0"/>
          <c:order val="0"/>
          <c:tx>
            <c:strRef>
              <c:f>Sheet1!$B$1</c:f>
              <c:strCache>
                <c:ptCount val="1"/>
                <c:pt idx="0">
                  <c:v>2021年财政拨款收支总计</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财政拨款收支总计</c:v>
                </c:pt>
              </c:strCache>
            </c:strRef>
          </c:cat>
          <c:val>
            <c:numRef>
              <c:f>Sheet1!$B$2</c:f>
              <c:numCache>
                <c:formatCode>General</c:formatCode>
                <c:ptCount val="1"/>
                <c:pt idx="0">
                  <c:v>2964.02</c:v>
                </c:pt>
              </c:numCache>
            </c:numRef>
          </c:val>
        </c:ser>
        <c:ser>
          <c:idx val="1"/>
          <c:order val="1"/>
          <c:tx>
            <c:strRef>
              <c:f>Sheet1!$C$1</c:f>
              <c:strCache>
                <c:ptCount val="1"/>
                <c:pt idx="0">
                  <c:v>2022年收支总计</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财政拨款收支总计</c:v>
                </c:pt>
              </c:strCache>
            </c:strRef>
          </c:cat>
          <c:val>
            <c:numRef>
              <c:f>Sheet1!$C$2</c:f>
              <c:numCache>
                <c:formatCode>General</c:formatCode>
                <c:ptCount val="1"/>
                <c:pt idx="0">
                  <c:v>1958.7</c:v>
                </c:pt>
              </c:numCache>
            </c:numRef>
          </c:val>
        </c:ser>
        <c:ser>
          <c:idx val="2"/>
          <c:order val="2"/>
          <c:tx>
            <c:strRef>
              <c:f>Sheet1!#REF!</c:f>
              <c:strCache>
                <c:ptCount val="1"/>
                <c:pt idx="0">
                  <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财政拨款收支总计</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64"/>
        <c:overlap val="-22"/>
        <c:axId val="460417797"/>
        <c:axId val="141324234"/>
      </c:barChart>
      <c:catAx>
        <c:axId val="460417797"/>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324234"/>
        <c:crosses val="autoZero"/>
        <c:auto val="1"/>
        <c:lblAlgn val="ctr"/>
        <c:lblOffset val="100"/>
        <c:noMultiLvlLbl val="0"/>
      </c:catAx>
      <c:valAx>
        <c:axId val="141324234"/>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041779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2962.04</c:v>
                </c:pt>
              </c:numCache>
            </c:numRef>
          </c:val>
        </c:ser>
        <c:ser>
          <c:idx val="1"/>
          <c:order val="1"/>
          <c:tx>
            <c:strRef>
              <c:f>Sheet1!$C$1</c:f>
              <c:strCache>
                <c:ptCount val="1"/>
                <c:pt idx="0">
                  <c:v>2022年一般公共预算财政拨款支出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1096.08</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360721522"/>
        <c:axId val="897441382"/>
      </c:barChart>
      <c:catAx>
        <c:axId val="3607215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441382"/>
        <c:crosses val="autoZero"/>
        <c:auto val="1"/>
        <c:lblAlgn val="ctr"/>
        <c:lblOffset val="100"/>
        <c:noMultiLvlLbl val="0"/>
      </c:catAx>
      <c:valAx>
        <c:axId val="8974413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072152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一般共公预算财政拨款支出决算结构图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0849924321806962"/>
          <c:y val="0.0929883138564274"/>
          <c:w val="0.984980789381767"/>
          <c:h val="0.846410684474123"/>
        </c:manualLayout>
      </c:layout>
      <c:pie3DChart>
        <c:varyColors val="1"/>
        <c:ser>
          <c:idx val="0"/>
          <c:order val="0"/>
          <c:tx>
            <c:strRef>
              <c:f>Sheet1!$B$1</c:f>
              <c:strCache>
                <c:ptCount val="1"/>
                <c:pt idx="0">
                  <c:v>一般公共预算财政拨款支出决算结构图</c:v>
                </c:pt>
              </c:strCache>
            </c:strRef>
          </c:tx>
          <c:spPr>
            <a:scene3d>
              <a:camera prst="orthographicFront"/>
              <a:lightRig rig="threePt" dir="t"/>
            </a:scene3d>
            <a:sp3d contourW="9525"/>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c:spPr>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社会保障和就业支出</c:v>
                </c:pt>
                <c:pt idx="1">
                  <c:v>卫生健康支出</c:v>
                </c:pt>
                <c:pt idx="2">
                  <c:v>农林水支出</c:v>
                </c:pt>
                <c:pt idx="3">
                  <c:v>交通运输支出</c:v>
                </c:pt>
                <c:pt idx="4">
                  <c:v>住房保障支出</c:v>
                </c:pt>
              </c:strCache>
            </c:strRef>
          </c:cat>
          <c:val>
            <c:numRef>
              <c:f>Sheet1!$B$2:$B$6</c:f>
              <c:numCache>
                <c:formatCode>General</c:formatCode>
                <c:ptCount val="5"/>
                <c:pt idx="0">
                  <c:v>47.72</c:v>
                </c:pt>
                <c:pt idx="1">
                  <c:v>7.92</c:v>
                </c:pt>
                <c:pt idx="2">
                  <c:v>184.5</c:v>
                </c:pt>
                <c:pt idx="3">
                  <c:v>831.31</c:v>
                </c:pt>
                <c:pt idx="4">
                  <c:v>24.62</c:v>
                </c:pt>
              </c:numCache>
            </c:numRef>
          </c:val>
        </c:ser>
        <c:dLbls>
          <c:showLegendKey val="0"/>
          <c:showVal val="0"/>
          <c:showCatName val="1"/>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“三公”经费财政拨款支出结构图</c:v>
                </c:pt>
              </c:strCache>
            </c:strRef>
          </c:tx>
          <c:spPr>
            <a:scene3d>
              <a:camera prst="orthographicFront"/>
              <a:lightRig rig="threePt" dir="t"/>
            </a:scene3d>
            <a:sp3d contourW="9525"/>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0.92</c:v>
                </c:pt>
                <c:pt idx="1">
                  <c:v>0.91</c:v>
                </c:pt>
              </c:numCache>
            </c:numRef>
          </c:val>
        </c:ser>
        <c:dLbls>
          <c:showLegendKey val="0"/>
          <c:showVal val="0"/>
          <c:showCatName val="1"/>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0f7443-0339-4672-98f3-b7cb21a78b12}"/>
        <w:style w:val=""/>
        <w:category>
          <w:name w:val="常规"/>
          <w:gallery w:val="placeholder"/>
        </w:category>
        <w:types>
          <w:type w:val="bbPlcHdr"/>
        </w:types>
        <w:behaviors>
          <w:behavior w:val="content"/>
        </w:behaviors>
        <w:description w:val=""/>
        <w:guid w:val="{200f7443-0339-4672-98f3-b7cb21a78b12}"/>
      </w:docPartPr>
      <w:docPartBody>
        <w:p>
          <w:r>
            <w:rPr>
              <w:color w:val="808080"/>
            </w:rPr>
            <w:t>单击此处输入文字。</w:t>
          </w:r>
        </w:p>
      </w:docPartBody>
    </w:docPart>
    <w:docPart>
      <w:docPartPr>
        <w:name w:val="{bb78c1ad-4cee-41a7-9937-123d40e73db0}"/>
        <w:style w:val=""/>
        <w:category>
          <w:name w:val="常规"/>
          <w:gallery w:val="placeholder"/>
        </w:category>
        <w:types>
          <w:type w:val="bbPlcHdr"/>
        </w:types>
        <w:behaviors>
          <w:behavior w:val="content"/>
        </w:behaviors>
        <w:description w:val=""/>
        <w:guid w:val="{bb78c1ad-4cee-41a7-9937-123d40e73db0}"/>
      </w:docPartPr>
      <w:docPartBody>
        <w:p>
          <w:r>
            <w:rPr>
              <w:color w:val="808080"/>
            </w:rPr>
            <w:t>单击此处输入文字。</w:t>
          </w:r>
        </w:p>
      </w:docPartBody>
    </w:docPart>
    <w:docPart>
      <w:docPartPr>
        <w:name w:val="{13ea20dd-04cb-4988-838c-db130f1994e9}"/>
        <w:style w:val=""/>
        <w:category>
          <w:name w:val="常规"/>
          <w:gallery w:val="placeholder"/>
        </w:category>
        <w:types>
          <w:type w:val="bbPlcHdr"/>
        </w:types>
        <w:behaviors>
          <w:behavior w:val="content"/>
        </w:behaviors>
        <w:description w:val=""/>
        <w:guid w:val="{13ea20dd-04cb-4988-838c-db130f1994e9}"/>
      </w:docPartPr>
      <w:docPartBody>
        <w:p>
          <w:r>
            <w:rPr>
              <w:color w:val="808080"/>
            </w:rPr>
            <w:t>单击此处输入文字。</w:t>
          </w:r>
        </w:p>
      </w:docPartBody>
    </w:docPart>
    <w:docPart>
      <w:docPartPr>
        <w:name w:val="{1e6774c9-479d-451c-a15f-d6520998db71}"/>
        <w:style w:val=""/>
        <w:category>
          <w:name w:val="常规"/>
          <w:gallery w:val="placeholder"/>
        </w:category>
        <w:types>
          <w:type w:val="bbPlcHdr"/>
        </w:types>
        <w:behaviors>
          <w:behavior w:val="content"/>
        </w:behaviors>
        <w:description w:val=""/>
        <w:guid w:val="{1e6774c9-479d-451c-a15f-d6520998db71}"/>
      </w:docPartPr>
      <w:docPartBody>
        <w:p>
          <w:r>
            <w:rPr>
              <w:color w:val="808080"/>
            </w:rPr>
            <w:t>单击此处输入文字。</w:t>
          </w:r>
        </w:p>
      </w:docPartBody>
    </w:docPart>
    <w:docPart>
      <w:docPartPr>
        <w:name w:val="{68f6b4b6-7317-4382-b318-9a381c0d24e3}"/>
        <w:style w:val=""/>
        <w:category>
          <w:name w:val="常规"/>
          <w:gallery w:val="placeholder"/>
        </w:category>
        <w:types>
          <w:type w:val="bbPlcHdr"/>
        </w:types>
        <w:behaviors>
          <w:behavior w:val="content"/>
        </w:behaviors>
        <w:description w:val=""/>
        <w:guid w:val="{68f6b4b6-7317-4382-b318-9a381c0d24e3}"/>
      </w:docPartPr>
      <w:docPartBody>
        <w:p>
          <w:r>
            <w:rPr>
              <w:color w:val="808080"/>
            </w:rPr>
            <w:t>单击此处输入文字。</w:t>
          </w:r>
        </w:p>
      </w:docPartBody>
    </w:docPart>
    <w:docPart>
      <w:docPartPr>
        <w:name w:val="{aef096f4-80e9-4887-bc93-df428c846b53}"/>
        <w:style w:val=""/>
        <w:category>
          <w:name w:val="常规"/>
          <w:gallery w:val="placeholder"/>
        </w:category>
        <w:types>
          <w:type w:val="bbPlcHdr"/>
        </w:types>
        <w:behaviors>
          <w:behavior w:val="content"/>
        </w:behaviors>
        <w:description w:val=""/>
        <w:guid w:val="{aef096f4-80e9-4887-bc93-df428c846b53}"/>
      </w:docPartPr>
      <w:docPartBody>
        <w:p>
          <w:r>
            <w:rPr>
              <w:color w:val="808080"/>
            </w:rPr>
            <w:t>单击此处输入文字。</w:t>
          </w:r>
        </w:p>
      </w:docPartBody>
    </w:docPart>
    <w:docPart>
      <w:docPartPr>
        <w:name w:val="{3f03bea3-eabc-4d00-8b21-da9a49ef4468}"/>
        <w:style w:val=""/>
        <w:category>
          <w:name w:val="常规"/>
          <w:gallery w:val="placeholder"/>
        </w:category>
        <w:types>
          <w:type w:val="bbPlcHdr"/>
        </w:types>
        <w:behaviors>
          <w:behavior w:val="content"/>
        </w:behaviors>
        <w:description w:val=""/>
        <w:guid w:val="{3f03bea3-eabc-4d00-8b21-da9a49ef4468}"/>
      </w:docPartPr>
      <w:docPartBody>
        <w:p>
          <w:r>
            <w:rPr>
              <w:color w:val="808080"/>
            </w:rPr>
            <w:t>单击此处输入文字。</w:t>
          </w:r>
        </w:p>
      </w:docPartBody>
    </w:docPart>
    <w:docPart>
      <w:docPartPr>
        <w:name w:val="{0037cd61-3523-4625-8c0d-3afbf942f7c0}"/>
        <w:style w:val=""/>
        <w:category>
          <w:name w:val="常规"/>
          <w:gallery w:val="placeholder"/>
        </w:category>
        <w:types>
          <w:type w:val="bbPlcHdr"/>
        </w:types>
        <w:behaviors>
          <w:behavior w:val="content"/>
        </w:behaviors>
        <w:description w:val=""/>
        <w:guid w:val="{0037cd61-3523-4625-8c0d-3afbf942f7c0}"/>
      </w:docPartPr>
      <w:docPartBody>
        <w:p>
          <w:r>
            <w:rPr>
              <w:color w:val="808080"/>
            </w:rPr>
            <w:t>单击此处输入文字。</w:t>
          </w:r>
        </w:p>
      </w:docPartBody>
    </w:docPart>
    <w:docPart>
      <w:docPartPr>
        <w:name w:val="{77baa11e-3fd4-4a4f-8e0c-47a1bdfb4286}"/>
        <w:style w:val=""/>
        <w:category>
          <w:name w:val="常规"/>
          <w:gallery w:val="placeholder"/>
        </w:category>
        <w:types>
          <w:type w:val="bbPlcHdr"/>
        </w:types>
        <w:behaviors>
          <w:behavior w:val="content"/>
        </w:behaviors>
        <w:description w:val=""/>
        <w:guid w:val="{77baa11e-3fd4-4a4f-8e0c-47a1bdfb4286}"/>
      </w:docPartPr>
      <w:docPartBody>
        <w:p>
          <w:r>
            <w:rPr>
              <w:color w:val="808080"/>
            </w:rPr>
            <w:t>单击此处输入文字。</w:t>
          </w:r>
        </w:p>
      </w:docPartBody>
    </w:docPart>
    <w:docPart>
      <w:docPartPr>
        <w:name w:val="{2582a388-91ef-4940-9137-0ed09703497f}"/>
        <w:style w:val=""/>
        <w:category>
          <w:name w:val="常规"/>
          <w:gallery w:val="placeholder"/>
        </w:category>
        <w:types>
          <w:type w:val="bbPlcHdr"/>
        </w:types>
        <w:behaviors>
          <w:behavior w:val="content"/>
        </w:behaviors>
        <w:description w:val=""/>
        <w:guid w:val="{2582a388-91ef-4940-9137-0ed09703497f}"/>
      </w:docPartPr>
      <w:docPartBody>
        <w:p>
          <w:r>
            <w:rPr>
              <w:color w:val="808080"/>
            </w:rPr>
            <w:t>单击此处输入文字。</w:t>
          </w:r>
        </w:p>
      </w:docPartBody>
    </w:docPart>
    <w:docPart>
      <w:docPartPr>
        <w:name w:val="{140f21ac-96ad-43e8-9ff3-3cc2ad7649cd}"/>
        <w:style w:val=""/>
        <w:category>
          <w:name w:val="常规"/>
          <w:gallery w:val="placeholder"/>
        </w:category>
        <w:types>
          <w:type w:val="bbPlcHdr"/>
        </w:types>
        <w:behaviors>
          <w:behavior w:val="content"/>
        </w:behaviors>
        <w:description w:val=""/>
        <w:guid w:val="{140f21ac-96ad-43e8-9ff3-3cc2ad7649cd}"/>
      </w:docPartPr>
      <w:docPartBody>
        <w:p>
          <w:r>
            <w:rPr>
              <w:color w:val="808080"/>
            </w:rPr>
            <w:t>单击此处输入文字。</w:t>
          </w:r>
        </w:p>
      </w:docPartBody>
    </w:docPart>
    <w:docPart>
      <w:docPartPr>
        <w:name w:val="{815af14f-e06d-4e76-a84a-fc7b63b70372}"/>
        <w:style w:val=""/>
        <w:category>
          <w:name w:val="常规"/>
          <w:gallery w:val="placeholder"/>
        </w:category>
        <w:types>
          <w:type w:val="bbPlcHdr"/>
        </w:types>
        <w:behaviors>
          <w:behavior w:val="content"/>
        </w:behaviors>
        <w:description w:val=""/>
        <w:guid w:val="{815af14f-e06d-4e76-a84a-fc7b63b70372}"/>
      </w:docPartPr>
      <w:docPartBody>
        <w:p>
          <w:r>
            <w:rPr>
              <w:color w:val="808080"/>
            </w:rPr>
            <w:t>单击此处输入文字。</w:t>
          </w:r>
        </w:p>
      </w:docPartBody>
    </w:docPart>
    <w:docPart>
      <w:docPartPr>
        <w:name w:val="{e6f81194-1d13-4e3a-b83e-47d1935b0476}"/>
        <w:style w:val=""/>
        <w:category>
          <w:name w:val="常规"/>
          <w:gallery w:val="placeholder"/>
        </w:category>
        <w:types>
          <w:type w:val="bbPlcHdr"/>
        </w:types>
        <w:behaviors>
          <w:behavior w:val="content"/>
        </w:behaviors>
        <w:description w:val=""/>
        <w:guid w:val="{e6f81194-1d13-4e3a-b83e-47d1935b0476}"/>
      </w:docPartPr>
      <w:docPartBody>
        <w:p>
          <w:r>
            <w:rPr>
              <w:color w:val="808080"/>
            </w:rPr>
            <w:t>单击此处输入文字。</w:t>
          </w:r>
        </w:p>
      </w:docPartBody>
    </w:docPart>
    <w:docPart>
      <w:docPartPr>
        <w:name w:val="{9062e9f6-4abc-4d45-8be9-3599f66fcdc2}"/>
        <w:style w:val=""/>
        <w:category>
          <w:name w:val="常规"/>
          <w:gallery w:val="placeholder"/>
        </w:category>
        <w:types>
          <w:type w:val="bbPlcHdr"/>
        </w:types>
        <w:behaviors>
          <w:behavior w:val="content"/>
        </w:behaviors>
        <w:description w:val=""/>
        <w:guid w:val="{9062e9f6-4abc-4d45-8be9-3599f66fcdc2}"/>
      </w:docPartPr>
      <w:docPartBody>
        <w:p>
          <w:r>
            <w:rPr>
              <w:color w:val="808080"/>
            </w:rPr>
            <w:t>单击此处输入文字。</w:t>
          </w:r>
        </w:p>
      </w:docPartBody>
    </w:docPart>
    <w:docPart>
      <w:docPartPr>
        <w:name w:val="{ad13c410-da6f-46b6-b320-a4a80cd037b9}"/>
        <w:style w:val=""/>
        <w:category>
          <w:name w:val="常规"/>
          <w:gallery w:val="placeholder"/>
        </w:category>
        <w:types>
          <w:type w:val="bbPlcHdr"/>
        </w:types>
        <w:behaviors>
          <w:behavior w:val="content"/>
        </w:behaviors>
        <w:description w:val=""/>
        <w:guid w:val="{ad13c410-da6f-46b6-b320-a4a80cd037b9}"/>
      </w:docPartPr>
      <w:docPartBody>
        <w:p>
          <w:r>
            <w:rPr>
              <w:color w:val="808080"/>
            </w:rPr>
            <w:t>单击此处输入文字。</w:t>
          </w:r>
        </w:p>
      </w:docPartBody>
    </w:docPart>
    <w:docPart>
      <w:docPartPr>
        <w:name w:val="{e8624c13-2e71-469e-9be1-51727a57c414}"/>
        <w:style w:val=""/>
        <w:category>
          <w:name w:val="常规"/>
          <w:gallery w:val="placeholder"/>
        </w:category>
        <w:types>
          <w:type w:val="bbPlcHdr"/>
        </w:types>
        <w:behaviors>
          <w:behavior w:val="content"/>
        </w:behaviors>
        <w:description w:val=""/>
        <w:guid w:val="{e8624c13-2e71-469e-9be1-51727a57c414}"/>
      </w:docPartPr>
      <w:docPartBody>
        <w:p>
          <w:r>
            <w:rPr>
              <w:color w:val="808080"/>
            </w:rPr>
            <w:t>单击此处输入文字。</w:t>
          </w:r>
        </w:p>
      </w:docPartBody>
    </w:docPart>
    <w:docPart>
      <w:docPartPr>
        <w:name w:val="{a50ad054-2cf6-4641-b9bd-00ed4f153767}"/>
        <w:style w:val=""/>
        <w:category>
          <w:name w:val="常规"/>
          <w:gallery w:val="placeholder"/>
        </w:category>
        <w:types>
          <w:type w:val="bbPlcHdr"/>
        </w:types>
        <w:behaviors>
          <w:behavior w:val="content"/>
        </w:behaviors>
        <w:description w:val=""/>
        <w:guid w:val="{a50ad054-2cf6-4641-b9bd-00ed4f153767}"/>
      </w:docPartPr>
      <w:docPartBody>
        <w:p>
          <w:r>
            <w:rPr>
              <w:color w:val="808080"/>
            </w:rPr>
            <w:t>单击此处输入文字。</w:t>
          </w:r>
        </w:p>
      </w:docPartBody>
    </w:docPart>
    <w:docPart>
      <w:docPartPr>
        <w:name w:val="{43975ecc-4da0-4fd5-bd73-6f989c70b7d9}"/>
        <w:style w:val=""/>
        <w:category>
          <w:name w:val="常规"/>
          <w:gallery w:val="placeholder"/>
        </w:category>
        <w:types>
          <w:type w:val="bbPlcHdr"/>
        </w:types>
        <w:behaviors>
          <w:behavior w:val="content"/>
        </w:behaviors>
        <w:description w:val=""/>
        <w:guid w:val="{43975ecc-4da0-4fd5-bd73-6f989c70b7d9}"/>
      </w:docPartPr>
      <w:docPartBody>
        <w:p>
          <w:r>
            <w:rPr>
              <w:color w:val="808080"/>
            </w:rPr>
            <w:t>单击此处输入文字。</w:t>
          </w:r>
        </w:p>
      </w:docPartBody>
    </w:docPart>
    <w:docPart>
      <w:docPartPr>
        <w:name w:val="{56fb4d52-02c5-442a-a314-c516845df37d}"/>
        <w:style w:val=""/>
        <w:category>
          <w:name w:val="常规"/>
          <w:gallery w:val="placeholder"/>
        </w:category>
        <w:types>
          <w:type w:val="bbPlcHdr"/>
        </w:types>
        <w:behaviors>
          <w:behavior w:val="content"/>
        </w:behaviors>
        <w:description w:val=""/>
        <w:guid w:val="{56fb4d52-02c5-442a-a314-c516845df37d}"/>
      </w:docPartPr>
      <w:docPartBody>
        <w:p>
          <w:r>
            <w:rPr>
              <w:color w:val="808080"/>
            </w:rPr>
            <w:t>单击此处输入文字。</w:t>
          </w:r>
        </w:p>
      </w:docPartBody>
    </w:docPart>
    <w:docPart>
      <w:docPartPr>
        <w:name w:val="{fb4af504-b21d-4e33-99f1-49879527a2db}"/>
        <w:style w:val=""/>
        <w:category>
          <w:name w:val="常规"/>
          <w:gallery w:val="placeholder"/>
        </w:category>
        <w:types>
          <w:type w:val="bbPlcHdr"/>
        </w:types>
        <w:behaviors>
          <w:behavior w:val="content"/>
        </w:behaviors>
        <w:description w:val=""/>
        <w:guid w:val="{fb4af504-b21d-4e33-99f1-49879527a2db}"/>
      </w:docPartPr>
      <w:docPartBody>
        <w:p>
          <w:r>
            <w:rPr>
              <w:color w:val="808080"/>
            </w:rPr>
            <w:t>单击此处输入文字。</w:t>
          </w:r>
        </w:p>
      </w:docPartBody>
    </w:docPart>
    <w:docPart>
      <w:docPartPr>
        <w:name w:val="{8604b781-ee40-4a64-9dfb-353d87ad1678}"/>
        <w:style w:val=""/>
        <w:category>
          <w:name w:val="常规"/>
          <w:gallery w:val="placeholder"/>
        </w:category>
        <w:types>
          <w:type w:val="bbPlcHdr"/>
        </w:types>
        <w:behaviors>
          <w:behavior w:val="content"/>
        </w:behaviors>
        <w:description w:val=""/>
        <w:guid w:val="{8604b781-ee40-4a64-9dfb-353d87ad1678}"/>
      </w:docPartPr>
      <w:docPartBody>
        <w:p>
          <w:r>
            <w:rPr>
              <w:color w:val="808080"/>
            </w:rPr>
            <w:t>单击此处输入文字。</w:t>
          </w:r>
        </w:p>
      </w:docPartBody>
    </w:docPart>
    <w:docPart>
      <w:docPartPr>
        <w:name w:val="{747d1901-7476-4895-921f-adbd23df1b8d}"/>
        <w:style w:val=""/>
        <w:category>
          <w:name w:val="常规"/>
          <w:gallery w:val="placeholder"/>
        </w:category>
        <w:types>
          <w:type w:val="bbPlcHdr"/>
        </w:types>
        <w:behaviors>
          <w:behavior w:val="content"/>
        </w:behaviors>
        <w:description w:val=""/>
        <w:guid w:val="{747d1901-7476-4895-921f-adbd23df1b8d}"/>
      </w:docPartPr>
      <w:docPartBody>
        <w:p>
          <w:r>
            <w:rPr>
              <w:color w:val="808080"/>
            </w:rPr>
            <w:t>单击此处输入文字。</w:t>
          </w:r>
        </w:p>
      </w:docPartBody>
    </w:docPart>
    <w:docPart>
      <w:docPartPr>
        <w:name w:val="{6f34f94f-c958-4af1-af18-cc322b96f2f6}"/>
        <w:style w:val=""/>
        <w:category>
          <w:name w:val="常规"/>
          <w:gallery w:val="placeholder"/>
        </w:category>
        <w:types>
          <w:type w:val="bbPlcHdr"/>
        </w:types>
        <w:behaviors>
          <w:behavior w:val="content"/>
        </w:behaviors>
        <w:description w:val=""/>
        <w:guid w:val="{6f34f94f-c958-4af1-af18-cc322b96f2f6}"/>
      </w:docPartPr>
      <w:docPartBody>
        <w:p>
          <w:r>
            <w:rPr>
              <w:color w:val="808080"/>
            </w:rPr>
            <w:t>单击此处输入文字。</w:t>
          </w:r>
        </w:p>
      </w:docPartBody>
    </w:docPart>
    <w:docPart>
      <w:docPartPr>
        <w:name w:val="{87c09e8a-cf18-45c3-94bb-74b37a1a4ae3}"/>
        <w:style w:val=""/>
        <w:category>
          <w:name w:val="常规"/>
          <w:gallery w:val="placeholder"/>
        </w:category>
        <w:types>
          <w:type w:val="bbPlcHdr"/>
        </w:types>
        <w:behaviors>
          <w:behavior w:val="content"/>
        </w:behaviors>
        <w:description w:val=""/>
        <w:guid w:val="{87c09e8a-cf18-45c3-94bb-74b37a1a4ae3}"/>
      </w:docPartPr>
      <w:docPartBody>
        <w:p>
          <w:r>
            <w:rPr>
              <w:color w:val="808080"/>
            </w:rPr>
            <w:t>单击此处输入文字。</w:t>
          </w:r>
        </w:p>
      </w:docPartBody>
    </w:docPart>
    <w:docPart>
      <w:docPartPr>
        <w:name w:val="{9d4bef33-2032-4796-a7d7-6b0157a49176}"/>
        <w:style w:val=""/>
        <w:category>
          <w:name w:val="常规"/>
          <w:gallery w:val="placeholder"/>
        </w:category>
        <w:types>
          <w:type w:val="bbPlcHdr"/>
        </w:types>
        <w:behaviors>
          <w:behavior w:val="content"/>
        </w:behaviors>
        <w:description w:val=""/>
        <w:guid w:val="{9d4bef33-2032-4796-a7d7-6b0157a49176}"/>
      </w:docPartPr>
      <w:docPartBody>
        <w:p>
          <w:r>
            <w:rPr>
              <w:color w:val="808080"/>
            </w:rPr>
            <w:t>单击此处输入文字。</w:t>
          </w:r>
        </w:p>
      </w:docPartBody>
    </w:docPart>
    <w:docPart>
      <w:docPartPr>
        <w:name w:val="{a0e61d56-e71b-4974-8422-1da383b2ef91}"/>
        <w:style w:val=""/>
        <w:category>
          <w:name w:val="常规"/>
          <w:gallery w:val="placeholder"/>
        </w:category>
        <w:types>
          <w:type w:val="bbPlcHdr"/>
        </w:types>
        <w:behaviors>
          <w:behavior w:val="content"/>
        </w:behaviors>
        <w:description w:val=""/>
        <w:guid w:val="{a0e61d56-e71b-4974-8422-1da383b2ef91}"/>
      </w:docPartPr>
      <w:docPartBody>
        <w:p>
          <w:r>
            <w:rPr>
              <w:color w:val="808080"/>
            </w:rPr>
            <w:t>单击此处输入文字。</w:t>
          </w:r>
        </w:p>
      </w:docPartBody>
    </w:docPart>
    <w:docPart>
      <w:docPartPr>
        <w:name w:val="{44196860-4331-4575-b917-7c40fa5c0801}"/>
        <w:style w:val=""/>
        <w:category>
          <w:name w:val="常规"/>
          <w:gallery w:val="placeholder"/>
        </w:category>
        <w:types>
          <w:type w:val="bbPlcHdr"/>
        </w:types>
        <w:behaviors>
          <w:behavior w:val="content"/>
        </w:behaviors>
        <w:description w:val=""/>
        <w:guid w:val="{44196860-4331-4575-b917-7c40fa5c0801}"/>
      </w:docPartPr>
      <w:docPartBody>
        <w:p>
          <w:r>
            <w:rPr>
              <w:color w:val="808080"/>
            </w:rPr>
            <w:t>单击此处输入文字。</w:t>
          </w:r>
        </w:p>
      </w:docPartBody>
    </w:docPart>
    <w:docPart>
      <w:docPartPr>
        <w:name w:val="{b531909b-f9e5-40a8-93df-215d0ed1f0d2}"/>
        <w:style w:val=""/>
        <w:category>
          <w:name w:val="常规"/>
          <w:gallery w:val="placeholder"/>
        </w:category>
        <w:types>
          <w:type w:val="bbPlcHdr"/>
        </w:types>
        <w:behaviors>
          <w:behavior w:val="content"/>
        </w:behaviors>
        <w:description w:val=""/>
        <w:guid w:val="{b531909b-f9e5-40a8-93df-215d0ed1f0d2}"/>
      </w:docPartPr>
      <w:docPartBody>
        <w:p>
          <w:r>
            <w:rPr>
              <w:color w:val="808080"/>
            </w:rPr>
            <w:t>单击此处输入文字。</w:t>
          </w:r>
        </w:p>
      </w:docPartBody>
    </w:docPart>
    <w:docPart>
      <w:docPartPr>
        <w:name w:val="{7296e7d4-9736-41b8-ac89-c021d80d96bc}"/>
        <w:style w:val=""/>
        <w:category>
          <w:name w:val="常规"/>
          <w:gallery w:val="placeholder"/>
        </w:category>
        <w:types>
          <w:type w:val="bbPlcHdr"/>
        </w:types>
        <w:behaviors>
          <w:behavior w:val="content"/>
        </w:behaviors>
        <w:description w:val=""/>
        <w:guid w:val="{7296e7d4-9736-41b8-ac89-c021d80d96bc}"/>
      </w:docPartPr>
      <w:docPartBody>
        <w:p>
          <w:r>
            <w:rPr>
              <w:color w:val="808080"/>
            </w:rPr>
            <w:t>单击此处输入文字。</w:t>
          </w:r>
        </w:p>
      </w:docPartBody>
    </w:docPart>
    <w:docPart>
      <w:docPartPr>
        <w:name w:val="{24163a96-4563-4949-8246-a74ab9dd76e0}"/>
        <w:style w:val=""/>
        <w:category>
          <w:name w:val="常规"/>
          <w:gallery w:val="placeholder"/>
        </w:category>
        <w:types>
          <w:type w:val="bbPlcHdr"/>
        </w:types>
        <w:behaviors>
          <w:behavior w:val="content"/>
        </w:behaviors>
        <w:description w:val=""/>
        <w:guid w:val="{24163a96-4563-4949-8246-a74ab9dd76e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2023-09-22T02:24:00Z</dcterms:created>
  <dc:creator>Administrator</dc:creator>
  <cp:lastModifiedBy>阁主</cp:lastModifiedBy>
  <cp:lastPrinted>2023-09-25T06:14:00Z</cp:lastPrinted>
  <dcterms:modified xsi:type="dcterms:W3CDTF">2023-11-02T02:20:02Z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DA83F62374044A2A9CB09812A5A551D5_12</vt:lpwstr>
  </property>
</Properties>
</file>