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360" w:lineRule="auto"/>
        <w:jc w:val="center"/>
        <w:rPr>
          <w:rFonts w:hint="eastAsia" w:ascii="方正小标宋简体" w:hAnsi="方正小标宋简体" w:eastAsia="方正小标宋简体"/>
          <w:kern w:val="2"/>
          <w:sz w:val="72"/>
          <w:lang w:val="zh-CN"/>
        </w:rPr>
      </w:pPr>
    </w:p>
    <w:p>
      <w:pPr>
        <w:spacing w:beforeLines="0" w:afterLines="0" w:line="360" w:lineRule="auto"/>
        <w:jc w:val="center"/>
        <w:rPr>
          <w:rFonts w:hint="eastAsia" w:ascii="方正小标宋简体" w:hAnsi="方正小标宋简体" w:eastAsia="方正小标宋简体"/>
          <w:kern w:val="2"/>
          <w:sz w:val="72"/>
          <w:lang w:val="zh-CN"/>
        </w:rPr>
      </w:pPr>
    </w:p>
    <w:p>
      <w:pPr>
        <w:spacing w:beforeLines="0" w:afterLines="0" w:line="360" w:lineRule="auto"/>
        <w:jc w:val="center"/>
        <w:rPr>
          <w:rFonts w:hint="eastAsia" w:ascii="方正小标宋简体" w:hAnsi="方正小标宋简体" w:eastAsia="方正小标宋简体"/>
          <w:kern w:val="2"/>
          <w:sz w:val="72"/>
          <w:lang w:val="zh-CN"/>
        </w:rPr>
      </w:pPr>
      <w:bookmarkStart w:id="192" w:name="_GoBack"/>
      <w:bookmarkEnd w:id="192"/>
    </w:p>
    <w:p>
      <w:pPr>
        <w:spacing w:beforeLines="0" w:afterLines="0" w:line="360" w:lineRule="auto"/>
        <w:jc w:val="center"/>
        <w:rPr>
          <w:rFonts w:hint="eastAsia" w:ascii="方正小标宋简体" w:hAnsi="方正小标宋简体" w:eastAsia="方正小标宋简体"/>
          <w:kern w:val="2"/>
          <w:sz w:val="72"/>
          <w:lang w:val="zh-CN"/>
        </w:rPr>
      </w:pPr>
      <w:r>
        <w:rPr>
          <w:rFonts w:hint="eastAsia" w:ascii="方正小标宋简体" w:hAnsi="方正小标宋简体" w:eastAsia="方正小标宋简体"/>
          <w:kern w:val="2"/>
          <w:sz w:val="72"/>
          <w:lang w:val="zh-CN"/>
        </w:rPr>
        <w:t>2022年度</w:t>
      </w:r>
    </w:p>
    <w:p>
      <w:pPr>
        <w:spacing w:beforeLines="0" w:afterLines="0" w:line="360" w:lineRule="auto"/>
        <w:jc w:val="center"/>
        <w:rPr>
          <w:rFonts w:hint="eastAsia" w:ascii="方正小标宋简体" w:hAnsi="方正小标宋简体" w:eastAsia="方正小标宋简体"/>
          <w:kern w:val="2"/>
          <w:sz w:val="72"/>
          <w:lang w:val="zh-CN"/>
        </w:rPr>
      </w:pPr>
      <w:r>
        <w:rPr>
          <w:rFonts w:hint="eastAsia" w:ascii="方正小标宋简体" w:hAnsi="方正小标宋简体" w:eastAsia="方正小标宋简体"/>
          <w:kern w:val="2"/>
          <w:sz w:val="72"/>
          <w:lang w:val="zh-CN"/>
        </w:rPr>
        <w:t>四川省德阳市罗江区交通运输局部门决算</w:t>
      </w:r>
    </w:p>
    <w:p>
      <w:pPr>
        <w:keepNext/>
        <w:keepLines/>
        <w:tabs>
          <w:tab w:val="right" w:leader="dot" w:pos="8296"/>
        </w:tabs>
        <w:spacing w:beforeLines="0" w:afterLines="0" w:line="576" w:lineRule="exact"/>
        <w:rPr>
          <w:rFonts w:hint="eastAsia" w:ascii="黑体" w:hAnsi="黑体" w:eastAsia="黑体"/>
          <w:b/>
          <w:color w:val="FF0000"/>
          <w:kern w:val="2"/>
          <w:sz w:val="48"/>
          <w:lang w:val="zh-CN"/>
        </w:rPr>
      </w:pPr>
    </w:p>
    <w:p>
      <w:pPr>
        <w:spacing w:beforeLines="0" w:afterLines="0"/>
        <w:jc w:val="center"/>
        <w:rPr>
          <w:rFonts w:hint="eastAsia" w:ascii="黑体" w:hAnsi="黑体" w:eastAsia="黑体"/>
          <w:color w:val="auto"/>
          <w:kern w:val="2"/>
          <w:sz w:val="48"/>
          <w:lang w:val="zh-CN"/>
        </w:rPr>
      </w:pPr>
    </w:p>
    <w:p>
      <w:pPr>
        <w:spacing w:beforeLines="0" w:afterLines="0"/>
        <w:jc w:val="center"/>
        <w:rPr>
          <w:rFonts w:hint="eastAsia" w:ascii="黑体" w:hAnsi="黑体" w:eastAsia="黑体"/>
          <w:color w:val="auto"/>
          <w:kern w:val="2"/>
          <w:sz w:val="48"/>
          <w:lang w:val="zh-CN"/>
        </w:rPr>
      </w:pPr>
    </w:p>
    <w:p>
      <w:pPr>
        <w:spacing w:beforeLines="0" w:afterLines="0"/>
        <w:jc w:val="center"/>
        <w:rPr>
          <w:rFonts w:hint="eastAsia" w:ascii="黑体" w:hAnsi="黑体" w:eastAsia="黑体"/>
          <w:color w:val="auto"/>
          <w:kern w:val="2"/>
          <w:sz w:val="48"/>
          <w:lang w:val="zh-CN"/>
        </w:rPr>
      </w:pPr>
    </w:p>
    <w:p>
      <w:pPr>
        <w:spacing w:beforeLines="0" w:afterLines="0"/>
        <w:jc w:val="center"/>
        <w:rPr>
          <w:rFonts w:hint="eastAsia" w:ascii="黑体" w:hAnsi="黑体" w:eastAsia="黑体"/>
          <w:color w:val="auto"/>
          <w:kern w:val="2"/>
          <w:sz w:val="48"/>
          <w:lang w:val="zh-CN"/>
        </w:rPr>
      </w:pPr>
    </w:p>
    <w:p>
      <w:pPr>
        <w:spacing w:beforeLines="0" w:afterLines="0"/>
        <w:jc w:val="center"/>
        <w:rPr>
          <w:rFonts w:hint="eastAsia" w:ascii="黑体" w:hAnsi="黑体" w:eastAsia="黑体"/>
          <w:color w:val="auto"/>
          <w:kern w:val="2"/>
          <w:sz w:val="48"/>
          <w:lang w:val="zh-CN"/>
        </w:rPr>
      </w:pPr>
    </w:p>
    <w:p>
      <w:pPr>
        <w:spacing w:beforeLines="0" w:afterLines="0"/>
        <w:jc w:val="center"/>
        <w:rPr>
          <w:rFonts w:hint="eastAsia" w:ascii="黑体" w:hAnsi="黑体" w:eastAsia="黑体"/>
          <w:color w:val="auto"/>
          <w:kern w:val="2"/>
          <w:sz w:val="48"/>
          <w:lang w:val="zh-CN"/>
        </w:rPr>
      </w:pPr>
    </w:p>
    <w:p>
      <w:pPr>
        <w:spacing w:beforeLines="0" w:afterLines="0"/>
        <w:jc w:val="center"/>
        <w:rPr>
          <w:rFonts w:hint="eastAsia" w:ascii="黑体" w:hAnsi="黑体" w:eastAsia="黑体"/>
          <w:color w:val="auto"/>
          <w:kern w:val="2"/>
          <w:sz w:val="48"/>
          <w:lang w:val="zh-CN"/>
        </w:rPr>
      </w:pPr>
    </w:p>
    <w:p>
      <w:pPr>
        <w:spacing w:beforeLines="0" w:afterLines="0"/>
        <w:jc w:val="both"/>
        <w:rPr>
          <w:rFonts w:hint="eastAsia" w:ascii="Times New Roman" w:hAnsi="Times New Roman" w:eastAsia="Times New Roman"/>
          <w:color w:val="auto"/>
          <w:kern w:val="2"/>
          <w:sz w:val="21"/>
          <w:lang w:val="zh-CN"/>
        </w:rPr>
      </w:pPr>
    </w:p>
    <w:p>
      <w:pPr>
        <w:spacing w:before="0" w:beforeLines="0" w:after="0" w:afterLines="0" w:line="240" w:lineRule="auto"/>
        <w:ind w:left="0" w:leftChars="0" w:right="0" w:rightChars="0" w:firstLine="0" w:firstLineChars="0"/>
        <w:jc w:val="center"/>
        <w:rPr>
          <w:rFonts w:ascii="宋体" w:hAnsi="宋体" w:eastAsia="宋体"/>
          <w:b/>
          <w:bCs/>
          <w:sz w:val="32"/>
          <w:szCs w:val="32"/>
        </w:rPr>
      </w:pPr>
      <w:bookmarkStart w:id="0" w:name="_Toc13879_WPSOffice_Type2"/>
      <w:r>
        <w:rPr>
          <w:rFonts w:ascii="宋体" w:hAnsi="宋体" w:eastAsia="宋体"/>
          <w:b/>
          <w:bCs/>
          <w:sz w:val="32"/>
          <w:szCs w:val="32"/>
        </w:rPr>
        <w:t>目</w:t>
      </w:r>
      <w:r>
        <w:rPr>
          <w:rFonts w:hint="eastAsia" w:ascii="宋体" w:hAnsi="宋体" w:eastAsia="宋体"/>
          <w:b/>
          <w:bCs/>
          <w:sz w:val="32"/>
          <w:szCs w:val="32"/>
          <w:lang w:val="en-US" w:eastAsia="zh-CN"/>
        </w:rPr>
        <w:t xml:space="preserve">    </w:t>
      </w:r>
      <w:r>
        <w:rPr>
          <w:rFonts w:ascii="宋体" w:hAnsi="宋体" w:eastAsia="宋体"/>
          <w:b/>
          <w:bCs/>
          <w:sz w:val="32"/>
          <w:szCs w:val="32"/>
        </w:rPr>
        <w:t>录</w:t>
      </w:r>
    </w:p>
    <w:p>
      <w:pPr>
        <w:pStyle w:val="2"/>
        <w:jc w:val="center"/>
        <w:rPr>
          <w:rFonts w:hint="default" w:eastAsia="宋体"/>
          <w:sz w:val="32"/>
          <w:szCs w:val="32"/>
          <w:lang w:val="en-US" w:eastAsia="zh-CN"/>
        </w:rPr>
      </w:pPr>
      <w:r>
        <w:rPr>
          <w:rFonts w:hint="eastAsia" w:ascii="宋体" w:hAnsi="宋体" w:eastAsia="宋体"/>
          <w:b/>
          <w:bCs/>
          <w:sz w:val="32"/>
          <w:szCs w:val="32"/>
          <w:lang w:eastAsia="zh-CN"/>
        </w:rPr>
        <w:t>公开时间：</w:t>
      </w:r>
      <w:r>
        <w:rPr>
          <w:rFonts w:hint="eastAsia" w:ascii="宋体" w:hAnsi="宋体" w:eastAsia="宋体"/>
          <w:b/>
          <w:bCs/>
          <w:sz w:val="32"/>
          <w:szCs w:val="32"/>
          <w:lang w:val="en-US" w:eastAsia="zh-CN"/>
        </w:rPr>
        <w:t>2023年10月27日</w:t>
      </w:r>
    </w:p>
    <w:p>
      <w:pPr>
        <w:pStyle w:val="12"/>
        <w:tabs>
          <w:tab w:val="right" w:leader="dot" w:pos="8640"/>
        </w:tabs>
      </w:pPr>
      <w:r>
        <w:rPr>
          <w:b/>
          <w:bCs/>
        </w:rPr>
        <w:fldChar w:fldCharType="begin"/>
      </w:r>
      <w:r>
        <w:instrText xml:space="preserve"> HYPERLINK \l _Toc23338_WPSOffice_Level1 </w:instrText>
      </w:r>
      <w:r>
        <w:rPr>
          <w:b/>
          <w:bCs/>
        </w:rPr>
        <w:fldChar w:fldCharType="separate"/>
      </w:r>
      <w:sdt>
        <w:sdtPr>
          <w:rPr>
            <w:rFonts w:hint="default" w:ascii="Times New Roman" w:hAnsi="Times New Roman" w:eastAsia="宋体" w:cs="Times New Roman"/>
            <w:b/>
            <w:bCs/>
            <w:sz w:val="24"/>
          </w:rPr>
          <w:id w:val="147457863"/>
          <w:placeholder>
            <w:docPart w:val="{3ff5ec24-23f7-4ffc-a705-3693c71b4525}"/>
          </w:placeholder>
        </w:sdtPr>
        <w:sdtEndPr>
          <w:rPr>
            <w:rFonts w:hint="default" w:ascii="Times New Roman" w:hAnsi="Times New Roman" w:eastAsia="宋体" w:cs="Times New Roman"/>
            <w:b/>
            <w:bCs/>
            <w:sz w:val="24"/>
          </w:rPr>
        </w:sdtEndPr>
        <w:sdtContent>
          <w:r>
            <w:rPr>
              <w:rFonts w:hint="eastAsia" w:ascii="黑体" w:hAnsi="黑体" w:eastAsia="黑体" w:cs="Times New Roman"/>
              <w:b/>
              <w:bCs/>
            </w:rPr>
            <w:t>第一部分 部门概况</w:t>
          </w:r>
        </w:sdtContent>
      </w:sdt>
      <w:r>
        <w:rPr>
          <w:b/>
          <w:bCs/>
        </w:rPr>
        <w:tab/>
      </w:r>
      <w:bookmarkStart w:id="1" w:name="_Toc23338_WPSOffice_Level1Page"/>
      <w:r>
        <w:rPr>
          <w:b/>
          <w:bCs/>
        </w:rPr>
        <w:t>1</w:t>
      </w:r>
      <w:bookmarkEnd w:id="1"/>
      <w:r>
        <w:rPr>
          <w:b/>
          <w:bCs/>
        </w:rPr>
        <w:fldChar w:fldCharType="end"/>
      </w:r>
    </w:p>
    <w:p>
      <w:pPr>
        <w:pStyle w:val="13"/>
        <w:tabs>
          <w:tab w:val="right" w:leader="dot" w:pos="8640"/>
        </w:tabs>
      </w:pPr>
      <w:r>
        <w:fldChar w:fldCharType="begin"/>
      </w:r>
      <w:r>
        <w:instrText xml:space="preserve"> HYPERLINK \l _Toc13879_WPSOffice_Level2 </w:instrText>
      </w:r>
      <w:r>
        <w:fldChar w:fldCharType="separate"/>
      </w:r>
      <w:sdt>
        <w:sdtPr>
          <w:rPr>
            <w:rFonts w:hint="default" w:ascii="Times New Roman" w:hAnsi="Times New Roman" w:eastAsia="宋体" w:cs="Times New Roman"/>
            <w:sz w:val="24"/>
          </w:rPr>
          <w:id w:val="147457863"/>
          <w:placeholder>
            <w:docPart w:val="{4ebc9a52-0331-4fe8-935f-b6baeda0f661}"/>
          </w:placeholder>
        </w:sdtPr>
        <w:sdtEndPr>
          <w:rPr>
            <w:rFonts w:hint="default" w:ascii="Times New Roman" w:hAnsi="Times New Roman" w:eastAsia="宋体" w:cs="Times New Roman"/>
            <w:sz w:val="24"/>
          </w:rPr>
        </w:sdtEndPr>
        <w:sdtContent>
          <w:r>
            <w:rPr>
              <w:rFonts w:hint="eastAsia" w:ascii="黑体" w:hAnsi="黑体" w:eastAsia="黑体" w:cs="Times New Roman"/>
            </w:rPr>
            <w:t>一、部门职责</w:t>
          </w:r>
        </w:sdtContent>
      </w:sdt>
      <w:r>
        <w:tab/>
      </w:r>
      <w:bookmarkStart w:id="2" w:name="_Toc13879_WPSOffice_Level2Page"/>
      <w:r>
        <w:t>1</w:t>
      </w:r>
      <w:bookmarkEnd w:id="2"/>
      <w:r>
        <w:fldChar w:fldCharType="end"/>
      </w:r>
    </w:p>
    <w:p>
      <w:pPr>
        <w:pStyle w:val="13"/>
        <w:tabs>
          <w:tab w:val="right" w:leader="dot" w:pos="8640"/>
        </w:tabs>
      </w:pPr>
      <w:r>
        <w:fldChar w:fldCharType="begin"/>
      </w:r>
      <w:r>
        <w:instrText xml:space="preserve"> HYPERLINK \l _Toc12794_WPSOffice_Level2 </w:instrText>
      </w:r>
      <w:r>
        <w:fldChar w:fldCharType="separate"/>
      </w:r>
      <w:sdt>
        <w:sdtPr>
          <w:rPr>
            <w:rFonts w:hint="default" w:ascii="Times New Roman" w:hAnsi="Times New Roman" w:eastAsia="宋体" w:cs="Times New Roman"/>
            <w:sz w:val="24"/>
          </w:rPr>
          <w:id w:val="147457863"/>
          <w:placeholder>
            <w:docPart w:val="{d812e5d1-f876-4825-a790-4f4cc57fd609}"/>
          </w:placeholder>
        </w:sdtPr>
        <w:sdtEndPr>
          <w:rPr>
            <w:rFonts w:hint="default" w:ascii="Times New Roman" w:hAnsi="Times New Roman" w:eastAsia="宋体" w:cs="Times New Roman"/>
            <w:sz w:val="24"/>
          </w:rPr>
        </w:sdtEndPr>
        <w:sdtContent>
          <w:r>
            <w:rPr>
              <w:rFonts w:hint="eastAsia" w:ascii="黑体" w:hAnsi="黑体" w:eastAsia="黑体" w:cs="Times New Roman"/>
            </w:rPr>
            <w:t>二、机构设置</w:t>
          </w:r>
        </w:sdtContent>
      </w:sdt>
      <w:r>
        <w:tab/>
      </w:r>
      <w:bookmarkStart w:id="3" w:name="_Toc12794_WPSOffice_Level2Page"/>
      <w:r>
        <w:t>3</w:t>
      </w:r>
      <w:bookmarkEnd w:id="3"/>
      <w:r>
        <w:fldChar w:fldCharType="end"/>
      </w:r>
    </w:p>
    <w:p>
      <w:pPr>
        <w:pStyle w:val="12"/>
        <w:tabs>
          <w:tab w:val="right" w:leader="dot" w:pos="8640"/>
        </w:tabs>
      </w:pPr>
      <w:r>
        <w:rPr>
          <w:b/>
          <w:bCs/>
        </w:rPr>
        <w:fldChar w:fldCharType="begin"/>
      </w:r>
      <w:r>
        <w:instrText xml:space="preserve"> HYPERLINK \l _Toc13879_WPSOffice_Level1 </w:instrText>
      </w:r>
      <w:r>
        <w:rPr>
          <w:b/>
          <w:bCs/>
        </w:rPr>
        <w:fldChar w:fldCharType="separate"/>
      </w:r>
      <w:sdt>
        <w:sdtPr>
          <w:rPr>
            <w:rFonts w:hint="default" w:ascii="Times New Roman" w:hAnsi="Times New Roman" w:eastAsia="宋体" w:cs="Times New Roman"/>
            <w:b/>
            <w:bCs/>
            <w:sz w:val="24"/>
          </w:rPr>
          <w:id w:val="147457863"/>
          <w:placeholder>
            <w:docPart w:val="{2f12fb81-fac7-485f-8219-826e8e868a4b}"/>
          </w:placeholder>
        </w:sdtPr>
        <w:sdtEndPr>
          <w:rPr>
            <w:rFonts w:hint="default" w:ascii="Times New Roman" w:hAnsi="Times New Roman" w:eastAsia="宋体" w:cs="Times New Roman"/>
            <w:b/>
            <w:bCs/>
            <w:sz w:val="24"/>
          </w:rPr>
        </w:sdtEndPr>
        <w:sdtContent>
          <w:r>
            <w:rPr>
              <w:rFonts w:hint="eastAsia" w:ascii="黑体" w:hAnsi="黑体" w:eastAsia="黑体" w:cs="Times New Roman"/>
              <w:b/>
              <w:bCs/>
            </w:rPr>
            <w:t>第二部分 2022年度部门决算情况说明</w:t>
          </w:r>
        </w:sdtContent>
      </w:sdt>
      <w:r>
        <w:rPr>
          <w:b/>
          <w:bCs/>
        </w:rPr>
        <w:tab/>
      </w:r>
      <w:bookmarkStart w:id="4" w:name="_Toc13879_WPSOffice_Level1Page"/>
      <w:r>
        <w:rPr>
          <w:b/>
          <w:bCs/>
        </w:rPr>
        <w:t>4</w:t>
      </w:r>
      <w:bookmarkEnd w:id="4"/>
      <w:r>
        <w:rPr>
          <w:b/>
          <w:bCs/>
        </w:rPr>
        <w:fldChar w:fldCharType="end"/>
      </w:r>
    </w:p>
    <w:p>
      <w:pPr>
        <w:pStyle w:val="13"/>
        <w:tabs>
          <w:tab w:val="right" w:leader="dot" w:pos="8640"/>
        </w:tabs>
      </w:pPr>
      <w:r>
        <w:fldChar w:fldCharType="begin"/>
      </w:r>
      <w:r>
        <w:instrText xml:space="preserve"> HYPERLINK \l _Toc3423_WPSOffice_Level2 </w:instrText>
      </w:r>
      <w:r>
        <w:fldChar w:fldCharType="separate"/>
      </w:r>
      <w:sdt>
        <w:sdtPr>
          <w:rPr>
            <w:rFonts w:hint="default" w:ascii="Times New Roman" w:hAnsi="Times New Roman" w:eastAsia="宋体" w:cs="Times New Roman"/>
            <w:sz w:val="24"/>
          </w:rPr>
          <w:id w:val="147457863"/>
          <w:placeholder>
            <w:docPart w:val="{68e43eb5-251d-4069-b37b-6584248616f5}"/>
          </w:placeholder>
        </w:sdtPr>
        <w:sdtEndPr>
          <w:rPr>
            <w:rFonts w:hint="default" w:ascii="Times New Roman" w:hAnsi="Times New Roman" w:eastAsia="宋体" w:cs="Times New Roman"/>
            <w:sz w:val="24"/>
          </w:rPr>
        </w:sdtEndPr>
        <w:sdtContent>
          <w:r>
            <w:rPr>
              <w:rFonts w:hint="eastAsia" w:ascii="黑体" w:hAnsi="黑体" w:eastAsia="黑体" w:cs="Times New Roman"/>
            </w:rPr>
            <w:t>一、收入支出决算总体情况说明</w:t>
          </w:r>
        </w:sdtContent>
      </w:sdt>
      <w:r>
        <w:tab/>
      </w:r>
      <w:bookmarkStart w:id="5" w:name="_Toc3423_WPSOffice_Level2Page"/>
      <w:r>
        <w:t>4</w:t>
      </w:r>
      <w:bookmarkEnd w:id="5"/>
      <w:r>
        <w:fldChar w:fldCharType="end"/>
      </w:r>
    </w:p>
    <w:p>
      <w:pPr>
        <w:pStyle w:val="13"/>
        <w:tabs>
          <w:tab w:val="right" w:leader="dot" w:pos="8640"/>
        </w:tabs>
      </w:pPr>
      <w:r>
        <w:fldChar w:fldCharType="begin"/>
      </w:r>
      <w:r>
        <w:instrText xml:space="preserve"> HYPERLINK \l _Toc28889_WPSOffice_Level2 </w:instrText>
      </w:r>
      <w:r>
        <w:fldChar w:fldCharType="separate"/>
      </w:r>
      <w:sdt>
        <w:sdtPr>
          <w:rPr>
            <w:rFonts w:hint="default" w:ascii="Times New Roman" w:hAnsi="Times New Roman" w:eastAsia="宋体" w:cs="Times New Roman"/>
            <w:sz w:val="24"/>
          </w:rPr>
          <w:id w:val="147457863"/>
          <w:placeholder>
            <w:docPart w:val="{1faf8fd6-c6aa-440c-85fc-70039dee0de3}"/>
          </w:placeholder>
        </w:sdtPr>
        <w:sdtEndPr>
          <w:rPr>
            <w:rFonts w:hint="default" w:ascii="Times New Roman" w:hAnsi="Times New Roman" w:eastAsia="宋体" w:cs="Times New Roman"/>
            <w:sz w:val="24"/>
          </w:rPr>
        </w:sdtEndPr>
        <w:sdtContent>
          <w:r>
            <w:rPr>
              <w:rFonts w:hint="eastAsia" w:ascii="黑体" w:hAnsi="黑体" w:eastAsia="黑体" w:cs="Times New Roman"/>
            </w:rPr>
            <w:t>二、收入决算情况说明</w:t>
          </w:r>
        </w:sdtContent>
      </w:sdt>
      <w:r>
        <w:tab/>
      </w:r>
      <w:bookmarkStart w:id="6" w:name="_Toc28889_WPSOffice_Level2Page"/>
      <w:r>
        <w:t>5</w:t>
      </w:r>
      <w:bookmarkEnd w:id="6"/>
      <w:r>
        <w:fldChar w:fldCharType="end"/>
      </w:r>
    </w:p>
    <w:p>
      <w:pPr>
        <w:pStyle w:val="13"/>
        <w:tabs>
          <w:tab w:val="right" w:leader="dot" w:pos="8640"/>
        </w:tabs>
      </w:pPr>
      <w:r>
        <w:fldChar w:fldCharType="begin"/>
      </w:r>
      <w:r>
        <w:instrText xml:space="preserve"> HYPERLINK \l _Toc91_WPSOffice_Level2 </w:instrText>
      </w:r>
      <w:r>
        <w:fldChar w:fldCharType="separate"/>
      </w:r>
      <w:sdt>
        <w:sdtPr>
          <w:rPr>
            <w:rFonts w:hint="default" w:ascii="Times New Roman" w:hAnsi="Times New Roman" w:eastAsia="宋体" w:cs="Times New Roman"/>
            <w:sz w:val="24"/>
          </w:rPr>
          <w:id w:val="147457863"/>
          <w:placeholder>
            <w:docPart w:val="{743815b0-17a3-4867-a57e-eacd0999ef9d}"/>
          </w:placeholder>
        </w:sdtPr>
        <w:sdtEndPr>
          <w:rPr>
            <w:rFonts w:hint="default" w:ascii="Times New Roman" w:hAnsi="Times New Roman" w:eastAsia="宋体" w:cs="Times New Roman"/>
            <w:sz w:val="24"/>
          </w:rPr>
        </w:sdtEndPr>
        <w:sdtContent>
          <w:r>
            <w:rPr>
              <w:rFonts w:hint="eastAsia" w:ascii="黑体" w:hAnsi="黑体" w:eastAsia="黑体" w:cs="Times New Roman"/>
            </w:rPr>
            <w:t>三、支出决算情况说明</w:t>
          </w:r>
        </w:sdtContent>
      </w:sdt>
      <w:r>
        <w:tab/>
      </w:r>
      <w:bookmarkStart w:id="7" w:name="_Toc91_WPSOffice_Level2Page"/>
      <w:r>
        <w:t>5</w:t>
      </w:r>
      <w:bookmarkEnd w:id="7"/>
      <w:r>
        <w:fldChar w:fldCharType="end"/>
      </w:r>
    </w:p>
    <w:p>
      <w:pPr>
        <w:pStyle w:val="13"/>
        <w:tabs>
          <w:tab w:val="right" w:leader="dot" w:pos="8640"/>
        </w:tabs>
      </w:pPr>
      <w:r>
        <w:fldChar w:fldCharType="begin"/>
      </w:r>
      <w:r>
        <w:instrText xml:space="preserve"> HYPERLINK \l _Toc4912_WPSOffice_Level2 </w:instrText>
      </w:r>
      <w:r>
        <w:fldChar w:fldCharType="separate"/>
      </w:r>
      <w:sdt>
        <w:sdtPr>
          <w:rPr>
            <w:rFonts w:hint="default" w:ascii="Times New Roman" w:hAnsi="Times New Roman" w:eastAsia="宋体" w:cs="Times New Roman"/>
            <w:sz w:val="24"/>
          </w:rPr>
          <w:id w:val="147457863"/>
          <w:placeholder>
            <w:docPart w:val="{bd7cfc10-620b-480d-96b0-37b9c655b6e0}"/>
          </w:placeholder>
        </w:sdtPr>
        <w:sdtEndPr>
          <w:rPr>
            <w:rFonts w:hint="default" w:ascii="Times New Roman" w:hAnsi="Times New Roman" w:eastAsia="宋体" w:cs="Times New Roman"/>
            <w:sz w:val="24"/>
          </w:rPr>
        </w:sdtEndPr>
        <w:sdtContent>
          <w:r>
            <w:rPr>
              <w:rFonts w:hint="eastAsia" w:ascii="黑体" w:hAnsi="黑体" w:eastAsia="黑体" w:cs="Times New Roman"/>
            </w:rPr>
            <w:t>四、财政拨款收入支出决算总体情况说明</w:t>
          </w:r>
        </w:sdtContent>
      </w:sdt>
      <w:r>
        <w:tab/>
      </w:r>
      <w:bookmarkStart w:id="8" w:name="_Toc4912_WPSOffice_Level2Page"/>
      <w:r>
        <w:t>6</w:t>
      </w:r>
      <w:bookmarkEnd w:id="8"/>
      <w:r>
        <w:fldChar w:fldCharType="end"/>
      </w:r>
    </w:p>
    <w:p>
      <w:pPr>
        <w:pStyle w:val="13"/>
        <w:tabs>
          <w:tab w:val="right" w:leader="dot" w:pos="8640"/>
        </w:tabs>
      </w:pPr>
      <w:r>
        <w:fldChar w:fldCharType="begin"/>
      </w:r>
      <w:r>
        <w:instrText xml:space="preserve"> HYPERLINK \l _Toc2322_WPSOffice_Level2 </w:instrText>
      </w:r>
      <w:r>
        <w:fldChar w:fldCharType="separate"/>
      </w:r>
      <w:sdt>
        <w:sdtPr>
          <w:rPr>
            <w:rFonts w:hint="default" w:ascii="Times New Roman" w:hAnsi="Times New Roman" w:eastAsia="宋体" w:cs="Times New Roman"/>
            <w:sz w:val="24"/>
          </w:rPr>
          <w:id w:val="147457863"/>
          <w:placeholder>
            <w:docPart w:val="{2e441556-2d76-4315-8447-0952d6f2956b}"/>
          </w:placeholder>
        </w:sdtPr>
        <w:sdtEndPr>
          <w:rPr>
            <w:rFonts w:hint="default" w:ascii="Times New Roman" w:hAnsi="Times New Roman" w:eastAsia="宋体" w:cs="Times New Roman"/>
            <w:sz w:val="24"/>
          </w:rPr>
        </w:sdtEndPr>
        <w:sdtContent>
          <w:r>
            <w:rPr>
              <w:rFonts w:hint="eastAsia" w:ascii="黑体" w:hAnsi="黑体" w:eastAsia="黑体" w:cs="Times New Roman"/>
            </w:rPr>
            <w:t>五、一般公共预算财政拨款支出决算情况说明</w:t>
          </w:r>
        </w:sdtContent>
      </w:sdt>
      <w:r>
        <w:tab/>
      </w:r>
      <w:bookmarkStart w:id="9" w:name="_Toc2322_WPSOffice_Level2Page"/>
      <w:r>
        <w:t>8</w:t>
      </w:r>
      <w:bookmarkEnd w:id="9"/>
      <w:r>
        <w:fldChar w:fldCharType="end"/>
      </w:r>
    </w:p>
    <w:p>
      <w:pPr>
        <w:pStyle w:val="13"/>
        <w:tabs>
          <w:tab w:val="right" w:leader="dot" w:pos="8640"/>
        </w:tabs>
      </w:pPr>
      <w:r>
        <w:fldChar w:fldCharType="begin"/>
      </w:r>
      <w:r>
        <w:instrText xml:space="preserve"> HYPERLINK \l _Toc1269_WPSOffice_Level2 </w:instrText>
      </w:r>
      <w:r>
        <w:fldChar w:fldCharType="separate"/>
      </w:r>
      <w:sdt>
        <w:sdtPr>
          <w:rPr>
            <w:rFonts w:hint="default" w:ascii="Times New Roman" w:hAnsi="Times New Roman" w:eastAsia="宋体" w:cs="Times New Roman"/>
            <w:sz w:val="24"/>
          </w:rPr>
          <w:id w:val="147457863"/>
          <w:placeholder>
            <w:docPart w:val="{55b4a3e0-55e4-403f-b02c-69b2a135c36b}"/>
          </w:placeholder>
        </w:sdtPr>
        <w:sdtEndPr>
          <w:rPr>
            <w:rFonts w:hint="default" w:ascii="Times New Roman" w:hAnsi="Times New Roman" w:eastAsia="宋体" w:cs="Times New Roman"/>
            <w:sz w:val="24"/>
          </w:rPr>
        </w:sdtEndPr>
        <w:sdtContent>
          <w:r>
            <w:rPr>
              <w:rFonts w:hint="eastAsia" w:ascii="黑体" w:hAnsi="黑体" w:eastAsia="黑体" w:cs="Times New Roman"/>
            </w:rPr>
            <w:t>六、一般公共预算财政拨款基本支出决算情况说明</w:t>
          </w:r>
        </w:sdtContent>
      </w:sdt>
      <w:r>
        <w:tab/>
      </w:r>
      <w:bookmarkStart w:id="10" w:name="_Toc1269_WPSOffice_Level2Page"/>
      <w:r>
        <w:t>12</w:t>
      </w:r>
      <w:bookmarkEnd w:id="10"/>
      <w:r>
        <w:fldChar w:fldCharType="end"/>
      </w:r>
    </w:p>
    <w:p>
      <w:pPr>
        <w:pStyle w:val="13"/>
        <w:tabs>
          <w:tab w:val="right" w:leader="dot" w:pos="8640"/>
        </w:tabs>
      </w:pPr>
      <w:r>
        <w:fldChar w:fldCharType="begin"/>
      </w:r>
      <w:r>
        <w:instrText xml:space="preserve"> HYPERLINK \l _Toc32418_WPSOffice_Level2 </w:instrText>
      </w:r>
      <w:r>
        <w:fldChar w:fldCharType="separate"/>
      </w:r>
      <w:sdt>
        <w:sdtPr>
          <w:rPr>
            <w:rFonts w:hint="default" w:ascii="Times New Roman" w:hAnsi="Times New Roman" w:eastAsia="宋体" w:cs="Times New Roman"/>
            <w:sz w:val="24"/>
          </w:rPr>
          <w:id w:val="147457863"/>
          <w:placeholder>
            <w:docPart w:val="{7fe8d43f-66a8-441a-81e1-19c47640f715}"/>
          </w:placeholder>
        </w:sdtPr>
        <w:sdtEndPr>
          <w:rPr>
            <w:rFonts w:hint="default" w:ascii="Times New Roman" w:hAnsi="Times New Roman" w:eastAsia="宋体" w:cs="Times New Roman"/>
            <w:sz w:val="24"/>
          </w:rPr>
        </w:sdtEndPr>
        <w:sdtContent>
          <w:r>
            <w:rPr>
              <w:rFonts w:hint="eastAsia" w:ascii="黑体" w:hAnsi="黑体" w:eastAsia="黑体" w:cs="Times New Roman"/>
            </w:rPr>
            <w:t>七、</w:t>
          </w:r>
          <w:r>
            <w:rPr>
              <w:rFonts w:hint="default" w:ascii="黑体" w:hAnsi="黑体" w:eastAsia="黑体" w:cs="Times New Roman"/>
            </w:rPr>
            <w:t>“</w:t>
          </w:r>
          <w:r>
            <w:rPr>
              <w:rFonts w:hint="eastAsia" w:ascii="黑体" w:hAnsi="黑体" w:eastAsia="黑体" w:cs="Times New Roman"/>
            </w:rPr>
            <w:t>三公</w:t>
          </w:r>
          <w:r>
            <w:rPr>
              <w:rFonts w:hint="default" w:ascii="黑体" w:hAnsi="黑体" w:eastAsia="黑体" w:cs="Times New Roman"/>
            </w:rPr>
            <w:t>”</w:t>
          </w:r>
          <w:r>
            <w:rPr>
              <w:rFonts w:hint="eastAsia" w:ascii="黑体" w:hAnsi="黑体" w:eastAsia="黑体" w:cs="Times New Roman"/>
            </w:rPr>
            <w:t>经费财政拨款支出决算情况说明</w:t>
          </w:r>
        </w:sdtContent>
      </w:sdt>
      <w:r>
        <w:tab/>
      </w:r>
      <w:bookmarkStart w:id="11" w:name="_Toc32418_WPSOffice_Level2Page"/>
      <w:r>
        <w:t>13</w:t>
      </w:r>
      <w:bookmarkEnd w:id="11"/>
      <w:r>
        <w:fldChar w:fldCharType="end"/>
      </w:r>
    </w:p>
    <w:p>
      <w:pPr>
        <w:pStyle w:val="13"/>
        <w:tabs>
          <w:tab w:val="right" w:leader="dot" w:pos="8640"/>
        </w:tabs>
      </w:pPr>
      <w:r>
        <w:fldChar w:fldCharType="begin"/>
      </w:r>
      <w:r>
        <w:instrText xml:space="preserve"> HYPERLINK \l _Toc30666_WPSOffice_Level2 </w:instrText>
      </w:r>
      <w:r>
        <w:fldChar w:fldCharType="separate"/>
      </w:r>
      <w:sdt>
        <w:sdtPr>
          <w:rPr>
            <w:rFonts w:hint="default" w:ascii="Times New Roman" w:hAnsi="Times New Roman" w:eastAsia="宋体" w:cs="Times New Roman"/>
            <w:sz w:val="24"/>
          </w:rPr>
          <w:id w:val="147457863"/>
          <w:placeholder>
            <w:docPart w:val="{a3ac7c4e-9060-467f-8125-a30661bae681}"/>
          </w:placeholder>
        </w:sdtPr>
        <w:sdtEndPr>
          <w:rPr>
            <w:rFonts w:hint="default" w:ascii="Times New Roman" w:hAnsi="Times New Roman" w:eastAsia="宋体" w:cs="Times New Roman"/>
            <w:sz w:val="24"/>
          </w:rPr>
        </w:sdtEndPr>
        <w:sdtContent>
          <w:r>
            <w:rPr>
              <w:rFonts w:hint="eastAsia" w:ascii="黑体" w:hAnsi="黑体" w:eastAsia="黑体" w:cs="Times New Roman"/>
            </w:rPr>
            <w:t>八、政府性基金预算支出决算情况说明</w:t>
          </w:r>
        </w:sdtContent>
      </w:sdt>
      <w:r>
        <w:tab/>
      </w:r>
      <w:bookmarkStart w:id="12" w:name="_Toc30666_WPSOffice_Level2Page"/>
      <w:r>
        <w:t>15</w:t>
      </w:r>
      <w:bookmarkEnd w:id="12"/>
      <w:r>
        <w:fldChar w:fldCharType="end"/>
      </w:r>
    </w:p>
    <w:p>
      <w:pPr>
        <w:pStyle w:val="13"/>
        <w:tabs>
          <w:tab w:val="right" w:leader="dot" w:pos="8640"/>
        </w:tabs>
      </w:pPr>
      <w:r>
        <w:fldChar w:fldCharType="begin"/>
      </w:r>
      <w:r>
        <w:instrText xml:space="preserve"> HYPERLINK \l _Toc3896_WPSOffice_Level2 </w:instrText>
      </w:r>
      <w:r>
        <w:fldChar w:fldCharType="separate"/>
      </w:r>
      <w:sdt>
        <w:sdtPr>
          <w:rPr>
            <w:rFonts w:hint="default" w:ascii="Times New Roman" w:hAnsi="Times New Roman" w:eastAsia="宋体" w:cs="Times New Roman"/>
            <w:sz w:val="24"/>
          </w:rPr>
          <w:id w:val="147457863"/>
          <w:placeholder>
            <w:docPart w:val="{a5dea23a-bebc-4359-876b-b084f6765b61}"/>
          </w:placeholder>
        </w:sdtPr>
        <w:sdtEndPr>
          <w:rPr>
            <w:rFonts w:hint="default" w:ascii="Times New Roman" w:hAnsi="Times New Roman" w:eastAsia="宋体" w:cs="Times New Roman"/>
            <w:sz w:val="24"/>
          </w:rPr>
        </w:sdtEndPr>
        <w:sdtContent>
          <w:r>
            <w:rPr>
              <w:rFonts w:hint="eastAsia" w:ascii="黑体" w:hAnsi="黑体" w:eastAsia="黑体" w:cs="Times New Roman"/>
            </w:rPr>
            <w:t>九、国有资本经营预算支出决算情况说明</w:t>
          </w:r>
        </w:sdtContent>
      </w:sdt>
      <w:r>
        <w:tab/>
      </w:r>
      <w:bookmarkStart w:id="13" w:name="_Toc3896_WPSOffice_Level2Page"/>
      <w:r>
        <w:t>16</w:t>
      </w:r>
      <w:bookmarkEnd w:id="13"/>
      <w:r>
        <w:fldChar w:fldCharType="end"/>
      </w:r>
    </w:p>
    <w:p>
      <w:pPr>
        <w:pStyle w:val="13"/>
        <w:tabs>
          <w:tab w:val="right" w:leader="dot" w:pos="8640"/>
        </w:tabs>
      </w:pPr>
      <w:r>
        <w:fldChar w:fldCharType="begin"/>
      </w:r>
      <w:r>
        <w:instrText xml:space="preserve"> HYPERLINK \l _Toc24560_WPSOffice_Level2 </w:instrText>
      </w:r>
      <w:r>
        <w:fldChar w:fldCharType="separate"/>
      </w:r>
      <w:sdt>
        <w:sdtPr>
          <w:rPr>
            <w:rFonts w:hint="default" w:ascii="Times New Roman" w:hAnsi="Times New Roman" w:eastAsia="宋体" w:cs="Times New Roman"/>
            <w:sz w:val="24"/>
          </w:rPr>
          <w:id w:val="147457863"/>
          <w:placeholder>
            <w:docPart w:val="{a67dffeb-e57b-4cdd-a7f4-1f4ed9cd9591}"/>
          </w:placeholder>
        </w:sdtPr>
        <w:sdtEndPr>
          <w:rPr>
            <w:rFonts w:hint="default" w:ascii="Times New Roman" w:hAnsi="Times New Roman" w:eastAsia="宋体" w:cs="Times New Roman"/>
            <w:sz w:val="24"/>
          </w:rPr>
        </w:sdtEndPr>
        <w:sdtContent>
          <w:r>
            <w:rPr>
              <w:rFonts w:hint="eastAsia" w:ascii="黑体" w:hAnsi="黑体" w:eastAsia="黑体" w:cs="Times New Roman"/>
            </w:rPr>
            <w:t>十、其他重要事项的情况说明</w:t>
          </w:r>
        </w:sdtContent>
      </w:sdt>
      <w:r>
        <w:tab/>
      </w:r>
      <w:bookmarkStart w:id="14" w:name="_Toc24560_WPSOffice_Level2Page"/>
      <w:r>
        <w:t>16</w:t>
      </w:r>
      <w:bookmarkEnd w:id="14"/>
      <w:r>
        <w:fldChar w:fldCharType="end"/>
      </w:r>
    </w:p>
    <w:p>
      <w:pPr>
        <w:pStyle w:val="12"/>
        <w:tabs>
          <w:tab w:val="right" w:leader="dot" w:pos="8640"/>
        </w:tabs>
      </w:pPr>
      <w:r>
        <w:rPr>
          <w:b/>
          <w:bCs/>
        </w:rPr>
        <w:fldChar w:fldCharType="begin"/>
      </w:r>
      <w:r>
        <w:instrText xml:space="preserve"> HYPERLINK \l _Toc12794_WPSOffice_Level1 </w:instrText>
      </w:r>
      <w:r>
        <w:rPr>
          <w:b/>
          <w:bCs/>
        </w:rPr>
        <w:fldChar w:fldCharType="separate"/>
      </w:r>
      <w:sdt>
        <w:sdtPr>
          <w:rPr>
            <w:rFonts w:hint="default" w:ascii="Times New Roman" w:hAnsi="Times New Roman" w:eastAsia="宋体" w:cs="Times New Roman"/>
            <w:b/>
            <w:bCs/>
            <w:sz w:val="24"/>
          </w:rPr>
          <w:id w:val="147457863"/>
          <w:placeholder>
            <w:docPart w:val="{76279ea9-e3cf-46fb-96bf-aa0d6624cd98}"/>
          </w:placeholder>
        </w:sdtPr>
        <w:sdtEndPr>
          <w:rPr>
            <w:rFonts w:hint="default" w:ascii="Times New Roman" w:hAnsi="Times New Roman" w:eastAsia="宋体" w:cs="Times New Roman"/>
            <w:b/>
            <w:bCs/>
            <w:sz w:val="24"/>
          </w:rPr>
        </w:sdtEndPr>
        <w:sdtContent>
          <w:r>
            <w:rPr>
              <w:rFonts w:hint="eastAsia" w:ascii="黑体" w:hAnsi="黑体" w:eastAsia="黑体" w:cs="黑体"/>
              <w:b/>
              <w:bCs/>
            </w:rPr>
            <w:t>第三部分 名词解释</w:t>
          </w:r>
        </w:sdtContent>
      </w:sdt>
      <w:r>
        <w:rPr>
          <w:b/>
          <w:bCs/>
        </w:rPr>
        <w:tab/>
      </w:r>
      <w:bookmarkStart w:id="15" w:name="_Toc12794_WPSOffice_Level1Page"/>
      <w:r>
        <w:rPr>
          <w:b/>
          <w:bCs/>
        </w:rPr>
        <w:t>18</w:t>
      </w:r>
      <w:bookmarkEnd w:id="15"/>
      <w:r>
        <w:rPr>
          <w:b/>
          <w:bCs/>
        </w:rPr>
        <w:fldChar w:fldCharType="end"/>
      </w:r>
    </w:p>
    <w:p>
      <w:pPr>
        <w:pStyle w:val="12"/>
        <w:tabs>
          <w:tab w:val="right" w:leader="dot" w:pos="8640"/>
        </w:tabs>
      </w:pPr>
      <w:r>
        <w:rPr>
          <w:b/>
          <w:bCs/>
        </w:rPr>
        <w:fldChar w:fldCharType="begin"/>
      </w:r>
      <w:r>
        <w:instrText xml:space="preserve"> HYPERLINK \l _Toc3423_WPSOffice_Level1 </w:instrText>
      </w:r>
      <w:r>
        <w:rPr>
          <w:b/>
          <w:bCs/>
        </w:rPr>
        <w:fldChar w:fldCharType="separate"/>
      </w:r>
      <w:sdt>
        <w:sdtPr>
          <w:rPr>
            <w:rFonts w:hint="default" w:ascii="Times New Roman" w:hAnsi="Times New Roman" w:eastAsia="宋体" w:cs="Times New Roman"/>
            <w:b/>
            <w:bCs/>
            <w:sz w:val="24"/>
          </w:rPr>
          <w:id w:val="147457863"/>
          <w:placeholder>
            <w:docPart w:val="{1aab88b1-93f3-4a07-8faa-46f5672e35e2}"/>
          </w:placeholder>
        </w:sdtPr>
        <w:sdtEndPr>
          <w:rPr>
            <w:rFonts w:hint="default" w:ascii="Times New Roman" w:hAnsi="Times New Roman" w:eastAsia="宋体" w:cs="Times New Roman"/>
            <w:b/>
            <w:bCs/>
            <w:sz w:val="24"/>
          </w:rPr>
        </w:sdtEndPr>
        <w:sdtContent>
          <w:r>
            <w:rPr>
              <w:rFonts w:hint="eastAsia" w:ascii="黑体" w:hAnsi="黑体" w:eastAsia="黑体" w:cs="黑体"/>
              <w:b/>
              <w:bCs/>
            </w:rPr>
            <w:t>第四部分 附件</w:t>
          </w:r>
        </w:sdtContent>
      </w:sdt>
      <w:r>
        <w:rPr>
          <w:b/>
          <w:bCs/>
        </w:rPr>
        <w:tab/>
      </w:r>
      <w:bookmarkStart w:id="16" w:name="_Toc3423_WPSOffice_Level1Page"/>
      <w:r>
        <w:rPr>
          <w:b/>
          <w:bCs/>
        </w:rPr>
        <w:t>23</w:t>
      </w:r>
      <w:bookmarkEnd w:id="16"/>
      <w:r>
        <w:rPr>
          <w:b/>
          <w:bCs/>
        </w:rPr>
        <w:fldChar w:fldCharType="end"/>
      </w:r>
    </w:p>
    <w:p>
      <w:pPr>
        <w:pStyle w:val="12"/>
        <w:tabs>
          <w:tab w:val="right" w:leader="dot" w:pos="8640"/>
        </w:tabs>
        <w:rPr>
          <w:rFonts w:hint="default" w:eastAsia="宋体"/>
          <w:lang w:val="en-US" w:eastAsia="zh-CN"/>
        </w:rPr>
      </w:pPr>
      <w:r>
        <w:rPr>
          <w:b/>
          <w:bCs/>
        </w:rPr>
        <w:fldChar w:fldCharType="begin"/>
      </w:r>
      <w:r>
        <w:instrText xml:space="preserve"> HYPERLINK \l _Toc28889_WPSOffice_Level1 </w:instrText>
      </w:r>
      <w:r>
        <w:rPr>
          <w:b/>
          <w:bCs/>
        </w:rPr>
        <w:fldChar w:fldCharType="separate"/>
      </w:r>
      <w:sdt>
        <w:sdtPr>
          <w:rPr>
            <w:rFonts w:hint="default" w:ascii="Times New Roman" w:hAnsi="Times New Roman" w:eastAsia="宋体" w:cs="Times New Roman"/>
            <w:b/>
            <w:bCs/>
            <w:sz w:val="24"/>
          </w:rPr>
          <w:id w:val="147457863"/>
          <w:placeholder>
            <w:docPart w:val="{0e64582e-04be-4c95-aac2-7b6e17a99895}"/>
          </w:placeholder>
        </w:sdtPr>
        <w:sdtEndPr>
          <w:rPr>
            <w:rFonts w:hint="default" w:ascii="Times New Roman" w:hAnsi="Times New Roman" w:eastAsia="宋体" w:cs="Times New Roman"/>
            <w:b/>
            <w:bCs/>
            <w:sz w:val="24"/>
          </w:rPr>
        </w:sdtEndPr>
        <w:sdtContent>
          <w:r>
            <w:rPr>
              <w:rFonts w:hint="eastAsia" w:ascii="黑体" w:hAnsi="黑体" w:eastAsia="黑体" w:cs="黑体"/>
              <w:b/>
              <w:bCs/>
            </w:rPr>
            <w:t>第五部分 附表</w:t>
          </w:r>
        </w:sdtContent>
      </w:sdt>
      <w:r>
        <w:rPr>
          <w:b/>
          <w:bCs/>
        </w:rPr>
        <w:tab/>
      </w:r>
      <w:r>
        <w:rPr>
          <w:rFonts w:hint="eastAsia"/>
          <w:b/>
          <w:bCs/>
          <w:lang w:val="en-US" w:eastAsia="zh-CN"/>
        </w:rPr>
        <w:t>1</w:t>
      </w:r>
      <w:r>
        <w:rPr>
          <w:b/>
          <w:bCs/>
        </w:rPr>
        <w:fldChar w:fldCharType="end"/>
      </w:r>
      <w:r>
        <w:rPr>
          <w:rFonts w:hint="eastAsia"/>
          <w:b/>
          <w:bCs/>
          <w:lang w:val="en-US" w:eastAsia="zh-CN"/>
        </w:rPr>
        <w:t>38</w:t>
      </w:r>
    </w:p>
    <w:p>
      <w:pPr>
        <w:pStyle w:val="13"/>
        <w:tabs>
          <w:tab w:val="right" w:leader="dot" w:pos="8640"/>
        </w:tabs>
        <w:rPr>
          <w:rFonts w:hint="default" w:eastAsia="宋体"/>
          <w:lang w:val="en-US" w:eastAsia="zh-CN"/>
        </w:rPr>
      </w:pPr>
      <w:r>
        <w:fldChar w:fldCharType="begin"/>
      </w:r>
      <w:r>
        <w:instrText xml:space="preserve"> HYPERLINK \l _Toc2083_WPSOffice_Level2 </w:instrText>
      </w:r>
      <w:r>
        <w:fldChar w:fldCharType="separate"/>
      </w:r>
      <w:sdt>
        <w:sdtPr>
          <w:rPr>
            <w:rFonts w:hint="default" w:ascii="Times New Roman" w:hAnsi="Times New Roman" w:eastAsia="宋体" w:cs="Times New Roman"/>
            <w:sz w:val="24"/>
          </w:rPr>
          <w:id w:val="147457863"/>
          <w:placeholder>
            <w:docPart w:val="{b67f3978-14e8-4160-8204-7886385e0ec4}"/>
          </w:placeholder>
        </w:sdtPr>
        <w:sdtEndPr>
          <w:rPr>
            <w:rFonts w:hint="default" w:ascii="Times New Roman" w:hAnsi="Times New Roman" w:eastAsia="宋体" w:cs="Times New Roman"/>
            <w:sz w:val="24"/>
          </w:rPr>
        </w:sdtEndPr>
        <w:sdtContent>
          <w:r>
            <w:rPr>
              <w:rFonts w:hint="eastAsia" w:ascii="仿宋" w:hAnsi="仿宋" w:eastAsia="仿宋" w:cs="Times New Roman"/>
            </w:rPr>
            <w:t>一、收入支出决算总表</w:t>
          </w:r>
        </w:sdtContent>
      </w:sdt>
      <w:r>
        <w:tab/>
      </w:r>
      <w:r>
        <w:rPr>
          <w:rFonts w:hint="eastAsia"/>
          <w:lang w:val="en-US" w:eastAsia="zh-CN"/>
        </w:rPr>
        <w:t>1</w:t>
      </w:r>
      <w:r>
        <w:fldChar w:fldCharType="end"/>
      </w:r>
      <w:r>
        <w:rPr>
          <w:rFonts w:hint="eastAsia"/>
          <w:lang w:val="en-US" w:eastAsia="zh-CN"/>
        </w:rPr>
        <w:t>38</w:t>
      </w:r>
    </w:p>
    <w:p>
      <w:pPr>
        <w:pStyle w:val="13"/>
        <w:tabs>
          <w:tab w:val="right" w:leader="dot" w:pos="8640"/>
        </w:tabs>
        <w:rPr>
          <w:rFonts w:hint="default" w:eastAsia="宋体"/>
          <w:lang w:val="en-US" w:eastAsia="zh-CN"/>
        </w:rPr>
      </w:pPr>
      <w:r>
        <w:fldChar w:fldCharType="begin"/>
      </w:r>
      <w:r>
        <w:instrText xml:space="preserve"> HYPERLINK \l _Toc12172_WPSOffice_Level2 </w:instrText>
      </w:r>
      <w:r>
        <w:fldChar w:fldCharType="separate"/>
      </w:r>
      <w:sdt>
        <w:sdtPr>
          <w:rPr>
            <w:rFonts w:hint="default" w:ascii="Times New Roman" w:hAnsi="Times New Roman" w:eastAsia="宋体" w:cs="Times New Roman"/>
            <w:sz w:val="24"/>
          </w:rPr>
          <w:id w:val="147457863"/>
          <w:placeholder>
            <w:docPart w:val="{54af234c-d631-4d8e-979d-dec088d8a0c2}"/>
          </w:placeholder>
        </w:sdtPr>
        <w:sdtEndPr>
          <w:rPr>
            <w:rFonts w:hint="default" w:ascii="Times New Roman" w:hAnsi="Times New Roman" w:eastAsia="宋体" w:cs="Times New Roman"/>
            <w:sz w:val="24"/>
          </w:rPr>
        </w:sdtEndPr>
        <w:sdtContent>
          <w:r>
            <w:rPr>
              <w:rFonts w:hint="eastAsia" w:ascii="仿宋" w:hAnsi="仿宋" w:eastAsia="仿宋" w:cs="Times New Roman"/>
            </w:rPr>
            <w:t>二、收入决算表</w:t>
          </w:r>
        </w:sdtContent>
      </w:sdt>
      <w:r>
        <w:tab/>
      </w:r>
      <w:r>
        <w:rPr>
          <w:rFonts w:hint="eastAsia"/>
          <w:lang w:val="en-US" w:eastAsia="zh-CN"/>
        </w:rPr>
        <w:t>1</w:t>
      </w:r>
      <w:r>
        <w:fldChar w:fldCharType="end"/>
      </w:r>
      <w:r>
        <w:rPr>
          <w:rFonts w:hint="eastAsia"/>
          <w:lang w:val="en-US" w:eastAsia="zh-CN"/>
        </w:rPr>
        <w:t>38</w:t>
      </w:r>
    </w:p>
    <w:p>
      <w:pPr>
        <w:pStyle w:val="13"/>
        <w:tabs>
          <w:tab w:val="right" w:leader="dot" w:pos="8640"/>
        </w:tabs>
      </w:pPr>
      <w:r>
        <w:fldChar w:fldCharType="begin"/>
      </w:r>
      <w:r>
        <w:instrText xml:space="preserve"> HYPERLINK \l _Toc8776_WPSOffice_Level2 </w:instrText>
      </w:r>
      <w:r>
        <w:fldChar w:fldCharType="separate"/>
      </w:r>
      <w:sdt>
        <w:sdtPr>
          <w:rPr>
            <w:rFonts w:hint="default" w:ascii="Times New Roman" w:hAnsi="Times New Roman" w:eastAsia="宋体" w:cs="Times New Roman"/>
            <w:sz w:val="24"/>
          </w:rPr>
          <w:id w:val="147457863"/>
          <w:placeholder>
            <w:docPart w:val="{9307ecf8-129c-4de0-8ad8-7fa7e54a5cf7}"/>
          </w:placeholder>
        </w:sdtPr>
        <w:sdtEndPr>
          <w:rPr>
            <w:rFonts w:hint="default" w:ascii="Times New Roman" w:hAnsi="Times New Roman" w:eastAsia="宋体" w:cs="Times New Roman"/>
            <w:sz w:val="24"/>
          </w:rPr>
        </w:sdtEndPr>
        <w:sdtContent>
          <w:r>
            <w:rPr>
              <w:rFonts w:hint="eastAsia" w:ascii="仿宋" w:hAnsi="仿宋" w:eastAsia="仿宋" w:cs="Times New Roman"/>
            </w:rPr>
            <w:t>三、支出决算表</w:t>
          </w:r>
        </w:sdtContent>
      </w:sdt>
      <w:r>
        <w:tab/>
      </w:r>
      <w:bookmarkStart w:id="17" w:name="_Toc8776_WPSOffice_Level2Page"/>
      <w:r>
        <w:t>13</w:t>
      </w:r>
      <w:bookmarkEnd w:id="17"/>
      <w:r>
        <w:rPr>
          <w:rFonts w:hint="eastAsia"/>
          <w:lang w:val="en-US" w:eastAsia="zh-CN"/>
        </w:rPr>
        <w:t>8</w:t>
      </w:r>
      <w:r>
        <w:fldChar w:fldCharType="end"/>
      </w:r>
    </w:p>
    <w:p>
      <w:pPr>
        <w:pStyle w:val="13"/>
        <w:tabs>
          <w:tab w:val="right" w:leader="dot" w:pos="8640"/>
        </w:tabs>
        <w:rPr>
          <w:rFonts w:hint="eastAsia" w:eastAsia="宋体"/>
          <w:lang w:val="en-US" w:eastAsia="zh-CN"/>
        </w:rPr>
      </w:pPr>
      <w:r>
        <w:fldChar w:fldCharType="begin"/>
      </w:r>
      <w:r>
        <w:instrText xml:space="preserve"> HYPERLINK \l _Toc21086_WPSOffice_Level2 </w:instrText>
      </w:r>
      <w:r>
        <w:fldChar w:fldCharType="separate"/>
      </w:r>
      <w:sdt>
        <w:sdtPr>
          <w:rPr>
            <w:rFonts w:hint="default" w:ascii="Times New Roman" w:hAnsi="Times New Roman" w:eastAsia="宋体" w:cs="Times New Roman"/>
            <w:sz w:val="24"/>
          </w:rPr>
          <w:id w:val="147457863"/>
          <w:placeholder>
            <w:docPart w:val="{b8c4f343-e8dd-4490-96b6-4cc8fbebfa02}"/>
          </w:placeholder>
        </w:sdtPr>
        <w:sdtEndPr>
          <w:rPr>
            <w:rFonts w:hint="default" w:ascii="Times New Roman" w:hAnsi="Times New Roman" w:eastAsia="宋体" w:cs="Times New Roman"/>
            <w:sz w:val="24"/>
          </w:rPr>
        </w:sdtEndPr>
        <w:sdtContent>
          <w:r>
            <w:rPr>
              <w:rFonts w:hint="eastAsia" w:ascii="仿宋" w:hAnsi="仿宋" w:eastAsia="仿宋" w:cs="Times New Roman"/>
            </w:rPr>
            <w:t>四、财政拨款收入支出决算总表</w:t>
          </w:r>
        </w:sdtContent>
      </w:sdt>
      <w:r>
        <w:tab/>
      </w:r>
      <w:bookmarkStart w:id="18" w:name="_Toc21086_WPSOffice_Level2Page"/>
      <w:r>
        <w:t>1</w:t>
      </w:r>
      <w:bookmarkEnd w:id="18"/>
      <w:r>
        <w:rPr>
          <w:rFonts w:hint="eastAsia"/>
          <w:lang w:val="en-US" w:eastAsia="zh-CN"/>
        </w:rPr>
        <w:t>3</w:t>
      </w:r>
      <w:r>
        <w:fldChar w:fldCharType="end"/>
      </w:r>
      <w:r>
        <w:rPr>
          <w:rFonts w:hint="eastAsia"/>
          <w:lang w:val="en-US" w:eastAsia="zh-CN"/>
        </w:rPr>
        <w:t>8</w:t>
      </w:r>
    </w:p>
    <w:p>
      <w:pPr>
        <w:pStyle w:val="13"/>
        <w:tabs>
          <w:tab w:val="right" w:leader="dot" w:pos="8640"/>
        </w:tabs>
      </w:pPr>
      <w:r>
        <w:fldChar w:fldCharType="begin"/>
      </w:r>
      <w:r>
        <w:instrText xml:space="preserve"> HYPERLINK \l _Toc8109_WPSOffice_Level2 </w:instrText>
      </w:r>
      <w:r>
        <w:fldChar w:fldCharType="separate"/>
      </w:r>
      <w:sdt>
        <w:sdtPr>
          <w:rPr>
            <w:rFonts w:hint="default" w:ascii="Times New Roman" w:hAnsi="Times New Roman" w:eastAsia="宋体" w:cs="Times New Roman"/>
            <w:sz w:val="24"/>
          </w:rPr>
          <w:id w:val="147457863"/>
          <w:placeholder>
            <w:docPart w:val="{90d73dfb-891a-48f9-8890-856160837279}"/>
          </w:placeholder>
        </w:sdtPr>
        <w:sdtEndPr>
          <w:rPr>
            <w:rFonts w:hint="default" w:ascii="Times New Roman" w:hAnsi="Times New Roman" w:eastAsia="宋体" w:cs="Times New Roman"/>
            <w:sz w:val="24"/>
          </w:rPr>
        </w:sdtEndPr>
        <w:sdtContent>
          <w:r>
            <w:rPr>
              <w:rFonts w:hint="eastAsia" w:ascii="仿宋" w:hAnsi="仿宋" w:eastAsia="仿宋" w:cs="Times New Roman"/>
            </w:rPr>
            <w:t>五、财政拨款支出决算明细表</w:t>
          </w:r>
        </w:sdtContent>
      </w:sdt>
      <w:r>
        <w:tab/>
      </w:r>
      <w:bookmarkStart w:id="19" w:name="_Toc8109_WPSOffice_Level2Page"/>
      <w:r>
        <w:t>13</w:t>
      </w:r>
      <w:bookmarkEnd w:id="19"/>
      <w:r>
        <w:rPr>
          <w:rFonts w:hint="eastAsia"/>
          <w:lang w:val="en-US" w:eastAsia="zh-CN"/>
        </w:rPr>
        <w:t>8</w:t>
      </w:r>
      <w:r>
        <w:fldChar w:fldCharType="end"/>
      </w:r>
    </w:p>
    <w:p>
      <w:pPr>
        <w:pStyle w:val="13"/>
        <w:tabs>
          <w:tab w:val="right" w:leader="dot" w:pos="8640"/>
        </w:tabs>
      </w:pPr>
      <w:r>
        <w:fldChar w:fldCharType="begin"/>
      </w:r>
      <w:r>
        <w:instrText xml:space="preserve"> HYPERLINK \l _Toc31681_WPSOffice_Level2 </w:instrText>
      </w:r>
      <w:r>
        <w:fldChar w:fldCharType="separate"/>
      </w:r>
      <w:sdt>
        <w:sdtPr>
          <w:rPr>
            <w:rFonts w:hint="default" w:ascii="Times New Roman" w:hAnsi="Times New Roman" w:eastAsia="宋体" w:cs="Times New Roman"/>
            <w:sz w:val="24"/>
          </w:rPr>
          <w:id w:val="147457863"/>
          <w:placeholder>
            <w:docPart w:val="{d5f070d3-199e-4fe8-aef5-267632c07b57}"/>
          </w:placeholder>
        </w:sdtPr>
        <w:sdtEndPr>
          <w:rPr>
            <w:rFonts w:hint="default" w:ascii="Times New Roman" w:hAnsi="Times New Roman" w:eastAsia="宋体" w:cs="Times New Roman"/>
            <w:sz w:val="24"/>
          </w:rPr>
        </w:sdtEndPr>
        <w:sdtContent>
          <w:r>
            <w:rPr>
              <w:rFonts w:hint="eastAsia" w:ascii="仿宋" w:hAnsi="仿宋" w:eastAsia="仿宋" w:cs="Times New Roman"/>
            </w:rPr>
            <w:t>六、一般公共预算财政拨款支出决算表</w:t>
          </w:r>
        </w:sdtContent>
      </w:sdt>
      <w:r>
        <w:tab/>
      </w:r>
      <w:bookmarkStart w:id="20" w:name="_Toc31681_WPSOffice_Level2Page"/>
      <w:r>
        <w:t>13</w:t>
      </w:r>
      <w:bookmarkEnd w:id="20"/>
      <w:r>
        <w:rPr>
          <w:rFonts w:hint="eastAsia"/>
          <w:lang w:val="en-US" w:eastAsia="zh-CN"/>
        </w:rPr>
        <w:t>8</w:t>
      </w:r>
      <w:r>
        <w:fldChar w:fldCharType="end"/>
      </w:r>
    </w:p>
    <w:p>
      <w:pPr>
        <w:pStyle w:val="13"/>
        <w:tabs>
          <w:tab w:val="right" w:leader="dot" w:pos="8640"/>
        </w:tabs>
      </w:pPr>
      <w:r>
        <w:fldChar w:fldCharType="begin"/>
      </w:r>
      <w:r>
        <w:instrText xml:space="preserve"> HYPERLINK \l _Toc17776_WPSOffice_Level2 </w:instrText>
      </w:r>
      <w:r>
        <w:fldChar w:fldCharType="separate"/>
      </w:r>
      <w:sdt>
        <w:sdtPr>
          <w:rPr>
            <w:rFonts w:hint="default" w:ascii="Times New Roman" w:hAnsi="Times New Roman" w:eastAsia="宋体" w:cs="Times New Roman"/>
            <w:sz w:val="24"/>
          </w:rPr>
          <w:id w:val="147457863"/>
          <w:placeholder>
            <w:docPart w:val="{e14c7b64-eb41-40f0-bebf-25ba563458fd}"/>
          </w:placeholder>
        </w:sdtPr>
        <w:sdtEndPr>
          <w:rPr>
            <w:rFonts w:hint="default" w:ascii="Times New Roman" w:hAnsi="Times New Roman" w:eastAsia="宋体" w:cs="Times New Roman"/>
            <w:sz w:val="24"/>
          </w:rPr>
        </w:sdtEndPr>
        <w:sdtContent>
          <w:r>
            <w:rPr>
              <w:rFonts w:hint="eastAsia" w:ascii="仿宋" w:hAnsi="仿宋" w:eastAsia="仿宋" w:cs="Times New Roman"/>
            </w:rPr>
            <w:t>七、一般公共预算财政拨款支出决算明细表</w:t>
          </w:r>
        </w:sdtContent>
      </w:sdt>
      <w:r>
        <w:tab/>
      </w:r>
      <w:bookmarkStart w:id="21" w:name="_Toc17776_WPSOffice_Level2Page"/>
      <w:r>
        <w:t>13</w:t>
      </w:r>
      <w:bookmarkEnd w:id="21"/>
      <w:r>
        <w:rPr>
          <w:rFonts w:hint="eastAsia"/>
          <w:lang w:val="en-US" w:eastAsia="zh-CN"/>
        </w:rPr>
        <w:t>8</w:t>
      </w:r>
      <w:r>
        <w:fldChar w:fldCharType="end"/>
      </w:r>
    </w:p>
    <w:p>
      <w:pPr>
        <w:pStyle w:val="13"/>
        <w:tabs>
          <w:tab w:val="right" w:leader="dot" w:pos="8640"/>
        </w:tabs>
      </w:pPr>
      <w:r>
        <w:fldChar w:fldCharType="begin"/>
      </w:r>
      <w:r>
        <w:instrText xml:space="preserve"> HYPERLINK \l _Toc4307_WPSOffice_Level2 </w:instrText>
      </w:r>
      <w:r>
        <w:fldChar w:fldCharType="separate"/>
      </w:r>
      <w:sdt>
        <w:sdtPr>
          <w:rPr>
            <w:rFonts w:hint="default" w:ascii="Times New Roman" w:hAnsi="Times New Roman" w:eastAsia="宋体" w:cs="Times New Roman"/>
            <w:sz w:val="24"/>
          </w:rPr>
          <w:id w:val="147457863"/>
          <w:placeholder>
            <w:docPart w:val="{873af63b-c829-4a96-b788-e765db8f1dbb}"/>
          </w:placeholder>
        </w:sdtPr>
        <w:sdtEndPr>
          <w:rPr>
            <w:rFonts w:hint="default" w:ascii="Times New Roman" w:hAnsi="Times New Roman" w:eastAsia="宋体" w:cs="Times New Roman"/>
            <w:sz w:val="24"/>
          </w:rPr>
        </w:sdtEndPr>
        <w:sdtContent>
          <w:r>
            <w:rPr>
              <w:rFonts w:hint="eastAsia" w:ascii="仿宋" w:hAnsi="仿宋" w:eastAsia="仿宋" w:cs="Times New Roman"/>
            </w:rPr>
            <w:t>八、一般公共预算财政拨款基本支出决算表</w:t>
          </w:r>
        </w:sdtContent>
      </w:sdt>
      <w:r>
        <w:tab/>
      </w:r>
      <w:bookmarkStart w:id="22" w:name="_Toc4307_WPSOffice_Level2Page"/>
      <w:r>
        <w:t>13</w:t>
      </w:r>
      <w:bookmarkEnd w:id="22"/>
      <w:r>
        <w:rPr>
          <w:rFonts w:hint="eastAsia"/>
          <w:lang w:val="en-US" w:eastAsia="zh-CN"/>
        </w:rPr>
        <w:t>8</w:t>
      </w:r>
      <w:r>
        <w:fldChar w:fldCharType="end"/>
      </w:r>
    </w:p>
    <w:p>
      <w:pPr>
        <w:pStyle w:val="13"/>
        <w:tabs>
          <w:tab w:val="right" w:leader="dot" w:pos="8640"/>
        </w:tabs>
      </w:pPr>
      <w:r>
        <w:fldChar w:fldCharType="begin"/>
      </w:r>
      <w:r>
        <w:instrText xml:space="preserve"> HYPERLINK \l _Toc11978_WPSOffice_Level2 </w:instrText>
      </w:r>
      <w:r>
        <w:fldChar w:fldCharType="separate"/>
      </w:r>
      <w:sdt>
        <w:sdtPr>
          <w:rPr>
            <w:rFonts w:hint="default" w:ascii="Times New Roman" w:hAnsi="Times New Roman" w:eastAsia="宋体" w:cs="Times New Roman"/>
            <w:sz w:val="24"/>
          </w:rPr>
          <w:id w:val="147457863"/>
          <w:placeholder>
            <w:docPart w:val="{55ccfe88-4d99-49aa-8a05-b6d4bb705b29}"/>
          </w:placeholder>
        </w:sdtPr>
        <w:sdtEndPr>
          <w:rPr>
            <w:rFonts w:hint="default" w:ascii="Times New Roman" w:hAnsi="Times New Roman" w:eastAsia="宋体" w:cs="Times New Roman"/>
            <w:sz w:val="24"/>
          </w:rPr>
        </w:sdtEndPr>
        <w:sdtContent>
          <w:r>
            <w:rPr>
              <w:rFonts w:hint="eastAsia" w:ascii="仿宋" w:hAnsi="仿宋" w:eastAsia="仿宋" w:cs="Times New Roman"/>
            </w:rPr>
            <w:t>九、一般公共预算财政拨款项目支出决算表</w:t>
          </w:r>
        </w:sdtContent>
      </w:sdt>
      <w:r>
        <w:tab/>
      </w:r>
      <w:bookmarkStart w:id="23" w:name="_Toc11978_WPSOffice_Level2Page"/>
      <w:r>
        <w:t>13</w:t>
      </w:r>
      <w:bookmarkEnd w:id="23"/>
      <w:r>
        <w:rPr>
          <w:rFonts w:hint="eastAsia"/>
          <w:lang w:val="en-US" w:eastAsia="zh-CN"/>
        </w:rPr>
        <w:t>8</w:t>
      </w:r>
      <w:r>
        <w:fldChar w:fldCharType="end"/>
      </w:r>
    </w:p>
    <w:p>
      <w:pPr>
        <w:pStyle w:val="13"/>
        <w:tabs>
          <w:tab w:val="right" w:leader="dot" w:pos="8640"/>
        </w:tabs>
      </w:pPr>
      <w:r>
        <w:fldChar w:fldCharType="begin"/>
      </w:r>
      <w:r>
        <w:instrText xml:space="preserve"> HYPERLINK \l _Toc10289_WPSOffice_Level2 </w:instrText>
      </w:r>
      <w:r>
        <w:fldChar w:fldCharType="separate"/>
      </w:r>
      <w:sdt>
        <w:sdtPr>
          <w:rPr>
            <w:rFonts w:hint="default" w:ascii="Times New Roman" w:hAnsi="Times New Roman" w:eastAsia="宋体" w:cs="Times New Roman"/>
            <w:sz w:val="24"/>
          </w:rPr>
          <w:id w:val="147457863"/>
          <w:placeholder>
            <w:docPart w:val="{c0e5a771-7156-4bfe-aa3c-8dc31ec2d66b}"/>
          </w:placeholder>
        </w:sdtPr>
        <w:sdtEndPr>
          <w:rPr>
            <w:rFonts w:hint="default" w:ascii="Times New Roman" w:hAnsi="Times New Roman" w:eastAsia="宋体" w:cs="Times New Roman"/>
            <w:sz w:val="24"/>
          </w:rPr>
        </w:sdtEndPr>
        <w:sdtContent>
          <w:r>
            <w:rPr>
              <w:rFonts w:hint="eastAsia" w:ascii="仿宋" w:hAnsi="仿宋" w:eastAsia="仿宋" w:cs="Times New Roman"/>
            </w:rPr>
            <w:t>十、政府性基金预算财政拨款收入支出决算表</w:t>
          </w:r>
        </w:sdtContent>
      </w:sdt>
      <w:r>
        <w:tab/>
      </w:r>
      <w:bookmarkStart w:id="24" w:name="_Toc10289_WPSOffice_Level2Page"/>
      <w:r>
        <w:t>13</w:t>
      </w:r>
      <w:bookmarkEnd w:id="24"/>
      <w:r>
        <w:rPr>
          <w:rFonts w:hint="eastAsia"/>
          <w:lang w:val="en-US" w:eastAsia="zh-CN"/>
        </w:rPr>
        <w:t>8</w:t>
      </w:r>
      <w:r>
        <w:fldChar w:fldCharType="end"/>
      </w:r>
    </w:p>
    <w:p>
      <w:pPr>
        <w:pStyle w:val="13"/>
        <w:tabs>
          <w:tab w:val="right" w:leader="dot" w:pos="8640"/>
        </w:tabs>
      </w:pPr>
      <w:r>
        <w:fldChar w:fldCharType="begin"/>
      </w:r>
      <w:r>
        <w:instrText xml:space="preserve"> HYPERLINK \l _Toc1798_WPSOffice_Level2 </w:instrText>
      </w:r>
      <w:r>
        <w:fldChar w:fldCharType="separate"/>
      </w:r>
      <w:sdt>
        <w:sdtPr>
          <w:rPr>
            <w:rFonts w:hint="default" w:ascii="Times New Roman" w:hAnsi="Times New Roman" w:eastAsia="宋体" w:cs="Times New Roman"/>
            <w:sz w:val="24"/>
          </w:rPr>
          <w:id w:val="147457863"/>
          <w:placeholder>
            <w:docPart w:val="{786cfa05-10d1-4802-9a25-c1f678274b4d}"/>
          </w:placeholder>
        </w:sdtPr>
        <w:sdtEndPr>
          <w:rPr>
            <w:rFonts w:hint="default" w:ascii="Times New Roman" w:hAnsi="Times New Roman" w:eastAsia="宋体" w:cs="Times New Roman"/>
            <w:sz w:val="24"/>
          </w:rPr>
        </w:sdtEndPr>
        <w:sdtContent>
          <w:r>
            <w:rPr>
              <w:rFonts w:hint="eastAsia" w:ascii="仿宋" w:hAnsi="仿宋" w:eastAsia="仿宋" w:cs="Times New Roman"/>
            </w:rPr>
            <w:t>十一、国有资本经营预算财政拨款收入支出决算表</w:t>
          </w:r>
        </w:sdtContent>
      </w:sdt>
      <w:r>
        <w:tab/>
      </w:r>
      <w:bookmarkStart w:id="25" w:name="_Toc1798_WPSOffice_Level2Page"/>
      <w:r>
        <w:t>13</w:t>
      </w:r>
      <w:bookmarkEnd w:id="25"/>
      <w:r>
        <w:rPr>
          <w:rFonts w:hint="eastAsia"/>
          <w:lang w:val="en-US" w:eastAsia="zh-CN"/>
        </w:rPr>
        <w:t>8</w:t>
      </w:r>
      <w:r>
        <w:fldChar w:fldCharType="end"/>
      </w:r>
    </w:p>
    <w:p>
      <w:pPr>
        <w:pStyle w:val="13"/>
        <w:tabs>
          <w:tab w:val="right" w:leader="dot" w:pos="8640"/>
        </w:tabs>
      </w:pPr>
      <w:r>
        <w:fldChar w:fldCharType="begin"/>
      </w:r>
      <w:r>
        <w:instrText xml:space="preserve"> HYPERLINK \l _Toc31384_WPSOffice_Level2 </w:instrText>
      </w:r>
      <w:r>
        <w:fldChar w:fldCharType="separate"/>
      </w:r>
      <w:sdt>
        <w:sdtPr>
          <w:rPr>
            <w:rFonts w:hint="default" w:ascii="Times New Roman" w:hAnsi="Times New Roman" w:eastAsia="宋体" w:cs="Times New Roman"/>
            <w:sz w:val="24"/>
          </w:rPr>
          <w:id w:val="147457863"/>
          <w:placeholder>
            <w:docPart w:val="{4e0b9a75-5920-4462-ab7e-d1928c1e1cc7}"/>
          </w:placeholder>
        </w:sdtPr>
        <w:sdtEndPr>
          <w:rPr>
            <w:rFonts w:hint="default" w:ascii="Times New Roman" w:hAnsi="Times New Roman" w:eastAsia="宋体" w:cs="Times New Roman"/>
            <w:sz w:val="24"/>
          </w:rPr>
        </w:sdtEndPr>
        <w:sdtContent>
          <w:r>
            <w:rPr>
              <w:rFonts w:hint="eastAsia" w:ascii="仿宋" w:hAnsi="仿宋" w:eastAsia="仿宋" w:cs="Times New Roman"/>
            </w:rPr>
            <w:t>十二、国有资本经营预算财政拨款支出决算表</w:t>
          </w:r>
        </w:sdtContent>
      </w:sdt>
      <w:r>
        <w:tab/>
      </w:r>
      <w:bookmarkStart w:id="26" w:name="_Toc31384_WPSOffice_Level2Page"/>
      <w:r>
        <w:t>13</w:t>
      </w:r>
      <w:bookmarkEnd w:id="26"/>
      <w:r>
        <w:rPr>
          <w:rFonts w:hint="eastAsia"/>
          <w:lang w:val="en-US" w:eastAsia="zh-CN"/>
        </w:rPr>
        <w:t>8</w:t>
      </w:r>
      <w:r>
        <w:fldChar w:fldCharType="end"/>
      </w:r>
    </w:p>
    <w:p>
      <w:pPr>
        <w:pStyle w:val="13"/>
        <w:tabs>
          <w:tab w:val="right" w:leader="dot" w:pos="8640"/>
        </w:tabs>
      </w:pPr>
      <w:r>
        <w:fldChar w:fldCharType="begin"/>
      </w:r>
      <w:r>
        <w:instrText xml:space="preserve"> HYPERLINK \l _Toc23584_WPSOffice_Level2 </w:instrText>
      </w:r>
      <w:r>
        <w:fldChar w:fldCharType="separate"/>
      </w:r>
      <w:sdt>
        <w:sdtPr>
          <w:rPr>
            <w:rFonts w:hint="default" w:ascii="Times New Roman" w:hAnsi="Times New Roman" w:eastAsia="宋体" w:cs="Times New Roman"/>
            <w:sz w:val="24"/>
          </w:rPr>
          <w:id w:val="147457863"/>
          <w:placeholder>
            <w:docPart w:val="{a3b86cc3-9fce-496d-a530-c4e28ba157bd}"/>
          </w:placeholder>
        </w:sdtPr>
        <w:sdtEndPr>
          <w:rPr>
            <w:rFonts w:hint="default" w:ascii="Times New Roman" w:hAnsi="Times New Roman" w:eastAsia="宋体" w:cs="Times New Roman"/>
            <w:sz w:val="24"/>
          </w:rPr>
        </w:sdtEndPr>
        <w:sdtContent>
          <w:r>
            <w:rPr>
              <w:rFonts w:hint="eastAsia" w:ascii="仿宋" w:hAnsi="仿宋" w:eastAsia="仿宋" w:cs="Times New Roman"/>
            </w:rPr>
            <w:t>十三、财政拨款</w:t>
          </w:r>
          <w:r>
            <w:rPr>
              <w:rFonts w:hint="default" w:ascii="仿宋" w:hAnsi="仿宋" w:eastAsia="仿宋" w:cs="Times New Roman"/>
            </w:rPr>
            <w:t>“</w:t>
          </w:r>
          <w:r>
            <w:rPr>
              <w:rFonts w:hint="eastAsia" w:ascii="仿宋" w:hAnsi="仿宋" w:eastAsia="仿宋" w:cs="Times New Roman"/>
            </w:rPr>
            <w:t>三公</w:t>
          </w:r>
          <w:r>
            <w:rPr>
              <w:rFonts w:hint="default" w:ascii="仿宋" w:hAnsi="仿宋" w:eastAsia="仿宋" w:cs="Times New Roman"/>
            </w:rPr>
            <w:t>”</w:t>
          </w:r>
          <w:r>
            <w:rPr>
              <w:rFonts w:hint="eastAsia" w:ascii="仿宋" w:hAnsi="仿宋" w:eastAsia="仿宋" w:cs="Times New Roman"/>
            </w:rPr>
            <w:t>经费支出决算表</w:t>
          </w:r>
        </w:sdtContent>
      </w:sdt>
      <w:r>
        <w:tab/>
      </w:r>
      <w:bookmarkStart w:id="27" w:name="_Toc23584_WPSOffice_Level2Page"/>
      <w:r>
        <w:t>13</w:t>
      </w:r>
      <w:bookmarkEnd w:id="27"/>
      <w:r>
        <w:rPr>
          <w:rFonts w:hint="eastAsia"/>
          <w:lang w:val="en-US" w:eastAsia="zh-CN"/>
        </w:rPr>
        <w:t>8</w:t>
      </w:r>
      <w:r>
        <w:fldChar w:fldCharType="end"/>
      </w:r>
      <w:bookmarkEnd w:id="0"/>
    </w:p>
    <w:p>
      <w:pPr>
        <w:pStyle w:val="4"/>
        <w:keepNext/>
        <w:keepLines/>
        <w:spacing w:before="340" w:beforeLines="0" w:after="330" w:afterLines="0" w:line="576" w:lineRule="auto"/>
        <w:jc w:val="center"/>
        <w:rPr>
          <w:rFonts w:hint="eastAsia" w:ascii="黑体" w:hAnsi="黑体" w:eastAsia="黑体"/>
          <w:color w:val="auto"/>
          <w:kern w:val="44"/>
          <w:sz w:val="44"/>
          <w:lang w:val="zh-CN"/>
        </w:rPr>
        <w:sectPr>
          <w:pgSz w:w="12240" w:h="15840"/>
          <w:pgMar w:top="1440" w:right="1800" w:bottom="1440" w:left="1800" w:header="720" w:footer="720" w:gutter="0"/>
          <w:lnNumType w:countBy="0" w:distance="360"/>
          <w:cols w:space="720" w:num="1"/>
          <w:docGrid w:type="lines" w:linePitch="312" w:charSpace="0"/>
        </w:sectPr>
      </w:pPr>
    </w:p>
    <w:p>
      <w:pPr>
        <w:pStyle w:val="4"/>
        <w:keepNext/>
        <w:keepLines/>
        <w:spacing w:before="340" w:beforeLines="0" w:after="330" w:afterLines="0" w:line="576" w:lineRule="auto"/>
        <w:jc w:val="center"/>
        <w:rPr>
          <w:rFonts w:hint="eastAsia" w:ascii="黑体" w:hAnsi="黑体" w:eastAsia="黑体"/>
          <w:b/>
          <w:color w:val="auto"/>
          <w:kern w:val="44"/>
          <w:sz w:val="44"/>
          <w:lang w:val="zh-CN"/>
        </w:rPr>
      </w:pPr>
      <w:bookmarkStart w:id="28" w:name="_Toc23338_WPSOffice_Level1"/>
      <w:r>
        <w:rPr>
          <w:rFonts w:hint="eastAsia" w:ascii="黑体" w:hAnsi="黑体" w:eastAsia="黑体"/>
          <w:color w:val="auto"/>
          <w:kern w:val="44"/>
          <w:sz w:val="44"/>
          <w:lang w:val="zh-CN"/>
        </w:rPr>
        <w:t>第一部分 部门概况</w:t>
      </w:r>
      <w:bookmarkEnd w:id="28"/>
    </w:p>
    <w:p>
      <w:pPr>
        <w:pStyle w:val="5"/>
        <w:keepNext/>
        <w:keepLines/>
        <w:spacing w:before="260" w:beforeLines="0" w:after="260" w:afterLines="0" w:line="576" w:lineRule="exact"/>
        <w:ind w:firstLine="640"/>
        <w:jc w:val="both"/>
        <w:rPr>
          <w:rFonts w:hint="eastAsia" w:ascii="黑体" w:hAnsi="黑体" w:eastAsia="黑体"/>
          <w:color w:val="auto"/>
          <w:kern w:val="2"/>
          <w:sz w:val="32"/>
          <w:lang w:val="zh-CN"/>
        </w:rPr>
      </w:pPr>
      <w:bookmarkStart w:id="29" w:name="_Toc13879_WPSOffice_Level2"/>
      <w:r>
        <w:rPr>
          <w:rFonts w:hint="eastAsia" w:ascii="黑体" w:hAnsi="黑体" w:eastAsia="黑体"/>
          <w:color w:val="000000"/>
          <w:kern w:val="2"/>
          <w:sz w:val="32"/>
          <w:lang w:val="zh-CN"/>
        </w:rPr>
        <w:t>一、部门</w:t>
      </w:r>
      <w:r>
        <w:rPr>
          <w:rFonts w:hint="eastAsia" w:ascii="黑体" w:hAnsi="黑体" w:eastAsia="黑体"/>
          <w:color w:val="auto"/>
          <w:kern w:val="2"/>
          <w:sz w:val="32"/>
          <w:lang w:val="zh-CN"/>
        </w:rPr>
        <w:t>职责</w:t>
      </w:r>
      <w:bookmarkEnd w:id="29"/>
    </w:p>
    <w:p>
      <w:pPr>
        <w:widowControl/>
        <w:spacing w:before="150" w:after="150" w:line="36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贯彻执行国家、省、市有关交通运输行业的方针、政策和法律、法规、规章及行政规范性文件上。组织拟定并监督实施全县公路、水路等行业规划，会同有关部门组织编制综合运输体系规划，参与拟订物流业发展战略和规划。</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负责本系统、本部门依法行政工作，落实行政执法责任制。指导公路、水路行业有关体制改革工作。</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承担公路、水路交通运输市场监管责任，指导城乡客运管理工作，指导出租汽车行业管理工作，会同有关部门制定运输价格。</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承担水上交通安全监管责任。负责船员管理相关工作。指导水上交通安全事故、船舶及相关水上设施污染事故的应急处置，依法组织或参与事故调查处理工作。</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负责提出公路、水路固定资产投资规模和方向、县财政性资金安排建议，按照规定权限审批、核准国家、省规划内和年度计划规模内固定资产投资项目。会同有关部门拟订公路、水路有关规费政策并监督实施，提出有关财政、土地、价格等政策建议。指导交通运输行业审计工作。</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担公路、水路建设市场监管责任。组织协调公路、水路有关重点工程质量、安全生产监督管理工作；负责对交通行业和产业项目的招投标活动的监督；按规定负责码头、渡改桥规划工作，指导交通运输行业特许经营管理；会同有关部门组织实施交通运输行业资格管理工作。</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负责全县公路、水路交通建设（含客货运输和旅游运输场站建设）行业管理，维护交通建设行业平等竞争秩序。组织实施国家和省、市、县重点公路、水路工程建设，监督全县地方交通建设项目实施。</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负责全公路、水路设施的维护和路产、路权及路政管理工作。</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指导公路、水路行业安全生产和应急管理工作。按规定组织协调国家、省、市、县重点物资和紧急客货运输，组织协调地方交通战备工作，承担国防动员有关工作。</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贯彻执行交通运输科技政策，推广新的科技项目，加强行业科技创新和进步，指导公路、水路行业环境保护和节能减排工作。</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11、指导交通行业的体制改革和交通特许经营企业的管理，建立健全规范的交通行业财务管理与会计核算体系，监督管理县属交通行业国有资产。</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负责公路、水路有关涉外工作，开展对外经济技术交流与合作，指导全县交通运输行业招商引资和利用外资工作。</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承担县政府公布的有关行政审批及公共服务事项。</w:t>
      </w:r>
    </w:p>
    <w:p>
      <w:pPr>
        <w:pStyle w:val="3"/>
        <w:adjustRightInd w:val="0"/>
        <w:snapToGrid w:val="0"/>
        <w:spacing w:before="93" w:line="600" w:lineRule="exact"/>
        <w:ind w:firstLine="672" w:firstLineChars="210"/>
        <w:outlineLvl w:val="2"/>
        <w:rPr>
          <w:rFonts w:hint="eastAsia" w:ascii="黑体" w:hAnsi="黑体" w:eastAsia="黑体"/>
          <w:color w:val="auto"/>
          <w:kern w:val="2"/>
          <w:sz w:val="32"/>
          <w:lang w:val="zh-CN"/>
        </w:rPr>
      </w:pPr>
      <w:r>
        <w:rPr>
          <w:rFonts w:hint="eastAsia" w:hAnsi="仿宋_GB2312" w:cs="仿宋_GB2312"/>
          <w:sz w:val="32"/>
          <w:szCs w:val="32"/>
        </w:rPr>
        <w:t>14</w:t>
      </w:r>
      <w:r>
        <w:rPr>
          <w:rFonts w:hint="eastAsia" w:hAnsi="仿宋_GB2312" w:cs="仿宋_GB2312"/>
          <w:sz w:val="32"/>
          <w:szCs w:val="32"/>
          <w:lang w:val="en-US" w:eastAsia="zh-CN"/>
        </w:rPr>
        <w:t>.</w:t>
      </w:r>
      <w:r>
        <w:rPr>
          <w:rFonts w:hint="eastAsia" w:hAnsi="仿宋_GB2312" w:cs="仿宋_GB2312"/>
          <w:sz w:val="32"/>
          <w:szCs w:val="32"/>
        </w:rPr>
        <w:t>承办县政府交办的其他事项。</w:t>
      </w:r>
    </w:p>
    <w:p>
      <w:pPr>
        <w:pStyle w:val="5"/>
        <w:keepNext/>
        <w:keepLines/>
        <w:spacing w:before="260" w:beforeLines="0" w:after="260" w:afterLines="0" w:line="576" w:lineRule="exact"/>
        <w:ind w:firstLine="640"/>
        <w:jc w:val="both"/>
        <w:rPr>
          <w:rFonts w:hint="default" w:ascii="Cambria" w:hAnsi="Cambria" w:eastAsia="Cambria"/>
          <w:color w:val="auto"/>
          <w:kern w:val="2"/>
          <w:sz w:val="32"/>
          <w:lang w:val="zh-CN"/>
        </w:rPr>
      </w:pPr>
      <w:bookmarkStart w:id="30" w:name="_Toc12794_WPSOffice_Level2"/>
      <w:r>
        <w:rPr>
          <w:rFonts w:hint="eastAsia" w:ascii="黑体" w:hAnsi="黑体" w:eastAsia="黑体"/>
          <w:color w:val="000000"/>
          <w:kern w:val="2"/>
          <w:sz w:val="32"/>
          <w:lang w:val="zh-CN"/>
        </w:rPr>
        <w:t>二、机</w:t>
      </w:r>
      <w:r>
        <w:rPr>
          <w:rFonts w:hint="eastAsia" w:ascii="黑体" w:hAnsi="黑体" w:eastAsia="黑体"/>
          <w:color w:val="auto"/>
          <w:kern w:val="2"/>
          <w:sz w:val="32"/>
          <w:lang w:val="zh-CN"/>
        </w:rPr>
        <w:t>构设置</w:t>
      </w:r>
      <w:bookmarkEnd w:id="30"/>
    </w:p>
    <w:p>
      <w:pPr>
        <w:pStyle w:val="3"/>
        <w:adjustRightInd w:val="0"/>
        <w:snapToGrid w:val="0"/>
        <w:spacing w:before="93" w:line="600" w:lineRule="exact"/>
        <w:ind w:firstLine="672" w:firstLineChars="210"/>
        <w:rPr>
          <w:color w:val="000000"/>
          <w:sz w:val="32"/>
          <w:szCs w:val="32"/>
        </w:rPr>
      </w:pPr>
      <w:r>
        <w:rPr>
          <w:rFonts w:hint="eastAsia" w:ascii="仿宋_GB2312" w:hAnsi="仿宋_GB2312" w:eastAsia="仿宋_GB2312"/>
          <w:color w:val="auto"/>
          <w:kern w:val="2"/>
          <w:sz w:val="32"/>
          <w:lang w:val="zh-CN"/>
        </w:rPr>
        <w:t>四川省德阳市罗江区交通运输局</w:t>
      </w:r>
      <w:r>
        <w:rPr>
          <w:rFonts w:hint="eastAsia"/>
          <w:color w:val="000000"/>
          <w:sz w:val="32"/>
          <w:szCs w:val="32"/>
        </w:rPr>
        <w:t>下属二级单位6个，其中行政单位1个，参照公务员法管理的事业单位</w:t>
      </w:r>
      <w:r>
        <w:rPr>
          <w:rFonts w:hint="eastAsia"/>
          <w:bCs/>
          <w:color w:val="000000"/>
          <w:sz w:val="32"/>
          <w:szCs w:val="32"/>
        </w:rPr>
        <w:t>2</w:t>
      </w:r>
      <w:r>
        <w:rPr>
          <w:rFonts w:hint="eastAsia"/>
          <w:color w:val="000000"/>
          <w:sz w:val="32"/>
          <w:szCs w:val="32"/>
        </w:rPr>
        <w:t>个，其他事业单位3个。</w:t>
      </w:r>
    </w:p>
    <w:p>
      <w:pPr>
        <w:pStyle w:val="3"/>
        <w:adjustRightInd w:val="0"/>
        <w:snapToGrid w:val="0"/>
        <w:spacing w:before="93" w:line="600" w:lineRule="exact"/>
        <w:ind w:firstLine="672" w:firstLineChars="210"/>
        <w:rPr>
          <w:color w:val="000000"/>
          <w:sz w:val="32"/>
          <w:szCs w:val="32"/>
        </w:rPr>
      </w:pPr>
      <w:r>
        <w:rPr>
          <w:rFonts w:hint="eastAsia"/>
          <w:color w:val="000000"/>
          <w:sz w:val="32"/>
          <w:szCs w:val="32"/>
        </w:rPr>
        <w:t>纳入罗江区交通运输局部门决算编制范围的二级单位包括：</w:t>
      </w:r>
    </w:p>
    <w:p>
      <w:pPr>
        <w:pStyle w:val="3"/>
        <w:adjustRightInd w:val="0"/>
        <w:snapToGrid w:val="0"/>
        <w:spacing w:before="93" w:line="600" w:lineRule="exact"/>
        <w:ind w:firstLine="672" w:firstLineChars="210"/>
        <w:rPr>
          <w:rFonts w:hint="eastAsia" w:eastAsia="仿宋_GB2312"/>
          <w:color w:val="000000"/>
          <w:sz w:val="32"/>
          <w:szCs w:val="32"/>
          <w:lang w:eastAsia="zh-CN"/>
        </w:rPr>
      </w:pPr>
      <w:r>
        <w:rPr>
          <w:rFonts w:hint="eastAsia"/>
          <w:color w:val="000000"/>
          <w:sz w:val="32"/>
          <w:szCs w:val="32"/>
        </w:rPr>
        <w:t>1.罗江区交通运输局</w:t>
      </w:r>
      <w:r>
        <w:rPr>
          <w:rFonts w:hint="eastAsia"/>
          <w:color w:val="000000"/>
          <w:sz w:val="32"/>
          <w:szCs w:val="32"/>
          <w:lang w:eastAsia="zh-CN"/>
        </w:rPr>
        <w:t>（罗江区交通运输综合行政执法大队）</w:t>
      </w:r>
    </w:p>
    <w:p>
      <w:pPr>
        <w:pStyle w:val="3"/>
        <w:adjustRightInd w:val="0"/>
        <w:snapToGrid w:val="0"/>
        <w:spacing w:before="93" w:line="600" w:lineRule="exact"/>
        <w:ind w:firstLine="672" w:firstLineChars="210"/>
        <w:rPr>
          <w:color w:val="000000"/>
          <w:sz w:val="32"/>
          <w:szCs w:val="32"/>
        </w:rPr>
      </w:pPr>
      <w:r>
        <w:rPr>
          <w:rFonts w:hint="eastAsia"/>
          <w:color w:val="000000"/>
          <w:sz w:val="32"/>
          <w:szCs w:val="32"/>
        </w:rPr>
        <w:t>2.罗江区公路管理所</w:t>
      </w:r>
    </w:p>
    <w:p>
      <w:pPr>
        <w:pStyle w:val="3"/>
        <w:adjustRightInd w:val="0"/>
        <w:snapToGrid w:val="0"/>
        <w:spacing w:before="93" w:line="600" w:lineRule="exact"/>
        <w:ind w:firstLine="672" w:firstLineChars="210"/>
        <w:rPr>
          <w:color w:val="000000"/>
          <w:sz w:val="32"/>
          <w:szCs w:val="32"/>
        </w:rPr>
      </w:pPr>
      <w:r>
        <w:rPr>
          <w:rFonts w:hint="eastAsia"/>
          <w:color w:val="000000"/>
          <w:sz w:val="32"/>
          <w:szCs w:val="32"/>
        </w:rPr>
        <w:t>3.罗江区道路运输管理所</w:t>
      </w:r>
    </w:p>
    <w:p>
      <w:pPr>
        <w:pStyle w:val="3"/>
        <w:adjustRightInd w:val="0"/>
        <w:snapToGrid w:val="0"/>
        <w:spacing w:before="93" w:line="600" w:lineRule="exact"/>
        <w:ind w:firstLine="672" w:firstLineChars="210"/>
        <w:rPr>
          <w:color w:val="000000"/>
          <w:sz w:val="32"/>
          <w:szCs w:val="32"/>
        </w:rPr>
      </w:pPr>
      <w:r>
        <w:rPr>
          <w:rFonts w:hint="eastAsia"/>
          <w:color w:val="000000"/>
          <w:sz w:val="32"/>
          <w:szCs w:val="32"/>
        </w:rPr>
        <w:t>4.罗江区公路路政管理所</w:t>
      </w:r>
    </w:p>
    <w:p>
      <w:pPr>
        <w:pStyle w:val="3"/>
        <w:adjustRightInd w:val="0"/>
        <w:snapToGrid w:val="0"/>
        <w:spacing w:before="93" w:line="600" w:lineRule="exact"/>
        <w:ind w:firstLine="672" w:firstLineChars="210"/>
        <w:rPr>
          <w:color w:val="000000"/>
          <w:sz w:val="32"/>
          <w:szCs w:val="32"/>
        </w:rPr>
      </w:pPr>
      <w:r>
        <w:rPr>
          <w:rFonts w:hint="eastAsia"/>
          <w:color w:val="000000"/>
          <w:sz w:val="32"/>
          <w:szCs w:val="32"/>
        </w:rPr>
        <w:t>5.罗江区地方海事处</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6.罗江区公路工程质量监督管理站</w:t>
      </w:r>
    </w:p>
    <w:p>
      <w:pPr>
        <w:ind w:firstLine="640" w:firstLineChars="200"/>
        <w:rPr>
          <w:rFonts w:hint="eastAsia" w:ascii="仿宋_GB2312" w:hAnsi="仿宋_GB2312" w:eastAsia="仿宋_GB2312" w:cs="仿宋_GB2312"/>
          <w:color w:val="000000"/>
          <w:sz w:val="32"/>
          <w:szCs w:val="32"/>
        </w:rPr>
      </w:pPr>
    </w:p>
    <w:p>
      <w:pPr>
        <w:pStyle w:val="4"/>
        <w:keepNext/>
        <w:keepLines/>
        <w:spacing w:before="340" w:beforeLines="0" w:after="330" w:afterLines="0" w:line="576" w:lineRule="auto"/>
        <w:jc w:val="center"/>
        <w:rPr>
          <w:rFonts w:hint="eastAsia" w:ascii="黑体" w:hAnsi="黑体" w:eastAsia="黑体"/>
          <w:color w:val="auto"/>
          <w:kern w:val="44"/>
          <w:sz w:val="44"/>
          <w:szCs w:val="22"/>
          <w:lang w:val="zh-CN"/>
        </w:rPr>
      </w:pPr>
      <w:bookmarkStart w:id="31" w:name="_Toc13879_WPSOffice_Level1"/>
      <w:r>
        <w:rPr>
          <w:rFonts w:hint="eastAsia" w:ascii="黑体" w:hAnsi="黑体" w:eastAsia="黑体"/>
          <w:color w:val="auto"/>
          <w:kern w:val="44"/>
          <w:sz w:val="44"/>
          <w:szCs w:val="22"/>
          <w:lang w:val="zh-CN"/>
        </w:rPr>
        <w:t>第二部分 2022年度部门决算情况说明</w:t>
      </w:r>
      <w:bookmarkEnd w:id="31"/>
    </w:p>
    <w:p>
      <w:pPr>
        <w:pStyle w:val="5"/>
        <w:keepNext/>
        <w:keepLines/>
        <w:spacing w:before="260" w:beforeLines="0" w:after="260" w:afterLines="0" w:line="576" w:lineRule="exact"/>
        <w:ind w:firstLine="640"/>
        <w:jc w:val="both"/>
        <w:rPr>
          <w:rFonts w:hint="eastAsia" w:ascii="黑体" w:hAnsi="黑体" w:eastAsia="黑体"/>
          <w:color w:val="000000"/>
          <w:kern w:val="2"/>
          <w:sz w:val="32"/>
          <w:szCs w:val="22"/>
          <w:lang w:val="zh-CN"/>
        </w:rPr>
      </w:pPr>
      <w:r>
        <w:rPr>
          <w:rFonts w:hint="eastAsia" w:ascii="黑体" w:hAnsi="黑体" w:eastAsia="黑体"/>
          <w:color w:val="000000"/>
          <w:kern w:val="2"/>
          <w:sz w:val="32"/>
          <w:szCs w:val="22"/>
          <w:lang w:val="zh-CN"/>
        </w:rPr>
        <w:t xml:space="preserve">    </w:t>
      </w:r>
      <w:bookmarkStart w:id="32" w:name="_Toc3423_WPSOffice_Level2"/>
      <w:r>
        <w:rPr>
          <w:rFonts w:hint="eastAsia" w:ascii="黑体" w:hAnsi="黑体" w:eastAsia="黑体"/>
          <w:color w:val="000000"/>
          <w:kern w:val="2"/>
          <w:sz w:val="32"/>
          <w:szCs w:val="22"/>
          <w:lang w:val="zh-CN"/>
        </w:rPr>
        <w:t>一、收入支出决算总体情况说明</w:t>
      </w:r>
      <w:bookmarkEnd w:id="32"/>
    </w:p>
    <w:p>
      <w:pPr>
        <w:keepNext/>
        <w:keepLines/>
        <w:spacing w:beforeLines="0" w:afterLines="0" w:line="576" w:lineRule="exact"/>
        <w:ind w:firstLine="640"/>
        <w:jc w:val="both"/>
        <w:rPr>
          <w:rFonts w:hint="eastAsia" w:ascii="仿宋_GB2312" w:hAnsi="仿宋_GB2312" w:eastAsia="仿宋_GB2312"/>
          <w:color w:val="000000"/>
          <w:kern w:val="2"/>
          <w:sz w:val="32"/>
          <w:lang w:val="zh-CN"/>
        </w:rPr>
      </w:pPr>
      <w:r>
        <w:rPr>
          <w:rFonts w:hint="eastAsia" w:ascii="仿宋_GB2312" w:hAnsi="仿宋_GB2312" w:eastAsia="仿宋_GB2312"/>
          <w:color w:val="000000"/>
          <w:kern w:val="2"/>
          <w:sz w:val="32"/>
          <w:lang w:val="zh-CN"/>
        </w:rPr>
        <w:t>2022年度收、支总计6,510.58万元。与2021年相比，收、支总计各减少399.45万元，下降5.8%。主要变动原因是上级专项资金项目减少。</w:t>
      </w:r>
    </w:p>
    <w:p>
      <w:pPr>
        <w:pStyle w:val="2"/>
        <w:ind w:left="0" w:leftChars="0" w:firstLine="0" w:firstLineChars="0"/>
        <w:rPr>
          <w:rFonts w:hint="eastAsia" w:ascii="仿宋" w:hAnsi="仿宋" w:eastAsia="仿宋"/>
          <w:color w:val="auto"/>
          <w:kern w:val="2"/>
          <w:sz w:val="32"/>
          <w:lang w:val="en-US" w:eastAsia="zh-CN"/>
        </w:rPr>
      </w:pPr>
      <w:r>
        <w:rPr>
          <w:rFonts w:hint="eastAsia" w:ascii="仿宋" w:hAnsi="仿宋" w:eastAsia="仿宋"/>
          <w:color w:val="auto"/>
          <w:kern w:val="2"/>
          <w:sz w:val="32"/>
          <w:lang w:val="en-US" w:eastAsia="zh-CN"/>
        </w:rPr>
        <w:drawing>
          <wp:inline distT="0" distB="0" distL="114300" distR="114300">
            <wp:extent cx="5372100" cy="3816350"/>
            <wp:effectExtent l="4445" t="4445" r="82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beforeLines="0" w:afterLines="0" w:line="600" w:lineRule="exact"/>
        <w:ind w:firstLine="640"/>
        <w:jc w:val="center"/>
        <w:rPr>
          <w:rFonts w:hint="eastAsia" w:ascii="仿宋" w:hAnsi="仿宋" w:eastAsia="仿宋"/>
          <w:color w:val="auto"/>
          <w:kern w:val="2"/>
          <w:sz w:val="32"/>
          <w:lang w:val="en-US" w:eastAsia="zh-CN"/>
        </w:rPr>
      </w:pPr>
      <w:r>
        <w:rPr>
          <w:rFonts w:hint="eastAsia" w:ascii="仿宋" w:hAnsi="仿宋" w:eastAsia="仿宋"/>
          <w:color w:val="auto"/>
          <w:kern w:val="2"/>
          <w:sz w:val="32"/>
          <w:lang w:val="en-US"/>
        </w:rPr>
        <w:t>图1：收、支决算总计变动情况图</w:t>
      </w:r>
      <w:r>
        <w:rPr>
          <w:rFonts w:hint="eastAsia" w:ascii="仿宋" w:hAnsi="仿宋" w:eastAsia="仿宋"/>
          <w:color w:val="auto"/>
          <w:kern w:val="2"/>
          <w:sz w:val="32"/>
          <w:lang w:val="en-US" w:eastAsia="zh-CN"/>
        </w:rPr>
        <w:t xml:space="preserve">   （单位：万元）</w:t>
      </w:r>
    </w:p>
    <w:p>
      <w:pPr>
        <w:pStyle w:val="5"/>
        <w:keepNext/>
        <w:keepLines/>
        <w:spacing w:before="260" w:beforeLines="0" w:after="260" w:afterLines="0" w:line="576" w:lineRule="exact"/>
        <w:ind w:firstLine="640"/>
        <w:jc w:val="both"/>
        <w:rPr>
          <w:rFonts w:hint="eastAsia" w:ascii="黑体" w:hAnsi="黑体" w:eastAsia="黑体"/>
          <w:color w:val="000000"/>
          <w:kern w:val="2"/>
          <w:sz w:val="32"/>
          <w:szCs w:val="22"/>
          <w:lang w:val="zh-CN"/>
        </w:rPr>
      </w:pPr>
      <w:bookmarkStart w:id="33" w:name="_Toc28889_WPSOffice_Level2"/>
      <w:r>
        <w:rPr>
          <w:rFonts w:hint="eastAsia" w:ascii="黑体" w:hAnsi="黑体" w:eastAsia="黑体"/>
          <w:color w:val="000000"/>
          <w:kern w:val="2"/>
          <w:sz w:val="32"/>
          <w:szCs w:val="22"/>
          <w:lang w:val="zh-CN"/>
        </w:rPr>
        <w:t>二、收入决算情况说明</w:t>
      </w:r>
      <w:bookmarkEnd w:id="33"/>
    </w:p>
    <w:p>
      <w:pPr>
        <w:keepNext/>
        <w:keepLines/>
        <w:spacing w:beforeLines="0" w:afterLines="0" w:line="576" w:lineRule="exact"/>
        <w:ind w:firstLine="640"/>
        <w:jc w:val="both"/>
        <w:rPr>
          <w:rFonts w:hint="eastAsia" w:ascii="仿宋_GB2312" w:hAnsi="仿宋_GB2312" w:eastAsia="仿宋_GB2312"/>
          <w:color w:val="000000"/>
          <w:kern w:val="2"/>
          <w:sz w:val="32"/>
          <w:lang w:val="zh-CN"/>
        </w:rPr>
      </w:pPr>
      <w:r>
        <w:rPr>
          <w:rFonts w:hint="eastAsia" w:ascii="仿宋_GB2312" w:hAnsi="仿宋_GB2312" w:eastAsia="仿宋_GB2312"/>
          <w:color w:val="000000"/>
          <w:kern w:val="2"/>
          <w:sz w:val="32"/>
          <w:lang w:val="zh-CN"/>
        </w:rPr>
        <w:t>2022年本年收入合计5,485.9万元，其中：一般公共预算财政拨款收入3,444.38万元，占62.8%；政府性基金预算财政拨款收入896.87万元，占16.3%；其他收入1,144.65万元，占20.9%。</w:t>
      </w:r>
    </w:p>
    <w:p>
      <w:pPr>
        <w:pStyle w:val="2"/>
        <w:rPr>
          <w:rFonts w:hint="eastAsia" w:eastAsia="仿宋"/>
          <w:lang w:val="en-US" w:eastAsia="zh-CN"/>
        </w:rPr>
      </w:pPr>
      <w:r>
        <w:rPr>
          <w:rFonts w:hint="eastAsia" w:eastAsia="仿宋"/>
          <w:lang w:val="en-US" w:eastAsia="zh-CN"/>
        </w:rPr>
        <w:drawing>
          <wp:inline distT="0" distB="0" distL="114300" distR="114300">
            <wp:extent cx="5308600" cy="3791585"/>
            <wp:effectExtent l="4445" t="4445" r="8255" b="1397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beforeLines="0" w:afterLines="0" w:line="600" w:lineRule="exact"/>
        <w:ind w:firstLine="640"/>
        <w:jc w:val="center"/>
        <w:rPr>
          <w:rFonts w:hint="eastAsia" w:ascii="仿宋" w:hAnsi="仿宋" w:eastAsia="仿宋"/>
          <w:color w:val="auto"/>
          <w:kern w:val="2"/>
          <w:sz w:val="32"/>
          <w:lang w:val="en-US"/>
        </w:rPr>
      </w:pPr>
      <w:r>
        <w:rPr>
          <w:rFonts w:hint="eastAsia" w:ascii="仿宋" w:hAnsi="仿宋" w:eastAsia="仿宋"/>
          <w:color w:val="auto"/>
          <w:kern w:val="2"/>
          <w:sz w:val="32"/>
          <w:lang w:val="en-US"/>
        </w:rPr>
        <w:t>图2：收入决算结构图（</w:t>
      </w:r>
      <w:r>
        <w:rPr>
          <w:rFonts w:hint="eastAsia" w:ascii="仿宋" w:hAnsi="仿宋" w:eastAsia="仿宋"/>
          <w:color w:val="auto"/>
          <w:kern w:val="2"/>
          <w:sz w:val="32"/>
          <w:lang w:val="en-US" w:eastAsia="zh-CN"/>
        </w:rPr>
        <w:t>单位：万元</w:t>
      </w:r>
      <w:r>
        <w:rPr>
          <w:rFonts w:hint="eastAsia" w:ascii="仿宋" w:hAnsi="仿宋" w:eastAsia="仿宋"/>
          <w:color w:val="auto"/>
          <w:kern w:val="2"/>
          <w:sz w:val="32"/>
          <w:lang w:val="en-US"/>
        </w:rPr>
        <w:t>）</w:t>
      </w:r>
    </w:p>
    <w:p>
      <w:pPr>
        <w:pStyle w:val="2"/>
        <w:rPr>
          <w:rFonts w:hint="eastAsia" w:eastAsia="仿宋"/>
          <w:lang w:val="en-US" w:eastAsia="zh-CN"/>
        </w:rPr>
      </w:pPr>
    </w:p>
    <w:p>
      <w:pPr>
        <w:pStyle w:val="5"/>
        <w:keepNext/>
        <w:keepLines/>
        <w:spacing w:before="260" w:beforeLines="0" w:after="260" w:afterLines="0" w:line="576" w:lineRule="exact"/>
        <w:ind w:firstLine="640"/>
        <w:jc w:val="both"/>
        <w:rPr>
          <w:rFonts w:hint="eastAsia" w:ascii="黑体" w:hAnsi="黑体" w:eastAsia="黑体"/>
          <w:color w:val="000000"/>
          <w:kern w:val="2"/>
          <w:sz w:val="32"/>
          <w:szCs w:val="22"/>
          <w:lang w:val="zh-CN"/>
        </w:rPr>
      </w:pPr>
      <w:bookmarkStart w:id="34" w:name="_Toc91_WPSOffice_Level2"/>
      <w:r>
        <w:rPr>
          <w:rFonts w:hint="eastAsia" w:ascii="黑体" w:hAnsi="黑体" w:eastAsia="黑体"/>
          <w:color w:val="000000"/>
          <w:kern w:val="2"/>
          <w:sz w:val="32"/>
          <w:szCs w:val="22"/>
          <w:lang w:val="zh-CN"/>
        </w:rPr>
        <w:t>三、支出决算情况说明</w:t>
      </w:r>
      <w:bookmarkEnd w:id="34"/>
    </w:p>
    <w:p>
      <w:pPr>
        <w:keepNext/>
        <w:keepLines/>
        <w:spacing w:beforeLines="0" w:afterLines="0" w:line="576" w:lineRule="exact"/>
        <w:ind w:firstLine="640"/>
        <w:jc w:val="both"/>
        <w:rPr>
          <w:rFonts w:hint="eastAsia" w:ascii="仿宋_GB2312" w:hAnsi="仿宋_GB2312" w:eastAsia="仿宋_GB2312"/>
          <w:color w:val="000000"/>
          <w:kern w:val="2"/>
          <w:sz w:val="32"/>
          <w:lang w:val="zh-CN"/>
        </w:rPr>
      </w:pPr>
      <w:r>
        <w:rPr>
          <w:rFonts w:hint="eastAsia" w:ascii="仿宋_GB2312" w:hAnsi="仿宋_GB2312" w:eastAsia="仿宋_GB2312"/>
          <w:color w:val="000000"/>
          <w:kern w:val="2"/>
          <w:sz w:val="32"/>
          <w:lang w:val="zh-CN"/>
        </w:rPr>
        <w:t>2022年本年支出合计5,739.01万元，其中：基本支出1,876.91万元，占32.7%；项目支出3,862.09万元，占67.3%。</w:t>
      </w:r>
    </w:p>
    <w:p>
      <w:pPr>
        <w:spacing w:beforeLines="0" w:afterLines="0" w:line="600" w:lineRule="exact"/>
        <w:ind w:firstLine="640"/>
        <w:jc w:val="center"/>
        <w:rPr>
          <w:rFonts w:hint="eastAsia" w:ascii="仿宋" w:hAnsi="仿宋" w:eastAsia="仿宋"/>
          <w:color w:val="auto"/>
          <w:kern w:val="2"/>
          <w:sz w:val="32"/>
          <w:lang w:val="en-US"/>
        </w:rPr>
      </w:pPr>
    </w:p>
    <w:p>
      <w:pPr>
        <w:pStyle w:val="2"/>
        <w:rPr>
          <w:rFonts w:hint="eastAsia" w:eastAsia="仿宋"/>
          <w:lang w:val="en-US" w:eastAsia="zh-CN"/>
        </w:rPr>
      </w:pPr>
      <w:r>
        <w:rPr>
          <w:rFonts w:hint="eastAsia" w:eastAsia="仿宋"/>
          <w:lang w:val="en-US" w:eastAsia="zh-CN"/>
        </w:rPr>
        <w:drawing>
          <wp:inline distT="0" distB="0" distL="114300" distR="114300">
            <wp:extent cx="5314950" cy="3810000"/>
            <wp:effectExtent l="4445" t="4445" r="1460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jc w:val="center"/>
        <w:rPr>
          <w:rFonts w:hint="eastAsia" w:eastAsia="仿宋"/>
          <w:lang w:val="en-US" w:eastAsia="zh-CN"/>
        </w:rPr>
      </w:pPr>
      <w:r>
        <w:rPr>
          <w:rFonts w:hint="eastAsia" w:ascii="仿宋" w:hAnsi="仿宋" w:eastAsia="仿宋"/>
          <w:color w:val="auto"/>
          <w:kern w:val="2"/>
          <w:sz w:val="32"/>
          <w:lang w:val="en-US"/>
        </w:rPr>
        <w:t>图3：支出决算结构图（</w:t>
      </w:r>
      <w:r>
        <w:rPr>
          <w:rFonts w:hint="eastAsia" w:ascii="仿宋" w:hAnsi="仿宋" w:eastAsia="仿宋"/>
          <w:color w:val="auto"/>
          <w:kern w:val="2"/>
          <w:sz w:val="32"/>
          <w:lang w:val="en-US" w:eastAsia="zh-CN"/>
        </w:rPr>
        <w:t>单位：万元</w:t>
      </w:r>
      <w:r>
        <w:rPr>
          <w:rFonts w:hint="eastAsia" w:ascii="仿宋" w:hAnsi="仿宋" w:eastAsia="仿宋"/>
          <w:color w:val="auto"/>
          <w:kern w:val="2"/>
          <w:sz w:val="32"/>
          <w:lang w:val="en-US"/>
        </w:rPr>
        <w:t>）</w:t>
      </w:r>
    </w:p>
    <w:p>
      <w:pPr>
        <w:pStyle w:val="5"/>
        <w:keepNext/>
        <w:keepLines/>
        <w:spacing w:before="260" w:beforeLines="0" w:after="260" w:afterLines="0" w:line="576" w:lineRule="exact"/>
        <w:ind w:firstLine="640"/>
        <w:jc w:val="both"/>
        <w:rPr>
          <w:rFonts w:hint="eastAsia" w:ascii="黑体" w:hAnsi="黑体" w:eastAsia="黑体"/>
          <w:color w:val="000000"/>
          <w:kern w:val="2"/>
          <w:sz w:val="32"/>
          <w:szCs w:val="22"/>
          <w:lang w:val="zh-CN"/>
        </w:rPr>
      </w:pPr>
      <w:bookmarkStart w:id="35" w:name="_Toc4912_WPSOffice_Level2"/>
      <w:r>
        <w:rPr>
          <w:rFonts w:hint="eastAsia" w:ascii="黑体" w:hAnsi="黑体" w:eastAsia="黑体"/>
          <w:color w:val="000000"/>
          <w:kern w:val="2"/>
          <w:sz w:val="32"/>
          <w:szCs w:val="22"/>
          <w:lang w:val="zh-CN"/>
        </w:rPr>
        <w:t>四、财政拨款收入支出决算总体情况说明</w:t>
      </w:r>
      <w:bookmarkEnd w:id="35"/>
    </w:p>
    <w:p>
      <w:pPr>
        <w:spacing w:beforeLines="0" w:afterLines="0" w:line="576" w:lineRule="exact"/>
        <w:ind w:firstLine="640"/>
        <w:jc w:val="both"/>
        <w:rPr>
          <w:rFonts w:hint="eastAsia" w:ascii="仿宋_GB2312" w:hAnsi="仿宋_GB2312" w:eastAsia="仿宋_GB2312"/>
          <w:color w:val="000000"/>
          <w:kern w:val="2"/>
          <w:sz w:val="32"/>
          <w:lang w:val="zh-CN"/>
        </w:rPr>
      </w:pPr>
      <w:r>
        <w:rPr>
          <w:rFonts w:hint="eastAsia" w:ascii="仿宋_GB2312" w:hAnsi="仿宋_GB2312" w:eastAsia="仿宋_GB2312"/>
          <w:color w:val="000000"/>
          <w:kern w:val="2"/>
          <w:sz w:val="32"/>
          <w:lang w:val="zh-CN"/>
        </w:rPr>
        <w:t>2022年财政拨款收、支总计4,347.83万元。与2021年相比，财政拨款收、支总计各减少887.29万元，下降16.9%。主要变动原因是上级专项资金项目减少。</w:t>
      </w:r>
    </w:p>
    <w:p>
      <w:pPr>
        <w:spacing w:beforeLines="0" w:afterLines="0" w:line="600" w:lineRule="exact"/>
        <w:ind w:firstLine="640"/>
        <w:jc w:val="both"/>
        <w:rPr>
          <w:rFonts w:hint="eastAsia" w:ascii="仿宋" w:hAnsi="仿宋" w:eastAsia="仿宋"/>
          <w:color w:val="auto"/>
          <w:kern w:val="2"/>
          <w:sz w:val="32"/>
          <w:lang w:val="en-US"/>
        </w:rPr>
      </w:pPr>
    </w:p>
    <w:p>
      <w:pPr>
        <w:pStyle w:val="2"/>
        <w:rPr>
          <w:rFonts w:hint="eastAsia" w:eastAsia="仿宋"/>
          <w:lang w:val="en-US" w:eastAsia="zh-CN"/>
        </w:rPr>
      </w:pPr>
      <w:r>
        <w:rPr>
          <w:rFonts w:hint="eastAsia" w:eastAsia="仿宋"/>
          <w:lang w:val="en-US" w:eastAsia="zh-CN"/>
        </w:rPr>
        <w:drawing>
          <wp:inline distT="0" distB="0" distL="114300" distR="114300">
            <wp:extent cx="5334000" cy="3822700"/>
            <wp:effectExtent l="4445" t="4445" r="8255" b="825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jc w:val="center"/>
        <w:rPr>
          <w:rFonts w:hint="eastAsia" w:eastAsia="仿宋"/>
          <w:lang w:val="en-US" w:eastAsia="zh-CN"/>
        </w:rPr>
      </w:pPr>
      <w:r>
        <w:rPr>
          <w:rFonts w:hint="eastAsia" w:ascii="仿宋" w:hAnsi="仿宋" w:eastAsia="仿宋"/>
          <w:color w:val="auto"/>
          <w:kern w:val="2"/>
          <w:sz w:val="32"/>
          <w:lang w:val="en-US"/>
        </w:rPr>
        <w:t>图4：财政拨款收、支决算总计变动情况（</w:t>
      </w:r>
      <w:r>
        <w:rPr>
          <w:rFonts w:hint="eastAsia" w:ascii="仿宋" w:hAnsi="仿宋" w:eastAsia="仿宋"/>
          <w:color w:val="auto"/>
          <w:kern w:val="2"/>
          <w:sz w:val="32"/>
          <w:lang w:val="en-US" w:eastAsia="zh-CN"/>
        </w:rPr>
        <w:t>单位：万元</w:t>
      </w:r>
      <w:r>
        <w:rPr>
          <w:rFonts w:hint="eastAsia" w:ascii="仿宋" w:hAnsi="仿宋" w:eastAsia="仿宋"/>
          <w:color w:val="auto"/>
          <w:kern w:val="2"/>
          <w:sz w:val="32"/>
          <w:lang w:val="en-US"/>
        </w:rPr>
        <w:t>）</w:t>
      </w:r>
    </w:p>
    <w:p>
      <w:pPr>
        <w:pStyle w:val="5"/>
        <w:keepNext/>
        <w:keepLines/>
        <w:spacing w:before="260" w:beforeLines="0" w:after="260" w:afterLines="0" w:line="576" w:lineRule="exact"/>
        <w:ind w:firstLine="640"/>
        <w:jc w:val="both"/>
        <w:rPr>
          <w:rFonts w:hint="eastAsia" w:ascii="黑体" w:hAnsi="黑体" w:eastAsia="黑体"/>
          <w:color w:val="000000"/>
          <w:kern w:val="2"/>
          <w:sz w:val="32"/>
          <w:szCs w:val="22"/>
          <w:lang w:val="zh-CN"/>
        </w:rPr>
      </w:pPr>
      <w:bookmarkStart w:id="36" w:name="_Toc2322_WPSOffice_Level2"/>
      <w:r>
        <w:rPr>
          <w:rFonts w:hint="eastAsia" w:ascii="黑体" w:hAnsi="黑体" w:eastAsia="黑体"/>
          <w:color w:val="000000"/>
          <w:kern w:val="2"/>
          <w:sz w:val="32"/>
          <w:szCs w:val="22"/>
          <w:lang w:val="zh-CN"/>
        </w:rPr>
        <w:t>五、一般公共预算财政拨款支出决算情况说明</w:t>
      </w:r>
      <w:bookmarkEnd w:id="36"/>
    </w:p>
    <w:p>
      <w:pPr>
        <w:keepNext/>
        <w:keepLines/>
        <w:spacing w:beforeLines="0" w:afterLines="0" w:line="576" w:lineRule="exact"/>
        <w:ind w:firstLine="643"/>
        <w:jc w:val="both"/>
        <w:rPr>
          <w:rFonts w:hint="eastAsia" w:ascii="仿宋_GB2312" w:hAnsi="仿宋_GB2312" w:eastAsia="仿宋_GB2312"/>
          <w:b/>
          <w:color w:val="000000"/>
          <w:kern w:val="2"/>
          <w:sz w:val="32"/>
          <w:lang w:val="zh-CN"/>
        </w:rPr>
      </w:pPr>
      <w:r>
        <w:rPr>
          <w:rFonts w:hint="eastAsia" w:ascii="仿宋_GB2312" w:hAnsi="仿宋_GB2312" w:eastAsia="仿宋_GB2312"/>
          <w:b/>
          <w:color w:val="000000"/>
          <w:kern w:val="2"/>
          <w:sz w:val="32"/>
          <w:lang w:val="zh-CN"/>
        </w:rPr>
        <w:t>（一）一般公共预算财政拨款支出决算总体情况。</w:t>
      </w:r>
    </w:p>
    <w:p>
      <w:pPr>
        <w:keepNext/>
        <w:keepLines/>
        <w:spacing w:beforeLines="0" w:afterLines="0" w:line="576" w:lineRule="exact"/>
        <w:ind w:firstLine="640"/>
        <w:jc w:val="both"/>
        <w:rPr>
          <w:rFonts w:hint="eastAsia" w:ascii="仿宋_GB2312" w:hAnsi="仿宋_GB2312" w:eastAsia="仿宋_GB2312"/>
          <w:color w:val="auto"/>
          <w:kern w:val="2"/>
          <w:sz w:val="32"/>
          <w:lang w:val="zh-CN"/>
        </w:rPr>
      </w:pPr>
      <w:r>
        <w:rPr>
          <w:rFonts w:hint="eastAsia" w:ascii="仿宋_GB2312" w:hAnsi="仿宋_GB2312" w:eastAsia="仿宋_GB2312"/>
          <w:color w:val="000000"/>
          <w:kern w:val="2"/>
          <w:sz w:val="32"/>
          <w:lang w:val="zh-CN"/>
        </w:rPr>
        <w:t>2022年一般公共预算财政拨款支出3,444.73万元，占本年支出合计的60%。与2021年相比，一般公共预算财政拨款支出减少1,783.82万元，下降34.1%。</w:t>
      </w:r>
      <w:r>
        <w:rPr>
          <w:rFonts w:hint="eastAsia" w:ascii="仿宋_GB2312" w:hAnsi="仿宋_GB2312" w:eastAsia="仿宋_GB2312"/>
          <w:color w:val="auto"/>
          <w:kern w:val="2"/>
          <w:sz w:val="32"/>
          <w:lang w:val="zh-CN"/>
        </w:rPr>
        <w:t>主要变动原因是上级专项资金项目减少。</w:t>
      </w:r>
    </w:p>
    <w:p>
      <w:pPr>
        <w:pStyle w:val="2"/>
        <w:rPr>
          <w:rFonts w:hint="eastAsia" w:eastAsia="仿宋"/>
          <w:lang w:val="en-US" w:eastAsia="zh-CN"/>
        </w:rPr>
      </w:pPr>
      <w:r>
        <w:rPr>
          <w:rFonts w:hint="eastAsia" w:eastAsia="仿宋"/>
          <w:lang w:val="en-US" w:eastAsia="zh-CN"/>
        </w:rPr>
        <w:drawing>
          <wp:inline distT="0" distB="0" distL="114300" distR="114300">
            <wp:extent cx="5339715" cy="3835400"/>
            <wp:effectExtent l="4445" t="4445" r="15240" b="825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beforeLines="0" w:afterLines="0" w:line="600" w:lineRule="exact"/>
        <w:ind w:firstLine="640"/>
        <w:jc w:val="center"/>
        <w:rPr>
          <w:rFonts w:hint="eastAsia" w:ascii="仿宋_GB2312" w:hAnsi="仿宋_GB2312" w:eastAsia="仿宋_GB2312"/>
          <w:b/>
          <w:color w:val="000000"/>
          <w:kern w:val="2"/>
          <w:sz w:val="32"/>
          <w:lang w:val="zh-CN"/>
        </w:rPr>
      </w:pPr>
      <w:r>
        <w:rPr>
          <w:rFonts w:hint="eastAsia" w:ascii="仿宋" w:hAnsi="仿宋" w:eastAsia="仿宋"/>
          <w:color w:val="auto"/>
          <w:kern w:val="2"/>
          <w:sz w:val="30"/>
          <w:szCs w:val="30"/>
          <w:lang w:val="en-US"/>
        </w:rPr>
        <w:t>图5：一般公共预算财政拨款支出决算变动情况（</w:t>
      </w:r>
      <w:r>
        <w:rPr>
          <w:rFonts w:hint="eastAsia" w:ascii="仿宋" w:hAnsi="仿宋" w:eastAsia="仿宋"/>
          <w:color w:val="auto"/>
          <w:kern w:val="2"/>
          <w:sz w:val="30"/>
          <w:szCs w:val="30"/>
          <w:lang w:val="en-US" w:eastAsia="zh-CN"/>
        </w:rPr>
        <w:t>单位：万元</w:t>
      </w:r>
      <w:r>
        <w:rPr>
          <w:rFonts w:hint="eastAsia" w:ascii="仿宋" w:hAnsi="仿宋" w:eastAsia="仿宋"/>
          <w:color w:val="auto"/>
          <w:kern w:val="2"/>
          <w:sz w:val="30"/>
          <w:szCs w:val="30"/>
          <w:lang w:val="en-US"/>
        </w:rPr>
        <w:t>）</w:t>
      </w:r>
      <w:r>
        <w:rPr>
          <w:rFonts w:hint="eastAsia" w:ascii="仿宋_GB2312" w:hAnsi="仿宋_GB2312" w:eastAsia="仿宋_GB2312"/>
          <w:b/>
          <w:color w:val="000000"/>
          <w:kern w:val="2"/>
          <w:sz w:val="32"/>
          <w:lang w:val="zh-CN"/>
        </w:rPr>
        <w:t>（二）一般公共预算财政拨款支出决算结构情况。</w:t>
      </w:r>
    </w:p>
    <w:p>
      <w:pPr>
        <w:spacing w:beforeLines="0" w:afterLines="0" w:line="600" w:lineRule="exact"/>
        <w:ind w:firstLine="640"/>
        <w:jc w:val="both"/>
        <w:rPr>
          <w:rFonts w:hint="eastAsia" w:ascii="仿宋_GB2312" w:hAnsi="仿宋_GB2312" w:eastAsia="仿宋_GB2312"/>
          <w:color w:val="000000"/>
          <w:kern w:val="2"/>
          <w:sz w:val="32"/>
          <w:lang w:val="zh-CN"/>
        </w:rPr>
      </w:pPr>
      <w:r>
        <w:rPr>
          <w:rFonts w:hint="eastAsia" w:ascii="仿宋_GB2312" w:hAnsi="仿宋_GB2312" w:eastAsia="仿宋_GB2312"/>
          <w:color w:val="000000"/>
          <w:kern w:val="2"/>
          <w:sz w:val="32"/>
          <w:lang w:val="zh-CN"/>
        </w:rPr>
        <w:t>2022年一般公共预算财政拨款支出3,444.73万元，主要用于以下方面: 一般公共服务支出2万元，占0.1%；社会保障和就业支出324.88万元，占9.4%；卫生健康支出38.04万元，占1.1%；节能环保支出72万元，占2.1%；农林水支出326.28万元，占9.5%；交通运输支出2,563.48万元，占74.4%；住房保障支出118.0万元，占3.4%。</w:t>
      </w:r>
    </w:p>
    <w:p>
      <w:pPr>
        <w:pStyle w:val="2"/>
        <w:rPr>
          <w:rFonts w:hint="eastAsia" w:eastAsia="仿宋"/>
          <w:lang w:val="en-US" w:eastAsia="zh-CN"/>
        </w:rPr>
      </w:pPr>
      <w:r>
        <w:rPr>
          <w:rFonts w:hint="eastAsia" w:eastAsia="仿宋"/>
          <w:lang w:val="en-US" w:eastAsia="zh-CN"/>
        </w:rPr>
        <w:drawing>
          <wp:inline distT="0" distB="0" distL="114300" distR="114300">
            <wp:extent cx="5337175" cy="3818890"/>
            <wp:effectExtent l="4445" t="4445" r="11430" b="571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beforeLines="0" w:afterLines="0" w:line="600" w:lineRule="exact"/>
        <w:jc w:val="center"/>
        <w:rPr>
          <w:rFonts w:hint="eastAsia" w:ascii="仿宋" w:hAnsi="仿宋" w:eastAsia="仿宋"/>
          <w:color w:val="auto"/>
          <w:kern w:val="2"/>
          <w:sz w:val="32"/>
          <w:lang w:val="en-US"/>
        </w:rPr>
      </w:pPr>
      <w:r>
        <w:rPr>
          <w:rFonts w:hint="eastAsia" w:ascii="仿宋" w:hAnsi="仿宋" w:eastAsia="仿宋"/>
          <w:color w:val="auto"/>
          <w:kern w:val="2"/>
          <w:sz w:val="32"/>
          <w:lang w:val="en-US"/>
        </w:rPr>
        <w:t>图6：一般公共预算财政拨款支出决算结构（</w:t>
      </w:r>
      <w:r>
        <w:rPr>
          <w:rFonts w:hint="eastAsia" w:ascii="仿宋" w:hAnsi="仿宋" w:eastAsia="仿宋"/>
          <w:color w:val="auto"/>
          <w:kern w:val="2"/>
          <w:sz w:val="32"/>
          <w:lang w:val="en-US" w:eastAsia="zh-CN"/>
        </w:rPr>
        <w:t>单位：万元</w:t>
      </w:r>
      <w:r>
        <w:rPr>
          <w:rFonts w:hint="eastAsia" w:ascii="仿宋" w:hAnsi="仿宋" w:eastAsia="仿宋"/>
          <w:color w:val="auto"/>
          <w:kern w:val="2"/>
          <w:sz w:val="32"/>
          <w:lang w:val="en-US"/>
        </w:rPr>
        <w:t>）</w:t>
      </w:r>
    </w:p>
    <w:p>
      <w:pPr>
        <w:numPr>
          <w:ilvl w:val="0"/>
          <w:numId w:val="0"/>
        </w:numPr>
        <w:spacing w:beforeLines="0" w:afterLines="0" w:line="600" w:lineRule="exact"/>
        <w:ind w:firstLine="643" w:firstLineChars="200"/>
        <w:jc w:val="both"/>
        <w:rPr>
          <w:rFonts w:hint="eastAsia" w:ascii="仿宋_GB2312" w:hAnsi="仿宋_GB2312" w:eastAsia="仿宋_GB2312"/>
          <w:b/>
          <w:color w:val="000000"/>
          <w:kern w:val="2"/>
          <w:sz w:val="32"/>
          <w:lang w:val="zh-CN"/>
        </w:rPr>
      </w:pPr>
      <w:r>
        <w:rPr>
          <w:rFonts w:hint="eastAsia" w:ascii="仿宋_GB2312" w:hAnsi="仿宋_GB2312" w:eastAsia="仿宋_GB2312"/>
          <w:b/>
          <w:color w:val="000000"/>
          <w:kern w:val="2"/>
          <w:sz w:val="32"/>
          <w:lang w:val="zh-CN"/>
        </w:rPr>
        <w:t>（三）一般公共预算财政拨款支出决算具体情况。</w:t>
      </w:r>
    </w:p>
    <w:p>
      <w:pPr>
        <w:numPr>
          <w:ilvl w:val="0"/>
          <w:numId w:val="0"/>
        </w:numPr>
        <w:spacing w:beforeLines="0" w:afterLines="0" w:line="600" w:lineRule="exact"/>
        <w:ind w:firstLine="643" w:firstLineChars="200"/>
        <w:jc w:val="both"/>
        <w:rPr>
          <w:rFonts w:hint="eastAsia" w:ascii="仿宋_GB2312" w:hAnsi="仿宋_GB2312" w:eastAsia="仿宋_GB2312"/>
          <w:b/>
          <w:color w:val="000000"/>
          <w:kern w:val="2"/>
          <w:sz w:val="32"/>
          <w:lang w:val="zh-CN"/>
        </w:rPr>
      </w:pPr>
      <w:r>
        <w:rPr>
          <w:rFonts w:hint="eastAsia" w:ascii="仿宋_GB2312" w:hAnsi="仿宋_GB2312" w:eastAsia="仿宋_GB2312"/>
          <w:b/>
          <w:color w:val="000000"/>
          <w:kern w:val="2"/>
          <w:sz w:val="32"/>
          <w:lang w:val="zh-CN"/>
        </w:rPr>
        <w:t>2022年一般公共预算支出决算数为3,444.73万元</w:t>
      </w:r>
      <w:r>
        <w:rPr>
          <w:rFonts w:hint="eastAsia" w:ascii="仿宋_GB2312" w:hAnsi="仿宋_GB2312" w:eastAsia="仿宋_GB2312"/>
          <w:color w:val="000000"/>
          <w:kern w:val="2"/>
          <w:sz w:val="32"/>
          <w:lang w:val="zh-CN"/>
        </w:rPr>
        <w:t>，</w:t>
      </w:r>
      <w:r>
        <w:rPr>
          <w:rFonts w:hint="eastAsia" w:ascii="仿宋_GB2312" w:hAnsi="仿宋_GB2312" w:eastAsia="仿宋_GB2312"/>
          <w:b/>
          <w:color w:val="000000"/>
          <w:kern w:val="2"/>
          <w:sz w:val="32"/>
          <w:lang w:val="zh-CN"/>
        </w:rPr>
        <w:t>完成预算99.8%。其中：</w:t>
      </w:r>
    </w:p>
    <w:p>
      <w:pPr>
        <w:numPr>
          <w:ilvl w:val="0"/>
          <w:numId w:val="0"/>
        </w:numPr>
        <w:spacing w:beforeLines="0" w:afterLines="0" w:line="600" w:lineRule="exact"/>
        <w:ind w:firstLine="643" w:firstLineChars="200"/>
        <w:jc w:val="both"/>
        <w:rPr>
          <w:rFonts w:hint="eastAsia" w:ascii="仿宋_GB2312" w:hAnsi="仿宋_GB2312" w:eastAsia="仿宋_GB2312"/>
          <w:b/>
          <w:color w:val="000000"/>
          <w:kern w:val="2"/>
          <w:sz w:val="32"/>
          <w:lang w:val="en-US"/>
        </w:rPr>
      </w:pPr>
      <w:r>
        <w:rPr>
          <w:rFonts w:hint="eastAsia" w:ascii="仿宋_GB2312" w:hAnsi="仿宋_GB2312" w:eastAsia="仿宋_GB2312"/>
          <w:b/>
          <w:color w:val="000000"/>
          <w:kern w:val="2"/>
          <w:sz w:val="32"/>
          <w:lang w:val="en-US" w:eastAsia="zh-CN"/>
        </w:rPr>
        <w:t>1.</w:t>
      </w:r>
      <w:r>
        <w:rPr>
          <w:rFonts w:hint="eastAsia" w:ascii="仿宋_GB2312" w:hAnsi="仿宋_GB2312" w:eastAsia="仿宋_GB2312"/>
          <w:b/>
          <w:color w:val="000000"/>
          <w:kern w:val="2"/>
          <w:sz w:val="32"/>
          <w:lang w:val="en-US"/>
        </w:rPr>
        <w:t>一般公共服务支出（类）</w:t>
      </w:r>
      <w:r>
        <w:rPr>
          <w:rFonts w:hint="eastAsia" w:ascii="仿宋_GB2312" w:hAnsi="仿宋_GB2312" w:eastAsia="仿宋_GB2312"/>
          <w:b/>
          <w:color w:val="000000"/>
          <w:kern w:val="2"/>
          <w:sz w:val="32"/>
          <w:lang w:val="en-US" w:eastAsia="zh-CN"/>
        </w:rPr>
        <w:t>其他一般公共服务支出</w:t>
      </w:r>
      <w:r>
        <w:rPr>
          <w:rFonts w:hint="eastAsia" w:ascii="仿宋_GB2312" w:hAnsi="仿宋_GB2312" w:eastAsia="仿宋_GB2312"/>
          <w:b/>
          <w:color w:val="000000"/>
          <w:kern w:val="2"/>
          <w:sz w:val="32"/>
          <w:lang w:val="en-US"/>
        </w:rPr>
        <w:t>（款）</w:t>
      </w:r>
      <w:r>
        <w:rPr>
          <w:rFonts w:hint="eastAsia" w:ascii="仿宋_GB2312" w:hAnsi="仿宋_GB2312" w:eastAsia="仿宋_GB2312"/>
          <w:b/>
          <w:color w:val="000000"/>
          <w:kern w:val="2"/>
          <w:sz w:val="32"/>
          <w:lang w:val="en-US" w:eastAsia="zh-CN"/>
        </w:rPr>
        <w:t>其他一般公共服务支出</w:t>
      </w:r>
      <w:r>
        <w:rPr>
          <w:rFonts w:hint="eastAsia" w:ascii="仿宋_GB2312" w:hAnsi="仿宋_GB2312" w:eastAsia="仿宋_GB2312"/>
          <w:b/>
          <w:color w:val="000000"/>
          <w:kern w:val="2"/>
          <w:sz w:val="32"/>
          <w:lang w:val="en-US"/>
        </w:rPr>
        <w:t>（项）:</w:t>
      </w:r>
      <w:r>
        <w:rPr>
          <w:rFonts w:hint="eastAsia" w:ascii="仿宋_GB2312" w:hAnsi="仿宋_GB2312" w:eastAsia="仿宋_GB2312"/>
          <w:color w:val="000000"/>
          <w:kern w:val="2"/>
          <w:sz w:val="32"/>
          <w:lang w:val="en-US"/>
        </w:rPr>
        <w:t xml:space="preserve"> </w:t>
      </w:r>
      <w:r>
        <w:rPr>
          <w:rFonts w:hint="eastAsia" w:ascii="仿宋" w:hAnsi="仿宋" w:eastAsia="仿宋"/>
          <w:color w:val="auto"/>
          <w:kern w:val="2"/>
          <w:sz w:val="32"/>
          <w:lang w:val="en-US"/>
        </w:rPr>
        <w:t>支出决算为</w:t>
      </w:r>
      <w:r>
        <w:rPr>
          <w:rFonts w:hint="eastAsia" w:ascii="仿宋" w:hAnsi="仿宋" w:eastAsia="仿宋"/>
          <w:color w:val="auto"/>
          <w:kern w:val="2"/>
          <w:sz w:val="32"/>
          <w:lang w:val="en-US" w:eastAsia="zh-CN"/>
        </w:rPr>
        <w:t>2.00</w:t>
      </w:r>
      <w:r>
        <w:rPr>
          <w:rFonts w:hint="eastAsia" w:ascii="仿宋" w:hAnsi="仿宋" w:eastAsia="仿宋"/>
          <w:color w:val="auto"/>
          <w:kern w:val="2"/>
          <w:sz w:val="32"/>
          <w:lang w:val="en-US"/>
        </w:rPr>
        <w:t>万元，完成预算</w:t>
      </w:r>
      <w:r>
        <w:rPr>
          <w:rFonts w:hint="eastAsia" w:ascii="仿宋" w:hAnsi="仿宋" w:eastAsia="仿宋"/>
          <w:color w:val="auto"/>
          <w:kern w:val="2"/>
          <w:sz w:val="32"/>
          <w:lang w:val="en-US" w:eastAsia="zh-CN"/>
        </w:rPr>
        <w:t>100</w:t>
      </w:r>
      <w:r>
        <w:rPr>
          <w:rFonts w:hint="eastAsia" w:ascii="仿宋" w:hAnsi="仿宋" w:eastAsia="仿宋"/>
          <w:color w:val="auto"/>
          <w:kern w:val="2"/>
          <w:sz w:val="32"/>
          <w:lang w:val="en-US"/>
        </w:rPr>
        <w:t>%。</w:t>
      </w:r>
    </w:p>
    <w:p>
      <w:pPr>
        <w:keepNext/>
        <w:keepLines/>
        <w:spacing w:beforeLines="0" w:afterLines="0" w:line="576" w:lineRule="exact"/>
        <w:ind w:firstLine="643"/>
        <w:jc w:val="both"/>
        <w:rPr>
          <w:rFonts w:hint="eastAsia" w:ascii="仿宋" w:hAnsi="仿宋" w:eastAsia="仿宋"/>
          <w:color w:val="auto"/>
          <w:kern w:val="2"/>
          <w:sz w:val="32"/>
          <w:lang w:val="en-US"/>
        </w:rPr>
      </w:pPr>
      <w:r>
        <w:rPr>
          <w:rFonts w:hint="eastAsia" w:ascii="仿宋_GB2312" w:hAnsi="仿宋_GB2312" w:eastAsia="仿宋_GB2312"/>
          <w:b/>
          <w:color w:val="000000"/>
          <w:kern w:val="2"/>
          <w:sz w:val="32"/>
          <w:lang w:val="en-US" w:eastAsia="zh-CN"/>
        </w:rPr>
        <w:t>2</w:t>
      </w:r>
      <w:r>
        <w:rPr>
          <w:rFonts w:hint="eastAsia" w:ascii="仿宋_GB2312" w:hAnsi="仿宋_GB2312" w:eastAsia="仿宋_GB2312"/>
          <w:b/>
          <w:color w:val="000000"/>
          <w:kern w:val="2"/>
          <w:sz w:val="32"/>
          <w:lang w:val="en-US"/>
        </w:rPr>
        <w:t>.社会保障和就业支出（类）</w:t>
      </w:r>
      <w:r>
        <w:rPr>
          <w:rFonts w:hint="eastAsia" w:ascii="仿宋_GB2312" w:hAnsi="仿宋_GB2312" w:eastAsia="仿宋_GB2312"/>
          <w:b/>
          <w:color w:val="000000"/>
          <w:kern w:val="2"/>
          <w:sz w:val="32"/>
          <w:lang w:val="en-US" w:eastAsia="zh-CN"/>
        </w:rPr>
        <w:t>行政事业单位养老支出</w:t>
      </w:r>
      <w:r>
        <w:rPr>
          <w:rFonts w:hint="eastAsia" w:ascii="仿宋_GB2312" w:hAnsi="仿宋_GB2312" w:eastAsia="仿宋_GB2312"/>
          <w:b/>
          <w:color w:val="000000"/>
          <w:kern w:val="2"/>
          <w:sz w:val="32"/>
          <w:lang w:val="en-US"/>
        </w:rPr>
        <w:t>（款）  机关事业单位基本养老保险缴费支出（项）:</w:t>
      </w:r>
      <w:r>
        <w:rPr>
          <w:rFonts w:hint="eastAsia" w:ascii="仿宋" w:hAnsi="仿宋" w:eastAsia="仿宋"/>
          <w:color w:val="auto"/>
          <w:kern w:val="2"/>
          <w:sz w:val="32"/>
          <w:lang w:val="en-US"/>
        </w:rPr>
        <w:t>支出决算为</w:t>
      </w:r>
      <w:r>
        <w:rPr>
          <w:rFonts w:hint="eastAsia" w:ascii="仿宋" w:hAnsi="仿宋" w:eastAsia="仿宋"/>
          <w:color w:val="auto"/>
          <w:kern w:val="2"/>
          <w:sz w:val="32"/>
          <w:lang w:val="en-US" w:eastAsia="zh-CN"/>
        </w:rPr>
        <w:t>97.50</w:t>
      </w:r>
      <w:r>
        <w:rPr>
          <w:rFonts w:hint="eastAsia" w:ascii="仿宋" w:hAnsi="仿宋" w:eastAsia="仿宋"/>
          <w:color w:val="auto"/>
          <w:kern w:val="2"/>
          <w:sz w:val="32"/>
          <w:lang w:val="en-US"/>
        </w:rPr>
        <w:t>万元，完成预算</w:t>
      </w:r>
      <w:r>
        <w:rPr>
          <w:rFonts w:hint="eastAsia" w:ascii="仿宋" w:hAnsi="仿宋" w:eastAsia="仿宋"/>
          <w:color w:val="auto"/>
          <w:kern w:val="2"/>
          <w:sz w:val="32"/>
          <w:lang w:val="en-US" w:eastAsia="zh-CN"/>
        </w:rPr>
        <w:t>100</w:t>
      </w:r>
      <w:r>
        <w:rPr>
          <w:rFonts w:hint="eastAsia" w:ascii="仿宋" w:hAnsi="仿宋" w:eastAsia="仿宋"/>
          <w:color w:val="auto"/>
          <w:kern w:val="2"/>
          <w:sz w:val="32"/>
          <w:lang w:val="en-US"/>
        </w:rPr>
        <w:t>%。</w:t>
      </w:r>
    </w:p>
    <w:p>
      <w:pPr>
        <w:keepNext/>
        <w:keepLines/>
        <w:spacing w:beforeLines="0" w:afterLines="0" w:line="576" w:lineRule="exact"/>
        <w:ind w:firstLine="643"/>
        <w:jc w:val="both"/>
        <w:rPr>
          <w:rFonts w:hint="eastAsia" w:ascii="仿宋" w:hAnsi="仿宋" w:eastAsia="仿宋"/>
          <w:color w:val="auto"/>
          <w:kern w:val="2"/>
          <w:sz w:val="32"/>
          <w:lang w:val="en-US"/>
        </w:rPr>
      </w:pPr>
      <w:r>
        <w:rPr>
          <w:rFonts w:hint="eastAsia" w:ascii="仿宋_GB2312" w:hAnsi="仿宋_GB2312" w:eastAsia="仿宋_GB2312"/>
          <w:b/>
          <w:color w:val="000000"/>
          <w:kern w:val="2"/>
          <w:sz w:val="32"/>
          <w:lang w:val="en-US" w:eastAsia="zh-CN"/>
        </w:rPr>
        <w:t>3.</w:t>
      </w:r>
      <w:r>
        <w:rPr>
          <w:rFonts w:hint="eastAsia" w:ascii="仿宋_GB2312" w:hAnsi="仿宋_GB2312" w:eastAsia="仿宋_GB2312"/>
          <w:b/>
          <w:color w:val="000000"/>
          <w:kern w:val="2"/>
          <w:sz w:val="32"/>
          <w:lang w:val="en-US"/>
        </w:rPr>
        <w:t>社会保障和就业支出（类）</w:t>
      </w:r>
      <w:r>
        <w:rPr>
          <w:rFonts w:hint="eastAsia" w:ascii="仿宋_GB2312" w:hAnsi="仿宋_GB2312" w:eastAsia="仿宋_GB2312"/>
          <w:b/>
          <w:color w:val="000000"/>
          <w:kern w:val="2"/>
          <w:sz w:val="32"/>
          <w:lang w:val="en-US" w:eastAsia="zh-CN"/>
        </w:rPr>
        <w:t>行政事业单位养老支出</w:t>
      </w:r>
      <w:r>
        <w:rPr>
          <w:rFonts w:hint="eastAsia" w:ascii="仿宋_GB2312" w:hAnsi="仿宋_GB2312" w:eastAsia="仿宋_GB2312"/>
          <w:b/>
          <w:color w:val="000000"/>
          <w:kern w:val="2"/>
          <w:sz w:val="32"/>
          <w:lang w:val="en-US"/>
        </w:rPr>
        <w:t>（款）    机关事业单位职业年金缴费支出（项）:</w:t>
      </w:r>
      <w:r>
        <w:rPr>
          <w:rFonts w:hint="eastAsia" w:ascii="仿宋" w:hAnsi="仿宋" w:eastAsia="仿宋"/>
          <w:color w:val="auto"/>
          <w:kern w:val="2"/>
          <w:sz w:val="32"/>
          <w:lang w:val="en-US"/>
        </w:rPr>
        <w:t>支出决算为</w:t>
      </w:r>
      <w:r>
        <w:rPr>
          <w:rFonts w:hint="eastAsia" w:ascii="仿宋" w:hAnsi="仿宋" w:eastAsia="仿宋"/>
          <w:color w:val="auto"/>
          <w:kern w:val="2"/>
          <w:sz w:val="32"/>
          <w:lang w:val="en-US" w:eastAsia="zh-CN"/>
        </w:rPr>
        <w:t>48.40</w:t>
      </w:r>
      <w:r>
        <w:rPr>
          <w:rFonts w:hint="eastAsia" w:ascii="仿宋" w:hAnsi="仿宋" w:eastAsia="仿宋"/>
          <w:color w:val="auto"/>
          <w:kern w:val="2"/>
          <w:sz w:val="32"/>
          <w:lang w:val="en-US"/>
        </w:rPr>
        <w:t>万元，完成预算</w:t>
      </w:r>
      <w:r>
        <w:rPr>
          <w:rFonts w:hint="eastAsia" w:ascii="仿宋" w:hAnsi="仿宋" w:eastAsia="仿宋"/>
          <w:color w:val="auto"/>
          <w:kern w:val="2"/>
          <w:sz w:val="32"/>
          <w:lang w:val="en-US" w:eastAsia="zh-CN"/>
        </w:rPr>
        <w:t>100</w:t>
      </w:r>
      <w:r>
        <w:rPr>
          <w:rFonts w:hint="eastAsia" w:ascii="仿宋" w:hAnsi="仿宋" w:eastAsia="仿宋"/>
          <w:color w:val="auto"/>
          <w:kern w:val="2"/>
          <w:sz w:val="32"/>
          <w:lang w:val="en-US"/>
        </w:rPr>
        <w:t>%。</w:t>
      </w:r>
    </w:p>
    <w:p>
      <w:pPr>
        <w:pStyle w:val="2"/>
        <w:ind w:firstLine="643" w:firstLineChars="200"/>
        <w:rPr>
          <w:rFonts w:hint="eastAsia" w:ascii="仿宋" w:hAnsi="仿宋" w:eastAsia="仿宋"/>
          <w:color w:val="auto"/>
          <w:kern w:val="2"/>
          <w:sz w:val="32"/>
          <w:lang w:val="en-US"/>
        </w:rPr>
      </w:pPr>
      <w:r>
        <w:rPr>
          <w:rFonts w:hint="eastAsia" w:ascii="仿宋_GB2312" w:hAnsi="仿宋_GB2312" w:eastAsia="仿宋_GB2312"/>
          <w:b/>
          <w:color w:val="000000"/>
          <w:kern w:val="2"/>
          <w:sz w:val="32"/>
          <w:lang w:val="en-US" w:eastAsia="zh-CN"/>
        </w:rPr>
        <w:t>4.</w:t>
      </w:r>
      <w:r>
        <w:rPr>
          <w:rFonts w:hint="eastAsia" w:ascii="仿宋_GB2312" w:hAnsi="仿宋_GB2312" w:eastAsia="仿宋_GB2312"/>
          <w:b/>
          <w:color w:val="000000"/>
          <w:kern w:val="2"/>
          <w:sz w:val="32"/>
          <w:lang w:val="en-US"/>
        </w:rPr>
        <w:t>社会保障和就业支出（类）</w:t>
      </w:r>
      <w:r>
        <w:rPr>
          <w:rFonts w:hint="eastAsia" w:ascii="仿宋_GB2312" w:hAnsi="仿宋_GB2312" w:eastAsia="仿宋_GB2312"/>
          <w:b/>
          <w:color w:val="000000"/>
          <w:kern w:val="2"/>
          <w:sz w:val="32"/>
          <w:lang w:val="en-US" w:eastAsia="zh-CN"/>
        </w:rPr>
        <w:t>行政事业单位养老支出</w:t>
      </w:r>
      <w:r>
        <w:rPr>
          <w:rFonts w:hint="eastAsia" w:ascii="仿宋_GB2312" w:hAnsi="仿宋_GB2312" w:eastAsia="仿宋_GB2312"/>
          <w:b/>
          <w:color w:val="000000"/>
          <w:kern w:val="2"/>
          <w:sz w:val="32"/>
          <w:lang w:val="en-US"/>
        </w:rPr>
        <w:t>（款）      其他行政事业单位养老支出（项）:</w:t>
      </w:r>
      <w:r>
        <w:rPr>
          <w:rFonts w:hint="eastAsia" w:ascii="仿宋" w:hAnsi="仿宋" w:eastAsia="仿宋"/>
          <w:color w:val="auto"/>
          <w:kern w:val="2"/>
          <w:sz w:val="32"/>
          <w:lang w:val="en-US"/>
        </w:rPr>
        <w:t>支出决算为</w:t>
      </w:r>
      <w:r>
        <w:rPr>
          <w:rFonts w:hint="eastAsia" w:ascii="仿宋" w:hAnsi="仿宋" w:eastAsia="仿宋"/>
          <w:color w:val="auto"/>
          <w:kern w:val="2"/>
          <w:sz w:val="32"/>
          <w:lang w:val="en-US" w:eastAsia="zh-CN"/>
        </w:rPr>
        <w:t>151.54</w:t>
      </w:r>
      <w:r>
        <w:rPr>
          <w:rFonts w:hint="eastAsia" w:ascii="仿宋" w:hAnsi="仿宋" w:eastAsia="仿宋"/>
          <w:color w:val="auto"/>
          <w:kern w:val="2"/>
          <w:sz w:val="32"/>
          <w:lang w:val="en-US"/>
        </w:rPr>
        <w:t>万元，完成预算</w:t>
      </w:r>
      <w:r>
        <w:rPr>
          <w:rFonts w:hint="eastAsia" w:ascii="仿宋" w:hAnsi="仿宋" w:eastAsia="仿宋"/>
          <w:color w:val="auto"/>
          <w:kern w:val="2"/>
          <w:sz w:val="32"/>
          <w:lang w:val="en-US" w:eastAsia="zh-CN"/>
        </w:rPr>
        <w:t>100</w:t>
      </w:r>
      <w:r>
        <w:rPr>
          <w:rFonts w:hint="eastAsia" w:ascii="仿宋" w:hAnsi="仿宋" w:eastAsia="仿宋"/>
          <w:color w:val="auto"/>
          <w:kern w:val="2"/>
          <w:sz w:val="32"/>
          <w:lang w:val="en-US"/>
        </w:rPr>
        <w:t>%。</w:t>
      </w:r>
    </w:p>
    <w:p>
      <w:pPr>
        <w:pStyle w:val="2"/>
        <w:ind w:firstLine="643" w:firstLineChars="200"/>
        <w:rPr>
          <w:rFonts w:hint="eastAsia" w:ascii="仿宋" w:hAnsi="仿宋" w:eastAsia="仿宋"/>
          <w:color w:val="auto"/>
          <w:kern w:val="2"/>
          <w:sz w:val="32"/>
          <w:lang w:val="en-US"/>
        </w:rPr>
      </w:pPr>
      <w:r>
        <w:rPr>
          <w:rFonts w:hint="eastAsia" w:ascii="仿宋_GB2312" w:hAnsi="仿宋_GB2312" w:eastAsia="仿宋_GB2312"/>
          <w:b/>
          <w:color w:val="000000"/>
          <w:kern w:val="2"/>
          <w:sz w:val="32"/>
          <w:lang w:val="en-US" w:eastAsia="zh-CN"/>
        </w:rPr>
        <w:t>5.</w:t>
      </w:r>
      <w:r>
        <w:rPr>
          <w:rFonts w:hint="eastAsia" w:ascii="仿宋_GB2312" w:hAnsi="仿宋_GB2312" w:eastAsia="仿宋_GB2312"/>
          <w:b/>
          <w:color w:val="000000"/>
          <w:kern w:val="2"/>
          <w:sz w:val="32"/>
          <w:lang w:val="en-US"/>
        </w:rPr>
        <w:t>社会保障和就业支出（类）</w:t>
      </w:r>
      <w:r>
        <w:rPr>
          <w:rFonts w:hint="eastAsia" w:ascii="仿宋_GB2312" w:hAnsi="仿宋_GB2312" w:eastAsia="仿宋_GB2312"/>
          <w:b/>
          <w:color w:val="000000"/>
          <w:kern w:val="2"/>
          <w:sz w:val="32"/>
          <w:lang w:val="en-US" w:eastAsia="zh-CN"/>
        </w:rPr>
        <w:t>抚恤</w:t>
      </w:r>
      <w:r>
        <w:rPr>
          <w:rFonts w:hint="eastAsia" w:ascii="仿宋_GB2312" w:hAnsi="仿宋_GB2312" w:eastAsia="仿宋_GB2312"/>
          <w:b/>
          <w:color w:val="000000"/>
          <w:kern w:val="2"/>
          <w:sz w:val="32"/>
          <w:lang w:val="en-US"/>
        </w:rPr>
        <w:t>（款）死亡抚恤（项）:</w:t>
      </w:r>
      <w:r>
        <w:rPr>
          <w:rFonts w:hint="eastAsia" w:ascii="仿宋" w:hAnsi="仿宋" w:eastAsia="仿宋"/>
          <w:color w:val="auto"/>
          <w:kern w:val="2"/>
          <w:sz w:val="32"/>
          <w:lang w:val="en-US"/>
        </w:rPr>
        <w:t>支出决算为</w:t>
      </w:r>
      <w:r>
        <w:rPr>
          <w:rFonts w:hint="eastAsia" w:ascii="仿宋" w:hAnsi="仿宋" w:eastAsia="仿宋"/>
          <w:color w:val="auto"/>
          <w:kern w:val="2"/>
          <w:sz w:val="32"/>
          <w:lang w:val="en-US" w:eastAsia="zh-CN"/>
        </w:rPr>
        <w:t>24.29</w:t>
      </w:r>
      <w:r>
        <w:rPr>
          <w:rFonts w:hint="eastAsia" w:ascii="仿宋" w:hAnsi="仿宋" w:eastAsia="仿宋"/>
          <w:color w:val="auto"/>
          <w:kern w:val="2"/>
          <w:sz w:val="32"/>
          <w:lang w:val="en-US"/>
        </w:rPr>
        <w:t>万元，完成预算</w:t>
      </w:r>
      <w:r>
        <w:rPr>
          <w:rFonts w:hint="eastAsia" w:ascii="仿宋" w:hAnsi="仿宋" w:eastAsia="仿宋"/>
          <w:color w:val="auto"/>
          <w:kern w:val="2"/>
          <w:sz w:val="32"/>
          <w:lang w:val="en-US" w:eastAsia="zh-CN"/>
        </w:rPr>
        <w:t>100</w:t>
      </w:r>
      <w:r>
        <w:rPr>
          <w:rFonts w:hint="eastAsia" w:ascii="仿宋" w:hAnsi="仿宋" w:eastAsia="仿宋"/>
          <w:color w:val="auto"/>
          <w:kern w:val="2"/>
          <w:sz w:val="32"/>
          <w:lang w:val="en-US"/>
        </w:rPr>
        <w:t>%。</w:t>
      </w:r>
    </w:p>
    <w:p>
      <w:pPr>
        <w:pStyle w:val="2"/>
        <w:ind w:firstLine="643" w:firstLineChars="200"/>
        <w:rPr>
          <w:rFonts w:hint="eastAsia" w:ascii="仿宋" w:hAnsi="仿宋" w:eastAsia="仿宋"/>
          <w:color w:val="auto"/>
          <w:kern w:val="2"/>
          <w:sz w:val="32"/>
          <w:lang w:val="en-US"/>
        </w:rPr>
      </w:pPr>
      <w:r>
        <w:rPr>
          <w:rFonts w:hint="eastAsia" w:ascii="仿宋_GB2312" w:hAnsi="仿宋_GB2312" w:eastAsia="仿宋_GB2312"/>
          <w:b/>
          <w:color w:val="000000"/>
          <w:kern w:val="2"/>
          <w:sz w:val="32"/>
          <w:lang w:val="en-US" w:eastAsia="zh-CN"/>
        </w:rPr>
        <w:t>6.</w:t>
      </w:r>
      <w:r>
        <w:rPr>
          <w:rFonts w:hint="eastAsia" w:ascii="仿宋_GB2312" w:hAnsi="仿宋_GB2312" w:eastAsia="仿宋_GB2312"/>
          <w:b/>
          <w:color w:val="000000"/>
          <w:kern w:val="2"/>
          <w:sz w:val="32"/>
          <w:lang w:val="en-US"/>
        </w:rPr>
        <w:t>社会保障和就业支出（类）</w:t>
      </w:r>
      <w:r>
        <w:rPr>
          <w:rFonts w:hint="eastAsia" w:ascii="仿宋_GB2312" w:hAnsi="仿宋_GB2312" w:eastAsia="仿宋_GB2312"/>
          <w:b/>
          <w:color w:val="000000"/>
          <w:kern w:val="2"/>
          <w:sz w:val="32"/>
          <w:lang w:val="en-US" w:eastAsia="zh-CN"/>
        </w:rPr>
        <w:t>其他社会保障和就业支出</w:t>
      </w:r>
      <w:r>
        <w:rPr>
          <w:rFonts w:hint="eastAsia" w:ascii="仿宋_GB2312" w:hAnsi="仿宋_GB2312" w:eastAsia="仿宋_GB2312"/>
          <w:b/>
          <w:color w:val="000000"/>
          <w:kern w:val="2"/>
          <w:sz w:val="32"/>
          <w:lang w:val="en-US"/>
        </w:rPr>
        <w:t>（款）</w:t>
      </w:r>
      <w:r>
        <w:rPr>
          <w:rFonts w:hint="eastAsia" w:ascii="仿宋_GB2312" w:hAnsi="仿宋_GB2312" w:eastAsia="仿宋_GB2312"/>
          <w:b/>
          <w:color w:val="000000"/>
          <w:kern w:val="2"/>
          <w:sz w:val="32"/>
          <w:lang w:val="en-US" w:eastAsia="zh-CN"/>
        </w:rPr>
        <w:t>其他社会保障和就业支出</w:t>
      </w:r>
      <w:r>
        <w:rPr>
          <w:rFonts w:hint="eastAsia" w:ascii="仿宋_GB2312" w:hAnsi="仿宋_GB2312" w:eastAsia="仿宋_GB2312"/>
          <w:b/>
          <w:color w:val="000000"/>
          <w:kern w:val="2"/>
          <w:sz w:val="32"/>
          <w:lang w:val="en-US"/>
        </w:rPr>
        <w:t>（项）:</w:t>
      </w:r>
      <w:r>
        <w:rPr>
          <w:rFonts w:hint="eastAsia" w:ascii="仿宋" w:hAnsi="仿宋" w:eastAsia="仿宋"/>
          <w:color w:val="auto"/>
          <w:kern w:val="2"/>
          <w:sz w:val="32"/>
          <w:lang w:val="en-US"/>
        </w:rPr>
        <w:t>支出决算为</w:t>
      </w:r>
      <w:r>
        <w:rPr>
          <w:rFonts w:hint="eastAsia" w:ascii="仿宋" w:hAnsi="仿宋" w:eastAsia="仿宋"/>
          <w:color w:val="auto"/>
          <w:kern w:val="2"/>
          <w:sz w:val="32"/>
          <w:lang w:val="en-US" w:eastAsia="zh-CN"/>
        </w:rPr>
        <w:t>3.15</w:t>
      </w:r>
      <w:r>
        <w:rPr>
          <w:rFonts w:hint="eastAsia" w:ascii="仿宋" w:hAnsi="仿宋" w:eastAsia="仿宋"/>
          <w:color w:val="auto"/>
          <w:kern w:val="2"/>
          <w:sz w:val="32"/>
          <w:lang w:val="en-US"/>
        </w:rPr>
        <w:t>万元，完成预算</w:t>
      </w:r>
      <w:r>
        <w:rPr>
          <w:rFonts w:hint="eastAsia" w:ascii="仿宋" w:hAnsi="仿宋" w:eastAsia="仿宋"/>
          <w:color w:val="auto"/>
          <w:kern w:val="2"/>
          <w:sz w:val="32"/>
          <w:lang w:val="en-US" w:eastAsia="zh-CN"/>
        </w:rPr>
        <w:t>100</w:t>
      </w:r>
      <w:r>
        <w:rPr>
          <w:rFonts w:hint="eastAsia" w:ascii="仿宋" w:hAnsi="仿宋" w:eastAsia="仿宋"/>
          <w:color w:val="auto"/>
          <w:kern w:val="2"/>
          <w:sz w:val="32"/>
          <w:lang w:val="en-US"/>
        </w:rPr>
        <w:t>%。</w:t>
      </w:r>
    </w:p>
    <w:p>
      <w:pPr>
        <w:pStyle w:val="2"/>
        <w:numPr>
          <w:ilvl w:val="0"/>
          <w:numId w:val="0"/>
        </w:numPr>
        <w:ind w:firstLine="643" w:firstLineChars="200"/>
        <w:rPr>
          <w:rFonts w:hint="eastAsia" w:ascii="仿宋_GB2312" w:eastAsia="仿宋_GB2312"/>
          <w:color w:val="000000"/>
          <w:sz w:val="32"/>
          <w:szCs w:val="32"/>
        </w:rPr>
      </w:pPr>
      <w:r>
        <w:rPr>
          <w:rFonts w:hint="eastAsia" w:ascii="仿宋_GB2312" w:hAnsi="仿宋_GB2312" w:eastAsia="仿宋_GB2312"/>
          <w:b/>
          <w:color w:val="000000"/>
          <w:kern w:val="2"/>
          <w:sz w:val="32"/>
          <w:lang w:val="en-US" w:eastAsia="zh-CN"/>
        </w:rPr>
        <w:t>7.</w:t>
      </w:r>
      <w:r>
        <w:rPr>
          <w:rFonts w:hint="eastAsia" w:ascii="仿宋_GB2312" w:hAnsi="仿宋_GB2312" w:eastAsia="仿宋_GB2312"/>
          <w:b/>
          <w:color w:val="000000"/>
          <w:kern w:val="2"/>
          <w:sz w:val="32"/>
          <w:lang w:val="en-US"/>
        </w:rPr>
        <w:t>卫生健康支出（类）公共卫生（款）突发公共卫生事件应急处理（项）:</w:t>
      </w:r>
      <w:r>
        <w:rPr>
          <w:rFonts w:hint="eastAsia" w:ascii="仿宋" w:hAnsi="仿宋" w:eastAsia="仿宋"/>
          <w:color w:val="auto"/>
          <w:kern w:val="2"/>
          <w:sz w:val="32"/>
          <w:lang w:val="en-US"/>
        </w:rPr>
        <w:t>支出决算为</w:t>
      </w:r>
      <w:r>
        <w:rPr>
          <w:rFonts w:hint="eastAsia" w:ascii="仿宋" w:hAnsi="仿宋" w:eastAsia="仿宋"/>
          <w:color w:val="auto"/>
          <w:kern w:val="2"/>
          <w:sz w:val="32"/>
          <w:lang w:val="en-US" w:eastAsia="zh-CN"/>
        </w:rPr>
        <w:t>0.35</w:t>
      </w:r>
      <w:r>
        <w:rPr>
          <w:rFonts w:hint="eastAsia" w:ascii="仿宋" w:hAnsi="仿宋" w:eastAsia="仿宋"/>
          <w:color w:val="auto"/>
          <w:kern w:val="2"/>
          <w:sz w:val="32"/>
          <w:lang w:val="en-US"/>
        </w:rPr>
        <w:t>万元，</w:t>
      </w:r>
      <w:r>
        <w:rPr>
          <w:rFonts w:hint="eastAsia" w:ascii="仿宋_GB2312" w:hAnsi="仿宋_GB2312" w:eastAsia="仿宋_GB2312" w:cs="仿宋_GB2312"/>
          <w:color w:val="auto"/>
          <w:kern w:val="2"/>
          <w:sz w:val="32"/>
          <w:lang w:val="en-US"/>
        </w:rPr>
        <w:t>完成预算</w:t>
      </w:r>
      <w:r>
        <w:rPr>
          <w:rFonts w:hint="eastAsia" w:ascii="仿宋_GB2312" w:hAnsi="仿宋_GB2312" w:eastAsia="仿宋_GB2312" w:cs="仿宋_GB2312"/>
          <w:color w:val="auto"/>
          <w:kern w:val="2"/>
          <w:sz w:val="32"/>
          <w:lang w:val="en-US" w:eastAsia="zh-CN"/>
        </w:rPr>
        <w:t>17</w:t>
      </w:r>
      <w:r>
        <w:rPr>
          <w:rFonts w:hint="eastAsia" w:ascii="仿宋_GB2312" w:hAnsi="仿宋_GB2312" w:eastAsia="仿宋_GB2312" w:cs="仿宋_GB2312"/>
          <w:color w:val="auto"/>
          <w:kern w:val="2"/>
          <w:sz w:val="32"/>
          <w:lang w:val="en-US"/>
        </w:rPr>
        <w:t>%，决算数小于</w:t>
      </w:r>
      <w:r>
        <w:rPr>
          <w:rFonts w:hint="eastAsia" w:ascii="仿宋_GB2312" w:hAnsi="仿宋_GB2312" w:eastAsia="仿宋_GB2312" w:cs="仿宋_GB2312"/>
          <w:color w:val="auto"/>
          <w:kern w:val="2"/>
          <w:sz w:val="32"/>
          <w:lang w:val="en-US" w:eastAsia="zh-CN"/>
        </w:rPr>
        <w:t>预算数的</w:t>
      </w:r>
      <w:r>
        <w:rPr>
          <w:rFonts w:hint="eastAsia" w:ascii="仿宋_GB2312" w:hAnsi="仿宋_GB2312" w:eastAsia="仿宋_GB2312" w:cs="仿宋_GB2312"/>
          <w:color w:val="auto"/>
          <w:kern w:val="2"/>
          <w:sz w:val="32"/>
          <w:lang w:val="en-US"/>
        </w:rPr>
        <w:t>主要原因是</w:t>
      </w:r>
      <w:r>
        <w:rPr>
          <w:rFonts w:hint="eastAsia" w:ascii="仿宋_GB2312" w:eastAsia="仿宋_GB2312"/>
          <w:color w:val="000000"/>
          <w:sz w:val="32"/>
          <w:szCs w:val="32"/>
        </w:rPr>
        <w:t>项目还在</w:t>
      </w:r>
      <w:r>
        <w:rPr>
          <w:rFonts w:hint="eastAsia" w:ascii="仿宋_GB2312" w:eastAsia="仿宋_GB2312"/>
          <w:color w:val="000000"/>
          <w:sz w:val="32"/>
          <w:szCs w:val="32"/>
          <w:lang w:eastAsia="zh-CN"/>
        </w:rPr>
        <w:t>实施中</w:t>
      </w:r>
      <w:r>
        <w:rPr>
          <w:rFonts w:hint="eastAsia" w:ascii="仿宋_GB2312" w:eastAsia="仿宋_GB2312"/>
          <w:color w:val="000000"/>
          <w:sz w:val="32"/>
          <w:szCs w:val="32"/>
        </w:rPr>
        <w:t>，按进度支付款项，资金需结转202</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年继续使用。</w:t>
      </w:r>
    </w:p>
    <w:p>
      <w:pPr>
        <w:pStyle w:val="2"/>
        <w:numPr>
          <w:ilvl w:val="0"/>
          <w:numId w:val="0"/>
        </w:numPr>
        <w:ind w:firstLine="643" w:firstLineChars="200"/>
        <w:rPr>
          <w:rFonts w:hint="eastAsia" w:ascii="仿宋_GB2312" w:hAnsi="仿宋_GB2312" w:eastAsia="仿宋_GB2312" w:cs="仿宋_GB2312"/>
          <w:color w:val="auto"/>
          <w:kern w:val="2"/>
          <w:sz w:val="32"/>
          <w:lang w:val="en-US" w:eastAsia="zh-CN"/>
        </w:rPr>
      </w:pPr>
      <w:r>
        <w:rPr>
          <w:rFonts w:hint="eastAsia" w:ascii="仿宋_GB2312" w:hAnsi="仿宋_GB2312" w:eastAsia="仿宋_GB2312"/>
          <w:b/>
          <w:color w:val="000000"/>
          <w:kern w:val="2"/>
          <w:sz w:val="32"/>
          <w:lang w:val="en-US" w:eastAsia="zh-CN"/>
        </w:rPr>
        <w:t>8.</w:t>
      </w:r>
      <w:r>
        <w:rPr>
          <w:rFonts w:hint="eastAsia" w:ascii="仿宋_GB2312" w:hAnsi="仿宋_GB2312" w:eastAsia="仿宋_GB2312"/>
          <w:b/>
          <w:color w:val="000000"/>
          <w:kern w:val="2"/>
          <w:sz w:val="32"/>
          <w:lang w:val="en-US"/>
        </w:rPr>
        <w:t>卫生健康支出（类）行政事业单位医疗（款）行政单位医疗（项）:</w:t>
      </w:r>
      <w:r>
        <w:rPr>
          <w:rFonts w:hint="eastAsia" w:ascii="仿宋" w:hAnsi="仿宋" w:eastAsia="仿宋"/>
          <w:color w:val="auto"/>
          <w:kern w:val="2"/>
          <w:sz w:val="32"/>
          <w:lang w:val="en-US"/>
        </w:rPr>
        <w:t>支出决算为</w:t>
      </w:r>
      <w:r>
        <w:rPr>
          <w:rFonts w:hint="eastAsia" w:ascii="仿宋" w:hAnsi="仿宋" w:eastAsia="仿宋"/>
          <w:color w:val="auto"/>
          <w:kern w:val="2"/>
          <w:sz w:val="32"/>
          <w:lang w:val="en-US" w:eastAsia="zh-CN"/>
        </w:rPr>
        <w:t>10.93</w:t>
      </w:r>
      <w:r>
        <w:rPr>
          <w:rFonts w:hint="eastAsia" w:ascii="仿宋" w:hAnsi="仿宋" w:eastAsia="仿宋"/>
          <w:color w:val="auto"/>
          <w:kern w:val="2"/>
          <w:sz w:val="32"/>
          <w:lang w:val="en-US"/>
        </w:rPr>
        <w:t>万元，</w:t>
      </w:r>
      <w:r>
        <w:rPr>
          <w:rFonts w:hint="eastAsia" w:ascii="仿宋_GB2312" w:hAnsi="仿宋_GB2312" w:eastAsia="仿宋_GB2312" w:cs="仿宋_GB2312"/>
          <w:color w:val="auto"/>
          <w:kern w:val="2"/>
          <w:sz w:val="32"/>
          <w:lang w:val="en-US"/>
        </w:rPr>
        <w:t>完成预算</w:t>
      </w:r>
      <w:r>
        <w:rPr>
          <w:rFonts w:hint="eastAsia" w:ascii="仿宋_GB2312" w:hAnsi="仿宋_GB2312" w:eastAsia="仿宋_GB2312" w:cs="仿宋_GB2312"/>
          <w:color w:val="auto"/>
          <w:kern w:val="2"/>
          <w:sz w:val="32"/>
          <w:lang w:val="en-US" w:eastAsia="zh-CN"/>
        </w:rPr>
        <w:t>100</w:t>
      </w:r>
      <w:r>
        <w:rPr>
          <w:rFonts w:hint="eastAsia" w:ascii="仿宋_GB2312" w:hAnsi="仿宋_GB2312" w:eastAsia="仿宋_GB2312" w:cs="仿宋_GB2312"/>
          <w:color w:val="auto"/>
          <w:kern w:val="2"/>
          <w:sz w:val="32"/>
          <w:lang w:val="en-US"/>
        </w:rPr>
        <w:t>%</w:t>
      </w:r>
      <w:r>
        <w:rPr>
          <w:rFonts w:hint="eastAsia" w:ascii="仿宋_GB2312" w:hAnsi="仿宋_GB2312" w:eastAsia="仿宋_GB2312" w:cs="仿宋_GB2312"/>
          <w:color w:val="auto"/>
          <w:kern w:val="2"/>
          <w:sz w:val="32"/>
          <w:lang w:val="en-US" w:eastAsia="zh-CN"/>
        </w:rPr>
        <w:t>。</w:t>
      </w:r>
    </w:p>
    <w:p>
      <w:pPr>
        <w:pStyle w:val="2"/>
        <w:numPr>
          <w:ilvl w:val="0"/>
          <w:numId w:val="0"/>
        </w:numPr>
        <w:ind w:firstLine="643" w:firstLineChars="200"/>
        <w:rPr>
          <w:rFonts w:hint="eastAsia" w:ascii="仿宋_GB2312" w:hAnsi="仿宋_GB2312" w:eastAsia="仿宋_GB2312" w:cs="仿宋_GB2312"/>
          <w:color w:val="auto"/>
          <w:kern w:val="2"/>
          <w:sz w:val="32"/>
          <w:lang w:val="en-US" w:eastAsia="zh-CN"/>
        </w:rPr>
      </w:pPr>
      <w:r>
        <w:rPr>
          <w:rFonts w:hint="eastAsia" w:ascii="仿宋_GB2312" w:hAnsi="仿宋_GB2312" w:eastAsia="仿宋_GB2312"/>
          <w:b/>
          <w:color w:val="000000"/>
          <w:kern w:val="2"/>
          <w:sz w:val="32"/>
          <w:lang w:val="en-US" w:eastAsia="zh-CN"/>
        </w:rPr>
        <w:t>9.</w:t>
      </w:r>
      <w:r>
        <w:rPr>
          <w:rFonts w:hint="eastAsia" w:ascii="仿宋_GB2312" w:hAnsi="仿宋_GB2312" w:eastAsia="仿宋_GB2312"/>
          <w:b/>
          <w:color w:val="000000"/>
          <w:kern w:val="2"/>
          <w:sz w:val="32"/>
          <w:lang w:val="en-US"/>
        </w:rPr>
        <w:t>卫生健康支出（类）行政事业单位医疗（款）事业单位医疗（项）:</w:t>
      </w:r>
      <w:r>
        <w:rPr>
          <w:rFonts w:hint="eastAsia" w:ascii="仿宋" w:hAnsi="仿宋" w:eastAsia="仿宋"/>
          <w:color w:val="auto"/>
          <w:kern w:val="2"/>
          <w:sz w:val="32"/>
          <w:lang w:val="en-US"/>
        </w:rPr>
        <w:t>支出决算为</w:t>
      </w:r>
      <w:r>
        <w:rPr>
          <w:rFonts w:hint="eastAsia" w:ascii="仿宋" w:hAnsi="仿宋" w:eastAsia="仿宋"/>
          <w:color w:val="auto"/>
          <w:kern w:val="2"/>
          <w:sz w:val="32"/>
          <w:lang w:val="en-US" w:eastAsia="zh-CN"/>
        </w:rPr>
        <w:t>26.76</w:t>
      </w:r>
      <w:r>
        <w:rPr>
          <w:rFonts w:hint="eastAsia" w:ascii="仿宋" w:hAnsi="仿宋" w:eastAsia="仿宋"/>
          <w:color w:val="auto"/>
          <w:kern w:val="2"/>
          <w:sz w:val="32"/>
          <w:lang w:val="en-US"/>
        </w:rPr>
        <w:t>万元，</w:t>
      </w:r>
      <w:r>
        <w:rPr>
          <w:rFonts w:hint="eastAsia" w:ascii="仿宋_GB2312" w:hAnsi="仿宋_GB2312" w:eastAsia="仿宋_GB2312" w:cs="仿宋_GB2312"/>
          <w:color w:val="auto"/>
          <w:kern w:val="2"/>
          <w:sz w:val="32"/>
          <w:lang w:val="en-US"/>
        </w:rPr>
        <w:t>完成预算</w:t>
      </w:r>
      <w:r>
        <w:rPr>
          <w:rFonts w:hint="eastAsia" w:ascii="仿宋_GB2312" w:hAnsi="仿宋_GB2312" w:eastAsia="仿宋_GB2312" w:cs="仿宋_GB2312"/>
          <w:color w:val="auto"/>
          <w:kern w:val="2"/>
          <w:sz w:val="32"/>
          <w:lang w:val="en-US" w:eastAsia="zh-CN"/>
        </w:rPr>
        <w:t>100</w:t>
      </w:r>
      <w:r>
        <w:rPr>
          <w:rFonts w:hint="eastAsia" w:ascii="仿宋_GB2312" w:hAnsi="仿宋_GB2312" w:eastAsia="仿宋_GB2312" w:cs="仿宋_GB2312"/>
          <w:color w:val="auto"/>
          <w:kern w:val="2"/>
          <w:sz w:val="32"/>
          <w:lang w:val="en-US"/>
        </w:rPr>
        <w:t>%</w:t>
      </w:r>
      <w:r>
        <w:rPr>
          <w:rFonts w:hint="eastAsia" w:ascii="仿宋_GB2312" w:hAnsi="仿宋_GB2312" w:eastAsia="仿宋_GB2312" w:cs="仿宋_GB2312"/>
          <w:color w:val="auto"/>
          <w:kern w:val="2"/>
          <w:sz w:val="32"/>
          <w:lang w:val="en-US" w:eastAsia="zh-CN"/>
        </w:rPr>
        <w:t>。</w:t>
      </w:r>
    </w:p>
    <w:p>
      <w:pPr>
        <w:pStyle w:val="2"/>
        <w:numPr>
          <w:ilvl w:val="0"/>
          <w:numId w:val="0"/>
        </w:numPr>
        <w:ind w:firstLine="643" w:firstLineChars="200"/>
        <w:rPr>
          <w:rFonts w:hint="eastAsia" w:ascii="仿宋_GB2312" w:hAnsi="仿宋_GB2312" w:eastAsia="仿宋_GB2312" w:cs="仿宋_GB2312"/>
          <w:color w:val="auto"/>
          <w:kern w:val="2"/>
          <w:sz w:val="32"/>
          <w:lang w:val="en-US" w:eastAsia="zh-CN"/>
        </w:rPr>
      </w:pPr>
      <w:r>
        <w:rPr>
          <w:rFonts w:hint="eastAsia" w:ascii="仿宋_GB2312" w:hAnsi="仿宋_GB2312" w:eastAsia="仿宋_GB2312"/>
          <w:b/>
          <w:color w:val="000000"/>
          <w:kern w:val="2"/>
          <w:sz w:val="32"/>
          <w:lang w:val="en-US" w:eastAsia="zh-CN"/>
        </w:rPr>
        <w:t>10.</w:t>
      </w:r>
      <w:r>
        <w:rPr>
          <w:rFonts w:hint="eastAsia" w:ascii="仿宋_GB2312" w:hAnsi="仿宋_GB2312" w:eastAsia="仿宋_GB2312"/>
          <w:b/>
          <w:color w:val="000000"/>
          <w:kern w:val="2"/>
          <w:sz w:val="32"/>
          <w:lang w:val="en-US"/>
        </w:rPr>
        <w:t>节能环保支出（类）能源节约利用（款）能源节约利用（项）:</w:t>
      </w:r>
      <w:r>
        <w:rPr>
          <w:rFonts w:hint="eastAsia" w:ascii="仿宋" w:hAnsi="仿宋" w:eastAsia="仿宋"/>
          <w:color w:val="auto"/>
          <w:kern w:val="2"/>
          <w:sz w:val="32"/>
          <w:lang w:val="en-US"/>
        </w:rPr>
        <w:t>支出决算为</w:t>
      </w:r>
      <w:r>
        <w:rPr>
          <w:rFonts w:hint="eastAsia" w:ascii="仿宋" w:hAnsi="仿宋" w:eastAsia="仿宋"/>
          <w:color w:val="auto"/>
          <w:kern w:val="2"/>
          <w:sz w:val="32"/>
          <w:lang w:val="en-US" w:eastAsia="zh-CN"/>
        </w:rPr>
        <w:t>72</w:t>
      </w:r>
      <w:r>
        <w:rPr>
          <w:rFonts w:hint="eastAsia" w:ascii="仿宋" w:hAnsi="仿宋" w:eastAsia="仿宋"/>
          <w:color w:val="auto"/>
          <w:kern w:val="2"/>
          <w:sz w:val="32"/>
          <w:lang w:val="en-US"/>
        </w:rPr>
        <w:t>万元，</w:t>
      </w:r>
      <w:r>
        <w:rPr>
          <w:rFonts w:hint="eastAsia" w:ascii="仿宋_GB2312" w:hAnsi="仿宋_GB2312" w:eastAsia="仿宋_GB2312" w:cs="仿宋_GB2312"/>
          <w:color w:val="auto"/>
          <w:kern w:val="2"/>
          <w:sz w:val="32"/>
          <w:lang w:val="en-US"/>
        </w:rPr>
        <w:t>完成预算</w:t>
      </w:r>
      <w:r>
        <w:rPr>
          <w:rFonts w:hint="eastAsia" w:ascii="仿宋_GB2312" w:hAnsi="仿宋_GB2312" w:eastAsia="仿宋_GB2312" w:cs="仿宋_GB2312"/>
          <w:color w:val="auto"/>
          <w:kern w:val="2"/>
          <w:sz w:val="32"/>
          <w:lang w:val="en-US" w:eastAsia="zh-CN"/>
        </w:rPr>
        <w:t>100</w:t>
      </w:r>
      <w:r>
        <w:rPr>
          <w:rFonts w:hint="eastAsia" w:ascii="仿宋_GB2312" w:hAnsi="仿宋_GB2312" w:eastAsia="仿宋_GB2312" w:cs="仿宋_GB2312"/>
          <w:color w:val="auto"/>
          <w:kern w:val="2"/>
          <w:sz w:val="32"/>
          <w:lang w:val="en-US"/>
        </w:rPr>
        <w:t>%</w:t>
      </w:r>
      <w:r>
        <w:rPr>
          <w:rFonts w:hint="eastAsia" w:ascii="仿宋_GB2312" w:hAnsi="仿宋_GB2312" w:eastAsia="仿宋_GB2312" w:cs="仿宋_GB2312"/>
          <w:color w:val="auto"/>
          <w:kern w:val="2"/>
          <w:sz w:val="32"/>
          <w:lang w:val="en-US" w:eastAsia="zh-CN"/>
        </w:rPr>
        <w:t>。</w:t>
      </w:r>
    </w:p>
    <w:p>
      <w:pPr>
        <w:pStyle w:val="2"/>
        <w:numPr>
          <w:ilvl w:val="0"/>
          <w:numId w:val="0"/>
        </w:numPr>
        <w:ind w:firstLine="643" w:firstLineChars="200"/>
        <w:rPr>
          <w:rFonts w:hint="eastAsia" w:ascii="仿宋_GB2312" w:hAnsi="仿宋_GB2312" w:eastAsia="仿宋_GB2312" w:cs="仿宋_GB2312"/>
          <w:color w:val="auto"/>
          <w:kern w:val="2"/>
          <w:sz w:val="32"/>
          <w:lang w:val="en-US" w:eastAsia="zh-CN"/>
        </w:rPr>
      </w:pPr>
      <w:r>
        <w:rPr>
          <w:rFonts w:hint="eastAsia" w:ascii="仿宋_GB2312" w:hAnsi="仿宋_GB2312" w:eastAsia="仿宋_GB2312"/>
          <w:b/>
          <w:color w:val="000000"/>
          <w:kern w:val="2"/>
          <w:sz w:val="32"/>
          <w:lang w:val="en-US" w:eastAsia="zh-CN"/>
        </w:rPr>
        <w:t>11.农林水</w:t>
      </w:r>
      <w:r>
        <w:rPr>
          <w:rFonts w:hint="eastAsia" w:ascii="仿宋_GB2312" w:hAnsi="仿宋_GB2312" w:eastAsia="仿宋_GB2312"/>
          <w:b/>
          <w:color w:val="000000"/>
          <w:kern w:val="2"/>
          <w:sz w:val="32"/>
          <w:lang w:val="en-US"/>
        </w:rPr>
        <w:t>支出（类）</w:t>
      </w:r>
      <w:r>
        <w:rPr>
          <w:rFonts w:hint="eastAsia" w:ascii="仿宋_GB2312" w:hAnsi="仿宋_GB2312" w:eastAsia="仿宋_GB2312"/>
          <w:b/>
          <w:color w:val="000000"/>
          <w:kern w:val="2"/>
          <w:sz w:val="32"/>
          <w:lang w:val="en-US" w:eastAsia="zh-CN"/>
        </w:rPr>
        <w:t>农业农村</w:t>
      </w:r>
      <w:r>
        <w:rPr>
          <w:rFonts w:hint="eastAsia" w:ascii="仿宋_GB2312" w:hAnsi="仿宋_GB2312" w:eastAsia="仿宋_GB2312"/>
          <w:b/>
          <w:color w:val="000000"/>
          <w:kern w:val="2"/>
          <w:sz w:val="32"/>
          <w:lang w:val="en-US"/>
        </w:rPr>
        <w:t>（款）农村道路建设（项）:</w:t>
      </w:r>
      <w:r>
        <w:rPr>
          <w:rFonts w:hint="eastAsia" w:ascii="仿宋" w:hAnsi="仿宋" w:eastAsia="仿宋"/>
          <w:color w:val="auto"/>
          <w:kern w:val="2"/>
          <w:sz w:val="32"/>
          <w:lang w:val="en-US"/>
        </w:rPr>
        <w:t>支出决算为</w:t>
      </w:r>
      <w:r>
        <w:rPr>
          <w:rFonts w:hint="eastAsia" w:ascii="仿宋" w:hAnsi="仿宋" w:eastAsia="仿宋"/>
          <w:color w:val="auto"/>
          <w:kern w:val="2"/>
          <w:sz w:val="32"/>
          <w:lang w:val="en-US" w:eastAsia="zh-CN"/>
        </w:rPr>
        <w:t>141.78</w:t>
      </w:r>
      <w:r>
        <w:rPr>
          <w:rFonts w:hint="eastAsia" w:ascii="仿宋" w:hAnsi="仿宋" w:eastAsia="仿宋"/>
          <w:color w:val="auto"/>
          <w:kern w:val="2"/>
          <w:sz w:val="32"/>
          <w:lang w:val="en-US"/>
        </w:rPr>
        <w:t>万元，</w:t>
      </w:r>
      <w:r>
        <w:rPr>
          <w:rFonts w:hint="eastAsia" w:ascii="仿宋_GB2312" w:hAnsi="仿宋_GB2312" w:eastAsia="仿宋_GB2312" w:cs="仿宋_GB2312"/>
          <w:color w:val="auto"/>
          <w:kern w:val="2"/>
          <w:sz w:val="32"/>
          <w:lang w:val="en-US"/>
        </w:rPr>
        <w:t>完成预算</w:t>
      </w:r>
      <w:r>
        <w:rPr>
          <w:rFonts w:hint="eastAsia" w:ascii="仿宋_GB2312" w:hAnsi="仿宋_GB2312" w:eastAsia="仿宋_GB2312" w:cs="仿宋_GB2312"/>
          <w:color w:val="auto"/>
          <w:kern w:val="2"/>
          <w:sz w:val="32"/>
          <w:lang w:val="en-US" w:eastAsia="zh-CN"/>
        </w:rPr>
        <w:t>100</w:t>
      </w:r>
      <w:r>
        <w:rPr>
          <w:rFonts w:hint="eastAsia" w:ascii="仿宋_GB2312" w:hAnsi="仿宋_GB2312" w:eastAsia="仿宋_GB2312" w:cs="仿宋_GB2312"/>
          <w:color w:val="auto"/>
          <w:kern w:val="2"/>
          <w:sz w:val="32"/>
          <w:lang w:val="en-US"/>
        </w:rPr>
        <w:t>%</w:t>
      </w:r>
      <w:r>
        <w:rPr>
          <w:rFonts w:hint="eastAsia" w:ascii="仿宋_GB2312" w:hAnsi="仿宋_GB2312" w:eastAsia="仿宋_GB2312" w:cs="仿宋_GB2312"/>
          <w:color w:val="auto"/>
          <w:kern w:val="2"/>
          <w:sz w:val="32"/>
          <w:lang w:val="en-US" w:eastAsia="zh-CN"/>
        </w:rPr>
        <w:t>。</w:t>
      </w:r>
    </w:p>
    <w:p>
      <w:pPr>
        <w:pStyle w:val="2"/>
        <w:numPr>
          <w:ilvl w:val="0"/>
          <w:numId w:val="0"/>
        </w:numPr>
        <w:ind w:firstLine="643" w:firstLineChars="200"/>
        <w:rPr>
          <w:rFonts w:hint="eastAsia" w:ascii="仿宋_GB2312" w:hAnsi="仿宋_GB2312" w:eastAsia="仿宋_GB2312" w:cs="仿宋_GB2312"/>
          <w:color w:val="auto"/>
          <w:kern w:val="2"/>
          <w:sz w:val="32"/>
          <w:lang w:val="en-US" w:eastAsia="zh-CN"/>
        </w:rPr>
      </w:pPr>
      <w:r>
        <w:rPr>
          <w:rFonts w:hint="eastAsia" w:ascii="仿宋_GB2312" w:hAnsi="仿宋_GB2312" w:eastAsia="仿宋_GB2312"/>
          <w:b/>
          <w:color w:val="000000"/>
          <w:kern w:val="2"/>
          <w:sz w:val="32"/>
          <w:lang w:val="en-US" w:eastAsia="zh-CN"/>
        </w:rPr>
        <w:t>12.农林水</w:t>
      </w:r>
      <w:r>
        <w:rPr>
          <w:rFonts w:hint="eastAsia" w:ascii="仿宋_GB2312" w:hAnsi="仿宋_GB2312" w:eastAsia="仿宋_GB2312"/>
          <w:b/>
          <w:color w:val="000000"/>
          <w:kern w:val="2"/>
          <w:sz w:val="32"/>
          <w:lang w:val="en-US"/>
        </w:rPr>
        <w:t>支出（类）</w:t>
      </w:r>
      <w:r>
        <w:rPr>
          <w:rFonts w:hint="eastAsia" w:ascii="仿宋_GB2312" w:hAnsi="仿宋_GB2312" w:eastAsia="仿宋_GB2312"/>
          <w:b/>
          <w:color w:val="000000"/>
          <w:kern w:val="2"/>
          <w:sz w:val="32"/>
          <w:lang w:val="en-US" w:eastAsia="zh-CN"/>
        </w:rPr>
        <w:t>巩固脱贫衔接乡村振兴</w:t>
      </w:r>
      <w:r>
        <w:rPr>
          <w:rFonts w:hint="eastAsia" w:ascii="仿宋_GB2312" w:hAnsi="仿宋_GB2312" w:eastAsia="仿宋_GB2312"/>
          <w:b/>
          <w:color w:val="000000"/>
          <w:kern w:val="2"/>
          <w:sz w:val="32"/>
          <w:lang w:val="en-US"/>
        </w:rPr>
        <w:t>（款）其他巩固脱贫衔接乡村振兴支出（项）:</w:t>
      </w:r>
      <w:r>
        <w:rPr>
          <w:rFonts w:hint="eastAsia" w:ascii="仿宋" w:hAnsi="仿宋" w:eastAsia="仿宋"/>
          <w:color w:val="auto"/>
          <w:kern w:val="2"/>
          <w:sz w:val="32"/>
          <w:lang w:val="en-US"/>
        </w:rPr>
        <w:t>支出决算为</w:t>
      </w:r>
      <w:r>
        <w:rPr>
          <w:rFonts w:hint="eastAsia" w:ascii="仿宋" w:hAnsi="仿宋" w:eastAsia="仿宋"/>
          <w:color w:val="auto"/>
          <w:kern w:val="2"/>
          <w:sz w:val="32"/>
          <w:lang w:val="en-US" w:eastAsia="zh-CN"/>
        </w:rPr>
        <w:t>184.5</w:t>
      </w:r>
      <w:r>
        <w:rPr>
          <w:rFonts w:hint="eastAsia" w:ascii="仿宋" w:hAnsi="仿宋" w:eastAsia="仿宋"/>
          <w:color w:val="auto"/>
          <w:kern w:val="2"/>
          <w:sz w:val="32"/>
          <w:lang w:val="en-US"/>
        </w:rPr>
        <w:t>万元，</w:t>
      </w:r>
      <w:r>
        <w:rPr>
          <w:rFonts w:hint="eastAsia" w:ascii="仿宋_GB2312" w:hAnsi="仿宋_GB2312" w:eastAsia="仿宋_GB2312" w:cs="仿宋_GB2312"/>
          <w:color w:val="auto"/>
          <w:kern w:val="2"/>
          <w:sz w:val="32"/>
          <w:lang w:val="en-US"/>
        </w:rPr>
        <w:t>完成预算</w:t>
      </w:r>
      <w:r>
        <w:rPr>
          <w:rFonts w:hint="eastAsia" w:ascii="仿宋_GB2312" w:hAnsi="仿宋_GB2312" w:eastAsia="仿宋_GB2312" w:cs="仿宋_GB2312"/>
          <w:color w:val="auto"/>
          <w:kern w:val="2"/>
          <w:sz w:val="32"/>
          <w:lang w:val="en-US" w:eastAsia="zh-CN"/>
        </w:rPr>
        <w:t>100</w:t>
      </w:r>
      <w:r>
        <w:rPr>
          <w:rFonts w:hint="eastAsia" w:ascii="仿宋_GB2312" w:hAnsi="仿宋_GB2312" w:eastAsia="仿宋_GB2312" w:cs="仿宋_GB2312"/>
          <w:color w:val="auto"/>
          <w:kern w:val="2"/>
          <w:sz w:val="32"/>
          <w:lang w:val="en-US"/>
        </w:rPr>
        <w:t>%</w:t>
      </w:r>
      <w:r>
        <w:rPr>
          <w:rFonts w:hint="eastAsia" w:ascii="仿宋_GB2312" w:hAnsi="仿宋_GB2312" w:eastAsia="仿宋_GB2312" w:cs="仿宋_GB2312"/>
          <w:color w:val="auto"/>
          <w:kern w:val="2"/>
          <w:sz w:val="32"/>
          <w:lang w:val="en-US" w:eastAsia="zh-CN"/>
        </w:rPr>
        <w:t>。</w:t>
      </w:r>
    </w:p>
    <w:p>
      <w:pPr>
        <w:pStyle w:val="2"/>
        <w:numPr>
          <w:ilvl w:val="0"/>
          <w:numId w:val="0"/>
        </w:numPr>
        <w:ind w:firstLine="643" w:firstLineChars="200"/>
        <w:rPr>
          <w:rFonts w:hint="eastAsia" w:ascii="仿宋_GB2312" w:hAnsi="仿宋_GB2312" w:eastAsia="仿宋_GB2312" w:cs="仿宋_GB2312"/>
          <w:color w:val="auto"/>
          <w:kern w:val="2"/>
          <w:sz w:val="32"/>
          <w:lang w:val="en-US" w:eastAsia="zh-CN"/>
        </w:rPr>
      </w:pPr>
      <w:r>
        <w:rPr>
          <w:rFonts w:hint="eastAsia" w:ascii="仿宋_GB2312" w:hAnsi="仿宋_GB2312" w:eastAsia="仿宋_GB2312"/>
          <w:b/>
          <w:color w:val="000000"/>
          <w:kern w:val="2"/>
          <w:sz w:val="32"/>
          <w:lang w:val="en-US" w:eastAsia="zh-CN"/>
        </w:rPr>
        <w:t>13.交通运输支出</w:t>
      </w:r>
      <w:r>
        <w:rPr>
          <w:rFonts w:hint="eastAsia" w:ascii="仿宋_GB2312" w:hAnsi="仿宋_GB2312" w:eastAsia="仿宋_GB2312"/>
          <w:b/>
          <w:color w:val="000000"/>
          <w:kern w:val="2"/>
          <w:sz w:val="32"/>
          <w:lang w:val="en-US"/>
        </w:rPr>
        <w:t>（类）</w:t>
      </w:r>
      <w:r>
        <w:rPr>
          <w:rFonts w:hint="eastAsia" w:ascii="仿宋_GB2312" w:hAnsi="仿宋_GB2312" w:eastAsia="仿宋_GB2312"/>
          <w:b/>
          <w:color w:val="000000"/>
          <w:kern w:val="2"/>
          <w:sz w:val="32"/>
          <w:lang w:val="en-US" w:eastAsia="zh-CN"/>
        </w:rPr>
        <w:t>公路水路运输</w:t>
      </w:r>
      <w:r>
        <w:rPr>
          <w:rFonts w:hint="eastAsia" w:ascii="仿宋_GB2312" w:hAnsi="仿宋_GB2312" w:eastAsia="仿宋_GB2312"/>
          <w:b/>
          <w:color w:val="000000"/>
          <w:kern w:val="2"/>
          <w:sz w:val="32"/>
          <w:lang w:val="en-US"/>
        </w:rPr>
        <w:t>（款）行政运行（项）:</w:t>
      </w:r>
      <w:r>
        <w:rPr>
          <w:rFonts w:hint="eastAsia" w:ascii="仿宋" w:hAnsi="仿宋" w:eastAsia="仿宋"/>
          <w:color w:val="auto"/>
          <w:kern w:val="2"/>
          <w:sz w:val="32"/>
          <w:lang w:val="en-US"/>
        </w:rPr>
        <w:t>支出决算为</w:t>
      </w:r>
      <w:r>
        <w:rPr>
          <w:rFonts w:hint="eastAsia" w:ascii="仿宋" w:hAnsi="仿宋" w:eastAsia="仿宋"/>
          <w:color w:val="auto"/>
          <w:kern w:val="2"/>
          <w:sz w:val="32"/>
          <w:lang w:val="en-US" w:eastAsia="zh-CN"/>
        </w:rPr>
        <w:t>425.74</w:t>
      </w:r>
      <w:r>
        <w:rPr>
          <w:rFonts w:hint="eastAsia" w:ascii="仿宋" w:hAnsi="仿宋" w:eastAsia="仿宋"/>
          <w:color w:val="auto"/>
          <w:kern w:val="2"/>
          <w:sz w:val="32"/>
          <w:lang w:val="en-US"/>
        </w:rPr>
        <w:t>万元，</w:t>
      </w:r>
      <w:r>
        <w:rPr>
          <w:rFonts w:hint="eastAsia" w:ascii="仿宋_GB2312" w:hAnsi="仿宋_GB2312" w:eastAsia="仿宋_GB2312" w:cs="仿宋_GB2312"/>
          <w:color w:val="auto"/>
          <w:kern w:val="2"/>
          <w:sz w:val="32"/>
          <w:lang w:val="en-US"/>
        </w:rPr>
        <w:t>完成预算</w:t>
      </w:r>
      <w:r>
        <w:rPr>
          <w:rFonts w:hint="eastAsia" w:ascii="仿宋_GB2312" w:hAnsi="仿宋_GB2312" w:eastAsia="仿宋_GB2312" w:cs="仿宋_GB2312"/>
          <w:color w:val="auto"/>
          <w:kern w:val="2"/>
          <w:sz w:val="32"/>
          <w:lang w:val="en-US" w:eastAsia="zh-CN"/>
        </w:rPr>
        <w:t>100</w:t>
      </w:r>
      <w:r>
        <w:rPr>
          <w:rFonts w:hint="eastAsia" w:ascii="仿宋_GB2312" w:hAnsi="仿宋_GB2312" w:eastAsia="仿宋_GB2312" w:cs="仿宋_GB2312"/>
          <w:color w:val="auto"/>
          <w:kern w:val="2"/>
          <w:sz w:val="32"/>
          <w:lang w:val="en-US"/>
        </w:rPr>
        <w:t>%</w:t>
      </w:r>
      <w:r>
        <w:rPr>
          <w:rFonts w:hint="eastAsia" w:ascii="仿宋_GB2312" w:hAnsi="仿宋_GB2312" w:eastAsia="仿宋_GB2312" w:cs="仿宋_GB2312"/>
          <w:color w:val="auto"/>
          <w:kern w:val="2"/>
          <w:sz w:val="32"/>
          <w:lang w:val="en-US" w:eastAsia="zh-CN"/>
        </w:rPr>
        <w:t>。</w:t>
      </w:r>
    </w:p>
    <w:p>
      <w:pPr>
        <w:pStyle w:val="2"/>
        <w:numPr>
          <w:ilvl w:val="0"/>
          <w:numId w:val="0"/>
        </w:numPr>
        <w:ind w:firstLine="643" w:firstLineChars="200"/>
        <w:rPr>
          <w:rFonts w:hint="eastAsia" w:ascii="仿宋_GB2312" w:hAnsi="仿宋_GB2312" w:eastAsia="仿宋_GB2312" w:cs="仿宋_GB2312"/>
          <w:color w:val="auto"/>
          <w:kern w:val="2"/>
          <w:sz w:val="32"/>
          <w:lang w:val="en-US" w:eastAsia="zh-CN"/>
        </w:rPr>
      </w:pPr>
      <w:r>
        <w:rPr>
          <w:rFonts w:hint="eastAsia" w:ascii="仿宋_GB2312" w:hAnsi="仿宋_GB2312" w:eastAsia="仿宋_GB2312"/>
          <w:b/>
          <w:color w:val="000000"/>
          <w:kern w:val="2"/>
          <w:sz w:val="32"/>
          <w:lang w:val="en-US" w:eastAsia="zh-CN"/>
        </w:rPr>
        <w:t>14.交通运输支出</w:t>
      </w:r>
      <w:r>
        <w:rPr>
          <w:rFonts w:hint="eastAsia" w:ascii="仿宋_GB2312" w:hAnsi="仿宋_GB2312" w:eastAsia="仿宋_GB2312"/>
          <w:b/>
          <w:color w:val="000000"/>
          <w:kern w:val="2"/>
          <w:sz w:val="32"/>
          <w:lang w:val="en-US"/>
        </w:rPr>
        <w:t>（类）</w:t>
      </w:r>
      <w:r>
        <w:rPr>
          <w:rFonts w:hint="eastAsia" w:ascii="仿宋_GB2312" w:hAnsi="仿宋_GB2312" w:eastAsia="仿宋_GB2312"/>
          <w:b/>
          <w:color w:val="000000"/>
          <w:kern w:val="2"/>
          <w:sz w:val="32"/>
          <w:lang w:val="en-US" w:eastAsia="zh-CN"/>
        </w:rPr>
        <w:t>公路水路运输</w:t>
      </w:r>
      <w:r>
        <w:rPr>
          <w:rFonts w:hint="eastAsia" w:ascii="仿宋_GB2312" w:hAnsi="仿宋_GB2312" w:eastAsia="仿宋_GB2312"/>
          <w:b/>
          <w:color w:val="000000"/>
          <w:kern w:val="2"/>
          <w:sz w:val="32"/>
          <w:lang w:val="en-US"/>
        </w:rPr>
        <w:t>（款）一般行政管理事务（项）:</w:t>
      </w:r>
      <w:r>
        <w:rPr>
          <w:rFonts w:hint="eastAsia" w:ascii="仿宋" w:hAnsi="仿宋" w:eastAsia="仿宋"/>
          <w:color w:val="auto"/>
          <w:kern w:val="2"/>
          <w:sz w:val="32"/>
          <w:lang w:val="en-US"/>
        </w:rPr>
        <w:t>支出决算为</w:t>
      </w:r>
      <w:r>
        <w:rPr>
          <w:rFonts w:hint="eastAsia" w:ascii="仿宋" w:hAnsi="仿宋" w:eastAsia="仿宋"/>
          <w:color w:val="auto"/>
          <w:kern w:val="2"/>
          <w:sz w:val="32"/>
          <w:lang w:val="en-US" w:eastAsia="zh-CN"/>
        </w:rPr>
        <w:t>3.2</w:t>
      </w:r>
      <w:r>
        <w:rPr>
          <w:rFonts w:hint="eastAsia" w:ascii="仿宋" w:hAnsi="仿宋" w:eastAsia="仿宋"/>
          <w:color w:val="auto"/>
          <w:kern w:val="2"/>
          <w:sz w:val="32"/>
          <w:lang w:val="en-US"/>
        </w:rPr>
        <w:t>万元，</w:t>
      </w:r>
      <w:r>
        <w:rPr>
          <w:rFonts w:hint="eastAsia" w:ascii="仿宋_GB2312" w:hAnsi="仿宋_GB2312" w:eastAsia="仿宋_GB2312" w:cs="仿宋_GB2312"/>
          <w:color w:val="auto"/>
          <w:kern w:val="2"/>
          <w:sz w:val="32"/>
          <w:lang w:val="en-US"/>
        </w:rPr>
        <w:t>完成预算</w:t>
      </w:r>
      <w:r>
        <w:rPr>
          <w:rFonts w:hint="eastAsia" w:ascii="仿宋_GB2312" w:hAnsi="仿宋_GB2312" w:eastAsia="仿宋_GB2312" w:cs="仿宋_GB2312"/>
          <w:color w:val="auto"/>
          <w:kern w:val="2"/>
          <w:sz w:val="32"/>
          <w:lang w:val="en-US" w:eastAsia="zh-CN"/>
        </w:rPr>
        <w:t>100</w:t>
      </w:r>
      <w:r>
        <w:rPr>
          <w:rFonts w:hint="eastAsia" w:ascii="仿宋_GB2312" w:hAnsi="仿宋_GB2312" w:eastAsia="仿宋_GB2312" w:cs="仿宋_GB2312"/>
          <w:color w:val="auto"/>
          <w:kern w:val="2"/>
          <w:sz w:val="32"/>
          <w:lang w:val="en-US"/>
        </w:rPr>
        <w:t>%</w:t>
      </w:r>
      <w:r>
        <w:rPr>
          <w:rFonts w:hint="eastAsia" w:ascii="仿宋_GB2312" w:hAnsi="仿宋_GB2312" w:eastAsia="仿宋_GB2312" w:cs="仿宋_GB2312"/>
          <w:color w:val="auto"/>
          <w:kern w:val="2"/>
          <w:sz w:val="32"/>
          <w:lang w:val="en-US" w:eastAsia="zh-CN"/>
        </w:rPr>
        <w:t>。</w:t>
      </w:r>
    </w:p>
    <w:p>
      <w:pPr>
        <w:pStyle w:val="2"/>
        <w:numPr>
          <w:ilvl w:val="0"/>
          <w:numId w:val="0"/>
        </w:numPr>
        <w:ind w:firstLine="643" w:firstLineChars="200"/>
        <w:rPr>
          <w:rFonts w:hint="eastAsia" w:ascii="仿宋_GB2312" w:hAnsi="仿宋_GB2312" w:eastAsia="仿宋_GB2312" w:cs="仿宋_GB2312"/>
          <w:color w:val="auto"/>
          <w:kern w:val="2"/>
          <w:sz w:val="32"/>
          <w:lang w:val="en-US" w:eastAsia="zh-CN"/>
        </w:rPr>
      </w:pPr>
      <w:r>
        <w:rPr>
          <w:rFonts w:hint="eastAsia" w:ascii="仿宋_GB2312" w:hAnsi="仿宋_GB2312" w:eastAsia="仿宋_GB2312"/>
          <w:b/>
          <w:color w:val="000000"/>
          <w:kern w:val="2"/>
          <w:sz w:val="32"/>
          <w:lang w:val="en-US" w:eastAsia="zh-CN"/>
        </w:rPr>
        <w:t>15.交通运输支出</w:t>
      </w:r>
      <w:r>
        <w:rPr>
          <w:rFonts w:hint="eastAsia" w:ascii="仿宋_GB2312" w:hAnsi="仿宋_GB2312" w:eastAsia="仿宋_GB2312"/>
          <w:b/>
          <w:color w:val="000000"/>
          <w:kern w:val="2"/>
          <w:sz w:val="32"/>
          <w:lang w:val="en-US"/>
        </w:rPr>
        <w:t>（类）</w:t>
      </w:r>
      <w:r>
        <w:rPr>
          <w:rFonts w:hint="eastAsia" w:ascii="仿宋_GB2312" w:hAnsi="仿宋_GB2312" w:eastAsia="仿宋_GB2312"/>
          <w:b/>
          <w:color w:val="000000"/>
          <w:kern w:val="2"/>
          <w:sz w:val="32"/>
          <w:lang w:val="en-US" w:eastAsia="zh-CN"/>
        </w:rPr>
        <w:t>公路水路运输</w:t>
      </w:r>
      <w:r>
        <w:rPr>
          <w:rFonts w:hint="eastAsia" w:ascii="仿宋_GB2312" w:hAnsi="仿宋_GB2312" w:eastAsia="仿宋_GB2312"/>
          <w:b/>
          <w:color w:val="000000"/>
          <w:kern w:val="2"/>
          <w:sz w:val="32"/>
          <w:lang w:val="en-US"/>
        </w:rPr>
        <w:t>（款）公路建设（项）:</w:t>
      </w:r>
      <w:r>
        <w:rPr>
          <w:rFonts w:hint="eastAsia" w:ascii="仿宋" w:hAnsi="仿宋" w:eastAsia="仿宋"/>
          <w:color w:val="auto"/>
          <w:kern w:val="2"/>
          <w:sz w:val="32"/>
          <w:lang w:val="en-US"/>
        </w:rPr>
        <w:t>支出决算为</w:t>
      </w:r>
      <w:r>
        <w:rPr>
          <w:rFonts w:hint="eastAsia" w:ascii="仿宋" w:hAnsi="仿宋" w:eastAsia="仿宋"/>
          <w:color w:val="auto"/>
          <w:kern w:val="2"/>
          <w:sz w:val="32"/>
          <w:lang w:val="en-US" w:eastAsia="zh-CN"/>
        </w:rPr>
        <w:t>4.15</w:t>
      </w:r>
      <w:r>
        <w:rPr>
          <w:rFonts w:hint="eastAsia" w:ascii="仿宋" w:hAnsi="仿宋" w:eastAsia="仿宋"/>
          <w:color w:val="auto"/>
          <w:kern w:val="2"/>
          <w:sz w:val="32"/>
          <w:lang w:val="en-US"/>
        </w:rPr>
        <w:t>万元，</w:t>
      </w:r>
      <w:r>
        <w:rPr>
          <w:rFonts w:hint="eastAsia" w:ascii="仿宋_GB2312" w:hAnsi="仿宋_GB2312" w:eastAsia="仿宋_GB2312" w:cs="仿宋_GB2312"/>
          <w:color w:val="auto"/>
          <w:kern w:val="2"/>
          <w:sz w:val="32"/>
          <w:lang w:val="en-US"/>
        </w:rPr>
        <w:t>完成预算</w:t>
      </w:r>
      <w:r>
        <w:rPr>
          <w:rFonts w:hint="eastAsia" w:ascii="仿宋_GB2312" w:hAnsi="仿宋_GB2312" w:eastAsia="仿宋_GB2312" w:cs="仿宋_GB2312"/>
          <w:color w:val="auto"/>
          <w:kern w:val="2"/>
          <w:sz w:val="32"/>
          <w:lang w:val="en-US" w:eastAsia="zh-CN"/>
        </w:rPr>
        <w:t>100</w:t>
      </w:r>
      <w:r>
        <w:rPr>
          <w:rFonts w:hint="eastAsia" w:ascii="仿宋_GB2312" w:hAnsi="仿宋_GB2312" w:eastAsia="仿宋_GB2312" w:cs="仿宋_GB2312"/>
          <w:color w:val="auto"/>
          <w:kern w:val="2"/>
          <w:sz w:val="32"/>
          <w:lang w:val="en-US"/>
        </w:rPr>
        <w:t>%</w:t>
      </w:r>
      <w:r>
        <w:rPr>
          <w:rFonts w:hint="eastAsia" w:ascii="仿宋_GB2312" w:hAnsi="仿宋_GB2312" w:eastAsia="仿宋_GB2312" w:cs="仿宋_GB2312"/>
          <w:color w:val="auto"/>
          <w:kern w:val="2"/>
          <w:sz w:val="32"/>
          <w:lang w:val="en-US" w:eastAsia="zh-CN"/>
        </w:rPr>
        <w:t>。</w:t>
      </w:r>
    </w:p>
    <w:p>
      <w:pPr>
        <w:pStyle w:val="2"/>
        <w:numPr>
          <w:ilvl w:val="0"/>
          <w:numId w:val="0"/>
        </w:numPr>
        <w:ind w:firstLine="643" w:firstLineChars="200"/>
        <w:rPr>
          <w:rFonts w:hint="eastAsia" w:ascii="仿宋_GB2312" w:hAnsi="仿宋_GB2312" w:eastAsia="仿宋_GB2312" w:cs="仿宋_GB2312"/>
          <w:color w:val="auto"/>
          <w:kern w:val="2"/>
          <w:sz w:val="32"/>
          <w:lang w:val="en-US" w:eastAsia="zh-CN"/>
        </w:rPr>
      </w:pPr>
      <w:r>
        <w:rPr>
          <w:rFonts w:hint="eastAsia" w:ascii="仿宋_GB2312" w:hAnsi="仿宋_GB2312" w:eastAsia="仿宋_GB2312"/>
          <w:b/>
          <w:color w:val="000000"/>
          <w:kern w:val="2"/>
          <w:sz w:val="32"/>
          <w:lang w:val="en-US" w:eastAsia="zh-CN"/>
        </w:rPr>
        <w:t>16.交通运输支出</w:t>
      </w:r>
      <w:r>
        <w:rPr>
          <w:rFonts w:hint="eastAsia" w:ascii="仿宋_GB2312" w:hAnsi="仿宋_GB2312" w:eastAsia="仿宋_GB2312"/>
          <w:b/>
          <w:color w:val="000000"/>
          <w:kern w:val="2"/>
          <w:sz w:val="32"/>
          <w:lang w:val="en-US"/>
        </w:rPr>
        <w:t>（类）</w:t>
      </w:r>
      <w:r>
        <w:rPr>
          <w:rFonts w:hint="eastAsia" w:ascii="仿宋_GB2312" w:hAnsi="仿宋_GB2312" w:eastAsia="仿宋_GB2312"/>
          <w:b/>
          <w:color w:val="000000"/>
          <w:kern w:val="2"/>
          <w:sz w:val="32"/>
          <w:lang w:val="en-US" w:eastAsia="zh-CN"/>
        </w:rPr>
        <w:t>公路水路运输</w:t>
      </w:r>
      <w:r>
        <w:rPr>
          <w:rFonts w:hint="eastAsia" w:ascii="仿宋_GB2312" w:hAnsi="仿宋_GB2312" w:eastAsia="仿宋_GB2312"/>
          <w:b/>
          <w:color w:val="000000"/>
          <w:kern w:val="2"/>
          <w:sz w:val="32"/>
          <w:lang w:val="en-US"/>
        </w:rPr>
        <w:t>（款）公路养护（项）:</w:t>
      </w:r>
      <w:r>
        <w:rPr>
          <w:rFonts w:hint="eastAsia" w:ascii="仿宋" w:hAnsi="仿宋" w:eastAsia="仿宋"/>
          <w:color w:val="auto"/>
          <w:kern w:val="2"/>
          <w:sz w:val="32"/>
          <w:lang w:val="en-US"/>
        </w:rPr>
        <w:t>支出决算为</w:t>
      </w:r>
      <w:r>
        <w:rPr>
          <w:rFonts w:hint="eastAsia" w:ascii="仿宋" w:hAnsi="仿宋" w:eastAsia="仿宋"/>
          <w:color w:val="auto"/>
          <w:kern w:val="2"/>
          <w:sz w:val="32"/>
          <w:lang w:val="en-US" w:eastAsia="zh-CN"/>
        </w:rPr>
        <w:t>951.55</w:t>
      </w:r>
      <w:r>
        <w:rPr>
          <w:rFonts w:hint="eastAsia" w:ascii="仿宋" w:hAnsi="仿宋" w:eastAsia="仿宋"/>
          <w:color w:val="auto"/>
          <w:kern w:val="2"/>
          <w:sz w:val="32"/>
          <w:lang w:val="en-US"/>
        </w:rPr>
        <w:t>万元，</w:t>
      </w:r>
      <w:r>
        <w:rPr>
          <w:rFonts w:hint="eastAsia" w:ascii="仿宋_GB2312" w:hAnsi="仿宋_GB2312" w:eastAsia="仿宋_GB2312" w:cs="仿宋_GB2312"/>
          <w:color w:val="auto"/>
          <w:kern w:val="2"/>
          <w:sz w:val="32"/>
          <w:lang w:val="en-US"/>
        </w:rPr>
        <w:t>完成预算</w:t>
      </w:r>
      <w:r>
        <w:rPr>
          <w:rFonts w:hint="eastAsia" w:ascii="仿宋_GB2312" w:hAnsi="仿宋_GB2312" w:eastAsia="仿宋_GB2312" w:cs="仿宋_GB2312"/>
          <w:color w:val="auto"/>
          <w:kern w:val="2"/>
          <w:sz w:val="32"/>
          <w:lang w:val="en-US" w:eastAsia="zh-CN"/>
        </w:rPr>
        <w:t>100</w:t>
      </w:r>
      <w:r>
        <w:rPr>
          <w:rFonts w:hint="eastAsia" w:ascii="仿宋_GB2312" w:hAnsi="仿宋_GB2312" w:eastAsia="仿宋_GB2312" w:cs="仿宋_GB2312"/>
          <w:color w:val="auto"/>
          <w:kern w:val="2"/>
          <w:sz w:val="32"/>
          <w:lang w:val="en-US"/>
        </w:rPr>
        <w:t>%</w:t>
      </w:r>
      <w:r>
        <w:rPr>
          <w:rFonts w:hint="eastAsia" w:ascii="仿宋_GB2312" w:hAnsi="仿宋_GB2312" w:eastAsia="仿宋_GB2312" w:cs="仿宋_GB2312"/>
          <w:color w:val="auto"/>
          <w:kern w:val="2"/>
          <w:sz w:val="32"/>
          <w:lang w:val="en-US" w:eastAsia="zh-CN"/>
        </w:rPr>
        <w:t>。</w:t>
      </w:r>
    </w:p>
    <w:p>
      <w:pPr>
        <w:pStyle w:val="2"/>
        <w:numPr>
          <w:ilvl w:val="0"/>
          <w:numId w:val="0"/>
        </w:numPr>
        <w:ind w:firstLine="643" w:firstLineChars="200"/>
        <w:rPr>
          <w:rFonts w:hint="eastAsia" w:ascii="仿宋_GB2312" w:hAnsi="仿宋_GB2312" w:eastAsia="仿宋_GB2312" w:cs="仿宋_GB2312"/>
          <w:color w:val="auto"/>
          <w:kern w:val="2"/>
          <w:sz w:val="32"/>
          <w:lang w:val="en-US" w:eastAsia="zh-CN"/>
        </w:rPr>
      </w:pPr>
      <w:r>
        <w:rPr>
          <w:rFonts w:hint="eastAsia" w:ascii="仿宋_GB2312" w:hAnsi="仿宋_GB2312" w:eastAsia="仿宋_GB2312"/>
          <w:b/>
          <w:color w:val="000000"/>
          <w:kern w:val="2"/>
          <w:sz w:val="32"/>
          <w:lang w:val="en-US" w:eastAsia="zh-CN"/>
        </w:rPr>
        <w:t>17.交通运输支出</w:t>
      </w:r>
      <w:r>
        <w:rPr>
          <w:rFonts w:hint="eastAsia" w:ascii="仿宋_GB2312" w:hAnsi="仿宋_GB2312" w:eastAsia="仿宋_GB2312"/>
          <w:b/>
          <w:color w:val="000000"/>
          <w:kern w:val="2"/>
          <w:sz w:val="32"/>
          <w:lang w:val="en-US"/>
        </w:rPr>
        <w:t>（类）</w:t>
      </w:r>
      <w:r>
        <w:rPr>
          <w:rFonts w:hint="eastAsia" w:ascii="仿宋_GB2312" w:hAnsi="仿宋_GB2312" w:eastAsia="仿宋_GB2312"/>
          <w:b/>
          <w:color w:val="000000"/>
          <w:kern w:val="2"/>
          <w:sz w:val="32"/>
          <w:lang w:val="en-US" w:eastAsia="zh-CN"/>
        </w:rPr>
        <w:t>公路水路运输</w:t>
      </w:r>
      <w:r>
        <w:rPr>
          <w:rFonts w:hint="eastAsia" w:ascii="仿宋_GB2312" w:hAnsi="仿宋_GB2312" w:eastAsia="仿宋_GB2312"/>
          <w:b/>
          <w:color w:val="000000"/>
          <w:kern w:val="2"/>
          <w:sz w:val="32"/>
          <w:lang w:val="en-US"/>
        </w:rPr>
        <w:t>（款）公路运输管理（项）:</w:t>
      </w:r>
      <w:r>
        <w:rPr>
          <w:rFonts w:hint="eastAsia" w:ascii="仿宋" w:hAnsi="仿宋" w:eastAsia="仿宋"/>
          <w:color w:val="auto"/>
          <w:kern w:val="2"/>
          <w:sz w:val="32"/>
          <w:lang w:val="en-US"/>
        </w:rPr>
        <w:t>支出决算为</w:t>
      </w:r>
      <w:r>
        <w:rPr>
          <w:rFonts w:hint="eastAsia" w:ascii="仿宋" w:hAnsi="仿宋" w:eastAsia="仿宋"/>
          <w:color w:val="auto"/>
          <w:kern w:val="2"/>
          <w:sz w:val="32"/>
          <w:lang w:val="en-US" w:eastAsia="zh-CN"/>
        </w:rPr>
        <w:t>316.05</w:t>
      </w:r>
      <w:r>
        <w:rPr>
          <w:rFonts w:hint="eastAsia" w:ascii="仿宋" w:hAnsi="仿宋" w:eastAsia="仿宋"/>
          <w:color w:val="auto"/>
          <w:kern w:val="2"/>
          <w:sz w:val="32"/>
          <w:lang w:val="en-US"/>
        </w:rPr>
        <w:t>万元，</w:t>
      </w:r>
      <w:r>
        <w:rPr>
          <w:rFonts w:hint="eastAsia" w:ascii="仿宋_GB2312" w:hAnsi="仿宋_GB2312" w:eastAsia="仿宋_GB2312" w:cs="仿宋_GB2312"/>
          <w:color w:val="auto"/>
          <w:kern w:val="2"/>
          <w:sz w:val="32"/>
          <w:lang w:val="en-US"/>
        </w:rPr>
        <w:t>完成预算</w:t>
      </w:r>
      <w:r>
        <w:rPr>
          <w:rFonts w:hint="eastAsia" w:ascii="仿宋_GB2312" w:hAnsi="仿宋_GB2312" w:eastAsia="仿宋_GB2312" w:cs="仿宋_GB2312"/>
          <w:color w:val="auto"/>
          <w:kern w:val="2"/>
          <w:sz w:val="32"/>
          <w:lang w:val="en-US" w:eastAsia="zh-CN"/>
        </w:rPr>
        <w:t>100</w:t>
      </w:r>
      <w:r>
        <w:rPr>
          <w:rFonts w:hint="eastAsia" w:ascii="仿宋_GB2312" w:hAnsi="仿宋_GB2312" w:eastAsia="仿宋_GB2312" w:cs="仿宋_GB2312"/>
          <w:color w:val="auto"/>
          <w:kern w:val="2"/>
          <w:sz w:val="32"/>
          <w:lang w:val="en-US"/>
        </w:rPr>
        <w:t>%</w:t>
      </w:r>
      <w:r>
        <w:rPr>
          <w:rFonts w:hint="eastAsia" w:ascii="仿宋_GB2312" w:hAnsi="仿宋_GB2312" w:eastAsia="仿宋_GB2312" w:cs="仿宋_GB2312"/>
          <w:color w:val="auto"/>
          <w:kern w:val="2"/>
          <w:sz w:val="32"/>
          <w:lang w:val="en-US" w:eastAsia="zh-CN"/>
        </w:rPr>
        <w:t>。</w:t>
      </w:r>
    </w:p>
    <w:p>
      <w:pPr>
        <w:pStyle w:val="2"/>
        <w:numPr>
          <w:ilvl w:val="0"/>
          <w:numId w:val="0"/>
        </w:numPr>
        <w:ind w:firstLine="643" w:firstLineChars="200"/>
        <w:rPr>
          <w:rFonts w:hint="eastAsia" w:ascii="仿宋_GB2312" w:hAnsi="仿宋_GB2312" w:eastAsia="仿宋_GB2312" w:cs="仿宋_GB2312"/>
          <w:color w:val="auto"/>
          <w:kern w:val="2"/>
          <w:sz w:val="32"/>
          <w:lang w:val="en-US" w:eastAsia="zh-CN"/>
        </w:rPr>
      </w:pPr>
      <w:r>
        <w:rPr>
          <w:rFonts w:hint="eastAsia" w:ascii="仿宋_GB2312" w:hAnsi="仿宋_GB2312" w:eastAsia="仿宋_GB2312"/>
          <w:b/>
          <w:color w:val="000000"/>
          <w:kern w:val="2"/>
          <w:sz w:val="32"/>
          <w:lang w:val="en-US" w:eastAsia="zh-CN"/>
        </w:rPr>
        <w:t>18.交通运输支出</w:t>
      </w:r>
      <w:r>
        <w:rPr>
          <w:rFonts w:hint="eastAsia" w:ascii="仿宋_GB2312" w:hAnsi="仿宋_GB2312" w:eastAsia="仿宋_GB2312"/>
          <w:b/>
          <w:color w:val="000000"/>
          <w:kern w:val="2"/>
          <w:sz w:val="32"/>
          <w:lang w:val="en-US"/>
        </w:rPr>
        <w:t>（类）</w:t>
      </w:r>
      <w:r>
        <w:rPr>
          <w:rFonts w:hint="eastAsia" w:ascii="仿宋_GB2312" w:hAnsi="仿宋_GB2312" w:eastAsia="仿宋_GB2312"/>
          <w:b/>
          <w:color w:val="000000"/>
          <w:kern w:val="2"/>
          <w:sz w:val="32"/>
          <w:lang w:val="en-US" w:eastAsia="zh-CN"/>
        </w:rPr>
        <w:t>公路水路运输</w:t>
      </w:r>
      <w:r>
        <w:rPr>
          <w:rFonts w:hint="eastAsia" w:ascii="仿宋_GB2312" w:hAnsi="仿宋_GB2312" w:eastAsia="仿宋_GB2312"/>
          <w:b/>
          <w:color w:val="000000"/>
          <w:kern w:val="2"/>
          <w:sz w:val="32"/>
          <w:lang w:val="en-US"/>
        </w:rPr>
        <w:t>（款）其他公路水路运输支出（项）:</w:t>
      </w:r>
      <w:r>
        <w:rPr>
          <w:rFonts w:hint="eastAsia" w:ascii="仿宋" w:hAnsi="仿宋" w:eastAsia="仿宋"/>
          <w:color w:val="auto"/>
          <w:kern w:val="2"/>
          <w:sz w:val="32"/>
          <w:lang w:val="en-US"/>
        </w:rPr>
        <w:t>支出决算为</w:t>
      </w:r>
      <w:r>
        <w:rPr>
          <w:rFonts w:hint="eastAsia" w:ascii="仿宋" w:hAnsi="仿宋" w:eastAsia="仿宋"/>
          <w:color w:val="auto"/>
          <w:kern w:val="2"/>
          <w:sz w:val="32"/>
          <w:lang w:val="en-US" w:eastAsia="zh-CN"/>
        </w:rPr>
        <w:t>249.49</w:t>
      </w:r>
      <w:r>
        <w:rPr>
          <w:rFonts w:hint="eastAsia" w:ascii="仿宋" w:hAnsi="仿宋" w:eastAsia="仿宋"/>
          <w:color w:val="auto"/>
          <w:kern w:val="2"/>
          <w:sz w:val="32"/>
          <w:lang w:val="en-US"/>
        </w:rPr>
        <w:t>万元，</w:t>
      </w:r>
      <w:r>
        <w:rPr>
          <w:rFonts w:hint="eastAsia" w:ascii="仿宋_GB2312" w:hAnsi="仿宋_GB2312" w:eastAsia="仿宋_GB2312" w:cs="仿宋_GB2312"/>
          <w:color w:val="auto"/>
          <w:kern w:val="2"/>
          <w:sz w:val="32"/>
          <w:lang w:val="en-US"/>
        </w:rPr>
        <w:t>完成预算</w:t>
      </w:r>
      <w:r>
        <w:rPr>
          <w:rFonts w:hint="eastAsia" w:ascii="仿宋_GB2312" w:hAnsi="仿宋_GB2312" w:eastAsia="仿宋_GB2312" w:cs="仿宋_GB2312"/>
          <w:color w:val="auto"/>
          <w:kern w:val="2"/>
          <w:sz w:val="32"/>
          <w:lang w:val="en-US" w:eastAsia="zh-CN"/>
        </w:rPr>
        <w:t>100</w:t>
      </w:r>
      <w:r>
        <w:rPr>
          <w:rFonts w:hint="eastAsia" w:ascii="仿宋_GB2312" w:hAnsi="仿宋_GB2312" w:eastAsia="仿宋_GB2312" w:cs="仿宋_GB2312"/>
          <w:color w:val="auto"/>
          <w:kern w:val="2"/>
          <w:sz w:val="32"/>
          <w:lang w:val="en-US"/>
        </w:rPr>
        <w:t>%</w:t>
      </w:r>
      <w:r>
        <w:rPr>
          <w:rFonts w:hint="eastAsia" w:ascii="仿宋_GB2312" w:hAnsi="仿宋_GB2312" w:eastAsia="仿宋_GB2312" w:cs="仿宋_GB2312"/>
          <w:color w:val="auto"/>
          <w:kern w:val="2"/>
          <w:sz w:val="32"/>
          <w:lang w:val="en-US" w:eastAsia="zh-CN"/>
        </w:rPr>
        <w:t>。</w:t>
      </w:r>
    </w:p>
    <w:p>
      <w:pPr>
        <w:pStyle w:val="2"/>
        <w:numPr>
          <w:ilvl w:val="0"/>
          <w:numId w:val="0"/>
        </w:numPr>
        <w:ind w:firstLine="643" w:firstLineChars="200"/>
        <w:rPr>
          <w:rFonts w:hint="eastAsia" w:ascii="仿宋_GB2312" w:hAnsi="仿宋_GB2312" w:eastAsia="仿宋_GB2312" w:cs="仿宋_GB2312"/>
          <w:color w:val="auto"/>
          <w:kern w:val="2"/>
          <w:sz w:val="32"/>
          <w:lang w:val="en-US" w:eastAsia="zh-CN"/>
        </w:rPr>
      </w:pPr>
      <w:r>
        <w:rPr>
          <w:rFonts w:hint="eastAsia" w:ascii="仿宋_GB2312" w:hAnsi="仿宋_GB2312" w:eastAsia="仿宋_GB2312"/>
          <w:b/>
          <w:color w:val="000000"/>
          <w:kern w:val="2"/>
          <w:sz w:val="32"/>
          <w:lang w:val="en-US" w:eastAsia="zh-CN"/>
        </w:rPr>
        <w:t>19.交通运输支出</w:t>
      </w:r>
      <w:r>
        <w:rPr>
          <w:rFonts w:hint="eastAsia" w:ascii="仿宋_GB2312" w:hAnsi="仿宋_GB2312" w:eastAsia="仿宋_GB2312"/>
          <w:b/>
          <w:color w:val="000000"/>
          <w:kern w:val="2"/>
          <w:sz w:val="32"/>
          <w:lang w:val="en-US"/>
        </w:rPr>
        <w:t>（类）</w:t>
      </w:r>
      <w:r>
        <w:rPr>
          <w:rFonts w:hint="eastAsia" w:ascii="仿宋_GB2312" w:hAnsi="仿宋_GB2312" w:eastAsia="仿宋_GB2312"/>
          <w:b/>
          <w:color w:val="000000"/>
          <w:kern w:val="2"/>
          <w:sz w:val="32"/>
          <w:lang w:val="en-US" w:eastAsia="zh-CN"/>
        </w:rPr>
        <w:t>车辆购置税支出</w:t>
      </w:r>
      <w:r>
        <w:rPr>
          <w:rFonts w:hint="eastAsia" w:ascii="仿宋_GB2312" w:hAnsi="仿宋_GB2312" w:eastAsia="仿宋_GB2312"/>
          <w:b/>
          <w:color w:val="000000"/>
          <w:kern w:val="2"/>
          <w:sz w:val="32"/>
          <w:lang w:val="en-US"/>
        </w:rPr>
        <w:t>（款）车辆购置税用于公路等基础设施建设支出（项）:</w:t>
      </w:r>
      <w:r>
        <w:rPr>
          <w:rFonts w:hint="eastAsia" w:ascii="仿宋" w:hAnsi="仿宋" w:eastAsia="仿宋"/>
          <w:color w:val="auto"/>
          <w:kern w:val="2"/>
          <w:sz w:val="32"/>
          <w:lang w:val="en-US"/>
        </w:rPr>
        <w:t>支出决算为</w:t>
      </w:r>
      <w:r>
        <w:rPr>
          <w:rFonts w:hint="eastAsia" w:ascii="仿宋" w:hAnsi="仿宋" w:eastAsia="仿宋"/>
          <w:color w:val="auto"/>
          <w:kern w:val="2"/>
          <w:sz w:val="32"/>
          <w:lang w:val="en-US" w:eastAsia="zh-CN"/>
        </w:rPr>
        <w:t>141.24</w:t>
      </w:r>
      <w:r>
        <w:rPr>
          <w:rFonts w:hint="eastAsia" w:ascii="仿宋" w:hAnsi="仿宋" w:eastAsia="仿宋"/>
          <w:color w:val="auto"/>
          <w:kern w:val="2"/>
          <w:sz w:val="32"/>
          <w:lang w:val="en-US"/>
        </w:rPr>
        <w:t>万元，</w:t>
      </w:r>
      <w:r>
        <w:rPr>
          <w:rFonts w:hint="eastAsia" w:ascii="仿宋_GB2312" w:hAnsi="仿宋_GB2312" w:eastAsia="仿宋_GB2312" w:cs="仿宋_GB2312"/>
          <w:color w:val="auto"/>
          <w:kern w:val="2"/>
          <w:sz w:val="32"/>
          <w:lang w:val="en-US"/>
        </w:rPr>
        <w:t>完成预算</w:t>
      </w:r>
      <w:r>
        <w:rPr>
          <w:rFonts w:hint="eastAsia" w:ascii="仿宋_GB2312" w:hAnsi="仿宋_GB2312" w:eastAsia="仿宋_GB2312" w:cs="仿宋_GB2312"/>
          <w:color w:val="auto"/>
          <w:kern w:val="2"/>
          <w:sz w:val="32"/>
          <w:lang w:val="en-US" w:eastAsia="zh-CN"/>
        </w:rPr>
        <w:t>100</w:t>
      </w:r>
      <w:r>
        <w:rPr>
          <w:rFonts w:hint="eastAsia" w:ascii="仿宋_GB2312" w:hAnsi="仿宋_GB2312" w:eastAsia="仿宋_GB2312" w:cs="仿宋_GB2312"/>
          <w:color w:val="auto"/>
          <w:kern w:val="2"/>
          <w:sz w:val="32"/>
          <w:lang w:val="en-US"/>
        </w:rPr>
        <w:t>%</w:t>
      </w:r>
      <w:r>
        <w:rPr>
          <w:rFonts w:hint="eastAsia" w:ascii="仿宋_GB2312" w:hAnsi="仿宋_GB2312" w:eastAsia="仿宋_GB2312" w:cs="仿宋_GB2312"/>
          <w:color w:val="auto"/>
          <w:kern w:val="2"/>
          <w:sz w:val="32"/>
          <w:lang w:val="en-US" w:eastAsia="zh-CN"/>
        </w:rPr>
        <w:t>。</w:t>
      </w:r>
    </w:p>
    <w:p>
      <w:pPr>
        <w:pStyle w:val="2"/>
        <w:numPr>
          <w:ilvl w:val="0"/>
          <w:numId w:val="0"/>
        </w:numPr>
        <w:ind w:firstLine="643" w:firstLineChars="200"/>
        <w:rPr>
          <w:rFonts w:hint="eastAsia" w:ascii="仿宋_GB2312" w:hAnsi="仿宋_GB2312" w:eastAsia="仿宋_GB2312" w:cs="仿宋_GB2312"/>
          <w:color w:val="auto"/>
          <w:kern w:val="2"/>
          <w:sz w:val="32"/>
          <w:lang w:val="en-US" w:eastAsia="zh-CN"/>
        </w:rPr>
      </w:pPr>
      <w:r>
        <w:rPr>
          <w:rFonts w:hint="eastAsia" w:ascii="仿宋_GB2312" w:hAnsi="仿宋_GB2312" w:eastAsia="仿宋_GB2312"/>
          <w:b/>
          <w:color w:val="000000"/>
          <w:kern w:val="2"/>
          <w:sz w:val="32"/>
          <w:lang w:val="en-US" w:eastAsia="zh-CN"/>
        </w:rPr>
        <w:t>20.交通运输支出</w:t>
      </w:r>
      <w:r>
        <w:rPr>
          <w:rFonts w:hint="eastAsia" w:ascii="仿宋_GB2312" w:hAnsi="仿宋_GB2312" w:eastAsia="仿宋_GB2312"/>
          <w:b/>
          <w:color w:val="000000"/>
          <w:kern w:val="2"/>
          <w:sz w:val="32"/>
          <w:lang w:val="en-US"/>
        </w:rPr>
        <w:t>（类）</w:t>
      </w:r>
      <w:r>
        <w:rPr>
          <w:rFonts w:hint="eastAsia" w:ascii="仿宋_GB2312" w:hAnsi="仿宋_GB2312" w:eastAsia="仿宋_GB2312"/>
          <w:b/>
          <w:color w:val="000000"/>
          <w:kern w:val="2"/>
          <w:sz w:val="32"/>
          <w:lang w:val="en-US" w:eastAsia="zh-CN"/>
        </w:rPr>
        <w:t>车辆购置税支出</w:t>
      </w:r>
      <w:r>
        <w:rPr>
          <w:rFonts w:hint="eastAsia" w:ascii="仿宋_GB2312" w:hAnsi="仿宋_GB2312" w:eastAsia="仿宋_GB2312"/>
          <w:b/>
          <w:color w:val="000000"/>
          <w:kern w:val="2"/>
          <w:sz w:val="32"/>
          <w:lang w:val="en-US"/>
        </w:rPr>
        <w:t>（款）车辆购置税用于农村公路建设支出（项）:</w:t>
      </w:r>
      <w:r>
        <w:rPr>
          <w:rFonts w:hint="eastAsia" w:ascii="仿宋" w:hAnsi="仿宋" w:eastAsia="仿宋"/>
          <w:color w:val="auto"/>
          <w:kern w:val="2"/>
          <w:sz w:val="32"/>
          <w:lang w:val="en-US"/>
        </w:rPr>
        <w:t>支出决算为</w:t>
      </w:r>
      <w:r>
        <w:rPr>
          <w:rFonts w:hint="eastAsia" w:ascii="仿宋" w:hAnsi="仿宋" w:eastAsia="仿宋"/>
          <w:color w:val="auto"/>
          <w:kern w:val="2"/>
          <w:sz w:val="32"/>
          <w:lang w:val="en-US" w:eastAsia="zh-CN"/>
        </w:rPr>
        <w:t>141.00</w:t>
      </w:r>
      <w:r>
        <w:rPr>
          <w:rFonts w:hint="eastAsia" w:ascii="仿宋" w:hAnsi="仿宋" w:eastAsia="仿宋"/>
          <w:color w:val="auto"/>
          <w:kern w:val="2"/>
          <w:sz w:val="32"/>
          <w:lang w:val="en-US"/>
        </w:rPr>
        <w:t>万元，</w:t>
      </w:r>
      <w:r>
        <w:rPr>
          <w:rFonts w:hint="eastAsia" w:ascii="仿宋_GB2312" w:hAnsi="仿宋_GB2312" w:eastAsia="仿宋_GB2312" w:cs="仿宋_GB2312"/>
          <w:color w:val="auto"/>
          <w:kern w:val="2"/>
          <w:sz w:val="32"/>
          <w:lang w:val="en-US"/>
        </w:rPr>
        <w:t>完成预算</w:t>
      </w:r>
      <w:r>
        <w:rPr>
          <w:rFonts w:hint="eastAsia" w:ascii="仿宋_GB2312" w:hAnsi="仿宋_GB2312" w:eastAsia="仿宋_GB2312" w:cs="仿宋_GB2312"/>
          <w:color w:val="auto"/>
          <w:kern w:val="2"/>
          <w:sz w:val="32"/>
          <w:lang w:val="en-US" w:eastAsia="zh-CN"/>
        </w:rPr>
        <w:t>100</w:t>
      </w:r>
      <w:r>
        <w:rPr>
          <w:rFonts w:hint="eastAsia" w:ascii="仿宋_GB2312" w:hAnsi="仿宋_GB2312" w:eastAsia="仿宋_GB2312" w:cs="仿宋_GB2312"/>
          <w:color w:val="auto"/>
          <w:kern w:val="2"/>
          <w:sz w:val="32"/>
          <w:lang w:val="en-US"/>
        </w:rPr>
        <w:t>%</w:t>
      </w:r>
      <w:r>
        <w:rPr>
          <w:rFonts w:hint="eastAsia" w:ascii="仿宋_GB2312" w:hAnsi="仿宋_GB2312" w:eastAsia="仿宋_GB2312" w:cs="仿宋_GB2312"/>
          <w:color w:val="auto"/>
          <w:kern w:val="2"/>
          <w:sz w:val="32"/>
          <w:lang w:val="en-US" w:eastAsia="zh-CN"/>
        </w:rPr>
        <w:t>。</w:t>
      </w:r>
    </w:p>
    <w:p>
      <w:pPr>
        <w:pStyle w:val="2"/>
        <w:numPr>
          <w:ilvl w:val="0"/>
          <w:numId w:val="0"/>
        </w:numPr>
        <w:ind w:firstLine="643" w:firstLineChars="200"/>
        <w:rPr>
          <w:rFonts w:hint="eastAsia" w:ascii="仿宋_GB2312" w:hAnsi="仿宋_GB2312" w:eastAsia="仿宋_GB2312" w:cs="仿宋_GB2312"/>
          <w:color w:val="auto"/>
          <w:kern w:val="2"/>
          <w:sz w:val="32"/>
          <w:lang w:val="en-US" w:eastAsia="zh-CN"/>
        </w:rPr>
      </w:pPr>
      <w:r>
        <w:rPr>
          <w:rFonts w:hint="eastAsia" w:ascii="仿宋_GB2312" w:hAnsi="仿宋_GB2312" w:eastAsia="仿宋_GB2312"/>
          <w:b/>
          <w:color w:val="000000"/>
          <w:kern w:val="2"/>
          <w:sz w:val="32"/>
          <w:lang w:val="en-US" w:eastAsia="zh-CN"/>
        </w:rPr>
        <w:t>21.交通运输支出</w:t>
      </w:r>
      <w:r>
        <w:rPr>
          <w:rFonts w:hint="eastAsia" w:ascii="仿宋_GB2312" w:hAnsi="仿宋_GB2312" w:eastAsia="仿宋_GB2312"/>
          <w:b/>
          <w:color w:val="000000"/>
          <w:kern w:val="2"/>
          <w:sz w:val="32"/>
          <w:lang w:val="en-US"/>
        </w:rPr>
        <w:t>（类）</w:t>
      </w:r>
      <w:r>
        <w:rPr>
          <w:rFonts w:hint="eastAsia" w:ascii="仿宋_GB2312" w:hAnsi="仿宋_GB2312" w:eastAsia="仿宋_GB2312"/>
          <w:b/>
          <w:color w:val="000000"/>
          <w:kern w:val="2"/>
          <w:sz w:val="32"/>
          <w:lang w:val="en-US" w:eastAsia="zh-CN"/>
        </w:rPr>
        <w:t>其他交通运输支出</w:t>
      </w:r>
      <w:r>
        <w:rPr>
          <w:rFonts w:hint="eastAsia" w:ascii="仿宋_GB2312" w:hAnsi="仿宋_GB2312" w:eastAsia="仿宋_GB2312"/>
          <w:b/>
          <w:color w:val="000000"/>
          <w:kern w:val="2"/>
          <w:sz w:val="32"/>
          <w:lang w:val="en-US"/>
        </w:rPr>
        <w:t>（款）公共交通运营补助（项）:</w:t>
      </w:r>
      <w:r>
        <w:rPr>
          <w:rFonts w:hint="eastAsia" w:ascii="仿宋" w:hAnsi="仿宋" w:eastAsia="仿宋"/>
          <w:color w:val="auto"/>
          <w:kern w:val="2"/>
          <w:sz w:val="32"/>
          <w:lang w:val="en-US"/>
        </w:rPr>
        <w:t>支出决算为</w:t>
      </w:r>
      <w:r>
        <w:rPr>
          <w:rFonts w:hint="eastAsia" w:ascii="仿宋" w:hAnsi="仿宋" w:eastAsia="仿宋"/>
          <w:color w:val="auto"/>
          <w:kern w:val="2"/>
          <w:sz w:val="32"/>
          <w:lang w:val="en-US" w:eastAsia="zh-CN"/>
        </w:rPr>
        <w:t>331.06</w:t>
      </w:r>
      <w:r>
        <w:rPr>
          <w:rFonts w:hint="eastAsia" w:ascii="仿宋" w:hAnsi="仿宋" w:eastAsia="仿宋"/>
          <w:color w:val="auto"/>
          <w:kern w:val="2"/>
          <w:sz w:val="32"/>
          <w:lang w:val="en-US"/>
        </w:rPr>
        <w:t>万元，</w:t>
      </w:r>
      <w:r>
        <w:rPr>
          <w:rFonts w:hint="eastAsia" w:ascii="仿宋_GB2312" w:hAnsi="仿宋_GB2312" w:eastAsia="仿宋_GB2312" w:cs="仿宋_GB2312"/>
          <w:color w:val="auto"/>
          <w:kern w:val="2"/>
          <w:sz w:val="32"/>
          <w:lang w:val="en-US"/>
        </w:rPr>
        <w:t>完成预算</w:t>
      </w:r>
      <w:r>
        <w:rPr>
          <w:rFonts w:hint="eastAsia" w:ascii="仿宋_GB2312" w:hAnsi="仿宋_GB2312" w:eastAsia="仿宋_GB2312" w:cs="仿宋_GB2312"/>
          <w:color w:val="auto"/>
          <w:kern w:val="2"/>
          <w:sz w:val="32"/>
          <w:lang w:val="en-US" w:eastAsia="zh-CN"/>
        </w:rPr>
        <w:t>100</w:t>
      </w:r>
      <w:r>
        <w:rPr>
          <w:rFonts w:hint="eastAsia" w:ascii="仿宋_GB2312" w:hAnsi="仿宋_GB2312" w:eastAsia="仿宋_GB2312" w:cs="仿宋_GB2312"/>
          <w:color w:val="auto"/>
          <w:kern w:val="2"/>
          <w:sz w:val="32"/>
          <w:lang w:val="en-US"/>
        </w:rPr>
        <w:t>%</w:t>
      </w:r>
      <w:r>
        <w:rPr>
          <w:rFonts w:hint="eastAsia" w:ascii="仿宋_GB2312" w:hAnsi="仿宋_GB2312" w:eastAsia="仿宋_GB2312" w:cs="仿宋_GB2312"/>
          <w:color w:val="auto"/>
          <w:kern w:val="2"/>
          <w:sz w:val="32"/>
          <w:lang w:val="en-US" w:eastAsia="zh-CN"/>
        </w:rPr>
        <w:t>。</w:t>
      </w:r>
    </w:p>
    <w:p>
      <w:pPr>
        <w:pStyle w:val="2"/>
        <w:numPr>
          <w:ilvl w:val="0"/>
          <w:numId w:val="0"/>
        </w:numPr>
        <w:ind w:firstLine="643" w:firstLineChars="200"/>
        <w:rPr>
          <w:rFonts w:hint="eastAsia" w:ascii="仿宋_GB2312" w:hAnsi="仿宋_GB2312" w:eastAsia="仿宋_GB2312" w:cs="仿宋_GB2312"/>
          <w:color w:val="auto"/>
          <w:kern w:val="2"/>
          <w:sz w:val="32"/>
          <w:lang w:val="en-US" w:eastAsia="zh-CN"/>
        </w:rPr>
      </w:pPr>
      <w:r>
        <w:rPr>
          <w:rFonts w:hint="eastAsia" w:ascii="仿宋_GB2312" w:hAnsi="仿宋_GB2312" w:eastAsia="仿宋_GB2312"/>
          <w:b/>
          <w:color w:val="000000"/>
          <w:kern w:val="2"/>
          <w:sz w:val="32"/>
          <w:lang w:val="en-US" w:eastAsia="zh-CN"/>
        </w:rPr>
        <w:t>22.住房保障支出</w:t>
      </w:r>
      <w:r>
        <w:rPr>
          <w:rFonts w:hint="eastAsia" w:ascii="仿宋_GB2312" w:hAnsi="仿宋_GB2312" w:eastAsia="仿宋_GB2312"/>
          <w:b/>
          <w:color w:val="000000"/>
          <w:kern w:val="2"/>
          <w:sz w:val="32"/>
          <w:lang w:val="en-US"/>
        </w:rPr>
        <w:t>（类）</w:t>
      </w:r>
      <w:r>
        <w:rPr>
          <w:rFonts w:hint="eastAsia" w:ascii="仿宋_GB2312" w:hAnsi="仿宋_GB2312" w:eastAsia="仿宋_GB2312"/>
          <w:b/>
          <w:color w:val="000000"/>
          <w:kern w:val="2"/>
          <w:sz w:val="32"/>
          <w:lang w:val="en-US" w:eastAsia="zh-CN"/>
        </w:rPr>
        <w:t>住房改革支出</w:t>
      </w:r>
      <w:r>
        <w:rPr>
          <w:rFonts w:hint="eastAsia" w:ascii="仿宋_GB2312" w:hAnsi="仿宋_GB2312" w:eastAsia="仿宋_GB2312"/>
          <w:b/>
          <w:color w:val="000000"/>
          <w:kern w:val="2"/>
          <w:sz w:val="32"/>
          <w:lang w:val="en-US"/>
        </w:rPr>
        <w:t>（款）住房公积金（项）:</w:t>
      </w:r>
      <w:r>
        <w:rPr>
          <w:rFonts w:hint="eastAsia" w:ascii="仿宋" w:hAnsi="仿宋" w:eastAsia="仿宋"/>
          <w:color w:val="auto"/>
          <w:kern w:val="2"/>
          <w:sz w:val="32"/>
          <w:lang w:val="en-US"/>
        </w:rPr>
        <w:t>支出决算为</w:t>
      </w:r>
      <w:r>
        <w:rPr>
          <w:rFonts w:hint="eastAsia" w:ascii="仿宋" w:hAnsi="仿宋" w:eastAsia="仿宋"/>
          <w:color w:val="auto"/>
          <w:kern w:val="2"/>
          <w:sz w:val="32"/>
          <w:lang w:val="en-US" w:eastAsia="zh-CN"/>
        </w:rPr>
        <w:t>118.05</w:t>
      </w:r>
      <w:r>
        <w:rPr>
          <w:rFonts w:hint="eastAsia" w:ascii="仿宋" w:hAnsi="仿宋" w:eastAsia="仿宋"/>
          <w:color w:val="auto"/>
          <w:kern w:val="2"/>
          <w:sz w:val="32"/>
          <w:lang w:val="en-US"/>
        </w:rPr>
        <w:t>万元，</w:t>
      </w:r>
      <w:r>
        <w:rPr>
          <w:rFonts w:hint="eastAsia" w:ascii="仿宋_GB2312" w:hAnsi="仿宋_GB2312" w:eastAsia="仿宋_GB2312" w:cs="仿宋_GB2312"/>
          <w:color w:val="auto"/>
          <w:kern w:val="2"/>
          <w:sz w:val="32"/>
          <w:lang w:val="en-US"/>
        </w:rPr>
        <w:t>完成预算</w:t>
      </w:r>
      <w:r>
        <w:rPr>
          <w:rFonts w:hint="eastAsia" w:ascii="仿宋_GB2312" w:hAnsi="仿宋_GB2312" w:eastAsia="仿宋_GB2312" w:cs="仿宋_GB2312"/>
          <w:color w:val="auto"/>
          <w:kern w:val="2"/>
          <w:sz w:val="32"/>
          <w:lang w:val="en-US" w:eastAsia="zh-CN"/>
        </w:rPr>
        <w:t>100</w:t>
      </w:r>
      <w:r>
        <w:rPr>
          <w:rFonts w:hint="eastAsia" w:ascii="仿宋_GB2312" w:hAnsi="仿宋_GB2312" w:eastAsia="仿宋_GB2312" w:cs="仿宋_GB2312"/>
          <w:color w:val="auto"/>
          <w:kern w:val="2"/>
          <w:sz w:val="32"/>
          <w:lang w:val="en-US"/>
        </w:rPr>
        <w:t>%</w:t>
      </w:r>
      <w:r>
        <w:rPr>
          <w:rFonts w:hint="eastAsia" w:ascii="仿宋_GB2312" w:hAnsi="仿宋_GB2312" w:eastAsia="仿宋_GB2312" w:cs="仿宋_GB2312"/>
          <w:color w:val="auto"/>
          <w:kern w:val="2"/>
          <w:sz w:val="32"/>
          <w:lang w:val="en-US" w:eastAsia="zh-CN"/>
        </w:rPr>
        <w:t>。</w:t>
      </w:r>
    </w:p>
    <w:p>
      <w:pPr>
        <w:pStyle w:val="5"/>
        <w:keepNext/>
        <w:keepLines/>
        <w:spacing w:before="260" w:beforeLines="0" w:after="260" w:afterLines="0" w:line="576" w:lineRule="exact"/>
        <w:ind w:firstLine="640"/>
        <w:jc w:val="both"/>
        <w:rPr>
          <w:rFonts w:hint="default" w:ascii="黑体" w:hAnsi="黑体" w:eastAsia="黑体"/>
          <w:color w:val="000000"/>
          <w:kern w:val="2"/>
          <w:sz w:val="32"/>
          <w:szCs w:val="22"/>
          <w:lang w:val="zh-CN"/>
        </w:rPr>
      </w:pPr>
      <w:bookmarkStart w:id="37" w:name="_Toc1269_WPSOffice_Level2"/>
      <w:r>
        <w:rPr>
          <w:rFonts w:hint="eastAsia" w:ascii="黑体" w:hAnsi="黑体" w:eastAsia="黑体"/>
          <w:color w:val="000000"/>
          <w:kern w:val="2"/>
          <w:sz w:val="32"/>
          <w:szCs w:val="22"/>
          <w:lang w:val="zh-CN"/>
        </w:rPr>
        <w:t>六、一般公共预算财政拨款基本支出决算情况说明</w:t>
      </w:r>
      <w:bookmarkEnd w:id="37"/>
      <w:r>
        <w:rPr>
          <w:rFonts w:hint="eastAsia" w:ascii="黑体" w:hAnsi="黑体" w:eastAsia="黑体"/>
          <w:color w:val="000000"/>
          <w:kern w:val="2"/>
          <w:sz w:val="32"/>
          <w:szCs w:val="22"/>
          <w:lang w:val="zh-CN"/>
        </w:rPr>
        <w:tab/>
      </w:r>
    </w:p>
    <w:p>
      <w:pPr>
        <w:spacing w:beforeLines="0" w:afterLines="0" w:line="576" w:lineRule="exact"/>
        <w:ind w:firstLine="640"/>
        <w:jc w:val="both"/>
        <w:rPr>
          <w:rFonts w:hint="eastAsia" w:ascii="仿宋_GB2312" w:hAnsi="仿宋_GB2312" w:eastAsia="仿宋_GB2312"/>
          <w:color w:val="000000"/>
          <w:kern w:val="2"/>
          <w:sz w:val="32"/>
          <w:lang w:val="zh-CN"/>
        </w:rPr>
      </w:pPr>
      <w:r>
        <w:rPr>
          <w:rFonts w:hint="eastAsia" w:ascii="仿宋_GB2312" w:hAnsi="仿宋_GB2312" w:eastAsia="仿宋_GB2312"/>
          <w:color w:val="000000"/>
          <w:kern w:val="2"/>
          <w:sz w:val="32"/>
          <w:lang w:val="zh-CN"/>
        </w:rPr>
        <w:t>2022年一般公共预算财政拨款基本支出1,862.73万元，其中：</w:t>
      </w:r>
    </w:p>
    <w:p>
      <w:pPr>
        <w:spacing w:beforeLines="0" w:afterLines="0" w:line="576" w:lineRule="exact"/>
        <w:ind w:firstLine="643"/>
        <w:jc w:val="both"/>
        <w:rPr>
          <w:rFonts w:hint="eastAsia" w:ascii="仿宋_GB2312" w:hAnsi="仿宋_GB2312" w:eastAsia="仿宋_GB2312"/>
          <w:color w:val="000000"/>
          <w:kern w:val="2"/>
          <w:sz w:val="32"/>
          <w:lang w:val="zh-CN"/>
        </w:rPr>
      </w:pPr>
      <w:r>
        <w:rPr>
          <w:rFonts w:hint="eastAsia" w:ascii="仿宋_GB2312" w:hAnsi="仿宋_GB2312" w:eastAsia="仿宋_GB2312"/>
          <w:b/>
          <w:color w:val="000000"/>
          <w:kern w:val="2"/>
          <w:sz w:val="32"/>
          <w:lang w:val="zh-CN"/>
        </w:rPr>
        <w:t>人员经费</w:t>
      </w:r>
      <w:r>
        <w:rPr>
          <w:rFonts w:hint="eastAsia" w:ascii="仿宋_GB2312" w:hAnsi="仿宋_GB2312" w:eastAsia="仿宋_GB2312"/>
          <w:color w:val="000000"/>
          <w:kern w:val="2"/>
          <w:sz w:val="32"/>
          <w:lang w:val="zh-CN"/>
        </w:rPr>
        <w:t>1,622.71万元，主要包括：</w:t>
      </w:r>
      <w:r>
        <w:rPr>
          <w:rFonts w:hint="eastAsia" w:ascii="仿宋" w:hAnsi="仿宋" w:eastAsia="仿宋"/>
          <w:color w:val="auto"/>
          <w:kern w:val="2"/>
          <w:sz w:val="32"/>
          <w:lang w:val="en-US"/>
        </w:rPr>
        <w:t>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仿宋_GB2312" w:hAnsi="仿宋_GB2312" w:eastAsia="仿宋_GB2312"/>
          <w:color w:val="000000"/>
          <w:kern w:val="2"/>
          <w:sz w:val="32"/>
          <w:lang w:val="zh-CN"/>
        </w:rPr>
        <w:t>。</w:t>
      </w:r>
    </w:p>
    <w:p>
      <w:pPr>
        <w:spacing w:beforeLines="0" w:afterLines="0" w:line="576" w:lineRule="exact"/>
        <w:ind w:firstLine="643"/>
        <w:jc w:val="both"/>
        <w:rPr>
          <w:rFonts w:hint="eastAsia" w:ascii="仿宋_GB2312" w:hAnsi="仿宋_GB2312" w:eastAsia="仿宋_GB2312"/>
          <w:color w:val="000000"/>
          <w:kern w:val="2"/>
          <w:sz w:val="32"/>
          <w:lang w:val="zh-CN"/>
        </w:rPr>
      </w:pPr>
      <w:r>
        <w:rPr>
          <w:rFonts w:hint="eastAsia" w:ascii="仿宋_GB2312" w:hAnsi="仿宋_GB2312" w:eastAsia="仿宋_GB2312"/>
          <w:b/>
          <w:color w:val="000000"/>
          <w:kern w:val="2"/>
          <w:sz w:val="32"/>
          <w:lang w:val="zh-CN"/>
        </w:rPr>
        <w:t>公用经费</w:t>
      </w:r>
      <w:r>
        <w:rPr>
          <w:rFonts w:hint="eastAsia" w:ascii="仿宋_GB2312" w:hAnsi="仿宋_GB2312" w:eastAsia="仿宋_GB2312"/>
          <w:color w:val="000000"/>
          <w:kern w:val="2"/>
          <w:sz w:val="32"/>
          <w:lang w:val="zh-CN"/>
        </w:rPr>
        <w:t>240.01万元，主要包括：</w:t>
      </w:r>
      <w:r>
        <w:rPr>
          <w:rFonts w:hint="eastAsia" w:ascii="仿宋" w:hAnsi="仿宋" w:eastAsia="仿宋"/>
          <w:color w:val="auto"/>
          <w:kern w:val="2"/>
          <w:sz w:val="32"/>
          <w:lang w:val="en-US"/>
        </w:rPr>
        <w:t>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r>
        <w:rPr>
          <w:rFonts w:hint="eastAsia" w:ascii="仿宋_GB2312" w:hAnsi="仿宋_GB2312" w:eastAsia="仿宋_GB2312"/>
          <w:color w:val="000000"/>
          <w:kern w:val="2"/>
          <w:sz w:val="32"/>
          <w:lang w:val="zh-CN"/>
        </w:rPr>
        <w:t>。</w:t>
      </w:r>
    </w:p>
    <w:p>
      <w:pPr>
        <w:pStyle w:val="5"/>
        <w:keepNext/>
        <w:keepLines/>
        <w:spacing w:before="260" w:beforeLines="0" w:after="260" w:afterLines="0" w:line="576" w:lineRule="exact"/>
        <w:ind w:firstLine="640"/>
        <w:jc w:val="both"/>
        <w:rPr>
          <w:rFonts w:hint="eastAsia" w:ascii="黑体" w:hAnsi="黑体" w:eastAsia="黑体"/>
          <w:color w:val="000000"/>
          <w:kern w:val="2"/>
          <w:sz w:val="32"/>
          <w:szCs w:val="22"/>
          <w:lang w:val="zh-CN"/>
        </w:rPr>
      </w:pPr>
      <w:bookmarkStart w:id="38" w:name="_Toc32418_WPSOffice_Level2"/>
      <w:r>
        <w:rPr>
          <w:rFonts w:hint="eastAsia" w:ascii="黑体" w:hAnsi="黑体" w:eastAsia="黑体"/>
          <w:color w:val="000000"/>
          <w:kern w:val="2"/>
          <w:sz w:val="32"/>
          <w:szCs w:val="22"/>
          <w:lang w:val="zh-CN"/>
        </w:rPr>
        <w:t>七、</w:t>
      </w:r>
      <w:r>
        <w:rPr>
          <w:rFonts w:hint="default" w:ascii="黑体" w:hAnsi="黑体" w:eastAsia="黑体"/>
          <w:color w:val="000000"/>
          <w:kern w:val="2"/>
          <w:sz w:val="32"/>
          <w:szCs w:val="22"/>
          <w:lang w:val="zh-CN"/>
        </w:rPr>
        <w:t>“</w:t>
      </w:r>
      <w:r>
        <w:rPr>
          <w:rFonts w:hint="eastAsia" w:ascii="黑体" w:hAnsi="黑体" w:eastAsia="黑体"/>
          <w:color w:val="000000"/>
          <w:kern w:val="2"/>
          <w:sz w:val="32"/>
          <w:szCs w:val="22"/>
          <w:lang w:val="zh-CN"/>
        </w:rPr>
        <w:t>三公</w:t>
      </w:r>
      <w:r>
        <w:rPr>
          <w:rFonts w:hint="default" w:ascii="黑体" w:hAnsi="黑体" w:eastAsia="黑体"/>
          <w:color w:val="000000"/>
          <w:kern w:val="2"/>
          <w:sz w:val="32"/>
          <w:szCs w:val="22"/>
          <w:lang w:val="zh-CN"/>
        </w:rPr>
        <w:t>”</w:t>
      </w:r>
      <w:r>
        <w:rPr>
          <w:rFonts w:hint="eastAsia" w:ascii="黑体" w:hAnsi="黑体" w:eastAsia="黑体"/>
          <w:color w:val="000000"/>
          <w:kern w:val="2"/>
          <w:sz w:val="32"/>
          <w:szCs w:val="22"/>
          <w:lang w:val="zh-CN"/>
        </w:rPr>
        <w:t>经费财政拨款支出决算情况说明</w:t>
      </w:r>
      <w:bookmarkEnd w:id="38"/>
    </w:p>
    <w:p>
      <w:pPr>
        <w:numPr>
          <w:ilvl w:val="0"/>
          <w:numId w:val="1"/>
        </w:numPr>
        <w:spacing w:beforeLines="0" w:afterLines="0" w:line="576" w:lineRule="exact"/>
        <w:ind w:firstLine="643" w:firstLineChars="200"/>
        <w:jc w:val="both"/>
        <w:rPr>
          <w:rFonts w:hint="eastAsia" w:ascii="仿宋_GB2312" w:hAnsi="仿宋_GB2312" w:eastAsia="仿宋_GB2312"/>
          <w:b/>
          <w:color w:val="000000"/>
          <w:kern w:val="2"/>
          <w:sz w:val="32"/>
          <w:lang w:val="zh-CN"/>
        </w:rPr>
      </w:pPr>
      <w:r>
        <w:rPr>
          <w:rFonts w:hint="default" w:ascii="仿宋_GB2312" w:hAnsi="仿宋_GB2312" w:eastAsia="仿宋_GB2312"/>
          <w:b/>
          <w:color w:val="000000"/>
          <w:kern w:val="2"/>
          <w:sz w:val="32"/>
          <w:lang w:val="zh-CN"/>
        </w:rPr>
        <w:t>“</w:t>
      </w:r>
      <w:r>
        <w:rPr>
          <w:rFonts w:hint="eastAsia" w:ascii="仿宋_GB2312" w:hAnsi="仿宋_GB2312" w:eastAsia="仿宋_GB2312"/>
          <w:b/>
          <w:color w:val="000000"/>
          <w:kern w:val="2"/>
          <w:sz w:val="32"/>
          <w:lang w:val="zh-CN"/>
        </w:rPr>
        <w:t>三公</w:t>
      </w:r>
      <w:r>
        <w:rPr>
          <w:rFonts w:hint="default" w:ascii="仿宋_GB2312" w:hAnsi="仿宋_GB2312" w:eastAsia="仿宋_GB2312"/>
          <w:b/>
          <w:color w:val="000000"/>
          <w:kern w:val="2"/>
          <w:sz w:val="32"/>
          <w:lang w:val="zh-CN"/>
        </w:rPr>
        <w:t>”</w:t>
      </w:r>
      <w:r>
        <w:rPr>
          <w:rFonts w:hint="eastAsia" w:ascii="仿宋_GB2312" w:hAnsi="仿宋_GB2312" w:eastAsia="仿宋_GB2312"/>
          <w:b/>
          <w:color w:val="000000"/>
          <w:kern w:val="2"/>
          <w:sz w:val="32"/>
          <w:lang w:val="zh-CN"/>
        </w:rPr>
        <w:t>经费财政拨款支出决算总体情况说明</w:t>
      </w:r>
    </w:p>
    <w:p>
      <w:pPr>
        <w:numPr>
          <w:ilvl w:val="0"/>
          <w:numId w:val="0"/>
        </w:numPr>
        <w:spacing w:beforeLines="0" w:afterLines="0" w:line="576" w:lineRule="exact"/>
        <w:ind w:firstLine="640" w:firstLineChars="200"/>
        <w:jc w:val="both"/>
        <w:rPr>
          <w:rFonts w:hint="eastAsia" w:ascii="仿宋_GB2312" w:hAnsi="仿宋_GB2312" w:eastAsia="仿宋_GB2312"/>
          <w:color w:val="000000"/>
          <w:kern w:val="2"/>
          <w:sz w:val="32"/>
          <w:lang w:val="zh-CN"/>
        </w:rPr>
      </w:pPr>
      <w:r>
        <w:rPr>
          <w:rFonts w:hint="eastAsia" w:ascii="仿宋_GB2312" w:hAnsi="仿宋_GB2312" w:eastAsia="仿宋_GB2312"/>
          <w:color w:val="000000"/>
          <w:kern w:val="2"/>
          <w:sz w:val="32"/>
          <w:lang w:val="zh-CN"/>
        </w:rPr>
        <w:t>2022年</w:t>
      </w:r>
      <w:r>
        <w:rPr>
          <w:rFonts w:hint="default" w:ascii="仿宋_GB2312" w:hAnsi="仿宋_GB2312" w:eastAsia="仿宋_GB2312"/>
          <w:color w:val="000000"/>
          <w:kern w:val="2"/>
          <w:sz w:val="32"/>
          <w:lang w:val="zh-CN"/>
        </w:rPr>
        <w:t>“</w:t>
      </w:r>
      <w:r>
        <w:rPr>
          <w:rFonts w:hint="eastAsia" w:ascii="仿宋_GB2312" w:hAnsi="仿宋_GB2312" w:eastAsia="仿宋_GB2312"/>
          <w:color w:val="000000"/>
          <w:kern w:val="2"/>
          <w:sz w:val="32"/>
          <w:lang w:val="zh-CN"/>
        </w:rPr>
        <w:t>三公</w:t>
      </w:r>
      <w:r>
        <w:rPr>
          <w:rFonts w:hint="default" w:ascii="仿宋_GB2312" w:hAnsi="仿宋_GB2312" w:eastAsia="仿宋_GB2312"/>
          <w:color w:val="000000"/>
          <w:kern w:val="2"/>
          <w:sz w:val="32"/>
          <w:lang w:val="zh-CN"/>
        </w:rPr>
        <w:t>”</w:t>
      </w:r>
      <w:r>
        <w:rPr>
          <w:rFonts w:hint="eastAsia" w:ascii="仿宋_GB2312" w:hAnsi="仿宋_GB2312" w:eastAsia="仿宋_GB2312"/>
          <w:color w:val="000000"/>
          <w:kern w:val="2"/>
          <w:sz w:val="32"/>
          <w:lang w:val="zh-CN"/>
        </w:rPr>
        <w:t>经费财政拨款支出决算为10.37万元，完成预算78.2%；较上年减少10.38万元，下降50%。决算数小于预算数的主要原因是</w:t>
      </w:r>
      <w:r>
        <w:rPr>
          <w:rFonts w:hint="eastAsia" w:ascii="仿宋_GB2312" w:hAnsi="仿宋_GB2312" w:eastAsia="仿宋_GB2312" w:cs="仿宋_GB2312"/>
          <w:sz w:val="32"/>
          <w:szCs w:val="32"/>
        </w:rPr>
        <w:t>按照《党政机关厉行节约反对浪费条例》及省、市、区相关要求，简化接待工作；规范公务用车管理，降低了公务接待费和公务用车运行成本，</w:t>
      </w:r>
      <w:r>
        <w:rPr>
          <w:rFonts w:hint="eastAsia" w:ascii="仿宋_GB2312" w:hAnsi="仿宋_GB2312" w:eastAsia="仿宋_GB2312" w:cs="仿宋_GB2312"/>
          <w:sz w:val="32"/>
          <w:szCs w:val="32"/>
          <w:lang w:eastAsia="zh-CN"/>
        </w:rPr>
        <w:t>同时，下属单位编制公务用车运行费时误选成了其他交通费，</w:t>
      </w:r>
      <w:r>
        <w:rPr>
          <w:rFonts w:hint="eastAsia" w:ascii="仿宋_GB2312" w:hAnsi="仿宋_GB2312" w:eastAsia="仿宋_GB2312" w:cs="仿宋_GB2312"/>
          <w:sz w:val="32"/>
          <w:szCs w:val="32"/>
        </w:rPr>
        <w:t>使得202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年“三公”经费支出总额降低</w:t>
      </w:r>
      <w:r>
        <w:rPr>
          <w:rFonts w:hint="eastAsia" w:ascii="仿宋_GB2312" w:hAnsi="仿宋_GB2312" w:eastAsia="仿宋_GB2312"/>
          <w:color w:val="000000"/>
          <w:kern w:val="2"/>
          <w:sz w:val="32"/>
          <w:lang w:val="zh-CN"/>
        </w:rPr>
        <w:t>。</w:t>
      </w:r>
    </w:p>
    <w:p>
      <w:pPr>
        <w:keepNext/>
        <w:keepLines/>
        <w:spacing w:beforeLines="0" w:afterLines="0" w:line="576" w:lineRule="exact"/>
        <w:ind w:firstLine="643"/>
        <w:jc w:val="both"/>
        <w:rPr>
          <w:rFonts w:hint="eastAsia" w:ascii="仿宋_GB2312" w:hAnsi="仿宋_GB2312" w:eastAsia="仿宋_GB2312"/>
          <w:b/>
          <w:color w:val="000000"/>
          <w:kern w:val="2"/>
          <w:sz w:val="32"/>
          <w:lang w:val="zh-CN"/>
        </w:rPr>
      </w:pPr>
      <w:r>
        <w:rPr>
          <w:rFonts w:hint="eastAsia" w:ascii="仿宋_GB2312" w:hAnsi="仿宋_GB2312" w:eastAsia="仿宋_GB2312"/>
          <w:b/>
          <w:color w:val="000000"/>
          <w:kern w:val="2"/>
          <w:sz w:val="32"/>
          <w:lang w:val="zh-CN"/>
        </w:rPr>
        <w:t>（二）</w:t>
      </w:r>
      <w:r>
        <w:rPr>
          <w:rFonts w:hint="default" w:ascii="仿宋_GB2312" w:hAnsi="仿宋_GB2312" w:eastAsia="仿宋_GB2312"/>
          <w:b/>
          <w:color w:val="000000"/>
          <w:kern w:val="2"/>
          <w:sz w:val="32"/>
          <w:lang w:val="zh-CN"/>
        </w:rPr>
        <w:t>“</w:t>
      </w:r>
      <w:r>
        <w:rPr>
          <w:rFonts w:hint="eastAsia" w:ascii="仿宋_GB2312" w:hAnsi="仿宋_GB2312" w:eastAsia="仿宋_GB2312"/>
          <w:b/>
          <w:color w:val="000000"/>
          <w:kern w:val="2"/>
          <w:sz w:val="32"/>
          <w:lang w:val="zh-CN"/>
        </w:rPr>
        <w:t>三公</w:t>
      </w:r>
      <w:r>
        <w:rPr>
          <w:rFonts w:hint="default" w:ascii="仿宋_GB2312" w:hAnsi="仿宋_GB2312" w:eastAsia="仿宋_GB2312"/>
          <w:b/>
          <w:color w:val="000000"/>
          <w:kern w:val="2"/>
          <w:sz w:val="32"/>
          <w:lang w:val="zh-CN"/>
        </w:rPr>
        <w:t>”</w:t>
      </w:r>
      <w:r>
        <w:rPr>
          <w:rFonts w:hint="eastAsia" w:ascii="仿宋_GB2312" w:hAnsi="仿宋_GB2312" w:eastAsia="仿宋_GB2312"/>
          <w:b/>
          <w:color w:val="000000"/>
          <w:kern w:val="2"/>
          <w:sz w:val="32"/>
          <w:lang w:val="zh-CN"/>
        </w:rPr>
        <w:t>经费财政拨款支出决算具体情况说明</w:t>
      </w:r>
    </w:p>
    <w:p>
      <w:pPr>
        <w:keepNext/>
        <w:keepLines/>
        <w:spacing w:beforeLines="0" w:afterLines="0" w:line="576" w:lineRule="exact"/>
        <w:ind w:firstLine="640"/>
        <w:jc w:val="both"/>
        <w:rPr>
          <w:rFonts w:hint="eastAsia" w:ascii="仿宋_GB2312" w:hAnsi="仿宋_GB2312" w:eastAsia="仿宋_GB2312"/>
          <w:color w:val="000000"/>
          <w:kern w:val="2"/>
          <w:sz w:val="32"/>
          <w:lang w:val="zh-CN"/>
        </w:rPr>
      </w:pPr>
      <w:r>
        <w:rPr>
          <w:rFonts w:hint="eastAsia" w:ascii="仿宋_GB2312" w:hAnsi="仿宋_GB2312" w:eastAsia="仿宋_GB2312"/>
          <w:color w:val="000000"/>
          <w:kern w:val="2"/>
          <w:sz w:val="32"/>
          <w:lang w:val="zh-CN"/>
        </w:rPr>
        <w:t>2022年</w:t>
      </w:r>
      <w:r>
        <w:rPr>
          <w:rFonts w:hint="default" w:ascii="仿宋_GB2312" w:hAnsi="仿宋_GB2312" w:eastAsia="仿宋_GB2312"/>
          <w:color w:val="000000"/>
          <w:kern w:val="2"/>
          <w:sz w:val="32"/>
          <w:lang w:val="zh-CN"/>
        </w:rPr>
        <w:t>“</w:t>
      </w:r>
      <w:r>
        <w:rPr>
          <w:rFonts w:hint="eastAsia" w:ascii="仿宋_GB2312" w:hAnsi="仿宋_GB2312" w:eastAsia="仿宋_GB2312"/>
          <w:color w:val="000000"/>
          <w:kern w:val="2"/>
          <w:sz w:val="32"/>
          <w:lang w:val="zh-CN"/>
        </w:rPr>
        <w:t>三公</w:t>
      </w:r>
      <w:r>
        <w:rPr>
          <w:rFonts w:hint="default" w:ascii="仿宋_GB2312" w:hAnsi="仿宋_GB2312" w:eastAsia="仿宋_GB2312"/>
          <w:color w:val="000000"/>
          <w:kern w:val="2"/>
          <w:sz w:val="32"/>
          <w:lang w:val="zh-CN"/>
        </w:rPr>
        <w:t>”</w:t>
      </w:r>
      <w:r>
        <w:rPr>
          <w:rFonts w:hint="eastAsia" w:ascii="仿宋_GB2312" w:hAnsi="仿宋_GB2312" w:eastAsia="仿宋_GB2312"/>
          <w:color w:val="000000"/>
          <w:kern w:val="2"/>
          <w:sz w:val="32"/>
          <w:lang w:val="zh-CN"/>
        </w:rPr>
        <w:t>经费财政拨款支出决算中，因公出国（境）费支出决算0万元，占0%；公务用车购置及运行维护费支出决算8.89万元，占85.7%；公务接待费支出决算1.48万元，占14.3%。具体情况如下：</w:t>
      </w:r>
    </w:p>
    <w:p>
      <w:pPr>
        <w:spacing w:beforeLines="0" w:afterLines="0" w:line="600" w:lineRule="exact"/>
        <w:ind w:firstLine="640"/>
        <w:jc w:val="both"/>
        <w:rPr>
          <w:rFonts w:hint="eastAsia" w:ascii="仿宋" w:hAnsi="仿宋" w:eastAsia="仿宋"/>
          <w:color w:val="auto"/>
          <w:kern w:val="2"/>
          <w:sz w:val="32"/>
          <w:lang w:val="en-US"/>
        </w:rPr>
      </w:pPr>
    </w:p>
    <w:p>
      <w:pPr>
        <w:pStyle w:val="2"/>
        <w:rPr>
          <w:rFonts w:hint="eastAsia" w:eastAsia="仿宋"/>
          <w:lang w:val="en-US" w:eastAsia="zh-CN"/>
        </w:rPr>
      </w:pPr>
      <w:r>
        <w:rPr>
          <w:rFonts w:hint="eastAsia" w:eastAsia="仿宋"/>
          <w:lang w:val="en-US" w:eastAsia="zh-CN"/>
        </w:rPr>
        <w:drawing>
          <wp:inline distT="0" distB="0" distL="114300" distR="114300">
            <wp:extent cx="5334000" cy="3854450"/>
            <wp:effectExtent l="4445" t="4445" r="14605" b="825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jc w:val="center"/>
        <w:rPr>
          <w:rFonts w:hint="eastAsia" w:eastAsia="仿宋"/>
          <w:lang w:val="en-US" w:eastAsia="zh-CN"/>
        </w:rPr>
      </w:pPr>
      <w:r>
        <w:rPr>
          <w:rFonts w:hint="eastAsia" w:ascii="仿宋" w:hAnsi="仿宋" w:eastAsia="仿宋"/>
          <w:color w:val="auto"/>
          <w:kern w:val="2"/>
          <w:sz w:val="32"/>
          <w:lang w:val="en-US"/>
        </w:rPr>
        <w:t>图7：</w:t>
      </w:r>
      <w:r>
        <w:rPr>
          <w:rFonts w:hint="default" w:ascii="仿宋" w:hAnsi="仿宋" w:eastAsia="仿宋"/>
          <w:color w:val="auto"/>
          <w:kern w:val="2"/>
          <w:sz w:val="32"/>
          <w:lang w:val="en-US"/>
        </w:rPr>
        <w:t>“</w:t>
      </w:r>
      <w:r>
        <w:rPr>
          <w:rFonts w:hint="eastAsia" w:ascii="仿宋" w:hAnsi="仿宋" w:eastAsia="仿宋"/>
          <w:color w:val="auto"/>
          <w:kern w:val="2"/>
          <w:sz w:val="32"/>
          <w:lang w:val="en-US"/>
        </w:rPr>
        <w:t>三公</w:t>
      </w:r>
      <w:r>
        <w:rPr>
          <w:rFonts w:hint="default" w:ascii="仿宋" w:hAnsi="仿宋" w:eastAsia="仿宋"/>
          <w:color w:val="auto"/>
          <w:kern w:val="2"/>
          <w:sz w:val="32"/>
          <w:lang w:val="en-US"/>
        </w:rPr>
        <w:t>”</w:t>
      </w:r>
      <w:r>
        <w:rPr>
          <w:rFonts w:hint="eastAsia" w:ascii="仿宋" w:hAnsi="仿宋" w:eastAsia="仿宋"/>
          <w:color w:val="auto"/>
          <w:kern w:val="2"/>
          <w:sz w:val="32"/>
          <w:lang w:val="en-US"/>
        </w:rPr>
        <w:t>经费财政拨款支出结构（</w:t>
      </w:r>
      <w:r>
        <w:rPr>
          <w:rFonts w:hint="eastAsia" w:ascii="仿宋" w:hAnsi="仿宋" w:eastAsia="仿宋"/>
          <w:color w:val="auto"/>
          <w:kern w:val="2"/>
          <w:sz w:val="32"/>
          <w:lang w:val="en-US" w:eastAsia="zh-CN"/>
        </w:rPr>
        <w:t>单位：万元</w:t>
      </w:r>
      <w:r>
        <w:rPr>
          <w:rFonts w:hint="eastAsia" w:ascii="仿宋" w:hAnsi="仿宋" w:eastAsia="仿宋"/>
          <w:color w:val="auto"/>
          <w:kern w:val="2"/>
          <w:sz w:val="32"/>
          <w:lang w:val="en-US"/>
        </w:rPr>
        <w:t>）</w:t>
      </w:r>
    </w:p>
    <w:p>
      <w:pPr>
        <w:numPr>
          <w:ilvl w:val="0"/>
          <w:numId w:val="0"/>
        </w:numPr>
        <w:spacing w:line="600" w:lineRule="exact"/>
        <w:ind w:firstLine="643" w:firstLineChars="200"/>
        <w:rPr>
          <w:rFonts w:hint="eastAsia" w:ascii="仿宋_GB2312" w:eastAsia="仿宋_GB2312"/>
          <w:color w:val="000000"/>
          <w:sz w:val="32"/>
          <w:szCs w:val="32"/>
        </w:rPr>
      </w:pPr>
      <w:r>
        <w:rPr>
          <w:rFonts w:hint="eastAsia" w:ascii="仿宋_GB2312" w:hAnsi="仿宋_GB2312" w:eastAsia="仿宋_GB2312"/>
          <w:b/>
          <w:color w:val="000000"/>
          <w:kern w:val="2"/>
          <w:sz w:val="32"/>
          <w:lang w:val="en-US" w:eastAsia="zh-CN"/>
        </w:rPr>
        <w:t>1.</w:t>
      </w:r>
      <w:r>
        <w:rPr>
          <w:rFonts w:hint="eastAsia" w:ascii="仿宋_GB2312" w:hAnsi="仿宋_GB2312" w:eastAsia="仿宋_GB2312"/>
          <w:b/>
          <w:color w:val="000000"/>
          <w:kern w:val="2"/>
          <w:sz w:val="32"/>
          <w:lang w:val="zh-CN"/>
        </w:rPr>
        <w:t>因公出国（境）经费</w:t>
      </w:r>
      <w:r>
        <w:rPr>
          <w:rFonts w:hint="eastAsia" w:ascii="仿宋_GB2312" w:hAnsi="仿宋_GB2312" w:eastAsia="仿宋_GB2312"/>
          <w:color w:val="000000"/>
          <w:kern w:val="2"/>
          <w:sz w:val="32"/>
          <w:lang w:val="zh-CN"/>
        </w:rPr>
        <w:t>支出0万元，完成预算0%。全年安排因公出国（境）团组0个，出国（境）0人。因公出国（境）支出决算与2021年持平。主要原因是</w:t>
      </w:r>
      <w:r>
        <w:rPr>
          <w:rFonts w:hint="eastAsia" w:ascii="仿宋_GB2312" w:eastAsia="仿宋_GB2312"/>
          <w:color w:val="000000"/>
          <w:sz w:val="32"/>
          <w:szCs w:val="32"/>
        </w:rPr>
        <w:t>本单位无因公出国（境）事务。</w:t>
      </w:r>
    </w:p>
    <w:p>
      <w:pPr>
        <w:numPr>
          <w:ilvl w:val="0"/>
          <w:numId w:val="0"/>
        </w:numPr>
        <w:spacing w:line="600" w:lineRule="exact"/>
        <w:ind w:firstLine="643" w:firstLineChars="200"/>
        <w:rPr>
          <w:rFonts w:hint="eastAsia" w:ascii="仿宋_GB2312" w:hAnsi="仿宋_GB2312" w:eastAsia="仿宋_GB2312"/>
          <w:color w:val="000000"/>
          <w:kern w:val="2"/>
          <w:sz w:val="32"/>
          <w:lang w:val="zh-CN"/>
        </w:rPr>
      </w:pPr>
      <w:r>
        <w:rPr>
          <w:rFonts w:hint="eastAsia" w:ascii="仿宋_GB2312" w:hAnsi="仿宋_GB2312" w:eastAsia="仿宋_GB2312"/>
          <w:b/>
          <w:color w:val="000000"/>
          <w:kern w:val="2"/>
          <w:sz w:val="32"/>
          <w:lang w:val="en-US" w:eastAsia="zh-CN"/>
        </w:rPr>
        <w:t>2.</w:t>
      </w:r>
      <w:r>
        <w:rPr>
          <w:rFonts w:hint="eastAsia" w:ascii="仿宋_GB2312" w:hAnsi="仿宋_GB2312" w:eastAsia="仿宋_GB2312"/>
          <w:b/>
          <w:color w:val="000000"/>
          <w:kern w:val="2"/>
          <w:sz w:val="32"/>
          <w:lang w:val="zh-CN"/>
        </w:rPr>
        <w:t>公务用车购置及运行维护费</w:t>
      </w:r>
      <w:r>
        <w:rPr>
          <w:rFonts w:hint="eastAsia" w:ascii="仿宋_GB2312" w:hAnsi="仿宋_GB2312" w:eastAsia="仿宋_GB2312"/>
          <w:color w:val="000000"/>
          <w:kern w:val="2"/>
          <w:sz w:val="32"/>
          <w:lang w:val="zh-CN"/>
        </w:rPr>
        <w:t>支出8.89万元，完成预算89.2%。公务用车购置及运行维护费支出决算比2021年减少10.41万元，下降53.9%。主要原因是</w:t>
      </w:r>
      <w:r>
        <w:rPr>
          <w:rFonts w:hint="eastAsia" w:ascii="仿宋_GB2312" w:eastAsia="仿宋_GB2312"/>
          <w:color w:val="000000"/>
          <w:sz w:val="32"/>
          <w:szCs w:val="32"/>
        </w:rPr>
        <w:t>实行了公务用车改革，规范公务用车管理，减少车辆运行费用</w:t>
      </w:r>
      <w:r>
        <w:rPr>
          <w:rFonts w:hint="eastAsia" w:ascii="仿宋_GB2312" w:hAnsi="仿宋_GB2312" w:eastAsia="仿宋_GB2312"/>
          <w:color w:val="000000"/>
          <w:kern w:val="2"/>
          <w:sz w:val="32"/>
          <w:lang w:val="zh-CN"/>
        </w:rPr>
        <w:t>。</w:t>
      </w:r>
    </w:p>
    <w:p>
      <w:pPr>
        <w:numPr>
          <w:ilvl w:val="0"/>
          <w:numId w:val="0"/>
        </w:numPr>
        <w:spacing w:line="600" w:lineRule="exact"/>
        <w:ind w:firstLine="640" w:firstLineChars="200"/>
        <w:rPr>
          <w:rFonts w:hint="eastAsia" w:ascii="仿宋_GB2312" w:hAnsi="仿宋_GB2312" w:eastAsia="仿宋_GB2312"/>
          <w:color w:val="000000"/>
          <w:kern w:val="2"/>
          <w:sz w:val="32"/>
          <w:lang w:val="zh-CN"/>
        </w:rPr>
      </w:pPr>
      <w:r>
        <w:rPr>
          <w:rFonts w:hint="eastAsia" w:ascii="仿宋_GB2312" w:hAnsi="仿宋_GB2312" w:eastAsia="仿宋_GB2312"/>
          <w:color w:val="000000"/>
          <w:kern w:val="2"/>
          <w:sz w:val="32"/>
          <w:lang w:val="zh-CN"/>
        </w:rPr>
        <w:t>其中：</w:t>
      </w:r>
      <w:r>
        <w:rPr>
          <w:rFonts w:hint="eastAsia" w:ascii="仿宋_GB2312" w:hAnsi="仿宋_GB2312" w:eastAsia="仿宋_GB2312"/>
          <w:b/>
          <w:color w:val="000000"/>
          <w:kern w:val="2"/>
          <w:sz w:val="32"/>
          <w:lang w:val="zh-CN"/>
        </w:rPr>
        <w:t>公务用车购置费</w:t>
      </w:r>
      <w:r>
        <w:rPr>
          <w:rFonts w:hint="eastAsia" w:ascii="仿宋_GB2312" w:hAnsi="仿宋_GB2312" w:eastAsia="仿宋_GB2312"/>
          <w:color w:val="000000"/>
          <w:kern w:val="2"/>
          <w:sz w:val="32"/>
          <w:lang w:val="zh-CN"/>
        </w:rPr>
        <w:t>支出0万元。全年按规定更新购置公务用车0辆，其中：轿车</w:t>
      </w:r>
      <w:r>
        <w:rPr>
          <w:rFonts w:hint="eastAsia" w:ascii="仿宋_GB2312" w:hAnsi="仿宋_GB2312" w:eastAsia="仿宋_GB2312"/>
          <w:color w:val="000000"/>
          <w:kern w:val="2"/>
          <w:sz w:val="32"/>
          <w:lang w:val="en-US" w:eastAsia="zh-CN"/>
        </w:rPr>
        <w:t>0</w:t>
      </w:r>
      <w:r>
        <w:rPr>
          <w:rFonts w:hint="eastAsia" w:ascii="仿宋_GB2312" w:hAnsi="仿宋_GB2312" w:eastAsia="仿宋_GB2312"/>
          <w:color w:val="000000"/>
          <w:kern w:val="2"/>
          <w:sz w:val="32"/>
          <w:lang w:val="zh-CN"/>
        </w:rPr>
        <w:t>辆、金额</w:t>
      </w:r>
      <w:r>
        <w:rPr>
          <w:rFonts w:hint="eastAsia" w:ascii="仿宋_GB2312" w:hAnsi="仿宋_GB2312" w:eastAsia="仿宋_GB2312"/>
          <w:color w:val="000000"/>
          <w:kern w:val="2"/>
          <w:sz w:val="32"/>
          <w:lang w:val="en-US" w:eastAsia="zh-CN"/>
        </w:rPr>
        <w:t>0</w:t>
      </w:r>
      <w:r>
        <w:rPr>
          <w:rFonts w:hint="eastAsia" w:ascii="仿宋_GB2312" w:hAnsi="仿宋_GB2312" w:eastAsia="仿宋_GB2312"/>
          <w:color w:val="000000"/>
          <w:kern w:val="2"/>
          <w:sz w:val="32"/>
          <w:lang w:val="zh-CN"/>
        </w:rPr>
        <w:t>万元，越野车</w:t>
      </w:r>
      <w:r>
        <w:rPr>
          <w:rFonts w:hint="eastAsia" w:ascii="仿宋_GB2312" w:hAnsi="仿宋_GB2312" w:eastAsia="仿宋_GB2312"/>
          <w:color w:val="000000"/>
          <w:kern w:val="2"/>
          <w:sz w:val="32"/>
          <w:lang w:val="en-US" w:eastAsia="zh-CN"/>
        </w:rPr>
        <w:t>0</w:t>
      </w:r>
      <w:r>
        <w:rPr>
          <w:rFonts w:hint="eastAsia" w:ascii="仿宋_GB2312" w:hAnsi="仿宋_GB2312" w:eastAsia="仿宋_GB2312"/>
          <w:color w:val="000000"/>
          <w:kern w:val="2"/>
          <w:sz w:val="32"/>
          <w:lang w:val="zh-CN"/>
        </w:rPr>
        <w:t>辆、金额</w:t>
      </w:r>
      <w:r>
        <w:rPr>
          <w:rFonts w:hint="eastAsia" w:ascii="仿宋_GB2312" w:hAnsi="仿宋_GB2312" w:eastAsia="仿宋_GB2312"/>
          <w:color w:val="000000"/>
          <w:kern w:val="2"/>
          <w:sz w:val="32"/>
          <w:lang w:val="en-US" w:eastAsia="zh-CN"/>
        </w:rPr>
        <w:t>0</w:t>
      </w:r>
      <w:r>
        <w:rPr>
          <w:rFonts w:hint="eastAsia" w:ascii="仿宋_GB2312" w:hAnsi="仿宋_GB2312" w:eastAsia="仿宋_GB2312"/>
          <w:color w:val="000000"/>
          <w:kern w:val="2"/>
          <w:sz w:val="32"/>
          <w:lang w:val="zh-CN"/>
        </w:rPr>
        <w:t>万元，小型载客汽车</w:t>
      </w:r>
      <w:r>
        <w:rPr>
          <w:rFonts w:hint="eastAsia" w:ascii="仿宋_GB2312" w:hAnsi="仿宋_GB2312" w:eastAsia="仿宋_GB2312"/>
          <w:color w:val="000000"/>
          <w:kern w:val="2"/>
          <w:sz w:val="32"/>
          <w:lang w:val="en-US" w:eastAsia="zh-CN"/>
        </w:rPr>
        <w:t>0</w:t>
      </w:r>
      <w:r>
        <w:rPr>
          <w:rFonts w:hint="eastAsia" w:ascii="仿宋_GB2312" w:hAnsi="仿宋_GB2312" w:eastAsia="仿宋_GB2312"/>
          <w:color w:val="000000"/>
          <w:kern w:val="2"/>
          <w:sz w:val="32"/>
          <w:lang w:val="zh-CN"/>
        </w:rPr>
        <w:t>辆、金额</w:t>
      </w:r>
      <w:r>
        <w:rPr>
          <w:rFonts w:hint="eastAsia" w:ascii="仿宋_GB2312" w:hAnsi="仿宋_GB2312" w:eastAsia="仿宋_GB2312"/>
          <w:color w:val="000000"/>
          <w:kern w:val="2"/>
          <w:sz w:val="32"/>
          <w:lang w:val="en-US" w:eastAsia="zh-CN"/>
        </w:rPr>
        <w:t>0</w:t>
      </w:r>
      <w:r>
        <w:rPr>
          <w:rFonts w:hint="eastAsia" w:ascii="仿宋_GB2312" w:hAnsi="仿宋_GB2312" w:eastAsia="仿宋_GB2312"/>
          <w:color w:val="000000"/>
          <w:kern w:val="2"/>
          <w:sz w:val="32"/>
          <w:lang w:val="zh-CN"/>
        </w:rPr>
        <w:t>万元，大中型载客汽车</w:t>
      </w:r>
      <w:r>
        <w:rPr>
          <w:rFonts w:hint="eastAsia" w:ascii="仿宋_GB2312" w:hAnsi="仿宋_GB2312" w:eastAsia="仿宋_GB2312"/>
          <w:color w:val="000000"/>
          <w:kern w:val="2"/>
          <w:sz w:val="32"/>
          <w:lang w:val="en-US" w:eastAsia="zh-CN"/>
        </w:rPr>
        <w:t>0</w:t>
      </w:r>
      <w:r>
        <w:rPr>
          <w:rFonts w:hint="eastAsia" w:ascii="仿宋_GB2312" w:hAnsi="仿宋_GB2312" w:eastAsia="仿宋_GB2312"/>
          <w:color w:val="000000"/>
          <w:kern w:val="2"/>
          <w:sz w:val="32"/>
          <w:lang w:val="zh-CN"/>
        </w:rPr>
        <w:t>辆、金额</w:t>
      </w:r>
      <w:r>
        <w:rPr>
          <w:rFonts w:hint="eastAsia" w:ascii="仿宋_GB2312" w:hAnsi="仿宋_GB2312" w:eastAsia="仿宋_GB2312"/>
          <w:color w:val="000000"/>
          <w:kern w:val="2"/>
          <w:sz w:val="32"/>
          <w:lang w:val="en-US" w:eastAsia="zh-CN"/>
        </w:rPr>
        <w:t>0</w:t>
      </w:r>
      <w:r>
        <w:rPr>
          <w:rFonts w:hint="eastAsia" w:ascii="仿宋_GB2312" w:hAnsi="仿宋_GB2312" w:eastAsia="仿宋_GB2312"/>
          <w:color w:val="000000"/>
          <w:kern w:val="2"/>
          <w:sz w:val="32"/>
          <w:lang w:val="zh-CN"/>
        </w:rPr>
        <w:t>万元，其他车型</w:t>
      </w:r>
      <w:r>
        <w:rPr>
          <w:rFonts w:hint="eastAsia" w:ascii="仿宋_GB2312" w:hAnsi="仿宋_GB2312" w:eastAsia="仿宋_GB2312"/>
          <w:color w:val="000000"/>
          <w:kern w:val="2"/>
          <w:sz w:val="32"/>
          <w:lang w:val="en-US" w:eastAsia="zh-CN"/>
        </w:rPr>
        <w:t>0</w:t>
      </w:r>
      <w:r>
        <w:rPr>
          <w:rFonts w:hint="eastAsia" w:ascii="仿宋_GB2312" w:hAnsi="仿宋_GB2312" w:eastAsia="仿宋_GB2312"/>
          <w:color w:val="000000"/>
          <w:kern w:val="2"/>
          <w:sz w:val="32"/>
          <w:lang w:val="zh-CN"/>
        </w:rPr>
        <w:t>辆、金额</w:t>
      </w:r>
      <w:r>
        <w:rPr>
          <w:rFonts w:hint="eastAsia" w:ascii="仿宋_GB2312" w:hAnsi="仿宋_GB2312" w:eastAsia="仿宋_GB2312"/>
          <w:color w:val="000000"/>
          <w:kern w:val="2"/>
          <w:sz w:val="32"/>
          <w:lang w:val="en-US" w:eastAsia="zh-CN"/>
        </w:rPr>
        <w:t>0</w:t>
      </w:r>
      <w:r>
        <w:rPr>
          <w:rFonts w:hint="eastAsia" w:ascii="仿宋_GB2312" w:hAnsi="仿宋_GB2312" w:eastAsia="仿宋_GB2312"/>
          <w:color w:val="000000"/>
          <w:kern w:val="2"/>
          <w:sz w:val="32"/>
          <w:lang w:val="zh-CN"/>
        </w:rPr>
        <w:t>万元。截至2022年12月底，本部门共有公务用车8辆，其中：轿车</w:t>
      </w:r>
      <w:r>
        <w:rPr>
          <w:rFonts w:hint="eastAsia" w:ascii="仿宋_GB2312" w:hAnsi="仿宋_GB2312" w:eastAsia="仿宋_GB2312"/>
          <w:color w:val="000000"/>
          <w:kern w:val="2"/>
          <w:sz w:val="32"/>
          <w:lang w:val="en-US" w:eastAsia="zh-CN"/>
        </w:rPr>
        <w:t>1</w:t>
      </w:r>
      <w:r>
        <w:rPr>
          <w:rFonts w:hint="eastAsia" w:ascii="仿宋_GB2312" w:hAnsi="仿宋_GB2312" w:eastAsia="仿宋_GB2312"/>
          <w:color w:val="000000"/>
          <w:kern w:val="2"/>
          <w:sz w:val="32"/>
          <w:lang w:val="zh-CN"/>
        </w:rPr>
        <w:t>辆、越野车</w:t>
      </w:r>
      <w:r>
        <w:rPr>
          <w:rFonts w:hint="eastAsia" w:ascii="仿宋_GB2312" w:hAnsi="仿宋_GB2312" w:eastAsia="仿宋_GB2312"/>
          <w:color w:val="000000"/>
          <w:kern w:val="2"/>
          <w:sz w:val="32"/>
          <w:lang w:val="en-US" w:eastAsia="zh-CN"/>
        </w:rPr>
        <w:t>2</w:t>
      </w:r>
      <w:r>
        <w:rPr>
          <w:rFonts w:hint="eastAsia" w:ascii="仿宋_GB2312" w:hAnsi="仿宋_GB2312" w:eastAsia="仿宋_GB2312"/>
          <w:color w:val="000000"/>
          <w:kern w:val="2"/>
          <w:sz w:val="32"/>
          <w:lang w:val="zh-CN"/>
        </w:rPr>
        <w:t>辆、小型载客汽车</w:t>
      </w:r>
      <w:r>
        <w:rPr>
          <w:rFonts w:hint="eastAsia" w:ascii="仿宋_GB2312" w:hAnsi="仿宋_GB2312" w:eastAsia="仿宋_GB2312"/>
          <w:color w:val="000000"/>
          <w:kern w:val="2"/>
          <w:sz w:val="32"/>
          <w:lang w:val="en-US" w:eastAsia="zh-CN"/>
        </w:rPr>
        <w:t>1</w:t>
      </w:r>
      <w:r>
        <w:rPr>
          <w:rFonts w:hint="eastAsia" w:ascii="仿宋_GB2312" w:hAnsi="仿宋_GB2312" w:eastAsia="仿宋_GB2312"/>
          <w:color w:val="000000"/>
          <w:kern w:val="2"/>
          <w:sz w:val="32"/>
          <w:lang w:val="zh-CN"/>
        </w:rPr>
        <w:t>辆、大中型载客汽车</w:t>
      </w:r>
      <w:r>
        <w:rPr>
          <w:rFonts w:hint="eastAsia" w:ascii="仿宋_GB2312" w:hAnsi="仿宋_GB2312" w:eastAsia="仿宋_GB2312"/>
          <w:color w:val="000000"/>
          <w:kern w:val="2"/>
          <w:sz w:val="32"/>
          <w:lang w:val="en-US" w:eastAsia="zh-CN"/>
        </w:rPr>
        <w:t>0</w:t>
      </w:r>
      <w:r>
        <w:rPr>
          <w:rFonts w:hint="eastAsia" w:ascii="仿宋_GB2312" w:hAnsi="仿宋_GB2312" w:eastAsia="仿宋_GB2312"/>
          <w:color w:val="000000"/>
          <w:kern w:val="2"/>
          <w:sz w:val="32"/>
          <w:lang w:val="zh-CN"/>
        </w:rPr>
        <w:t>辆、其他车型</w:t>
      </w:r>
      <w:r>
        <w:rPr>
          <w:rFonts w:hint="eastAsia" w:ascii="仿宋_GB2312" w:hAnsi="仿宋_GB2312" w:eastAsia="仿宋_GB2312"/>
          <w:color w:val="000000"/>
          <w:kern w:val="2"/>
          <w:sz w:val="32"/>
          <w:lang w:val="en-US" w:eastAsia="zh-CN"/>
        </w:rPr>
        <w:t>4</w:t>
      </w:r>
      <w:r>
        <w:rPr>
          <w:rFonts w:hint="eastAsia" w:ascii="仿宋_GB2312" w:hAnsi="仿宋_GB2312" w:eastAsia="仿宋_GB2312"/>
          <w:color w:val="000000"/>
          <w:kern w:val="2"/>
          <w:sz w:val="32"/>
          <w:lang w:val="zh-CN"/>
        </w:rPr>
        <w:t>辆。</w:t>
      </w:r>
    </w:p>
    <w:p>
      <w:pPr>
        <w:numPr>
          <w:ilvl w:val="0"/>
          <w:numId w:val="0"/>
        </w:numPr>
        <w:spacing w:line="600" w:lineRule="exact"/>
        <w:ind w:firstLine="643" w:firstLineChars="200"/>
        <w:rPr>
          <w:rFonts w:hint="eastAsia" w:ascii="仿宋_GB2312" w:hAnsi="仿宋_GB2312" w:eastAsia="仿宋_GB2312"/>
          <w:color w:val="000000"/>
          <w:kern w:val="2"/>
          <w:sz w:val="32"/>
          <w:lang w:val="zh-CN"/>
        </w:rPr>
      </w:pPr>
      <w:r>
        <w:rPr>
          <w:rFonts w:hint="eastAsia" w:ascii="仿宋_GB2312" w:hAnsi="仿宋_GB2312" w:eastAsia="仿宋_GB2312"/>
          <w:b/>
          <w:color w:val="000000"/>
          <w:kern w:val="2"/>
          <w:sz w:val="32"/>
          <w:lang w:val="zh-CN"/>
        </w:rPr>
        <w:t>公务用车运行维护费</w:t>
      </w:r>
      <w:r>
        <w:rPr>
          <w:rFonts w:hint="eastAsia" w:ascii="仿宋_GB2312" w:hAnsi="仿宋_GB2312" w:eastAsia="仿宋_GB2312"/>
          <w:color w:val="000000"/>
          <w:kern w:val="2"/>
          <w:sz w:val="32"/>
          <w:lang w:val="zh-CN"/>
        </w:rPr>
        <w:t>支出8.89万元。主要用于</w:t>
      </w:r>
      <w:r>
        <w:rPr>
          <w:rFonts w:hint="eastAsia" w:ascii="仿宋_GB2312" w:eastAsia="仿宋_GB2312"/>
          <w:sz w:val="32"/>
          <w:szCs w:val="32"/>
        </w:rPr>
        <w:t>保障</w:t>
      </w:r>
      <w:r>
        <w:rPr>
          <w:rFonts w:hint="eastAsia" w:ascii="仿宋_GB2312" w:hAnsi="仿宋_GB2312" w:eastAsia="仿宋_GB2312" w:cs="仿宋_GB2312"/>
          <w:color w:val="000000"/>
          <w:sz w:val="32"/>
          <w:szCs w:val="32"/>
        </w:rPr>
        <w:t>国省干线公路、农村公路等路网的公路路政管理，海事管理，公路水路安全生产和应急管理，抢险救灾，公路水路和运输信息化建设等工作的开展</w:t>
      </w:r>
      <w:r>
        <w:rPr>
          <w:rFonts w:hint="eastAsia" w:ascii="仿宋_GB2312" w:hAnsi="仿宋_GB2312" w:eastAsia="仿宋_GB2312"/>
          <w:color w:val="000000"/>
          <w:kern w:val="2"/>
          <w:sz w:val="32"/>
          <w:lang w:val="zh-CN"/>
        </w:rPr>
        <w:t>所需的公务用车燃料费、维修费、过路过桥费、保险费等支出。</w:t>
      </w:r>
    </w:p>
    <w:p>
      <w:pPr>
        <w:numPr>
          <w:ilvl w:val="0"/>
          <w:numId w:val="0"/>
        </w:numPr>
        <w:spacing w:line="600" w:lineRule="exact"/>
        <w:ind w:firstLine="643" w:firstLineChars="200"/>
        <w:rPr>
          <w:rFonts w:hint="eastAsia" w:ascii="仿宋_GB2312" w:hAnsi="仿宋_GB2312" w:eastAsia="仿宋_GB2312"/>
          <w:color w:val="000000"/>
          <w:kern w:val="2"/>
          <w:sz w:val="32"/>
          <w:lang w:val="zh-CN"/>
        </w:rPr>
      </w:pPr>
      <w:r>
        <w:rPr>
          <w:rFonts w:hint="eastAsia" w:ascii="仿宋_GB2312" w:hAnsi="仿宋_GB2312" w:eastAsia="仿宋_GB2312"/>
          <w:b/>
          <w:color w:val="000000"/>
          <w:kern w:val="2"/>
          <w:sz w:val="32"/>
          <w:lang w:val="zh-CN"/>
        </w:rPr>
        <w:t>3.公务接待费</w:t>
      </w:r>
      <w:r>
        <w:rPr>
          <w:rFonts w:hint="eastAsia" w:ascii="仿宋_GB2312" w:hAnsi="仿宋_GB2312" w:eastAsia="仿宋_GB2312"/>
          <w:color w:val="000000"/>
          <w:kern w:val="2"/>
          <w:sz w:val="32"/>
          <w:lang w:val="zh-CN"/>
        </w:rPr>
        <w:t>支出1.48万元，完成预算45%。公务接待费支出决算比2021年增加0.03万元，增长2.1%。主要原因是今年接待相关单位到本部门交流学习有所增加。其中：</w:t>
      </w:r>
    </w:p>
    <w:p>
      <w:pPr>
        <w:numPr>
          <w:ilvl w:val="0"/>
          <w:numId w:val="0"/>
        </w:numPr>
        <w:spacing w:line="600" w:lineRule="exact"/>
        <w:ind w:firstLine="643" w:firstLineChars="200"/>
        <w:rPr>
          <w:rFonts w:hint="eastAsia" w:ascii="仿宋_GB2312" w:hAnsi="仿宋_GB2312" w:eastAsia="仿宋_GB2312"/>
          <w:color w:val="000000"/>
          <w:kern w:val="2"/>
          <w:sz w:val="32"/>
          <w:lang w:val="en-US"/>
        </w:rPr>
      </w:pPr>
      <w:r>
        <w:rPr>
          <w:rFonts w:hint="eastAsia" w:ascii="仿宋_GB2312" w:hAnsi="仿宋_GB2312" w:eastAsia="仿宋_GB2312"/>
          <w:b/>
          <w:color w:val="000000"/>
          <w:kern w:val="2"/>
          <w:sz w:val="32"/>
          <w:lang w:val="zh-CN"/>
        </w:rPr>
        <w:t>国内公务接待</w:t>
      </w:r>
      <w:r>
        <w:rPr>
          <w:rFonts w:hint="eastAsia" w:ascii="仿宋_GB2312" w:hAnsi="仿宋_GB2312" w:eastAsia="仿宋_GB2312"/>
          <w:color w:val="000000"/>
          <w:kern w:val="2"/>
          <w:sz w:val="32"/>
          <w:lang w:val="zh-CN"/>
        </w:rPr>
        <w:t>支出1.48万元。主要用于</w:t>
      </w:r>
      <w:r>
        <w:rPr>
          <w:rFonts w:hint="eastAsia" w:ascii="仿宋_GB2312" w:hAnsi="仿宋_GB2312" w:eastAsia="仿宋_GB2312"/>
          <w:color w:val="000000"/>
          <w:kern w:val="2"/>
          <w:sz w:val="32"/>
          <w:highlight w:val="white"/>
          <w:lang w:val="en-US"/>
        </w:rPr>
        <w:t>执行公务、开展业务活动开支的交通费、住宿费、用餐费等。</w:t>
      </w:r>
      <w:r>
        <w:rPr>
          <w:rFonts w:hint="eastAsia" w:ascii="仿宋_GB2312" w:hAnsi="仿宋_GB2312" w:eastAsia="仿宋_GB2312"/>
          <w:color w:val="000000"/>
          <w:kern w:val="2"/>
          <w:sz w:val="32"/>
          <w:lang w:val="zh-CN"/>
        </w:rPr>
        <w:t>国内公务接待16批次，157人次，共计支出1.48万元，具体内容包括</w:t>
      </w:r>
      <w:r>
        <w:rPr>
          <w:rFonts w:hint="eastAsia" w:ascii="仿宋_GB2312" w:hAnsi="仿宋_GB2312" w:eastAsia="仿宋_GB2312"/>
          <w:color w:val="auto"/>
          <w:kern w:val="2"/>
          <w:sz w:val="32"/>
          <w:highlight w:val="white"/>
          <w:lang w:val="en-US" w:eastAsia="zh-CN"/>
        </w:rPr>
        <w:t>相关单位到我区交流学习接待0.91万元；</w:t>
      </w:r>
      <w:r>
        <w:rPr>
          <w:rFonts w:hint="eastAsia" w:ascii="仿宋_GB2312" w:eastAsia="仿宋_GB2312"/>
          <w:color w:val="auto"/>
          <w:sz w:val="32"/>
          <w:szCs w:val="32"/>
        </w:rPr>
        <w:t>上级部门检查、考核</w:t>
      </w:r>
      <w:r>
        <w:rPr>
          <w:rFonts w:hint="eastAsia" w:ascii="仿宋_GB2312" w:eastAsia="仿宋_GB2312"/>
          <w:color w:val="auto"/>
          <w:sz w:val="32"/>
          <w:szCs w:val="32"/>
          <w:lang w:eastAsia="zh-CN"/>
        </w:rPr>
        <w:t>接待</w:t>
      </w:r>
      <w:r>
        <w:rPr>
          <w:rFonts w:hint="eastAsia" w:ascii="仿宋_GB2312" w:eastAsia="仿宋_GB2312"/>
          <w:color w:val="auto"/>
          <w:sz w:val="32"/>
          <w:szCs w:val="32"/>
          <w:lang w:val="en-US" w:eastAsia="zh-CN"/>
        </w:rPr>
        <w:t>0.57万元。</w:t>
      </w:r>
    </w:p>
    <w:p>
      <w:pPr>
        <w:keepNext/>
        <w:keepLines/>
        <w:spacing w:beforeLines="0" w:afterLines="0" w:line="576" w:lineRule="exact"/>
        <w:ind w:firstLine="643"/>
        <w:jc w:val="both"/>
        <w:rPr>
          <w:rFonts w:hint="eastAsia" w:ascii="仿宋_GB2312" w:hAnsi="仿宋_GB2312" w:eastAsia="仿宋_GB2312"/>
          <w:color w:val="000000"/>
          <w:kern w:val="2"/>
          <w:sz w:val="32"/>
          <w:lang w:val="en-US"/>
        </w:rPr>
      </w:pPr>
      <w:r>
        <w:rPr>
          <w:rFonts w:hint="eastAsia" w:ascii="仿宋_GB2312" w:hAnsi="仿宋_GB2312" w:eastAsia="仿宋_GB2312"/>
          <w:b/>
          <w:color w:val="000000"/>
          <w:kern w:val="2"/>
          <w:sz w:val="32"/>
          <w:lang w:val="zh-CN"/>
        </w:rPr>
        <w:t>外事接待</w:t>
      </w:r>
      <w:r>
        <w:rPr>
          <w:rFonts w:hint="eastAsia" w:ascii="仿宋_GB2312" w:hAnsi="仿宋_GB2312" w:eastAsia="仿宋_GB2312"/>
          <w:color w:val="000000"/>
          <w:kern w:val="2"/>
          <w:sz w:val="32"/>
          <w:lang w:val="zh-CN"/>
        </w:rPr>
        <w:t>支出0万元。外事接待0批次，0人，共计支出0万元。</w:t>
      </w:r>
    </w:p>
    <w:p>
      <w:pPr>
        <w:pStyle w:val="5"/>
        <w:keepNext/>
        <w:keepLines/>
        <w:spacing w:before="260" w:beforeLines="0" w:after="260" w:afterLines="0" w:line="576" w:lineRule="exact"/>
        <w:ind w:firstLine="640"/>
        <w:jc w:val="both"/>
        <w:rPr>
          <w:rFonts w:hint="eastAsia" w:ascii="黑体" w:hAnsi="黑体" w:eastAsia="黑体"/>
          <w:color w:val="000000"/>
          <w:kern w:val="2"/>
          <w:sz w:val="32"/>
          <w:szCs w:val="22"/>
          <w:lang w:val="zh-CN"/>
        </w:rPr>
      </w:pPr>
      <w:bookmarkStart w:id="39" w:name="_Toc30666_WPSOffice_Level2"/>
      <w:r>
        <w:rPr>
          <w:rFonts w:hint="eastAsia" w:ascii="黑体" w:hAnsi="黑体" w:eastAsia="黑体"/>
          <w:color w:val="000000"/>
          <w:kern w:val="2"/>
          <w:sz w:val="32"/>
          <w:szCs w:val="22"/>
          <w:lang w:val="zh-CN"/>
        </w:rPr>
        <w:t>八、政府性基金预算支出决算情况说明</w:t>
      </w:r>
      <w:bookmarkEnd w:id="39"/>
    </w:p>
    <w:p>
      <w:pPr>
        <w:spacing w:beforeLines="0" w:afterLines="0" w:line="576" w:lineRule="exact"/>
        <w:ind w:firstLine="640"/>
        <w:jc w:val="both"/>
        <w:rPr>
          <w:rFonts w:hint="eastAsia" w:ascii="仿宋_GB2312" w:hAnsi="仿宋_GB2312" w:eastAsia="仿宋_GB2312"/>
          <w:color w:val="000000"/>
          <w:kern w:val="2"/>
          <w:sz w:val="32"/>
          <w:lang w:val="zh-CN"/>
        </w:rPr>
      </w:pPr>
      <w:r>
        <w:rPr>
          <w:rFonts w:hint="eastAsia" w:ascii="仿宋_GB2312" w:hAnsi="仿宋_GB2312" w:eastAsia="仿宋_GB2312"/>
          <w:color w:val="000000"/>
          <w:kern w:val="2"/>
          <w:sz w:val="32"/>
          <w:lang w:val="zh-CN"/>
        </w:rPr>
        <w:t>2022年政府性基金预算拨款支出896.87万元。主要用于交通局机关及下属单位实施的部分交通建设项目支出。</w:t>
      </w:r>
    </w:p>
    <w:p>
      <w:pPr>
        <w:pStyle w:val="5"/>
        <w:keepNext/>
        <w:keepLines/>
        <w:spacing w:before="260" w:beforeLines="0" w:after="260" w:afterLines="0" w:line="576" w:lineRule="exact"/>
        <w:ind w:firstLine="640"/>
        <w:jc w:val="both"/>
        <w:rPr>
          <w:rFonts w:hint="eastAsia" w:ascii="黑体" w:hAnsi="黑体" w:eastAsia="黑体"/>
          <w:color w:val="000000"/>
          <w:kern w:val="2"/>
          <w:sz w:val="32"/>
          <w:szCs w:val="22"/>
          <w:lang w:val="zh-CN"/>
        </w:rPr>
      </w:pPr>
      <w:bookmarkStart w:id="40" w:name="_Toc3896_WPSOffice_Level2"/>
      <w:r>
        <w:rPr>
          <w:rFonts w:hint="eastAsia" w:ascii="黑体" w:hAnsi="黑体" w:eastAsia="黑体"/>
          <w:color w:val="000000"/>
          <w:kern w:val="2"/>
          <w:sz w:val="32"/>
          <w:szCs w:val="22"/>
          <w:lang w:val="zh-CN"/>
        </w:rPr>
        <w:t>九、国有资本经营预算支出决算情况说明</w:t>
      </w:r>
      <w:bookmarkEnd w:id="40"/>
    </w:p>
    <w:p>
      <w:pPr>
        <w:spacing w:beforeLines="0" w:afterLines="0" w:line="576" w:lineRule="exact"/>
        <w:ind w:firstLine="640"/>
        <w:jc w:val="both"/>
        <w:rPr>
          <w:rFonts w:hint="eastAsia" w:ascii="仿宋_GB2312" w:hAnsi="仿宋_GB2312" w:eastAsia="仿宋_GB2312"/>
          <w:color w:val="000000"/>
          <w:kern w:val="2"/>
          <w:sz w:val="32"/>
          <w:lang w:val="zh-CN"/>
        </w:rPr>
      </w:pPr>
      <w:r>
        <w:rPr>
          <w:rFonts w:hint="eastAsia" w:ascii="仿宋_GB2312" w:hAnsi="仿宋_GB2312" w:eastAsia="仿宋_GB2312"/>
          <w:color w:val="000000"/>
          <w:kern w:val="2"/>
          <w:sz w:val="32"/>
          <w:lang w:val="zh-CN"/>
        </w:rPr>
        <w:t>2022年国有资本经营预算拨款支出0万元。</w:t>
      </w:r>
    </w:p>
    <w:p>
      <w:pPr>
        <w:pStyle w:val="5"/>
        <w:keepNext/>
        <w:keepLines/>
        <w:spacing w:before="260" w:beforeLines="0" w:after="260" w:afterLines="0" w:line="576" w:lineRule="exact"/>
        <w:ind w:firstLine="640"/>
        <w:jc w:val="both"/>
        <w:rPr>
          <w:rFonts w:hint="eastAsia" w:ascii="黑体" w:hAnsi="黑体" w:eastAsia="黑体"/>
          <w:color w:val="000000"/>
          <w:kern w:val="2"/>
          <w:sz w:val="32"/>
          <w:szCs w:val="22"/>
          <w:lang w:val="zh-CN"/>
        </w:rPr>
      </w:pPr>
      <w:bookmarkStart w:id="41" w:name="_Toc24560_WPSOffice_Level2"/>
      <w:r>
        <w:rPr>
          <w:rFonts w:hint="eastAsia" w:ascii="黑体" w:hAnsi="黑体" w:eastAsia="黑体"/>
          <w:color w:val="000000"/>
          <w:kern w:val="2"/>
          <w:sz w:val="32"/>
          <w:szCs w:val="22"/>
          <w:lang w:val="zh-CN"/>
        </w:rPr>
        <w:t>十、其他重要事项的情况说明</w:t>
      </w:r>
      <w:bookmarkEnd w:id="41"/>
    </w:p>
    <w:p>
      <w:pPr>
        <w:keepNext/>
        <w:keepLines/>
        <w:spacing w:beforeLines="0" w:afterLines="0" w:line="576" w:lineRule="exact"/>
        <w:ind w:firstLine="643"/>
        <w:jc w:val="both"/>
        <w:rPr>
          <w:rFonts w:hint="eastAsia" w:ascii="仿宋_GB2312" w:hAnsi="仿宋_GB2312" w:eastAsia="仿宋_GB2312"/>
          <w:color w:val="000000"/>
          <w:kern w:val="2"/>
          <w:sz w:val="32"/>
          <w:lang w:val="zh-CN"/>
        </w:rPr>
      </w:pPr>
      <w:r>
        <w:rPr>
          <w:rFonts w:hint="eastAsia" w:ascii="仿宋_GB2312" w:hAnsi="仿宋_GB2312" w:eastAsia="仿宋_GB2312"/>
          <w:b/>
          <w:color w:val="000000"/>
          <w:kern w:val="2"/>
          <w:sz w:val="32"/>
          <w:lang w:val="zh-CN"/>
        </w:rPr>
        <w:t>（一）机关运行经费支出情况</w:t>
      </w:r>
    </w:p>
    <w:p>
      <w:pPr>
        <w:spacing w:beforeLines="0" w:afterLines="0" w:line="576" w:lineRule="exact"/>
        <w:ind w:firstLine="640"/>
        <w:jc w:val="both"/>
        <w:rPr>
          <w:rFonts w:hint="eastAsia" w:ascii="仿宋_GB2312" w:hAnsi="仿宋_GB2312" w:eastAsia="仿宋_GB2312"/>
          <w:color w:val="000000"/>
          <w:kern w:val="2"/>
          <w:sz w:val="32"/>
          <w:lang w:val="zh-CN"/>
        </w:rPr>
      </w:pPr>
      <w:r>
        <w:rPr>
          <w:rFonts w:hint="eastAsia" w:ascii="仿宋_GB2312" w:hAnsi="仿宋_GB2312" w:eastAsia="仿宋_GB2312"/>
          <w:color w:val="000000"/>
          <w:kern w:val="2"/>
          <w:sz w:val="32"/>
          <w:lang w:val="zh-CN"/>
        </w:rPr>
        <w:t>2022年，四川省德阳市罗江区交通运输局机关运行经费支出76.41万元，比2021年减少15.73万元，下降17.1%。主要原因是严格按中央、省、市及区级主管部门要求，落实过苦日子压缩经费开支。</w:t>
      </w:r>
    </w:p>
    <w:p>
      <w:pPr>
        <w:keepNext/>
        <w:keepLines/>
        <w:spacing w:beforeLines="0" w:afterLines="0" w:line="576" w:lineRule="exact"/>
        <w:ind w:firstLine="643"/>
        <w:jc w:val="both"/>
        <w:rPr>
          <w:rFonts w:hint="eastAsia" w:ascii="仿宋_GB2312" w:hAnsi="仿宋_GB2312" w:eastAsia="仿宋_GB2312"/>
          <w:b/>
          <w:color w:val="000000"/>
          <w:kern w:val="2"/>
          <w:sz w:val="32"/>
          <w:lang w:val="zh-CN"/>
        </w:rPr>
      </w:pPr>
      <w:r>
        <w:rPr>
          <w:rFonts w:hint="eastAsia" w:ascii="仿宋_GB2312" w:hAnsi="仿宋_GB2312" w:eastAsia="仿宋_GB2312"/>
          <w:b/>
          <w:color w:val="000000"/>
          <w:kern w:val="2"/>
          <w:sz w:val="32"/>
          <w:lang w:val="zh-CN"/>
        </w:rPr>
        <w:t>（二）政府采购支出情况</w:t>
      </w:r>
    </w:p>
    <w:p>
      <w:pPr>
        <w:spacing w:beforeLines="0" w:afterLines="0" w:line="576" w:lineRule="exact"/>
        <w:ind w:firstLine="640"/>
        <w:jc w:val="both"/>
        <w:rPr>
          <w:rFonts w:hint="eastAsia" w:ascii="仿宋_GB2312" w:hAnsi="仿宋_GB2312" w:eastAsia="仿宋_GB2312"/>
          <w:color w:val="000000"/>
          <w:kern w:val="2"/>
          <w:sz w:val="32"/>
          <w:lang w:val="zh-CN"/>
        </w:rPr>
      </w:pPr>
      <w:r>
        <w:rPr>
          <w:rFonts w:hint="eastAsia" w:ascii="仿宋_GB2312" w:hAnsi="仿宋_GB2312" w:eastAsia="仿宋_GB2312"/>
          <w:color w:val="000000"/>
          <w:kern w:val="2"/>
          <w:sz w:val="32"/>
          <w:lang w:val="zh-CN"/>
        </w:rPr>
        <w:t>2022年，四川省德阳市罗江区交通运输局政府采购支出总额0万元，其中：政府采购货物支出0万元、政府采购工程支出0万元、政府采购服务支出0万元。授予中小企业合同金额0万元，占政府采购支出总额的0%，其中：授予小微企业合同金额0万元，</w:t>
      </w:r>
      <w:r>
        <w:rPr>
          <w:rFonts w:hint="eastAsia" w:ascii="仿宋_GB2312" w:hAnsi="仿宋_GB2312" w:eastAsia="仿宋_GB2312"/>
          <w:color w:val="auto"/>
          <w:kern w:val="2"/>
          <w:sz w:val="32"/>
          <w:lang w:val="en-US"/>
        </w:rPr>
        <w:t>占政府采购支出总额的</w:t>
      </w:r>
      <w:r>
        <w:rPr>
          <w:rFonts w:hint="eastAsia" w:ascii="仿宋_GB2312" w:hAnsi="仿宋_GB2312" w:eastAsia="仿宋_GB2312"/>
          <w:color w:val="000000"/>
          <w:kern w:val="2"/>
          <w:sz w:val="32"/>
          <w:lang w:val="zh-CN"/>
        </w:rPr>
        <w:t>0%。</w:t>
      </w:r>
    </w:p>
    <w:p>
      <w:pPr>
        <w:keepNext/>
        <w:keepLines/>
        <w:spacing w:beforeLines="0" w:afterLines="0" w:line="576" w:lineRule="exact"/>
        <w:ind w:firstLine="643"/>
        <w:jc w:val="both"/>
        <w:rPr>
          <w:rFonts w:hint="eastAsia" w:ascii="仿宋_GB2312" w:hAnsi="仿宋_GB2312" w:eastAsia="仿宋_GB2312"/>
          <w:b/>
          <w:color w:val="000000"/>
          <w:kern w:val="2"/>
          <w:sz w:val="32"/>
          <w:lang w:val="zh-CN"/>
        </w:rPr>
      </w:pPr>
      <w:r>
        <w:rPr>
          <w:rFonts w:hint="eastAsia" w:ascii="仿宋_GB2312" w:hAnsi="仿宋_GB2312" w:eastAsia="仿宋_GB2312"/>
          <w:b/>
          <w:color w:val="000000"/>
          <w:kern w:val="2"/>
          <w:sz w:val="32"/>
          <w:lang w:val="zh-CN"/>
        </w:rPr>
        <w:t>（三）国有资产占有使用情况</w:t>
      </w:r>
    </w:p>
    <w:p>
      <w:pPr>
        <w:spacing w:beforeLines="0" w:afterLines="0" w:line="576" w:lineRule="exact"/>
        <w:ind w:firstLine="640"/>
        <w:rPr>
          <w:rFonts w:hint="eastAsia" w:ascii="仿宋_GB2312" w:hAnsi="仿宋_GB2312" w:eastAsia="仿宋_GB2312"/>
          <w:color w:val="000000"/>
          <w:kern w:val="2"/>
          <w:sz w:val="32"/>
          <w:lang w:val="zh-CN"/>
        </w:rPr>
      </w:pPr>
      <w:r>
        <w:rPr>
          <w:rFonts w:hint="eastAsia" w:ascii="仿宋_GB2312" w:hAnsi="仿宋_GB2312" w:eastAsia="仿宋_GB2312"/>
          <w:color w:val="000000"/>
          <w:kern w:val="2"/>
          <w:sz w:val="32"/>
          <w:lang w:val="zh-CN"/>
        </w:rPr>
        <w:t>截至2022年12月31日，四川省德阳市罗江区交通运输局共有车辆21辆，其中：副部（省）级及以上领导用车0辆、主要领导干部用车0辆、机要通信用车0辆、应急保障用车0辆、执法执勤用车1辆、特种专业技术用车4辆、离退休干部用车0辆、其他用车16辆。其中：其他用车主要是用于公路路政巡查、公路养护巡查用车及材料运输。单价100万元（含）以上设备0台（套)。</w:t>
      </w:r>
    </w:p>
    <w:p>
      <w:pPr>
        <w:keepNext/>
        <w:keepLines/>
        <w:spacing w:beforeLines="0" w:afterLines="0" w:line="576" w:lineRule="exact"/>
        <w:ind w:firstLine="643"/>
        <w:jc w:val="both"/>
        <w:rPr>
          <w:rFonts w:hint="eastAsia" w:ascii="仿宋_GB2312" w:hAnsi="仿宋_GB2312" w:eastAsia="仿宋_GB2312"/>
          <w:b/>
          <w:color w:val="000000"/>
          <w:kern w:val="2"/>
          <w:sz w:val="32"/>
          <w:lang w:val="zh-CN"/>
        </w:rPr>
      </w:pPr>
      <w:r>
        <w:rPr>
          <w:rFonts w:hint="eastAsia" w:ascii="仿宋_GB2312" w:hAnsi="仿宋_GB2312" w:eastAsia="仿宋_GB2312"/>
          <w:b/>
          <w:color w:val="000000"/>
          <w:kern w:val="2"/>
          <w:sz w:val="32"/>
          <w:lang w:val="zh-CN"/>
        </w:rPr>
        <w:t>（四）预算绩效管理情况。</w:t>
      </w:r>
    </w:p>
    <w:p>
      <w:pPr>
        <w:spacing w:beforeLines="0" w:afterLines="0" w:line="576" w:lineRule="exact"/>
        <w:ind w:firstLine="640"/>
        <w:jc w:val="both"/>
        <w:rPr>
          <w:rFonts w:hint="eastAsia" w:ascii="仿宋_GB2312" w:hAnsi="仿宋_GB2312" w:eastAsia="仿宋_GB2312"/>
          <w:color w:val="auto"/>
          <w:kern w:val="2"/>
          <w:sz w:val="32"/>
          <w:lang w:val="en-US"/>
        </w:rPr>
      </w:pPr>
      <w:r>
        <w:rPr>
          <w:rFonts w:hint="eastAsia" w:ascii="仿宋_GB2312" w:hAnsi="仿宋_GB2312" w:eastAsia="仿宋_GB2312"/>
          <w:color w:val="auto"/>
          <w:kern w:val="2"/>
          <w:sz w:val="32"/>
          <w:lang w:val="en-US"/>
        </w:rPr>
        <w:t>根据预算绩效管理要求，本部门在2022年度预算编制阶段，组织对</w:t>
      </w:r>
      <w:r>
        <w:rPr>
          <w:rFonts w:hint="eastAsia" w:ascii="仿宋_GB2312" w:hAnsi="仿宋_GB2312" w:eastAsia="仿宋_GB2312"/>
          <w:color w:val="auto"/>
          <w:kern w:val="2"/>
          <w:sz w:val="32"/>
          <w:lang w:val="en-US" w:eastAsia="zh-CN"/>
        </w:rPr>
        <w:t>公路小修保养、</w:t>
      </w:r>
      <w:r>
        <w:rPr>
          <w:rFonts w:hint="eastAsia" w:ascii="仿宋_GB2312" w:hAnsi="仿宋_GB2312" w:eastAsia="仿宋_GB2312" w:cs="仿宋_GB2312"/>
          <w:b w:val="0"/>
          <w:bCs w:val="0"/>
          <w:color w:val="auto"/>
          <w:kern w:val="2"/>
          <w:sz w:val="32"/>
          <w:szCs w:val="32"/>
          <w:lang w:val="en-US" w:eastAsia="zh-CN" w:bidi="ar-SA"/>
        </w:rPr>
        <w:t>略坪至广富等7条城乡公交线路运行成本补贴、</w:t>
      </w:r>
      <w:r>
        <w:rPr>
          <w:rFonts w:hint="eastAsia" w:ascii="仿宋_GB2312" w:hAnsi="仿宋_GB2312" w:eastAsia="仿宋_GB2312" w:cs="仿宋_GB2312"/>
          <w:color w:val="auto"/>
          <w:kern w:val="2"/>
          <w:sz w:val="32"/>
          <w:szCs w:val="32"/>
          <w:lang w:val="en-US" w:eastAsia="zh-CN" w:bidi="ar-SA"/>
        </w:rPr>
        <w:t>德罗城际公交补贴</w:t>
      </w:r>
      <w:r>
        <w:rPr>
          <w:rFonts w:hint="eastAsia" w:ascii="仿宋_GB2312" w:hAnsi="仿宋_GB2312" w:eastAsia="仿宋_GB2312"/>
          <w:color w:val="auto"/>
          <w:kern w:val="2"/>
          <w:sz w:val="32"/>
          <w:lang w:val="en-US"/>
        </w:rPr>
        <w:t>等</w:t>
      </w:r>
      <w:r>
        <w:rPr>
          <w:rFonts w:hint="eastAsia" w:ascii="仿宋_GB2312" w:hAnsi="仿宋_GB2312" w:eastAsia="仿宋_GB2312"/>
          <w:color w:val="auto"/>
          <w:kern w:val="2"/>
          <w:sz w:val="32"/>
          <w:lang w:val="en-US" w:eastAsia="zh-CN"/>
        </w:rPr>
        <w:t>29</w:t>
      </w:r>
      <w:r>
        <w:rPr>
          <w:rFonts w:hint="eastAsia" w:ascii="仿宋_GB2312" w:hAnsi="仿宋_GB2312" w:eastAsia="仿宋_GB2312"/>
          <w:color w:val="auto"/>
          <w:kern w:val="2"/>
          <w:sz w:val="32"/>
          <w:lang w:val="en-US"/>
        </w:rPr>
        <w:t>个项目开展了预算事前绩效评估，对</w:t>
      </w:r>
      <w:r>
        <w:rPr>
          <w:rFonts w:hint="eastAsia" w:ascii="仿宋_GB2312" w:hAnsi="仿宋_GB2312" w:eastAsia="仿宋_GB2312"/>
          <w:color w:val="auto"/>
          <w:kern w:val="2"/>
          <w:sz w:val="32"/>
          <w:lang w:val="en-US" w:eastAsia="zh-CN"/>
        </w:rPr>
        <w:t>29</w:t>
      </w:r>
      <w:r>
        <w:rPr>
          <w:rFonts w:hint="eastAsia" w:ascii="仿宋_GB2312" w:hAnsi="仿宋_GB2312" w:eastAsia="仿宋_GB2312"/>
          <w:color w:val="auto"/>
          <w:kern w:val="2"/>
          <w:sz w:val="32"/>
          <w:lang w:val="en-US"/>
        </w:rPr>
        <w:t>个项目编制了绩效目标，预算执行过程中，选取</w:t>
      </w:r>
      <w:r>
        <w:rPr>
          <w:rFonts w:hint="eastAsia" w:ascii="仿宋_GB2312" w:hAnsi="仿宋_GB2312" w:eastAsia="仿宋_GB2312"/>
          <w:color w:val="auto"/>
          <w:kern w:val="2"/>
          <w:sz w:val="32"/>
          <w:lang w:val="en-US" w:eastAsia="zh-CN"/>
        </w:rPr>
        <w:t>29</w:t>
      </w:r>
      <w:r>
        <w:rPr>
          <w:rFonts w:hint="eastAsia" w:ascii="仿宋_GB2312" w:hAnsi="仿宋_GB2312" w:eastAsia="仿宋_GB2312"/>
          <w:color w:val="auto"/>
          <w:kern w:val="2"/>
          <w:sz w:val="32"/>
          <w:lang w:val="en-US"/>
        </w:rPr>
        <w:t>个项目开展绩效监控。</w:t>
      </w:r>
    </w:p>
    <w:p>
      <w:pPr>
        <w:spacing w:beforeLines="0" w:afterLines="0" w:line="576" w:lineRule="exact"/>
        <w:ind w:firstLine="643"/>
        <w:jc w:val="both"/>
        <w:rPr>
          <w:rFonts w:hint="eastAsia" w:ascii="仿宋_GB2312" w:hAnsi="仿宋_GB2312" w:eastAsia="仿宋_GB2312"/>
          <w:color w:val="auto"/>
          <w:kern w:val="2"/>
          <w:sz w:val="32"/>
          <w:lang w:val="en-US"/>
        </w:rPr>
      </w:pPr>
      <w:r>
        <w:rPr>
          <w:rFonts w:hint="eastAsia" w:ascii="仿宋_GB2312" w:hAnsi="仿宋_GB2312" w:eastAsia="仿宋_GB2312"/>
          <w:color w:val="auto"/>
          <w:kern w:val="2"/>
          <w:sz w:val="32"/>
          <w:lang w:val="en-US"/>
        </w:rPr>
        <w:t>组织对2022年度一般公共预算、政府性基金预算等全面开展绩效自评，形成</w:t>
      </w:r>
      <w:r>
        <w:rPr>
          <w:rFonts w:hint="eastAsia" w:ascii="仿宋_GB2312" w:hAnsi="仿宋_GB2312" w:eastAsia="仿宋_GB2312"/>
          <w:color w:val="auto"/>
          <w:kern w:val="2"/>
          <w:sz w:val="32"/>
          <w:lang w:val="en-US" w:eastAsia="zh-CN"/>
        </w:rPr>
        <w:t>罗江区交通运输局</w:t>
      </w:r>
      <w:r>
        <w:rPr>
          <w:rFonts w:hint="eastAsia" w:ascii="仿宋_GB2312" w:hAnsi="仿宋_GB2312" w:eastAsia="仿宋_GB2312"/>
          <w:color w:val="auto"/>
          <w:kern w:val="2"/>
          <w:sz w:val="32"/>
          <w:lang w:val="en-US"/>
        </w:rPr>
        <w:t>部门整体（含部门预算项目）绩效自评报告、</w:t>
      </w:r>
      <w:r>
        <w:rPr>
          <w:rFonts w:hint="eastAsia" w:ascii="仿宋_GB2312" w:hAnsi="仿宋_GB2312" w:eastAsia="仿宋_GB2312"/>
          <w:color w:val="auto"/>
          <w:kern w:val="2"/>
          <w:sz w:val="32"/>
          <w:lang w:val="en-US" w:eastAsia="zh-CN"/>
        </w:rPr>
        <w:t>公路小修保养、</w:t>
      </w:r>
      <w:r>
        <w:rPr>
          <w:rFonts w:hint="eastAsia" w:ascii="仿宋_GB2312" w:hAnsi="仿宋_GB2312" w:eastAsia="仿宋_GB2312" w:cs="仿宋_GB2312"/>
          <w:b w:val="0"/>
          <w:bCs w:val="0"/>
          <w:color w:val="auto"/>
          <w:kern w:val="2"/>
          <w:sz w:val="32"/>
          <w:szCs w:val="32"/>
          <w:lang w:val="en-US" w:eastAsia="zh-CN" w:bidi="ar-SA"/>
        </w:rPr>
        <w:t>略坪至广富等7条城乡公交线路运行成本补贴、</w:t>
      </w:r>
      <w:r>
        <w:rPr>
          <w:rFonts w:hint="eastAsia" w:ascii="仿宋_GB2312" w:hAnsi="仿宋_GB2312" w:eastAsia="仿宋_GB2312" w:cs="仿宋_GB2312"/>
          <w:color w:val="auto"/>
          <w:kern w:val="2"/>
          <w:sz w:val="32"/>
          <w:szCs w:val="32"/>
          <w:lang w:val="en-US" w:eastAsia="zh-CN" w:bidi="ar-SA"/>
        </w:rPr>
        <w:t>德罗城际公交补贴</w:t>
      </w:r>
      <w:r>
        <w:rPr>
          <w:rFonts w:hint="eastAsia" w:ascii="仿宋_GB2312" w:hAnsi="仿宋_GB2312" w:eastAsia="仿宋_GB2312"/>
          <w:color w:val="auto"/>
          <w:kern w:val="2"/>
          <w:sz w:val="32"/>
          <w:lang w:val="en-US"/>
        </w:rPr>
        <w:t>等专项预算项目绩效自评报告，其中，</w:t>
      </w:r>
      <w:r>
        <w:rPr>
          <w:rFonts w:hint="eastAsia" w:ascii="仿宋_GB2312" w:hAnsi="仿宋_GB2312" w:eastAsia="仿宋_GB2312"/>
          <w:color w:val="auto"/>
          <w:kern w:val="2"/>
          <w:sz w:val="32"/>
          <w:lang w:val="en-US" w:eastAsia="zh-CN"/>
        </w:rPr>
        <w:t>罗江区交通运输局</w:t>
      </w:r>
      <w:r>
        <w:rPr>
          <w:rFonts w:hint="eastAsia" w:ascii="仿宋_GB2312" w:hAnsi="仿宋_GB2312" w:eastAsia="仿宋_GB2312"/>
          <w:color w:val="auto"/>
          <w:kern w:val="2"/>
          <w:sz w:val="32"/>
          <w:lang w:val="en-US"/>
        </w:rPr>
        <w:t>部门整体（含部门预算项目）绩效自评得分为</w:t>
      </w:r>
      <w:r>
        <w:rPr>
          <w:rFonts w:hint="eastAsia" w:ascii="仿宋_GB2312" w:hAnsi="仿宋_GB2312" w:eastAsia="仿宋_GB2312"/>
          <w:color w:val="auto"/>
          <w:kern w:val="2"/>
          <w:sz w:val="32"/>
          <w:lang w:val="en-US" w:eastAsia="zh-CN"/>
        </w:rPr>
        <w:t>98.5</w:t>
      </w:r>
      <w:r>
        <w:rPr>
          <w:rFonts w:hint="eastAsia" w:ascii="仿宋_GB2312" w:hAnsi="仿宋_GB2312" w:eastAsia="仿宋_GB2312"/>
          <w:color w:val="auto"/>
          <w:kern w:val="2"/>
          <w:sz w:val="32"/>
          <w:lang w:val="en-US"/>
        </w:rPr>
        <w:t>分，绩效自评综述：</w:t>
      </w:r>
      <w:r>
        <w:rPr>
          <w:rFonts w:hint="eastAsia" w:ascii="仿宋_GB2312" w:hAnsi="Cambria" w:eastAsia="仿宋_GB2312" w:cs="仿宋_GB2312"/>
          <w:sz w:val="32"/>
          <w:szCs w:val="32"/>
          <w:highlight w:val="none"/>
          <w:shd w:val="clear"/>
        </w:rPr>
        <w:t>2022年我部门整体支出绩效自评结果良好，全年基本支出保证了部门的正常运转，项目支出保障了重点工作的开展</w:t>
      </w:r>
      <w:r>
        <w:rPr>
          <w:rFonts w:hint="eastAsia" w:ascii="仿宋_GB2312" w:hAnsi="仿宋_GB2312" w:eastAsia="仿宋_GB2312"/>
          <w:color w:val="auto"/>
          <w:kern w:val="2"/>
          <w:sz w:val="32"/>
          <w:lang w:val="en-US"/>
        </w:rPr>
        <w:t>；</w:t>
      </w:r>
      <w:r>
        <w:rPr>
          <w:rFonts w:hint="eastAsia" w:ascii="仿宋_GB2312" w:hAnsi="Cambria" w:eastAsia="仿宋_GB2312" w:cs="仿宋_GB2312"/>
          <w:sz w:val="32"/>
          <w:szCs w:val="32"/>
          <w:highlight w:val="none"/>
        </w:rPr>
        <w:t>截止2022年12月底，除</w:t>
      </w:r>
      <w:r>
        <w:rPr>
          <w:rFonts w:hint="eastAsia" w:ascii="仿宋_GB2312" w:hAnsi="Cambria" w:eastAsia="仿宋_GB2312" w:cs="仿宋_GB2312"/>
          <w:sz w:val="32"/>
          <w:szCs w:val="32"/>
          <w:highlight w:val="none"/>
          <w:lang w:val="en-US" w:eastAsia="zh-CN"/>
        </w:rPr>
        <w:t>1</w:t>
      </w:r>
      <w:r>
        <w:rPr>
          <w:rFonts w:hint="eastAsia" w:ascii="仿宋_GB2312" w:hAnsi="Cambria" w:eastAsia="仿宋_GB2312" w:cs="仿宋_GB2312"/>
          <w:sz w:val="32"/>
          <w:szCs w:val="32"/>
          <w:highlight w:val="none"/>
        </w:rPr>
        <w:t>个项目支付指标未完成支付，其余项目未出现项目偏差</w:t>
      </w:r>
      <w:r>
        <w:rPr>
          <w:rFonts w:hint="eastAsia" w:ascii="仿宋_GB2312" w:hAnsi="仿宋_GB2312" w:eastAsia="仿宋_GB2312"/>
          <w:color w:val="auto"/>
          <w:kern w:val="2"/>
          <w:sz w:val="32"/>
          <w:lang w:val="en-US"/>
        </w:rPr>
        <w:t>。</w:t>
      </w:r>
    </w:p>
    <w:p>
      <w:pPr>
        <w:spacing w:beforeLines="0" w:afterLines="0" w:line="576" w:lineRule="exact"/>
        <w:ind w:firstLine="640" w:firstLineChars="200"/>
        <w:jc w:val="both"/>
        <w:rPr>
          <w:rFonts w:hint="eastAsia" w:ascii="仿宋_GB2312" w:hAnsi="仿宋_GB2312" w:eastAsia="仿宋_GB2312"/>
          <w:b/>
          <w:color w:val="000000"/>
          <w:kern w:val="2"/>
          <w:sz w:val="32"/>
          <w:lang w:val="zh-CN"/>
        </w:rPr>
      </w:pPr>
      <w:r>
        <w:rPr>
          <w:rFonts w:hint="eastAsia" w:ascii="仿宋_GB2312" w:hAnsi="Cambria" w:eastAsia="仿宋_GB2312" w:cs="仿宋_GB2312"/>
          <w:sz w:val="32"/>
          <w:szCs w:val="32"/>
          <w:highlight w:val="none"/>
        </w:rPr>
        <w:t>具体绩效自评报告详见第四部分附件一和附件二</w:t>
      </w:r>
      <w:r>
        <w:rPr>
          <w:rFonts w:hint="eastAsia" w:ascii="仿宋_GB2312" w:hAnsi="Cambria" w:eastAsia="仿宋_GB2312" w:cs="仿宋_GB2312"/>
          <w:sz w:val="32"/>
          <w:szCs w:val="32"/>
          <w:highlight w:val="none"/>
          <w:lang w:eastAsia="zh-CN"/>
        </w:rPr>
        <w:t>。</w:t>
      </w:r>
      <w:r>
        <w:rPr>
          <w:rFonts w:hint="eastAsia" w:ascii="仿宋_GB2312" w:hAnsi="仿宋_GB2312" w:eastAsia="仿宋_GB2312"/>
          <w:b/>
          <w:color w:val="000000"/>
          <w:kern w:val="2"/>
          <w:sz w:val="32"/>
          <w:lang w:val="zh-CN"/>
        </w:rPr>
        <w:br w:type="page"/>
      </w:r>
    </w:p>
    <w:p>
      <w:pPr>
        <w:pStyle w:val="4"/>
        <w:bidi w:val="0"/>
        <w:jc w:val="center"/>
        <w:rPr>
          <w:rFonts w:hint="eastAsia" w:ascii="黑体" w:hAnsi="黑体" w:eastAsia="黑体" w:cs="黑体"/>
          <w:sz w:val="44"/>
          <w:szCs w:val="44"/>
          <w:lang w:val="zh-CN"/>
        </w:rPr>
      </w:pPr>
      <w:bookmarkStart w:id="42" w:name="_Toc12794_WPSOffice_Level1"/>
      <w:r>
        <w:rPr>
          <w:rFonts w:hint="eastAsia" w:ascii="黑体" w:hAnsi="黑体" w:eastAsia="黑体" w:cs="黑体"/>
          <w:sz w:val="44"/>
          <w:szCs w:val="44"/>
          <w:lang w:val="zh-CN"/>
        </w:rPr>
        <w:t>第三部分 名词解释</w:t>
      </w:r>
      <w:bookmarkEnd w:id="42"/>
    </w:p>
    <w:p>
      <w:pPr>
        <w:spacing w:beforeLines="0" w:afterLines="0" w:line="576" w:lineRule="exact"/>
        <w:ind w:firstLine="640"/>
        <w:rPr>
          <w:rFonts w:hint="eastAsia" w:ascii="仿宋_GB2312" w:hAnsi="仿宋_GB2312" w:eastAsia="仿宋_GB2312"/>
          <w:color w:val="000000"/>
          <w:sz w:val="32"/>
          <w:lang w:val="en-US"/>
        </w:rPr>
      </w:pPr>
      <w:r>
        <w:rPr>
          <w:rFonts w:hint="eastAsia" w:ascii="仿宋_GB2312" w:hAnsi="仿宋_GB2312" w:eastAsia="仿宋_GB2312"/>
          <w:color w:val="000000"/>
          <w:sz w:val="32"/>
          <w:lang w:val="en-US"/>
        </w:rPr>
        <w:t>1.财政拨款收入：指单位从同级财政部门取得的财政预算资金。</w:t>
      </w:r>
    </w:p>
    <w:p>
      <w:pPr>
        <w:spacing w:beforeLines="0" w:afterLines="0" w:line="576" w:lineRule="exact"/>
        <w:ind w:firstLine="640"/>
        <w:rPr>
          <w:rFonts w:hint="eastAsia" w:ascii="仿宋_GB2312" w:hAnsi="仿宋_GB2312" w:eastAsia="仿宋_GB2312"/>
          <w:color w:val="000000"/>
          <w:sz w:val="32"/>
          <w:lang w:val="en-US"/>
        </w:rPr>
      </w:pPr>
      <w:r>
        <w:rPr>
          <w:rFonts w:hint="eastAsia" w:ascii="仿宋_GB2312" w:hAnsi="仿宋_GB2312" w:eastAsia="仿宋_GB2312"/>
          <w:color w:val="000000"/>
          <w:sz w:val="32"/>
          <w:lang w:val="en-US"/>
        </w:rPr>
        <w:t>2.事业收入：指事业单位开展专业业务活动及辅助活动取得的收入。</w:t>
      </w:r>
    </w:p>
    <w:p>
      <w:pPr>
        <w:spacing w:beforeLines="0" w:afterLines="0" w:line="576" w:lineRule="exact"/>
        <w:ind w:firstLine="640"/>
        <w:rPr>
          <w:rFonts w:hint="eastAsia" w:ascii="仿宋_GB2312" w:hAnsi="仿宋_GB2312" w:eastAsia="仿宋_GB2312"/>
          <w:color w:val="000000"/>
          <w:sz w:val="32"/>
          <w:lang w:val="en-US"/>
        </w:rPr>
      </w:pPr>
      <w:r>
        <w:rPr>
          <w:rFonts w:hint="eastAsia" w:ascii="仿宋_GB2312" w:hAnsi="仿宋_GB2312" w:eastAsia="仿宋_GB2312"/>
          <w:color w:val="000000"/>
          <w:sz w:val="32"/>
          <w:lang w:val="en-US"/>
        </w:rPr>
        <w:t>3.经营收入：指事业单位在专业业务活动及其辅助活动之外开展非独立核算经营活动取得的收入。</w:t>
      </w:r>
    </w:p>
    <w:p>
      <w:pPr>
        <w:spacing w:beforeLines="0" w:afterLines="0" w:line="576" w:lineRule="exact"/>
        <w:ind w:firstLine="640"/>
        <w:rPr>
          <w:rFonts w:hint="eastAsia" w:ascii="仿宋_GB2312" w:hAnsi="仿宋_GB2312" w:eastAsia="仿宋_GB2312"/>
          <w:color w:val="000000"/>
          <w:sz w:val="32"/>
          <w:lang w:val="en-US"/>
        </w:rPr>
      </w:pPr>
      <w:r>
        <w:rPr>
          <w:rFonts w:hint="eastAsia" w:ascii="仿宋_GB2312" w:hAnsi="仿宋_GB2312" w:eastAsia="仿宋_GB2312"/>
          <w:color w:val="000000"/>
          <w:sz w:val="32"/>
          <w:lang w:val="en-US"/>
        </w:rPr>
        <w:t>4.其他收入：指单位取得的除上述收入以外的各项收入。</w:t>
      </w:r>
    </w:p>
    <w:p>
      <w:pPr>
        <w:spacing w:beforeLines="0" w:afterLines="0" w:line="576" w:lineRule="exact"/>
        <w:ind w:firstLine="640"/>
        <w:rPr>
          <w:rFonts w:hint="eastAsia" w:ascii="仿宋_GB2312" w:hAnsi="仿宋_GB2312" w:eastAsia="仿宋_GB2312"/>
          <w:color w:val="000000"/>
          <w:sz w:val="32"/>
          <w:lang w:val="en-US"/>
        </w:rPr>
      </w:pPr>
      <w:r>
        <w:rPr>
          <w:rFonts w:hint="eastAsia" w:ascii="仿宋_GB2312" w:hAnsi="仿宋_GB2312" w:eastAsia="仿宋_GB2312"/>
          <w:color w:val="000000"/>
          <w:sz w:val="32"/>
          <w:lang w:val="en-US"/>
        </w:rPr>
        <w:t xml:space="preserve">5.使用非财政拨款结余：指事业单位使用以前年度积累的非财政拨款结余弥补当年收支差额的金额。 </w:t>
      </w:r>
    </w:p>
    <w:p>
      <w:pPr>
        <w:spacing w:beforeLines="0" w:afterLines="0" w:line="576" w:lineRule="exact"/>
        <w:ind w:firstLine="640"/>
        <w:rPr>
          <w:rFonts w:hint="eastAsia" w:ascii="仿宋_GB2312" w:hAnsi="仿宋_GB2312" w:eastAsia="仿宋_GB2312"/>
          <w:color w:val="000000"/>
          <w:sz w:val="32"/>
          <w:lang w:val="en-US"/>
        </w:rPr>
      </w:pPr>
      <w:r>
        <w:rPr>
          <w:rFonts w:hint="eastAsia" w:ascii="仿宋_GB2312" w:hAnsi="仿宋_GB2312" w:eastAsia="仿宋_GB2312"/>
          <w:color w:val="000000"/>
          <w:sz w:val="32"/>
          <w:lang w:val="en-US"/>
        </w:rPr>
        <w:t xml:space="preserve">6.年初结转和结余：指以前年度尚未完成、结转到本年按有关规定继续使用的资金。 </w:t>
      </w:r>
    </w:p>
    <w:p>
      <w:pPr>
        <w:spacing w:beforeLines="0" w:afterLines="0" w:line="576" w:lineRule="exact"/>
        <w:ind w:firstLine="640"/>
        <w:rPr>
          <w:rFonts w:hint="eastAsia" w:ascii="仿宋_GB2312" w:hAnsi="仿宋_GB2312" w:eastAsia="仿宋_GB2312"/>
          <w:color w:val="000000"/>
          <w:sz w:val="32"/>
          <w:lang w:val="en-US"/>
        </w:rPr>
      </w:pPr>
      <w:r>
        <w:rPr>
          <w:rFonts w:hint="eastAsia" w:ascii="仿宋_GB2312" w:hAnsi="仿宋_GB2312" w:eastAsia="仿宋_GB2312"/>
          <w:color w:val="000000"/>
          <w:sz w:val="32"/>
          <w:lang w:val="en-US"/>
        </w:rPr>
        <w:t>7.结余分配：指事业单位按照会计制度规定缴纳的所得税、提取的专用结余以及转入非财政拨款结余的金额等。</w:t>
      </w:r>
    </w:p>
    <w:p>
      <w:pPr>
        <w:spacing w:beforeLines="0" w:afterLines="0" w:line="576" w:lineRule="exact"/>
        <w:ind w:firstLine="640"/>
        <w:rPr>
          <w:rFonts w:hint="eastAsia" w:ascii="仿宋_GB2312" w:hAnsi="仿宋_GB2312" w:eastAsia="仿宋_GB2312"/>
          <w:color w:val="000000"/>
          <w:kern w:val="2"/>
          <w:sz w:val="32"/>
          <w:lang w:val="en-US"/>
        </w:rPr>
      </w:pPr>
      <w:r>
        <w:rPr>
          <w:rFonts w:hint="eastAsia" w:ascii="仿宋_GB2312" w:hAnsi="仿宋_GB2312" w:eastAsia="仿宋_GB2312"/>
          <w:color w:val="000000"/>
          <w:sz w:val="32"/>
          <w:lang w:val="en-US"/>
        </w:rPr>
        <w:t>8.年末结转和结余：指单位按有关规定结转到下年或以后年度继续使用的资金。</w:t>
      </w:r>
    </w:p>
    <w:p>
      <w:pPr>
        <w:spacing w:beforeLines="0" w:afterLines="0" w:line="576" w:lineRule="exact"/>
        <w:ind w:firstLine="640"/>
        <w:jc w:val="both"/>
        <w:rPr>
          <w:rFonts w:hint="eastAsia" w:ascii="仿宋_GB2312" w:hAnsi="仿宋_GB2312" w:eastAsia="仿宋_GB2312"/>
          <w:color w:val="000000"/>
          <w:kern w:val="2"/>
          <w:sz w:val="32"/>
          <w:lang w:val="en-US"/>
        </w:rPr>
      </w:pPr>
      <w:r>
        <w:rPr>
          <w:rFonts w:hint="eastAsia" w:ascii="仿宋_GB2312" w:hAnsi="仿宋_GB2312" w:eastAsia="仿宋_GB2312"/>
          <w:color w:val="000000"/>
          <w:kern w:val="2"/>
          <w:sz w:val="32"/>
          <w:lang w:val="en-US"/>
        </w:rPr>
        <w:t>9.一般公共服务支出（类）</w:t>
      </w:r>
      <w:r>
        <w:rPr>
          <w:rFonts w:hint="eastAsia" w:ascii="仿宋_GB2312" w:hAnsi="仿宋_GB2312" w:eastAsia="仿宋_GB2312"/>
          <w:color w:val="000000"/>
          <w:kern w:val="2"/>
          <w:sz w:val="32"/>
          <w:lang w:val="en-US" w:eastAsia="zh-CN"/>
        </w:rPr>
        <w:t>其他一般公共服务支出</w:t>
      </w:r>
      <w:r>
        <w:rPr>
          <w:rFonts w:hint="eastAsia" w:ascii="仿宋_GB2312" w:hAnsi="仿宋_GB2312" w:eastAsia="仿宋_GB2312"/>
          <w:color w:val="000000"/>
          <w:kern w:val="2"/>
          <w:sz w:val="32"/>
          <w:lang w:val="en-US"/>
        </w:rPr>
        <w:t>（款）</w:t>
      </w:r>
      <w:r>
        <w:rPr>
          <w:rFonts w:hint="eastAsia" w:ascii="仿宋_GB2312" w:hAnsi="仿宋_GB2312" w:eastAsia="仿宋_GB2312"/>
          <w:color w:val="000000"/>
          <w:kern w:val="2"/>
          <w:sz w:val="32"/>
          <w:lang w:val="en-US" w:eastAsia="zh-CN"/>
        </w:rPr>
        <w:t>其他一般公共服务支出</w:t>
      </w:r>
      <w:r>
        <w:rPr>
          <w:rFonts w:hint="eastAsia" w:ascii="仿宋_GB2312" w:hAnsi="仿宋_GB2312" w:eastAsia="仿宋_GB2312"/>
          <w:color w:val="000000"/>
          <w:kern w:val="2"/>
          <w:sz w:val="32"/>
          <w:lang w:val="en-US"/>
        </w:rPr>
        <w:t>（项）：指</w:t>
      </w:r>
      <w:r>
        <w:rPr>
          <w:rFonts w:hint="eastAsia" w:ascii="仿宋_GB2312" w:hAnsi="仿宋_GB2312" w:eastAsia="仿宋_GB2312"/>
          <w:color w:val="000000"/>
          <w:kern w:val="2"/>
          <w:sz w:val="32"/>
          <w:lang w:val="en-US" w:eastAsia="zh-CN"/>
        </w:rPr>
        <w:t>公管所安排的</w:t>
      </w:r>
      <w:r>
        <w:rPr>
          <w:rFonts w:hint="eastAsia" w:ascii="仿宋_GB2312" w:hAnsi="仿宋_GB2312" w:eastAsia="仿宋_GB2312" w:cs="仿宋_GB2312"/>
          <w:color w:val="000000"/>
          <w:sz w:val="32"/>
          <w:szCs w:val="32"/>
        </w:rPr>
        <w:t>援藏援彝干部补助</w:t>
      </w:r>
      <w:r>
        <w:rPr>
          <w:rFonts w:hint="eastAsia" w:ascii="仿宋_GB2312" w:hAnsi="仿宋_GB2312" w:eastAsia="仿宋_GB2312" w:cs="仿宋_GB2312"/>
          <w:color w:val="000000"/>
          <w:sz w:val="32"/>
          <w:szCs w:val="32"/>
          <w:lang w:eastAsia="zh-CN"/>
        </w:rPr>
        <w:t>支出</w:t>
      </w:r>
      <w:r>
        <w:rPr>
          <w:rFonts w:hint="eastAsia" w:ascii="仿宋_GB2312" w:hAnsi="仿宋_GB2312" w:eastAsia="仿宋_GB2312"/>
          <w:color w:val="000000"/>
          <w:kern w:val="2"/>
          <w:sz w:val="32"/>
          <w:lang w:val="en-US"/>
        </w:rPr>
        <w:t>。</w:t>
      </w:r>
    </w:p>
    <w:p>
      <w:pPr>
        <w:spacing w:beforeLines="0" w:afterLines="0" w:line="576" w:lineRule="exact"/>
        <w:ind w:firstLine="640"/>
        <w:jc w:val="both"/>
        <w:rPr>
          <w:rFonts w:hint="eastAsia" w:ascii="仿宋_GB2312" w:hAnsi="仿宋_GB2312" w:eastAsia="仿宋_GB2312"/>
          <w:color w:val="000000"/>
          <w:kern w:val="2"/>
          <w:sz w:val="32"/>
          <w:lang w:val="en-US"/>
        </w:rPr>
      </w:pPr>
      <w:r>
        <w:rPr>
          <w:rFonts w:hint="eastAsia" w:ascii="仿宋_GB2312" w:hAnsi="仿宋_GB2312" w:eastAsia="仿宋_GB2312"/>
          <w:color w:val="000000"/>
          <w:kern w:val="2"/>
          <w:sz w:val="32"/>
          <w:lang w:val="en-US"/>
        </w:rPr>
        <w:t>10.</w:t>
      </w:r>
      <w:r>
        <w:rPr>
          <w:rFonts w:hint="eastAsia" w:ascii="仿宋_GB2312" w:eastAsia="仿宋_GB2312"/>
          <w:sz w:val="32"/>
          <w:szCs w:val="32"/>
        </w:rPr>
        <w:t>社会保障和就业支出（类）行政事业单位养老保险（款）机关事业单位基本养老保险缴费支出（项）：指交通局机关及下属事业单位实施养老保险制度由单位缴纳的基本养老保险支出</w:t>
      </w:r>
      <w:r>
        <w:rPr>
          <w:rFonts w:hint="eastAsia" w:ascii="仿宋_GB2312" w:hAnsi="仿宋_GB2312" w:eastAsia="仿宋_GB2312"/>
          <w:color w:val="000000"/>
          <w:kern w:val="2"/>
          <w:sz w:val="32"/>
          <w:lang w:val="en-US"/>
        </w:rPr>
        <w:t>。</w:t>
      </w:r>
    </w:p>
    <w:p>
      <w:pPr>
        <w:ind w:firstLine="640" w:firstLineChars="200"/>
        <w:rPr>
          <w:rFonts w:hint="eastAsia" w:ascii="仿宋_GB2312" w:hAnsi="仿宋_GB2312" w:eastAsia="仿宋_GB2312"/>
          <w:color w:val="000000"/>
          <w:kern w:val="2"/>
          <w:sz w:val="32"/>
          <w:lang w:val="en-US"/>
        </w:rPr>
      </w:pPr>
      <w:r>
        <w:rPr>
          <w:rFonts w:hint="eastAsia" w:ascii="仿宋_GB2312" w:hAnsi="仿宋_GB2312" w:eastAsia="仿宋_GB2312"/>
          <w:color w:val="000000"/>
          <w:kern w:val="2"/>
          <w:sz w:val="32"/>
          <w:lang w:val="en-US"/>
        </w:rPr>
        <w:t>11.</w:t>
      </w:r>
      <w:r>
        <w:rPr>
          <w:rFonts w:hint="eastAsia" w:ascii="仿宋_GB2312" w:eastAsia="仿宋_GB2312"/>
          <w:color w:val="000000"/>
          <w:sz w:val="32"/>
          <w:szCs w:val="32"/>
        </w:rPr>
        <w:t>社会保障和就业支出（类）行政事业单位养老保险（款）机关事业单位职业年金缴费支出（项）：指交通局机关及下属事业单位实施养老保险制度由单位缴纳的职业年金支出。</w:t>
      </w:r>
    </w:p>
    <w:p>
      <w:pPr>
        <w:spacing w:beforeLines="0" w:afterLines="0" w:line="576" w:lineRule="exact"/>
        <w:ind w:firstLine="640"/>
        <w:jc w:val="both"/>
        <w:rPr>
          <w:rFonts w:hint="eastAsia" w:ascii="仿宋_GB2312" w:hAnsi="仿宋_GB2312" w:eastAsia="仿宋_GB2312"/>
          <w:color w:val="000000"/>
          <w:kern w:val="2"/>
          <w:sz w:val="32"/>
          <w:lang w:val="en-US"/>
        </w:rPr>
      </w:pPr>
      <w:r>
        <w:rPr>
          <w:rFonts w:hint="eastAsia" w:ascii="仿宋_GB2312" w:hAnsi="仿宋_GB2312" w:eastAsia="仿宋_GB2312"/>
          <w:color w:val="000000"/>
          <w:kern w:val="2"/>
          <w:sz w:val="32"/>
          <w:lang w:val="en-US"/>
        </w:rPr>
        <w:t>12.</w:t>
      </w:r>
      <w:r>
        <w:rPr>
          <w:rFonts w:hint="eastAsia" w:ascii="仿宋_GB2312" w:eastAsia="仿宋_GB2312"/>
          <w:color w:val="000000"/>
          <w:sz w:val="32"/>
          <w:szCs w:val="32"/>
        </w:rPr>
        <w:t>社会保障和就业支出（类）行政事业单位养老保险（款）其他行政事业单位</w:t>
      </w:r>
      <w:r>
        <w:rPr>
          <w:rFonts w:hint="eastAsia" w:ascii="仿宋_GB2312" w:eastAsia="仿宋_GB2312"/>
          <w:color w:val="000000"/>
          <w:sz w:val="32"/>
          <w:szCs w:val="32"/>
          <w:lang w:eastAsia="zh-CN"/>
        </w:rPr>
        <w:t>养老</w:t>
      </w:r>
      <w:r>
        <w:rPr>
          <w:rFonts w:hint="eastAsia" w:ascii="仿宋_GB2312" w:eastAsia="仿宋_GB2312"/>
          <w:color w:val="000000"/>
          <w:sz w:val="32"/>
          <w:szCs w:val="32"/>
        </w:rPr>
        <w:t>支出（项）：指交通局机关及下属事业单位退休人员的相关支出。</w:t>
      </w:r>
    </w:p>
    <w:p>
      <w:pPr>
        <w:spacing w:beforeLines="0" w:afterLines="0" w:line="576" w:lineRule="exact"/>
        <w:ind w:firstLine="640"/>
        <w:jc w:val="both"/>
        <w:rPr>
          <w:rFonts w:hint="eastAsia" w:ascii="仿宋_GB2312" w:hAnsi="仿宋_GB2312" w:eastAsia="仿宋_GB2312"/>
          <w:color w:val="000000"/>
          <w:kern w:val="2"/>
          <w:sz w:val="32"/>
          <w:lang w:val="en-US"/>
        </w:rPr>
      </w:pPr>
      <w:r>
        <w:rPr>
          <w:rFonts w:hint="eastAsia" w:ascii="仿宋_GB2312" w:hAnsi="仿宋_GB2312" w:eastAsia="仿宋_GB2312"/>
          <w:color w:val="000000"/>
          <w:kern w:val="2"/>
          <w:sz w:val="32"/>
          <w:lang w:val="en-US"/>
        </w:rPr>
        <w:t>13.</w:t>
      </w:r>
      <w:r>
        <w:rPr>
          <w:rFonts w:hint="eastAsia" w:ascii="仿宋_GB2312" w:eastAsia="仿宋_GB2312"/>
          <w:color w:val="000000"/>
          <w:sz w:val="32"/>
          <w:szCs w:val="32"/>
        </w:rPr>
        <w:t>社会保障和就业支出（类）抚恤（款）死亡抚恤（项）：指交通局机关及下属事业单位按规定用于病故职工人员家属的一次抚恤金及丧葬费。</w:t>
      </w:r>
      <w:r>
        <w:rPr>
          <w:rFonts w:hint="eastAsia" w:ascii="仿宋_GB2312" w:hAnsi="仿宋_GB2312" w:eastAsia="仿宋_GB2312"/>
          <w:color w:val="000000"/>
          <w:kern w:val="2"/>
          <w:sz w:val="32"/>
          <w:lang w:val="en-US"/>
        </w:rPr>
        <w:t>。</w:t>
      </w:r>
    </w:p>
    <w:p>
      <w:pPr>
        <w:spacing w:beforeLines="0" w:afterLines="0" w:line="576" w:lineRule="exact"/>
        <w:ind w:firstLine="640"/>
        <w:jc w:val="both"/>
        <w:rPr>
          <w:rFonts w:hint="eastAsia" w:ascii="仿宋_GB2312" w:eastAsia="仿宋_GB2312"/>
          <w:color w:val="000000"/>
          <w:sz w:val="32"/>
          <w:szCs w:val="32"/>
        </w:rPr>
      </w:pPr>
      <w:r>
        <w:rPr>
          <w:rFonts w:hint="eastAsia" w:ascii="仿宋_GB2312" w:hAnsi="仿宋_GB2312" w:eastAsia="仿宋_GB2312"/>
          <w:color w:val="000000"/>
          <w:kern w:val="2"/>
          <w:sz w:val="32"/>
          <w:lang w:val="en-US"/>
        </w:rPr>
        <w:t>14.</w:t>
      </w:r>
      <w:r>
        <w:rPr>
          <w:rFonts w:hint="eastAsia" w:ascii="仿宋_GB2312" w:eastAsia="仿宋_GB2312"/>
          <w:color w:val="000000"/>
          <w:sz w:val="32"/>
          <w:szCs w:val="32"/>
        </w:rPr>
        <w:t>社会保障和就业支出（类）其他社会保障和就业支出（款）其他社会保障和就业支出（项）：指单位按政策规定用于职工工伤、失业等保险缴费支出。</w:t>
      </w:r>
    </w:p>
    <w:p>
      <w:pPr>
        <w:spacing w:beforeLines="0" w:afterLines="0" w:line="576" w:lineRule="exact"/>
        <w:ind w:firstLine="640"/>
        <w:jc w:val="both"/>
        <w:rPr>
          <w:rFonts w:hint="eastAsia" w:ascii="仿宋_GB2312" w:hAnsi="仿宋_GB2312" w:eastAsia="仿宋_GB2312"/>
          <w:color w:val="000000"/>
          <w:kern w:val="2"/>
          <w:sz w:val="32"/>
          <w:lang w:val="en-US"/>
        </w:rPr>
      </w:pPr>
      <w:r>
        <w:rPr>
          <w:rFonts w:hint="eastAsia" w:ascii="仿宋_GB2312" w:hAnsi="仿宋_GB2312" w:eastAsia="仿宋_GB2312"/>
          <w:color w:val="000000"/>
          <w:kern w:val="2"/>
          <w:sz w:val="32"/>
          <w:lang w:val="en-US"/>
        </w:rPr>
        <w:t>15.</w:t>
      </w:r>
      <w:r>
        <w:rPr>
          <w:rFonts w:hint="eastAsia" w:ascii="仿宋_GB2312" w:eastAsia="仿宋_GB2312"/>
          <w:color w:val="000000"/>
          <w:sz w:val="32"/>
          <w:szCs w:val="32"/>
        </w:rPr>
        <w:t>卫生健康支出（类）公共卫生（款）突发公共卫生事件应急处理（项）：指用于突发公共卫生事件应急处理的支出。</w:t>
      </w:r>
    </w:p>
    <w:p>
      <w:pPr>
        <w:spacing w:beforeLines="0" w:afterLines="0" w:line="576" w:lineRule="exact"/>
        <w:ind w:firstLine="640"/>
        <w:jc w:val="both"/>
        <w:rPr>
          <w:rFonts w:hint="eastAsia" w:ascii="仿宋_GB2312" w:eastAsia="仿宋_GB2312"/>
          <w:color w:val="000000"/>
          <w:sz w:val="32"/>
          <w:szCs w:val="32"/>
          <w:lang w:val="en-US" w:eastAsia="zh-CN"/>
        </w:rPr>
      </w:pPr>
      <w:r>
        <w:rPr>
          <w:rFonts w:hint="eastAsia" w:ascii="仿宋_GB2312" w:hAnsi="仿宋_GB2312" w:eastAsia="仿宋_GB2312"/>
          <w:color w:val="000000"/>
          <w:kern w:val="2"/>
          <w:sz w:val="32"/>
          <w:lang w:val="en-US"/>
        </w:rPr>
        <w:t>16.</w:t>
      </w:r>
      <w:r>
        <w:rPr>
          <w:rFonts w:hint="eastAsia" w:ascii="仿宋_GB2312" w:eastAsia="仿宋_GB2312"/>
          <w:color w:val="000000"/>
          <w:sz w:val="32"/>
          <w:szCs w:val="32"/>
        </w:rPr>
        <w:t>卫生健康支出（类）行政事业单位医疗（款）行政单位医疗（项）：指交通局机关及下属参公单位医疗保险缴费支出。</w:t>
      </w:r>
      <w:r>
        <w:rPr>
          <w:rFonts w:hint="eastAsia" w:ascii="仿宋_GB2312" w:eastAsia="仿宋_GB2312"/>
          <w:color w:val="000000"/>
          <w:sz w:val="32"/>
          <w:szCs w:val="32"/>
          <w:lang w:val="en-US" w:eastAsia="zh-CN"/>
        </w:rPr>
        <w:t xml:space="preserve"> </w:t>
      </w:r>
    </w:p>
    <w:p>
      <w:pPr>
        <w:spacing w:beforeLines="0" w:afterLines="0" w:line="576" w:lineRule="exact"/>
        <w:ind w:firstLine="640"/>
        <w:jc w:val="both"/>
        <w:rPr>
          <w:rFonts w:hint="eastAsia" w:ascii="仿宋_GB2312" w:hAnsi="仿宋_GB2312" w:eastAsia="仿宋_GB2312"/>
          <w:color w:val="000000"/>
          <w:kern w:val="2"/>
          <w:sz w:val="32"/>
          <w:lang w:val="en-US"/>
        </w:rPr>
      </w:pP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卫生健康支出（类）行政事业单位医疗（款）事业单位医疗（项）：指下属事业单位医疗保险缴费支出。</w:t>
      </w:r>
    </w:p>
    <w:p>
      <w:pPr>
        <w:spacing w:beforeLines="0" w:afterLines="0" w:line="576" w:lineRule="exact"/>
        <w:ind w:firstLine="640"/>
        <w:jc w:val="both"/>
        <w:rPr>
          <w:rFonts w:hint="eastAsia" w:ascii="仿宋_GB2312" w:hAnsi="仿宋_GB2312" w:eastAsia="仿宋_GB2312"/>
          <w:color w:val="000000"/>
          <w:kern w:val="2"/>
          <w:sz w:val="32"/>
          <w:lang w:val="en-US"/>
        </w:rPr>
      </w:pPr>
      <w:r>
        <w:rPr>
          <w:rFonts w:hint="eastAsia" w:ascii="仿宋_GB2312" w:hAnsi="仿宋_GB2312" w:eastAsia="仿宋_GB2312"/>
          <w:color w:val="000000"/>
          <w:kern w:val="2"/>
          <w:sz w:val="32"/>
          <w:lang w:val="en-US"/>
        </w:rPr>
        <w:t>18.</w:t>
      </w:r>
      <w:r>
        <w:rPr>
          <w:rFonts w:hint="eastAsia" w:ascii="仿宋_GB2312" w:eastAsia="仿宋_GB2312"/>
          <w:color w:val="000000"/>
          <w:sz w:val="32"/>
          <w:szCs w:val="32"/>
        </w:rPr>
        <w:t>节能环保支出（类）能源节约利用（款）能源节约利用（项）：指用于20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年节能与新</w:t>
      </w:r>
      <w:r>
        <w:rPr>
          <w:rFonts w:hint="eastAsia" w:ascii="仿宋_GB2312" w:eastAsia="仿宋_GB2312"/>
          <w:color w:val="000000"/>
          <w:sz w:val="32"/>
          <w:szCs w:val="32"/>
          <w:lang w:eastAsia="zh-CN"/>
        </w:rPr>
        <w:t>能</w:t>
      </w:r>
      <w:r>
        <w:rPr>
          <w:rFonts w:hint="eastAsia" w:ascii="仿宋_GB2312" w:eastAsia="仿宋_GB2312"/>
          <w:color w:val="000000"/>
          <w:sz w:val="32"/>
          <w:szCs w:val="32"/>
        </w:rPr>
        <w:t>源公交车运营补助支出。</w:t>
      </w:r>
    </w:p>
    <w:p>
      <w:pPr>
        <w:spacing w:beforeLines="0" w:afterLines="0" w:line="576" w:lineRule="exact"/>
        <w:ind w:firstLine="640"/>
        <w:jc w:val="both"/>
        <w:rPr>
          <w:rFonts w:hint="eastAsia" w:ascii="仿宋_GB2312" w:hAnsi="仿宋_GB2312" w:eastAsia="仿宋_GB2312"/>
          <w:color w:val="000000"/>
          <w:kern w:val="2"/>
          <w:sz w:val="32"/>
          <w:lang w:val="en-US"/>
        </w:rPr>
      </w:pPr>
      <w:r>
        <w:rPr>
          <w:rFonts w:hint="eastAsia" w:ascii="仿宋_GB2312" w:hAnsi="仿宋_GB2312" w:eastAsia="仿宋_GB2312"/>
          <w:color w:val="000000"/>
          <w:kern w:val="2"/>
          <w:sz w:val="32"/>
          <w:lang w:val="en-US"/>
        </w:rPr>
        <w:t>19.</w:t>
      </w:r>
      <w:r>
        <w:rPr>
          <w:rFonts w:hint="eastAsia" w:ascii="仿宋_GB2312" w:hAnsi="仿宋_GB2312" w:eastAsia="仿宋_GB2312"/>
          <w:color w:val="000000"/>
          <w:kern w:val="2"/>
          <w:sz w:val="32"/>
          <w:lang w:val="en-US" w:eastAsia="zh-CN"/>
        </w:rPr>
        <w:t>城乡社区支出</w:t>
      </w:r>
      <w:r>
        <w:rPr>
          <w:rFonts w:hint="eastAsia" w:ascii="仿宋_GB2312" w:hAnsi="仿宋_GB2312" w:eastAsia="仿宋_GB2312"/>
          <w:color w:val="000000"/>
          <w:kern w:val="2"/>
          <w:sz w:val="32"/>
          <w:lang w:val="en-US"/>
        </w:rPr>
        <w:t>（类）国有土地使用权出让收入安排的支出（款）土地开发支出（项）：指</w:t>
      </w:r>
      <w:r>
        <w:rPr>
          <w:rFonts w:hint="eastAsia" w:ascii="仿宋_GB2312" w:hAnsi="仿宋_GB2312" w:eastAsia="仿宋_GB2312"/>
          <w:color w:val="000000"/>
          <w:kern w:val="2"/>
          <w:sz w:val="32"/>
          <w:lang w:val="en-US" w:eastAsia="zh-CN"/>
        </w:rPr>
        <w:t>交通局机关用于交通基础设施建设的相关支出</w:t>
      </w:r>
      <w:r>
        <w:rPr>
          <w:rFonts w:hint="eastAsia" w:ascii="仿宋_GB2312" w:hAnsi="仿宋_GB2312" w:eastAsia="仿宋_GB2312"/>
          <w:color w:val="000000"/>
          <w:kern w:val="2"/>
          <w:sz w:val="32"/>
          <w:lang w:val="en-US"/>
        </w:rPr>
        <w:t>。</w:t>
      </w:r>
    </w:p>
    <w:p>
      <w:pPr>
        <w:spacing w:beforeLines="0" w:afterLines="0" w:line="576" w:lineRule="exact"/>
        <w:ind w:firstLine="640"/>
        <w:jc w:val="both"/>
        <w:rPr>
          <w:rFonts w:hint="eastAsia" w:ascii="仿宋_GB2312" w:hAnsi="仿宋_GB2312" w:eastAsia="仿宋_GB2312"/>
          <w:color w:val="000000"/>
          <w:kern w:val="2"/>
          <w:sz w:val="32"/>
          <w:lang w:val="en-US"/>
        </w:rPr>
      </w:pPr>
      <w:r>
        <w:rPr>
          <w:rFonts w:hint="eastAsia" w:ascii="仿宋_GB2312" w:hAnsi="仿宋_GB2312" w:eastAsia="仿宋_GB2312"/>
          <w:color w:val="000000"/>
          <w:kern w:val="2"/>
          <w:sz w:val="32"/>
          <w:lang w:val="en-US"/>
        </w:rPr>
        <w:t>20.</w:t>
      </w:r>
      <w:r>
        <w:rPr>
          <w:rFonts w:hint="eastAsia" w:ascii="仿宋_GB2312" w:hAnsi="仿宋_GB2312" w:eastAsia="仿宋_GB2312"/>
          <w:color w:val="000000"/>
          <w:kern w:val="2"/>
          <w:sz w:val="32"/>
          <w:lang w:val="en-US" w:eastAsia="zh-CN"/>
        </w:rPr>
        <w:t>城乡社区支出</w:t>
      </w:r>
      <w:r>
        <w:rPr>
          <w:rFonts w:hint="eastAsia" w:ascii="仿宋_GB2312" w:hAnsi="仿宋_GB2312" w:eastAsia="仿宋_GB2312"/>
          <w:color w:val="000000"/>
          <w:kern w:val="2"/>
          <w:sz w:val="32"/>
          <w:lang w:val="en-US"/>
        </w:rPr>
        <w:t>（类）国有土地收益基金安排的支出（款）土地开发支出（项）：指</w:t>
      </w:r>
      <w:r>
        <w:rPr>
          <w:rFonts w:hint="eastAsia" w:ascii="仿宋_GB2312" w:hAnsi="仿宋_GB2312" w:eastAsia="仿宋_GB2312"/>
          <w:color w:val="000000"/>
          <w:kern w:val="2"/>
          <w:sz w:val="32"/>
          <w:lang w:val="en-US" w:eastAsia="zh-CN"/>
        </w:rPr>
        <w:t>交通局下属单位用于交通基础设施建设的相关支出</w:t>
      </w:r>
      <w:r>
        <w:rPr>
          <w:rFonts w:hint="eastAsia" w:ascii="仿宋_GB2312" w:hAnsi="仿宋_GB2312" w:eastAsia="仿宋_GB2312"/>
          <w:color w:val="000000"/>
          <w:kern w:val="2"/>
          <w:sz w:val="32"/>
          <w:lang w:val="en-US"/>
        </w:rPr>
        <w:t>。</w:t>
      </w:r>
    </w:p>
    <w:p>
      <w:pPr>
        <w:spacing w:beforeLines="0" w:afterLines="0" w:line="576" w:lineRule="exact"/>
        <w:ind w:firstLine="64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olor w:val="000000"/>
          <w:kern w:val="2"/>
          <w:sz w:val="32"/>
          <w:lang w:val="en-US"/>
        </w:rPr>
        <w:t>21.</w:t>
      </w:r>
      <w:r>
        <w:rPr>
          <w:rFonts w:hint="eastAsia" w:ascii="仿宋_GB2312" w:hAnsi="仿宋_GB2312" w:eastAsia="仿宋_GB2312" w:cs="仿宋_GB2312"/>
          <w:color w:val="000000"/>
          <w:sz w:val="32"/>
          <w:szCs w:val="32"/>
        </w:rPr>
        <w:t>农林水支出（类）农</w:t>
      </w:r>
      <w:r>
        <w:rPr>
          <w:rFonts w:hint="eastAsia" w:ascii="仿宋_GB2312" w:hAnsi="仿宋_GB2312" w:eastAsia="仿宋_GB2312" w:cs="仿宋_GB2312"/>
          <w:color w:val="000000"/>
          <w:sz w:val="32"/>
          <w:szCs w:val="32"/>
          <w:lang w:eastAsia="zh-CN"/>
        </w:rPr>
        <w:t>业农</w:t>
      </w:r>
      <w:r>
        <w:rPr>
          <w:rFonts w:hint="eastAsia" w:ascii="仿宋_GB2312" w:hAnsi="仿宋_GB2312" w:eastAsia="仿宋_GB2312" w:cs="仿宋_GB2312"/>
          <w:color w:val="000000"/>
          <w:sz w:val="32"/>
          <w:szCs w:val="32"/>
        </w:rPr>
        <w:t>村（款）</w:t>
      </w:r>
      <w:r>
        <w:rPr>
          <w:rFonts w:hint="eastAsia" w:ascii="仿宋_GB2312" w:hAnsi="仿宋_GB2312" w:eastAsia="仿宋_GB2312" w:cs="仿宋_GB2312"/>
          <w:color w:val="000000"/>
          <w:sz w:val="32"/>
          <w:szCs w:val="32"/>
          <w:lang w:eastAsia="zh-CN"/>
        </w:rPr>
        <w:t>农村道路建设</w:t>
      </w:r>
      <w:r>
        <w:rPr>
          <w:rFonts w:hint="eastAsia" w:ascii="仿宋_GB2312" w:hAnsi="仿宋_GB2312" w:eastAsia="仿宋_GB2312" w:cs="仿宋_GB2312"/>
          <w:color w:val="000000"/>
          <w:sz w:val="32"/>
          <w:szCs w:val="32"/>
        </w:rPr>
        <w:t>（项）：</w:t>
      </w:r>
      <w:r>
        <w:rPr>
          <w:rFonts w:hint="eastAsia" w:ascii="仿宋_GB2312" w:hAnsi="仿宋_GB2312" w:eastAsia="仿宋_GB2312" w:cs="仿宋_GB2312"/>
          <w:color w:val="000000"/>
          <w:sz w:val="32"/>
          <w:szCs w:val="32"/>
          <w:lang w:eastAsia="zh-CN"/>
        </w:rPr>
        <w:t>指用于农村道路建设的相关支出。</w:t>
      </w:r>
    </w:p>
    <w:p>
      <w:pPr>
        <w:spacing w:beforeLines="0" w:afterLines="0" w:line="576" w:lineRule="exact"/>
        <w:ind w:firstLine="640"/>
        <w:jc w:val="both"/>
        <w:rPr>
          <w:rFonts w:hint="eastAsia" w:ascii="仿宋_GB2312" w:hAnsi="仿宋_GB2312" w:eastAsia="仿宋_GB2312"/>
          <w:color w:val="000000"/>
          <w:kern w:val="2"/>
          <w:sz w:val="32"/>
          <w:lang w:val="en-US"/>
        </w:rPr>
      </w:pPr>
      <w:r>
        <w:rPr>
          <w:rFonts w:hint="eastAsia" w:ascii="仿宋_GB2312" w:hAnsi="仿宋_GB2312" w:eastAsia="仿宋_GB2312"/>
          <w:color w:val="000000"/>
          <w:kern w:val="2"/>
          <w:sz w:val="32"/>
          <w:lang w:val="en-US"/>
        </w:rPr>
        <w:t>22.</w:t>
      </w:r>
      <w:r>
        <w:rPr>
          <w:rFonts w:hint="eastAsia" w:ascii="仿宋_GB2312" w:hAnsi="仿宋_GB2312" w:eastAsia="仿宋_GB2312"/>
          <w:color w:val="000000"/>
          <w:kern w:val="2"/>
          <w:sz w:val="32"/>
          <w:lang w:val="en-US" w:eastAsia="zh-CN"/>
        </w:rPr>
        <w:t>农林水</w:t>
      </w:r>
      <w:r>
        <w:rPr>
          <w:rFonts w:hint="eastAsia" w:ascii="仿宋_GB2312" w:hAnsi="仿宋_GB2312" w:eastAsia="仿宋_GB2312"/>
          <w:color w:val="000000"/>
          <w:kern w:val="2"/>
          <w:sz w:val="32"/>
          <w:lang w:val="en-US"/>
        </w:rPr>
        <w:t>支出（类）巩固脱贫衔接乡村振兴（款）其他巩固脱贫衔接乡村振兴支出（项）：</w:t>
      </w:r>
      <w:r>
        <w:rPr>
          <w:rFonts w:hint="eastAsia" w:ascii="仿宋_GB2312" w:hAnsi="仿宋_GB2312" w:eastAsia="仿宋_GB2312" w:cs="仿宋_GB2312"/>
          <w:color w:val="000000"/>
          <w:sz w:val="32"/>
          <w:szCs w:val="32"/>
        </w:rPr>
        <w:t>指交通局机关用于</w:t>
      </w:r>
      <w:r>
        <w:rPr>
          <w:rFonts w:hint="eastAsia" w:ascii="仿宋_GB2312" w:hAnsi="仿宋_GB2312" w:eastAsia="仿宋_GB2312" w:cs="仿宋_GB2312"/>
          <w:color w:val="000000"/>
          <w:sz w:val="32"/>
          <w:szCs w:val="32"/>
          <w:lang w:eastAsia="zh-CN"/>
        </w:rPr>
        <w:t>农村客运市级发展补助资金和</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年市级财政巩固拓展脱贫攻坚成果同乡村振兴有效衔接专项资金</w:t>
      </w:r>
      <w:r>
        <w:rPr>
          <w:rFonts w:hint="eastAsia" w:ascii="仿宋_GB2312" w:hAnsi="仿宋_GB2312" w:eastAsia="仿宋_GB2312" w:cs="仿宋_GB2312"/>
          <w:color w:val="000000"/>
          <w:sz w:val="32"/>
          <w:szCs w:val="32"/>
          <w:lang w:eastAsia="zh-CN"/>
        </w:rPr>
        <w:t>的相关支出</w:t>
      </w:r>
      <w:r>
        <w:rPr>
          <w:rFonts w:hint="eastAsia" w:ascii="仿宋_GB2312" w:hAnsi="仿宋_GB2312" w:eastAsia="仿宋_GB2312"/>
          <w:color w:val="000000"/>
          <w:kern w:val="2"/>
          <w:sz w:val="32"/>
          <w:lang w:val="en-US"/>
        </w:rPr>
        <w:t>。</w:t>
      </w:r>
    </w:p>
    <w:p>
      <w:pPr>
        <w:spacing w:beforeLines="0" w:afterLines="0" w:line="576" w:lineRule="exact"/>
        <w:ind w:firstLine="640"/>
        <w:jc w:val="both"/>
        <w:rPr>
          <w:rFonts w:hint="eastAsia" w:ascii="仿宋_GB2312" w:hAnsi="仿宋_GB2312" w:eastAsia="仿宋_GB2312"/>
          <w:color w:val="000000"/>
          <w:kern w:val="2"/>
          <w:sz w:val="32"/>
          <w:lang w:val="en-US"/>
        </w:rPr>
      </w:pPr>
      <w:r>
        <w:rPr>
          <w:rFonts w:hint="eastAsia" w:ascii="仿宋_GB2312" w:hAnsi="仿宋_GB2312" w:eastAsia="仿宋_GB2312"/>
          <w:color w:val="000000"/>
          <w:kern w:val="2"/>
          <w:sz w:val="32"/>
          <w:lang w:val="en-US"/>
        </w:rPr>
        <w:t>23.</w:t>
      </w:r>
      <w:r>
        <w:rPr>
          <w:rFonts w:hint="eastAsia" w:ascii="仿宋_GB2312" w:eastAsia="仿宋_GB2312"/>
          <w:color w:val="000000"/>
          <w:sz w:val="32"/>
          <w:szCs w:val="32"/>
        </w:rPr>
        <w:t>交通运输支出（类）公路水路运输（款）行政运行（项）：指交通局机关及下属参公单位的基本支出（人员经费及日常公用经费）</w:t>
      </w:r>
    </w:p>
    <w:p>
      <w:pPr>
        <w:spacing w:beforeLines="0" w:afterLines="0" w:line="576" w:lineRule="exact"/>
        <w:ind w:firstLine="640"/>
        <w:jc w:val="both"/>
        <w:rPr>
          <w:rFonts w:hint="eastAsia" w:ascii="仿宋_GB2312" w:eastAsia="仿宋_GB2312"/>
          <w:color w:val="000000"/>
          <w:sz w:val="32"/>
          <w:szCs w:val="32"/>
        </w:rPr>
      </w:pPr>
      <w:r>
        <w:rPr>
          <w:rFonts w:hint="eastAsia" w:ascii="仿宋_GB2312" w:hAnsi="仿宋_GB2312" w:eastAsia="仿宋_GB2312"/>
          <w:color w:val="000000"/>
          <w:kern w:val="2"/>
          <w:sz w:val="32"/>
          <w:lang w:val="en-US"/>
        </w:rPr>
        <w:t>24.</w:t>
      </w:r>
      <w:r>
        <w:rPr>
          <w:rFonts w:hint="eastAsia" w:ascii="仿宋_GB2312" w:eastAsia="仿宋_GB2312"/>
          <w:color w:val="000000"/>
          <w:sz w:val="32"/>
          <w:szCs w:val="32"/>
        </w:rPr>
        <w:t>交通运输支出（类）公路水路运输（款）一般行政管理事务（项）：指局机关及下属参公单位用于保障机构正常运转和完成202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年工作任务的专项经费。</w:t>
      </w:r>
    </w:p>
    <w:p>
      <w:pPr>
        <w:spacing w:beforeLines="0" w:afterLines="0" w:line="576" w:lineRule="exact"/>
        <w:ind w:firstLine="640"/>
        <w:jc w:val="both"/>
        <w:rPr>
          <w:rFonts w:hint="eastAsia" w:ascii="仿宋_GB2312" w:hAnsi="仿宋_GB2312" w:eastAsia="仿宋_GB2312"/>
          <w:color w:val="000000"/>
          <w:kern w:val="2"/>
          <w:sz w:val="32"/>
          <w:lang w:val="en-US"/>
        </w:rPr>
      </w:pPr>
      <w:r>
        <w:rPr>
          <w:rFonts w:hint="eastAsia" w:ascii="仿宋_GB2312" w:hAnsi="仿宋_GB2312" w:eastAsia="仿宋_GB2312"/>
          <w:color w:val="000000"/>
          <w:kern w:val="2"/>
          <w:sz w:val="32"/>
          <w:lang w:val="en-US"/>
        </w:rPr>
        <w:t>25.</w:t>
      </w:r>
      <w:r>
        <w:rPr>
          <w:rFonts w:hint="eastAsia" w:ascii="仿宋_GB2312" w:eastAsia="仿宋_GB2312"/>
          <w:color w:val="000000"/>
          <w:sz w:val="32"/>
          <w:szCs w:val="32"/>
        </w:rPr>
        <w:t>交通运输支出（类）公路水路运输（款）公路建设（项）：指用于公路建设的支出。</w:t>
      </w:r>
    </w:p>
    <w:p>
      <w:pPr>
        <w:spacing w:beforeLines="0" w:afterLines="0" w:line="576" w:lineRule="exact"/>
        <w:ind w:firstLine="640"/>
        <w:jc w:val="both"/>
        <w:rPr>
          <w:rFonts w:hint="eastAsia" w:ascii="仿宋_GB2312" w:eastAsia="仿宋_GB2312"/>
          <w:color w:val="000000"/>
          <w:sz w:val="32"/>
          <w:szCs w:val="32"/>
        </w:rPr>
      </w:pPr>
      <w:r>
        <w:rPr>
          <w:rFonts w:hint="eastAsia" w:ascii="仿宋_GB2312" w:hAnsi="仿宋_GB2312" w:eastAsia="仿宋_GB2312"/>
          <w:color w:val="000000"/>
          <w:kern w:val="2"/>
          <w:sz w:val="32"/>
          <w:lang w:val="en-US"/>
        </w:rPr>
        <w:t>26.</w:t>
      </w:r>
      <w:r>
        <w:rPr>
          <w:rFonts w:hint="eastAsia" w:ascii="仿宋_GB2312" w:eastAsia="仿宋_GB2312"/>
          <w:color w:val="000000"/>
          <w:sz w:val="32"/>
          <w:szCs w:val="32"/>
        </w:rPr>
        <w:t>交通运输支出（类）公路水路运输（款）公路养护（项）：指公路管理所养护支出（含人员经费、日常公用经费及公路小修保养经费等）。</w:t>
      </w:r>
    </w:p>
    <w:p>
      <w:pPr>
        <w:pStyle w:val="2"/>
        <w:ind w:left="0" w:leftChars="0"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27.</w:t>
      </w:r>
      <w:r>
        <w:rPr>
          <w:rFonts w:hint="eastAsia" w:ascii="仿宋_GB2312" w:eastAsia="仿宋_GB2312"/>
          <w:color w:val="000000"/>
          <w:sz w:val="32"/>
          <w:szCs w:val="32"/>
        </w:rPr>
        <w:t>交通运输支出（类）公路水路运输（款）公路运输管理（项）：指公路运输管理支出</w:t>
      </w:r>
      <w:r>
        <w:rPr>
          <w:rFonts w:hint="eastAsia" w:ascii="仿宋_GB2312" w:eastAsia="仿宋_GB2312"/>
          <w:color w:val="000000"/>
          <w:sz w:val="32"/>
          <w:szCs w:val="32"/>
          <w:lang w:eastAsia="zh-CN"/>
        </w:rPr>
        <w:t>和公路路政管理支出</w:t>
      </w:r>
      <w:r>
        <w:rPr>
          <w:rFonts w:hint="eastAsia" w:ascii="仿宋_GB2312" w:eastAsia="仿宋_GB2312"/>
          <w:color w:val="000000"/>
          <w:sz w:val="32"/>
          <w:szCs w:val="32"/>
        </w:rPr>
        <w:t>。</w:t>
      </w:r>
    </w:p>
    <w:p>
      <w:pPr>
        <w:pStyle w:val="2"/>
        <w:ind w:left="0" w:leftChars="0"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28.</w:t>
      </w:r>
      <w:r>
        <w:rPr>
          <w:rFonts w:hint="eastAsia" w:ascii="仿宋_GB2312" w:eastAsia="仿宋_GB2312"/>
          <w:color w:val="000000"/>
          <w:sz w:val="32"/>
          <w:szCs w:val="32"/>
        </w:rPr>
        <w:t>交通运输支出（类）公路水路运输（款）其他公路水路运输支出（项）：指202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年部分上级补助资金安排的公路建设项目开支等。</w:t>
      </w:r>
    </w:p>
    <w:p>
      <w:pPr>
        <w:pStyle w:val="2"/>
        <w:ind w:left="0" w:leftChars="0"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29.</w:t>
      </w:r>
      <w:r>
        <w:rPr>
          <w:rFonts w:hint="eastAsia" w:ascii="仿宋_GB2312" w:eastAsia="仿宋_GB2312"/>
          <w:color w:val="000000"/>
          <w:sz w:val="32"/>
          <w:szCs w:val="32"/>
        </w:rPr>
        <w:t>交通运输支出（类）车辆购置税支出（款）车辆购置税用于公路等基础设施建设支出（项）：指车辆购税收入安排用于公路等基础设施建设的支出。</w:t>
      </w:r>
    </w:p>
    <w:p>
      <w:pPr>
        <w:pStyle w:val="2"/>
        <w:ind w:left="0" w:leftChars="0"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30.</w:t>
      </w:r>
      <w:r>
        <w:rPr>
          <w:rFonts w:hint="eastAsia" w:ascii="仿宋_GB2312" w:eastAsia="仿宋_GB2312"/>
          <w:color w:val="000000"/>
          <w:sz w:val="32"/>
          <w:szCs w:val="32"/>
        </w:rPr>
        <w:t>交通运输支出（类）车辆购置税支出（款）车辆购置税用于</w:t>
      </w:r>
      <w:r>
        <w:rPr>
          <w:rFonts w:hint="eastAsia"/>
          <w:color w:val="000000"/>
          <w:sz w:val="32"/>
          <w:szCs w:val="32"/>
          <w:lang w:eastAsia="zh-CN"/>
        </w:rPr>
        <w:t>农村</w:t>
      </w:r>
      <w:r>
        <w:rPr>
          <w:rFonts w:hint="eastAsia" w:ascii="仿宋_GB2312" w:eastAsia="仿宋_GB2312"/>
          <w:color w:val="000000"/>
          <w:sz w:val="32"/>
          <w:szCs w:val="32"/>
        </w:rPr>
        <w:t>公路建设支出（项）：指车辆购税收入安排用于</w:t>
      </w:r>
      <w:r>
        <w:rPr>
          <w:rFonts w:hint="eastAsia"/>
          <w:color w:val="000000"/>
          <w:sz w:val="32"/>
          <w:szCs w:val="32"/>
          <w:lang w:eastAsia="zh-CN"/>
        </w:rPr>
        <w:t>农村</w:t>
      </w:r>
      <w:r>
        <w:rPr>
          <w:rFonts w:hint="eastAsia" w:ascii="仿宋_GB2312" w:eastAsia="仿宋_GB2312"/>
          <w:color w:val="000000"/>
          <w:sz w:val="32"/>
          <w:szCs w:val="32"/>
        </w:rPr>
        <w:t>公路建设的支出。</w:t>
      </w:r>
    </w:p>
    <w:p>
      <w:pPr>
        <w:pStyle w:val="2"/>
        <w:ind w:left="0" w:leftChars="0" w:firstLine="640" w:firstLineChars="200"/>
        <w:rPr>
          <w:rFonts w:hint="eastAsia" w:ascii="仿宋_GB2312" w:eastAsia="仿宋_GB2312"/>
          <w:color w:val="000000"/>
          <w:sz w:val="32"/>
          <w:szCs w:val="32"/>
          <w:lang w:val="en-US"/>
        </w:rPr>
      </w:pPr>
      <w:r>
        <w:rPr>
          <w:rFonts w:hint="eastAsia" w:ascii="仿宋_GB2312" w:eastAsia="仿宋_GB2312"/>
          <w:color w:val="000000"/>
          <w:sz w:val="32"/>
          <w:szCs w:val="32"/>
          <w:lang w:val="en-US" w:eastAsia="zh-CN"/>
        </w:rPr>
        <w:t>31.</w:t>
      </w:r>
      <w:r>
        <w:rPr>
          <w:rFonts w:hint="eastAsia" w:ascii="仿宋_GB2312" w:eastAsia="仿宋_GB2312"/>
          <w:color w:val="000000"/>
          <w:sz w:val="32"/>
          <w:szCs w:val="32"/>
        </w:rPr>
        <w:t>交通运输支出（类）其他交通运输支出（款）公共交通运营补助（项）：指安排用于公共交通运输企业的补助支出等。</w:t>
      </w:r>
    </w:p>
    <w:p>
      <w:pPr>
        <w:spacing w:beforeLines="0" w:afterLines="0" w:line="576" w:lineRule="exact"/>
        <w:ind w:firstLine="640"/>
        <w:jc w:val="both"/>
        <w:rPr>
          <w:rFonts w:hint="eastAsia" w:ascii="仿宋_GB2312" w:hAnsi="仿宋_GB2312" w:eastAsia="仿宋_GB2312"/>
          <w:color w:val="000000"/>
          <w:kern w:val="2"/>
          <w:sz w:val="32"/>
          <w:lang w:val="en-US"/>
        </w:rPr>
      </w:pPr>
      <w:r>
        <w:rPr>
          <w:rFonts w:hint="eastAsia" w:ascii="仿宋_GB2312" w:eastAsia="仿宋_GB2312"/>
          <w:sz w:val="32"/>
          <w:szCs w:val="32"/>
          <w:lang w:val="en-US" w:eastAsia="zh-CN"/>
        </w:rPr>
        <w:t>32.</w:t>
      </w:r>
      <w:r>
        <w:rPr>
          <w:rFonts w:hint="eastAsia" w:ascii="仿宋_GB2312" w:eastAsia="仿宋_GB2312"/>
          <w:sz w:val="32"/>
          <w:szCs w:val="32"/>
        </w:rPr>
        <w:t>住房保障支出（类）住房改革支出（款）住房公积金（项）：指局机关及下属单位按基本工资和津贴补贴以及规定比例为职工缴纳的住房公积金。</w:t>
      </w:r>
    </w:p>
    <w:p>
      <w:pPr>
        <w:spacing w:beforeLines="0" w:afterLines="0" w:line="576" w:lineRule="exact"/>
        <w:ind w:firstLine="640"/>
        <w:jc w:val="both"/>
        <w:rPr>
          <w:rFonts w:hint="eastAsia" w:ascii="仿宋_GB2312" w:hAnsi="仿宋_GB2312" w:eastAsia="仿宋_GB2312"/>
          <w:color w:val="000000"/>
          <w:kern w:val="2"/>
          <w:sz w:val="32"/>
          <w:lang w:val="en-US"/>
        </w:rPr>
      </w:pPr>
      <w:r>
        <w:rPr>
          <w:rFonts w:hint="eastAsia" w:ascii="仿宋_GB2312" w:hAnsi="仿宋_GB2312" w:eastAsia="仿宋_GB2312"/>
          <w:color w:val="000000"/>
          <w:kern w:val="2"/>
          <w:sz w:val="32"/>
          <w:lang w:val="en-US" w:eastAsia="zh-CN"/>
        </w:rPr>
        <w:t>33</w:t>
      </w:r>
      <w:r>
        <w:rPr>
          <w:rFonts w:hint="eastAsia" w:ascii="仿宋_GB2312" w:hAnsi="仿宋_GB2312" w:eastAsia="仿宋_GB2312"/>
          <w:color w:val="000000"/>
          <w:kern w:val="2"/>
          <w:sz w:val="32"/>
          <w:lang w:val="en-US"/>
        </w:rPr>
        <w:t>.基本支出：指为保障机构正常运转、完成日常工作任务而发生的人员支出和公用支出。</w:t>
      </w:r>
    </w:p>
    <w:p>
      <w:pPr>
        <w:spacing w:beforeLines="0" w:afterLines="0" w:line="576" w:lineRule="exact"/>
        <w:ind w:firstLine="640"/>
        <w:jc w:val="both"/>
        <w:rPr>
          <w:rFonts w:hint="eastAsia" w:ascii="仿宋_GB2312" w:hAnsi="仿宋_GB2312" w:eastAsia="仿宋_GB2312"/>
          <w:color w:val="000000"/>
          <w:kern w:val="2"/>
          <w:sz w:val="32"/>
          <w:lang w:val="en-US"/>
        </w:rPr>
      </w:pPr>
      <w:r>
        <w:rPr>
          <w:rFonts w:hint="eastAsia" w:ascii="仿宋_GB2312" w:hAnsi="仿宋_GB2312" w:eastAsia="仿宋_GB2312"/>
          <w:color w:val="000000"/>
          <w:kern w:val="2"/>
          <w:sz w:val="32"/>
          <w:lang w:val="en-US" w:eastAsia="zh-CN"/>
        </w:rPr>
        <w:t>34</w:t>
      </w:r>
      <w:r>
        <w:rPr>
          <w:rFonts w:hint="eastAsia" w:ascii="仿宋_GB2312" w:hAnsi="仿宋_GB2312" w:eastAsia="仿宋_GB2312"/>
          <w:color w:val="000000"/>
          <w:kern w:val="2"/>
          <w:sz w:val="32"/>
          <w:lang w:val="en-US"/>
        </w:rPr>
        <w:t xml:space="preserve">.项目支出：指在基本支出之外为完成特定行政任务和事业发展目标所发生的支出。 </w:t>
      </w:r>
    </w:p>
    <w:p>
      <w:pPr>
        <w:spacing w:beforeLines="0" w:afterLines="0" w:line="576" w:lineRule="exact"/>
        <w:ind w:firstLine="640"/>
        <w:jc w:val="both"/>
        <w:rPr>
          <w:rFonts w:hint="eastAsia" w:ascii="仿宋_GB2312" w:hAnsi="仿宋_GB2312" w:eastAsia="仿宋_GB2312"/>
          <w:color w:val="000000"/>
          <w:kern w:val="2"/>
          <w:sz w:val="32"/>
          <w:lang w:val="en-US"/>
        </w:rPr>
      </w:pPr>
      <w:r>
        <w:rPr>
          <w:rFonts w:hint="eastAsia" w:ascii="仿宋_GB2312" w:hAnsi="仿宋_GB2312" w:eastAsia="仿宋_GB2312"/>
          <w:color w:val="000000"/>
          <w:kern w:val="2"/>
          <w:sz w:val="32"/>
          <w:lang w:val="en-US" w:eastAsia="zh-CN"/>
        </w:rPr>
        <w:t>35</w:t>
      </w:r>
      <w:r>
        <w:rPr>
          <w:rFonts w:hint="eastAsia" w:ascii="仿宋_GB2312" w:hAnsi="仿宋_GB2312" w:eastAsia="仿宋_GB2312"/>
          <w:color w:val="000000"/>
          <w:kern w:val="2"/>
          <w:sz w:val="32"/>
          <w:lang w:val="en-US"/>
        </w:rPr>
        <w:t>.经营支出：指事业单位在专业业务活动及其辅助活动之外开展非独立核算经营活动发生的支出。</w:t>
      </w:r>
    </w:p>
    <w:p>
      <w:pPr>
        <w:spacing w:beforeLines="0" w:afterLines="0" w:line="576" w:lineRule="exact"/>
        <w:ind w:firstLine="640"/>
        <w:rPr>
          <w:rFonts w:hint="eastAsia" w:ascii="仿宋_GB2312" w:hAnsi="仿宋_GB2312" w:eastAsia="仿宋_GB2312"/>
          <w:color w:val="000000"/>
          <w:sz w:val="32"/>
          <w:lang w:val="en-US"/>
        </w:rPr>
      </w:pPr>
      <w:r>
        <w:rPr>
          <w:rFonts w:hint="eastAsia" w:ascii="仿宋_GB2312" w:hAnsi="仿宋_GB2312" w:eastAsia="仿宋_GB2312"/>
          <w:color w:val="000000"/>
          <w:sz w:val="32"/>
          <w:lang w:val="en-US"/>
        </w:rPr>
        <w:t>3</w:t>
      </w:r>
      <w:r>
        <w:rPr>
          <w:rFonts w:hint="eastAsia" w:ascii="仿宋_GB2312" w:hAnsi="仿宋_GB2312" w:eastAsia="仿宋_GB2312"/>
          <w:color w:val="000000"/>
          <w:sz w:val="32"/>
          <w:lang w:val="en-US" w:eastAsia="zh-CN"/>
        </w:rPr>
        <w:t>6</w:t>
      </w:r>
      <w:r>
        <w:rPr>
          <w:rFonts w:hint="eastAsia" w:ascii="仿宋_GB2312" w:hAnsi="仿宋_GB2312" w:eastAsia="仿宋_GB2312"/>
          <w:color w:val="000000"/>
          <w:sz w:val="32"/>
          <w:lang w:val="en-US"/>
        </w:rPr>
        <w:t>.</w:t>
      </w:r>
      <w:r>
        <w:rPr>
          <w:rFonts w:hint="default" w:ascii="仿宋_GB2312" w:hAnsi="仿宋_GB2312" w:eastAsia="仿宋_GB2312"/>
          <w:color w:val="000000"/>
          <w:sz w:val="32"/>
          <w:lang w:val="en-US"/>
        </w:rPr>
        <w:t>“</w:t>
      </w:r>
      <w:r>
        <w:rPr>
          <w:rFonts w:hint="eastAsia" w:ascii="仿宋_GB2312" w:hAnsi="仿宋_GB2312" w:eastAsia="仿宋_GB2312"/>
          <w:color w:val="000000"/>
          <w:sz w:val="32"/>
          <w:lang w:val="en-US"/>
        </w:rPr>
        <w:t>三公</w:t>
      </w:r>
      <w:r>
        <w:rPr>
          <w:rFonts w:hint="default" w:ascii="仿宋_GB2312" w:hAnsi="仿宋_GB2312" w:eastAsia="仿宋_GB2312"/>
          <w:color w:val="000000"/>
          <w:sz w:val="32"/>
          <w:lang w:val="en-US"/>
        </w:rPr>
        <w:t>”</w:t>
      </w:r>
      <w:r>
        <w:rPr>
          <w:rFonts w:hint="eastAsia" w:ascii="仿宋_GB2312" w:hAnsi="仿宋_GB2312" w:eastAsia="仿宋_GB2312"/>
          <w:color w:val="000000"/>
          <w:sz w:val="32"/>
          <w:lang w:val="en-US"/>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beforeLines="0" w:afterLines="0" w:line="560" w:lineRule="exact"/>
        <w:ind w:firstLine="640"/>
        <w:rPr>
          <w:rFonts w:hint="eastAsia" w:ascii="仿宋_GB2312" w:hAnsi="仿宋_GB2312" w:eastAsia="仿宋_GB2312"/>
          <w:color w:val="auto"/>
          <w:sz w:val="32"/>
          <w:lang w:val="en-US"/>
        </w:rPr>
      </w:pPr>
      <w:r>
        <w:rPr>
          <w:rFonts w:hint="eastAsia" w:ascii="仿宋_GB2312" w:hAnsi="仿宋_GB2312" w:eastAsia="仿宋_GB2312"/>
          <w:color w:val="000000"/>
          <w:sz w:val="32"/>
          <w:lang w:val="en-US"/>
        </w:rPr>
        <w:t>3</w:t>
      </w:r>
      <w:r>
        <w:rPr>
          <w:rFonts w:hint="eastAsia" w:ascii="仿宋_GB2312" w:hAnsi="仿宋_GB2312" w:eastAsia="仿宋_GB2312"/>
          <w:color w:val="000000"/>
          <w:sz w:val="32"/>
          <w:lang w:val="en-US" w:eastAsia="zh-CN"/>
        </w:rPr>
        <w:t>7</w:t>
      </w:r>
      <w:r>
        <w:rPr>
          <w:rFonts w:hint="eastAsia" w:ascii="仿宋_GB2312" w:hAnsi="仿宋_GB2312" w:eastAsia="仿宋_GB2312"/>
          <w:color w:val="000000"/>
          <w:sz w:val="32"/>
          <w:lang w:val="en-US"/>
        </w:rPr>
        <w:t>.机关运行经费：</w:t>
      </w:r>
      <w:r>
        <w:rPr>
          <w:rFonts w:hint="eastAsia" w:ascii="仿宋_GB2312" w:hAnsi="仿宋_GB2312" w:eastAsia="仿宋_GB2312"/>
          <w:color w:val="auto"/>
          <w:sz w:val="32"/>
          <w:lang w:val="en-US"/>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Lines="0" w:afterLines="0"/>
        <w:ind w:firstLine="643"/>
        <w:jc w:val="both"/>
        <w:rPr>
          <w:rFonts w:hint="eastAsia" w:ascii="仿宋" w:hAnsi="仿宋" w:eastAsia="仿宋"/>
          <w:b/>
          <w:color w:val="auto"/>
          <w:kern w:val="2"/>
          <w:sz w:val="32"/>
          <w:lang w:val="en-US"/>
        </w:rPr>
      </w:pPr>
    </w:p>
    <w:p>
      <w:pPr>
        <w:pStyle w:val="2"/>
        <w:rPr>
          <w:rFonts w:hint="eastAsia" w:ascii="仿宋" w:hAnsi="仿宋" w:eastAsia="仿宋"/>
          <w:b/>
          <w:color w:val="auto"/>
          <w:kern w:val="2"/>
          <w:sz w:val="32"/>
          <w:lang w:val="en-US"/>
        </w:rPr>
      </w:pPr>
    </w:p>
    <w:p>
      <w:pPr>
        <w:pStyle w:val="2"/>
        <w:rPr>
          <w:rFonts w:hint="eastAsia" w:ascii="仿宋" w:hAnsi="仿宋" w:eastAsia="仿宋"/>
          <w:b/>
          <w:color w:val="auto"/>
          <w:kern w:val="2"/>
          <w:sz w:val="32"/>
          <w:lang w:val="en-US"/>
        </w:rPr>
      </w:pPr>
    </w:p>
    <w:p>
      <w:pPr>
        <w:pStyle w:val="2"/>
        <w:rPr>
          <w:rFonts w:hint="eastAsia" w:ascii="仿宋" w:hAnsi="仿宋" w:eastAsia="仿宋"/>
          <w:b/>
          <w:color w:val="auto"/>
          <w:kern w:val="2"/>
          <w:sz w:val="32"/>
          <w:lang w:val="en-US"/>
        </w:rPr>
      </w:pPr>
    </w:p>
    <w:p>
      <w:pPr>
        <w:pStyle w:val="2"/>
        <w:rPr>
          <w:rFonts w:hint="eastAsia" w:ascii="仿宋" w:hAnsi="仿宋" w:eastAsia="仿宋"/>
          <w:b/>
          <w:color w:val="auto"/>
          <w:kern w:val="2"/>
          <w:sz w:val="32"/>
          <w:lang w:val="en-US"/>
        </w:rPr>
      </w:pPr>
    </w:p>
    <w:p>
      <w:pPr>
        <w:pStyle w:val="2"/>
        <w:rPr>
          <w:rFonts w:hint="eastAsia" w:ascii="仿宋" w:hAnsi="仿宋" w:eastAsia="仿宋"/>
          <w:b/>
          <w:color w:val="auto"/>
          <w:kern w:val="2"/>
          <w:sz w:val="32"/>
          <w:lang w:val="en-US"/>
        </w:rPr>
      </w:pPr>
    </w:p>
    <w:p>
      <w:pPr>
        <w:pStyle w:val="2"/>
        <w:rPr>
          <w:rFonts w:hint="eastAsia" w:ascii="仿宋" w:hAnsi="仿宋" w:eastAsia="仿宋"/>
          <w:b/>
          <w:color w:val="auto"/>
          <w:kern w:val="2"/>
          <w:sz w:val="32"/>
          <w:lang w:val="en-US"/>
        </w:rPr>
      </w:pPr>
    </w:p>
    <w:p>
      <w:pPr>
        <w:keepNext/>
        <w:keepLines/>
        <w:spacing w:beforeLines="0" w:afterLines="0" w:line="576" w:lineRule="exact"/>
        <w:jc w:val="center"/>
        <w:rPr>
          <w:rFonts w:hint="eastAsia" w:ascii="黑体" w:hAnsi="黑体" w:eastAsia="黑体"/>
          <w:color w:val="auto"/>
          <w:kern w:val="44"/>
          <w:sz w:val="44"/>
          <w:lang w:val="zh-CN"/>
        </w:rPr>
      </w:pPr>
    </w:p>
    <w:p>
      <w:pPr>
        <w:pStyle w:val="4"/>
        <w:bidi w:val="0"/>
        <w:jc w:val="center"/>
        <w:rPr>
          <w:rFonts w:hint="eastAsia" w:ascii="黑体" w:hAnsi="黑体" w:eastAsia="黑体" w:cs="黑体"/>
          <w:sz w:val="44"/>
          <w:szCs w:val="44"/>
          <w:lang w:val="en-US"/>
        </w:rPr>
      </w:pPr>
      <w:bookmarkStart w:id="43" w:name="_Toc3423_WPSOffice_Level1"/>
      <w:r>
        <w:rPr>
          <w:rFonts w:hint="eastAsia" w:ascii="黑体" w:hAnsi="黑体" w:eastAsia="黑体" w:cs="黑体"/>
          <w:sz w:val="44"/>
          <w:szCs w:val="44"/>
          <w:lang w:val="en-US"/>
        </w:rPr>
        <w:t>第四部分 附件</w:t>
      </w:r>
      <w:bookmarkEnd w:id="43"/>
    </w:p>
    <w:p>
      <w:pPr>
        <w:keepNext/>
        <w:keepLines/>
        <w:spacing w:beforeLines="0" w:afterLines="0" w:line="572" w:lineRule="exact"/>
        <w:rPr>
          <w:rFonts w:hint="eastAsia" w:ascii="方正小标宋简体" w:hAnsi="方正小标宋简体" w:eastAsia="黑体"/>
          <w:color w:val="auto"/>
          <w:kern w:val="2"/>
          <w:sz w:val="44"/>
          <w:lang w:val="en-US" w:eastAsia="zh-CN"/>
        </w:rPr>
      </w:pPr>
      <w:r>
        <w:rPr>
          <w:rFonts w:hint="eastAsia" w:ascii="黑体" w:hAnsi="黑体" w:eastAsia="黑体"/>
          <w:color w:val="auto"/>
          <w:kern w:val="2"/>
          <w:sz w:val="32"/>
          <w:lang w:val="en-US"/>
        </w:rPr>
        <w:t>附件</w:t>
      </w:r>
      <w:r>
        <w:rPr>
          <w:rFonts w:hint="eastAsia" w:ascii="黑体" w:hAnsi="黑体" w:eastAsia="黑体"/>
          <w:color w:val="auto"/>
          <w:kern w:val="2"/>
          <w:sz w:val="32"/>
          <w:lang w:val="en-US" w:eastAsia="zh-CN"/>
        </w:rPr>
        <w:t>1</w:t>
      </w:r>
    </w:p>
    <w:p>
      <w:pPr>
        <w:spacing w:line="520" w:lineRule="exact"/>
        <w:jc w:val="center"/>
        <w:rPr>
          <w:rFonts w:hint="eastAsia" w:ascii="方正小标宋简体" w:hAnsi="宋体" w:eastAsia="方正小标宋简体"/>
          <w:sz w:val="44"/>
          <w:szCs w:val="44"/>
          <w:shd w:val="clear" w:color="auto" w:fill="FFFFFF"/>
          <w:lang w:val="en-US" w:eastAsia="zh-CN"/>
        </w:rPr>
      </w:pPr>
      <w:bookmarkStart w:id="44" w:name="_Toc24739_WPSOffice_Level2"/>
      <w:bookmarkStart w:id="45" w:name="_Toc2478_WPSOffice_Level2"/>
      <w:bookmarkStart w:id="46" w:name="_Toc28698_WPSOffice_Level2"/>
      <w:r>
        <w:rPr>
          <w:rFonts w:hint="eastAsia" w:ascii="方正小标宋简体" w:hAnsi="宋体" w:eastAsia="方正小标宋简体"/>
          <w:sz w:val="44"/>
          <w:szCs w:val="44"/>
          <w:shd w:val="clear" w:color="auto" w:fill="FFFFFF"/>
        </w:rPr>
        <w:t>德阳市</w:t>
      </w:r>
      <w:r>
        <w:rPr>
          <w:rFonts w:hint="eastAsia" w:ascii="方正小标宋简体" w:hAnsi="宋体" w:eastAsia="方正小标宋简体"/>
          <w:sz w:val="44"/>
          <w:szCs w:val="44"/>
          <w:shd w:val="clear" w:color="auto" w:fill="FFFFFF"/>
          <w:lang w:val="en-US" w:eastAsia="zh-CN"/>
        </w:rPr>
        <w:t>罗江区交通运输局</w:t>
      </w:r>
      <w:bookmarkEnd w:id="44"/>
      <w:bookmarkEnd w:id="45"/>
      <w:bookmarkEnd w:id="46"/>
    </w:p>
    <w:p>
      <w:pPr>
        <w:spacing w:line="520" w:lineRule="exact"/>
        <w:jc w:val="center"/>
        <w:rPr>
          <w:rFonts w:hint="eastAsia" w:ascii="仿宋_GB2312" w:hAnsi="宋体"/>
          <w:szCs w:val="32"/>
          <w:shd w:val="clear" w:color="auto" w:fill="FFFFFF"/>
        </w:rPr>
      </w:pPr>
      <w:bookmarkStart w:id="47" w:name="_Toc20287_WPSOffice_Level2"/>
      <w:bookmarkStart w:id="48" w:name="_Toc823_WPSOffice_Level2"/>
      <w:bookmarkStart w:id="49" w:name="_Toc22003_WPSOffice_Level2"/>
      <w:r>
        <w:rPr>
          <w:rFonts w:hint="eastAsia" w:ascii="方正小标宋简体" w:hAnsi="宋体" w:eastAsia="方正小标宋简体"/>
          <w:sz w:val="44"/>
          <w:szCs w:val="44"/>
          <w:shd w:val="clear" w:color="auto" w:fill="FFFFFF"/>
        </w:rPr>
        <w:t>20</w:t>
      </w:r>
      <w:r>
        <w:rPr>
          <w:rFonts w:hint="eastAsia" w:ascii="方正小标宋简体" w:hAnsi="宋体" w:eastAsia="方正小标宋简体"/>
          <w:sz w:val="44"/>
          <w:szCs w:val="44"/>
          <w:shd w:val="clear" w:color="auto" w:fill="FFFFFF"/>
          <w:lang w:val="en-US" w:eastAsia="zh-CN"/>
        </w:rPr>
        <w:t>22</w:t>
      </w:r>
      <w:r>
        <w:rPr>
          <w:rFonts w:hint="eastAsia" w:ascii="方正小标宋简体" w:hAnsi="宋体" w:eastAsia="方正小标宋简体"/>
          <w:sz w:val="44"/>
          <w:szCs w:val="44"/>
          <w:shd w:val="clear" w:color="auto" w:fill="FFFFFF"/>
        </w:rPr>
        <w:t>年部门整体支出绩效自评报告</w:t>
      </w:r>
      <w:bookmarkEnd w:id="47"/>
      <w:bookmarkEnd w:id="48"/>
      <w:bookmarkEnd w:id="49"/>
    </w:p>
    <w:p>
      <w:pPr>
        <w:spacing w:line="520" w:lineRule="exact"/>
        <w:jc w:val="cente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（报告范围包括本部门机关和下属单位）</w:t>
      </w:r>
    </w:p>
    <w:p>
      <w:pPr>
        <w:adjustRightInd w:val="0"/>
        <w:snapToGrid w:val="0"/>
        <w:spacing w:line="520" w:lineRule="exact"/>
        <w:ind w:firstLine="720"/>
        <w:rPr>
          <w:rFonts w:hint="eastAsia" w:ascii="黑体" w:hAnsi="宋体" w:eastAsia="黑体" w:cs="宋体"/>
          <w:color w:val="000000"/>
          <w:kern w:val="0"/>
          <w:sz w:val="24"/>
          <w:szCs w:val="32"/>
          <w:shd w:val="clear" w:color="auto" w:fill="FFFFFF"/>
        </w:rPr>
      </w:pPr>
    </w:p>
    <w:p>
      <w:pPr>
        <w:bidi w:val="0"/>
        <w:ind w:firstLine="640" w:firstLineChars="200"/>
        <w:rPr>
          <w:rFonts w:hint="eastAsia" w:ascii="黑体" w:hAnsi="黑体" w:eastAsia="黑体" w:cs="黑体"/>
          <w:sz w:val="32"/>
          <w:szCs w:val="32"/>
          <w:lang w:val="zh-CN"/>
        </w:rPr>
      </w:pPr>
      <w:bookmarkStart w:id="50" w:name="_Toc7390_WPSOffice_Level2"/>
      <w:bookmarkStart w:id="51" w:name="_Toc32023_WPSOffice_Level2"/>
      <w:bookmarkStart w:id="52" w:name="_Toc10911_WPSOffice_Level2"/>
      <w:r>
        <w:rPr>
          <w:rFonts w:hint="eastAsia" w:ascii="黑体" w:hAnsi="黑体" w:eastAsia="黑体" w:cs="黑体"/>
          <w:sz w:val="32"/>
          <w:szCs w:val="32"/>
        </w:rPr>
        <w:t>一、</w:t>
      </w:r>
      <w:r>
        <w:rPr>
          <w:rFonts w:hint="eastAsia" w:ascii="黑体" w:hAnsi="黑体" w:eastAsia="黑体" w:cs="黑体"/>
          <w:sz w:val="32"/>
          <w:szCs w:val="32"/>
          <w:lang w:val="zh-CN"/>
        </w:rPr>
        <w:t>部门（单位）</w:t>
      </w:r>
      <w:bookmarkEnd w:id="50"/>
      <w:r>
        <w:rPr>
          <w:rFonts w:hint="eastAsia" w:ascii="黑体" w:hAnsi="黑体" w:eastAsia="黑体" w:cs="黑体"/>
          <w:sz w:val="32"/>
          <w:szCs w:val="32"/>
          <w:lang w:val="zh-CN"/>
        </w:rPr>
        <w:t>基本情况</w:t>
      </w:r>
      <w:bookmarkEnd w:id="51"/>
      <w:bookmarkEnd w:id="52"/>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方正楷体简体" w:hAnsi="宋体" w:eastAsia="方正楷体简体" w:cs="宋体"/>
          <w:color w:val="000000"/>
          <w:kern w:val="0"/>
          <w:sz w:val="32"/>
          <w:szCs w:val="32"/>
          <w:shd w:val="clear" w:color="auto" w:fill="FFFFFF"/>
          <w:lang w:val="zh-CN"/>
        </w:rPr>
        <w:t>（一）机构组成。</w:t>
      </w:r>
      <w:r>
        <w:rPr>
          <w:rFonts w:hint="eastAsia" w:ascii="仿宋_GB2312" w:hAnsi="仿宋_GB2312" w:eastAsia="仿宋_GB2312" w:cs="仿宋_GB2312"/>
          <w:sz w:val="32"/>
          <w:szCs w:val="32"/>
        </w:rPr>
        <w:t>我局为</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政府工作部门，内设</w:t>
      </w:r>
      <w:r>
        <w:rPr>
          <w:rFonts w:hint="eastAsia" w:ascii="仿宋_GB2312" w:hAnsi="仿宋_GB2312" w:eastAsia="仿宋_GB2312" w:cs="仿宋_GB2312"/>
          <w:sz w:val="32"/>
          <w:szCs w:val="32"/>
          <w:lang w:eastAsia="zh-CN"/>
        </w:rPr>
        <w:t>办公室、公路规划建设管理股、安全法规股、财务</w:t>
      </w:r>
      <w:r>
        <w:rPr>
          <w:rFonts w:hint="eastAsia" w:ascii="仿宋_GB2312" w:hAnsi="仿宋_GB2312" w:eastAsia="仿宋_GB2312" w:cs="仿宋_GB2312"/>
          <w:sz w:val="32"/>
          <w:szCs w:val="32"/>
        </w:rPr>
        <w:t>股</w:t>
      </w:r>
      <w:r>
        <w:rPr>
          <w:rFonts w:hint="eastAsia" w:ascii="仿宋_GB2312" w:hAnsi="仿宋_GB2312" w:eastAsia="仿宋_GB2312" w:cs="仿宋_GB2312"/>
          <w:sz w:val="32"/>
          <w:szCs w:val="32"/>
          <w:lang w:eastAsia="zh-CN"/>
        </w:rPr>
        <w:t>、交通运输管理股</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个股室，下属</w:t>
      </w:r>
      <w:r>
        <w:rPr>
          <w:rFonts w:hint="eastAsia" w:ascii="仿宋_GB2312" w:hAnsi="仿宋_GB2312" w:eastAsia="仿宋_GB2312" w:cs="仿宋_GB2312"/>
          <w:sz w:val="32"/>
          <w:szCs w:val="32"/>
          <w:lang w:eastAsia="zh-CN"/>
        </w:rPr>
        <w:t>交通运输局（机关）、公路管理所、道路运输管理所、公路路政管理所、地方海事处、公路工程质量监督管理站、交通运输综合行政执法大队，共计</w:t>
      </w:r>
      <w:r>
        <w:rPr>
          <w:rFonts w:hint="eastAsia" w:ascii="仿宋_GB2312" w:hAnsi="仿宋_GB2312" w:eastAsia="仿宋_GB2312" w:cs="仿宋_GB2312"/>
          <w:sz w:val="32"/>
          <w:szCs w:val="32"/>
          <w:lang w:val="en-US" w:eastAsia="zh-CN"/>
        </w:rPr>
        <w:t>7个独立编制机构，4个独立核算单位</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00" w:lineRule="exact"/>
        <w:ind w:firstLine="640"/>
        <w:textAlignment w:val="auto"/>
        <w:rPr>
          <w:rFonts w:hint="eastAsia" w:ascii="仿宋_GB2312" w:hAnsi="仿宋_GB2312" w:eastAsia="仿宋_GB2312"/>
          <w:sz w:val="32"/>
          <w:szCs w:val="32"/>
          <w:lang w:eastAsia="zh-CN"/>
        </w:rPr>
      </w:pPr>
      <w:r>
        <w:rPr>
          <w:rFonts w:hint="eastAsia" w:ascii="方正楷体简体" w:hAnsi="宋体" w:eastAsia="方正楷体简体" w:cs="宋体"/>
          <w:color w:val="000000"/>
          <w:kern w:val="0"/>
          <w:sz w:val="32"/>
          <w:szCs w:val="32"/>
          <w:shd w:val="clear" w:color="auto" w:fill="FFFFFF"/>
          <w:lang w:val="zh-CN"/>
        </w:rPr>
        <w:t>（二）机构职能和人员概况。</w:t>
      </w:r>
      <w:r>
        <w:rPr>
          <w:rFonts w:hint="eastAsia" w:ascii="仿宋_GB2312" w:hAnsi="仿宋_GB2312" w:eastAsia="仿宋_GB2312"/>
          <w:sz w:val="32"/>
          <w:szCs w:val="32"/>
          <w:lang w:eastAsia="zh-CN"/>
        </w:rPr>
        <w:t>根据县机构编制委批准的三定方案（罗委编发</w:t>
      </w:r>
      <w:r>
        <w:rPr>
          <w:rFonts w:hint="eastAsia" w:ascii="仿宋_GB2312" w:hAnsi="仿宋_GB2312" w:eastAsia="仿宋_GB2312" w:cs="仿宋_GB2312"/>
          <w:color w:val="auto"/>
          <w:sz w:val="32"/>
          <w:szCs w:val="32"/>
        </w:rPr>
        <w:t>〔</w:t>
      </w:r>
      <w:r>
        <w:rPr>
          <w:rFonts w:hint="eastAsia" w:ascii="仿宋_GB2312" w:hAnsi="仿宋_GB2312" w:eastAsia="仿宋_GB2312"/>
          <w:sz w:val="32"/>
          <w:szCs w:val="32"/>
          <w:lang w:val="en-US" w:eastAsia="zh-CN"/>
        </w:rPr>
        <w:t>2011</w:t>
      </w:r>
      <w:r>
        <w:rPr>
          <w:rFonts w:hint="eastAsia" w:ascii="仿宋_GB2312" w:hAnsi="仿宋_GB2312" w:eastAsia="仿宋_GB2312" w:cs="仿宋_GB2312"/>
          <w:color w:val="auto"/>
          <w:sz w:val="32"/>
          <w:szCs w:val="32"/>
        </w:rPr>
        <w:t>〕</w:t>
      </w:r>
      <w:r>
        <w:rPr>
          <w:rFonts w:hint="eastAsia" w:ascii="仿宋_GB2312" w:hAnsi="仿宋_GB2312" w:eastAsia="仿宋_GB2312"/>
          <w:sz w:val="32"/>
          <w:szCs w:val="32"/>
          <w:lang w:val="en-US" w:eastAsia="zh-CN"/>
        </w:rPr>
        <w:t>19号），我局的主要职责是：</w:t>
      </w:r>
    </w:p>
    <w:p>
      <w:pPr>
        <w:keepNext w:val="0"/>
        <w:keepLines w:val="0"/>
        <w:pageBreakBefore w:val="0"/>
        <w:numPr>
          <w:ilvl w:val="0"/>
          <w:numId w:val="0"/>
        </w:numPr>
        <w:kinsoku/>
        <w:wordWrap/>
        <w:overflowPunct/>
        <w:topLinePunct w:val="0"/>
        <w:autoSpaceDE/>
        <w:autoSpaceDN/>
        <w:bidi w:val="0"/>
        <w:spacing w:line="50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sz w:val="32"/>
          <w:szCs w:val="32"/>
        </w:rPr>
        <w:t>　　</w:t>
      </w:r>
      <w:r>
        <w:rPr>
          <w:rFonts w:hint="eastAsia" w:ascii="仿宋_GB2312" w:hAnsi="仿宋_GB2312" w:eastAsia="仿宋_GB2312" w:cs="仿宋_GB2312"/>
          <w:b w:val="0"/>
          <w:bCs w:val="0"/>
          <w:sz w:val="32"/>
          <w:szCs w:val="32"/>
          <w:lang w:val="en-US" w:eastAsia="zh-CN"/>
        </w:rPr>
        <w:t xml:space="preserve"> 1.</w:t>
      </w:r>
      <w:r>
        <w:rPr>
          <w:rFonts w:hint="eastAsia" w:ascii="仿宋_GB2312" w:hAnsi="仿宋_GB2312" w:eastAsia="仿宋_GB2312" w:cs="仿宋_GB2312"/>
          <w:b w:val="0"/>
          <w:bCs w:val="0"/>
          <w:sz w:val="32"/>
          <w:szCs w:val="32"/>
          <w:lang w:eastAsia="zh-CN"/>
        </w:rPr>
        <w:t>贯彻执行国家、省、市有关交通运输行业的方针、政策和法律、法规、规章及行政规范性文件上。组织拟定并监督实施全县公路、水路等行业规划，会同有关部门组织编制综合运输体系规划，参与拟订物流业发展战略和规划。</w:t>
      </w:r>
    </w:p>
    <w:p>
      <w:pPr>
        <w:keepNext w:val="0"/>
        <w:keepLines w:val="0"/>
        <w:pageBreakBefore w:val="0"/>
        <w:numPr>
          <w:ilvl w:val="0"/>
          <w:numId w:val="0"/>
        </w:numPr>
        <w:kinsoku/>
        <w:wordWrap/>
        <w:overflowPunct/>
        <w:topLinePunct w:val="0"/>
        <w:autoSpaceDE/>
        <w:autoSpaceDN/>
        <w:bidi w:val="0"/>
        <w:spacing w:line="50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2.</w:t>
      </w:r>
      <w:r>
        <w:rPr>
          <w:rFonts w:hint="eastAsia" w:ascii="仿宋_GB2312" w:hAnsi="仿宋_GB2312" w:eastAsia="仿宋_GB2312" w:cs="仿宋_GB2312"/>
          <w:b w:val="0"/>
          <w:bCs w:val="0"/>
          <w:sz w:val="32"/>
          <w:szCs w:val="32"/>
          <w:lang w:eastAsia="zh-CN"/>
        </w:rPr>
        <w:t>负责本系统、本部门依法行政工作，落实行政执法责任制。指导公路、水路行业有关体制改革工作。</w:t>
      </w:r>
    </w:p>
    <w:p>
      <w:pPr>
        <w:keepNext w:val="0"/>
        <w:keepLines w:val="0"/>
        <w:pageBreakBefore w:val="0"/>
        <w:numPr>
          <w:ilvl w:val="0"/>
          <w:numId w:val="0"/>
        </w:numPr>
        <w:kinsoku/>
        <w:wordWrap/>
        <w:overflowPunct/>
        <w:topLinePunct w:val="0"/>
        <w:autoSpaceDE/>
        <w:autoSpaceDN/>
        <w:bidi w:val="0"/>
        <w:spacing w:line="50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3.</w:t>
      </w:r>
      <w:r>
        <w:rPr>
          <w:rFonts w:hint="eastAsia" w:ascii="仿宋_GB2312" w:hAnsi="仿宋_GB2312" w:eastAsia="仿宋_GB2312" w:cs="仿宋_GB2312"/>
          <w:b w:val="0"/>
          <w:bCs w:val="0"/>
          <w:sz w:val="32"/>
          <w:szCs w:val="32"/>
          <w:lang w:eastAsia="zh-CN"/>
        </w:rPr>
        <w:t>承担公路、水路交通运输市场监管责任，指导城乡客运管理工作，指导出租汽车行业管理工作，会同有关部门制定运输价格。</w:t>
      </w:r>
    </w:p>
    <w:p>
      <w:pPr>
        <w:keepNext w:val="0"/>
        <w:keepLines w:val="0"/>
        <w:pageBreakBefore w:val="0"/>
        <w:numPr>
          <w:ilvl w:val="0"/>
          <w:numId w:val="0"/>
        </w:numPr>
        <w:kinsoku/>
        <w:wordWrap/>
        <w:overflowPunct/>
        <w:topLinePunct w:val="0"/>
        <w:autoSpaceDE/>
        <w:autoSpaceDN/>
        <w:bidi w:val="0"/>
        <w:spacing w:line="50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4.</w:t>
      </w:r>
      <w:r>
        <w:rPr>
          <w:rFonts w:hint="eastAsia" w:ascii="仿宋_GB2312" w:hAnsi="仿宋_GB2312" w:eastAsia="仿宋_GB2312" w:cs="仿宋_GB2312"/>
          <w:b w:val="0"/>
          <w:bCs w:val="0"/>
          <w:sz w:val="32"/>
          <w:szCs w:val="32"/>
          <w:lang w:eastAsia="zh-CN"/>
        </w:rPr>
        <w:t>承担水上交通安全监管责任。负责船员管理相关工作。指导水上交通安全事故、船舶及相关水上设施污染事故的应急处置，依法组织或参与事故调查处理工作。</w:t>
      </w:r>
    </w:p>
    <w:p>
      <w:pPr>
        <w:keepNext w:val="0"/>
        <w:keepLines w:val="0"/>
        <w:pageBreakBefore w:val="0"/>
        <w:numPr>
          <w:ilvl w:val="0"/>
          <w:numId w:val="0"/>
        </w:numPr>
        <w:kinsoku/>
        <w:wordWrap/>
        <w:overflowPunct/>
        <w:topLinePunct w:val="0"/>
        <w:autoSpaceDE/>
        <w:autoSpaceDN/>
        <w:bidi w:val="0"/>
        <w:spacing w:line="50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5.</w:t>
      </w:r>
      <w:r>
        <w:rPr>
          <w:rFonts w:hint="eastAsia" w:ascii="仿宋_GB2312" w:hAnsi="仿宋_GB2312" w:eastAsia="仿宋_GB2312" w:cs="仿宋_GB2312"/>
          <w:b w:val="0"/>
          <w:bCs w:val="0"/>
          <w:sz w:val="32"/>
          <w:szCs w:val="32"/>
          <w:lang w:eastAsia="zh-CN"/>
        </w:rPr>
        <w:t>负责提出公路、水路固定资产投资规模和方向、县财政资金安排建议，按照规定权限审批、核准国家、省规划内和年度计划规模内固定资产投资项目。会同有关部门拟订公路、水路有关规费政策并监督实施，提出有关财政、土地、价格等政策建议。指导交通运输行业审计工作。</w:t>
      </w:r>
    </w:p>
    <w:p>
      <w:pPr>
        <w:keepNext w:val="0"/>
        <w:keepLines w:val="0"/>
        <w:pageBreakBefore w:val="0"/>
        <w:numPr>
          <w:ilvl w:val="0"/>
          <w:numId w:val="0"/>
        </w:numPr>
        <w:kinsoku/>
        <w:wordWrap/>
        <w:overflowPunct/>
        <w:topLinePunct w:val="0"/>
        <w:autoSpaceDE/>
        <w:autoSpaceDN/>
        <w:bidi w:val="0"/>
        <w:spacing w:line="50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6.</w:t>
      </w:r>
      <w:r>
        <w:rPr>
          <w:rFonts w:hint="eastAsia" w:ascii="仿宋_GB2312" w:hAnsi="仿宋_GB2312" w:eastAsia="仿宋_GB2312" w:cs="仿宋_GB2312"/>
          <w:b w:val="0"/>
          <w:bCs w:val="0"/>
          <w:sz w:val="32"/>
          <w:szCs w:val="32"/>
          <w:lang w:eastAsia="zh-CN"/>
        </w:rPr>
        <w:t>承担公路、水路建设市场监管责任。组织协调公路、水路有关重点工程质量、安全生产监督管理工作；负责对交通行业和产业项目的招投标活动的监督；按规定负责码头、渡改桥规划工作，指导交通运输行业特许经营管理；会同有关部门组织实施交通运输行业资格管理工作。</w:t>
      </w:r>
    </w:p>
    <w:p>
      <w:pPr>
        <w:keepNext w:val="0"/>
        <w:keepLines w:val="0"/>
        <w:pageBreakBefore w:val="0"/>
        <w:numPr>
          <w:ilvl w:val="0"/>
          <w:numId w:val="0"/>
        </w:numPr>
        <w:kinsoku/>
        <w:wordWrap/>
        <w:overflowPunct/>
        <w:topLinePunct w:val="0"/>
        <w:autoSpaceDE/>
        <w:autoSpaceDN/>
        <w:bidi w:val="0"/>
        <w:spacing w:line="50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7.</w:t>
      </w:r>
      <w:r>
        <w:rPr>
          <w:rFonts w:hint="eastAsia" w:ascii="仿宋_GB2312" w:hAnsi="仿宋_GB2312" w:eastAsia="仿宋_GB2312" w:cs="仿宋_GB2312"/>
          <w:b w:val="0"/>
          <w:bCs w:val="0"/>
          <w:sz w:val="32"/>
          <w:szCs w:val="32"/>
          <w:lang w:eastAsia="zh-CN"/>
        </w:rPr>
        <w:t>负责全县公路、水路交通建设（含客货运输和旅游运输场站建设）行业管理，维护交通建设行业平等竞争秩序。组织实施国家和省、市、县重点公路、水路工程建设，监督全县地方交通建设项目实施。</w:t>
      </w:r>
    </w:p>
    <w:p>
      <w:pPr>
        <w:keepNext w:val="0"/>
        <w:keepLines w:val="0"/>
        <w:pageBreakBefore w:val="0"/>
        <w:numPr>
          <w:ilvl w:val="0"/>
          <w:numId w:val="0"/>
        </w:numPr>
        <w:kinsoku/>
        <w:wordWrap/>
        <w:overflowPunct/>
        <w:topLinePunct w:val="0"/>
        <w:autoSpaceDE/>
        <w:autoSpaceDN/>
        <w:bidi w:val="0"/>
        <w:spacing w:line="50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8.</w:t>
      </w:r>
      <w:r>
        <w:rPr>
          <w:rFonts w:hint="eastAsia" w:ascii="仿宋_GB2312" w:hAnsi="仿宋_GB2312" w:eastAsia="仿宋_GB2312" w:cs="仿宋_GB2312"/>
          <w:b w:val="0"/>
          <w:bCs w:val="0"/>
          <w:sz w:val="32"/>
          <w:szCs w:val="32"/>
          <w:lang w:eastAsia="zh-CN"/>
        </w:rPr>
        <w:t>负责全</w:t>
      </w:r>
      <w:r>
        <w:rPr>
          <w:rFonts w:hint="eastAsia" w:ascii="仿宋_GB2312" w:hAnsi="仿宋_GB2312" w:cs="仿宋_GB2312"/>
          <w:b w:val="0"/>
          <w:bCs w:val="0"/>
          <w:sz w:val="32"/>
          <w:szCs w:val="32"/>
          <w:lang w:eastAsia="zh-CN"/>
        </w:rPr>
        <w:t>县</w:t>
      </w:r>
      <w:r>
        <w:rPr>
          <w:rFonts w:hint="eastAsia" w:ascii="仿宋_GB2312" w:hAnsi="仿宋_GB2312" w:eastAsia="仿宋_GB2312" w:cs="仿宋_GB2312"/>
          <w:b w:val="0"/>
          <w:bCs w:val="0"/>
          <w:sz w:val="32"/>
          <w:szCs w:val="32"/>
          <w:lang w:eastAsia="zh-CN"/>
        </w:rPr>
        <w:t>公路、水路设施的维护和路产、路权及路政管理工作。</w:t>
      </w:r>
    </w:p>
    <w:p>
      <w:pPr>
        <w:keepNext w:val="0"/>
        <w:keepLines w:val="0"/>
        <w:pageBreakBefore w:val="0"/>
        <w:numPr>
          <w:ilvl w:val="0"/>
          <w:numId w:val="0"/>
        </w:numPr>
        <w:kinsoku/>
        <w:wordWrap/>
        <w:overflowPunct/>
        <w:topLinePunct w:val="0"/>
        <w:autoSpaceDE/>
        <w:autoSpaceDN/>
        <w:bidi w:val="0"/>
        <w:spacing w:line="50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9.</w:t>
      </w:r>
      <w:r>
        <w:rPr>
          <w:rFonts w:hint="eastAsia" w:ascii="仿宋_GB2312" w:hAnsi="仿宋_GB2312" w:eastAsia="仿宋_GB2312" w:cs="仿宋_GB2312"/>
          <w:b w:val="0"/>
          <w:bCs w:val="0"/>
          <w:sz w:val="32"/>
          <w:szCs w:val="32"/>
          <w:lang w:eastAsia="zh-CN"/>
        </w:rPr>
        <w:t>指导公路、水路行业安全生产和应急管理工作。按规定组织协调国家、省、市、县重点物资和紧急客货运输，组织协调地方交通战备工作，承担国防动员有关工作。</w:t>
      </w:r>
    </w:p>
    <w:p>
      <w:pPr>
        <w:keepNext w:val="0"/>
        <w:keepLines w:val="0"/>
        <w:pageBreakBefore w:val="0"/>
        <w:numPr>
          <w:ilvl w:val="0"/>
          <w:numId w:val="0"/>
        </w:numPr>
        <w:kinsoku/>
        <w:wordWrap/>
        <w:overflowPunct/>
        <w:topLinePunct w:val="0"/>
        <w:autoSpaceDE/>
        <w:autoSpaceDN/>
        <w:bidi w:val="0"/>
        <w:spacing w:line="50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10.</w:t>
      </w:r>
      <w:r>
        <w:rPr>
          <w:rFonts w:hint="eastAsia" w:ascii="仿宋_GB2312" w:hAnsi="仿宋_GB2312" w:eastAsia="仿宋_GB2312" w:cs="仿宋_GB2312"/>
          <w:b w:val="0"/>
          <w:bCs w:val="0"/>
          <w:sz w:val="32"/>
          <w:szCs w:val="32"/>
          <w:lang w:eastAsia="zh-CN"/>
        </w:rPr>
        <w:t>贯彻执行交通运输科技政策，推广新的科技项目，加强行业科技创新和进步，指导公路、水路行业环境保护和节能减排工作。</w:t>
      </w:r>
    </w:p>
    <w:p>
      <w:pPr>
        <w:keepNext w:val="0"/>
        <w:keepLines w:val="0"/>
        <w:pageBreakBefore w:val="0"/>
        <w:numPr>
          <w:ilvl w:val="0"/>
          <w:numId w:val="0"/>
        </w:numPr>
        <w:kinsoku/>
        <w:wordWrap/>
        <w:overflowPunct/>
        <w:topLinePunct w:val="0"/>
        <w:autoSpaceDE/>
        <w:autoSpaceDN/>
        <w:bidi w:val="0"/>
        <w:spacing w:line="50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11.</w:t>
      </w:r>
      <w:r>
        <w:rPr>
          <w:rFonts w:hint="eastAsia" w:ascii="仿宋_GB2312" w:hAnsi="仿宋_GB2312" w:eastAsia="仿宋_GB2312" w:cs="仿宋_GB2312"/>
          <w:b w:val="0"/>
          <w:bCs w:val="0"/>
          <w:sz w:val="32"/>
          <w:szCs w:val="32"/>
          <w:lang w:eastAsia="zh-CN"/>
        </w:rPr>
        <w:t>指导交通行业的体制改革和交通特许经营企业的管理，建立健全规范的交通行业财务管理与会计核算体系，监督管理县属交通行业国有资产。</w:t>
      </w:r>
    </w:p>
    <w:p>
      <w:pPr>
        <w:keepNext w:val="0"/>
        <w:keepLines w:val="0"/>
        <w:pageBreakBefore w:val="0"/>
        <w:numPr>
          <w:ilvl w:val="0"/>
          <w:numId w:val="0"/>
        </w:numPr>
        <w:kinsoku/>
        <w:wordWrap/>
        <w:overflowPunct/>
        <w:topLinePunct w:val="0"/>
        <w:autoSpaceDE/>
        <w:autoSpaceDN/>
        <w:bidi w:val="0"/>
        <w:spacing w:line="500" w:lineRule="exac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12.</w:t>
      </w:r>
      <w:r>
        <w:rPr>
          <w:rFonts w:hint="eastAsia" w:ascii="仿宋_GB2312" w:hAnsi="仿宋_GB2312" w:eastAsia="仿宋_GB2312" w:cs="仿宋_GB2312"/>
          <w:b w:val="0"/>
          <w:bCs w:val="0"/>
          <w:sz w:val="32"/>
          <w:szCs w:val="32"/>
          <w:lang w:eastAsia="zh-CN"/>
        </w:rPr>
        <w:t>负责公路、水路有关涉外工作，开展对外经济技术交流与合作，指导全县交通运输行业招商引资和利用外资工作。</w:t>
      </w:r>
    </w:p>
    <w:p>
      <w:pPr>
        <w:keepNext w:val="0"/>
        <w:keepLines w:val="0"/>
        <w:pageBreakBefore w:val="0"/>
        <w:numPr>
          <w:ilvl w:val="0"/>
          <w:numId w:val="0"/>
        </w:numPr>
        <w:kinsoku/>
        <w:wordWrap/>
        <w:overflowPunct/>
        <w:topLinePunct w:val="0"/>
        <w:autoSpaceDE/>
        <w:autoSpaceDN/>
        <w:bidi w:val="0"/>
        <w:spacing w:line="500" w:lineRule="exact"/>
        <w:ind w:firstLine="640" w:firstLineChars="200"/>
        <w:textAlignment w:val="auto"/>
        <w:rPr>
          <w:rFonts w:hint="eastAsia" w:ascii="仿宋_GB2312" w:hAnsi="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13.</w:t>
      </w:r>
      <w:r>
        <w:rPr>
          <w:rFonts w:hint="eastAsia" w:ascii="仿宋_GB2312" w:hAnsi="仿宋_GB2312" w:eastAsia="仿宋_GB2312" w:cs="仿宋_GB2312"/>
          <w:b w:val="0"/>
          <w:bCs w:val="0"/>
          <w:sz w:val="32"/>
          <w:szCs w:val="32"/>
          <w:lang w:eastAsia="zh-CN"/>
        </w:rPr>
        <w:t>承担县政府公布的有关行政审批及公共服务事项</w:t>
      </w:r>
      <w:r>
        <w:rPr>
          <w:rFonts w:hint="eastAsia" w:ascii="仿宋_GB2312" w:hAnsi="仿宋_GB2312" w:cs="仿宋_GB2312"/>
          <w:b w:val="0"/>
          <w:bCs w:val="0"/>
          <w:sz w:val="32"/>
          <w:szCs w:val="32"/>
          <w:lang w:eastAsia="zh-CN"/>
        </w:rPr>
        <w:t>。</w:t>
      </w:r>
    </w:p>
    <w:p>
      <w:pPr>
        <w:keepNext w:val="0"/>
        <w:keepLines w:val="0"/>
        <w:pageBreakBefore w:val="0"/>
        <w:kinsoku/>
        <w:wordWrap/>
        <w:overflowPunct/>
        <w:topLinePunct w:val="0"/>
        <w:autoSpaceDE/>
        <w:autoSpaceDN/>
        <w:bidi w:val="0"/>
        <w:spacing w:line="50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14.</w:t>
      </w:r>
      <w:r>
        <w:rPr>
          <w:rFonts w:hint="eastAsia" w:ascii="仿宋_GB2312" w:hAnsi="仿宋_GB2312" w:eastAsia="仿宋_GB2312" w:cs="仿宋_GB2312"/>
          <w:b w:val="0"/>
          <w:bCs w:val="0"/>
          <w:sz w:val="32"/>
          <w:szCs w:val="32"/>
          <w:lang w:eastAsia="zh-CN"/>
        </w:rPr>
        <w:t>承办县政府交办的其他事项。</w:t>
      </w:r>
    </w:p>
    <w:p>
      <w:pPr>
        <w:pStyle w:val="2"/>
        <w:ind w:left="0" w:leftChars="0"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根据区委机构编制委员会关于调整区交通运输局有关编制事项的通知（德市罗委编发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sz w:val="32"/>
          <w:szCs w:val="32"/>
          <w:lang w:val="en-US" w:eastAsia="zh-CN"/>
        </w:rPr>
        <w:t>2019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sz w:val="32"/>
          <w:szCs w:val="32"/>
          <w:lang w:val="en-US" w:eastAsia="zh-CN"/>
        </w:rPr>
        <w:t>14号），调整我局相关职责如下：</w:t>
      </w:r>
    </w:p>
    <w:p>
      <w:pPr>
        <w:pStyle w:val="2"/>
        <w:ind w:left="0" w:leftChars="0"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1.将原区农业局的渔船检验的监督管理职责划入区交通运输局。划转后，按照政事分开的原则，渔船检验监督管理职责由区交通局机关承担；渔船检验由区地方海事处承担。</w:t>
      </w:r>
    </w:p>
    <w:p>
      <w:pPr>
        <w:pStyle w:val="2"/>
        <w:ind w:left="0" w:leftChars="0"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2.将的所属事业单位区道路运输管理所、区公路路政管理所、区地方海事处、区公路工程质量监督管理站的行政职能全部划入区交通运输局。</w:t>
      </w:r>
    </w:p>
    <w:p>
      <w:pPr>
        <w:pStyle w:val="2"/>
        <w:ind w:left="0" w:leftChars="0"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3.将交通运输系统相关行政审批职责划入区行政审批局。</w:t>
      </w:r>
    </w:p>
    <w:p>
      <w:pPr>
        <w:pStyle w:val="2"/>
        <w:ind w:left="0" w:leftChars="0"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rPr>
        <w:t>我局</w:t>
      </w:r>
      <w:r>
        <w:rPr>
          <w:rFonts w:hint="eastAsia" w:ascii="仿宋_GB2312" w:hAnsi="仿宋_GB2312" w:eastAsia="仿宋_GB2312" w:cs="仿宋_GB2312"/>
          <w:sz w:val="32"/>
          <w:szCs w:val="32"/>
          <w:lang w:eastAsia="zh-CN"/>
        </w:rPr>
        <w:t>（含下属单位）</w:t>
      </w:r>
      <w:r>
        <w:rPr>
          <w:rFonts w:hint="eastAsia" w:ascii="仿宋_GB2312" w:hAnsi="仿宋_GB2312" w:eastAsia="仿宋_GB2312" w:cs="仿宋_GB2312"/>
          <w:sz w:val="32"/>
          <w:szCs w:val="32"/>
        </w:rPr>
        <w:t>行政编制</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事业编制</w:t>
      </w:r>
      <w:r>
        <w:rPr>
          <w:rFonts w:hint="eastAsia" w:ascii="仿宋_GB2312" w:hAnsi="仿宋_GB2312" w:eastAsia="仿宋_GB2312" w:cs="仿宋_GB2312"/>
          <w:sz w:val="32"/>
          <w:szCs w:val="32"/>
          <w:lang w:val="en-US" w:eastAsia="zh-CN"/>
        </w:rPr>
        <w:t>115名，共计127名</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年末实有在职人员</w:t>
      </w:r>
      <w:r>
        <w:rPr>
          <w:rFonts w:hint="eastAsia" w:ascii="仿宋_GB2312" w:hAnsi="仿宋_GB2312" w:eastAsia="仿宋_GB2312" w:cs="仿宋_GB2312"/>
          <w:color w:val="auto"/>
          <w:sz w:val="32"/>
          <w:szCs w:val="32"/>
          <w:lang w:val="en-US" w:eastAsia="zh-CN"/>
        </w:rPr>
        <w:t>80</w:t>
      </w:r>
      <w:r>
        <w:rPr>
          <w:rFonts w:hint="eastAsia" w:ascii="仿宋_GB2312" w:hAnsi="仿宋_GB2312" w:eastAsia="仿宋_GB2312" w:cs="仿宋_GB2312"/>
          <w:sz w:val="32"/>
          <w:szCs w:val="32"/>
        </w:rPr>
        <w:t>人，其中：行政</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sz w:val="32"/>
          <w:szCs w:val="32"/>
        </w:rPr>
        <w:t>人、事业</w:t>
      </w:r>
      <w:r>
        <w:rPr>
          <w:rFonts w:hint="eastAsia" w:ascii="仿宋_GB2312" w:hAnsi="仿宋_GB2312" w:eastAsia="仿宋_GB2312" w:cs="仿宋_GB2312"/>
          <w:sz w:val="32"/>
          <w:szCs w:val="32"/>
          <w:lang w:eastAsia="zh-CN"/>
        </w:rPr>
        <w:t>（含参公）</w:t>
      </w:r>
      <w:r>
        <w:rPr>
          <w:rFonts w:hint="eastAsia" w:ascii="仿宋_GB2312" w:hAnsi="仿宋_GB2312" w:eastAsia="仿宋_GB2312" w:cs="仿宋_GB2312"/>
          <w:color w:val="auto"/>
          <w:sz w:val="32"/>
          <w:szCs w:val="32"/>
          <w:lang w:val="en-US" w:eastAsia="zh-CN"/>
        </w:rPr>
        <w:t>73</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。年末</w:t>
      </w:r>
      <w:r>
        <w:rPr>
          <w:rFonts w:hint="eastAsia" w:ascii="仿宋_GB2312" w:hAnsi="仿宋_GB2312" w:eastAsia="仿宋_GB2312" w:cs="仿宋_GB2312"/>
          <w:sz w:val="32"/>
          <w:szCs w:val="32"/>
        </w:rPr>
        <w:t>退休人员</w:t>
      </w:r>
      <w:r>
        <w:rPr>
          <w:rFonts w:hint="eastAsia" w:ascii="仿宋_GB2312" w:hAnsi="仿宋_GB2312" w:eastAsia="仿宋_GB2312" w:cs="仿宋_GB2312"/>
          <w:color w:val="auto"/>
          <w:sz w:val="32"/>
          <w:szCs w:val="32"/>
          <w:lang w:val="en-US" w:eastAsia="zh-CN"/>
        </w:rPr>
        <w:t>69</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，遗属人员</w:t>
      </w:r>
      <w:r>
        <w:rPr>
          <w:rFonts w:hint="eastAsia" w:ascii="仿宋_GB2312" w:hAnsi="仿宋_GB2312" w:eastAsia="仿宋_GB2312" w:cs="仿宋_GB2312"/>
          <w:sz w:val="32"/>
          <w:szCs w:val="32"/>
          <w:lang w:val="en-US" w:eastAsia="zh-CN"/>
        </w:rPr>
        <w:t>6人，其他临聘人员</w:t>
      </w:r>
      <w:r>
        <w:rPr>
          <w:rFonts w:hint="eastAsia" w:ascii="仿宋_GB2312" w:hAnsi="仿宋_GB2312" w:eastAsia="仿宋_GB2312" w:cs="仿宋_GB2312"/>
          <w:color w:val="auto"/>
          <w:sz w:val="32"/>
          <w:szCs w:val="32"/>
          <w:lang w:val="en-US" w:eastAsia="zh-CN"/>
        </w:rPr>
        <w:t>31</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00" w:lineRule="exact"/>
        <w:ind w:leftChars="200"/>
        <w:jc w:val="left"/>
        <w:textAlignment w:val="auto"/>
        <w:rPr>
          <w:rFonts w:hint="eastAsia" w:ascii="方正楷体简体" w:hAnsi="宋体" w:eastAsia="方正楷体简体" w:cs="宋体"/>
          <w:color w:val="000000"/>
          <w:kern w:val="0"/>
          <w:sz w:val="32"/>
          <w:szCs w:val="32"/>
          <w:shd w:val="clear" w:color="auto" w:fill="FFFFFF"/>
          <w:lang w:val="zh-CN"/>
        </w:rPr>
      </w:pPr>
      <w:r>
        <w:rPr>
          <w:rFonts w:hint="eastAsia" w:ascii="方正楷体简体" w:hAnsi="宋体" w:eastAsia="方正楷体简体" w:cs="宋体"/>
          <w:color w:val="000000"/>
          <w:kern w:val="0"/>
          <w:sz w:val="32"/>
          <w:szCs w:val="32"/>
          <w:shd w:val="clear" w:color="auto" w:fill="FFFFFF"/>
          <w:lang w:val="zh-CN"/>
        </w:rPr>
        <w:t>（三）年度主要工作任务。</w:t>
      </w:r>
    </w:p>
    <w:p>
      <w:pPr>
        <w:pStyle w:val="3"/>
        <w:numPr>
          <w:ilvl w:val="0"/>
          <w:numId w:val="0"/>
        </w:numPr>
        <w:ind w:firstLine="643" w:firstLineChars="200"/>
        <w:rPr>
          <w:rFonts w:hint="eastAsia" w:ascii="仿宋_GB2312" w:hAnsi="Times New Roman" w:eastAsia="仿宋_GB2312" w:cs="Times New Roman"/>
          <w:color w:val="auto"/>
          <w:sz w:val="32"/>
          <w:szCs w:val="32"/>
          <w:lang w:val="en-US" w:eastAsia="zh-CN"/>
        </w:rPr>
      </w:pPr>
      <w:r>
        <w:rPr>
          <w:rFonts w:hint="eastAsia" w:eastAsia="楷体_GB2312"/>
          <w:b/>
          <w:bCs/>
          <w:color w:val="auto"/>
          <w:sz w:val="32"/>
          <w:szCs w:val="32"/>
          <w:lang w:val="en-US" w:eastAsia="zh-CN"/>
        </w:rPr>
        <w:t>1.</w:t>
      </w:r>
      <w:r>
        <w:rPr>
          <w:rFonts w:eastAsia="楷体_GB2312"/>
          <w:b/>
          <w:bCs/>
          <w:color w:val="auto"/>
          <w:sz w:val="32"/>
          <w:szCs w:val="32"/>
        </w:rPr>
        <w:t>锚定目标持续发力，全力推进项目建设。</w:t>
      </w:r>
      <w:r>
        <w:rPr>
          <w:rFonts w:eastAsia="仿宋_GB2312"/>
          <w:color w:val="auto"/>
          <w:sz w:val="32"/>
          <w:szCs w:val="32"/>
        </w:rPr>
        <w:t>立足交通“先行官”定位，锚定年度目标任务，积极推进交通项目建设，为加快建设“大同予共”的现代化罗江当好先行。</w:t>
      </w:r>
      <w:r>
        <w:rPr>
          <w:rFonts w:eastAsia="仿宋_GB2312"/>
          <w:b/>
          <w:bCs/>
          <w:color w:val="auto"/>
          <w:sz w:val="32"/>
          <w:szCs w:val="32"/>
        </w:rPr>
        <w:t>规划方面：</w:t>
      </w:r>
      <w:r>
        <w:rPr>
          <w:rFonts w:eastAsia="仿宋_GB2312"/>
          <w:color w:val="auto"/>
          <w:sz w:val="32"/>
          <w:szCs w:val="32"/>
        </w:rPr>
        <w:t>结合“三区三线”划定工作，充分对接自然资源部门，将重点交通项目用地纳入国土空间规划，为项目落地实施提供用地保障；完成乡镇级片区交通运输</w:t>
      </w:r>
      <w:r>
        <w:rPr>
          <w:rFonts w:ascii="Times New Roman" w:hAnsi="Times New Roman" w:eastAsia="仿宋_GB2312" w:cs="Times New Roman"/>
          <w:color w:val="auto"/>
          <w:sz w:val="32"/>
          <w:szCs w:val="32"/>
        </w:rPr>
        <w:t>专项规划编制，将农村公路纳入乡村国土空间规划，为后续发展预留空间；罗江区“十四五”综合交通运输发展规划已</w:t>
      </w:r>
      <w:r>
        <w:rPr>
          <w:rFonts w:hint="eastAsia" w:ascii="Times New Roman" w:hAnsi="Times New Roman" w:eastAsia="仿宋_GB2312" w:cs="Times New Roman"/>
          <w:color w:val="auto"/>
          <w:sz w:val="32"/>
          <w:szCs w:val="32"/>
          <w:lang w:val="en-US" w:eastAsia="zh-CN"/>
        </w:rPr>
        <w:t>正式印发</w:t>
      </w:r>
      <w:r>
        <w:rPr>
          <w:rFonts w:ascii="Times New Roman" w:hAnsi="Times New Roman" w:eastAsia="仿宋_GB2312" w:cs="Times New Roman"/>
          <w:color w:val="auto"/>
          <w:sz w:val="32"/>
          <w:szCs w:val="32"/>
        </w:rPr>
        <w:t>，为“十四五”期间交通</w:t>
      </w:r>
      <w:r>
        <w:rPr>
          <w:rFonts w:eastAsia="仿宋_GB2312"/>
          <w:color w:val="auto"/>
          <w:sz w:val="32"/>
          <w:szCs w:val="32"/>
        </w:rPr>
        <w:t>运输事业发展提供规划保障。</w:t>
      </w:r>
      <w:r>
        <w:rPr>
          <w:rFonts w:eastAsia="仿宋_GB2312"/>
          <w:b/>
          <w:bCs/>
          <w:color w:val="auto"/>
          <w:sz w:val="32"/>
          <w:szCs w:val="32"/>
        </w:rPr>
        <w:t>重点项目推进方面：</w:t>
      </w:r>
      <w:r>
        <w:rPr>
          <w:rFonts w:eastAsia="仿宋_GB2312"/>
          <w:color w:val="auto"/>
          <w:sz w:val="32"/>
          <w:szCs w:val="32"/>
        </w:rPr>
        <w:t>德罗干道罗江段稳步推进，</w:t>
      </w:r>
      <w:r>
        <w:rPr>
          <w:rFonts w:hint="eastAsia" w:eastAsia="仿宋_GB2312"/>
          <w:color w:val="auto"/>
          <w:sz w:val="32"/>
          <w:szCs w:val="32"/>
        </w:rPr>
        <w:t>截至目前，</w:t>
      </w:r>
      <w:r>
        <w:rPr>
          <w:rFonts w:eastAsia="仿宋_GB2312"/>
          <w:bCs/>
          <w:color w:val="auto"/>
          <w:sz w:val="32"/>
          <w:szCs w:val="32"/>
        </w:rPr>
        <w:t>路基工程总体完成工程量占计划的98%，边坡防护及排水工程已完成总工程量的80%，涵洞23个已全部完成，桥梁共计8座，下部结构已全部完成，制架梁已完成60%。</w:t>
      </w:r>
      <w:r>
        <w:rPr>
          <w:rFonts w:eastAsia="仿宋_GB2312"/>
          <w:color w:val="auto"/>
          <w:sz w:val="32"/>
          <w:szCs w:val="32"/>
        </w:rPr>
        <w:t>营盘梁子隧道</w:t>
      </w:r>
      <w:r>
        <w:rPr>
          <w:rFonts w:eastAsia="仿宋_GB2312"/>
          <w:bCs/>
          <w:color w:val="auto"/>
          <w:sz w:val="32"/>
          <w:szCs w:val="32"/>
        </w:rPr>
        <w:t>双洞总长936m通过优化施工组织设计，双洞已全线贯通。路面水稳层已完</w:t>
      </w:r>
      <w:r>
        <w:rPr>
          <w:rFonts w:ascii="Times New Roman" w:hAnsi="Times New Roman" w:eastAsia="仿宋_GB2312" w:cs="Times New Roman"/>
          <w:color w:val="auto"/>
          <w:sz w:val="32"/>
          <w:szCs w:val="32"/>
        </w:rPr>
        <w:t>成60%，油面铺筑完成20%</w:t>
      </w:r>
      <w:r>
        <w:rPr>
          <w:rFonts w:hint="eastAsia" w:ascii="Times New Roman" w:hAnsi="Times New Roman" w:eastAsia="仿宋_GB2312" w:cs="Times New Roman"/>
          <w:color w:val="auto"/>
          <w:sz w:val="32"/>
          <w:szCs w:val="32"/>
        </w:rPr>
        <w:t>。2022年将实现罗江段主线通车</w:t>
      </w:r>
      <w:r>
        <w:rPr>
          <w:rFonts w:ascii="Times New Roman" w:hAnsi="Times New Roman" w:eastAsia="仿宋_GB2312" w:cs="Times New Roman"/>
          <w:color w:val="auto"/>
          <w:sz w:val="32"/>
          <w:szCs w:val="32"/>
        </w:rPr>
        <w:t>；G5京昆高速公路扩容项目罗江段目前已交地355亩（应交地355亩），占比100%，已拆迁房屋30户（应拆迁33户），占比90.9%。 已拆迁产业园5处（应拆迁5处），占比100%。杆管线已迁改17处（应迁改25处），其他的随施工推进同步迁改，罗江段被征地农民139人社保安置已全部落实。。罗江段被征</w:t>
      </w:r>
      <w:r>
        <w:rPr>
          <w:rFonts w:hint="eastAsia" w:ascii="仿宋_GB2312" w:hAnsi="Times New Roman" w:eastAsia="仿宋_GB2312" w:cs="Times New Roman"/>
          <w:color w:val="auto"/>
          <w:sz w:val="32"/>
          <w:szCs w:val="32"/>
        </w:rPr>
        <w:t>地农民139人社保安置已全部落实。国省干线项目方面：G108罗江区金山镇（绵阳界）至白马关镇段改建工程</w:t>
      </w:r>
      <w:r>
        <w:rPr>
          <w:rFonts w:hint="default" w:ascii="仿宋_GB2312" w:hAnsi="Times New Roman" w:eastAsia="仿宋_GB2312" w:cs="Times New Roman"/>
          <w:color w:val="auto"/>
          <w:sz w:val="32"/>
          <w:szCs w:val="32"/>
        </w:rPr>
        <w:t>已完成工可编制、社稳备案、用地预审、选址意见</w:t>
      </w:r>
      <w:r>
        <w:rPr>
          <w:rFonts w:hint="default" w:ascii="仿宋_GB2312" w:hAnsi="Times New Roman" w:eastAsia="仿宋_GB2312" w:cs="Times New Roman"/>
          <w:color w:val="auto"/>
          <w:sz w:val="32"/>
          <w:szCs w:val="32"/>
          <w:lang w:eastAsia="zh-CN"/>
        </w:rPr>
        <w:t>、安评、</w:t>
      </w:r>
      <w:r>
        <w:rPr>
          <w:rFonts w:hint="default" w:ascii="仿宋_GB2312" w:hAnsi="Times New Roman" w:eastAsia="仿宋_GB2312" w:cs="Times New Roman"/>
          <w:color w:val="auto"/>
          <w:sz w:val="32"/>
          <w:szCs w:val="32"/>
          <w:lang w:val="en-US" w:eastAsia="zh-CN"/>
        </w:rPr>
        <w:t>初步设计</w:t>
      </w:r>
      <w:r>
        <w:rPr>
          <w:rFonts w:hint="default" w:ascii="仿宋_GB2312" w:hAnsi="Times New Roman" w:eastAsia="仿宋_GB2312" w:cs="Times New Roman"/>
          <w:color w:val="auto"/>
          <w:sz w:val="32"/>
          <w:szCs w:val="32"/>
        </w:rPr>
        <w:t>，正在开展</w:t>
      </w:r>
      <w:r>
        <w:rPr>
          <w:rFonts w:hint="default" w:ascii="仿宋_GB2312" w:hAnsi="Times New Roman" w:eastAsia="仿宋_GB2312" w:cs="Times New Roman"/>
          <w:color w:val="auto"/>
          <w:sz w:val="32"/>
          <w:szCs w:val="32"/>
          <w:lang w:eastAsia="zh-CN"/>
        </w:rPr>
        <w:t>用地预审和</w:t>
      </w:r>
      <w:r>
        <w:rPr>
          <w:rFonts w:hint="default" w:ascii="仿宋_GB2312" w:hAnsi="Times New Roman" w:eastAsia="仿宋_GB2312" w:cs="Times New Roman"/>
          <w:color w:val="auto"/>
          <w:sz w:val="32"/>
          <w:szCs w:val="32"/>
        </w:rPr>
        <w:t>工可报批</w:t>
      </w:r>
      <w:r>
        <w:rPr>
          <w:rFonts w:hint="eastAsia" w:ascii="仿宋_GB2312" w:hAnsi="Times New Roman" w:eastAsia="仿宋_GB2312" w:cs="Times New Roman"/>
          <w:color w:val="auto"/>
          <w:sz w:val="32"/>
          <w:szCs w:val="32"/>
        </w:rPr>
        <w:t>；S108罗江略坪至调元段改建工程和S211罗江慧觉至白马段改造工程工可已基本完成；国道G108跨成绵高速立交桥抢通保畅加固维修工程已于4月初完工。农村公路方面：</w:t>
      </w:r>
      <w:r>
        <w:rPr>
          <w:rFonts w:hint="eastAsia" w:ascii="仿宋_GB2312" w:hAnsi="Times New Roman" w:eastAsia="仿宋_GB2312" w:cs="Times New Roman"/>
          <w:color w:val="auto"/>
          <w:sz w:val="32"/>
          <w:szCs w:val="32"/>
          <w:lang w:val="en-US" w:eastAsia="zh-CN"/>
        </w:rPr>
        <w:t>完成</w:t>
      </w:r>
      <w:r>
        <w:rPr>
          <w:rFonts w:hint="eastAsia" w:ascii="仿宋_GB2312" w:hAnsi="Times New Roman" w:eastAsia="仿宋_GB2312" w:cs="Times New Roman"/>
          <w:color w:val="auto"/>
          <w:sz w:val="32"/>
          <w:szCs w:val="32"/>
        </w:rPr>
        <w:t>撤并建制村畅通工程</w:t>
      </w:r>
      <w:r>
        <w:rPr>
          <w:rFonts w:hint="eastAsia" w:ascii="仿宋_GB2312" w:hAnsi="Times New Roman" w:eastAsia="仿宋_GB2312" w:cs="Times New Roman"/>
          <w:color w:val="auto"/>
          <w:sz w:val="32"/>
          <w:szCs w:val="32"/>
          <w:lang w:val="en-US" w:eastAsia="zh-CN"/>
        </w:rPr>
        <w:t>14.9公里、</w:t>
      </w:r>
      <w:r>
        <w:rPr>
          <w:rFonts w:hint="eastAsia" w:ascii="仿宋_GB2312" w:hAnsi="Times New Roman" w:eastAsia="仿宋_GB2312" w:cs="Times New Roman"/>
          <w:color w:val="auto"/>
          <w:sz w:val="32"/>
          <w:szCs w:val="32"/>
        </w:rPr>
        <w:t>自然村通硬化路工程</w:t>
      </w:r>
      <w:r>
        <w:rPr>
          <w:rFonts w:hint="eastAsia" w:ascii="仿宋_GB2312" w:hAnsi="Times New Roman" w:eastAsia="仿宋_GB2312" w:cs="Times New Roman"/>
          <w:color w:val="auto"/>
          <w:sz w:val="32"/>
          <w:szCs w:val="32"/>
          <w:lang w:val="en-US" w:eastAsia="zh-CN"/>
        </w:rPr>
        <w:t>38.4公里、</w:t>
      </w:r>
      <w:r>
        <w:rPr>
          <w:rFonts w:hint="default" w:ascii="仿宋_GB2312" w:hAnsi="Times New Roman" w:eastAsia="仿宋_GB2312" w:cs="Times New Roman"/>
          <w:color w:val="auto"/>
          <w:sz w:val="32"/>
          <w:szCs w:val="32"/>
        </w:rPr>
        <w:t>农村公路安保工程11.7公里</w:t>
      </w:r>
      <w:r>
        <w:rPr>
          <w:rFonts w:hint="default" w:ascii="仿宋_GB2312" w:hAnsi="Times New Roman" w:eastAsia="仿宋_GB2312" w:cs="Times New Roman"/>
          <w:color w:val="auto"/>
          <w:sz w:val="32"/>
          <w:szCs w:val="32"/>
          <w:lang w:eastAsia="zh-CN"/>
        </w:rPr>
        <w:t>，</w:t>
      </w:r>
      <w:r>
        <w:rPr>
          <w:rFonts w:hint="default" w:ascii="仿宋_GB2312" w:hAnsi="Times New Roman" w:eastAsia="仿宋_GB2312" w:cs="Times New Roman"/>
          <w:color w:val="auto"/>
          <w:sz w:val="32"/>
          <w:szCs w:val="32"/>
        </w:rPr>
        <w:t>新（改）建危桥2座</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完成</w:t>
      </w:r>
      <w:r>
        <w:rPr>
          <w:rFonts w:hint="eastAsia" w:ascii="仿宋_GB2312" w:hAnsi="Times New Roman" w:eastAsia="仿宋_GB2312" w:cs="Times New Roman"/>
          <w:color w:val="auto"/>
          <w:sz w:val="32"/>
          <w:szCs w:val="32"/>
        </w:rPr>
        <w:t>蟠御路高铁损毁恢复工程</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lang w:val="en-US" w:eastAsia="zh-CN"/>
        </w:rPr>
        <w:t>鄢家镇高垭村产业道路、白马关镇合圣村产业道路等自建项目9.3公里。子汉路（新盛镇至金山镇段）美丽乡村路前期工作已完成，正在挂网招施工单位。荣富路（二龙村至富荣村段）美丽乡村路、金山镇全域土地整治环线公路（安家村至吴家陵村段）美丽乡村路、金山镇全域土地整治环线公路（吴家陵村至大井村段）美丽乡村路已完成工可及施工图设计。鄢通路（灯盏村至回龙场村段）美丽乡村路、安罗路（调元镇至万安镇段）美丽乡村路、隐海环线（金山镇安家村段）美丽乡村路正在开展工可及初步设计。养护工程方面：完成鄢慧路、新石路、罗吴路、河黄路（罗江段）等道路破损路面整治13600余平方米。</w:t>
      </w:r>
    </w:p>
    <w:p>
      <w:pPr>
        <w:spacing w:line="560" w:lineRule="exact"/>
        <w:ind w:firstLine="643" w:firstLineChars="200"/>
        <w:rPr>
          <w:rFonts w:eastAsia="仿宋_GB2312"/>
          <w:color w:val="auto"/>
          <w:sz w:val="32"/>
          <w:szCs w:val="32"/>
        </w:rPr>
      </w:pPr>
      <w:r>
        <w:rPr>
          <w:rFonts w:hint="eastAsia" w:eastAsia="楷体_GB2312"/>
          <w:b/>
          <w:bCs/>
          <w:color w:val="auto"/>
          <w:sz w:val="32"/>
          <w:szCs w:val="32"/>
          <w:lang w:val="en-US" w:eastAsia="zh-CN"/>
        </w:rPr>
        <w:t>2.</w:t>
      </w:r>
      <w:r>
        <w:rPr>
          <w:rFonts w:hint="eastAsia" w:eastAsia="楷体_GB2312"/>
          <w:b/>
          <w:bCs/>
          <w:color w:val="auto"/>
          <w:sz w:val="32"/>
          <w:szCs w:val="32"/>
        </w:rPr>
        <w:t>党建和意识形态工作进一步夯实，引领作用显著增强。</w:t>
      </w:r>
      <w:r>
        <w:rPr>
          <w:rFonts w:hint="eastAsia" w:ascii="仿宋_GB2312" w:eastAsia="仿宋_GB2312"/>
          <w:color w:val="auto"/>
          <w:sz w:val="32"/>
          <w:szCs w:val="32"/>
        </w:rPr>
        <w:t>深入贯彻落实习近平总书记关于新就业群体党建工作的指示批示精神，按照中省市区关于深化货车司机群体党建试点工作要求，成立了中共罗江区交通运输行业委员会，下设企业党支部1个，货车司机流动党员党支部2个。“蜀道畅APP”注册人数70人，开展“亮身份、送清凉”集中慰问货车司机活动，活动共关爱慰问货车司机388名，发放清凉大礼包388份；货车司机群体“暖心之家”项目于2022年12月投入使用。同时，我局坚持把意识形态工作作为核心任务常抓不懈，认真贯彻落实党委意识形态工作责任制。一是不断完善相关制度机制。制定全年落实意识形态工作要点，以制度形式保障意识形态工作的贯彻落实。二是严把信息审核关。各业务股室指定专人负责信息撰写，落实信息审查报送制度，确保宣传的正确导向。三是定期分析研判意识形态动向。不定期召开党组会、专题会分析研判全局意识形态工作动向，对全交通系统可能出现的意识形态风险点、薄弱点进行了认真地排查梳理，并提出了风险应对策略与预案、解决问题的方案。</w:t>
      </w:r>
    </w:p>
    <w:p>
      <w:pPr>
        <w:pStyle w:val="3"/>
        <w:numPr>
          <w:ilvl w:val="0"/>
          <w:numId w:val="0"/>
        </w:numPr>
        <w:ind w:firstLine="643" w:firstLineChars="200"/>
        <w:rPr>
          <w:rFonts w:hint="eastAsia" w:ascii="仿宋_GB2312" w:eastAsia="仿宋_GB2312"/>
          <w:color w:val="auto"/>
          <w:sz w:val="32"/>
          <w:szCs w:val="32"/>
        </w:rPr>
      </w:pPr>
      <w:r>
        <w:rPr>
          <w:rFonts w:hint="eastAsia" w:eastAsia="楷体_GB2312"/>
          <w:b/>
          <w:bCs/>
          <w:color w:val="auto"/>
          <w:sz w:val="32"/>
          <w:szCs w:val="32"/>
          <w:lang w:val="en-US" w:eastAsia="zh-CN"/>
        </w:rPr>
        <w:t>3.</w:t>
      </w:r>
      <w:r>
        <w:rPr>
          <w:rFonts w:hint="eastAsia" w:eastAsia="楷体_GB2312"/>
          <w:b/>
          <w:bCs/>
          <w:color w:val="auto"/>
          <w:sz w:val="32"/>
          <w:szCs w:val="32"/>
        </w:rPr>
        <w:t>筑牢疫情防控交通防线，着力提升运输服务保障。</w:t>
      </w:r>
      <w:r>
        <w:rPr>
          <w:rFonts w:hint="eastAsia" w:ascii="仿宋_GB2312" w:eastAsia="仿宋_GB2312"/>
          <w:color w:val="auto"/>
          <w:sz w:val="32"/>
          <w:szCs w:val="32"/>
        </w:rPr>
        <w:t>全面落实省市区疫情防控相关要求，科学统筹协调、合理安排部署，对全区高速出口、汽车站、高铁站等重要交通场所常态化值守，自开展“入川即检”工作以来，细化工作流程，完善工作机制，充实工作力量，做好服务保障，以坚决做到守土有责、守土尽责的态势，全力守好外防输入“第一道防线”。认真督促道路运输企业落实企业疫情防控主体责任和做好常态化防疫工作，严格要求公共交通将疫情防控措施落实到位。同时，不断充实防疫物资储备，防疫硬件设施配备到位，为后续防疫工作提供有力工作环境。紧盯春运、五一、高考、国庆等关键节点，合理调配运力，防范风险隐患，始终保持打非治违高压态势，顺利完成运输保障任务。</w:t>
      </w:r>
    </w:p>
    <w:p>
      <w:pPr>
        <w:pStyle w:val="3"/>
        <w:numPr>
          <w:ilvl w:val="0"/>
          <w:numId w:val="0"/>
        </w:numPr>
        <w:ind w:firstLine="643" w:firstLineChars="200"/>
        <w:rPr>
          <w:rFonts w:hint="eastAsia" w:eastAsia="仿宋_GB2312"/>
          <w:color w:val="auto"/>
          <w:sz w:val="32"/>
          <w:szCs w:val="32"/>
        </w:rPr>
      </w:pPr>
      <w:r>
        <w:rPr>
          <w:rFonts w:hint="eastAsia" w:eastAsia="楷体_GB2312"/>
          <w:b/>
          <w:bCs/>
          <w:color w:val="auto"/>
          <w:sz w:val="32"/>
          <w:szCs w:val="32"/>
          <w:lang w:val="en-US" w:eastAsia="zh-CN"/>
        </w:rPr>
        <w:t>4.</w:t>
      </w:r>
      <w:r>
        <w:rPr>
          <w:rFonts w:hint="eastAsia" w:eastAsia="楷体_GB2312"/>
          <w:b/>
          <w:bCs/>
          <w:color w:val="auto"/>
          <w:sz w:val="32"/>
          <w:szCs w:val="32"/>
        </w:rPr>
        <w:t>做好“后半篇”文章，用心办好民生实事。</w:t>
      </w:r>
      <w:r>
        <w:rPr>
          <w:rFonts w:hint="eastAsia" w:eastAsia="仿宋_GB2312"/>
          <w:color w:val="auto"/>
          <w:sz w:val="32"/>
          <w:szCs w:val="32"/>
        </w:rPr>
        <w:t>立足交通“先行官”定位，制定《提升农村交通运输服务水平工作方案》，明确实施撤并村畅通工程、乡村振兴产业路旅游路工程、乡村运输“金通工程”等三大工程，制定年度实施计划稳步推进。全年共办理人大政协提案22件，增强了群众获得感、幸福感。此外还积极参与创城创卫、垃圾分类、环保稳定等工作。</w:t>
      </w:r>
    </w:p>
    <w:p>
      <w:pPr>
        <w:pStyle w:val="3"/>
        <w:numPr>
          <w:ilvl w:val="0"/>
          <w:numId w:val="0"/>
        </w:numPr>
        <w:ind w:firstLine="643" w:firstLineChars="200"/>
        <w:rPr>
          <w:rFonts w:hint="eastAsia" w:ascii="Times New Roman" w:hAnsi="Times New Roman" w:eastAsia="仿宋_GB2312" w:cs="Times New Roman"/>
          <w:color w:val="auto"/>
          <w:sz w:val="32"/>
          <w:szCs w:val="32"/>
        </w:rPr>
      </w:pPr>
      <w:r>
        <w:rPr>
          <w:rFonts w:hint="eastAsia" w:eastAsia="楷体_GB2312"/>
          <w:b/>
          <w:bCs/>
          <w:color w:val="auto"/>
          <w:sz w:val="32"/>
          <w:szCs w:val="32"/>
          <w:lang w:val="en-US" w:eastAsia="zh-CN"/>
        </w:rPr>
        <w:t>5.</w:t>
      </w:r>
      <w:r>
        <w:rPr>
          <w:rFonts w:hint="eastAsia" w:eastAsia="楷体_GB2312"/>
          <w:b/>
          <w:bCs/>
          <w:color w:val="auto"/>
          <w:sz w:val="32"/>
          <w:szCs w:val="32"/>
        </w:rPr>
        <w:t>强化交通运输执法，持续加强交通行业管理。</w:t>
      </w:r>
      <w:r>
        <w:rPr>
          <w:rFonts w:ascii="Times New Roman" w:hAnsi="Times New Roman" w:eastAsia="仿宋_GB2312" w:cs="Times New Roman"/>
          <w:color w:val="auto"/>
          <w:sz w:val="32"/>
          <w:szCs w:val="32"/>
        </w:rPr>
        <w:t>严格落实路政巡查制度和巡查计划，出动执法巡查车辆</w:t>
      </w:r>
      <w:r>
        <w:rPr>
          <w:rFonts w:hint="eastAsia"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余台次，人员</w:t>
      </w:r>
      <w:r>
        <w:rPr>
          <w:rFonts w:hint="eastAsia" w:ascii="Times New Roman" w:hAnsi="Times New Roman" w:eastAsia="仿宋_GB2312" w:cs="Times New Roman"/>
          <w:color w:val="auto"/>
          <w:sz w:val="32"/>
          <w:szCs w:val="32"/>
        </w:rPr>
        <w:t>18</w:t>
      </w:r>
      <w:r>
        <w:rPr>
          <w:rFonts w:hint="eastAsia" w:ascii="Times New Roman" w:hAnsi="Times New Roman" w:eastAsia="仿宋_GB2312" w:cs="Times New Roman"/>
          <w:color w:val="auto"/>
          <w:sz w:val="32"/>
          <w:szCs w:val="32"/>
          <w:lang w:val="en-US" w:eastAsia="zh-CN"/>
        </w:rPr>
        <w:t>5</w:t>
      </w:r>
      <w:r>
        <w:rPr>
          <w:rFonts w:ascii="Times New Roman" w:hAnsi="Times New Roman" w:eastAsia="仿宋_GB2312" w:cs="Times New Roman"/>
          <w:color w:val="auto"/>
          <w:sz w:val="32"/>
          <w:szCs w:val="32"/>
        </w:rPr>
        <w:t>0余人次, 及时排查和消除道路安全隐患</w:t>
      </w:r>
      <w:r>
        <w:rPr>
          <w:rFonts w:hint="eastAsia" w:ascii="Times New Roman" w:hAnsi="Times New Roman" w:eastAsia="仿宋_GB2312" w:cs="Times New Roman"/>
          <w:color w:val="auto"/>
          <w:sz w:val="32"/>
          <w:szCs w:val="32"/>
          <w:lang w:val="en-US" w:eastAsia="zh-CN"/>
        </w:rPr>
        <w:t>110</w:t>
      </w:r>
      <w:r>
        <w:rPr>
          <w:rFonts w:ascii="Times New Roman" w:hAnsi="Times New Roman" w:eastAsia="仿宋_GB2312" w:cs="Times New Roman"/>
          <w:color w:val="auto"/>
          <w:sz w:val="32"/>
          <w:szCs w:val="32"/>
        </w:rPr>
        <w:t>余处，检测货运车辆</w:t>
      </w:r>
      <w:r>
        <w:rPr>
          <w:rFonts w:hint="eastAsia"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24</w:t>
      </w:r>
      <w:r>
        <w:rPr>
          <w:rFonts w:hint="eastAsia" w:ascii="Times New Roman" w:hAnsi="Times New Roman" w:eastAsia="仿宋_GB2312" w:cs="Times New Roman"/>
          <w:color w:val="auto"/>
          <w:sz w:val="32"/>
          <w:szCs w:val="32"/>
        </w:rPr>
        <w:t>00</w:t>
      </w:r>
      <w:r>
        <w:rPr>
          <w:rFonts w:ascii="Times New Roman" w:hAnsi="Times New Roman" w:eastAsia="仿宋_GB2312" w:cs="Times New Roman"/>
          <w:color w:val="auto"/>
          <w:sz w:val="32"/>
          <w:szCs w:val="32"/>
        </w:rPr>
        <w:t>余台次,查处超限超载、抛洒滴漏车辆</w:t>
      </w:r>
      <w:r>
        <w:rPr>
          <w:rFonts w:hint="eastAsia"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lang w:val="en-US" w:eastAsia="zh-CN"/>
        </w:rPr>
        <w:t>90</w:t>
      </w:r>
      <w:r>
        <w:rPr>
          <w:rFonts w:ascii="Times New Roman" w:hAnsi="Times New Roman" w:eastAsia="仿宋_GB2312" w:cs="Times New Roman"/>
          <w:color w:val="auto"/>
          <w:sz w:val="32"/>
          <w:szCs w:val="32"/>
        </w:rPr>
        <w:t>余台次，卸（转）载货物约</w:t>
      </w:r>
      <w:r>
        <w:rPr>
          <w:rFonts w:hint="eastAsia" w:ascii="Times New Roman" w:hAnsi="Times New Roman" w:eastAsia="仿宋_GB2312" w:cs="Times New Roman"/>
          <w:color w:val="auto"/>
          <w:sz w:val="32"/>
          <w:szCs w:val="32"/>
        </w:rPr>
        <w:t>7</w:t>
      </w:r>
      <w:r>
        <w:rPr>
          <w:rFonts w:hint="eastAsia" w:ascii="Times New Roman" w:hAnsi="Times New Roman" w:eastAsia="仿宋_GB2312" w:cs="Times New Roman"/>
          <w:color w:val="auto"/>
          <w:sz w:val="32"/>
          <w:szCs w:val="32"/>
          <w:lang w:val="en-US" w:eastAsia="zh-CN"/>
        </w:rPr>
        <w:t>9</w:t>
      </w:r>
      <w:r>
        <w:rPr>
          <w:rFonts w:ascii="Times New Roman" w:hAnsi="Times New Roman" w:eastAsia="仿宋_GB2312" w:cs="Times New Roman"/>
          <w:color w:val="auto"/>
          <w:sz w:val="32"/>
          <w:szCs w:val="32"/>
        </w:rPr>
        <w:t>00余吨</w:t>
      </w:r>
      <w:r>
        <w:rPr>
          <w:rFonts w:hint="eastAsia" w:ascii="Times New Roman" w:hAnsi="Times New Roman" w:eastAsia="仿宋_GB2312" w:cs="Times New Roman"/>
          <w:color w:val="auto"/>
          <w:sz w:val="32"/>
          <w:szCs w:val="32"/>
        </w:rPr>
        <w:t>；制止公路打场晒粮、摆摊设点、堆物作业等活动</w:t>
      </w:r>
      <w:r>
        <w:rPr>
          <w:rFonts w:hint="eastAsia" w:ascii="Times New Roman" w:hAnsi="Times New Roman" w:eastAsia="仿宋_GB2312" w:cs="Times New Roman"/>
          <w:color w:val="auto"/>
          <w:sz w:val="32"/>
          <w:szCs w:val="32"/>
          <w:lang w:val="en-US" w:eastAsia="zh-CN"/>
        </w:rPr>
        <w:t>50</w:t>
      </w:r>
      <w:r>
        <w:rPr>
          <w:rFonts w:hint="eastAsia" w:ascii="Times New Roman" w:hAnsi="Times New Roman" w:eastAsia="仿宋_GB2312" w:cs="Times New Roman"/>
          <w:color w:val="auto"/>
          <w:sz w:val="32"/>
          <w:szCs w:val="32"/>
        </w:rPr>
        <w:t>余起，下达隐患整改通知书</w:t>
      </w:r>
      <w:r>
        <w:rPr>
          <w:rFonts w:hint="eastAsia" w:ascii="Times New Roman" w:hAnsi="Times New Roman" w:eastAsia="仿宋_GB2312" w:cs="Times New Roman"/>
          <w:color w:val="auto"/>
          <w:sz w:val="32"/>
          <w:szCs w:val="32"/>
          <w:lang w:val="en-US" w:eastAsia="zh-CN"/>
        </w:rPr>
        <w:t>100</w:t>
      </w:r>
      <w:r>
        <w:rPr>
          <w:rFonts w:hint="eastAsia" w:ascii="Times New Roman" w:hAnsi="Times New Roman" w:eastAsia="仿宋_GB2312" w:cs="Times New Roman"/>
          <w:color w:val="auto"/>
          <w:sz w:val="32"/>
          <w:szCs w:val="32"/>
        </w:rPr>
        <w:t>份（均已整改）。持续开展“打非治违”行动，今年以来累计出动执法人员1310余人次，检查企业共500余家次，检查客货运输车辆760余辆次，纠正各类违法违规行为共40余起；推广节能运输环保车辆，发展绿色交通，洁能源及新能源在公交和出租领域推广占比达到100%。</w:t>
      </w:r>
    </w:p>
    <w:p>
      <w:pPr>
        <w:pStyle w:val="3"/>
        <w:numPr>
          <w:ilvl w:val="0"/>
          <w:numId w:val="0"/>
        </w:numPr>
        <w:ind w:firstLine="643" w:firstLineChars="200"/>
        <w:rPr>
          <w:rFonts w:hint="eastAsia" w:ascii="仿宋_GB2312" w:eastAsia="仿宋_GB2312"/>
          <w:color w:val="auto"/>
          <w:sz w:val="32"/>
          <w:szCs w:val="32"/>
        </w:rPr>
      </w:pPr>
      <w:r>
        <w:rPr>
          <w:rFonts w:hint="eastAsia" w:eastAsia="楷体_GB2312"/>
          <w:b/>
          <w:bCs/>
          <w:color w:val="auto"/>
          <w:sz w:val="32"/>
          <w:szCs w:val="32"/>
          <w:lang w:val="en-US" w:eastAsia="zh-CN"/>
        </w:rPr>
        <w:t>6.</w:t>
      </w:r>
      <w:r>
        <w:rPr>
          <w:rFonts w:hint="eastAsia" w:eastAsia="楷体_GB2312"/>
          <w:b/>
          <w:bCs/>
          <w:color w:val="auto"/>
          <w:sz w:val="32"/>
          <w:szCs w:val="32"/>
        </w:rPr>
        <w:t>优化养护管理，道路通行水平持续提高。</w:t>
      </w:r>
      <w:r>
        <w:rPr>
          <w:rFonts w:hint="eastAsia" w:ascii="仿宋_GB2312" w:hAnsi="仿宋_GB2312" w:eastAsia="仿宋_GB2312" w:cs="仿宋_GB2312"/>
          <w:color w:val="auto"/>
          <w:sz w:val="32"/>
          <w:szCs w:val="32"/>
        </w:rPr>
        <w:t>为巩固好“四好农村路”建设成果，我局高水平做好农村公路的养护管理，</w:t>
      </w:r>
      <w:r>
        <w:rPr>
          <w:rFonts w:hint="eastAsia" w:ascii="仿宋_GB2312" w:eastAsia="仿宋_GB2312"/>
          <w:color w:val="auto"/>
          <w:sz w:val="32"/>
          <w:szCs w:val="32"/>
        </w:rPr>
        <w:t>在省交通运输厅开展的2022年度最美农村路、最美路长、最美护路员评选中，我区推荐一人参选最美护路员。</w:t>
      </w:r>
      <w:r>
        <w:rPr>
          <w:rFonts w:hint="eastAsia" w:ascii="仿宋_GB2312" w:hAnsi="仿宋_GB2312" w:eastAsia="仿宋_GB2312" w:cs="仿宋_GB2312"/>
          <w:color w:val="auto"/>
          <w:sz w:val="32"/>
          <w:szCs w:val="32"/>
        </w:rPr>
        <w:t>2022年，共投入养护人员7800余人次，洒水车、清扫车等养护机具1500余台次，完成了国省道及重点联网公路的日常保洁、道路保通保畅、边沟清理、绿化带整治、公路路域环境综合治理等工作，确保了春节、清明节、“五一”节、“十一”国庆节及罗江区重大现场会期间的道路路容路貌整洁、道路安全畅通。通过对管养公路的精心管养，国道PQI指数平均达到90以上，农村公路PQI指数平均达到80以上。完成路面日常保洁保通保畅240余公里；完成管养公路边沟日常清淤160余公里（两侧）；完成辖区内道路裂逢、坑凼、断板、松散等病害路面维修处治任务1.2万余平方米；整治清除公路（及公路边沟内）沿线各类杂草杂物、生活垃圾、建筑垃圾1600余立方米；</w:t>
      </w:r>
      <w:r>
        <w:rPr>
          <w:rFonts w:hint="eastAsia" w:ascii="仿宋_GB2312" w:eastAsia="仿宋_GB2312"/>
          <w:color w:val="auto"/>
          <w:sz w:val="32"/>
          <w:szCs w:val="32"/>
        </w:rPr>
        <w:t>及时排查和清除路面零星障碍120余处，及时处理较大道路安全隐患30余处（含路面较大坑凼）；新安更新各类交通标志标牌120余套，新安及更新路侧波型护栏1350余米，新安及更新减速路梗160余米，确保了管辖公路的安全通行。</w:t>
      </w:r>
    </w:p>
    <w:p>
      <w:pPr>
        <w:pStyle w:val="3"/>
        <w:numPr>
          <w:ilvl w:val="0"/>
          <w:numId w:val="0"/>
        </w:numPr>
        <w:ind w:firstLine="640" w:firstLineChars="200"/>
        <w:rPr>
          <w:rFonts w:hint="eastAsia" w:ascii="方正楷体简体" w:hAnsi="宋体" w:eastAsia="方正楷体简体" w:cs="宋体"/>
          <w:color w:val="000000"/>
          <w:kern w:val="0"/>
          <w:sz w:val="32"/>
          <w:szCs w:val="32"/>
          <w:shd w:val="clear" w:color="auto" w:fill="FFFFFF"/>
          <w:lang w:val="zh-CN" w:eastAsia="zh-CN"/>
        </w:rPr>
      </w:pPr>
      <w:r>
        <w:rPr>
          <w:rFonts w:hint="eastAsia" w:ascii="方正楷体简体" w:hAnsi="宋体" w:eastAsia="方正楷体简体" w:cs="宋体"/>
          <w:color w:val="000000"/>
          <w:kern w:val="0"/>
          <w:sz w:val="32"/>
          <w:szCs w:val="32"/>
          <w:shd w:val="clear" w:color="auto" w:fill="FFFFFF"/>
          <w:lang w:val="zh-CN" w:eastAsia="zh-CN"/>
        </w:rPr>
        <w:t>（四）部门整体支出绩效目标</w:t>
      </w:r>
    </w:p>
    <w:p>
      <w:pPr>
        <w:pStyle w:val="3"/>
        <w:numPr>
          <w:ilvl w:val="0"/>
          <w:numId w:val="0"/>
        </w:numPr>
        <w:ind w:firstLine="640" w:firstLineChars="200"/>
        <w:rPr>
          <w:rFonts w:hint="default" w:ascii="仿宋_GB2312" w:hAnsi="仿宋_GB2312" w:eastAsia="仿宋_GB2312" w:cs="仿宋_GB2312"/>
          <w:b w:val="0"/>
          <w:bCs w:val="0"/>
          <w:color w:val="000000"/>
          <w:kern w:val="0"/>
          <w:sz w:val="32"/>
          <w:szCs w:val="32"/>
          <w:highlight w:val="none"/>
          <w:shd w:val="clear" w:color="auto" w:fill="FFFFFF"/>
          <w:lang w:val="en-US" w:eastAsia="zh-CN"/>
        </w:rPr>
      </w:pPr>
      <w:r>
        <w:rPr>
          <w:rFonts w:hint="eastAsia" w:hAnsi="仿宋_GB2312" w:cs="仿宋_GB2312"/>
          <w:color w:val="000000"/>
          <w:kern w:val="0"/>
          <w:sz w:val="32"/>
          <w:szCs w:val="32"/>
          <w:shd w:val="clear" w:color="auto" w:fill="FFFFFF"/>
          <w:lang w:val="en-US" w:eastAsia="zh-CN"/>
        </w:rPr>
        <w:t>2022年我局</w:t>
      </w:r>
      <w:r>
        <w:rPr>
          <w:rFonts w:hint="eastAsia" w:ascii="仿宋_GB2312" w:hAnsi="仿宋_GB2312" w:eastAsia="仿宋_GB2312" w:cs="仿宋_GB2312"/>
          <w:b w:val="0"/>
          <w:bCs w:val="0"/>
          <w:kern w:val="0"/>
          <w:sz w:val="32"/>
          <w:szCs w:val="32"/>
          <w:highlight w:val="none"/>
          <w:lang w:val="zh-CN"/>
        </w:rPr>
        <w:t>坚定以习近平新时代中国特色社会主义思想为指导，深入贯彻党中央、国务院、省委省政府、市委市政府和区委区政府重大决策部署，</w:t>
      </w:r>
      <w:r>
        <w:rPr>
          <w:rFonts w:hint="eastAsia" w:ascii="仿宋_GB2312" w:hAnsi="仿宋_GB2312" w:eastAsia="仿宋_GB2312" w:cs="仿宋_GB2312"/>
          <w:i w:val="0"/>
          <w:color w:val="000000"/>
          <w:kern w:val="0"/>
          <w:sz w:val="32"/>
          <w:szCs w:val="32"/>
          <w:u w:val="none"/>
          <w:lang w:val="en-US" w:eastAsia="zh-CN" w:bidi="ar"/>
        </w:rPr>
        <w:t>以省级“四好农村路”示范县为基础，结合罗江实际，加快交通基础设施建设，使道路路网和服务功能得到逐步改善提升，紧紧围绕罗江融入成渝地区双城经济圈建设战略，加快融入成德同城化发展目标，着力构建高效便捷交通网，改善运输服务品质，使全区交通建、管、养、运协调发展，持续畅通农村公路“微循环”，助力乡村振兴，不断开创行业管理“新局面”努力建设人民群众满意交通。</w:t>
      </w:r>
      <w:r>
        <w:rPr>
          <w:rFonts w:hint="eastAsia" w:hAnsi="仿宋_GB2312" w:cs="仿宋_GB2312"/>
          <w:i w:val="0"/>
          <w:color w:val="000000"/>
          <w:kern w:val="0"/>
          <w:sz w:val="32"/>
          <w:szCs w:val="32"/>
          <w:u w:val="none"/>
          <w:lang w:val="en-US" w:eastAsia="zh-CN" w:bidi="ar"/>
        </w:rPr>
        <w:t>全年4个预算单位按要求编制了绩效目标，从项目完成、项目效益、满意度等方面设置了绩效指标，综合反映项目预期完成数量、质量、成本、时效，预期达到的社会效益、经济效益、生态效益、可持续影响以及服务对象满意度等情况。</w:t>
      </w:r>
    </w:p>
    <w:p>
      <w:pPr>
        <w:keepNext w:val="0"/>
        <w:keepLines w:val="0"/>
        <w:pageBreakBefore w:val="0"/>
        <w:numPr>
          <w:ilvl w:val="0"/>
          <w:numId w:val="2"/>
        </w:numPr>
        <w:kinsoku/>
        <w:wordWrap/>
        <w:overflowPunct/>
        <w:topLinePunct w:val="0"/>
        <w:autoSpaceDE/>
        <w:autoSpaceDN/>
        <w:bidi w:val="0"/>
        <w:adjustRightInd w:val="0"/>
        <w:snapToGrid w:val="0"/>
        <w:spacing w:line="500" w:lineRule="exact"/>
        <w:ind w:firstLine="640" w:firstLineChars="200"/>
        <w:textAlignment w:val="auto"/>
        <w:rPr>
          <w:rFonts w:hint="eastAsia" w:ascii="黑体" w:hAnsi="宋体" w:eastAsia="黑体" w:cs="宋体"/>
          <w:color w:val="000000"/>
          <w:kern w:val="0"/>
          <w:sz w:val="32"/>
          <w:szCs w:val="32"/>
          <w:shd w:val="clear" w:color="auto" w:fill="FFFFFF"/>
        </w:rPr>
      </w:pPr>
      <w:bookmarkStart w:id="53" w:name="_Toc32030_WPSOffice_Level2"/>
      <w:bookmarkStart w:id="54" w:name="_Toc27269_WPSOffice_Level2"/>
      <w:bookmarkStart w:id="55" w:name="_Toc5529_WPSOffice_Level2"/>
      <w:r>
        <w:rPr>
          <w:rFonts w:hint="eastAsia" w:ascii="黑体" w:hAnsi="宋体" w:eastAsia="黑体" w:cs="宋体"/>
          <w:color w:val="000000"/>
          <w:kern w:val="0"/>
          <w:sz w:val="32"/>
          <w:szCs w:val="32"/>
          <w:shd w:val="clear" w:color="auto" w:fill="FFFFFF"/>
        </w:rPr>
        <w:t>部门资金收支情况</w:t>
      </w:r>
      <w:bookmarkEnd w:id="53"/>
      <w:bookmarkEnd w:id="54"/>
      <w:bookmarkEnd w:id="55"/>
    </w:p>
    <w:p>
      <w:pPr>
        <w:pStyle w:val="2"/>
        <w:numPr>
          <w:ilvl w:val="0"/>
          <w:numId w:val="0"/>
        </w:numPr>
        <w:ind w:firstLine="640" w:firstLineChars="200"/>
        <w:rPr>
          <w:rFonts w:hint="eastAsia" w:ascii="方正楷体简体" w:hAnsi="宋体" w:eastAsia="方正楷体简体" w:cs="宋体"/>
          <w:color w:val="000000"/>
          <w:kern w:val="0"/>
          <w:sz w:val="32"/>
          <w:szCs w:val="32"/>
          <w:shd w:val="clear" w:color="auto" w:fill="FFFFFF"/>
          <w:lang w:val="zh-CN" w:eastAsia="zh-CN"/>
        </w:rPr>
      </w:pPr>
      <w:r>
        <w:rPr>
          <w:rFonts w:hint="eastAsia" w:ascii="方正楷体简体" w:hAnsi="宋体" w:eastAsia="方正楷体简体" w:cs="宋体"/>
          <w:color w:val="000000"/>
          <w:kern w:val="0"/>
          <w:sz w:val="32"/>
          <w:szCs w:val="32"/>
          <w:shd w:val="clear" w:color="auto" w:fill="FFFFFF"/>
          <w:lang w:val="zh-CN" w:eastAsia="zh-CN"/>
        </w:rPr>
        <w:t>（一）部门总体收支情况</w:t>
      </w:r>
    </w:p>
    <w:p>
      <w:pPr>
        <w:pStyle w:val="2"/>
        <w:numPr>
          <w:ilvl w:val="0"/>
          <w:numId w:val="0"/>
        </w:numPr>
        <w:ind w:firstLine="640" w:firstLineChars="200"/>
        <w:rPr>
          <w:rFonts w:hint="eastAsia" w:ascii="仿宋_GB2312" w:hAnsi="仿宋_GB2312" w:eastAsia="仿宋_GB2312" w:cs="仿宋_GB2312"/>
          <w:color w:val="000000"/>
          <w:kern w:val="0"/>
          <w:sz w:val="32"/>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1.部门总体收入情况：2022年度本部门决算总收入5485.90万元，其中：一般公共预算财政拨款收入3444.38万元，占63%；政府性基金预算财政拨款收入896.87万元，占16%；其他收入1144.65万元，占21%。</w:t>
      </w:r>
    </w:p>
    <w:p>
      <w:pPr>
        <w:pStyle w:val="2"/>
        <w:numPr>
          <w:ilvl w:val="0"/>
          <w:numId w:val="0"/>
        </w:numPr>
        <w:ind w:firstLine="640" w:firstLineChars="200"/>
        <w:rPr>
          <w:rFonts w:hint="eastAsia" w:ascii="仿宋_GB2312" w:eastAsia="仿宋_GB2312"/>
          <w:sz w:val="32"/>
          <w:szCs w:val="32"/>
          <w:highlight w:val="none"/>
          <w:lang w:val="en-US" w:eastAsia="zh-CN"/>
        </w:rPr>
      </w:pPr>
      <w:r>
        <w:rPr>
          <w:rFonts w:hint="eastAsia" w:ascii="仿宋_GB2312" w:hAnsi="仿宋_GB2312" w:eastAsia="仿宋_GB2312" w:cs="仿宋_GB2312"/>
          <w:color w:val="000000"/>
          <w:kern w:val="0"/>
          <w:sz w:val="32"/>
          <w:szCs w:val="32"/>
          <w:shd w:val="clear" w:color="auto" w:fill="FFFFFF"/>
          <w:lang w:val="en-US" w:eastAsia="zh-CN"/>
        </w:rPr>
        <w:t>2.部门总体支出情况：2022年度本部门决算总支出5739.01万元。</w:t>
      </w:r>
      <w:r>
        <w:rPr>
          <w:rFonts w:hint="eastAsia" w:ascii="仿宋_GB2312" w:eastAsia="仿宋_GB2312"/>
          <w:sz w:val="32"/>
          <w:szCs w:val="32"/>
          <w:highlight w:val="none"/>
        </w:rPr>
        <w:t>其中，按支出性质分类，基本支出</w:t>
      </w:r>
      <w:r>
        <w:rPr>
          <w:rFonts w:hint="eastAsia" w:ascii="仿宋_GB2312" w:eastAsia="仿宋_GB2312"/>
          <w:sz w:val="32"/>
          <w:szCs w:val="32"/>
          <w:highlight w:val="none"/>
          <w:lang w:val="en-US" w:eastAsia="zh-CN"/>
        </w:rPr>
        <w:t>1876.91</w:t>
      </w:r>
      <w:r>
        <w:rPr>
          <w:rFonts w:hint="eastAsia" w:ascii="仿宋_GB2312" w:eastAsia="仿宋_GB2312"/>
          <w:sz w:val="32"/>
          <w:szCs w:val="32"/>
          <w:highlight w:val="none"/>
        </w:rPr>
        <w:t>万元(其中:人员经费</w:t>
      </w:r>
      <w:r>
        <w:rPr>
          <w:rFonts w:hint="eastAsia" w:ascii="仿宋_GB2312" w:eastAsia="仿宋_GB2312"/>
          <w:sz w:val="32"/>
          <w:szCs w:val="32"/>
          <w:highlight w:val="none"/>
          <w:lang w:val="en-US" w:eastAsia="zh-CN"/>
        </w:rPr>
        <w:t>1622.71</w:t>
      </w:r>
      <w:r>
        <w:rPr>
          <w:rFonts w:hint="eastAsia" w:ascii="仿宋_GB2312" w:eastAsia="仿宋_GB2312"/>
          <w:sz w:val="32"/>
          <w:szCs w:val="32"/>
          <w:highlight w:val="none"/>
        </w:rPr>
        <w:t>万元、公用经费</w:t>
      </w:r>
      <w:r>
        <w:rPr>
          <w:rFonts w:hint="eastAsia" w:ascii="仿宋_GB2312" w:eastAsia="仿宋_GB2312"/>
          <w:sz w:val="32"/>
          <w:szCs w:val="32"/>
          <w:highlight w:val="none"/>
          <w:lang w:val="en-US" w:eastAsia="zh-CN"/>
        </w:rPr>
        <w:t>254.20</w:t>
      </w:r>
      <w:r>
        <w:rPr>
          <w:rFonts w:hint="eastAsia" w:ascii="仿宋_GB2312" w:eastAsia="仿宋_GB2312"/>
          <w:sz w:val="32"/>
          <w:szCs w:val="32"/>
          <w:highlight w:val="none"/>
        </w:rPr>
        <w:t>万元)，项目支出</w:t>
      </w:r>
      <w:r>
        <w:rPr>
          <w:rFonts w:hint="eastAsia" w:ascii="仿宋_GB2312" w:eastAsia="仿宋_GB2312"/>
          <w:sz w:val="32"/>
          <w:szCs w:val="32"/>
          <w:highlight w:val="none"/>
          <w:lang w:val="en-US" w:eastAsia="zh-CN"/>
        </w:rPr>
        <w:t>3862.09</w:t>
      </w:r>
      <w:r>
        <w:rPr>
          <w:rFonts w:hint="eastAsia" w:ascii="仿宋_GB2312" w:eastAsia="仿宋_GB2312"/>
          <w:sz w:val="32"/>
          <w:szCs w:val="32"/>
          <w:highlight w:val="none"/>
        </w:rPr>
        <w:t>万元(其中:基本建设类项目</w:t>
      </w:r>
      <w:r>
        <w:rPr>
          <w:rFonts w:hint="eastAsia" w:ascii="仿宋_GB2312" w:eastAsia="仿宋_GB2312"/>
          <w:sz w:val="32"/>
          <w:szCs w:val="32"/>
          <w:highlight w:val="none"/>
          <w:lang w:val="en-US" w:eastAsia="zh-CN"/>
        </w:rPr>
        <w:t>1607.99</w:t>
      </w:r>
      <w:r>
        <w:rPr>
          <w:rFonts w:hint="eastAsia" w:ascii="仿宋_GB2312" w:eastAsia="仿宋_GB2312"/>
          <w:sz w:val="32"/>
          <w:szCs w:val="32"/>
          <w:highlight w:val="none"/>
        </w:rPr>
        <w:t>万元);按支出经济分类，工资福利支出</w:t>
      </w:r>
      <w:r>
        <w:rPr>
          <w:rFonts w:hint="eastAsia" w:ascii="仿宋_GB2312" w:eastAsia="仿宋_GB2312"/>
          <w:sz w:val="32"/>
          <w:szCs w:val="32"/>
          <w:highlight w:val="none"/>
          <w:lang w:val="en-US" w:eastAsia="zh-CN"/>
        </w:rPr>
        <w:t>1426.51</w:t>
      </w:r>
      <w:r>
        <w:rPr>
          <w:rFonts w:hint="eastAsia" w:ascii="仿宋_GB2312" w:eastAsia="仿宋_GB2312"/>
          <w:sz w:val="32"/>
          <w:szCs w:val="32"/>
          <w:highlight w:val="none"/>
        </w:rPr>
        <w:t>万元，商品服务支出</w:t>
      </w:r>
      <w:r>
        <w:rPr>
          <w:rFonts w:hint="eastAsia" w:ascii="仿宋_GB2312" w:eastAsia="仿宋_GB2312"/>
          <w:sz w:val="32"/>
          <w:szCs w:val="32"/>
          <w:highlight w:val="none"/>
          <w:lang w:val="en-US" w:eastAsia="zh-CN"/>
        </w:rPr>
        <w:t>605.55</w:t>
      </w:r>
      <w:r>
        <w:rPr>
          <w:rFonts w:hint="eastAsia" w:ascii="仿宋_GB2312" w:eastAsia="仿宋_GB2312"/>
          <w:sz w:val="32"/>
          <w:szCs w:val="32"/>
          <w:highlight w:val="none"/>
        </w:rPr>
        <w:t>万元，对个人及家庭补助支出</w:t>
      </w:r>
      <w:r>
        <w:rPr>
          <w:rFonts w:hint="eastAsia" w:ascii="仿宋_GB2312" w:eastAsia="仿宋_GB2312"/>
          <w:sz w:val="32"/>
          <w:szCs w:val="32"/>
          <w:highlight w:val="none"/>
          <w:lang w:val="en-US" w:eastAsia="zh-CN"/>
        </w:rPr>
        <w:t>196.21</w:t>
      </w:r>
      <w:r>
        <w:rPr>
          <w:rFonts w:hint="eastAsia" w:ascii="仿宋_GB2312" w:eastAsia="仿宋_GB2312"/>
          <w:sz w:val="32"/>
          <w:szCs w:val="32"/>
          <w:highlight w:val="none"/>
        </w:rPr>
        <w:t>万元，资本性支出(基本建设)</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万元，资本性支出</w:t>
      </w:r>
      <w:r>
        <w:rPr>
          <w:rFonts w:hint="eastAsia" w:ascii="仿宋_GB2312" w:eastAsia="仿宋_GB2312"/>
          <w:sz w:val="32"/>
          <w:szCs w:val="32"/>
          <w:highlight w:val="none"/>
          <w:lang w:val="en-US" w:eastAsia="zh-CN"/>
        </w:rPr>
        <w:t>2949.42</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，对企业的补助</w:t>
      </w:r>
      <w:r>
        <w:rPr>
          <w:rFonts w:hint="eastAsia" w:ascii="仿宋_GB2312" w:eastAsia="仿宋_GB2312"/>
          <w:sz w:val="32"/>
          <w:szCs w:val="32"/>
          <w:highlight w:val="none"/>
          <w:lang w:val="en-US" w:eastAsia="zh-CN"/>
        </w:rPr>
        <w:t>561.32万元。</w:t>
      </w:r>
    </w:p>
    <w:p>
      <w:pPr>
        <w:pStyle w:val="2"/>
        <w:numPr>
          <w:ilvl w:val="0"/>
          <w:numId w:val="0"/>
        </w:numPr>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lang w:val="en-US" w:eastAsia="zh-CN"/>
        </w:rPr>
        <w:t>3.部门总体结转结余情况：</w:t>
      </w:r>
      <w:r>
        <w:rPr>
          <w:rFonts w:hint="eastAsia" w:ascii="仿宋_GB2312" w:eastAsia="仿宋_GB2312"/>
          <w:sz w:val="32"/>
          <w:szCs w:val="32"/>
          <w:highlight w:val="none"/>
        </w:rPr>
        <w:t>2022年末，按规定程序报批后，新冠肺炎疫情防控专项工作经费、交通运输管理和项目储备工作经费、四好农村路省级示范县奖励资金项目</w:t>
      </w:r>
      <w:r>
        <w:rPr>
          <w:rFonts w:hint="eastAsia" w:ascii="仿宋_GB2312" w:eastAsia="仿宋_GB2312"/>
          <w:sz w:val="32"/>
          <w:szCs w:val="32"/>
          <w:highlight w:val="none"/>
          <w:lang w:eastAsia="zh-CN"/>
        </w:rPr>
        <w:t>、G108线罗江区刘家桥危桥整治</w:t>
      </w:r>
      <w:r>
        <w:rPr>
          <w:rFonts w:hint="eastAsia" w:ascii="仿宋_GB2312" w:eastAsia="仿宋_GB2312"/>
          <w:sz w:val="32"/>
          <w:szCs w:val="32"/>
          <w:highlight w:val="none"/>
        </w:rPr>
        <w:t>项目等跨年执行政府采购项目和区内基本建设类项目共计</w:t>
      </w:r>
      <w:r>
        <w:rPr>
          <w:rFonts w:hint="eastAsia" w:ascii="仿宋_GB2312" w:eastAsia="仿宋_GB2312"/>
          <w:sz w:val="32"/>
          <w:szCs w:val="32"/>
          <w:highlight w:val="none"/>
          <w:lang w:val="en-US" w:eastAsia="zh-CN"/>
        </w:rPr>
        <w:t>771.57</w:t>
      </w:r>
      <w:r>
        <w:rPr>
          <w:rFonts w:hint="eastAsia" w:ascii="仿宋_GB2312" w:eastAsia="仿宋_GB2312"/>
          <w:sz w:val="32"/>
          <w:szCs w:val="32"/>
          <w:highlight w:val="none"/>
        </w:rPr>
        <w:t>万元结转至下年继续安排使用。2022年本部门决算无财政拨款资金结余。</w:t>
      </w:r>
    </w:p>
    <w:p>
      <w:pPr>
        <w:pStyle w:val="2"/>
        <w:numPr>
          <w:ilvl w:val="0"/>
          <w:numId w:val="0"/>
        </w:numPr>
        <w:ind w:firstLine="640" w:firstLineChars="200"/>
        <w:rPr>
          <w:rFonts w:hint="eastAsia" w:ascii="方正楷体简体" w:hAnsi="宋体" w:eastAsia="方正楷体简体" w:cs="宋体"/>
          <w:color w:val="000000"/>
          <w:kern w:val="0"/>
          <w:sz w:val="32"/>
          <w:szCs w:val="32"/>
          <w:shd w:val="clear" w:color="auto" w:fill="FFFFFF"/>
          <w:lang w:val="en-US" w:eastAsia="zh-CN"/>
        </w:rPr>
      </w:pPr>
      <w:r>
        <w:rPr>
          <w:rFonts w:hint="eastAsia" w:ascii="方正楷体简体" w:hAnsi="宋体" w:eastAsia="方正楷体简体" w:cs="宋体"/>
          <w:color w:val="000000"/>
          <w:kern w:val="0"/>
          <w:sz w:val="32"/>
          <w:szCs w:val="32"/>
          <w:shd w:val="clear" w:color="auto" w:fill="FFFFFF"/>
          <w:lang w:val="zh-CN" w:eastAsia="zh-CN"/>
        </w:rPr>
        <w:t>（二）部门财政拨款收支情况</w:t>
      </w:r>
      <w:r>
        <w:rPr>
          <w:rFonts w:hint="eastAsia" w:ascii="方正楷体简体" w:hAnsi="宋体" w:eastAsia="方正楷体简体" w:cs="宋体"/>
          <w:color w:val="000000"/>
          <w:kern w:val="0"/>
          <w:sz w:val="32"/>
          <w:szCs w:val="32"/>
          <w:shd w:val="clear" w:color="auto" w:fill="FFFFFF"/>
          <w:lang w:val="en-US" w:eastAsia="zh-CN"/>
        </w:rPr>
        <w:t xml:space="preserve"> </w:t>
      </w:r>
    </w:p>
    <w:p>
      <w:pPr>
        <w:pStyle w:val="2"/>
        <w:numPr>
          <w:ilvl w:val="0"/>
          <w:numId w:val="0"/>
        </w:numPr>
        <w:ind w:firstLine="640" w:firstLineChars="200"/>
        <w:rPr>
          <w:rFonts w:hint="eastAsia" w:ascii="仿宋_GB2312" w:hAnsi="仿宋_GB2312" w:eastAsia="仿宋_GB2312" w:cs="仿宋_GB2312"/>
          <w:strike/>
          <w:dstrike w:val="0"/>
          <w:color w:val="000000"/>
          <w:kern w:val="0"/>
          <w:szCs w:val="32"/>
          <w:shd w:val="clear" w:color="auto" w:fill="FFFFFF"/>
          <w:lang w:val="en-US" w:eastAsia="zh-CN"/>
        </w:rPr>
      </w:pPr>
      <w:r>
        <w:rPr>
          <w:rFonts w:hint="eastAsia" w:ascii="仿宋_GB2312" w:hAnsi="仿宋_GB2312" w:eastAsia="仿宋_GB2312" w:cs="仿宋_GB2312"/>
          <w:color w:val="000000"/>
          <w:kern w:val="0"/>
          <w:sz w:val="32"/>
          <w:szCs w:val="32"/>
          <w:shd w:val="clear" w:color="auto" w:fill="FFFFFF"/>
          <w:lang w:val="en-US" w:eastAsia="zh-CN"/>
        </w:rPr>
        <w:t>1.</w:t>
      </w:r>
      <w:r>
        <w:rPr>
          <w:rFonts w:hint="eastAsia" w:ascii="仿宋_GB2312" w:hAnsi="仿宋_GB2312" w:eastAsia="仿宋_GB2312" w:cs="仿宋_GB2312"/>
          <w:color w:val="000000"/>
          <w:kern w:val="0"/>
          <w:sz w:val="32"/>
          <w:szCs w:val="32"/>
          <w:shd w:val="clear" w:color="auto" w:fill="FFFFFF"/>
          <w:lang w:val="zh-CN"/>
        </w:rPr>
        <w:t>部门财政拨款收入情况。</w:t>
      </w:r>
      <w:r>
        <w:rPr>
          <w:rFonts w:hint="eastAsia" w:ascii="仿宋_GB2312" w:hAnsi="仿宋_GB2312" w:eastAsia="仿宋_GB2312" w:cs="仿宋_GB2312"/>
          <w:color w:val="000000"/>
          <w:kern w:val="0"/>
          <w:sz w:val="32"/>
          <w:szCs w:val="32"/>
          <w:shd w:val="clear" w:color="auto" w:fill="FFFFFF"/>
          <w:lang w:val="en-US" w:eastAsia="zh-CN"/>
        </w:rPr>
        <w:t>202</w:t>
      </w:r>
      <w:r>
        <w:rPr>
          <w:rFonts w:hint="eastAsia" w:ascii="仿宋_GB2312" w:hAnsi="仿宋_GB2312" w:cs="仿宋_GB2312"/>
          <w:color w:val="000000"/>
          <w:kern w:val="0"/>
          <w:sz w:val="32"/>
          <w:szCs w:val="32"/>
          <w:shd w:val="clear" w:color="auto" w:fill="FFFFFF"/>
          <w:lang w:val="en-US" w:eastAsia="zh-CN"/>
        </w:rPr>
        <w:t>2</w:t>
      </w:r>
      <w:r>
        <w:rPr>
          <w:rFonts w:hint="eastAsia" w:ascii="仿宋_GB2312" w:hAnsi="仿宋_GB2312" w:eastAsia="仿宋_GB2312" w:cs="仿宋_GB2312"/>
          <w:color w:val="000000"/>
          <w:kern w:val="0"/>
          <w:sz w:val="32"/>
          <w:szCs w:val="32"/>
          <w:shd w:val="clear" w:color="auto" w:fill="FFFFFF"/>
          <w:lang w:val="en-US" w:eastAsia="zh-CN"/>
        </w:rPr>
        <w:t>年本部门本年财政拨款收入</w:t>
      </w:r>
      <w:r>
        <w:rPr>
          <w:rFonts w:hint="eastAsia" w:ascii="仿宋_GB2312" w:hAnsi="仿宋_GB2312" w:cs="仿宋_GB2312"/>
          <w:color w:val="000000"/>
          <w:kern w:val="0"/>
          <w:sz w:val="32"/>
          <w:szCs w:val="32"/>
          <w:shd w:val="clear" w:color="auto" w:fill="FFFFFF"/>
          <w:lang w:val="en-US" w:eastAsia="zh-CN"/>
        </w:rPr>
        <w:t>4341.26</w:t>
      </w:r>
      <w:r>
        <w:rPr>
          <w:rFonts w:hint="eastAsia" w:ascii="仿宋_GB2312" w:hAnsi="仿宋_GB2312" w:eastAsia="仿宋_GB2312" w:cs="仿宋_GB2312"/>
          <w:color w:val="000000"/>
          <w:kern w:val="0"/>
          <w:sz w:val="32"/>
          <w:szCs w:val="32"/>
          <w:shd w:val="clear" w:color="auto" w:fill="FFFFFF"/>
          <w:lang w:val="en-US" w:eastAsia="zh-CN"/>
        </w:rPr>
        <w:t>万元，其中：一般公共预算财政拨款决算收入3444.38万元，政府性基金预算财政拨款决算收入896.87万元。</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firstLine="640" w:firstLineChars="200"/>
        <w:textAlignment w:val="auto"/>
        <w:rPr>
          <w:rFonts w:hint="eastAsia" w:ascii="仿宋_GB2312" w:eastAsia="仿宋_GB2312"/>
          <w:sz w:val="32"/>
          <w:szCs w:val="32"/>
          <w:highlight w:val="none"/>
        </w:rPr>
      </w:pPr>
      <w:r>
        <w:rPr>
          <w:rFonts w:hint="eastAsia" w:ascii="仿宋_GB2312" w:hAnsi="仿宋_GB2312" w:eastAsia="仿宋_GB2312" w:cs="仿宋_GB2312"/>
          <w:color w:val="000000"/>
          <w:kern w:val="0"/>
          <w:sz w:val="32"/>
          <w:szCs w:val="32"/>
          <w:shd w:val="clear" w:color="auto" w:fill="FFFFFF"/>
          <w:lang w:val="en-US" w:eastAsia="zh-CN"/>
        </w:rPr>
        <w:t>2.</w:t>
      </w:r>
      <w:r>
        <w:rPr>
          <w:rFonts w:hint="eastAsia" w:ascii="仿宋_GB2312" w:hAnsi="仿宋_GB2312" w:eastAsia="仿宋_GB2312" w:cs="仿宋_GB2312"/>
          <w:color w:val="000000"/>
          <w:kern w:val="0"/>
          <w:sz w:val="32"/>
          <w:szCs w:val="32"/>
          <w:shd w:val="clear" w:color="auto" w:fill="FFFFFF"/>
          <w:lang w:val="zh-CN"/>
        </w:rPr>
        <w:t>部门财政拨款支出情况。</w:t>
      </w:r>
      <w:r>
        <w:rPr>
          <w:rFonts w:hint="eastAsia" w:ascii="仿宋_GB2312" w:eastAsia="仿宋_GB2312"/>
          <w:sz w:val="32"/>
          <w:szCs w:val="32"/>
          <w:highlight w:val="none"/>
        </w:rPr>
        <w:t>2022年度本部门</w:t>
      </w:r>
      <w:r>
        <w:rPr>
          <w:rFonts w:hint="eastAsia" w:ascii="仿宋_GB2312" w:eastAsia="仿宋_GB2312"/>
          <w:sz w:val="32"/>
          <w:szCs w:val="32"/>
          <w:highlight w:val="none"/>
          <w:lang w:eastAsia="zh-CN"/>
        </w:rPr>
        <w:t>财政拨款</w:t>
      </w:r>
      <w:r>
        <w:rPr>
          <w:rFonts w:hint="eastAsia" w:ascii="仿宋_GB2312" w:eastAsia="仿宋_GB2312"/>
          <w:sz w:val="32"/>
          <w:szCs w:val="32"/>
          <w:highlight w:val="none"/>
        </w:rPr>
        <w:t>决算总支出</w:t>
      </w:r>
      <w:r>
        <w:rPr>
          <w:rFonts w:hint="eastAsia" w:ascii="仿宋_GB2312" w:eastAsia="仿宋_GB2312"/>
          <w:sz w:val="32"/>
          <w:szCs w:val="32"/>
          <w:highlight w:val="none"/>
          <w:lang w:val="en-US" w:eastAsia="zh-CN"/>
        </w:rPr>
        <w:t>4341.60</w:t>
      </w:r>
      <w:r>
        <w:rPr>
          <w:rFonts w:hint="eastAsia" w:ascii="仿宋_GB2312" w:eastAsia="仿宋_GB2312"/>
          <w:sz w:val="32"/>
          <w:szCs w:val="32"/>
          <w:highlight w:val="none"/>
        </w:rPr>
        <w:t>万元。其中，按支出性质分类，基本支出</w:t>
      </w:r>
      <w:r>
        <w:rPr>
          <w:rFonts w:hint="eastAsia" w:ascii="仿宋_GB2312" w:eastAsia="仿宋_GB2312"/>
          <w:sz w:val="32"/>
          <w:szCs w:val="32"/>
          <w:highlight w:val="none"/>
          <w:lang w:val="en-US" w:eastAsia="zh-CN"/>
        </w:rPr>
        <w:t>1862.73</w:t>
      </w:r>
      <w:r>
        <w:rPr>
          <w:rFonts w:hint="eastAsia" w:ascii="仿宋_GB2312" w:eastAsia="仿宋_GB2312"/>
          <w:sz w:val="32"/>
          <w:szCs w:val="32"/>
          <w:highlight w:val="none"/>
        </w:rPr>
        <w:t>万元(其中:人员经费</w:t>
      </w:r>
      <w:r>
        <w:rPr>
          <w:rFonts w:hint="eastAsia" w:ascii="仿宋_GB2312" w:eastAsia="仿宋_GB2312"/>
          <w:sz w:val="32"/>
          <w:szCs w:val="32"/>
          <w:highlight w:val="none"/>
          <w:lang w:val="en-US" w:eastAsia="zh-CN"/>
        </w:rPr>
        <w:t>1622.71</w:t>
      </w:r>
      <w:r>
        <w:rPr>
          <w:rFonts w:hint="eastAsia" w:ascii="仿宋_GB2312" w:eastAsia="仿宋_GB2312"/>
          <w:sz w:val="32"/>
          <w:szCs w:val="32"/>
          <w:highlight w:val="none"/>
        </w:rPr>
        <w:t>万元、公用经费</w:t>
      </w:r>
      <w:r>
        <w:rPr>
          <w:rFonts w:hint="eastAsia" w:ascii="仿宋_GB2312" w:eastAsia="仿宋_GB2312"/>
          <w:sz w:val="32"/>
          <w:szCs w:val="32"/>
          <w:highlight w:val="none"/>
          <w:lang w:val="en-US" w:eastAsia="zh-CN"/>
        </w:rPr>
        <w:t>240.01</w:t>
      </w:r>
      <w:r>
        <w:rPr>
          <w:rFonts w:hint="eastAsia" w:ascii="仿宋_GB2312" w:eastAsia="仿宋_GB2312"/>
          <w:sz w:val="32"/>
          <w:szCs w:val="32"/>
          <w:highlight w:val="none"/>
        </w:rPr>
        <w:t>万元)，项目支出</w:t>
      </w:r>
      <w:r>
        <w:rPr>
          <w:rFonts w:hint="eastAsia" w:ascii="仿宋_GB2312" w:eastAsia="仿宋_GB2312"/>
          <w:sz w:val="32"/>
          <w:szCs w:val="32"/>
          <w:highlight w:val="none"/>
          <w:lang w:val="en-US" w:eastAsia="zh-CN"/>
        </w:rPr>
        <w:t>2478.88</w:t>
      </w:r>
      <w:r>
        <w:rPr>
          <w:rFonts w:hint="eastAsia" w:ascii="仿宋_GB2312" w:eastAsia="仿宋_GB2312"/>
          <w:sz w:val="32"/>
          <w:szCs w:val="32"/>
          <w:highlight w:val="none"/>
        </w:rPr>
        <w:t>万元(其中:基本建设类项目</w:t>
      </w:r>
      <w:r>
        <w:rPr>
          <w:rFonts w:hint="eastAsia" w:ascii="仿宋_GB2312" w:eastAsia="仿宋_GB2312"/>
          <w:sz w:val="32"/>
          <w:szCs w:val="32"/>
          <w:highlight w:val="none"/>
          <w:lang w:val="en-US" w:eastAsia="zh-CN"/>
        </w:rPr>
        <w:t>1015.89</w:t>
      </w:r>
      <w:r>
        <w:rPr>
          <w:rFonts w:hint="eastAsia" w:ascii="仿宋_GB2312" w:eastAsia="仿宋_GB2312"/>
          <w:sz w:val="32"/>
          <w:szCs w:val="32"/>
          <w:highlight w:val="none"/>
        </w:rPr>
        <w:t>万元);按支出经济分类，工资福利支出</w:t>
      </w:r>
      <w:r>
        <w:rPr>
          <w:rFonts w:hint="eastAsia" w:ascii="仿宋_GB2312" w:eastAsia="仿宋_GB2312"/>
          <w:sz w:val="32"/>
          <w:szCs w:val="32"/>
          <w:highlight w:val="none"/>
          <w:lang w:val="en-US" w:eastAsia="zh-CN"/>
        </w:rPr>
        <w:t>1426.51</w:t>
      </w:r>
      <w:r>
        <w:rPr>
          <w:rFonts w:hint="eastAsia" w:ascii="仿宋_GB2312" w:eastAsia="仿宋_GB2312"/>
          <w:sz w:val="32"/>
          <w:szCs w:val="32"/>
          <w:highlight w:val="none"/>
        </w:rPr>
        <w:t>万元，商品服务支出</w:t>
      </w:r>
      <w:r>
        <w:rPr>
          <w:rFonts w:hint="eastAsia" w:ascii="仿宋_GB2312" w:eastAsia="仿宋_GB2312"/>
          <w:sz w:val="32"/>
          <w:szCs w:val="32"/>
          <w:highlight w:val="none"/>
          <w:lang w:val="en-US" w:eastAsia="zh-CN"/>
        </w:rPr>
        <w:t>533.32</w:t>
      </w:r>
      <w:r>
        <w:rPr>
          <w:rFonts w:hint="eastAsia" w:ascii="仿宋_GB2312" w:eastAsia="仿宋_GB2312"/>
          <w:sz w:val="32"/>
          <w:szCs w:val="32"/>
          <w:highlight w:val="none"/>
        </w:rPr>
        <w:t>万元，对个人及家庭补助支出</w:t>
      </w:r>
      <w:r>
        <w:rPr>
          <w:rFonts w:hint="eastAsia" w:ascii="仿宋_GB2312" w:eastAsia="仿宋_GB2312"/>
          <w:sz w:val="32"/>
          <w:szCs w:val="32"/>
          <w:highlight w:val="none"/>
          <w:lang w:val="en-US" w:eastAsia="zh-CN"/>
        </w:rPr>
        <w:t>196.21</w:t>
      </w:r>
      <w:r>
        <w:rPr>
          <w:rFonts w:hint="eastAsia" w:ascii="仿宋_GB2312" w:eastAsia="仿宋_GB2312"/>
          <w:sz w:val="32"/>
          <w:szCs w:val="32"/>
          <w:highlight w:val="none"/>
        </w:rPr>
        <w:t>万元，资本性支出(基本建设)</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万元，资本性支出</w:t>
      </w:r>
      <w:r>
        <w:rPr>
          <w:rFonts w:hint="eastAsia" w:ascii="仿宋_GB2312" w:eastAsia="仿宋_GB2312"/>
          <w:sz w:val="32"/>
          <w:szCs w:val="32"/>
          <w:highlight w:val="none"/>
          <w:lang w:val="en-US" w:eastAsia="zh-CN"/>
        </w:rPr>
        <w:t>1624.24</w:t>
      </w:r>
      <w:r>
        <w:rPr>
          <w:rFonts w:hint="eastAsia" w:ascii="仿宋_GB2312" w:eastAsia="仿宋_GB2312"/>
          <w:sz w:val="32"/>
          <w:szCs w:val="32"/>
          <w:highlight w:val="none"/>
        </w:rPr>
        <w:t>万元</w:t>
      </w:r>
      <w:r>
        <w:rPr>
          <w:rFonts w:hint="eastAsia" w:ascii="仿宋_GB2312" w:eastAsia="仿宋_GB2312"/>
          <w:sz w:val="32"/>
          <w:szCs w:val="32"/>
          <w:highlight w:val="none"/>
          <w:lang w:eastAsia="zh-CN"/>
        </w:rPr>
        <w:t>，对企业补助</w:t>
      </w:r>
      <w:r>
        <w:rPr>
          <w:rFonts w:hint="eastAsia" w:ascii="仿宋_GB2312" w:eastAsia="仿宋_GB2312"/>
          <w:sz w:val="32"/>
          <w:szCs w:val="32"/>
          <w:highlight w:val="none"/>
          <w:lang w:val="en-US" w:eastAsia="zh-CN"/>
        </w:rPr>
        <w:t>561.33万元</w:t>
      </w:r>
      <w:r>
        <w:rPr>
          <w:rFonts w:hint="eastAsia" w:ascii="仿宋_GB2312" w:eastAsia="仿宋_GB2312"/>
          <w:sz w:val="32"/>
          <w:szCs w:val="32"/>
          <w:highlight w:val="none"/>
        </w:rPr>
        <w:t>。</w:t>
      </w:r>
    </w:p>
    <w:p>
      <w:pPr>
        <w:pStyle w:val="2"/>
        <w:ind w:left="0" w:leftChars="0" w:firstLine="640" w:firstLineChars="200"/>
        <w:rPr>
          <w:rFonts w:hint="eastAsia" w:eastAsia="仿宋_GB2312"/>
          <w:lang w:val="en-US" w:eastAsia="zh-CN"/>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lang w:eastAsia="zh-CN"/>
        </w:rPr>
        <w:t>部门财政拨款结转结余情况。</w:t>
      </w:r>
      <w:r>
        <w:rPr>
          <w:rFonts w:hint="eastAsia" w:ascii="仿宋_GB2312" w:eastAsia="仿宋_GB2312"/>
          <w:sz w:val="32"/>
          <w:szCs w:val="32"/>
          <w:highlight w:val="none"/>
        </w:rPr>
        <w:t>2022年末，按规定程序报批后，新冠肺炎疫情防控专项工作经费、金连改善提升工程、G108线白家堰服务建设项目、罗吴路改善提升工程项目等跨年执行政府采购项目和区内基本建设类项目共计</w:t>
      </w:r>
      <w:r>
        <w:rPr>
          <w:rFonts w:hint="eastAsia" w:ascii="仿宋_GB2312" w:eastAsia="仿宋_GB2312"/>
          <w:sz w:val="32"/>
          <w:szCs w:val="32"/>
          <w:highlight w:val="none"/>
          <w:lang w:val="en-US" w:eastAsia="zh-CN"/>
        </w:rPr>
        <w:t>6.23</w:t>
      </w:r>
      <w:r>
        <w:rPr>
          <w:rFonts w:hint="eastAsia" w:ascii="仿宋_GB2312" w:eastAsia="仿宋_GB2312"/>
          <w:sz w:val="32"/>
          <w:szCs w:val="32"/>
          <w:highlight w:val="none"/>
        </w:rPr>
        <w:t>万元预算指标结转至下年继续安排使用。2022年本部门决算无财政拨款资金结余。</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rPr>
          <w:rFonts w:hint="eastAsia" w:ascii="黑体" w:hAnsi="宋体" w:eastAsia="黑体" w:cs="宋体"/>
          <w:color w:val="000000"/>
          <w:kern w:val="0"/>
          <w:sz w:val="32"/>
          <w:szCs w:val="32"/>
          <w:shd w:val="clear" w:color="auto" w:fill="FFFFFF"/>
          <w:lang w:eastAsia="zh-CN"/>
        </w:rPr>
      </w:pPr>
      <w:bookmarkStart w:id="56" w:name="_Toc10927_WPSOffice_Level2"/>
      <w:bookmarkStart w:id="57" w:name="_Toc9628_WPSOffice_Level2"/>
      <w:bookmarkStart w:id="58" w:name="_Toc15570_WPSOffice_Level2"/>
      <w:r>
        <w:rPr>
          <w:rFonts w:hint="eastAsia" w:ascii="黑体" w:hAnsi="宋体" w:eastAsia="黑体" w:cs="宋体"/>
          <w:color w:val="000000"/>
          <w:kern w:val="0"/>
          <w:sz w:val="32"/>
          <w:szCs w:val="32"/>
          <w:shd w:val="clear" w:color="auto" w:fill="FFFFFF"/>
        </w:rPr>
        <w:t>三、部门整体</w:t>
      </w:r>
      <w:r>
        <w:rPr>
          <w:rFonts w:hint="eastAsia" w:ascii="黑体" w:hAnsi="宋体" w:eastAsia="黑体" w:cs="宋体"/>
          <w:color w:val="000000"/>
          <w:kern w:val="0"/>
          <w:sz w:val="32"/>
          <w:szCs w:val="32"/>
          <w:shd w:val="clear" w:color="auto" w:fill="FFFFFF"/>
          <w:lang w:eastAsia="zh-CN"/>
        </w:rPr>
        <w:t>绩效分析</w:t>
      </w:r>
      <w:bookmarkEnd w:id="56"/>
      <w:bookmarkEnd w:id="57"/>
    </w:p>
    <w:p>
      <w:pPr>
        <w:pStyle w:val="2"/>
        <w:ind w:left="0" w:leftChars="0" w:firstLine="640" w:firstLineChars="200"/>
        <w:rPr>
          <w:rFonts w:hint="eastAsia" w:ascii="方正楷体简体" w:hAnsi="宋体" w:eastAsia="方正楷体简体" w:cs="宋体"/>
          <w:color w:val="000000"/>
          <w:kern w:val="0"/>
          <w:sz w:val="32"/>
          <w:szCs w:val="32"/>
          <w:shd w:val="clear" w:color="auto" w:fill="FFFFFF"/>
          <w:lang w:val="zh-CN" w:eastAsia="zh-CN"/>
        </w:rPr>
      </w:pPr>
      <w:r>
        <w:rPr>
          <w:rFonts w:hint="eastAsia" w:ascii="方正楷体简体" w:hAnsi="宋体" w:eastAsia="方正楷体简体" w:cs="宋体"/>
          <w:color w:val="000000"/>
          <w:kern w:val="0"/>
          <w:sz w:val="32"/>
          <w:szCs w:val="32"/>
          <w:shd w:val="clear" w:color="auto" w:fill="FFFFFF"/>
          <w:lang w:val="zh-CN" w:eastAsia="zh-CN"/>
        </w:rPr>
        <w:t>（一）部门预算项目绩效分析</w:t>
      </w:r>
    </w:p>
    <w:p>
      <w:pPr>
        <w:pStyle w:val="2"/>
        <w:ind w:left="0" w:leftChars="0" w:firstLine="640" w:firstLineChars="200"/>
        <w:rPr>
          <w:rFonts w:hint="eastAsia" w:ascii="仿宋_GB2312" w:hAnsi="仿宋_GB2312" w:eastAsia="仿宋_GB2312" w:cs="仿宋_GB2312"/>
          <w:color w:val="000000"/>
          <w:kern w:val="0"/>
          <w:sz w:val="32"/>
          <w:szCs w:val="32"/>
          <w:shd w:val="clear" w:color="auto" w:fill="FFFFFF"/>
          <w:lang w:val="zh-CN" w:eastAsia="zh-CN"/>
        </w:rPr>
      </w:pPr>
      <w:r>
        <w:rPr>
          <w:rFonts w:hint="eastAsia" w:ascii="仿宋_GB2312" w:hAnsi="仿宋_GB2312" w:eastAsia="仿宋_GB2312" w:cs="仿宋_GB2312"/>
          <w:color w:val="000000"/>
          <w:kern w:val="0"/>
          <w:sz w:val="32"/>
          <w:szCs w:val="32"/>
          <w:shd w:val="clear" w:color="auto" w:fill="FFFFFF"/>
          <w:lang w:val="en-US" w:eastAsia="zh-CN"/>
        </w:rPr>
        <w:t>1.</w:t>
      </w:r>
      <w:r>
        <w:rPr>
          <w:rFonts w:hint="eastAsia" w:ascii="仿宋_GB2312" w:hAnsi="仿宋_GB2312" w:eastAsia="仿宋_GB2312" w:cs="仿宋_GB2312"/>
          <w:color w:val="000000"/>
          <w:kern w:val="0"/>
          <w:sz w:val="32"/>
          <w:szCs w:val="32"/>
          <w:shd w:val="clear" w:color="auto" w:fill="FFFFFF"/>
          <w:lang w:val="zh-CN" w:eastAsia="zh-CN"/>
        </w:rPr>
        <w:t>人员类项目绩效分析</w:t>
      </w:r>
    </w:p>
    <w:p>
      <w:pPr>
        <w:pStyle w:val="2"/>
        <w:ind w:left="0" w:leftChars="0"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本部门人员类项目年初预算批复金额</w:t>
      </w:r>
      <w:r>
        <w:rPr>
          <w:rFonts w:hint="eastAsia" w:ascii="仿宋_GB2312" w:eastAsia="仿宋_GB2312"/>
          <w:sz w:val="32"/>
          <w:szCs w:val="32"/>
          <w:highlight w:val="none"/>
          <w:lang w:val="en-US" w:eastAsia="zh-CN"/>
        </w:rPr>
        <w:t>1622.71</w:t>
      </w:r>
      <w:r>
        <w:rPr>
          <w:rFonts w:hint="eastAsia" w:ascii="仿宋_GB2312" w:eastAsia="仿宋_GB2312"/>
          <w:sz w:val="32"/>
          <w:szCs w:val="32"/>
          <w:highlight w:val="none"/>
        </w:rPr>
        <w:t>万元，调整预算金额</w:t>
      </w:r>
      <w:r>
        <w:rPr>
          <w:rFonts w:hint="eastAsia" w:ascii="仿宋_GB2312" w:eastAsia="仿宋_GB2312"/>
          <w:sz w:val="32"/>
          <w:szCs w:val="32"/>
          <w:highlight w:val="none"/>
          <w:lang w:val="en-US" w:eastAsia="zh-CN"/>
        </w:rPr>
        <w:t>1622.71</w:t>
      </w:r>
      <w:r>
        <w:rPr>
          <w:rFonts w:hint="eastAsia" w:ascii="仿宋_GB2312" w:eastAsia="仿宋_GB2312"/>
          <w:sz w:val="32"/>
          <w:szCs w:val="32"/>
          <w:highlight w:val="none"/>
        </w:rPr>
        <w:t>万元，全年预算金额</w:t>
      </w:r>
      <w:r>
        <w:rPr>
          <w:rFonts w:hint="eastAsia" w:ascii="仿宋_GB2312" w:eastAsia="仿宋_GB2312"/>
          <w:sz w:val="32"/>
          <w:szCs w:val="32"/>
          <w:highlight w:val="none"/>
          <w:lang w:val="en-US" w:eastAsia="zh-CN"/>
        </w:rPr>
        <w:t>1622.71</w:t>
      </w:r>
      <w:r>
        <w:rPr>
          <w:rFonts w:hint="eastAsia" w:ascii="仿宋_GB2312" w:eastAsia="仿宋_GB2312"/>
          <w:sz w:val="32"/>
          <w:szCs w:val="32"/>
          <w:highlight w:val="none"/>
        </w:rPr>
        <w:t>万元，完成支付金额</w:t>
      </w:r>
      <w:r>
        <w:rPr>
          <w:rFonts w:hint="eastAsia" w:ascii="仿宋_GB2312" w:eastAsia="仿宋_GB2312"/>
          <w:sz w:val="32"/>
          <w:szCs w:val="32"/>
          <w:highlight w:val="none"/>
          <w:lang w:val="en-US" w:eastAsia="zh-CN"/>
        </w:rPr>
        <w:t>1622.71</w:t>
      </w:r>
      <w:r>
        <w:rPr>
          <w:rFonts w:hint="eastAsia" w:ascii="仿宋_GB2312" w:eastAsia="仿宋_GB2312"/>
          <w:sz w:val="32"/>
          <w:szCs w:val="32"/>
          <w:highlight w:val="none"/>
        </w:rPr>
        <w:t>万元，执行进度</w:t>
      </w:r>
      <w:r>
        <w:rPr>
          <w:rFonts w:hint="eastAsia" w:ascii="仿宋_GB2312" w:eastAsia="仿宋_GB2312"/>
          <w:sz w:val="32"/>
          <w:szCs w:val="32"/>
          <w:highlight w:val="none"/>
          <w:lang w:val="en-US" w:eastAsia="zh-CN"/>
        </w:rPr>
        <w:t>100</w:t>
      </w:r>
      <w:r>
        <w:rPr>
          <w:rFonts w:hint="eastAsia" w:ascii="仿宋_GB2312" w:eastAsia="仿宋_GB2312"/>
          <w:sz w:val="32"/>
          <w:szCs w:val="32"/>
          <w:highlight w:val="none"/>
        </w:rPr>
        <w:t>%，预算完成情况较好。</w:t>
      </w:r>
    </w:p>
    <w:p>
      <w:pPr>
        <w:pStyle w:val="2"/>
        <w:ind w:left="0" w:leftChars="0"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lang w:eastAsia="zh-CN"/>
        </w:rPr>
        <w:t>运转类项目绩效分析</w:t>
      </w:r>
    </w:p>
    <w:p>
      <w:pPr>
        <w:pStyle w:val="2"/>
        <w:ind w:left="0" w:leftChars="0"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本部门运转类项目</w:t>
      </w:r>
      <w:r>
        <w:rPr>
          <w:rFonts w:hint="eastAsia" w:ascii="仿宋_GB2312" w:eastAsia="仿宋_GB2312"/>
          <w:sz w:val="32"/>
          <w:szCs w:val="32"/>
          <w:highlight w:val="none"/>
          <w:lang w:eastAsia="zh-CN"/>
        </w:rPr>
        <w:t>主要</w:t>
      </w:r>
      <w:r>
        <w:rPr>
          <w:rFonts w:hint="eastAsia" w:ascii="仿宋_GB2312" w:eastAsia="仿宋_GB2312"/>
          <w:sz w:val="32"/>
          <w:szCs w:val="32"/>
          <w:highlight w:val="none"/>
        </w:rPr>
        <w:t>包括公用经费项目，所有运转类项目均严格按规定格式和要求填报绩效目标，设定了年度绩效数量指标、成本指标、效益指标等，详细反映了相应项目工作任务、达成的效果。运转类项目年初预算批复金额</w:t>
      </w:r>
      <w:r>
        <w:rPr>
          <w:rFonts w:hint="eastAsia" w:ascii="仿宋_GB2312" w:eastAsia="仿宋_GB2312"/>
          <w:sz w:val="32"/>
          <w:szCs w:val="32"/>
          <w:highlight w:val="none"/>
          <w:lang w:val="en-US" w:eastAsia="zh-CN"/>
        </w:rPr>
        <w:t>254.20</w:t>
      </w:r>
      <w:r>
        <w:rPr>
          <w:rFonts w:hint="eastAsia" w:ascii="仿宋_GB2312" w:eastAsia="仿宋_GB2312"/>
          <w:sz w:val="32"/>
          <w:szCs w:val="32"/>
          <w:highlight w:val="none"/>
        </w:rPr>
        <w:t>万元，调（增）减预算金额</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万元，全年预算金额</w:t>
      </w:r>
      <w:r>
        <w:rPr>
          <w:rFonts w:hint="eastAsia" w:ascii="仿宋_GB2312" w:eastAsia="仿宋_GB2312"/>
          <w:sz w:val="32"/>
          <w:szCs w:val="32"/>
          <w:highlight w:val="none"/>
          <w:lang w:val="en-US" w:eastAsia="zh-CN"/>
        </w:rPr>
        <w:t>254.20</w:t>
      </w:r>
      <w:r>
        <w:rPr>
          <w:rFonts w:hint="eastAsia" w:ascii="仿宋_GB2312" w:eastAsia="仿宋_GB2312"/>
          <w:sz w:val="32"/>
          <w:szCs w:val="32"/>
          <w:highlight w:val="none"/>
        </w:rPr>
        <w:t>万元，完成支付金额</w:t>
      </w:r>
      <w:r>
        <w:rPr>
          <w:rFonts w:hint="eastAsia" w:ascii="仿宋_GB2312" w:eastAsia="仿宋_GB2312"/>
          <w:sz w:val="32"/>
          <w:szCs w:val="32"/>
          <w:highlight w:val="none"/>
          <w:lang w:val="en-US" w:eastAsia="zh-CN"/>
        </w:rPr>
        <w:t>254.20</w:t>
      </w:r>
      <w:r>
        <w:rPr>
          <w:rFonts w:hint="eastAsia" w:ascii="仿宋_GB2312" w:eastAsia="仿宋_GB2312"/>
          <w:sz w:val="32"/>
          <w:szCs w:val="32"/>
          <w:highlight w:val="none"/>
        </w:rPr>
        <w:t>万元，执行进度</w:t>
      </w:r>
      <w:r>
        <w:rPr>
          <w:rFonts w:hint="eastAsia" w:ascii="仿宋_GB2312" w:eastAsia="仿宋_GB2312"/>
          <w:sz w:val="32"/>
          <w:szCs w:val="32"/>
          <w:highlight w:val="none"/>
          <w:lang w:val="en-US" w:eastAsia="zh-CN"/>
        </w:rPr>
        <w:t>100</w:t>
      </w:r>
      <w:r>
        <w:rPr>
          <w:rFonts w:hint="eastAsia" w:ascii="仿宋_GB2312" w:eastAsia="仿宋_GB2312"/>
          <w:sz w:val="32"/>
          <w:szCs w:val="32"/>
          <w:highlight w:val="none"/>
        </w:rPr>
        <w:t>%。</w:t>
      </w:r>
    </w:p>
    <w:p>
      <w:pPr>
        <w:pStyle w:val="2"/>
        <w:ind w:left="0" w:leftChars="0"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lang w:eastAsia="zh-CN"/>
        </w:rPr>
        <w:t>特定目标类项目绩效分析</w:t>
      </w:r>
    </w:p>
    <w:p>
      <w:pPr>
        <w:pStyle w:val="2"/>
        <w:ind w:left="0" w:leftChars="0"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本部门所有特定目标类项目均严格按规定格式和要求填报绩效目标，设定了年度绩效数量指标、成本指标、效益指标等，详细反映了相应项目工作任务、达成的效果。特定目标类项目年初预算批复金额</w:t>
      </w:r>
      <w:r>
        <w:rPr>
          <w:rFonts w:hint="eastAsia" w:ascii="仿宋_GB2312" w:eastAsia="仿宋_GB2312"/>
          <w:sz w:val="32"/>
          <w:szCs w:val="32"/>
          <w:highlight w:val="none"/>
          <w:lang w:val="en-US" w:eastAsia="zh-CN"/>
        </w:rPr>
        <w:t>1619.65</w:t>
      </w:r>
      <w:r>
        <w:rPr>
          <w:rFonts w:hint="eastAsia" w:ascii="仿宋_GB2312" w:eastAsia="仿宋_GB2312"/>
          <w:sz w:val="32"/>
          <w:szCs w:val="32"/>
          <w:highlight w:val="none"/>
        </w:rPr>
        <w:t>万元，调整预算金额</w:t>
      </w:r>
      <w:r>
        <w:rPr>
          <w:rFonts w:hint="eastAsia" w:ascii="仿宋_GB2312" w:eastAsia="仿宋_GB2312"/>
          <w:sz w:val="32"/>
          <w:szCs w:val="32"/>
          <w:highlight w:val="none"/>
          <w:lang w:val="en-US" w:eastAsia="zh-CN"/>
        </w:rPr>
        <w:t>865.46</w:t>
      </w:r>
      <w:r>
        <w:rPr>
          <w:rFonts w:hint="eastAsia" w:ascii="仿宋_GB2312" w:eastAsia="仿宋_GB2312"/>
          <w:sz w:val="32"/>
          <w:szCs w:val="32"/>
          <w:highlight w:val="none"/>
        </w:rPr>
        <w:t>万元，全年预算金额</w:t>
      </w:r>
      <w:r>
        <w:rPr>
          <w:rFonts w:hint="eastAsia" w:ascii="仿宋_GB2312" w:eastAsia="仿宋_GB2312"/>
          <w:sz w:val="32"/>
          <w:szCs w:val="32"/>
          <w:highlight w:val="none"/>
          <w:lang w:val="en-US" w:eastAsia="zh-CN"/>
        </w:rPr>
        <w:t>2485.11</w:t>
      </w:r>
      <w:r>
        <w:rPr>
          <w:rFonts w:hint="eastAsia" w:ascii="仿宋_GB2312" w:eastAsia="仿宋_GB2312"/>
          <w:sz w:val="32"/>
          <w:szCs w:val="32"/>
          <w:highlight w:val="none"/>
        </w:rPr>
        <w:t>万元，完成支付金额</w:t>
      </w:r>
      <w:r>
        <w:rPr>
          <w:rFonts w:hint="eastAsia" w:ascii="仿宋_GB2312" w:eastAsia="仿宋_GB2312"/>
          <w:sz w:val="32"/>
          <w:szCs w:val="32"/>
          <w:highlight w:val="none"/>
          <w:lang w:val="en-US" w:eastAsia="zh-CN"/>
        </w:rPr>
        <w:t>2478.88</w:t>
      </w:r>
      <w:r>
        <w:rPr>
          <w:rFonts w:hint="eastAsia" w:ascii="仿宋_GB2312" w:eastAsia="仿宋_GB2312"/>
          <w:sz w:val="32"/>
          <w:szCs w:val="32"/>
          <w:highlight w:val="none"/>
        </w:rPr>
        <w:t>万元，执行进度</w:t>
      </w:r>
      <w:r>
        <w:rPr>
          <w:rFonts w:hint="eastAsia" w:ascii="仿宋_GB2312" w:eastAsia="仿宋_GB2312"/>
          <w:sz w:val="32"/>
          <w:szCs w:val="32"/>
          <w:highlight w:val="none"/>
          <w:lang w:val="en-US" w:eastAsia="zh-CN"/>
        </w:rPr>
        <w:t>99</w:t>
      </w:r>
      <w:r>
        <w:rPr>
          <w:rFonts w:hint="eastAsia" w:ascii="仿宋_GB2312" w:eastAsia="仿宋_GB2312"/>
          <w:sz w:val="32"/>
          <w:szCs w:val="32"/>
          <w:highlight w:val="none"/>
        </w:rPr>
        <w:t>%，结转至下年继续使用预算金额</w:t>
      </w:r>
      <w:r>
        <w:rPr>
          <w:rFonts w:hint="eastAsia" w:ascii="仿宋_GB2312" w:eastAsia="仿宋_GB2312"/>
          <w:sz w:val="32"/>
          <w:szCs w:val="32"/>
          <w:highlight w:val="none"/>
          <w:lang w:val="en-US" w:eastAsia="zh-CN"/>
        </w:rPr>
        <w:t>6.23</w:t>
      </w:r>
      <w:r>
        <w:rPr>
          <w:rFonts w:hint="eastAsia" w:ascii="仿宋_GB2312" w:eastAsia="仿宋_GB2312"/>
          <w:sz w:val="32"/>
          <w:szCs w:val="32"/>
          <w:highlight w:val="none"/>
        </w:rPr>
        <w:t>万元，扣除年末结转因素后，执行进度</w:t>
      </w:r>
      <w:r>
        <w:rPr>
          <w:rFonts w:hint="eastAsia" w:ascii="仿宋_GB2312" w:eastAsia="仿宋_GB2312"/>
          <w:sz w:val="32"/>
          <w:szCs w:val="32"/>
          <w:highlight w:val="none"/>
          <w:lang w:val="en-US" w:eastAsia="zh-CN"/>
        </w:rPr>
        <w:t>100</w:t>
      </w:r>
      <w:r>
        <w:rPr>
          <w:rFonts w:hint="eastAsia" w:ascii="仿宋_GB2312" w:eastAsia="仿宋_GB2312"/>
          <w:sz w:val="32"/>
          <w:szCs w:val="32"/>
          <w:highlight w:val="none"/>
        </w:rPr>
        <w:t>%。</w:t>
      </w:r>
    </w:p>
    <w:p>
      <w:pPr>
        <w:pStyle w:val="2"/>
        <w:ind w:left="0" w:leftChars="0" w:firstLine="640" w:firstLineChars="200"/>
        <w:rPr>
          <w:rFonts w:hint="eastAsia" w:ascii="方正楷体简体" w:hAnsi="宋体" w:eastAsia="方正楷体简体" w:cs="宋体"/>
          <w:color w:val="000000"/>
          <w:kern w:val="0"/>
          <w:sz w:val="32"/>
          <w:szCs w:val="32"/>
          <w:shd w:val="clear" w:color="auto" w:fill="FFFFFF"/>
          <w:lang w:val="zh-CN" w:eastAsia="zh-CN"/>
        </w:rPr>
      </w:pPr>
      <w:r>
        <w:rPr>
          <w:rFonts w:hint="eastAsia" w:ascii="方正楷体简体" w:hAnsi="宋体" w:eastAsia="方正楷体简体" w:cs="宋体"/>
          <w:color w:val="000000"/>
          <w:kern w:val="0"/>
          <w:sz w:val="32"/>
          <w:szCs w:val="32"/>
          <w:shd w:val="clear" w:color="auto" w:fill="FFFFFF"/>
          <w:lang w:val="zh-CN" w:eastAsia="zh-CN"/>
        </w:rPr>
        <w:t>（二）部门整体履职绩效分析</w:t>
      </w:r>
    </w:p>
    <w:p>
      <w:pPr>
        <w:pStyle w:val="2"/>
        <w:ind w:left="0" w:leftChars="0" w:firstLine="640" w:firstLineChars="200"/>
        <w:rPr>
          <w:rFonts w:hint="eastAsia" w:eastAsia="仿宋_GB2312"/>
          <w:color w:val="auto"/>
          <w:sz w:val="32"/>
          <w:szCs w:val="32"/>
          <w:lang w:eastAsia="zh-CN"/>
        </w:rPr>
      </w:pPr>
      <w:r>
        <w:rPr>
          <w:rFonts w:hint="eastAsia" w:ascii="仿宋_GB2312" w:eastAsia="仿宋_GB2312"/>
          <w:color w:val="auto"/>
          <w:sz w:val="32"/>
          <w:szCs w:val="32"/>
        </w:rPr>
        <w:t>2022年，区交通局紧紧围绕罗江融入成渝地区双城经济圈建设战略，加快融入成德同城化发展目标，按照区委区政府的工作部署，主动适应新常态，着力构建高效便捷交通网，努力为全区经济社会发展和人民群众安全便捷出行提供更有力的交通运输保障。</w:t>
      </w:r>
      <w:r>
        <w:rPr>
          <w:rFonts w:hint="eastAsia" w:ascii="仿宋_GB2312" w:eastAsia="仿宋_GB2312"/>
          <w:color w:val="auto"/>
          <w:sz w:val="32"/>
          <w:szCs w:val="32"/>
          <w:lang w:eastAsia="zh-CN"/>
        </w:rPr>
        <w:t>根据年初预算安排，</w:t>
      </w:r>
      <w:r>
        <w:rPr>
          <w:rFonts w:eastAsia="仿宋_GB2312"/>
          <w:color w:val="auto"/>
          <w:sz w:val="32"/>
          <w:szCs w:val="32"/>
        </w:rPr>
        <w:t>锚定年度目标任务，积极推进交通项目建设</w:t>
      </w:r>
      <w:r>
        <w:rPr>
          <w:rFonts w:hint="eastAsia" w:eastAsia="仿宋_GB2312"/>
          <w:color w:val="auto"/>
          <w:sz w:val="32"/>
          <w:szCs w:val="32"/>
          <w:lang w:eastAsia="zh-CN"/>
        </w:rPr>
        <w:t>；</w:t>
      </w:r>
      <w:r>
        <w:rPr>
          <w:rFonts w:hint="eastAsia" w:ascii="仿宋_GB2312" w:hAnsi="仿宋_GB2312" w:eastAsia="仿宋_GB2312" w:cs="仿宋_GB2312"/>
          <w:b w:val="0"/>
          <w:bCs w:val="0"/>
          <w:color w:val="auto"/>
          <w:sz w:val="32"/>
          <w:szCs w:val="32"/>
        </w:rPr>
        <w:t>筑牢疫情防控交通防线，着力提升运输服务保障</w:t>
      </w:r>
      <w:r>
        <w:rPr>
          <w:rFonts w:hint="eastAsia" w:ascii="仿宋_GB2312" w:hAnsi="仿宋_GB2312" w:eastAsia="仿宋_GB2312" w:cs="仿宋_GB2312"/>
          <w:b w:val="0"/>
          <w:bCs w:val="0"/>
          <w:color w:val="auto"/>
          <w:sz w:val="32"/>
          <w:szCs w:val="32"/>
          <w:lang w:eastAsia="zh-CN"/>
        </w:rPr>
        <w:t>；</w:t>
      </w:r>
      <w:r>
        <w:rPr>
          <w:rFonts w:hint="eastAsia" w:eastAsia="仿宋_GB2312"/>
          <w:color w:val="auto"/>
          <w:sz w:val="32"/>
          <w:szCs w:val="32"/>
        </w:rPr>
        <w:t>立足交通“先行官”定位，制定《提升农村交通运输服务水平工作方案》</w:t>
      </w:r>
      <w:r>
        <w:rPr>
          <w:rFonts w:hint="eastAsia" w:eastAsia="仿宋_GB2312"/>
          <w:color w:val="auto"/>
          <w:sz w:val="32"/>
          <w:szCs w:val="32"/>
          <w:lang w:eastAsia="zh-CN"/>
        </w:rPr>
        <w:t>，做好“后半篇”文章，用心办好民生实事；同时，强化交通运输执法、优化养护管理，道路通行水平持续提高。</w:t>
      </w:r>
    </w:p>
    <w:p>
      <w:pPr>
        <w:pStyle w:val="2"/>
        <w:ind w:left="0" w:leftChars="0" w:firstLine="640" w:firstLineChars="200"/>
        <w:rPr>
          <w:rFonts w:hint="eastAsia" w:ascii="方正楷体简体" w:hAnsi="宋体" w:eastAsia="方正楷体简体" w:cs="宋体"/>
          <w:color w:val="000000"/>
          <w:kern w:val="0"/>
          <w:sz w:val="32"/>
          <w:szCs w:val="32"/>
          <w:shd w:val="clear" w:color="auto" w:fill="FFFFFF"/>
          <w:lang w:val="zh-CN" w:eastAsia="zh-CN"/>
        </w:rPr>
      </w:pPr>
      <w:r>
        <w:rPr>
          <w:rFonts w:hint="eastAsia" w:ascii="方正楷体简体" w:hAnsi="宋体" w:eastAsia="方正楷体简体" w:cs="宋体"/>
          <w:color w:val="000000"/>
          <w:kern w:val="0"/>
          <w:sz w:val="32"/>
          <w:szCs w:val="32"/>
          <w:shd w:val="clear" w:color="auto" w:fill="FFFFFF"/>
          <w:lang w:val="zh-CN" w:eastAsia="zh-CN"/>
        </w:rPr>
        <w:t>（三）结果应用情况。</w:t>
      </w:r>
    </w:p>
    <w:p>
      <w:pPr>
        <w:pStyle w:val="2"/>
        <w:ind w:left="0" w:leftChars="0"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本部门将相关股室(单位)预算项目全年预算执行情况纳入了部门绩效管理考评细则中。同时，按照财政部门统一部署安排，于2022年</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日随同2022年部门预算编制说明公开了绩效目标设置情况，于2022年</w:t>
      </w:r>
      <w:r>
        <w:rPr>
          <w:rFonts w:hint="eastAsia" w:ascii="仿宋_GB2312" w:eastAsia="仿宋_GB2312"/>
          <w:sz w:val="32"/>
          <w:szCs w:val="32"/>
          <w:highlight w:val="none"/>
          <w:lang w:val="en-US" w:eastAsia="zh-CN"/>
        </w:rPr>
        <w:t>10</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28</w:t>
      </w:r>
      <w:r>
        <w:rPr>
          <w:rFonts w:hint="eastAsia" w:ascii="仿宋_GB2312" w:eastAsia="仿宋_GB2312"/>
          <w:sz w:val="32"/>
          <w:szCs w:val="32"/>
          <w:highlight w:val="none"/>
        </w:rPr>
        <w:t>日随同2021年部门决算说明公开了绩效目标管理情况及部门整体支出绩效自评报告，自觉接受社会公众的监督，进一步提高财政资金管理透明度</w:t>
      </w:r>
    </w:p>
    <w:p>
      <w:pPr>
        <w:pStyle w:val="2"/>
        <w:ind w:left="0" w:leftChars="0" w:firstLine="640" w:firstLineChars="200"/>
        <w:rPr>
          <w:rFonts w:hint="eastAsia" w:ascii="方正楷体简体" w:hAnsi="宋体" w:eastAsia="方正楷体简体" w:cs="宋体"/>
          <w:color w:val="000000"/>
          <w:kern w:val="0"/>
          <w:sz w:val="32"/>
          <w:szCs w:val="32"/>
          <w:shd w:val="clear" w:color="auto" w:fill="FFFFFF"/>
          <w:lang w:val="zh-CN" w:eastAsia="zh-CN"/>
        </w:rPr>
      </w:pPr>
      <w:r>
        <w:rPr>
          <w:rFonts w:hint="eastAsia" w:ascii="方正楷体简体" w:hAnsi="宋体" w:eastAsia="方正楷体简体" w:cs="宋体"/>
          <w:color w:val="000000"/>
          <w:kern w:val="0"/>
          <w:sz w:val="32"/>
          <w:szCs w:val="32"/>
          <w:shd w:val="clear" w:color="auto" w:fill="FFFFFF"/>
          <w:lang w:val="zh-CN" w:eastAsia="zh-CN"/>
        </w:rPr>
        <w:t>（四）自评质量。</w:t>
      </w:r>
    </w:p>
    <w:p>
      <w:pPr>
        <w:pStyle w:val="2"/>
        <w:ind w:left="0" w:leftChars="0" w:firstLine="640" w:firstLineChars="200"/>
        <w:rPr>
          <w:rFonts w:hint="eastAsia" w:ascii="仿宋_GB2312" w:eastAsia="仿宋_GB2312"/>
          <w:sz w:val="32"/>
          <w:szCs w:val="32"/>
          <w:highlight w:val="none"/>
          <w:lang w:eastAsia="zh-CN"/>
        </w:rPr>
      </w:pPr>
      <w:r>
        <w:rPr>
          <w:rFonts w:hint="eastAsia" w:ascii="仿宋_GB2312" w:hAnsi="Cambria" w:eastAsia="仿宋_GB2312" w:cs="仿宋_GB2312"/>
          <w:kern w:val="0"/>
          <w:sz w:val="32"/>
          <w:szCs w:val="32"/>
          <w:highlight w:val="none"/>
        </w:rPr>
        <w:t>本部门</w:t>
      </w:r>
      <w:r>
        <w:rPr>
          <w:rFonts w:hint="eastAsia" w:ascii="仿宋_GB2312" w:eastAsia="仿宋_GB2312"/>
          <w:sz w:val="32"/>
          <w:szCs w:val="32"/>
          <w:highlight w:val="none"/>
        </w:rPr>
        <w:t>认真对照部门整体绩效评价指标体系,对本部门绩效目标管理、动态调整、完成结果、信息公开等方面进行了客观评价，自评得分</w:t>
      </w:r>
      <w:r>
        <w:rPr>
          <w:rFonts w:hint="eastAsia" w:ascii="仿宋_GB2312" w:eastAsia="仿宋_GB2312"/>
          <w:sz w:val="32"/>
          <w:szCs w:val="32"/>
          <w:highlight w:val="none"/>
          <w:lang w:val="en-US" w:eastAsia="zh-CN"/>
        </w:rPr>
        <w:t>98.5</w:t>
      </w:r>
      <w:r>
        <w:rPr>
          <w:rFonts w:hint="eastAsia" w:ascii="仿宋_GB2312" w:eastAsia="仿宋_GB2312"/>
          <w:sz w:val="32"/>
          <w:szCs w:val="32"/>
          <w:highlight w:val="none"/>
        </w:rPr>
        <w:t>分</w:t>
      </w:r>
      <w:r>
        <w:rPr>
          <w:rFonts w:hint="eastAsia" w:ascii="仿宋_GB2312" w:eastAsia="仿宋_GB2312"/>
          <w:sz w:val="32"/>
          <w:szCs w:val="32"/>
          <w:highlight w:val="none"/>
          <w:lang w:eastAsia="zh-CN"/>
        </w:rPr>
        <w:t>。</w:t>
      </w:r>
    </w:p>
    <w:p>
      <w:pPr>
        <w:pStyle w:val="2"/>
        <w:ind w:left="0" w:leftChars="0" w:firstLine="640" w:firstLineChars="200"/>
        <w:rPr>
          <w:rFonts w:hint="eastAsia" w:ascii="黑体" w:hAnsi="宋体" w:eastAsia="黑体" w:cs="宋体"/>
          <w:color w:val="000000"/>
          <w:kern w:val="0"/>
          <w:sz w:val="32"/>
          <w:szCs w:val="32"/>
          <w:shd w:val="clear" w:color="auto" w:fill="FFFFFF"/>
          <w:lang w:eastAsia="zh-CN"/>
        </w:rPr>
      </w:pPr>
      <w:bookmarkStart w:id="59" w:name="_Toc9826_WPSOffice_Level2"/>
      <w:bookmarkStart w:id="60" w:name="_Toc30017_WPSOffice_Level2"/>
      <w:r>
        <w:rPr>
          <w:rFonts w:hint="eastAsia" w:ascii="黑体" w:hAnsi="宋体" w:eastAsia="黑体" w:cs="宋体"/>
          <w:color w:val="000000"/>
          <w:kern w:val="0"/>
          <w:sz w:val="32"/>
          <w:szCs w:val="32"/>
          <w:shd w:val="clear" w:color="auto" w:fill="FFFFFF"/>
          <w:lang w:eastAsia="zh-CN"/>
        </w:rPr>
        <w:t>四、评价结论及建议</w:t>
      </w:r>
      <w:bookmarkEnd w:id="59"/>
      <w:bookmarkEnd w:id="60"/>
    </w:p>
    <w:p>
      <w:pPr>
        <w:pStyle w:val="2"/>
        <w:ind w:left="0" w:leftChars="0" w:firstLine="640" w:firstLineChars="200"/>
        <w:rPr>
          <w:rFonts w:hint="eastAsia" w:ascii="仿宋_GB2312" w:hAnsi="仿宋_GB2312" w:eastAsia="仿宋_GB2312" w:cs="仿宋_GB2312"/>
          <w:b w:val="0"/>
          <w:bCs w:val="0"/>
          <w:kern w:val="0"/>
          <w:sz w:val="32"/>
          <w:szCs w:val="32"/>
          <w:highlight w:val="none"/>
          <w:lang w:val="zh-CN"/>
        </w:rPr>
      </w:pPr>
      <w:r>
        <w:rPr>
          <w:rFonts w:hint="eastAsia" w:ascii="方正楷体简体" w:hAnsi="宋体" w:eastAsia="方正楷体简体" w:cs="宋体"/>
          <w:color w:val="000000"/>
          <w:kern w:val="0"/>
          <w:sz w:val="32"/>
          <w:szCs w:val="32"/>
          <w:shd w:val="clear" w:color="auto" w:fill="FFFFFF"/>
          <w:lang w:val="zh-CN" w:eastAsia="zh-CN"/>
        </w:rPr>
        <w:t>（一）评价结论。</w:t>
      </w:r>
      <w:r>
        <w:rPr>
          <w:rFonts w:hint="eastAsia" w:ascii="仿宋_GB2312" w:hAnsi="仿宋_GB2312" w:eastAsia="仿宋_GB2312" w:cs="仿宋_GB2312"/>
          <w:b w:val="0"/>
          <w:bCs w:val="0"/>
          <w:kern w:val="0"/>
          <w:sz w:val="32"/>
          <w:szCs w:val="32"/>
          <w:highlight w:val="none"/>
          <w:lang w:val="zh-CN"/>
        </w:rPr>
        <w:t>2022年本部门整体支出绩效自查自评结果良好，全年基本支出保证了部门正常运转，项目支出保障了重点工作的开展。</w:t>
      </w:r>
    </w:p>
    <w:p>
      <w:pPr>
        <w:pStyle w:val="2"/>
        <w:ind w:left="0" w:leftChars="0" w:firstLine="640" w:firstLineChars="200"/>
        <w:rPr>
          <w:rFonts w:hint="eastAsia" w:ascii="仿宋_GB2312" w:hAnsi="仿宋_GB2312" w:eastAsia="仿宋_GB2312" w:cs="仿宋_GB2312"/>
          <w:sz w:val="32"/>
          <w:szCs w:val="32"/>
        </w:rPr>
      </w:pPr>
      <w:r>
        <w:rPr>
          <w:rFonts w:hint="eastAsia" w:ascii="方正楷体简体" w:hAnsi="宋体" w:eastAsia="方正楷体简体" w:cs="宋体"/>
          <w:color w:val="000000"/>
          <w:kern w:val="0"/>
          <w:sz w:val="32"/>
          <w:szCs w:val="32"/>
          <w:shd w:val="clear" w:color="auto" w:fill="FFFFFF"/>
          <w:lang w:val="zh-CN" w:eastAsia="zh-CN"/>
        </w:rPr>
        <w:t>（二）存在的问题。</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预算编制还不够准确，特别是公用经费预算编制细化到经济内容科目的年初预算数与当年实际发生数有一定差异；</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财政拨款支出与财政拨款收入不同步，存在结转下年支出的情况。</w:t>
      </w:r>
    </w:p>
    <w:p>
      <w:pPr>
        <w:pStyle w:val="2"/>
        <w:ind w:left="0" w:leftChars="0" w:firstLine="640" w:firstLineChars="200"/>
        <w:rPr>
          <w:rFonts w:hint="eastAsia" w:ascii="仿宋_GB2312" w:hAnsi="仿宋_GB2312" w:eastAsia="仿宋_GB2312" w:cs="仿宋_GB2312"/>
          <w:sz w:val="32"/>
          <w:szCs w:val="32"/>
          <w:lang w:eastAsia="zh-CN"/>
        </w:rPr>
      </w:pPr>
      <w:r>
        <w:rPr>
          <w:rFonts w:hint="eastAsia" w:ascii="方正楷体简体" w:hAnsi="宋体" w:eastAsia="方正楷体简体" w:cs="宋体"/>
          <w:color w:val="000000"/>
          <w:kern w:val="0"/>
          <w:sz w:val="32"/>
          <w:szCs w:val="32"/>
          <w:shd w:val="clear" w:color="auto" w:fill="FFFFFF"/>
          <w:lang w:val="zh-CN" w:eastAsia="zh-CN"/>
        </w:rPr>
        <w:t>（三）改进建议。</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进一步加强预算编制管理，年初预算</w:t>
      </w:r>
      <w:r>
        <w:rPr>
          <w:rFonts w:hint="eastAsia" w:ascii="仿宋_GB2312" w:hAnsi="仿宋_GB2312" w:eastAsia="仿宋_GB2312" w:cs="仿宋_GB2312"/>
          <w:sz w:val="32"/>
          <w:szCs w:val="32"/>
          <w:lang w:eastAsia="zh-CN"/>
        </w:rPr>
        <w:t>时</w:t>
      </w:r>
      <w:r>
        <w:rPr>
          <w:rFonts w:hint="eastAsia" w:ascii="仿宋_GB2312" w:hAnsi="仿宋_GB2312" w:eastAsia="仿宋_GB2312" w:cs="仿宋_GB2312"/>
          <w:sz w:val="32"/>
          <w:szCs w:val="32"/>
        </w:rPr>
        <w:t>尽量做到精细化，测算准确，</w:t>
      </w:r>
      <w:r>
        <w:rPr>
          <w:rFonts w:hint="eastAsia" w:ascii="仿宋_GB2312" w:hAnsi="仿宋_GB2312" w:eastAsia="仿宋_GB2312" w:cs="仿宋_GB2312"/>
          <w:sz w:val="32"/>
          <w:szCs w:val="32"/>
          <w:lang w:eastAsia="zh-CN"/>
        </w:rPr>
        <w:t>从而减少</w:t>
      </w:r>
      <w:r>
        <w:rPr>
          <w:rFonts w:hint="eastAsia" w:ascii="仿宋_GB2312" w:hAnsi="仿宋_GB2312" w:eastAsia="仿宋_GB2312" w:cs="仿宋_GB2312"/>
          <w:sz w:val="32"/>
          <w:szCs w:val="32"/>
        </w:rPr>
        <w:t>与实际发生数</w:t>
      </w:r>
      <w:r>
        <w:rPr>
          <w:rFonts w:hint="eastAsia" w:ascii="仿宋_GB2312" w:hAnsi="仿宋_GB2312" w:eastAsia="仿宋_GB2312" w:cs="仿宋_GB2312"/>
          <w:sz w:val="32"/>
          <w:szCs w:val="32"/>
          <w:lang w:eastAsia="zh-CN"/>
        </w:rPr>
        <w:t>的偏差</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进一步加强预算执行管理，</w:t>
      </w:r>
      <w:r>
        <w:rPr>
          <w:rFonts w:hint="eastAsia" w:ascii="仿宋_GB2312" w:hAnsi="仿宋_GB2312" w:eastAsia="仿宋_GB2312" w:cs="仿宋_GB2312"/>
          <w:sz w:val="32"/>
          <w:szCs w:val="32"/>
          <w:lang w:eastAsia="zh-CN"/>
        </w:rPr>
        <w:t>加快项目实施进度，达到支付条件及时支付资金。</w:t>
      </w:r>
    </w:p>
    <w:p>
      <w:pPr>
        <w:pStyle w:val="2"/>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olor w:val="auto"/>
          <w:kern w:val="2"/>
          <w:sz w:val="32"/>
          <w:lang w:val="zh-CN"/>
        </w:rPr>
        <w:t>附表：</w:t>
      </w:r>
      <w:r>
        <w:rPr>
          <w:rFonts w:hint="eastAsia" w:ascii="仿宋_GB2312" w:hAnsi="仿宋_GB2312" w:eastAsia="仿宋_GB2312"/>
          <w:color w:val="auto"/>
          <w:kern w:val="2"/>
          <w:sz w:val="32"/>
          <w:lang w:val="en-US"/>
        </w:rPr>
        <w:t>部门预算项目支出绩效自评表（2022年度）</w:t>
      </w:r>
    </w:p>
    <w:bookmarkEnd w:id="58"/>
    <w:tbl>
      <w:tblPr>
        <w:tblStyle w:val="8"/>
        <w:tblpPr w:leftFromText="180" w:rightFromText="180" w:vertAnchor="text" w:horzAnchor="page" w:tblpX="343" w:tblpY="677"/>
        <w:tblOverlap w:val="never"/>
        <w:tblW w:w="110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83"/>
        <w:gridCol w:w="622"/>
        <w:gridCol w:w="845"/>
        <w:gridCol w:w="545"/>
        <w:gridCol w:w="1064"/>
        <w:gridCol w:w="750"/>
        <w:gridCol w:w="1091"/>
        <w:gridCol w:w="504"/>
        <w:gridCol w:w="860"/>
        <w:gridCol w:w="1895"/>
        <w:gridCol w:w="832"/>
        <w:gridCol w:w="1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0" w:hRule="atLeast"/>
        </w:trPr>
        <w:tc>
          <w:tcPr>
            <w:tcW w:w="11059"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32"/>
                <w:szCs w:val="32"/>
                <w:u w:val="none"/>
                <w:lang w:val="en-US" w:eastAsia="zh-CN" w:bidi="ar"/>
              </w:rPr>
            </w:pPr>
            <w:r>
              <w:rPr>
                <w:rFonts w:hint="eastAsia" w:ascii="仿宋_GB2312" w:hAnsi="仿宋_GB2312" w:eastAsia="仿宋_GB2312" w:cs="仿宋_GB2312"/>
                <w:i w:val="0"/>
                <w:color w:val="000000"/>
                <w:kern w:val="0"/>
                <w:sz w:val="32"/>
                <w:szCs w:val="32"/>
                <w:u w:val="none"/>
                <w:lang w:val="en-US" w:eastAsia="zh-CN" w:bidi="ar"/>
              </w:rPr>
              <w:t>德阳市罗江区2022年度区级部门（单位）“部门整体支出”绩效评价体系及</w:t>
            </w:r>
          </w:p>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仿宋_GB2312" w:hAnsi="仿宋_GB2312" w:eastAsia="仿宋_GB2312" w:cs="仿宋_GB2312"/>
                <w:i w:val="0"/>
                <w:color w:val="000000"/>
                <w:kern w:val="0"/>
                <w:sz w:val="32"/>
                <w:szCs w:val="32"/>
                <w:u w:val="none"/>
                <w:lang w:val="en-US" w:eastAsia="zh-CN" w:bidi="ar"/>
              </w:rPr>
              <w:t>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1105" w:type="dxa"/>
            <w:gridSpan w:val="2"/>
            <w:tcBorders>
              <w:top w:val="nil"/>
              <w:left w:val="nil"/>
              <w:bottom w:val="single" w:color="000000" w:sz="4" w:space="0"/>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4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4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4"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05" w:type="dxa"/>
            <w:gridSpan w:val="4"/>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联系电话：3121157</w:t>
            </w:r>
          </w:p>
        </w:tc>
        <w:tc>
          <w:tcPr>
            <w:tcW w:w="189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2400"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自评时间：2023年4月27日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1105"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部门（单位）名称：</w:t>
            </w:r>
          </w:p>
        </w:tc>
        <w:tc>
          <w:tcPr>
            <w:tcW w:w="99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德阳市罗江区交通运输局（盖章）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40" w:hRule="atLeast"/>
        </w:trPr>
        <w:tc>
          <w:tcPr>
            <w:tcW w:w="1105"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机构设置及人员概况：</w:t>
            </w:r>
          </w:p>
        </w:tc>
        <w:tc>
          <w:tcPr>
            <w:tcW w:w="99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区交通局内设办公室、公路规划建设管理股、安全法规股、财务股、交通运输管理股等5个股室，下属单位交通运输局（机关）、公路管理所、道路运输管理所、公路路政管理所、地方海事处、公路工程质量监督管理站、交通运输综合行政执法大队，共计7个独立编制机构，4个独立核算单位。我局（含下属单位）行政编制12名，事业编制115名，共计127名。2022年末实有在职人员80人，其中：行政7人、事业（含参公）73人。年末退休人员69人，遗属人员6人，其他临聘人员31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60" w:hRule="atLeast"/>
        </w:trPr>
        <w:tc>
          <w:tcPr>
            <w:tcW w:w="1105"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主要职能职责：</w:t>
            </w:r>
          </w:p>
        </w:tc>
        <w:tc>
          <w:tcPr>
            <w:tcW w:w="99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贯彻执行国家、省、市有关交通运输行业的方针、政策和法律、法规、规章及行政规范性文件上；2、负责全区公路运输、公路路政行业管理;负责本系统、本部门依法行政工作，落实行政执法责任制；贯彻交通运输科技政策并监督实施；指导公路、水路行业安全生产和应急管理工作；承担水上交通安全监管责任；3、负责全区公路交通建设的行业管理；4、负责全区公路、水路设施维护管理和路产、路权及路政管理工作；5、负责全区公路桥梁工程质量监督管理；6、加强综合运输体系规划衔接，促进各种运输方式协调发展；7、负责交通运输行业科技开发和推广应用，优化行业结构，促进环境保护和节能减排；负责公路、水路有关涉外工作；承担县政府公布的有关行政审批及公共服务事项；承接上级主管部门交办的工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0" w:hRule="atLeast"/>
        </w:trPr>
        <w:tc>
          <w:tcPr>
            <w:tcW w:w="483" w:type="dxa"/>
            <w:vMerge w:val="restar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预算安排、执行情况</w:t>
            </w:r>
          </w:p>
        </w:tc>
        <w:tc>
          <w:tcPr>
            <w:tcW w:w="622" w:type="dxa"/>
            <w:vMerge w:val="restar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454"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750" w:type="dxa"/>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年末决算数</w:t>
            </w:r>
          </w:p>
        </w:tc>
        <w:tc>
          <w:tcPr>
            <w:tcW w:w="1091"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预算执行率</w:t>
            </w:r>
          </w:p>
        </w:tc>
        <w:tc>
          <w:tcPr>
            <w:tcW w:w="5659" w:type="dxa"/>
            <w:gridSpan w:val="5"/>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预算执行情况说明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6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545" w:type="dxa"/>
            <w:tcBorders>
              <w:top w:val="single" w:color="000000" w:sz="4" w:space="0"/>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年初预算数</w:t>
            </w:r>
          </w:p>
        </w:tc>
        <w:tc>
          <w:tcPr>
            <w:tcW w:w="1064" w:type="dxa"/>
            <w:tcBorders>
              <w:top w:val="single" w:color="000000" w:sz="4" w:space="0"/>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追加预算</w:t>
            </w:r>
          </w:p>
        </w:tc>
        <w:tc>
          <w:tcPr>
            <w:tcW w:w="750" w:type="dxa"/>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659" w:type="dxa"/>
            <w:gridSpan w:val="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①存在预算调整情形的，说明原因。②预算执行率未达到100%的，说明原因。】1、基本支出预算调整，主要是在职、退休人员目标绩效考核奖变化增加，以及人员增加等正常增资；2、项目支出预算调整，主要是年中预算执行中追加的中、省、市上级补助资金，以及跨年度项目和无法年初预估的临时性工作任务；3、预算执行率未达到100%的原因主要是一些专项资金（政策），支付存在不确定性，如城乡公交保险财政补贴，是根据车辆购买保险的金额按比例支付，而车辆保险额存在不确定性，无法准确估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6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845"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4,380.25 </w:t>
            </w:r>
          </w:p>
        </w:tc>
        <w:tc>
          <w:tcPr>
            <w:tcW w:w="545" w:type="dxa"/>
            <w:tcBorders>
              <w:top w:val="single" w:color="000000" w:sz="4" w:space="0"/>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3,221.15 </w:t>
            </w:r>
          </w:p>
        </w:tc>
        <w:tc>
          <w:tcPr>
            <w:tcW w:w="1064" w:type="dxa"/>
            <w:tcBorders>
              <w:top w:val="single" w:color="000000" w:sz="4" w:space="0"/>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1,159.10 </w:t>
            </w:r>
          </w:p>
        </w:tc>
        <w:tc>
          <w:tcPr>
            <w:tcW w:w="750" w:type="dxa"/>
            <w:tcBorders>
              <w:top w:val="single" w:color="000000" w:sz="4" w:space="0"/>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4,341.60 </w:t>
            </w:r>
          </w:p>
        </w:tc>
        <w:tc>
          <w:tcPr>
            <w:tcW w:w="1091"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99.12</w:t>
            </w:r>
          </w:p>
        </w:tc>
        <w:tc>
          <w:tcPr>
            <w:tcW w:w="565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6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1.基本支出</w:t>
            </w:r>
          </w:p>
        </w:tc>
        <w:tc>
          <w:tcPr>
            <w:tcW w:w="845"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1,862.73 </w:t>
            </w: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1,601.50 </w:t>
            </w: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261.23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1,862.73 </w:t>
            </w:r>
          </w:p>
        </w:tc>
        <w:tc>
          <w:tcPr>
            <w:tcW w:w="1091"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565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6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2.项目支出</w:t>
            </w:r>
          </w:p>
        </w:tc>
        <w:tc>
          <w:tcPr>
            <w:tcW w:w="845"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2,517.52 </w:t>
            </w: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1,619.65 </w:t>
            </w: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897.87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2,478.87 </w:t>
            </w:r>
          </w:p>
        </w:tc>
        <w:tc>
          <w:tcPr>
            <w:tcW w:w="1091"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98.46</w:t>
            </w:r>
          </w:p>
        </w:tc>
        <w:tc>
          <w:tcPr>
            <w:tcW w:w="565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6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其中：基本建设类项目</w:t>
            </w:r>
          </w:p>
        </w:tc>
        <w:tc>
          <w:tcPr>
            <w:tcW w:w="845"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1,015.90 </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500.00 </w:t>
            </w: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515.90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1,015.90 </w:t>
            </w:r>
          </w:p>
        </w:tc>
        <w:tc>
          <w:tcPr>
            <w:tcW w:w="1091"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565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6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C0C0C0"/>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 xml:space="preserve">       专项资金（政策）</w:t>
            </w:r>
          </w:p>
        </w:tc>
        <w:tc>
          <w:tcPr>
            <w:tcW w:w="845"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1,501.62 </w:t>
            </w:r>
          </w:p>
        </w:tc>
        <w:tc>
          <w:tcPr>
            <w:tcW w:w="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1,119.65 </w:t>
            </w: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381.97 </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1,462.97 </w:t>
            </w:r>
          </w:p>
        </w:tc>
        <w:tc>
          <w:tcPr>
            <w:tcW w:w="1091"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97.43</w:t>
            </w:r>
          </w:p>
        </w:tc>
        <w:tc>
          <w:tcPr>
            <w:tcW w:w="565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6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3.其他支出</w:t>
            </w:r>
          </w:p>
        </w:tc>
        <w:tc>
          <w:tcPr>
            <w:tcW w:w="845"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   </w:t>
            </w:r>
          </w:p>
        </w:tc>
        <w:tc>
          <w:tcPr>
            <w:tcW w:w="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#DIV/0!</w:t>
            </w:r>
          </w:p>
        </w:tc>
        <w:tc>
          <w:tcPr>
            <w:tcW w:w="565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83" w:type="dxa"/>
            <w:vMerge w:val="restart"/>
            <w:tcBorders>
              <w:top w:val="single" w:color="000000" w:sz="4" w:space="0"/>
              <w:left w:val="single" w:color="000000" w:sz="4" w:space="0"/>
              <w:bottom w:val="single" w:color="000000" w:sz="4" w:space="0"/>
              <w:right w:val="single" w:color="000000" w:sz="4" w:space="0"/>
            </w:tcBorders>
            <w:shd w:val="clear" w:color="auto" w:fill="96969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一级指标</w:t>
            </w:r>
          </w:p>
        </w:tc>
        <w:tc>
          <w:tcPr>
            <w:tcW w:w="622" w:type="dxa"/>
            <w:vMerge w:val="restart"/>
            <w:tcBorders>
              <w:top w:val="single" w:color="000000" w:sz="4" w:space="0"/>
              <w:left w:val="single" w:color="000000" w:sz="4" w:space="0"/>
              <w:bottom w:val="single" w:color="000000" w:sz="4" w:space="0"/>
              <w:right w:val="single" w:color="000000" w:sz="4" w:space="0"/>
            </w:tcBorders>
            <w:shd w:val="clear" w:color="auto" w:fill="96969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二级指标</w:t>
            </w:r>
          </w:p>
        </w:tc>
        <w:tc>
          <w:tcPr>
            <w:tcW w:w="1390" w:type="dxa"/>
            <w:gridSpan w:val="2"/>
            <w:vMerge w:val="restart"/>
            <w:tcBorders>
              <w:top w:val="single" w:color="000000" w:sz="4" w:space="0"/>
              <w:left w:val="single" w:color="000000" w:sz="4" w:space="0"/>
              <w:bottom w:val="single" w:color="000000" w:sz="4" w:space="0"/>
              <w:right w:val="single" w:color="000000" w:sz="4" w:space="0"/>
            </w:tcBorders>
            <w:shd w:val="clear" w:color="auto" w:fill="96969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三级指标</w:t>
            </w:r>
          </w:p>
        </w:tc>
        <w:tc>
          <w:tcPr>
            <w:tcW w:w="1814" w:type="dxa"/>
            <w:gridSpan w:val="2"/>
            <w:vMerge w:val="restart"/>
            <w:tcBorders>
              <w:top w:val="single" w:color="000000" w:sz="4" w:space="0"/>
              <w:left w:val="single" w:color="000000" w:sz="4" w:space="0"/>
              <w:bottom w:val="single" w:color="000000" w:sz="4" w:space="0"/>
              <w:right w:val="single" w:color="000000" w:sz="4" w:space="0"/>
            </w:tcBorders>
            <w:shd w:val="clear" w:color="auto" w:fill="96969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年初设定指标值</w:t>
            </w:r>
          </w:p>
        </w:tc>
        <w:tc>
          <w:tcPr>
            <w:tcW w:w="1091" w:type="dxa"/>
            <w:vMerge w:val="restart"/>
            <w:tcBorders>
              <w:top w:val="single" w:color="000000" w:sz="4" w:space="0"/>
              <w:left w:val="single" w:color="000000" w:sz="4" w:space="0"/>
              <w:bottom w:val="single" w:color="000000" w:sz="4" w:space="0"/>
              <w:right w:val="single" w:color="000000" w:sz="4" w:space="0"/>
            </w:tcBorders>
            <w:shd w:val="clear" w:color="auto" w:fill="96969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实际完成值</w:t>
            </w:r>
          </w:p>
        </w:tc>
        <w:tc>
          <w:tcPr>
            <w:tcW w:w="504" w:type="dxa"/>
            <w:vMerge w:val="restart"/>
            <w:tcBorders>
              <w:top w:val="single" w:color="000000" w:sz="4" w:space="0"/>
              <w:left w:val="single" w:color="000000" w:sz="4" w:space="0"/>
              <w:bottom w:val="single" w:color="000000" w:sz="4" w:space="0"/>
              <w:right w:val="single" w:color="000000" w:sz="4" w:space="0"/>
            </w:tcBorders>
            <w:shd w:val="clear" w:color="auto" w:fill="96969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分值</w:t>
            </w:r>
          </w:p>
        </w:tc>
        <w:tc>
          <w:tcPr>
            <w:tcW w:w="860" w:type="dxa"/>
            <w:vMerge w:val="restart"/>
            <w:tcBorders>
              <w:top w:val="single" w:color="000000" w:sz="4" w:space="0"/>
              <w:left w:val="single" w:color="000000" w:sz="4" w:space="0"/>
              <w:bottom w:val="single" w:color="000000" w:sz="4" w:space="0"/>
              <w:right w:val="single" w:color="000000" w:sz="4" w:space="0"/>
            </w:tcBorders>
            <w:shd w:val="clear" w:color="auto" w:fill="96969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自评得分</w:t>
            </w:r>
          </w:p>
        </w:tc>
        <w:tc>
          <w:tcPr>
            <w:tcW w:w="2727" w:type="dxa"/>
            <w:gridSpan w:val="2"/>
            <w:tcBorders>
              <w:top w:val="single" w:color="000000" w:sz="4" w:space="0"/>
              <w:left w:val="single" w:color="000000" w:sz="4" w:space="0"/>
              <w:bottom w:val="single" w:color="000000" w:sz="4" w:space="0"/>
              <w:right w:val="single" w:color="000000" w:sz="4" w:space="0"/>
            </w:tcBorders>
            <w:shd w:val="clear" w:color="auto" w:fill="96969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指标评价内容及评分标准</w:t>
            </w:r>
          </w:p>
        </w:tc>
        <w:tc>
          <w:tcPr>
            <w:tcW w:w="1568" w:type="dxa"/>
            <w:tcBorders>
              <w:top w:val="single" w:color="000000" w:sz="4" w:space="0"/>
              <w:left w:val="single" w:color="000000" w:sz="4" w:space="0"/>
              <w:bottom w:val="single" w:color="000000" w:sz="4" w:space="0"/>
              <w:right w:val="single" w:color="000000" w:sz="4" w:space="0"/>
            </w:tcBorders>
            <w:shd w:val="clear" w:color="auto" w:fill="96969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2"/>
                <w:szCs w:val="12"/>
                <w:u w:val="none"/>
              </w:rPr>
            </w:pPr>
            <w:r>
              <w:rPr>
                <w:rFonts w:hint="eastAsia" w:ascii="宋体" w:hAnsi="宋体" w:eastAsia="宋体" w:cs="宋体"/>
                <w:b/>
                <w:i w:val="0"/>
                <w:color w:val="000000"/>
                <w:kern w:val="0"/>
                <w:sz w:val="12"/>
                <w:szCs w:val="12"/>
                <w:u w:val="none"/>
                <w:lang w:val="en-US" w:eastAsia="zh-CN" w:bidi="ar"/>
              </w:rPr>
              <w:t>未完成指标值或扣分原因分析说明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969696"/>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969696"/>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390" w:type="dxa"/>
            <w:gridSpan w:val="2"/>
            <w:vMerge w:val="continue"/>
            <w:tcBorders>
              <w:top w:val="single" w:color="000000" w:sz="4" w:space="0"/>
              <w:left w:val="single" w:color="000000" w:sz="4" w:space="0"/>
              <w:bottom w:val="single" w:color="000000" w:sz="4" w:space="0"/>
              <w:right w:val="single" w:color="000000" w:sz="4" w:space="0"/>
            </w:tcBorders>
            <w:shd w:val="clear" w:color="auto" w:fill="969696"/>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14" w:type="dxa"/>
            <w:gridSpan w:val="2"/>
            <w:vMerge w:val="continue"/>
            <w:tcBorders>
              <w:top w:val="single" w:color="000000" w:sz="4" w:space="0"/>
              <w:left w:val="single" w:color="000000" w:sz="4" w:space="0"/>
              <w:bottom w:val="single" w:color="000000" w:sz="4" w:space="0"/>
              <w:right w:val="single" w:color="000000" w:sz="4" w:space="0"/>
            </w:tcBorders>
            <w:shd w:val="clear" w:color="auto" w:fill="969696"/>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969696"/>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969696"/>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60" w:type="dxa"/>
            <w:vMerge w:val="continue"/>
            <w:tcBorders>
              <w:top w:val="single" w:color="000000" w:sz="4" w:space="0"/>
              <w:left w:val="single" w:color="000000" w:sz="4" w:space="0"/>
              <w:bottom w:val="single" w:color="000000" w:sz="4" w:space="0"/>
              <w:right w:val="single" w:color="000000" w:sz="4" w:space="0"/>
            </w:tcBorders>
            <w:shd w:val="clear" w:color="auto" w:fill="969696"/>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895" w:type="dxa"/>
            <w:tcBorders>
              <w:top w:val="single" w:color="000000" w:sz="4" w:space="0"/>
              <w:left w:val="single" w:color="000000" w:sz="4" w:space="0"/>
              <w:bottom w:val="single" w:color="000000" w:sz="4" w:space="0"/>
              <w:right w:val="single" w:color="000000" w:sz="4" w:space="0"/>
            </w:tcBorders>
            <w:shd w:val="clear" w:color="auto" w:fill="96969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指标评价内容</w:t>
            </w:r>
          </w:p>
        </w:tc>
        <w:tc>
          <w:tcPr>
            <w:tcW w:w="832" w:type="dxa"/>
            <w:tcBorders>
              <w:top w:val="single" w:color="000000" w:sz="4" w:space="0"/>
              <w:left w:val="single" w:color="000000" w:sz="4" w:space="0"/>
              <w:bottom w:val="single" w:color="000000" w:sz="4" w:space="0"/>
              <w:right w:val="single" w:color="000000" w:sz="4" w:space="0"/>
            </w:tcBorders>
            <w:shd w:val="clear" w:color="auto" w:fill="969696"/>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评分标准</w:t>
            </w:r>
          </w:p>
        </w:tc>
        <w:tc>
          <w:tcPr>
            <w:tcW w:w="1568" w:type="dxa"/>
            <w:tcBorders>
              <w:top w:val="single" w:color="000000" w:sz="4" w:space="0"/>
              <w:left w:val="single" w:color="000000" w:sz="4" w:space="0"/>
              <w:bottom w:val="single" w:color="000000" w:sz="4" w:space="0"/>
              <w:right w:val="single" w:color="000000" w:sz="4" w:space="0"/>
            </w:tcBorders>
            <w:shd w:val="clear" w:color="auto" w:fill="969696"/>
            <w:tcMar>
              <w:top w:w="15" w:type="dxa"/>
              <w:left w:w="15" w:type="dxa"/>
              <w:right w:w="15" w:type="dxa"/>
            </w:tcMar>
            <w:vAlign w:val="center"/>
          </w:tcPr>
          <w:p>
            <w:pPr>
              <w:jc w:val="center"/>
              <w:rPr>
                <w:rFonts w:hint="eastAsia" w:ascii="宋体" w:hAnsi="宋体" w:eastAsia="宋体" w:cs="宋体"/>
                <w:b/>
                <w:i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5400" w:type="dxa"/>
            <w:gridSpan w:val="7"/>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504"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100</w:t>
            </w:r>
          </w:p>
        </w:tc>
        <w:tc>
          <w:tcPr>
            <w:tcW w:w="860"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98.50 </w:t>
            </w:r>
          </w:p>
        </w:tc>
        <w:tc>
          <w:tcPr>
            <w:tcW w:w="1895"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rPr>
                <w:rFonts w:hint="eastAsia" w:ascii="宋体" w:hAnsi="宋体" w:eastAsia="宋体" w:cs="宋体"/>
                <w:b/>
                <w:i w:val="0"/>
                <w:color w:val="000000"/>
                <w:sz w:val="20"/>
                <w:szCs w:val="20"/>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0" w:hRule="atLeast"/>
        </w:trPr>
        <w:tc>
          <w:tcPr>
            <w:tcW w:w="483" w:type="dxa"/>
            <w:vMerge w:val="restar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基本运行绩效                                                        （40分）</w:t>
            </w:r>
          </w:p>
        </w:tc>
        <w:tc>
          <w:tcPr>
            <w:tcW w:w="622" w:type="dxa"/>
            <w:vMerge w:val="restar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预算管理（12分）</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1.预算管理体系科学性（3分）</w:t>
            </w: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3.00 </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评价预算部门是否构建层级分明、目标清晰、管控有力的预算管理体系。包括：①推动项目库建设情况：②实行定期清理、滚动管理情况；③强化资金统筹调控；④压减经常性项目数量情况；⑤实施项目排序管理情况；⑥推进预算定额标准体系建设情况等。</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每开展有1项的，得0.5分，最高得3分。</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8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2.预算执行率（3分）</w:t>
            </w: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3.00 </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预算执行率=决算数÷预算数（调整预算数）×100%。预算数一般采用年初预算数，如存在政策变化等因素时采用调整预算数。调整预算数可不包括年终时已进入政府采购程序的项目和跨年度执行的基建项目。</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得分=分值×预算执行率。①执行率≥90%的，得满分；②执行率低于≤30%的，得0分。其余情形按照计算得分。</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6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3.“三公”经费控制率（3分）</w:t>
            </w: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3.00 </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评价预算部门在“三公”经费方面的控制情况。</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“三公”经费决算数每有1项超预算的，扣1分，直该分值至扣完。</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8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4.预算结余率（3分）</w:t>
            </w: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3.00 </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预算结余率=（调整预算数-决算数-经财政核定的结转预算数）÷调整预算数</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①预算结余率≤4%的，得3分；②4%＜预算结余率≤8%，得分=3*[1-（部门实际预算结余率-4%）/4%]；③预算结余率＞8%的，得0分；</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6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22" w:type="dxa"/>
            <w:vMerge w:val="restar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财务管理（4 分）</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1.管理制度健全性（2分）</w:t>
            </w: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2.00 </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评价部门在加强预算管理、推进厉行节约、规范财务行为方面的管理制度是否健全。包括：是否已制定有预算资金管理办法、厉行节约管理措施、内部财务管理制度、会计核算制度等管理制度。</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每制定有1个方面制度的，得0.5分，最高得2分。</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4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2.资金使用合规性（2分）</w:t>
            </w: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2.00 </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评价部门资金使用是否符合相关的预算财务管理制度的规定。根据人大监督、纪检监察、巡视巡察、审计监督、财政监督、财政重点绩效管理等方面检查结果，反映部门上一年度部门预算管理是否合规。</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根据评价年度人大监督、纪检监察、巡视巡察、审计监督、财政监督、财政重点绩效管理等方面检查结果，发现的违纪违规问题的数量评分。每有1个问题扣1分，直至该项分值扣完。</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0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资产管理（2分）</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固定资产利用率（2分）</w:t>
            </w: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2.00 </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评价预算部门实际在用固定资产总额与所有固定资产总额比率，用以反映和考核部门固定资产使用效率。固定资产使用率=（实际在用固定资产总额÷所有固定资产总额）×100%。</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得分=分值×固定资产使用率。固定资产在用率≥95%以上的，得满分。相较95%，每降低5个百分点扣0.5分，直至该分值扣完。</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15"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政府采购管理（2分）</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政府采购规范性（2分）</w:t>
            </w: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2.00 </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评价预算部门的政府采购项目采购程序、采购方式等方面的规范性情况。</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每存在有1个不规范情形的，扣0.5分，直至该分值扣完。</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2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22" w:type="dxa"/>
            <w:vMerge w:val="restar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绩效管理（20分）</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1.绩效目标编制质量（4分）</w:t>
            </w: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4.00 </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评价预算部门编制的部门整体绩效目标要素是否完整，指标是否细化量化和可衡量。</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绩效目标要素完整性和指标细化、量化、可衡量性等方面每有1个问题扣0.5分，直至该分值扣完。                                                                    </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94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2.事前绩效评估（3分）</w:t>
            </w: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3.00 </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评价预算部门对新增预算项目、新增额度的延续性项目和追加预算项目的事前绩效评估情况。</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实行扣分制。被平价年度内无新增预算项目、新增额度的延续性项目和追加预算项目的，得满分。有上述任一情形，每有1个项目未提供事前自评估报告的，扣分0.5分，直至该分值扣完。</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80" w:hRule="atLeast"/>
        </w:trPr>
        <w:tc>
          <w:tcPr>
            <w:tcW w:w="483" w:type="dxa"/>
            <w:vMerge w:val="restar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基本运行绩效                                                        （40分）</w:t>
            </w:r>
          </w:p>
        </w:tc>
        <w:tc>
          <w:tcPr>
            <w:tcW w:w="622" w:type="dxa"/>
            <w:vMerge w:val="restar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绩效管理（20分）</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3.事中绩效监控（4分）</w:t>
            </w: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4.00 </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评价预算部门对事中绩效运行监控工作的开展落实情况。</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①当部门绩效监控调整取消额和结余注销额均不为零时，得分=部门项目支出绩效监控调整取消额÷(部门绩效监控调整取消额+预算结余注销额）×4分； ②当部门绩效监控调整取消额为零，结余注销额不为零时，指标得分=（1-10×结余注销额/年度预算总额）×4分；③结余注销额超过部门年度预算总额10%的，指标不得分；④当部门绩效监控调整取消额与结余注销额均为零时，得满分。                                               </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4.事后绩效自评（3分）</w:t>
            </w: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3.00 </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根据自评项目覆盖率评价预算部门对事后绩效自评工作的开展落实情况。项目自评覆盖率=应实施自评项目数量（个）÷实际开展自评项目数量（个）×100%。</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得分=分值×自评项目覆盖率。</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5.绩效结果应用率（4分）</w:t>
            </w: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4.00 </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评价预算部门绩效管理结果应用落实情况。绩效结果应用率=绩效管理各环节绩效管理发现的问题和建议得到实际应用的数量÷绩效管理各环节绩效管理发现的问题和建议总数×100%。</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得分=分值×绩效结果应用率。需要预算部门提供结果应用充分的佐证资料，无佐证资料或证明力度不足的，得0分。</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16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6.绩效信息公开（2分）</w:t>
            </w: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2.00 </w:t>
            </w:r>
          </w:p>
        </w:tc>
        <w:tc>
          <w:tcPr>
            <w:tcW w:w="1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评价预算部门是否按要求在规定时间节点将规定的绩效管理信息向社会公开。</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公开内容和公开时间每涉及有1个不符合《德阳市市级预算绩效信息公开规程 》要求的，扣0.5分，直至该分值扣完。</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00" w:hRule="atLeast"/>
        </w:trPr>
        <w:tc>
          <w:tcPr>
            <w:tcW w:w="483" w:type="dxa"/>
            <w:vMerge w:val="restar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重点履职绩效                                   （50分）</w:t>
            </w:r>
          </w:p>
        </w:tc>
        <w:tc>
          <w:tcPr>
            <w:tcW w:w="62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重点任务一</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加快运输市场行业管理</w:t>
            </w: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375.15</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343.06</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9.50 </w:t>
            </w:r>
          </w:p>
        </w:tc>
        <w:tc>
          <w:tcPr>
            <w:tcW w:w="18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①指标设定：由部门（单位）根据部门整体绩效目标申报表设定重点任务关键一、二级指标。②分值设定，各项重点任务分值由部门（单位）根据任务重要性，在“重点履职绩效 ”总权重分值（50分）中分配设定。</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评分标准：与年初绩效目标比，达到或超过设定的绩效目标的，得满分；低于设定的绩效目标，每低1个百分点扣1分，直至该分值扣完。</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0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加强公路路政管理</w:t>
            </w: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14.35</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9.00 </w:t>
            </w:r>
          </w:p>
        </w:tc>
        <w:tc>
          <w:tcPr>
            <w:tcW w:w="18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0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提高公路养护管理水平</w:t>
            </w: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181.54</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340.89</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 xml:space="preserve"> 10.00 </w:t>
            </w:r>
          </w:p>
        </w:tc>
        <w:tc>
          <w:tcPr>
            <w:tcW w:w="18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0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机关运行</w:t>
            </w: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1601.5</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1862.73</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 xml:space="preserve"> 10.00 </w:t>
            </w:r>
          </w:p>
        </w:tc>
        <w:tc>
          <w:tcPr>
            <w:tcW w:w="18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0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62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项目经费</w:t>
            </w: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1619.65</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2478.87</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 xml:space="preserve"> 10.00 </w:t>
            </w:r>
          </w:p>
        </w:tc>
        <w:tc>
          <w:tcPr>
            <w:tcW w:w="18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00" w:hRule="atLeast"/>
        </w:trPr>
        <w:tc>
          <w:tcPr>
            <w:tcW w:w="483" w:type="dxa"/>
            <w:vMerge w:val="restart"/>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                         （10分）</w:t>
            </w:r>
          </w:p>
        </w:tc>
        <w:tc>
          <w:tcPr>
            <w:tcW w:w="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w:t>
            </w: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w:t>
            </w:r>
            <w:r>
              <w:rPr>
                <w:rStyle w:val="17"/>
                <w:lang w:val="en-US" w:eastAsia="zh-CN" w:bidi="ar"/>
              </w:rPr>
              <w:t>85%</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w:t>
            </w:r>
            <w:r>
              <w:rPr>
                <w:rStyle w:val="17"/>
                <w:lang w:val="en-US" w:eastAsia="zh-CN" w:bidi="ar"/>
              </w:rPr>
              <w:t>85%</w:t>
            </w: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10 </w:t>
            </w: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lang w:val="en-US" w:eastAsia="zh-CN" w:bidi="ar"/>
              </w:rPr>
              <w:t xml:space="preserve"> 10.00 </w:t>
            </w:r>
          </w:p>
        </w:tc>
        <w:tc>
          <w:tcPr>
            <w:tcW w:w="18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①指标设定：满意度指标的一、二级指标名称和相应的指标值由部门（单位）根据部门整体绩效目标申报表填报。②分值设定：各项满意度指标分值由部门（单位）根据涉及的各类满意度指标重要性，在总权重分值（10分）中分配设定。若某部门不涉及任何满意度指标，则将指标分值10分调整到“重点履职绩效”指标中，分值分配按照设定“重点任务”指标权重分配。</w:t>
            </w:r>
          </w:p>
        </w:tc>
        <w:tc>
          <w:tcPr>
            <w:tcW w:w="8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评分标准：与年初绩效目标比，达到或超过设定的绩效目标的，得满分；低于设定的绩效目标，每低1个百分点扣2分，直至该分值扣完。</w:t>
            </w: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00" w:hRule="atLeast"/>
        </w:trPr>
        <w:tc>
          <w:tcPr>
            <w:tcW w:w="483" w:type="dxa"/>
            <w:vMerge w:val="continue"/>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3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81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8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8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00" w:hRule="atLeast"/>
        </w:trPr>
        <w:tc>
          <w:tcPr>
            <w:tcW w:w="483"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自评结论：</w:t>
            </w:r>
          </w:p>
        </w:tc>
        <w:tc>
          <w:tcPr>
            <w:tcW w:w="10576"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2022年财政拨款基本保障了我局的人员和公用经费以及履行职能、职责完成交通各项工作任务的运转所需经费。各项任务都得以完成，预算执行好，能够达到本部门预期效益。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00" w:hRule="atLeast"/>
        </w:trPr>
        <w:tc>
          <w:tcPr>
            <w:tcW w:w="1105"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存在问题：</w:t>
            </w:r>
          </w:p>
        </w:tc>
        <w:tc>
          <w:tcPr>
            <w:tcW w:w="99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预决算数据不一致，预算编制工作有待改进。主要是上级补助资金项目和上级安排的临时性工作任务年初无法预估。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300" w:hRule="atLeast"/>
        </w:trPr>
        <w:tc>
          <w:tcPr>
            <w:tcW w:w="1105" w:type="dxa"/>
            <w:gridSpan w:val="2"/>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改进措施：</w:t>
            </w:r>
          </w:p>
        </w:tc>
        <w:tc>
          <w:tcPr>
            <w:tcW w:w="99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5"/>
                <w:szCs w:val="15"/>
                <w:u w:val="none"/>
              </w:rPr>
            </w:pPr>
            <w:r>
              <w:rPr>
                <w:rFonts w:hint="eastAsia" w:ascii="宋体" w:hAnsi="宋体" w:eastAsia="宋体" w:cs="宋体"/>
                <w:b/>
                <w:i w:val="0"/>
                <w:color w:val="000000"/>
                <w:kern w:val="0"/>
                <w:sz w:val="15"/>
                <w:szCs w:val="15"/>
                <w:u w:val="none"/>
                <w:lang w:val="en-US" w:eastAsia="zh-CN" w:bidi="ar"/>
              </w:rPr>
              <w:t>加强预算编制的科学性，准确测算项目需求，杜绝粗略概算，提高预算编制质量。同时加强对上级部门、本级财政部门沟通，提前掌握上级下达资金的第一手资料，编入年初预算。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0" w:hRule="atLeast"/>
        </w:trPr>
        <w:tc>
          <w:tcPr>
            <w:tcW w:w="11059" w:type="dxa"/>
            <w:gridSpan w:val="12"/>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若某部门不存在某项评价内容或评价指标（在指标对应的备注栏中作相应说明），则该评价内容或评价指标不计入该部门考核评价范围，即该部门评价总分＝不含该评价内容或指标的评价总分/（100-该评价内容或指标所占分值）*100。</w:t>
            </w:r>
          </w:p>
        </w:tc>
      </w:tr>
    </w:tbl>
    <w:p>
      <w:pPr>
        <w:keepNext/>
        <w:keepLines/>
        <w:spacing w:beforeLines="0" w:after="120" w:afterLines="0" w:line="560" w:lineRule="exact"/>
        <w:ind w:firstLine="640"/>
        <w:jc w:val="both"/>
        <w:rPr>
          <w:rFonts w:hint="eastAsia" w:ascii="仿宋_GB2312" w:hAnsi="仿宋_GB2312" w:eastAsia="仿宋_GB2312"/>
          <w:color w:val="auto"/>
          <w:sz w:val="32"/>
          <w:lang w:val="zh-CN"/>
        </w:rPr>
      </w:pPr>
    </w:p>
    <w:p>
      <w:pPr>
        <w:spacing w:beforeLines="0" w:afterLines="0"/>
        <w:jc w:val="both"/>
        <w:rPr>
          <w:rFonts w:hint="eastAsia" w:ascii="仿宋_GB2312" w:hAnsi="仿宋_GB2312" w:eastAsia="仿宋_GB2312"/>
          <w:color w:val="auto"/>
          <w:sz w:val="32"/>
          <w:lang w:val="zh-CN"/>
        </w:rPr>
      </w:pPr>
    </w:p>
    <w:p>
      <w:pPr>
        <w:pStyle w:val="2"/>
        <w:rPr>
          <w:rFonts w:hint="eastAsia" w:ascii="仿宋_GB2312" w:hAnsi="仿宋_GB2312" w:eastAsia="仿宋_GB2312"/>
          <w:color w:val="auto"/>
          <w:sz w:val="32"/>
          <w:lang w:val="zh-CN"/>
        </w:rPr>
      </w:pPr>
    </w:p>
    <w:p>
      <w:pPr>
        <w:pStyle w:val="2"/>
        <w:rPr>
          <w:rFonts w:hint="eastAsia" w:ascii="仿宋_GB2312" w:hAnsi="仿宋_GB2312" w:eastAsia="仿宋_GB2312"/>
          <w:color w:val="auto"/>
          <w:sz w:val="32"/>
          <w:lang w:val="zh-CN"/>
        </w:rPr>
      </w:pPr>
    </w:p>
    <w:p>
      <w:pPr>
        <w:pStyle w:val="2"/>
        <w:rPr>
          <w:rFonts w:hint="eastAsia" w:ascii="仿宋_GB2312" w:hAnsi="仿宋_GB2312" w:eastAsia="仿宋_GB2312"/>
          <w:color w:val="auto"/>
          <w:sz w:val="32"/>
          <w:lang w:val="zh-CN"/>
        </w:rPr>
      </w:pPr>
    </w:p>
    <w:p>
      <w:pPr>
        <w:pStyle w:val="2"/>
        <w:rPr>
          <w:rFonts w:hint="eastAsia" w:ascii="仿宋_GB2312" w:hAnsi="仿宋_GB2312" w:eastAsia="仿宋_GB2312"/>
          <w:color w:val="auto"/>
          <w:sz w:val="32"/>
          <w:lang w:val="zh-CN"/>
        </w:rPr>
      </w:pPr>
    </w:p>
    <w:p>
      <w:pPr>
        <w:pStyle w:val="2"/>
        <w:rPr>
          <w:rFonts w:hint="eastAsia" w:ascii="仿宋_GB2312" w:hAnsi="仿宋_GB2312" w:eastAsia="仿宋_GB2312"/>
          <w:color w:val="auto"/>
          <w:sz w:val="32"/>
          <w:lang w:val="zh-CN"/>
        </w:rPr>
      </w:pPr>
    </w:p>
    <w:p>
      <w:pPr>
        <w:pStyle w:val="2"/>
        <w:rPr>
          <w:rFonts w:hint="eastAsia" w:ascii="仿宋_GB2312" w:hAnsi="仿宋_GB2312" w:eastAsia="仿宋_GB2312"/>
          <w:color w:val="auto"/>
          <w:sz w:val="32"/>
          <w:lang w:val="zh-CN"/>
        </w:rPr>
      </w:pPr>
    </w:p>
    <w:p>
      <w:pPr>
        <w:pStyle w:val="2"/>
        <w:rPr>
          <w:rFonts w:hint="eastAsia" w:ascii="仿宋_GB2312" w:hAnsi="仿宋_GB2312" w:eastAsia="仿宋_GB2312"/>
          <w:color w:val="auto"/>
          <w:sz w:val="32"/>
          <w:lang w:val="zh-CN"/>
        </w:rPr>
      </w:pPr>
    </w:p>
    <w:p>
      <w:pPr>
        <w:pStyle w:val="2"/>
        <w:rPr>
          <w:rFonts w:hint="eastAsia" w:ascii="仿宋_GB2312" w:hAnsi="仿宋_GB2312" w:eastAsia="仿宋_GB2312"/>
          <w:color w:val="auto"/>
          <w:sz w:val="32"/>
          <w:lang w:val="zh-CN"/>
        </w:rPr>
      </w:pPr>
    </w:p>
    <w:p>
      <w:pPr>
        <w:pStyle w:val="2"/>
        <w:rPr>
          <w:rFonts w:hint="eastAsia" w:ascii="仿宋_GB2312" w:hAnsi="仿宋_GB2312" w:eastAsia="仿宋_GB2312"/>
          <w:color w:val="auto"/>
          <w:sz w:val="32"/>
          <w:lang w:val="zh-CN"/>
        </w:rPr>
      </w:pPr>
    </w:p>
    <w:p>
      <w:pPr>
        <w:spacing w:beforeLines="0" w:afterLines="0"/>
        <w:jc w:val="both"/>
        <w:rPr>
          <w:rFonts w:hint="eastAsia" w:ascii="仿宋_GB2312" w:hAnsi="仿宋_GB2312" w:eastAsia="仿宋_GB2312"/>
          <w:color w:val="auto"/>
          <w:sz w:val="32"/>
          <w:lang w:val="zh-CN"/>
        </w:rPr>
      </w:pPr>
    </w:p>
    <w:p>
      <w:pPr>
        <w:spacing w:beforeLines="0" w:afterLines="0"/>
        <w:jc w:val="both"/>
        <w:rPr>
          <w:rFonts w:hint="eastAsia" w:ascii="仿宋_GB2312" w:hAnsi="仿宋_GB2312" w:eastAsia="仿宋_GB2312"/>
          <w:color w:val="auto"/>
          <w:sz w:val="32"/>
          <w:lang w:val="en-US"/>
        </w:rPr>
      </w:pPr>
      <w:r>
        <w:rPr>
          <w:rFonts w:hint="eastAsia" w:ascii="仿宋_GB2312" w:hAnsi="仿宋_GB2312" w:eastAsia="仿宋_GB2312"/>
          <w:color w:val="auto"/>
          <w:sz w:val="32"/>
          <w:lang w:val="zh-CN"/>
        </w:rPr>
        <w:t>附件</w:t>
      </w:r>
      <w:r>
        <w:rPr>
          <w:rFonts w:hint="eastAsia" w:ascii="仿宋_GB2312" w:hAnsi="仿宋_GB2312" w:eastAsia="仿宋_GB2312"/>
          <w:color w:val="auto"/>
          <w:sz w:val="32"/>
          <w:lang w:val="en-US"/>
        </w:rPr>
        <w:t>2</w:t>
      </w:r>
    </w:p>
    <w:p>
      <w:pPr>
        <w:spacing w:line="600" w:lineRule="exact"/>
        <w:jc w:val="center"/>
        <w:rPr>
          <w:rFonts w:hint="eastAsia" w:ascii="方正小标宋简体" w:hAnsi="宋体" w:eastAsia="方正小标宋简体"/>
          <w:sz w:val="36"/>
          <w:szCs w:val="36"/>
          <w:shd w:val="clear" w:color="auto" w:fill="FFFFFF"/>
        </w:rPr>
      </w:pPr>
      <w:bookmarkStart w:id="61" w:name="_Toc454_WPSOffice_Level2"/>
      <w:bookmarkStart w:id="62" w:name="_Toc5223_WPSOffice_Level2"/>
      <w:bookmarkStart w:id="63" w:name="_Toc6493_WPSOffice_Level2"/>
      <w:bookmarkStart w:id="64" w:name="_Toc9861_WPSOffice_Level2"/>
      <w:bookmarkStart w:id="65" w:name="_Toc27644_WPSOffice_Level2"/>
      <w:r>
        <w:rPr>
          <w:rFonts w:hint="eastAsia" w:ascii="方正小标宋简体" w:hAnsi="宋体" w:eastAsia="方正小标宋简体"/>
          <w:sz w:val="36"/>
          <w:szCs w:val="36"/>
          <w:shd w:val="clear" w:color="auto" w:fill="FFFFFF"/>
          <w:lang w:eastAsia="zh-CN"/>
        </w:rPr>
        <w:t>罗江区交通运输局</w:t>
      </w:r>
      <w:r>
        <w:rPr>
          <w:rFonts w:hint="eastAsia" w:ascii="方正小标宋简体" w:hAnsi="宋体" w:eastAsia="方正小标宋简体"/>
          <w:sz w:val="36"/>
          <w:szCs w:val="36"/>
          <w:shd w:val="clear" w:color="auto" w:fill="FFFFFF"/>
        </w:rPr>
        <w:t>202</w:t>
      </w:r>
      <w:r>
        <w:rPr>
          <w:rFonts w:hint="eastAsia" w:ascii="方正小标宋简体" w:hAnsi="宋体" w:eastAsia="方正小标宋简体"/>
          <w:sz w:val="36"/>
          <w:szCs w:val="36"/>
          <w:shd w:val="clear" w:color="auto" w:fill="FFFFFF"/>
          <w:lang w:val="en-US" w:eastAsia="zh-CN"/>
        </w:rPr>
        <w:t>2</w:t>
      </w:r>
      <w:r>
        <w:rPr>
          <w:rFonts w:hint="eastAsia" w:ascii="方正小标宋简体" w:hAnsi="宋体" w:eastAsia="方正小标宋简体"/>
          <w:sz w:val="36"/>
          <w:szCs w:val="36"/>
          <w:shd w:val="clear" w:color="auto" w:fill="FFFFFF"/>
        </w:rPr>
        <w:t>年</w:t>
      </w:r>
      <w:r>
        <w:rPr>
          <w:rFonts w:hint="eastAsia" w:ascii="方正小标宋简体" w:hAnsi="宋体" w:eastAsia="方正小标宋简体"/>
          <w:sz w:val="36"/>
          <w:szCs w:val="36"/>
          <w:shd w:val="clear" w:color="auto" w:fill="FFFFFF"/>
          <w:lang w:eastAsia="zh-CN"/>
        </w:rPr>
        <w:t>专项</w:t>
      </w:r>
      <w:r>
        <w:rPr>
          <w:rFonts w:hint="eastAsia" w:ascii="方正小标宋简体" w:hAnsi="宋体" w:eastAsia="方正小标宋简体"/>
          <w:sz w:val="36"/>
          <w:szCs w:val="36"/>
          <w:shd w:val="clear" w:color="auto" w:fill="FFFFFF"/>
        </w:rPr>
        <w:t>预算</w:t>
      </w:r>
      <w:bookmarkEnd w:id="61"/>
      <w:bookmarkEnd w:id="62"/>
      <w:bookmarkEnd w:id="63"/>
    </w:p>
    <w:p>
      <w:pPr>
        <w:spacing w:line="600" w:lineRule="exact"/>
        <w:jc w:val="center"/>
        <w:rPr>
          <w:rFonts w:hint="eastAsia" w:ascii="方正小标宋简体" w:hAnsi="宋体" w:eastAsia="方正小标宋简体"/>
          <w:sz w:val="44"/>
          <w:szCs w:val="44"/>
          <w:shd w:val="clear" w:color="auto" w:fill="FFFFFF"/>
        </w:rPr>
      </w:pPr>
      <w:bookmarkStart w:id="66" w:name="_Toc32314_WPSOffice_Level2"/>
      <w:bookmarkStart w:id="67" w:name="_Toc4692_WPSOffice_Level2"/>
      <w:bookmarkStart w:id="68" w:name="_Toc4175_WPSOffice_Level2"/>
      <w:r>
        <w:rPr>
          <w:rFonts w:hint="eastAsia" w:ascii="方正小标宋简体" w:hAnsi="宋体" w:eastAsia="方正小标宋简体"/>
          <w:sz w:val="36"/>
          <w:szCs w:val="36"/>
          <w:shd w:val="clear" w:color="auto" w:fill="FFFFFF"/>
        </w:rPr>
        <w:t>项目支出绩效自评报告</w:t>
      </w:r>
      <w:bookmarkEnd w:id="64"/>
      <w:bookmarkEnd w:id="65"/>
      <w:bookmarkEnd w:id="66"/>
      <w:bookmarkEnd w:id="67"/>
      <w:bookmarkEnd w:id="68"/>
    </w:p>
    <w:p>
      <w:pPr>
        <w:jc w:val="center"/>
        <w:rPr>
          <w:rFonts w:hint="eastAsia"/>
          <w:b/>
          <w:bCs/>
          <w:color w:val="0000FF"/>
          <w:sz w:val="44"/>
          <w:szCs w:val="44"/>
          <w:lang w:val="en-US" w:eastAsia="zh-CN"/>
        </w:rPr>
      </w:pPr>
      <w:bookmarkStart w:id="69" w:name="_Toc32044_WPSOffice_Level2"/>
      <w:bookmarkStart w:id="70" w:name="_Toc20155_WPSOffice_Level2"/>
      <w:bookmarkStart w:id="71" w:name="_Toc30596_WPSOffice_Level2"/>
      <w:r>
        <w:rPr>
          <w:rFonts w:hint="eastAsia"/>
          <w:b w:val="0"/>
          <w:bCs w:val="0"/>
          <w:sz w:val="28"/>
          <w:szCs w:val="28"/>
          <w:lang w:val="en-US" w:eastAsia="zh-CN"/>
        </w:rPr>
        <w:t>（</w:t>
      </w:r>
      <w:r>
        <w:rPr>
          <w:rFonts w:hint="eastAsia" w:ascii="方正小标宋简体" w:hAnsi="方正小标宋简体" w:eastAsia="方正小标宋简体" w:cs="方正小标宋简体"/>
          <w:color w:val="auto"/>
          <w:kern w:val="2"/>
          <w:sz w:val="28"/>
          <w:szCs w:val="28"/>
          <w:lang w:val="en-US" w:eastAsia="zh-CN" w:bidi="ar-SA"/>
        </w:rPr>
        <w:t>公路小修保养）</w:t>
      </w:r>
      <w:bookmarkEnd w:id="69"/>
      <w:bookmarkEnd w:id="70"/>
      <w:bookmarkEnd w:id="71"/>
    </w:p>
    <w:p>
      <w:pPr>
        <w:adjustRightInd w:val="0"/>
        <w:snapToGrid w:val="0"/>
        <w:spacing w:line="600" w:lineRule="exact"/>
        <w:ind w:firstLine="720"/>
        <w:rPr>
          <w:rFonts w:hint="eastAsia" w:ascii="黑体" w:hAnsi="宋体" w:eastAsia="黑体"/>
          <w:sz w:val="32"/>
          <w:szCs w:val="32"/>
          <w:lang w:val="zh-CN"/>
        </w:rPr>
      </w:pPr>
      <w:bookmarkStart w:id="72" w:name="_Toc17860_WPSOffice_Level2"/>
      <w:bookmarkStart w:id="73" w:name="_Toc745_WPSOffice_Level2"/>
      <w:bookmarkStart w:id="74" w:name="_Toc639_WPSOffice_Level2"/>
      <w:bookmarkStart w:id="75" w:name="_Toc9168_WPSOffice_Level2"/>
      <w:bookmarkStart w:id="76" w:name="_Toc21464_WPSOffice_Level2"/>
      <w:r>
        <w:rPr>
          <w:rFonts w:hint="eastAsia" w:ascii="黑体" w:hAnsi="宋体" w:eastAsia="黑体"/>
          <w:sz w:val="32"/>
          <w:szCs w:val="32"/>
        </w:rPr>
        <w:t>一、</w:t>
      </w:r>
      <w:r>
        <w:rPr>
          <w:rFonts w:hint="eastAsia" w:ascii="黑体" w:hAnsi="宋体" w:eastAsia="黑体"/>
          <w:sz w:val="32"/>
          <w:szCs w:val="32"/>
          <w:lang w:val="zh-CN"/>
        </w:rPr>
        <w:t>项目概况</w:t>
      </w:r>
      <w:bookmarkEnd w:id="72"/>
      <w:bookmarkEnd w:id="73"/>
      <w:bookmarkEnd w:id="74"/>
      <w:bookmarkEnd w:id="75"/>
      <w:bookmarkEnd w:id="76"/>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（一）项目基本情况。</w:t>
      </w:r>
    </w:p>
    <w:p>
      <w:pPr>
        <w:snapToGrid w:val="0"/>
        <w:spacing w:line="520" w:lineRule="exact"/>
        <w:ind w:firstLine="640" w:firstLineChars="200"/>
        <w:rPr>
          <w:rFonts w:hint="eastAsia" w:ascii="仿宋_GB2312" w:hAnsi="仿宋_GB2312" w:eastAsia="仿宋_GB2312" w:cs="仿宋_GB2312"/>
          <w:b w:val="0"/>
          <w:bCs/>
          <w:szCs w:val="32"/>
          <w:lang w:val="en-US" w:eastAsia="zh-CN"/>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val="zh-CN"/>
        </w:rPr>
        <w:t>德阳市罗江区公路管理所职能，</w:t>
      </w:r>
      <w:r>
        <w:rPr>
          <w:rFonts w:hint="eastAsia" w:ascii="仿宋_GB2312" w:hAnsi="仿宋_GB2312" w:eastAsia="仿宋_GB2312" w:cs="仿宋_GB2312"/>
          <w:sz w:val="32"/>
          <w:szCs w:val="32"/>
        </w:rPr>
        <w:t>负责全区</w:t>
      </w:r>
      <w:r>
        <w:rPr>
          <w:rFonts w:hint="eastAsia" w:ascii="仿宋_GB2312" w:hAnsi="仿宋_GB2312" w:eastAsia="仿宋_GB2312" w:cs="仿宋_GB2312"/>
          <w:sz w:val="32"/>
          <w:szCs w:val="32"/>
          <w:lang w:eastAsia="zh-CN"/>
        </w:rPr>
        <w:t>内的国、省、</w:t>
      </w:r>
      <w:r>
        <w:rPr>
          <w:rFonts w:hint="eastAsia" w:ascii="仿宋_GB2312" w:hAnsi="仿宋_GB2312" w:eastAsia="仿宋_GB2312" w:cs="仿宋_GB2312"/>
          <w:sz w:val="32"/>
          <w:szCs w:val="32"/>
        </w:rPr>
        <w:t>县道公路的管理和养护工作，直接负责组织实施</w:t>
      </w:r>
      <w:r>
        <w:rPr>
          <w:rFonts w:hint="eastAsia" w:ascii="仿宋_GB2312" w:hAnsi="仿宋_GB2312" w:eastAsia="仿宋_GB2312" w:cs="仿宋_GB2312"/>
          <w:sz w:val="32"/>
          <w:szCs w:val="32"/>
          <w:lang w:eastAsia="zh-CN"/>
        </w:rPr>
        <w:t>区内国、省、</w:t>
      </w:r>
      <w:r>
        <w:rPr>
          <w:rFonts w:hint="eastAsia" w:ascii="仿宋_GB2312" w:hAnsi="仿宋_GB2312" w:eastAsia="仿宋_GB2312" w:cs="仿宋_GB2312"/>
          <w:sz w:val="32"/>
          <w:szCs w:val="32"/>
        </w:rPr>
        <w:t>县道公路的日常小修保养，</w:t>
      </w:r>
      <w:r>
        <w:rPr>
          <w:rFonts w:hint="eastAsia" w:ascii="仿宋_GB2312" w:hAnsi="仿宋_GB2312" w:eastAsia="仿宋_GB2312" w:cs="仿宋_GB2312"/>
          <w:sz w:val="32"/>
          <w:szCs w:val="32"/>
          <w:lang w:eastAsia="zh-CN"/>
        </w:rPr>
        <w:t>确保完成上级下达的公路民生任务。</w:t>
      </w:r>
    </w:p>
    <w:p>
      <w:pPr>
        <w:adjustRightInd w:val="0"/>
        <w:snapToGrid w:val="0"/>
        <w:spacing w:line="600" w:lineRule="exact"/>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2.根据《中华人民共和国公路法》等法律法规以及《公路养护技术规范》（JTGH10-2017)等规定，2022年我所负责国省干线及县道公路319.711公里（包括国道28.355公里，省道67.238公里，县道224.118公里，），实施国省干线及县道公路和沿线设施的经常性维护保养修补其轻微损坏部分的作业，维护公路沿线设施处于完好状态，桥涵等构筑物安全运行，保障管养公路安全畅通，按照</w:t>
      </w:r>
      <w:r>
        <w:rPr>
          <w:rFonts w:hint="eastAsia" w:ascii="仿宋_GB2312" w:hAnsi="仿宋_GB2312" w:eastAsia="仿宋_GB2312" w:cs="仿宋_GB2312"/>
          <w:sz w:val="32"/>
          <w:szCs w:val="32"/>
        </w:rPr>
        <w:t>四川省交通厅《关于印发四川省公路小修保养工程经费编制办法（试行）》的通知（川交发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2009</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61号）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四川省交通运输厅《关于印发四川省普通国省干线公路养护工程管理办法》的通知（川交发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2018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40号）</w:t>
      </w:r>
      <w:r>
        <w:rPr>
          <w:rFonts w:hint="eastAsia" w:ascii="仿宋_GB2312" w:hAnsi="仿宋_GB2312" w:eastAsia="仿宋_GB2312" w:cs="仿宋_GB2312"/>
          <w:sz w:val="32"/>
          <w:szCs w:val="32"/>
          <w:lang w:eastAsia="zh-CN"/>
        </w:rPr>
        <w:t>及编制方法</w:t>
      </w:r>
      <w:r>
        <w:rPr>
          <w:rFonts w:hint="eastAsia" w:ascii="仿宋_GB2312" w:hAnsi="仿宋_GB2312" w:eastAsia="仿宋_GB2312" w:cs="仿宋_GB2312"/>
          <w:b w:val="0"/>
          <w:bCs/>
          <w:sz w:val="32"/>
          <w:szCs w:val="32"/>
          <w:lang w:val="en-US" w:eastAsia="zh-CN"/>
        </w:rPr>
        <w:t>等，测算编制了公路小修保养预算。</w:t>
      </w:r>
    </w:p>
    <w:p>
      <w:pPr>
        <w:adjustRightInd w:val="0"/>
        <w:snapToGrid w:val="0"/>
        <w:spacing w:line="600" w:lineRule="exact"/>
        <w:ind w:firstLine="640" w:firstLineChars="200"/>
        <w:rPr>
          <w:rFonts w:hint="eastAsia" w:ascii="仿宋_GB2312" w:hAnsi="仿宋_GB2312" w:eastAsia="仿宋_GB2312" w:cs="仿宋_GB2312"/>
          <w:b/>
          <w:sz w:val="32"/>
          <w:szCs w:val="32"/>
          <w:lang w:val="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按照项目决策、管理、绩效三类指标，对资金支出行为过程及其效果进行综合评价和判断。评价资金使用的科学性、合理性和有效性，分析存在的问题，提出完善资金管理的制度机制、提升资金使用效益的相关建议，为以后年度相关决策提供参考依据。</w:t>
      </w:r>
    </w:p>
    <w:p>
      <w:pPr>
        <w:snapToGrid w:val="0"/>
        <w:spacing w:line="600" w:lineRule="exact"/>
        <w:ind w:right="-65" w:rightChars="-27" w:firstLine="640" w:firstLineChars="200"/>
        <w:rPr>
          <w:rFonts w:hint="eastAsia" w:ascii="仿宋_GB2312" w:hAnsi="仿宋_GB2312" w:eastAsia="仿宋_GB2312" w:cs="仿宋_GB2312"/>
          <w:b/>
          <w:szCs w:val="32"/>
          <w:lang w:val="zh-CN"/>
        </w:rPr>
      </w:pPr>
      <w:r>
        <w:rPr>
          <w:rFonts w:hint="eastAsia" w:ascii="仿宋_GB2312" w:hAnsi="仿宋_GB2312" w:eastAsia="仿宋_GB2312" w:cs="仿宋_GB2312"/>
          <w:sz w:val="32"/>
          <w:szCs w:val="32"/>
          <w:lang w:val="en-US" w:eastAsia="zh-CN"/>
        </w:rPr>
        <w:t>4.考虑到区财政预算下达的养护资金有限，结合我所管养线路的路况，首先确保管养路线的路面通行安全（路面坑槽的及时修补、损坏安全设施的及时修复），其次保障公路日常的“畅洁绿美舒”。</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（二）项目绩效目标情况。</w:t>
      </w:r>
    </w:p>
    <w:p>
      <w:pPr>
        <w:adjustRightInd w:val="0"/>
        <w:snapToGrid w:val="0"/>
        <w:spacing w:line="600" w:lineRule="exact"/>
        <w:ind w:firstLine="72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1.项目主要内容。</w:t>
      </w:r>
    </w:p>
    <w:p>
      <w:pPr>
        <w:pStyle w:val="2"/>
        <w:keepNext w:val="0"/>
        <w:keepLines w:val="0"/>
        <w:pageBreakBefore w:val="0"/>
        <w:widowControl w:val="0"/>
        <w:kinsoku/>
        <w:wordWrap/>
        <w:overflowPunct/>
        <w:topLinePunct w:val="0"/>
        <w:autoSpaceDE/>
        <w:autoSpaceDN/>
        <w:bidi w:val="0"/>
        <w:spacing w:line="36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val="0"/>
          <w:bCs/>
          <w:color w:val="000000"/>
          <w:sz w:val="32"/>
          <w:szCs w:val="32"/>
          <w:lang w:val="en-US" w:eastAsia="zh-CN"/>
        </w:rPr>
        <w:t>保障</w:t>
      </w:r>
      <w:r>
        <w:rPr>
          <w:rFonts w:hint="eastAsia" w:ascii="仿宋_GB2312" w:hAnsi="仿宋_GB2312" w:eastAsia="仿宋_GB2312" w:cs="仿宋_GB2312"/>
          <w:sz w:val="32"/>
          <w:szCs w:val="32"/>
          <w:lang w:val="zh-CN"/>
        </w:rPr>
        <w:t>公路路面畅洁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zh-CN"/>
        </w:rPr>
        <w:t>绿化管护齐美；路基路面维修；桥涵养护维修；安全（附属）设施维修；突发性事件的紧急处置维护。</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lang w:val="zh-CN"/>
        </w:rPr>
        <w:t>项目绩效目标实现情况。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根据财政预算资金安排，结合管养路线的路况水平，及时做出需求调整，圆满完成上级下达的公路民生PQI性能指数90%的目标任务。数量指标、质量指标、时效指标、成本指标、社会效益指标、满意度指标均完成了年初的指标值。</w:t>
      </w:r>
    </w:p>
    <w:p>
      <w:pPr>
        <w:numPr>
          <w:ilvl w:val="0"/>
          <w:numId w:val="0"/>
        </w:numPr>
        <w:adjustRightInd w:val="0"/>
        <w:snapToGrid w:val="0"/>
        <w:spacing w:line="600" w:lineRule="exact"/>
        <w:ind w:left="720" w:leftChars="0"/>
        <w:rPr>
          <w:rFonts w:hint="eastAsia" w:ascii="仿宋_GB2312" w:hAnsi="仿宋_GB2312" w:eastAsia="仿宋_GB2312" w:cs="仿宋_GB2312"/>
          <w:b/>
          <w:sz w:val="32"/>
          <w:szCs w:val="32"/>
          <w:lang w:val="zh-CN"/>
        </w:rPr>
      </w:pPr>
      <w:r>
        <w:rPr>
          <w:rFonts w:hint="eastAsia" w:ascii="仿宋_GB2312" w:hAnsi="仿宋_GB2312" w:eastAsia="仿宋_GB2312" w:cs="仿宋_GB2312"/>
          <w:b/>
          <w:color w:val="auto"/>
          <w:sz w:val="32"/>
          <w:szCs w:val="32"/>
          <w:lang w:val="en-US" w:eastAsia="zh-CN"/>
        </w:rPr>
        <w:t>3.</w:t>
      </w:r>
      <w:r>
        <w:rPr>
          <w:rFonts w:hint="eastAsia" w:ascii="仿宋_GB2312" w:hAnsi="仿宋_GB2312" w:eastAsia="仿宋_GB2312" w:cs="仿宋_GB2312"/>
          <w:b/>
          <w:color w:val="auto"/>
          <w:sz w:val="32"/>
          <w:szCs w:val="32"/>
          <w:lang w:val="zh-CN"/>
        </w:rPr>
        <w:t>绩效目标编制质量。</w:t>
      </w:r>
    </w:p>
    <w:p>
      <w:pPr>
        <w:numPr>
          <w:ilvl w:val="0"/>
          <w:numId w:val="0"/>
        </w:numPr>
        <w:adjustRightInd w:val="0"/>
        <w:snapToGrid w:val="0"/>
        <w:spacing w:line="6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根据财政预算资金，结合管养路线的路况实际水平，编制的小修保养项目内容与实际情况相符，目标合理可行，达到预期效果。</w:t>
      </w:r>
    </w:p>
    <w:p>
      <w:pPr>
        <w:adjustRightInd w:val="0"/>
        <w:snapToGrid w:val="0"/>
        <w:spacing w:line="600" w:lineRule="exact"/>
        <w:ind w:firstLine="720"/>
        <w:rPr>
          <w:rFonts w:hint="eastAsia" w:ascii="方正楷体简体" w:hAnsi="宋体" w:eastAsia="方正楷体简体"/>
          <w:sz w:val="32"/>
          <w:szCs w:val="32"/>
          <w:lang w:val="zh-CN"/>
        </w:rPr>
      </w:pPr>
      <w:r>
        <w:rPr>
          <w:rFonts w:hint="eastAsia" w:ascii="仿宋_GB2312" w:hAnsi="仿宋_GB2312" w:eastAsia="仿宋_GB2312" w:cs="仿宋_GB2312"/>
          <w:sz w:val="32"/>
          <w:szCs w:val="32"/>
          <w:lang w:val="zh-CN"/>
        </w:rPr>
        <w:t>（三）项目自评步骤及方法。</w:t>
      </w:r>
    </w:p>
    <w:p>
      <w:pPr>
        <w:snapToGrid w:val="0"/>
        <w:spacing w:line="600" w:lineRule="exact"/>
        <w:ind w:right="-65" w:rightChars="-27"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sz w:val="32"/>
          <w:szCs w:val="32"/>
        </w:rPr>
        <w:t>根据德</w:t>
      </w:r>
      <w:r>
        <w:rPr>
          <w:rFonts w:hint="eastAsia" w:ascii="仿宋_GB2312" w:hAnsi="仿宋_GB2312" w:eastAsia="仿宋_GB2312" w:cs="仿宋_GB2312"/>
          <w:color w:val="auto"/>
          <w:sz w:val="32"/>
          <w:szCs w:val="32"/>
          <w:lang w:eastAsia="zh-CN"/>
        </w:rPr>
        <w:t>阳</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罗江区财政局</w:t>
      </w:r>
      <w:r>
        <w:rPr>
          <w:rFonts w:hint="eastAsia" w:ascii="仿宋_GB2312" w:hAnsi="仿宋_GB2312" w:eastAsia="仿宋_GB2312" w:cs="仿宋_GB2312"/>
          <w:color w:val="auto"/>
          <w:sz w:val="32"/>
          <w:szCs w:val="32"/>
        </w:rPr>
        <w:t>《关于</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度区级预算执行情况事后</w:t>
      </w:r>
      <w:r>
        <w:rPr>
          <w:rFonts w:hint="eastAsia" w:ascii="仿宋_GB2312" w:hAnsi="仿宋_GB2312" w:eastAsia="仿宋_GB2312" w:cs="仿宋_GB2312"/>
          <w:color w:val="auto"/>
          <w:sz w:val="32"/>
          <w:szCs w:val="32"/>
        </w:rPr>
        <w:t>绩效</w:t>
      </w:r>
      <w:r>
        <w:rPr>
          <w:rFonts w:hint="eastAsia" w:ascii="仿宋_GB2312" w:hAnsi="仿宋_GB2312" w:eastAsia="仿宋_GB2312" w:cs="仿宋_GB2312"/>
          <w:color w:val="auto"/>
          <w:sz w:val="32"/>
          <w:szCs w:val="32"/>
          <w:lang w:eastAsia="zh-CN"/>
        </w:rPr>
        <w:t>自评</w:t>
      </w:r>
      <w:r>
        <w:rPr>
          <w:rFonts w:hint="eastAsia" w:ascii="仿宋_GB2312" w:hAnsi="仿宋_GB2312" w:eastAsia="仿宋_GB2312" w:cs="仿宋_GB2312"/>
          <w:color w:val="auto"/>
          <w:sz w:val="32"/>
          <w:szCs w:val="32"/>
        </w:rPr>
        <w:t>工作的通知》（德市</w:t>
      </w:r>
      <w:r>
        <w:rPr>
          <w:rFonts w:hint="eastAsia" w:ascii="仿宋_GB2312" w:hAnsi="仿宋_GB2312" w:eastAsia="仿宋_GB2312" w:cs="仿宋_GB2312"/>
          <w:color w:val="auto"/>
          <w:sz w:val="32"/>
          <w:szCs w:val="32"/>
          <w:lang w:eastAsia="zh-CN"/>
        </w:rPr>
        <w:t>罗财绩</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要求</w:t>
      </w:r>
      <w:r>
        <w:rPr>
          <w:rFonts w:hint="eastAsia" w:ascii="仿宋_GB2312" w:hAnsi="仿宋_GB2312" w:eastAsia="仿宋_GB2312" w:cs="仿宋_GB2312"/>
          <w:sz w:val="32"/>
          <w:szCs w:val="32"/>
        </w:rPr>
        <w:t>按照前期准备、自评、现场评价、报告撰写四个阶段，以现场评价为主、非现场评价为辅，组织实施项目绩效评价工作。在收集项目文件资料、细化评价指标及评价标准的基础上，深入到部分项目点，实地查看项目实施情况，收集相关数据资料，通过汇总整理，结合单位项目绩效自评报告，定量和定性分析形成评价结论，经过复核和交换意见后，形成绩效评价报告。</w:t>
      </w:r>
    </w:p>
    <w:p>
      <w:pPr>
        <w:adjustRightInd w:val="0"/>
        <w:snapToGrid w:val="0"/>
        <w:spacing w:line="600" w:lineRule="exact"/>
        <w:ind w:firstLine="720"/>
        <w:rPr>
          <w:rFonts w:hint="eastAsia" w:ascii="黑体" w:hAnsi="黑体" w:eastAsia="黑体" w:cs="黑体"/>
          <w:sz w:val="32"/>
          <w:szCs w:val="32"/>
        </w:rPr>
      </w:pPr>
      <w:bookmarkStart w:id="77" w:name="_Toc4533_WPSOffice_Level2"/>
      <w:bookmarkStart w:id="78" w:name="_Toc26225_WPSOffice_Level2"/>
      <w:bookmarkStart w:id="79" w:name="_Toc18890_WPSOffice_Level2"/>
      <w:bookmarkStart w:id="80" w:name="_Toc27104_WPSOffice_Level2"/>
      <w:bookmarkStart w:id="81" w:name="_Toc2147_WPSOffice_Level2"/>
      <w:r>
        <w:rPr>
          <w:rFonts w:hint="eastAsia" w:ascii="黑体" w:hAnsi="黑体" w:eastAsia="黑体" w:cs="黑体"/>
          <w:sz w:val="32"/>
          <w:szCs w:val="32"/>
        </w:rPr>
        <w:t>二、项目资金申报及使用情况</w:t>
      </w:r>
      <w:bookmarkEnd w:id="77"/>
      <w:bookmarkEnd w:id="78"/>
      <w:bookmarkEnd w:id="79"/>
      <w:bookmarkEnd w:id="80"/>
      <w:bookmarkEnd w:id="81"/>
      <w:r>
        <w:rPr>
          <w:rFonts w:hint="eastAsia" w:ascii="黑体" w:hAnsi="黑体" w:eastAsia="黑体" w:cs="黑体"/>
          <w:sz w:val="32"/>
          <w:szCs w:val="32"/>
        </w:rPr>
        <w:t xml:space="preserve"> </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（一）项目资金申报及批复情况。</w:t>
      </w:r>
    </w:p>
    <w:p>
      <w:pPr>
        <w:spacing w:line="58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color w:val="auto"/>
          <w:sz w:val="32"/>
          <w:szCs w:val="32"/>
          <w:lang w:val="zh-CN"/>
        </w:rPr>
        <w:t>本项目申报资金计划按</w:t>
      </w:r>
      <w:r>
        <w:rPr>
          <w:rFonts w:hint="eastAsia" w:ascii="仿宋_GB2312" w:hAnsi="仿宋_GB2312" w:eastAsia="仿宋_GB2312" w:cs="仿宋_GB2312"/>
          <w:color w:val="auto"/>
          <w:sz w:val="32"/>
          <w:szCs w:val="32"/>
        </w:rPr>
        <w:t>四川省交通厅印发《关于印发四川省公路小修保养工程经费编制办法（试行）》的通知（川交发〔2009〕61号）</w:t>
      </w:r>
      <w:r>
        <w:rPr>
          <w:rFonts w:hint="eastAsia" w:ascii="仿宋_GB2312" w:hAnsi="仿宋_GB2312" w:eastAsia="仿宋_GB2312" w:cs="仿宋_GB2312"/>
          <w:color w:val="auto"/>
          <w:sz w:val="32"/>
          <w:szCs w:val="32"/>
          <w:lang w:eastAsia="zh-CN"/>
        </w:rPr>
        <w:t>，结合财政资金安排情况编制费用</w:t>
      </w:r>
      <w:r>
        <w:rPr>
          <w:rFonts w:hint="eastAsia" w:ascii="仿宋_GB2312" w:hAnsi="仿宋_GB2312" w:eastAsia="仿宋_GB2312" w:cs="仿宋_GB2312"/>
          <w:color w:val="auto"/>
          <w:sz w:val="32"/>
          <w:szCs w:val="32"/>
          <w:lang w:val="en-US" w:eastAsia="zh-CN"/>
        </w:rPr>
        <w:t>197.50</w:t>
      </w:r>
      <w:r>
        <w:rPr>
          <w:rFonts w:hint="eastAsia" w:ascii="仿宋_GB2312" w:hAnsi="仿宋_GB2312" w:eastAsia="仿宋_GB2312" w:cs="仿宋_GB2312"/>
          <w:color w:val="auto"/>
          <w:sz w:val="32"/>
          <w:szCs w:val="32"/>
          <w:lang w:val="zh-CN"/>
        </w:rPr>
        <w:t>万元</w:t>
      </w:r>
      <w:r>
        <w:rPr>
          <w:rFonts w:hint="eastAsia" w:ascii="仿宋_GB2312" w:hAnsi="仿宋_GB2312" w:eastAsia="仿宋_GB2312" w:cs="仿宋_GB2312"/>
          <w:color w:val="auto"/>
          <w:sz w:val="32"/>
          <w:szCs w:val="32"/>
          <w:lang w:val="en-US" w:eastAsia="zh-CN"/>
        </w:rPr>
        <w:t>(其中本级财政预算150.00万元）</w:t>
      </w:r>
      <w:r>
        <w:rPr>
          <w:rFonts w:hint="eastAsia" w:ascii="仿宋_GB2312" w:hAnsi="仿宋_GB2312" w:eastAsia="仿宋_GB2312" w:cs="仿宋_GB2312"/>
          <w:color w:val="auto"/>
          <w:sz w:val="32"/>
          <w:szCs w:val="32"/>
          <w:lang w:val="zh-CN"/>
        </w:rPr>
        <w:t>。</w:t>
      </w:r>
    </w:p>
    <w:p>
      <w:pPr>
        <w:numPr>
          <w:ilvl w:val="0"/>
          <w:numId w:val="3"/>
        </w:num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资金计划、到位及使用情况</w:t>
      </w:r>
    </w:p>
    <w:tbl>
      <w:tblPr>
        <w:tblStyle w:val="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1590"/>
        <w:gridCol w:w="1650"/>
        <w:gridCol w:w="1575"/>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6" w:type="dxa"/>
            <w:noWrap w:val="0"/>
            <w:vAlign w:val="top"/>
          </w:tcPr>
          <w:p>
            <w:pPr>
              <w:pStyle w:val="2"/>
              <w:numPr>
                <w:ilvl w:val="0"/>
                <w:numId w:val="0"/>
              </w:numPr>
              <w:jc w:val="both"/>
              <w:rPr>
                <w:rFonts w:hint="eastAsia" w:ascii="仿宋_GB2312" w:hAnsi="仿宋_GB2312" w:eastAsia="仿宋_GB2312" w:cs="仿宋_GB2312"/>
                <w:sz w:val="32"/>
                <w:szCs w:val="32"/>
                <w:vertAlign w:val="baseline"/>
                <w:lang w:val="zh-CN" w:eastAsia="zh-CN"/>
              </w:rPr>
            </w:pPr>
            <w:r>
              <w:rPr>
                <w:rFonts w:hint="eastAsia" w:ascii="仿宋_GB2312" w:hAnsi="仿宋_GB2312" w:eastAsia="仿宋_GB2312" w:cs="仿宋_GB2312"/>
                <w:sz w:val="32"/>
                <w:szCs w:val="32"/>
                <w:vertAlign w:val="baseline"/>
                <w:lang w:val="zh-CN" w:eastAsia="zh-CN"/>
              </w:rPr>
              <w:t>资金性质</w:t>
            </w:r>
          </w:p>
        </w:tc>
        <w:tc>
          <w:tcPr>
            <w:tcW w:w="1590" w:type="dxa"/>
            <w:noWrap w:val="0"/>
            <w:vAlign w:val="top"/>
          </w:tcPr>
          <w:p>
            <w:pPr>
              <w:pStyle w:val="2"/>
              <w:numPr>
                <w:ilvl w:val="0"/>
                <w:numId w:val="0"/>
              </w:numPr>
              <w:jc w:val="both"/>
              <w:rPr>
                <w:rFonts w:hint="eastAsia" w:ascii="仿宋_GB2312" w:hAnsi="仿宋_GB2312" w:eastAsia="仿宋_GB2312" w:cs="仿宋_GB2312"/>
                <w:sz w:val="32"/>
                <w:szCs w:val="32"/>
                <w:vertAlign w:val="baseline"/>
                <w:lang w:val="zh-CN"/>
              </w:rPr>
            </w:pPr>
            <w:r>
              <w:rPr>
                <w:rFonts w:hint="eastAsia" w:ascii="仿宋_GB2312" w:hAnsi="仿宋_GB2312" w:eastAsia="仿宋_GB2312" w:cs="仿宋_GB2312"/>
                <w:sz w:val="32"/>
                <w:szCs w:val="32"/>
                <w:vertAlign w:val="baseline"/>
                <w:lang w:val="zh-CN"/>
              </w:rPr>
              <w:t>资金计划</w:t>
            </w:r>
          </w:p>
        </w:tc>
        <w:tc>
          <w:tcPr>
            <w:tcW w:w="1650" w:type="dxa"/>
            <w:noWrap w:val="0"/>
            <w:vAlign w:val="top"/>
          </w:tcPr>
          <w:p>
            <w:pPr>
              <w:pStyle w:val="2"/>
              <w:numPr>
                <w:ilvl w:val="0"/>
                <w:numId w:val="0"/>
              </w:numPr>
              <w:jc w:val="both"/>
              <w:rPr>
                <w:rFonts w:hint="eastAsia" w:ascii="仿宋_GB2312" w:hAnsi="仿宋_GB2312" w:eastAsia="仿宋_GB2312" w:cs="仿宋_GB2312"/>
                <w:sz w:val="32"/>
                <w:szCs w:val="32"/>
                <w:vertAlign w:val="baseline"/>
                <w:lang w:val="zh-CN"/>
              </w:rPr>
            </w:pPr>
            <w:r>
              <w:rPr>
                <w:rFonts w:hint="eastAsia" w:ascii="仿宋_GB2312" w:hAnsi="仿宋_GB2312" w:eastAsia="仿宋_GB2312" w:cs="仿宋_GB2312"/>
                <w:sz w:val="32"/>
                <w:szCs w:val="32"/>
                <w:vertAlign w:val="baseline"/>
                <w:lang w:val="zh-CN"/>
              </w:rPr>
              <w:t>资金到位</w:t>
            </w:r>
          </w:p>
        </w:tc>
        <w:tc>
          <w:tcPr>
            <w:tcW w:w="1575" w:type="dxa"/>
            <w:noWrap w:val="0"/>
            <w:vAlign w:val="top"/>
          </w:tcPr>
          <w:p>
            <w:pPr>
              <w:pStyle w:val="2"/>
              <w:numPr>
                <w:ilvl w:val="0"/>
                <w:numId w:val="0"/>
              </w:numPr>
              <w:jc w:val="both"/>
              <w:rPr>
                <w:rFonts w:hint="eastAsia" w:ascii="仿宋_GB2312" w:hAnsi="仿宋_GB2312" w:eastAsia="仿宋_GB2312" w:cs="仿宋_GB2312"/>
                <w:sz w:val="32"/>
                <w:szCs w:val="32"/>
                <w:vertAlign w:val="baseline"/>
                <w:lang w:val="zh-CN"/>
              </w:rPr>
            </w:pPr>
            <w:r>
              <w:rPr>
                <w:rFonts w:hint="eastAsia" w:ascii="仿宋_GB2312" w:hAnsi="仿宋_GB2312" w:eastAsia="仿宋_GB2312" w:cs="仿宋_GB2312"/>
                <w:sz w:val="32"/>
                <w:szCs w:val="32"/>
                <w:vertAlign w:val="baseline"/>
                <w:lang w:val="zh-CN"/>
              </w:rPr>
              <w:t>资金使用</w:t>
            </w:r>
          </w:p>
        </w:tc>
        <w:tc>
          <w:tcPr>
            <w:tcW w:w="2205" w:type="dxa"/>
            <w:noWrap w:val="0"/>
            <w:vAlign w:val="top"/>
          </w:tcPr>
          <w:p>
            <w:pPr>
              <w:pStyle w:val="2"/>
              <w:numPr>
                <w:ilvl w:val="0"/>
                <w:numId w:val="0"/>
              </w:numPr>
              <w:ind w:firstLine="320" w:firstLineChars="100"/>
              <w:jc w:val="both"/>
              <w:rPr>
                <w:rFonts w:hint="eastAsia" w:ascii="仿宋_GB2312" w:hAnsi="仿宋_GB2312" w:eastAsia="仿宋_GB2312" w:cs="仿宋_GB2312"/>
                <w:sz w:val="32"/>
                <w:szCs w:val="32"/>
                <w:vertAlign w:val="baseline"/>
                <w:lang w:val="zh-CN"/>
              </w:rPr>
            </w:pPr>
            <w:r>
              <w:rPr>
                <w:rFonts w:hint="eastAsia" w:ascii="仿宋_GB2312" w:hAnsi="仿宋_GB2312" w:eastAsia="仿宋_GB2312" w:cs="仿宋_GB2312"/>
                <w:sz w:val="32"/>
                <w:szCs w:val="32"/>
                <w:vertAlign w:val="baseli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266" w:type="dxa"/>
            <w:noWrap w:val="0"/>
            <w:vAlign w:val="top"/>
          </w:tcPr>
          <w:p>
            <w:pPr>
              <w:pStyle w:val="2"/>
              <w:numPr>
                <w:ilvl w:val="0"/>
                <w:numId w:val="0"/>
              </w:numPr>
              <w:jc w:val="both"/>
              <w:rPr>
                <w:rFonts w:hint="eastAsia" w:ascii="仿宋_GB2312" w:hAnsi="仿宋_GB2312" w:eastAsia="仿宋_GB2312" w:cs="仿宋_GB2312"/>
                <w:sz w:val="32"/>
                <w:szCs w:val="32"/>
                <w:vertAlign w:val="baseline"/>
                <w:lang w:val="zh-CN"/>
              </w:rPr>
            </w:pPr>
            <w:r>
              <w:rPr>
                <w:rFonts w:hint="eastAsia" w:ascii="仿宋_GB2312" w:hAnsi="仿宋_GB2312" w:eastAsia="仿宋_GB2312" w:cs="仿宋_GB2312"/>
                <w:sz w:val="32"/>
                <w:szCs w:val="32"/>
                <w:vertAlign w:val="baseline"/>
                <w:lang w:val="zh-CN"/>
              </w:rPr>
              <w:t>本级财政资金</w:t>
            </w:r>
          </w:p>
        </w:tc>
        <w:tc>
          <w:tcPr>
            <w:tcW w:w="1590" w:type="dxa"/>
            <w:noWrap w:val="0"/>
            <w:vAlign w:val="top"/>
          </w:tcPr>
          <w:p>
            <w:pPr>
              <w:pStyle w:val="2"/>
              <w:numPr>
                <w:ilvl w:val="0"/>
                <w:numId w:val="0"/>
              </w:numPr>
              <w:ind w:firstLine="320" w:firstLineChars="100"/>
              <w:jc w:val="both"/>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150.00</w:t>
            </w:r>
          </w:p>
        </w:tc>
        <w:tc>
          <w:tcPr>
            <w:tcW w:w="1650" w:type="dxa"/>
            <w:noWrap w:val="0"/>
            <w:vAlign w:val="top"/>
          </w:tcPr>
          <w:p>
            <w:pPr>
              <w:pStyle w:val="2"/>
              <w:numPr>
                <w:ilvl w:val="0"/>
                <w:numId w:val="0"/>
              </w:numPr>
              <w:jc w:val="both"/>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 xml:space="preserve"> 150.00</w:t>
            </w:r>
          </w:p>
        </w:tc>
        <w:tc>
          <w:tcPr>
            <w:tcW w:w="1575" w:type="dxa"/>
            <w:noWrap w:val="0"/>
            <w:vAlign w:val="top"/>
          </w:tcPr>
          <w:p>
            <w:pPr>
              <w:pStyle w:val="2"/>
              <w:numPr>
                <w:ilvl w:val="0"/>
                <w:numId w:val="0"/>
              </w:numPr>
              <w:ind w:firstLine="320" w:firstLineChars="100"/>
              <w:jc w:val="both"/>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150.00</w:t>
            </w:r>
          </w:p>
        </w:tc>
        <w:tc>
          <w:tcPr>
            <w:tcW w:w="2205" w:type="dxa"/>
            <w:noWrap w:val="0"/>
            <w:vAlign w:val="top"/>
          </w:tcPr>
          <w:p>
            <w:pPr>
              <w:pStyle w:val="2"/>
              <w:numPr>
                <w:ilvl w:val="0"/>
                <w:numId w:val="0"/>
              </w:numPr>
              <w:ind w:firstLine="320" w:firstLineChars="100"/>
              <w:jc w:val="both"/>
              <w:rPr>
                <w:rFonts w:hint="eastAsia"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2266" w:type="dxa"/>
            <w:noWrap w:val="0"/>
            <w:vAlign w:val="top"/>
          </w:tcPr>
          <w:p>
            <w:pPr>
              <w:pStyle w:val="2"/>
              <w:numPr>
                <w:ilvl w:val="0"/>
                <w:numId w:val="0"/>
              </w:numPr>
              <w:jc w:val="both"/>
              <w:rPr>
                <w:rFonts w:hint="eastAsia" w:ascii="仿宋_GB2312" w:hAnsi="仿宋_GB2312" w:eastAsia="仿宋_GB2312" w:cs="仿宋_GB2312"/>
                <w:sz w:val="32"/>
                <w:szCs w:val="32"/>
                <w:vertAlign w:val="baseline"/>
                <w:lang w:val="zh-CN"/>
              </w:rPr>
            </w:pPr>
            <w:r>
              <w:rPr>
                <w:rFonts w:hint="eastAsia" w:ascii="仿宋_GB2312" w:hAnsi="仿宋_GB2312" w:eastAsia="仿宋_GB2312" w:cs="仿宋_GB2312"/>
                <w:sz w:val="32"/>
                <w:szCs w:val="32"/>
                <w:vertAlign w:val="baseline"/>
                <w:lang w:val="zh-CN"/>
              </w:rPr>
              <w:t>市财政资金</w:t>
            </w:r>
          </w:p>
        </w:tc>
        <w:tc>
          <w:tcPr>
            <w:tcW w:w="1590" w:type="dxa"/>
            <w:noWrap w:val="0"/>
            <w:vAlign w:val="top"/>
          </w:tcPr>
          <w:p>
            <w:pPr>
              <w:pStyle w:val="2"/>
              <w:numPr>
                <w:ilvl w:val="0"/>
                <w:numId w:val="0"/>
              </w:numPr>
              <w:jc w:val="both"/>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 xml:space="preserve"> 45.91</w:t>
            </w:r>
          </w:p>
        </w:tc>
        <w:tc>
          <w:tcPr>
            <w:tcW w:w="1650" w:type="dxa"/>
            <w:noWrap w:val="0"/>
            <w:vAlign w:val="top"/>
          </w:tcPr>
          <w:p>
            <w:pPr>
              <w:pStyle w:val="2"/>
              <w:numPr>
                <w:ilvl w:val="0"/>
                <w:numId w:val="0"/>
              </w:numPr>
              <w:jc w:val="both"/>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45.91</w:t>
            </w:r>
          </w:p>
        </w:tc>
        <w:tc>
          <w:tcPr>
            <w:tcW w:w="1575" w:type="dxa"/>
            <w:noWrap w:val="0"/>
            <w:vAlign w:val="top"/>
          </w:tcPr>
          <w:p>
            <w:pPr>
              <w:pStyle w:val="2"/>
              <w:numPr>
                <w:ilvl w:val="0"/>
                <w:numId w:val="0"/>
              </w:numPr>
              <w:jc w:val="both"/>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 xml:space="preserve"> 45.91</w:t>
            </w:r>
          </w:p>
        </w:tc>
        <w:tc>
          <w:tcPr>
            <w:tcW w:w="2205" w:type="dxa"/>
            <w:noWrap w:val="0"/>
            <w:vAlign w:val="top"/>
          </w:tcPr>
          <w:p>
            <w:pPr>
              <w:pStyle w:val="2"/>
              <w:numPr>
                <w:ilvl w:val="0"/>
                <w:numId w:val="0"/>
              </w:numPr>
              <w:jc w:val="both"/>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市局拨款G108养护资金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6" w:type="dxa"/>
            <w:noWrap w:val="0"/>
            <w:vAlign w:val="top"/>
          </w:tcPr>
          <w:p>
            <w:pPr>
              <w:pStyle w:val="2"/>
              <w:numPr>
                <w:ilvl w:val="0"/>
                <w:numId w:val="0"/>
              </w:numPr>
              <w:jc w:val="both"/>
              <w:rPr>
                <w:rFonts w:hint="eastAsia" w:ascii="仿宋_GB2312" w:hAnsi="仿宋_GB2312" w:eastAsia="仿宋_GB2312" w:cs="仿宋_GB2312"/>
                <w:sz w:val="32"/>
                <w:szCs w:val="32"/>
                <w:vertAlign w:val="baseline"/>
                <w:lang w:val="zh-CN"/>
              </w:rPr>
            </w:pPr>
            <w:r>
              <w:rPr>
                <w:rFonts w:hint="eastAsia" w:ascii="仿宋_GB2312" w:hAnsi="仿宋_GB2312" w:eastAsia="仿宋_GB2312" w:cs="仿宋_GB2312"/>
                <w:sz w:val="32"/>
                <w:szCs w:val="32"/>
                <w:vertAlign w:val="baseline"/>
                <w:lang w:val="zh-CN"/>
              </w:rPr>
              <w:t>合计</w:t>
            </w:r>
          </w:p>
        </w:tc>
        <w:tc>
          <w:tcPr>
            <w:tcW w:w="1590" w:type="dxa"/>
            <w:noWrap w:val="0"/>
            <w:vAlign w:val="top"/>
          </w:tcPr>
          <w:p>
            <w:pPr>
              <w:pStyle w:val="2"/>
              <w:numPr>
                <w:ilvl w:val="0"/>
                <w:numId w:val="0"/>
              </w:numPr>
              <w:jc w:val="both"/>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 xml:space="preserve"> 195.91</w:t>
            </w:r>
          </w:p>
        </w:tc>
        <w:tc>
          <w:tcPr>
            <w:tcW w:w="1650" w:type="dxa"/>
            <w:noWrap w:val="0"/>
            <w:vAlign w:val="top"/>
          </w:tcPr>
          <w:p>
            <w:pPr>
              <w:pStyle w:val="2"/>
              <w:numPr>
                <w:ilvl w:val="0"/>
                <w:numId w:val="0"/>
              </w:numPr>
              <w:jc w:val="both"/>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 xml:space="preserve"> 195.91</w:t>
            </w:r>
          </w:p>
        </w:tc>
        <w:tc>
          <w:tcPr>
            <w:tcW w:w="1575" w:type="dxa"/>
            <w:noWrap w:val="0"/>
            <w:vAlign w:val="top"/>
          </w:tcPr>
          <w:p>
            <w:pPr>
              <w:pStyle w:val="2"/>
              <w:numPr>
                <w:ilvl w:val="0"/>
                <w:numId w:val="0"/>
              </w:numPr>
              <w:jc w:val="both"/>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 xml:space="preserve"> 195.91</w:t>
            </w:r>
          </w:p>
        </w:tc>
        <w:tc>
          <w:tcPr>
            <w:tcW w:w="2205" w:type="dxa"/>
            <w:noWrap w:val="0"/>
            <w:vAlign w:val="top"/>
          </w:tcPr>
          <w:p>
            <w:pPr>
              <w:pStyle w:val="2"/>
              <w:numPr>
                <w:ilvl w:val="0"/>
                <w:numId w:val="0"/>
              </w:numPr>
              <w:jc w:val="both"/>
              <w:rPr>
                <w:rFonts w:hint="eastAsia" w:ascii="仿宋_GB2312" w:hAnsi="仿宋_GB2312" w:eastAsia="仿宋_GB2312" w:cs="仿宋_GB2312"/>
                <w:sz w:val="32"/>
                <w:szCs w:val="32"/>
                <w:vertAlign w:val="baseline"/>
                <w:lang w:val="en-US" w:eastAsia="zh-CN"/>
              </w:rPr>
            </w:pPr>
          </w:p>
        </w:tc>
      </w:tr>
    </w:tbl>
    <w:p>
      <w:pPr>
        <w:pStyle w:val="2"/>
        <w:keepNext w:val="0"/>
        <w:keepLines w:val="0"/>
        <w:pageBreakBefore w:val="0"/>
        <w:widowControl w:val="0"/>
        <w:numPr>
          <w:ilvl w:val="0"/>
          <w:numId w:val="0"/>
        </w:numPr>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截止评价时点，该项目资金支出</w:t>
      </w:r>
      <w:r>
        <w:rPr>
          <w:rFonts w:hint="eastAsia" w:ascii="仿宋_GB2312" w:hAnsi="仿宋_GB2312" w:eastAsia="仿宋_GB2312" w:cs="仿宋_GB2312"/>
          <w:sz w:val="32"/>
          <w:szCs w:val="32"/>
          <w:lang w:val="en-US" w:eastAsia="zh-CN"/>
        </w:rPr>
        <w:t>195.91万元</w:t>
      </w:r>
      <w:r>
        <w:rPr>
          <w:rFonts w:hint="eastAsia" w:ascii="仿宋_GB2312" w:hAnsi="仿宋_GB2312" w:eastAsia="仿宋_GB2312" w:cs="仿宋_GB2312"/>
          <w:sz w:val="32"/>
          <w:szCs w:val="32"/>
          <w:lang w:val="zh-CN"/>
        </w:rPr>
        <w:t>。其中：</w:t>
      </w:r>
      <w:r>
        <w:rPr>
          <w:rFonts w:hint="eastAsia" w:ascii="仿宋_GB2312" w:hAnsi="仿宋_GB2312" w:eastAsia="仿宋_GB2312" w:cs="仿宋_GB2312"/>
          <w:sz w:val="32"/>
          <w:szCs w:val="32"/>
          <w:lang w:val="en-US" w:eastAsia="zh-CN"/>
        </w:rPr>
        <w:t>公路日常小修及安保设施维护195.91万元（含养护车辆保障、维修、运行，公路日常维修维护，公路绿化、应急抢等）。</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72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zh-CN"/>
        </w:rPr>
        <w:t>项目财务管理情况。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严格按照资金的使用范围，执行各项财务制度，通过财政大平台把项目资金支付给</w:t>
      </w:r>
      <w:r>
        <w:rPr>
          <w:rFonts w:hint="eastAsia" w:ascii="仿宋_GB2312" w:hAnsi="仿宋_GB2312" w:eastAsia="仿宋_GB2312" w:cs="仿宋_GB2312"/>
          <w:sz w:val="32"/>
          <w:szCs w:val="32"/>
          <w:lang w:eastAsia="zh-CN"/>
        </w:rPr>
        <w:t>实施单位</w:t>
      </w:r>
      <w:r>
        <w:rPr>
          <w:rFonts w:hint="eastAsia" w:ascii="仿宋_GB2312" w:hAnsi="仿宋_GB2312" w:eastAsia="仿宋_GB2312" w:cs="仿宋_GB2312"/>
          <w:sz w:val="32"/>
          <w:szCs w:val="32"/>
        </w:rPr>
        <w:t>。项目施工完毕，</w:t>
      </w:r>
      <w:r>
        <w:rPr>
          <w:rFonts w:hint="eastAsia" w:ascii="仿宋_GB2312" w:hAnsi="仿宋_GB2312" w:eastAsia="仿宋_GB2312" w:cs="仿宋_GB2312"/>
          <w:sz w:val="32"/>
          <w:szCs w:val="32"/>
          <w:lang w:eastAsia="zh-CN"/>
        </w:rPr>
        <w:t>由养护股</w:t>
      </w:r>
      <w:r>
        <w:rPr>
          <w:rFonts w:hint="eastAsia" w:ascii="仿宋_GB2312" w:hAnsi="仿宋_GB2312" w:eastAsia="仿宋_GB2312" w:cs="仿宋_GB2312"/>
          <w:sz w:val="32"/>
          <w:szCs w:val="32"/>
        </w:rPr>
        <w:t>组织验收，</w:t>
      </w:r>
      <w:r>
        <w:rPr>
          <w:rFonts w:hint="eastAsia" w:ascii="仿宋_GB2312" w:hAnsi="仿宋_GB2312" w:eastAsia="仿宋_GB2312" w:cs="仿宋_GB2312"/>
          <w:sz w:val="32"/>
          <w:szCs w:val="32"/>
          <w:lang w:eastAsia="zh-CN"/>
        </w:rPr>
        <w:t>填报</w:t>
      </w:r>
      <w:r>
        <w:rPr>
          <w:rFonts w:hint="eastAsia" w:ascii="仿宋_GB2312" w:hAnsi="仿宋_GB2312" w:eastAsia="仿宋_GB2312" w:cs="仿宋_GB2312"/>
          <w:sz w:val="32"/>
          <w:szCs w:val="32"/>
        </w:rPr>
        <w:t>资金拨款审批单，财务审核票据，项目分管领导审核，单位负责人审核拨款。严格执行财务管理制度，账务处理及时，会计核算规范。</w:t>
      </w:r>
    </w:p>
    <w:p>
      <w:pPr>
        <w:adjustRightInd w:val="0"/>
        <w:snapToGrid w:val="0"/>
        <w:spacing w:line="600" w:lineRule="exact"/>
        <w:ind w:firstLine="720"/>
        <w:rPr>
          <w:rFonts w:hint="eastAsia" w:ascii="宋体" w:hAnsi="宋体" w:eastAsia="宋体"/>
          <w:sz w:val="32"/>
          <w:szCs w:val="32"/>
          <w:lang w:val="zh-CN"/>
        </w:rPr>
      </w:pPr>
      <w:bookmarkStart w:id="82" w:name="_Toc31404_WPSOffice_Level2"/>
      <w:bookmarkStart w:id="83" w:name="_Toc3340_WPSOffice_Level2"/>
      <w:bookmarkStart w:id="84" w:name="_Toc32020_WPSOffice_Level2"/>
      <w:bookmarkStart w:id="85" w:name="_Toc6290_WPSOffice_Level2"/>
      <w:bookmarkStart w:id="86" w:name="_Toc28650_WPSOffice_Level2"/>
      <w:r>
        <w:rPr>
          <w:rFonts w:hint="eastAsia" w:ascii="黑体" w:hAnsi="宋体" w:eastAsia="黑体"/>
          <w:sz w:val="32"/>
          <w:szCs w:val="32"/>
        </w:rPr>
        <w:t>三、项目实施及管理情况</w:t>
      </w:r>
      <w:bookmarkEnd w:id="82"/>
      <w:bookmarkEnd w:id="83"/>
      <w:bookmarkEnd w:id="84"/>
      <w:bookmarkEnd w:id="85"/>
      <w:bookmarkEnd w:id="86"/>
    </w:p>
    <w:p>
      <w:pPr>
        <w:keepNext w:val="0"/>
        <w:keepLines w:val="0"/>
        <w:pageBreakBefore w:val="0"/>
        <w:widowControl w:val="0"/>
        <w:kinsoku/>
        <w:wordWrap/>
        <w:overflowPunct/>
        <w:topLinePunct w:val="0"/>
        <w:autoSpaceDE/>
        <w:autoSpaceDN/>
        <w:bidi w:val="0"/>
        <w:adjustRightInd w:val="0"/>
        <w:snapToGrid w:val="0"/>
        <w:spacing w:line="360" w:lineRule="auto"/>
        <w:ind w:firstLine="72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（一）项目组织架构及实施流程。</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项目由</w:t>
      </w:r>
      <w:r>
        <w:rPr>
          <w:rFonts w:hint="eastAsia" w:ascii="仿宋_GB2312" w:hAnsi="仿宋_GB2312" w:eastAsia="仿宋_GB2312" w:cs="仿宋_GB2312"/>
          <w:sz w:val="32"/>
          <w:szCs w:val="32"/>
          <w:lang w:eastAsia="zh-CN"/>
        </w:rPr>
        <w:t>区公路管理所</w:t>
      </w:r>
      <w:r>
        <w:rPr>
          <w:rFonts w:hint="eastAsia" w:ascii="仿宋_GB2312" w:hAnsi="仿宋_GB2312" w:eastAsia="仿宋_GB2312" w:cs="仿宋_GB2312"/>
          <w:sz w:val="32"/>
          <w:szCs w:val="32"/>
        </w:rPr>
        <w:t>组织实施，由于线多面广时间长，分散、随时性强，且分项</w:t>
      </w:r>
      <w:r>
        <w:rPr>
          <w:rFonts w:hint="eastAsia" w:ascii="仿宋_GB2312" w:hAnsi="仿宋_GB2312" w:eastAsia="仿宋_GB2312" w:cs="仿宋_GB2312"/>
          <w:sz w:val="32"/>
          <w:szCs w:val="32"/>
          <w:lang w:eastAsia="zh-CN"/>
        </w:rPr>
        <w:t>作业</w:t>
      </w:r>
      <w:r>
        <w:rPr>
          <w:rFonts w:hint="eastAsia" w:ascii="仿宋_GB2312" w:hAnsi="仿宋_GB2312" w:eastAsia="仿宋_GB2312" w:cs="仿宋_GB2312"/>
          <w:sz w:val="32"/>
          <w:szCs w:val="32"/>
        </w:rPr>
        <w:t>多、金额少，</w:t>
      </w:r>
      <w:r>
        <w:rPr>
          <w:rFonts w:hint="eastAsia" w:ascii="仿宋_GB2312" w:hAnsi="仿宋_GB2312" w:eastAsia="仿宋_GB2312" w:cs="仿宋_GB2312"/>
          <w:sz w:val="32"/>
          <w:szCs w:val="32"/>
          <w:lang w:eastAsia="zh-CN"/>
        </w:rPr>
        <w:t>部分</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无法</w:t>
      </w:r>
      <w:r>
        <w:rPr>
          <w:rFonts w:hint="eastAsia" w:ascii="仿宋_GB2312" w:hAnsi="仿宋_GB2312" w:eastAsia="仿宋_GB2312" w:cs="仿宋_GB2312"/>
          <w:sz w:val="32"/>
          <w:szCs w:val="32"/>
        </w:rPr>
        <w:t>进行招投标。根据交通运输部《公路工程竣（交）工验收办法》和《公路工程质量检验评定标准》，</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公路</w:t>
      </w:r>
      <w:r>
        <w:rPr>
          <w:rFonts w:hint="eastAsia" w:ascii="仿宋_GB2312" w:hAnsi="仿宋_GB2312" w:eastAsia="仿宋_GB2312" w:cs="仿宋_GB2312"/>
          <w:sz w:val="32"/>
          <w:szCs w:val="32"/>
          <w:lang w:eastAsia="zh-CN"/>
        </w:rPr>
        <w:t>管理所</w:t>
      </w:r>
      <w:r>
        <w:rPr>
          <w:rFonts w:hint="eastAsia" w:ascii="仿宋_GB2312" w:hAnsi="仿宋_GB2312" w:eastAsia="仿宋_GB2312" w:cs="仿宋_GB2312"/>
          <w:sz w:val="32"/>
          <w:szCs w:val="32"/>
        </w:rPr>
        <w:t>作为业主单位每月月初下达计划任务，逐项监管，月底进行验收，要求任务完成率100%、合格率100%。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720" w:leftChars="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（二）项目管理情况。</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每月月初项目任务的下达：根据省市公路局的要求，</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养护股将</w:t>
      </w:r>
      <w:r>
        <w:rPr>
          <w:rFonts w:hint="eastAsia" w:ascii="仿宋_GB2312" w:hAnsi="仿宋_GB2312" w:eastAsia="仿宋_GB2312" w:cs="仿宋_GB2312"/>
          <w:sz w:val="32"/>
          <w:szCs w:val="32"/>
          <w:lang w:eastAsia="zh-CN"/>
        </w:rPr>
        <w:t>上级</w:t>
      </w:r>
      <w:r>
        <w:rPr>
          <w:rFonts w:hint="eastAsia" w:ascii="仿宋_GB2312" w:hAnsi="仿宋_GB2312" w:eastAsia="仿宋_GB2312" w:cs="仿宋_GB2312"/>
          <w:sz w:val="32"/>
          <w:szCs w:val="32"/>
        </w:rPr>
        <w:t>下达的小修和日常保养任务进行逐月分解，落实到每个</w:t>
      </w:r>
      <w:r>
        <w:rPr>
          <w:rFonts w:hint="eastAsia" w:ascii="仿宋_GB2312" w:hAnsi="仿宋_GB2312" w:eastAsia="仿宋_GB2312" w:cs="仿宋_GB2312"/>
          <w:sz w:val="32"/>
          <w:szCs w:val="32"/>
          <w:lang w:eastAsia="zh-CN"/>
        </w:rPr>
        <w:t>道班</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质量控制：成立了</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公路养护巡查组，每月对各承包段不少于</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次的养护质量抽查，对质量不合格的，坚决要求返工，并核减工程费用。</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质量检测评定：通过省、市年末的路况检测我</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干线公路</w:t>
      </w:r>
      <w:r>
        <w:rPr>
          <w:rFonts w:hint="eastAsia" w:ascii="仿宋_GB2312" w:hAnsi="仿宋_GB2312" w:eastAsia="仿宋_GB2312" w:cs="仿宋_GB2312"/>
          <w:sz w:val="32"/>
          <w:szCs w:val="32"/>
          <w:lang w:eastAsia="zh-CN"/>
        </w:rPr>
        <w:t>ＰＱＩ达到</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，超过了</w:t>
      </w:r>
      <w:r>
        <w:rPr>
          <w:rFonts w:hint="eastAsia" w:ascii="仿宋_GB2312" w:hAnsi="仿宋_GB2312" w:eastAsia="仿宋_GB2312" w:cs="仿宋_GB2312"/>
          <w:sz w:val="32"/>
          <w:szCs w:val="32"/>
          <w:lang w:eastAsia="zh-CN"/>
        </w:rPr>
        <w:t>上级</w:t>
      </w:r>
      <w:r>
        <w:rPr>
          <w:rFonts w:hint="eastAsia" w:ascii="仿宋_GB2312" w:hAnsi="仿宋_GB2312" w:eastAsia="仿宋_GB2312" w:cs="仿宋_GB2312"/>
          <w:sz w:val="32"/>
          <w:szCs w:val="32"/>
        </w:rPr>
        <w:t>下达的</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的目标。</w:t>
      </w:r>
    </w:p>
    <w:p>
      <w:pPr>
        <w:keepNext w:val="0"/>
        <w:keepLines w:val="0"/>
        <w:pageBreakBefore w:val="0"/>
        <w:widowControl w:val="0"/>
        <w:kinsoku/>
        <w:wordWrap/>
        <w:overflowPunct/>
        <w:topLinePunct w:val="0"/>
        <w:autoSpaceDE/>
        <w:autoSpaceDN/>
        <w:bidi w:val="0"/>
        <w:adjustRightInd w:val="0"/>
        <w:snapToGrid w:val="0"/>
        <w:spacing w:line="360" w:lineRule="auto"/>
        <w:ind w:firstLine="720"/>
        <w:textAlignment w:val="auto"/>
        <w:rPr>
          <w:rFonts w:hint="eastAsia" w:ascii="仿宋_GB2312" w:hAnsi="仿宋_GB2312" w:eastAsia="仿宋_GB2312" w:cs="仿宋_GB2312"/>
          <w:color w:val="FF0000"/>
          <w:sz w:val="32"/>
          <w:szCs w:val="32"/>
          <w:lang w:val="zh-CN"/>
        </w:rPr>
      </w:pPr>
      <w:r>
        <w:rPr>
          <w:rFonts w:hint="eastAsia" w:ascii="仿宋_GB2312" w:hAnsi="仿宋_GB2312" w:eastAsia="仿宋_GB2312" w:cs="仿宋_GB2312"/>
          <w:sz w:val="32"/>
          <w:szCs w:val="32"/>
          <w:lang w:val="zh-CN"/>
        </w:rPr>
        <w:t>（三）项目监管情况。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1.公路日常养护劳务费用，实行购买社会服务。走政府采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购程序，月使用资金未超过区财政批准的预算资金。项目（养护作业）实施过程中，做到月初有计划、月中有检查、月底有考核（内容：路面保洁、边沟清淤、杂草杂物清除及路域环境整治等），养护管理部门经常对采购路段进行巡查检查。目前，整体情况良好。</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120" w:afterLines="0" w:line="360" w:lineRule="auto"/>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公路小修保养及应急抢通作业项目。因点多面广，实施时间不确定、资金使用量小等因素，项目在实施过程中，主要是由所相关股室及局质监站负责到现场对项目进行质量、进度跟踪，项目完工后邀请局养护、工程、财务、质监及驻局纪检等部门相关人员参与现场收方。有所项目，均有影像及图片资料。通过及时处治各类病害及隐患，确保了道路的安全畅通，收到了良好的效果。</w:t>
      </w:r>
    </w:p>
    <w:p>
      <w:pPr>
        <w:adjustRightInd w:val="0"/>
        <w:snapToGrid w:val="0"/>
        <w:spacing w:line="600" w:lineRule="exact"/>
        <w:ind w:firstLine="720"/>
        <w:rPr>
          <w:rFonts w:hint="eastAsia" w:ascii="仿宋_GB2312" w:hAnsi="宋体"/>
          <w:sz w:val="32"/>
          <w:szCs w:val="32"/>
          <w:lang w:val="zh-CN"/>
        </w:rPr>
      </w:pPr>
      <w:bookmarkStart w:id="87" w:name="_Toc5071_WPSOffice_Level2"/>
      <w:bookmarkStart w:id="88" w:name="_Toc29927_WPSOffice_Level2"/>
      <w:bookmarkStart w:id="89" w:name="_Toc1864_WPSOffice_Level2"/>
      <w:bookmarkStart w:id="90" w:name="_Toc6178_WPSOffice_Level2"/>
      <w:bookmarkStart w:id="91" w:name="_Toc4628_WPSOffice_Level2"/>
      <w:r>
        <w:rPr>
          <w:rFonts w:hint="eastAsia" w:ascii="黑体" w:hAnsi="宋体" w:eastAsia="黑体"/>
          <w:sz w:val="32"/>
          <w:szCs w:val="32"/>
        </w:rPr>
        <w:t>四、目标绩效情况</w:t>
      </w:r>
      <w:bookmarkEnd w:id="87"/>
      <w:bookmarkEnd w:id="88"/>
      <w:bookmarkEnd w:id="89"/>
      <w:bookmarkEnd w:id="90"/>
      <w:bookmarkEnd w:id="91"/>
      <w:r>
        <w:rPr>
          <w:rFonts w:hint="eastAsia" w:ascii="仿宋_GB2312" w:hAnsi="宋体"/>
          <w:sz w:val="32"/>
          <w:szCs w:val="32"/>
          <w:lang w:val="zh-CN"/>
        </w:rPr>
        <w:tab/>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（一）项目完成情况。</w:t>
      </w:r>
    </w:p>
    <w:p>
      <w:pPr>
        <w:adjustRightInd w:val="0"/>
        <w:snapToGrid w:val="0"/>
        <w:spacing w:line="600" w:lineRule="exact"/>
        <w:ind w:firstLine="720"/>
        <w:rPr>
          <w:rFonts w:hint="eastAsia" w:ascii="仿宋_GB2312"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仿宋_GB2312" w:eastAsia="仿宋_GB2312" w:cs="Times New Roman"/>
          <w:b w:val="0"/>
          <w:bCs w:val="0"/>
          <w:color w:val="000000" w:themeColor="text1"/>
          <w:kern w:val="2"/>
          <w:sz w:val="32"/>
          <w:szCs w:val="32"/>
          <w:lang w:val="en-US" w:eastAsia="zh-CN" w:bidi="ar-SA"/>
          <w14:textFill>
            <w14:solidFill>
              <w14:schemeClr w14:val="tx1"/>
            </w14:solidFill>
          </w14:textFill>
        </w:rPr>
        <w:t>2022年</w:t>
      </w:r>
      <w:r>
        <w:rPr>
          <w:rFonts w:hint="eastAsia" w:ascii="仿宋_GB2312" w:hAnsi="Calibri" w:eastAsia="仿宋_GB2312" w:cs="Times New Roman"/>
          <w:b w:val="0"/>
          <w:bCs w:val="0"/>
          <w:color w:val="000000" w:themeColor="text1"/>
          <w:kern w:val="2"/>
          <w:sz w:val="32"/>
          <w:szCs w:val="32"/>
          <w:lang w:val="en-US" w:eastAsia="zh-CN" w:bidi="ar-SA"/>
          <w14:textFill>
            <w14:solidFill>
              <w14:schemeClr w14:val="tx1"/>
            </w14:solidFill>
          </w14:textFill>
        </w:rPr>
        <w:t>，共投入养护人员</w:t>
      </w:r>
      <w:r>
        <w:rPr>
          <w:rFonts w:hint="eastAsia" w:ascii="仿宋_GB2312" w:eastAsia="仿宋_GB2312" w:cs="Times New Roman"/>
          <w:b w:val="0"/>
          <w:bCs w:val="0"/>
          <w:color w:val="000000" w:themeColor="text1"/>
          <w:kern w:val="2"/>
          <w:sz w:val="32"/>
          <w:szCs w:val="32"/>
          <w:lang w:val="en-US" w:eastAsia="zh-CN" w:bidi="ar-SA"/>
          <w14:textFill>
            <w14:solidFill>
              <w14:schemeClr w14:val="tx1"/>
            </w14:solidFill>
          </w14:textFill>
        </w:rPr>
        <w:t>7600</w:t>
      </w:r>
      <w:r>
        <w:rPr>
          <w:rFonts w:hint="eastAsia" w:ascii="仿宋_GB2312" w:hAnsi="Calibri" w:eastAsia="仿宋_GB2312" w:cs="Times New Roman"/>
          <w:b w:val="0"/>
          <w:bCs w:val="0"/>
          <w:color w:val="000000" w:themeColor="text1"/>
          <w:kern w:val="2"/>
          <w:sz w:val="32"/>
          <w:szCs w:val="32"/>
          <w:lang w:val="en-US" w:eastAsia="zh-CN" w:bidi="ar-SA"/>
          <w14:textFill>
            <w14:solidFill>
              <w14:schemeClr w14:val="tx1"/>
            </w14:solidFill>
          </w14:textFill>
        </w:rPr>
        <w:t>余人次，洒水车、清扫车等养护机具1</w:t>
      </w:r>
      <w:r>
        <w:rPr>
          <w:rFonts w:hint="eastAsia" w:ascii="仿宋_GB2312" w:eastAsia="仿宋_GB2312" w:cs="Times New Roman"/>
          <w:b w:val="0"/>
          <w:bCs w:val="0"/>
          <w:color w:val="000000" w:themeColor="text1"/>
          <w:kern w:val="2"/>
          <w:sz w:val="32"/>
          <w:szCs w:val="32"/>
          <w:lang w:val="en-US" w:eastAsia="zh-CN" w:bidi="ar-SA"/>
          <w14:textFill>
            <w14:solidFill>
              <w14:schemeClr w14:val="tx1"/>
            </w14:solidFill>
          </w14:textFill>
        </w:rPr>
        <w:t>460</w:t>
      </w:r>
      <w:r>
        <w:rPr>
          <w:rFonts w:hint="eastAsia" w:ascii="仿宋_GB2312" w:hAnsi="Calibri" w:eastAsia="仿宋_GB2312" w:cs="Times New Roman"/>
          <w:b w:val="0"/>
          <w:bCs w:val="0"/>
          <w:color w:val="000000" w:themeColor="text1"/>
          <w:kern w:val="2"/>
          <w:sz w:val="32"/>
          <w:szCs w:val="32"/>
          <w:lang w:val="en-US" w:eastAsia="zh-CN" w:bidi="ar-SA"/>
          <w14:textFill>
            <w14:solidFill>
              <w14:schemeClr w14:val="tx1"/>
            </w14:solidFill>
          </w14:textFill>
        </w:rPr>
        <w:t>余台次，完成了</w:t>
      </w:r>
      <w:r>
        <w:rPr>
          <w:rFonts w:hint="eastAsia" w:ascii="仿宋_GB2312" w:eastAsia="仿宋_GB2312" w:cs="Times New Roman"/>
          <w:b w:val="0"/>
          <w:bCs w:val="0"/>
          <w:color w:val="000000" w:themeColor="text1"/>
          <w:kern w:val="2"/>
          <w:sz w:val="32"/>
          <w:szCs w:val="32"/>
          <w:lang w:val="en-US" w:eastAsia="zh-CN" w:bidi="ar-SA"/>
          <w14:textFill>
            <w14:solidFill>
              <w14:schemeClr w14:val="tx1"/>
            </w14:solidFill>
          </w14:textFill>
        </w:rPr>
        <w:t>境内国省干线公路及部分农村公路</w:t>
      </w:r>
      <w:r>
        <w:rPr>
          <w:rFonts w:hint="eastAsia" w:ascii="仿宋_GB2312" w:hAnsi="Calibri" w:eastAsia="仿宋_GB2312" w:cs="Times New Roman"/>
          <w:b w:val="0"/>
          <w:bCs w:val="0"/>
          <w:color w:val="000000" w:themeColor="text1"/>
          <w:kern w:val="2"/>
          <w:sz w:val="32"/>
          <w:szCs w:val="32"/>
          <w:lang w:val="en-US" w:eastAsia="zh-CN" w:bidi="ar-SA"/>
          <w14:textFill>
            <w14:solidFill>
              <w14:schemeClr w14:val="tx1"/>
            </w14:solidFill>
          </w14:textFill>
        </w:rPr>
        <w:t>的日常保洁2</w:t>
      </w:r>
      <w:r>
        <w:rPr>
          <w:rFonts w:hint="eastAsia" w:ascii="仿宋_GB2312" w:eastAsia="仿宋_GB2312" w:cs="Times New Roman"/>
          <w:b w:val="0"/>
          <w:bCs w:val="0"/>
          <w:color w:val="000000" w:themeColor="text1"/>
          <w:kern w:val="2"/>
          <w:sz w:val="32"/>
          <w:szCs w:val="32"/>
          <w:lang w:val="en-US" w:eastAsia="zh-CN" w:bidi="ar-SA"/>
          <w14:textFill>
            <w14:solidFill>
              <w14:schemeClr w14:val="tx1"/>
            </w14:solidFill>
          </w14:textFill>
        </w:rPr>
        <w:t>3</w:t>
      </w:r>
      <w:r>
        <w:rPr>
          <w:rFonts w:hint="eastAsia" w:ascii="仿宋_GB2312" w:hAnsi="Calibri" w:eastAsia="仿宋_GB2312" w:cs="Times New Roman"/>
          <w:b w:val="0"/>
          <w:bCs w:val="0"/>
          <w:color w:val="000000" w:themeColor="text1"/>
          <w:kern w:val="2"/>
          <w:sz w:val="32"/>
          <w:szCs w:val="32"/>
          <w:lang w:val="en-US" w:eastAsia="zh-CN" w:bidi="ar-SA"/>
          <w14:textFill>
            <w14:solidFill>
              <w14:schemeClr w14:val="tx1"/>
            </w14:solidFill>
          </w14:textFill>
        </w:rPr>
        <w:t>0公里；完成</w:t>
      </w:r>
      <w:r>
        <w:rPr>
          <w:rFonts w:hint="eastAsia" w:ascii="仿宋_GB2312" w:eastAsia="仿宋_GB2312" w:cs="Times New Roman"/>
          <w:b w:val="0"/>
          <w:bCs w:val="0"/>
          <w:color w:val="000000" w:themeColor="text1"/>
          <w:kern w:val="2"/>
          <w:sz w:val="32"/>
          <w:szCs w:val="32"/>
          <w:lang w:val="en-US" w:eastAsia="zh-CN" w:bidi="ar-SA"/>
          <w14:textFill>
            <w14:solidFill>
              <w14:schemeClr w14:val="tx1"/>
            </w14:solidFill>
          </w14:textFill>
        </w:rPr>
        <w:t>管养公路</w:t>
      </w:r>
      <w:r>
        <w:rPr>
          <w:rFonts w:hint="eastAsia" w:ascii="仿宋_GB2312" w:hAnsi="Calibri" w:eastAsia="仿宋_GB2312" w:cs="Times New Roman"/>
          <w:b w:val="0"/>
          <w:bCs w:val="0"/>
          <w:color w:val="000000" w:themeColor="text1"/>
          <w:kern w:val="2"/>
          <w:sz w:val="32"/>
          <w:szCs w:val="32"/>
          <w:lang w:val="en-US" w:eastAsia="zh-CN" w:bidi="ar-SA"/>
          <w14:textFill>
            <w14:solidFill>
              <w14:schemeClr w14:val="tx1"/>
            </w14:solidFill>
          </w14:textFill>
        </w:rPr>
        <w:t>路面裂纹、坑凼、车辙、松散等病害维修处治任务</w:t>
      </w:r>
      <w:r>
        <w:rPr>
          <w:rFonts w:hint="eastAsia" w:ascii="仿宋_GB2312" w:eastAsia="仿宋_GB2312" w:cs="Times New Roman"/>
          <w:b w:val="0"/>
          <w:bCs w:val="0"/>
          <w:color w:val="000000" w:themeColor="text1"/>
          <w:kern w:val="2"/>
          <w:sz w:val="32"/>
          <w:szCs w:val="32"/>
          <w:lang w:val="en-US" w:eastAsia="zh-CN" w:bidi="ar-SA"/>
          <w14:textFill>
            <w14:solidFill>
              <w14:schemeClr w14:val="tx1"/>
            </w14:solidFill>
          </w14:textFill>
        </w:rPr>
        <w:t>9800</w:t>
      </w:r>
      <w:r>
        <w:rPr>
          <w:rFonts w:hint="eastAsia" w:ascii="仿宋_GB2312" w:hAnsi="Calibri" w:eastAsia="仿宋_GB2312" w:cs="Times New Roman"/>
          <w:b w:val="0"/>
          <w:bCs w:val="0"/>
          <w:color w:val="000000" w:themeColor="text1"/>
          <w:kern w:val="2"/>
          <w:sz w:val="32"/>
          <w:szCs w:val="32"/>
          <w:lang w:val="en-US" w:eastAsia="zh-CN" w:bidi="ar-SA"/>
          <w14:textFill>
            <w14:solidFill>
              <w14:schemeClr w14:val="tx1"/>
            </w14:solidFill>
          </w14:textFill>
        </w:rPr>
        <w:t>余平方米；完成</w:t>
      </w:r>
      <w:r>
        <w:rPr>
          <w:rFonts w:hint="eastAsia" w:ascii="仿宋_GB2312" w:eastAsia="仿宋_GB2312" w:cs="Times New Roman"/>
          <w:b w:val="0"/>
          <w:bCs w:val="0"/>
          <w:color w:val="000000" w:themeColor="text1"/>
          <w:kern w:val="2"/>
          <w:sz w:val="32"/>
          <w:szCs w:val="32"/>
          <w:lang w:val="en-US" w:eastAsia="zh-CN" w:bidi="ar-SA"/>
          <w14:textFill>
            <w14:solidFill>
              <w14:schemeClr w14:val="tx1"/>
            </w14:solidFill>
          </w14:textFill>
        </w:rPr>
        <w:t>国省干线公路及部分农村公路</w:t>
      </w:r>
      <w:r>
        <w:rPr>
          <w:rFonts w:hint="eastAsia" w:ascii="仿宋_GB2312" w:hAnsi="Calibri" w:eastAsia="仿宋_GB2312" w:cs="Times New Roman"/>
          <w:b w:val="0"/>
          <w:bCs w:val="0"/>
          <w:color w:val="000000" w:themeColor="text1"/>
          <w:kern w:val="2"/>
          <w:sz w:val="32"/>
          <w:szCs w:val="32"/>
          <w:lang w:val="en-US" w:eastAsia="zh-CN" w:bidi="ar-SA"/>
          <w14:textFill>
            <w14:solidFill>
              <w14:schemeClr w14:val="tx1"/>
            </w14:solidFill>
          </w14:textFill>
        </w:rPr>
        <w:t>边沟清淤1</w:t>
      </w:r>
      <w:r>
        <w:rPr>
          <w:rFonts w:hint="eastAsia" w:ascii="仿宋_GB2312" w:eastAsia="仿宋_GB2312" w:cs="Times New Roman"/>
          <w:b w:val="0"/>
          <w:bCs w:val="0"/>
          <w:color w:val="000000" w:themeColor="text1"/>
          <w:kern w:val="2"/>
          <w:sz w:val="32"/>
          <w:szCs w:val="32"/>
          <w:lang w:val="en-US" w:eastAsia="zh-CN" w:bidi="ar-SA"/>
          <w14:textFill>
            <w14:solidFill>
              <w14:schemeClr w14:val="tx1"/>
            </w14:solidFill>
          </w14:textFill>
        </w:rPr>
        <w:t>6</w:t>
      </w:r>
      <w:r>
        <w:rPr>
          <w:rFonts w:hint="eastAsia" w:ascii="仿宋_GB2312" w:hAnsi="Calibri" w:eastAsia="仿宋_GB2312" w:cs="Times New Roman"/>
          <w:b w:val="0"/>
          <w:bCs w:val="0"/>
          <w:color w:val="000000" w:themeColor="text1"/>
          <w:kern w:val="2"/>
          <w:sz w:val="32"/>
          <w:szCs w:val="32"/>
          <w:lang w:val="en-US" w:eastAsia="zh-CN" w:bidi="ar-SA"/>
          <w14:textFill>
            <w14:solidFill>
              <w14:schemeClr w14:val="tx1"/>
            </w14:solidFill>
          </w14:textFill>
        </w:rPr>
        <w:t>0余公里（两侧边沟）；清除清运公路沿线各类杂草杂物、生活垃圾、建筑垃圾</w:t>
      </w:r>
      <w:r>
        <w:rPr>
          <w:rFonts w:hint="eastAsia" w:ascii="仿宋_GB2312" w:eastAsia="仿宋_GB2312" w:cs="Times New Roman"/>
          <w:b w:val="0"/>
          <w:bCs w:val="0"/>
          <w:color w:val="000000" w:themeColor="text1"/>
          <w:kern w:val="2"/>
          <w:sz w:val="32"/>
          <w:szCs w:val="32"/>
          <w:lang w:val="en-US" w:eastAsia="zh-CN" w:bidi="ar-SA"/>
          <w14:textFill>
            <w14:solidFill>
              <w14:schemeClr w14:val="tx1"/>
            </w14:solidFill>
          </w14:textFill>
        </w:rPr>
        <w:t>1500</w:t>
      </w:r>
      <w:r>
        <w:rPr>
          <w:rFonts w:hint="eastAsia" w:ascii="仿宋_GB2312" w:hAnsi="Calibri" w:eastAsia="仿宋_GB2312" w:cs="Times New Roman"/>
          <w:b w:val="0"/>
          <w:bCs w:val="0"/>
          <w:color w:val="000000" w:themeColor="text1"/>
          <w:kern w:val="2"/>
          <w:sz w:val="32"/>
          <w:szCs w:val="32"/>
          <w:lang w:val="en-US" w:eastAsia="zh-CN" w:bidi="ar-SA"/>
          <w14:textFill>
            <w14:solidFill>
              <w14:schemeClr w14:val="tx1"/>
            </w14:solidFill>
          </w14:textFill>
        </w:rPr>
        <w:t>余立方米</w:t>
      </w:r>
      <w:r>
        <w:rPr>
          <w:rFonts w:hint="eastAsia" w:ascii="仿宋_GB2312" w:eastAsia="仿宋_GB2312" w:cs="Times New Roman"/>
          <w:b w:val="0"/>
          <w:bCs w:val="0"/>
          <w:color w:val="000000" w:themeColor="text1"/>
          <w:kern w:val="2"/>
          <w:sz w:val="32"/>
          <w:szCs w:val="32"/>
          <w:lang w:val="en-US" w:eastAsia="zh-CN" w:bidi="ar-SA"/>
          <w14:textFill>
            <w14:solidFill>
              <w14:schemeClr w14:val="tx1"/>
            </w14:solidFill>
          </w14:textFill>
        </w:rPr>
        <w:t>。</w:t>
      </w:r>
    </w:p>
    <w:p>
      <w:pPr>
        <w:adjustRightInd w:val="0"/>
        <w:snapToGrid w:val="0"/>
        <w:spacing w:line="600" w:lineRule="exact"/>
        <w:ind w:firstLine="720"/>
        <w:rPr>
          <w:rFonts w:hint="eastAsia" w:ascii="仿宋_GB2312" w:eastAsia="仿宋_GB2312" w:cs="Times New Roman"/>
          <w:b w:val="0"/>
          <w:bCs w:val="0"/>
          <w:color w:val="000000" w:themeColor="text1"/>
          <w:kern w:val="2"/>
          <w:sz w:val="32"/>
          <w:szCs w:val="32"/>
          <w:lang w:val="en-US" w:eastAsia="zh-CN" w:bidi="ar-SA"/>
          <w14:textFill>
            <w14:solidFill>
              <w14:schemeClr w14:val="tx1"/>
            </w14:solidFill>
          </w14:textFill>
        </w:rPr>
      </w:pPr>
      <w:r>
        <w:rPr>
          <w:rFonts w:hint="eastAsia" w:ascii="仿宋_GB2312" w:hAnsi="Calibri" w:eastAsia="仿宋_GB2312" w:cs="Times New Roman"/>
          <w:b w:val="0"/>
          <w:bCs w:val="0"/>
          <w:color w:val="000000" w:themeColor="text1"/>
          <w:kern w:val="2"/>
          <w:sz w:val="32"/>
          <w:szCs w:val="32"/>
          <w:lang w:val="en-US" w:eastAsia="zh-CN" w:bidi="ar-SA"/>
          <w14:textFill>
            <w14:solidFill>
              <w14:schemeClr w14:val="tx1"/>
            </w14:solidFill>
          </w14:textFill>
        </w:rPr>
        <w:t>国道</w:t>
      </w:r>
      <w:r>
        <w:rPr>
          <w:rFonts w:hint="eastAsia" w:ascii="仿宋_GB2312" w:eastAsia="仿宋_GB2312" w:cs="Times New Roman"/>
          <w:b w:val="0"/>
          <w:bCs w:val="0"/>
          <w:color w:val="000000" w:themeColor="text1"/>
          <w:kern w:val="2"/>
          <w:sz w:val="32"/>
          <w:szCs w:val="32"/>
          <w:lang w:val="en-US" w:eastAsia="zh-CN" w:bidi="ar-SA"/>
          <w14:textFill>
            <w14:solidFill>
              <w14:schemeClr w14:val="tx1"/>
            </w14:solidFill>
          </w14:textFill>
        </w:rPr>
        <w:t>、县道绿化，已成</w:t>
      </w:r>
      <w:r>
        <w:rPr>
          <w:rFonts w:hint="eastAsia" w:ascii="仿宋_GB2312" w:hAnsi="Calibri" w:eastAsia="仿宋_GB2312" w:cs="Times New Roman"/>
          <w:b w:val="0"/>
          <w:bCs w:val="0"/>
          <w:color w:val="000000" w:themeColor="text1"/>
          <w:kern w:val="2"/>
          <w:sz w:val="32"/>
          <w:szCs w:val="32"/>
          <w:lang w:val="en-US" w:eastAsia="zh-CN" w:bidi="ar-SA"/>
          <w14:textFill>
            <w14:solidFill>
              <w14:schemeClr w14:val="tx1"/>
            </w14:solidFill>
          </w14:textFill>
        </w:rPr>
        <w:t>行道树的</w:t>
      </w:r>
      <w:r>
        <w:rPr>
          <w:rFonts w:hint="eastAsia" w:ascii="仿宋_GB2312" w:eastAsia="仿宋_GB2312" w:cs="Times New Roman"/>
          <w:b w:val="0"/>
          <w:bCs w:val="0"/>
          <w:color w:val="000000" w:themeColor="text1"/>
          <w:kern w:val="2"/>
          <w:sz w:val="32"/>
          <w:szCs w:val="32"/>
          <w:lang w:val="en-US" w:eastAsia="zh-CN" w:bidi="ar-SA"/>
          <w14:textFill>
            <w14:solidFill>
              <w14:schemeClr w14:val="tx1"/>
            </w14:solidFill>
          </w14:textFill>
        </w:rPr>
        <w:t>管护工作，修剪</w:t>
      </w:r>
      <w:r>
        <w:rPr>
          <w:rFonts w:hint="eastAsia" w:ascii="仿宋_GB2312" w:hAnsi="Calibri" w:eastAsia="仿宋_GB2312" w:cs="Times New Roman"/>
          <w:b w:val="0"/>
          <w:bCs w:val="0"/>
          <w:color w:val="000000" w:themeColor="text1"/>
          <w:kern w:val="2"/>
          <w:sz w:val="32"/>
          <w:szCs w:val="32"/>
          <w:lang w:val="en-US" w:eastAsia="zh-CN" w:bidi="ar-SA"/>
          <w14:textFill>
            <w14:solidFill>
              <w14:schemeClr w14:val="tx1"/>
            </w14:solidFill>
          </w14:textFill>
        </w:rPr>
        <w:t>整治</w:t>
      </w:r>
      <w:r>
        <w:rPr>
          <w:rFonts w:hint="eastAsia" w:ascii="仿宋_GB2312" w:eastAsia="仿宋_GB2312" w:cs="Times New Roman"/>
          <w:b w:val="0"/>
          <w:bCs w:val="0"/>
          <w:color w:val="000000" w:themeColor="text1"/>
          <w:kern w:val="2"/>
          <w:sz w:val="32"/>
          <w:szCs w:val="32"/>
          <w:lang w:val="en-US" w:eastAsia="zh-CN" w:bidi="ar-SA"/>
          <w14:textFill>
            <w14:solidFill>
              <w14:schemeClr w14:val="tx1"/>
            </w14:solidFill>
          </w14:textFill>
        </w:rPr>
        <w:t>公路行道树3000余株，整治</w:t>
      </w:r>
      <w:r>
        <w:rPr>
          <w:rFonts w:hint="eastAsia" w:ascii="仿宋_GB2312" w:hAnsi="Calibri" w:eastAsia="仿宋_GB2312" w:cs="Times New Roman"/>
          <w:b w:val="0"/>
          <w:bCs w:val="0"/>
          <w:color w:val="000000" w:themeColor="text1"/>
          <w:kern w:val="2"/>
          <w:sz w:val="32"/>
          <w:szCs w:val="32"/>
          <w:lang w:val="en-US" w:eastAsia="zh-CN" w:bidi="ar-SA"/>
          <w14:textFill>
            <w14:solidFill>
              <w14:schemeClr w14:val="tx1"/>
            </w14:solidFill>
          </w14:textFill>
        </w:rPr>
        <w:t>绿化带</w:t>
      </w:r>
      <w:r>
        <w:rPr>
          <w:rFonts w:hint="eastAsia" w:ascii="仿宋_GB2312" w:eastAsia="仿宋_GB2312" w:cs="Times New Roman"/>
          <w:b w:val="0"/>
          <w:bCs w:val="0"/>
          <w:color w:val="000000" w:themeColor="text1"/>
          <w:kern w:val="2"/>
          <w:sz w:val="32"/>
          <w:szCs w:val="32"/>
          <w:lang w:val="en-US" w:eastAsia="zh-CN" w:bidi="ar-SA"/>
          <w14:textFill>
            <w14:solidFill>
              <w14:schemeClr w14:val="tx1"/>
            </w14:solidFill>
          </w14:textFill>
        </w:rPr>
        <w:t>86000</w:t>
      </w:r>
      <w:r>
        <w:rPr>
          <w:rFonts w:hint="eastAsia" w:ascii="仿宋_GB2312" w:hAnsi="Calibri" w:eastAsia="仿宋_GB2312" w:cs="Times New Roman"/>
          <w:b w:val="0"/>
          <w:bCs w:val="0"/>
          <w:color w:val="000000" w:themeColor="text1"/>
          <w:kern w:val="2"/>
          <w:sz w:val="32"/>
          <w:szCs w:val="32"/>
          <w:lang w:val="en-US" w:eastAsia="zh-CN" w:bidi="ar-SA"/>
          <w14:textFill>
            <w14:solidFill>
              <w14:schemeClr w14:val="tx1"/>
            </w14:solidFill>
          </w14:textFill>
        </w:rPr>
        <w:t>余平方米；</w:t>
      </w:r>
      <w:r>
        <w:rPr>
          <w:rFonts w:hint="eastAsia" w:ascii="仿宋_GB2312" w:eastAsia="仿宋_GB2312" w:cs="Times New Roman"/>
          <w:b w:val="0"/>
          <w:bCs w:val="0"/>
          <w:color w:val="000000" w:themeColor="text1"/>
          <w:kern w:val="2"/>
          <w:sz w:val="32"/>
          <w:szCs w:val="32"/>
          <w:lang w:val="en-US" w:eastAsia="zh-CN" w:bidi="ar-SA"/>
          <w14:textFill>
            <w14:solidFill>
              <w14:schemeClr w14:val="tx1"/>
            </w14:solidFill>
          </w14:textFill>
        </w:rPr>
        <w:t>二</w:t>
      </w:r>
      <w:r>
        <w:rPr>
          <w:rFonts w:hint="eastAsia" w:ascii="仿宋_GB2312" w:hAnsi="Calibri" w:eastAsia="仿宋_GB2312" w:cs="Times New Roman"/>
          <w:b w:val="0"/>
          <w:bCs w:val="0"/>
          <w:color w:val="000000" w:themeColor="text1"/>
          <w:kern w:val="2"/>
          <w:sz w:val="32"/>
          <w:szCs w:val="32"/>
          <w:lang w:val="en-US" w:eastAsia="zh-CN" w:bidi="ar-SA"/>
          <w14:textFill>
            <w14:solidFill>
              <w14:schemeClr w14:val="tx1"/>
            </w14:solidFill>
          </w14:textFill>
        </w:rPr>
        <w:t>是完成管养公路行道树刷白治虫</w:t>
      </w:r>
      <w:r>
        <w:rPr>
          <w:rFonts w:hint="eastAsia" w:ascii="仿宋_GB2312" w:eastAsia="仿宋_GB2312" w:cs="Times New Roman"/>
          <w:b w:val="0"/>
          <w:bCs w:val="0"/>
          <w:color w:val="000000" w:themeColor="text1"/>
          <w:kern w:val="2"/>
          <w:sz w:val="32"/>
          <w:szCs w:val="32"/>
          <w:lang w:val="en-US" w:eastAsia="zh-CN" w:bidi="ar-SA"/>
          <w14:textFill>
            <w14:solidFill>
              <w14:schemeClr w14:val="tx1"/>
            </w14:solidFill>
          </w14:textFill>
        </w:rPr>
        <w:t>12000</w:t>
      </w:r>
      <w:r>
        <w:rPr>
          <w:rFonts w:hint="eastAsia" w:ascii="仿宋_GB2312" w:hAnsi="Calibri" w:eastAsia="仿宋_GB2312" w:cs="Times New Roman"/>
          <w:b w:val="0"/>
          <w:bCs w:val="0"/>
          <w:color w:val="000000" w:themeColor="text1"/>
          <w:kern w:val="2"/>
          <w:sz w:val="32"/>
          <w:szCs w:val="32"/>
          <w:lang w:val="en-US" w:eastAsia="zh-CN" w:bidi="ar-SA"/>
          <w14:textFill>
            <w14:solidFill>
              <w14:schemeClr w14:val="tx1"/>
            </w14:solidFill>
          </w14:textFill>
        </w:rPr>
        <w:t>余株</w:t>
      </w:r>
      <w:r>
        <w:rPr>
          <w:rFonts w:hint="eastAsia" w:ascii="仿宋_GB2312" w:eastAsia="仿宋_GB2312" w:cs="Times New Roman"/>
          <w:b w:val="0"/>
          <w:bCs w:val="0"/>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lang w:val="en-US" w:eastAsia="zh-CN"/>
        </w:rPr>
      </w:pPr>
      <w:r>
        <w:rPr>
          <w:rFonts w:hint="eastAsia" w:ascii="仿宋_GB2312" w:eastAsia="仿宋_GB2312" w:cs="Times New Roman"/>
          <w:b w:val="0"/>
          <w:bCs w:val="0"/>
          <w:color w:val="000000" w:themeColor="text1"/>
          <w:kern w:val="2"/>
          <w:sz w:val="32"/>
          <w:szCs w:val="32"/>
          <w:lang w:val="en-US" w:eastAsia="zh-CN" w:bidi="ar-SA"/>
          <w14:textFill>
            <w14:solidFill>
              <w14:schemeClr w14:val="tx1"/>
            </w14:solidFill>
          </w14:textFill>
        </w:rPr>
        <w:t>2022年，完成公路“三桩”翻新及油漆600余根；更新及新增限速、限重、道口、急弯等各类公路标志标牌130余套；更新及新增波型护栏980余米；更新及新增减速路梗190余米。开展国省干线路况检测28.35公里；开展农村公路县、乡、村路况检查共计170余公里。</w:t>
      </w:r>
    </w:p>
    <w:p>
      <w:pPr>
        <w:numPr>
          <w:ilvl w:val="0"/>
          <w:numId w:val="0"/>
        </w:numPr>
        <w:adjustRightInd w:val="0"/>
        <w:snapToGrid w:val="0"/>
        <w:spacing w:line="600" w:lineRule="exact"/>
        <w:ind w:left="720" w:leftChars="0"/>
        <w:rPr>
          <w:rFonts w:hint="eastAsia" w:ascii="方正楷体简体" w:hAnsi="宋体" w:eastAsia="方正楷体简体"/>
          <w:sz w:val="32"/>
          <w:szCs w:val="32"/>
          <w:lang w:val="zh-CN"/>
        </w:rPr>
      </w:pPr>
      <w:r>
        <w:rPr>
          <w:rFonts w:hint="eastAsia" w:ascii="仿宋_GB2312" w:hAnsi="仿宋_GB2312" w:eastAsia="仿宋_GB2312" w:cs="仿宋_GB2312"/>
          <w:sz w:val="32"/>
          <w:szCs w:val="32"/>
          <w:lang w:val="zh-CN"/>
        </w:rPr>
        <w:t>（二）项目效益情况。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项目经济性分析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项目按照既定计划完成全部建设项目，在所有原材料价格、人工价格大幅上涨的情况下，项目严把原料质量关，在符合工程建设标准的前提下，尽可能的节约成本。</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项目效率性分析  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整个项目严格按照施工时间安排组织施工，按照合同要求的施工时间倒排工期，整个施工进度都按照时间节点进行，项目完成后，经检测优良率</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项目效益性分析</w:t>
      </w:r>
    </w:p>
    <w:p>
      <w:pPr>
        <w:keepNext w:val="0"/>
        <w:keepLines w:val="0"/>
        <w:pageBreakBefore w:val="0"/>
        <w:widowControl w:val="0"/>
        <w:kinsoku/>
        <w:wordWrap/>
        <w:overflowPunct/>
        <w:topLinePunct w:val="0"/>
        <w:autoSpaceDE/>
        <w:autoSpaceDN/>
        <w:bidi w:val="0"/>
        <w:adjustRightInd/>
        <w:snapToGrid/>
        <w:spacing w:line="360" w:lineRule="auto"/>
        <w:ind w:firstLine="600"/>
        <w:textAlignment w:val="auto"/>
        <w:rPr>
          <w:rFonts w:hint="eastAsia" w:ascii="仿宋" w:hAnsi="仿宋" w:eastAsia="仿宋" w:cs="仿宋"/>
          <w:sz w:val="32"/>
          <w:szCs w:val="32"/>
        </w:rPr>
      </w:pPr>
      <w:r>
        <w:rPr>
          <w:rFonts w:hint="eastAsia" w:ascii="仿宋_GB2312" w:hAnsi="仿宋_GB2312" w:eastAsia="仿宋_GB2312" w:cs="仿宋_GB2312"/>
          <w:sz w:val="32"/>
          <w:szCs w:val="32"/>
        </w:rPr>
        <w:t>项目完成后，对提高我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公路通行水平，</w:t>
      </w:r>
      <w:r>
        <w:rPr>
          <w:rFonts w:hint="eastAsia" w:ascii="仿宋_GB2312" w:hAnsi="仿宋_GB2312" w:eastAsia="仿宋_GB2312" w:cs="仿宋_GB2312"/>
          <w:sz w:val="32"/>
          <w:szCs w:val="32"/>
          <w:lang w:eastAsia="zh-CN"/>
        </w:rPr>
        <w:t>服务保障能力，及时</w:t>
      </w:r>
      <w:r>
        <w:rPr>
          <w:rFonts w:hint="eastAsia" w:ascii="仿宋_GB2312" w:hAnsi="仿宋_GB2312" w:eastAsia="仿宋_GB2312" w:cs="仿宋_GB2312"/>
          <w:sz w:val="32"/>
          <w:szCs w:val="32"/>
        </w:rPr>
        <w:t>消除道路安全隐患</w:t>
      </w:r>
      <w:r>
        <w:rPr>
          <w:rFonts w:hint="eastAsia" w:ascii="仿宋_GB2312" w:hAnsi="仿宋_GB2312" w:eastAsia="仿宋_GB2312" w:cs="仿宋_GB2312"/>
          <w:sz w:val="32"/>
          <w:szCs w:val="32"/>
          <w:lang w:eastAsia="zh-CN"/>
        </w:rPr>
        <w:t>等均</w:t>
      </w:r>
      <w:r>
        <w:rPr>
          <w:rFonts w:hint="eastAsia" w:ascii="仿宋_GB2312" w:hAnsi="仿宋_GB2312" w:eastAsia="仿宋_GB2312" w:cs="仿宋_GB2312"/>
          <w:sz w:val="32"/>
          <w:szCs w:val="32"/>
        </w:rPr>
        <w:t>起到了非常大的效果，延长了我</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公路的使用寿命，拉长了公路大中修的时间间隔，节约资金</w:t>
      </w:r>
      <w:r>
        <w:rPr>
          <w:rFonts w:hint="eastAsia" w:ascii="仿宋_GB2312" w:hAnsi="仿宋_GB2312" w:eastAsia="仿宋_GB2312" w:cs="仿宋_GB2312"/>
          <w:sz w:val="32"/>
          <w:szCs w:val="32"/>
          <w:lang w:eastAsia="zh-CN"/>
        </w:rPr>
        <w:t>成本</w:t>
      </w:r>
      <w:r>
        <w:rPr>
          <w:rFonts w:hint="eastAsia" w:ascii="仿宋_GB2312" w:hAnsi="仿宋_GB2312" w:eastAsia="仿宋_GB2312" w:cs="仿宋_GB2312"/>
          <w:sz w:val="32"/>
          <w:szCs w:val="32"/>
        </w:rPr>
        <w:t>，获得了非常好的经济效益。</w:t>
      </w:r>
    </w:p>
    <w:p>
      <w:pPr>
        <w:adjustRightInd w:val="0"/>
        <w:snapToGrid w:val="0"/>
        <w:spacing w:line="600" w:lineRule="exact"/>
        <w:ind w:firstLine="720"/>
        <w:rPr>
          <w:rFonts w:hint="eastAsia" w:ascii="黑体" w:hAnsi="宋体" w:eastAsia="黑体"/>
          <w:sz w:val="32"/>
          <w:szCs w:val="32"/>
        </w:rPr>
      </w:pPr>
      <w:bookmarkStart w:id="92" w:name="_Toc6122_WPSOffice_Level2"/>
      <w:bookmarkStart w:id="93" w:name="_Toc30366_WPSOffice_Level2"/>
      <w:bookmarkStart w:id="94" w:name="_Toc22851_WPSOffice_Level2"/>
      <w:bookmarkStart w:id="95" w:name="_Toc4939_WPSOffice_Level2"/>
      <w:bookmarkStart w:id="96" w:name="_Toc4292_WPSOffice_Level2"/>
      <w:r>
        <w:rPr>
          <w:rFonts w:hint="eastAsia" w:ascii="黑体" w:hAnsi="宋体" w:eastAsia="黑体"/>
          <w:sz w:val="32"/>
          <w:szCs w:val="32"/>
        </w:rPr>
        <w:t>五、评价结论</w:t>
      </w:r>
      <w:bookmarkEnd w:id="92"/>
      <w:bookmarkEnd w:id="93"/>
      <w:bookmarkEnd w:id="94"/>
      <w:bookmarkEnd w:id="95"/>
      <w:bookmarkEnd w:id="96"/>
    </w:p>
    <w:p>
      <w:pPr>
        <w:tabs>
          <w:tab w:val="left" w:pos="3885"/>
        </w:tabs>
        <w:snapToGrid w:val="0"/>
        <w:spacing w:line="600" w:lineRule="atLeas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总体上看，该项目绩效目标明确、决策依据充分、资金使用合理合规，年初制定的全年度项目实施计划，组织实施规范，该项目的实施，进一步推进了我</w:t>
      </w:r>
      <w:r>
        <w:rPr>
          <w:rFonts w:hint="eastAsia" w:ascii="仿宋_GB2312" w:hAnsi="仿宋_GB2312" w:eastAsia="仿宋_GB2312" w:cs="仿宋_GB2312"/>
          <w:sz w:val="32"/>
          <w:szCs w:val="32"/>
          <w:lang w:eastAsia="zh-CN"/>
        </w:rPr>
        <w:t>所管</w:t>
      </w:r>
      <w:r>
        <w:rPr>
          <w:rFonts w:hint="eastAsia" w:ascii="仿宋_GB2312" w:hAnsi="仿宋_GB2312" w:eastAsia="仿宋_GB2312" w:cs="仿宋_GB2312"/>
          <w:sz w:val="32"/>
          <w:szCs w:val="32"/>
        </w:rPr>
        <w:t>国省干线</w:t>
      </w:r>
      <w:r>
        <w:rPr>
          <w:rFonts w:hint="eastAsia" w:ascii="仿宋_GB2312" w:hAnsi="仿宋_GB2312" w:eastAsia="仿宋_GB2312" w:cs="仿宋_GB2312"/>
          <w:sz w:val="32"/>
          <w:szCs w:val="32"/>
          <w:lang w:eastAsia="zh-CN"/>
        </w:rPr>
        <w:t>及县道</w:t>
      </w:r>
      <w:r>
        <w:rPr>
          <w:rFonts w:hint="eastAsia" w:ascii="仿宋_GB2312" w:hAnsi="仿宋_GB2312" w:eastAsia="仿宋_GB2312" w:cs="仿宋_GB2312"/>
          <w:sz w:val="32"/>
          <w:szCs w:val="32"/>
        </w:rPr>
        <w:t>公路日常小修保养工作，确保了民生项目路面使用性能指标的完成。</w:t>
      </w:r>
    </w:p>
    <w:p>
      <w:pPr>
        <w:adjustRightInd w:val="0"/>
        <w:snapToGrid w:val="0"/>
        <w:spacing w:line="600" w:lineRule="exact"/>
        <w:ind w:firstLine="720"/>
        <w:rPr>
          <w:rFonts w:hint="eastAsia" w:ascii="黑体" w:hAnsi="宋体" w:eastAsia="黑体"/>
          <w:sz w:val="32"/>
          <w:szCs w:val="32"/>
        </w:rPr>
      </w:pPr>
      <w:bookmarkStart w:id="97" w:name="_Toc21995_WPSOffice_Level2"/>
      <w:bookmarkStart w:id="98" w:name="_Toc6487_WPSOffice_Level2"/>
      <w:bookmarkStart w:id="99" w:name="_Toc18909_WPSOffice_Level2"/>
      <w:bookmarkStart w:id="100" w:name="_Toc15359_WPSOffice_Level2"/>
      <w:bookmarkStart w:id="101" w:name="_Toc21938_WPSOffice_Level2"/>
      <w:r>
        <w:rPr>
          <w:rFonts w:hint="eastAsia" w:ascii="黑体" w:hAnsi="宋体" w:eastAsia="黑体"/>
          <w:sz w:val="32"/>
          <w:szCs w:val="32"/>
        </w:rPr>
        <w:t>六、问题及建议</w:t>
      </w:r>
      <w:bookmarkEnd w:id="97"/>
      <w:bookmarkEnd w:id="98"/>
      <w:bookmarkEnd w:id="99"/>
      <w:bookmarkEnd w:id="100"/>
      <w:bookmarkEnd w:id="101"/>
    </w:p>
    <w:p>
      <w:pPr>
        <w:adjustRightInd w:val="0"/>
        <w:snapToGrid w:val="0"/>
        <w:spacing w:line="600" w:lineRule="exact"/>
        <w:ind w:firstLine="1040" w:firstLineChars="325"/>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（一）存在的问题。</w:t>
      </w:r>
    </w:p>
    <w:p>
      <w:pPr>
        <w:keepNext w:val="0"/>
        <w:keepLines w:val="0"/>
        <w:pageBreakBefore w:val="0"/>
        <w:widowControl w:val="0"/>
        <w:kinsoku/>
        <w:wordWrap/>
        <w:overflowPunct/>
        <w:topLinePunct w:val="0"/>
        <w:autoSpaceDE/>
        <w:autoSpaceDN/>
        <w:bidi w:val="0"/>
        <w:adjustRightInd w:val="0"/>
        <w:snapToGrid w:val="0"/>
        <w:spacing w:line="360" w:lineRule="auto"/>
        <w:ind w:firstLine="72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2022年，公路小修保养专项资金管理使用尽管取得了较好的成绩，基本实现了预期的绩效目标，但还存在以下问题是需要改进、完善和规范。</w:t>
      </w:r>
    </w:p>
    <w:p>
      <w:pPr>
        <w:pStyle w:val="2"/>
        <w:keepNext w:val="0"/>
        <w:keepLines w:val="0"/>
        <w:pageBreakBefore w:val="0"/>
        <w:widowControl w:val="0"/>
        <w:numPr>
          <w:ilvl w:val="0"/>
          <w:numId w:val="0"/>
        </w:numPr>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1.农村公路管养资金短缺。资金短缺导致道路超期低质量服役，有严重的安全隐患。</w:t>
      </w:r>
    </w:p>
    <w:p>
      <w:pPr>
        <w:pStyle w:val="2"/>
        <w:keepNext w:val="0"/>
        <w:keepLines w:val="0"/>
        <w:pageBreakBefore w:val="0"/>
        <w:widowControl w:val="0"/>
        <w:numPr>
          <w:ilvl w:val="0"/>
          <w:numId w:val="0"/>
        </w:numPr>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2.养护工作环境较差，工作任务较重，工作积极性、主动性有待提高。</w:t>
      </w:r>
    </w:p>
    <w:p>
      <w:pPr>
        <w:pStyle w:val="2"/>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3.养护整体绩效有待进一提高。</w:t>
      </w:r>
    </w:p>
    <w:p>
      <w:pPr>
        <w:keepNext w:val="0"/>
        <w:keepLines w:val="0"/>
        <w:pageBreakBefore w:val="0"/>
        <w:widowControl w:val="0"/>
        <w:numPr>
          <w:ilvl w:val="0"/>
          <w:numId w:val="4"/>
        </w:numPr>
        <w:kinsoku/>
        <w:wordWrap/>
        <w:overflowPunct/>
        <w:topLinePunct w:val="0"/>
        <w:autoSpaceDE/>
        <w:autoSpaceDN/>
        <w:bidi w:val="0"/>
        <w:adjustRightInd w:val="0"/>
        <w:snapToGrid w:val="0"/>
        <w:spacing w:line="360" w:lineRule="auto"/>
        <w:ind w:left="601" w:leftChars="0" w:firstLine="0" w:firstLineChars="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改进措施。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lang w:val="zh-CN"/>
        </w:rPr>
      </w:pPr>
      <w:r>
        <w:rPr>
          <w:rFonts w:hint="eastAsia" w:ascii="仿宋_GB2312" w:hAnsi="仿宋_GB2312" w:eastAsia="仿宋_GB2312" w:cs="仿宋_GB2312"/>
          <w:sz w:val="32"/>
          <w:szCs w:val="32"/>
        </w:rPr>
        <w:t>加强项目跟踪管理。加快督促项目进度，要求各项目定期上报项目实施进度信息，定期进行项目通报，及时掌握项目实施情况，明确项目实施责任。对未按计划进度实施的项目，应分析项目未及时启动的原因，协调有关部门解决项目实施过程中存在的问题和困难，推进项目实施进度，加强对项目的跟踪管理。</w:t>
      </w:r>
    </w:p>
    <w:p>
      <w:pPr>
        <w:numPr>
          <w:ilvl w:val="0"/>
          <w:numId w:val="4"/>
        </w:numPr>
        <w:adjustRightInd w:val="0"/>
        <w:snapToGrid w:val="0"/>
        <w:spacing w:line="600" w:lineRule="exact"/>
        <w:ind w:left="601" w:leftChars="0" w:firstLine="0" w:firstLineChars="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相关建议。</w:t>
      </w:r>
    </w:p>
    <w:p>
      <w:pPr>
        <w:numPr>
          <w:ilvl w:val="0"/>
          <w:numId w:val="0"/>
        </w:numPr>
        <w:adjustRightInd w:val="0"/>
        <w:snapToGrid w:val="0"/>
        <w:spacing w:line="600" w:lineRule="exact"/>
        <w:ind w:firstLine="640" w:firstLineChars="200"/>
        <w:rPr>
          <w:rFonts w:hint="eastAsia" w:ascii="宋体" w:hAnsi="宋体" w:eastAsia="宋体"/>
          <w:color w:val="auto"/>
          <w:kern w:val="2"/>
          <w:sz w:val="32"/>
          <w:lang w:val="zh-CN"/>
        </w:rPr>
      </w:pPr>
      <w:r>
        <w:rPr>
          <w:rFonts w:hint="eastAsia" w:ascii="仿宋_GB2312" w:hAnsi="仿宋_GB2312" w:eastAsia="仿宋_GB2312" w:cs="仿宋_GB2312"/>
          <w:sz w:val="32"/>
          <w:szCs w:val="32"/>
        </w:rPr>
        <w:t>由于公众对民生项目路面使用性能指标的要求日益提高，随着公路货运重载交通量</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增大，为保证民生项目路面使用性能指标的稳定，</w:t>
      </w:r>
      <w:r>
        <w:rPr>
          <w:rFonts w:hint="eastAsia" w:ascii="仿宋_GB2312" w:hAnsi="仿宋_GB2312" w:eastAsia="仿宋_GB2312" w:cs="仿宋_GB2312"/>
          <w:sz w:val="32"/>
          <w:szCs w:val="32"/>
          <w:lang w:eastAsia="zh-CN"/>
        </w:rPr>
        <w:t>提供给民众满意的出行服务，</w:t>
      </w:r>
      <w:r>
        <w:rPr>
          <w:rFonts w:hint="eastAsia" w:ascii="仿宋_GB2312" w:hAnsi="仿宋_GB2312" w:eastAsia="仿宋_GB2312" w:cs="仿宋_GB2312"/>
          <w:sz w:val="32"/>
          <w:szCs w:val="32"/>
        </w:rPr>
        <w:t>在保障经济建设需要的前提下，加大公路养护资金的投入。</w:t>
      </w:r>
    </w:p>
    <w:p>
      <w:pPr>
        <w:jc w:val="center"/>
        <w:rPr>
          <w:rFonts w:hint="eastAsia"/>
          <w:b/>
          <w:bCs/>
          <w:sz w:val="44"/>
          <w:szCs w:val="44"/>
          <w:lang w:val="en-US" w:eastAsia="zh-CN"/>
        </w:rPr>
      </w:pPr>
    </w:p>
    <w:p>
      <w:pPr>
        <w:jc w:val="center"/>
        <w:rPr>
          <w:rFonts w:hint="eastAsia"/>
          <w:b/>
          <w:bCs/>
          <w:sz w:val="44"/>
          <w:szCs w:val="44"/>
          <w:lang w:val="en-US" w:eastAsia="zh-CN"/>
        </w:rPr>
      </w:pPr>
    </w:p>
    <w:p>
      <w:pPr>
        <w:jc w:val="center"/>
        <w:rPr>
          <w:rFonts w:hint="eastAsia"/>
          <w:b/>
          <w:bCs/>
          <w:sz w:val="44"/>
          <w:szCs w:val="44"/>
          <w:lang w:val="en-US" w:eastAsia="zh-CN"/>
        </w:rPr>
      </w:pPr>
    </w:p>
    <w:p>
      <w:pPr>
        <w:jc w:val="center"/>
        <w:rPr>
          <w:rFonts w:hint="eastAsia"/>
          <w:b/>
          <w:bCs/>
          <w:sz w:val="44"/>
          <w:szCs w:val="44"/>
          <w:lang w:val="en-US" w:eastAsia="zh-CN"/>
        </w:rPr>
      </w:pPr>
    </w:p>
    <w:p>
      <w:pPr>
        <w:spacing w:line="600" w:lineRule="exact"/>
        <w:jc w:val="center"/>
        <w:rPr>
          <w:rFonts w:hint="eastAsia" w:ascii="方正小标宋简体" w:hAnsi="宋体" w:eastAsia="方正小标宋简体"/>
          <w:sz w:val="44"/>
          <w:szCs w:val="44"/>
          <w:shd w:val="clear" w:color="auto" w:fill="FFFFFF"/>
          <w:lang w:eastAsia="zh-CN"/>
        </w:rPr>
      </w:pPr>
      <w:bookmarkStart w:id="102" w:name="_Toc2421_WPSOffice_Level2"/>
      <w:bookmarkStart w:id="103" w:name="_Toc29816_WPSOffice_Level2"/>
    </w:p>
    <w:p>
      <w:pPr>
        <w:spacing w:line="600" w:lineRule="exact"/>
        <w:jc w:val="center"/>
        <w:rPr>
          <w:rFonts w:hint="eastAsia" w:ascii="方正小标宋简体" w:hAnsi="宋体" w:eastAsia="方正小标宋简体"/>
          <w:sz w:val="44"/>
          <w:szCs w:val="44"/>
          <w:shd w:val="clear" w:color="auto" w:fill="FFFFFF"/>
          <w:lang w:eastAsia="zh-CN"/>
        </w:rPr>
      </w:pPr>
    </w:p>
    <w:p>
      <w:pPr>
        <w:spacing w:line="600" w:lineRule="exact"/>
        <w:jc w:val="center"/>
        <w:rPr>
          <w:rFonts w:hint="eastAsia" w:ascii="方正小标宋简体" w:hAnsi="宋体" w:eastAsia="方正小标宋简体"/>
          <w:sz w:val="44"/>
          <w:szCs w:val="44"/>
          <w:shd w:val="clear" w:color="auto" w:fill="FFFFFF"/>
          <w:lang w:eastAsia="zh-CN"/>
        </w:rPr>
      </w:pPr>
    </w:p>
    <w:p>
      <w:pPr>
        <w:spacing w:line="600" w:lineRule="exact"/>
        <w:jc w:val="center"/>
        <w:rPr>
          <w:rFonts w:hint="eastAsia" w:ascii="方正小标宋简体" w:hAnsi="宋体" w:eastAsia="方正小标宋简体"/>
          <w:sz w:val="44"/>
          <w:szCs w:val="44"/>
          <w:shd w:val="clear" w:color="auto" w:fill="FFFFFF"/>
          <w:lang w:eastAsia="zh-CN"/>
        </w:rPr>
      </w:pPr>
    </w:p>
    <w:p>
      <w:pPr>
        <w:spacing w:line="600" w:lineRule="exact"/>
        <w:jc w:val="center"/>
        <w:rPr>
          <w:rFonts w:hint="eastAsia" w:ascii="方正小标宋简体" w:hAnsi="宋体" w:eastAsia="方正小标宋简体"/>
          <w:sz w:val="44"/>
          <w:szCs w:val="44"/>
          <w:shd w:val="clear" w:color="auto" w:fill="FFFFFF"/>
          <w:lang w:eastAsia="zh-CN"/>
        </w:rPr>
      </w:pPr>
    </w:p>
    <w:p>
      <w:pPr>
        <w:spacing w:line="600" w:lineRule="exact"/>
        <w:jc w:val="center"/>
        <w:rPr>
          <w:rFonts w:hint="eastAsia" w:ascii="方正小标宋简体" w:hAnsi="宋体" w:eastAsia="方正小标宋简体"/>
          <w:sz w:val="44"/>
          <w:szCs w:val="44"/>
          <w:shd w:val="clear" w:color="auto" w:fill="FFFFFF"/>
          <w:lang w:eastAsia="zh-CN"/>
        </w:rPr>
      </w:pPr>
    </w:p>
    <w:p>
      <w:pPr>
        <w:spacing w:line="600" w:lineRule="exact"/>
        <w:jc w:val="center"/>
        <w:rPr>
          <w:rFonts w:hint="eastAsia" w:ascii="方正小标宋简体" w:hAnsi="宋体" w:eastAsia="方正小标宋简体"/>
          <w:sz w:val="44"/>
          <w:szCs w:val="44"/>
          <w:shd w:val="clear" w:color="auto" w:fill="FFFFFF"/>
        </w:rPr>
      </w:pPr>
      <w:bookmarkStart w:id="104" w:name="_Toc20100_WPSOffice_Level2"/>
      <w:r>
        <w:rPr>
          <w:rFonts w:hint="eastAsia" w:ascii="方正小标宋简体" w:hAnsi="宋体" w:eastAsia="方正小标宋简体"/>
          <w:sz w:val="44"/>
          <w:szCs w:val="44"/>
          <w:shd w:val="clear" w:color="auto" w:fill="FFFFFF"/>
          <w:lang w:eastAsia="zh-CN"/>
        </w:rPr>
        <w:t>罗江区交通运输局</w:t>
      </w:r>
      <w:r>
        <w:rPr>
          <w:rFonts w:hint="eastAsia" w:ascii="方正小标宋简体" w:hAnsi="宋体" w:eastAsia="方正小标宋简体"/>
          <w:sz w:val="44"/>
          <w:szCs w:val="44"/>
          <w:shd w:val="clear" w:color="auto" w:fill="FFFFFF"/>
        </w:rPr>
        <w:t>202</w:t>
      </w:r>
      <w:r>
        <w:rPr>
          <w:rFonts w:hint="eastAsia" w:ascii="方正小标宋简体" w:hAnsi="宋体" w:eastAsia="方正小标宋简体"/>
          <w:sz w:val="44"/>
          <w:szCs w:val="44"/>
          <w:shd w:val="clear" w:color="auto" w:fill="FFFFFF"/>
          <w:lang w:val="en-US" w:eastAsia="zh-CN"/>
        </w:rPr>
        <w:t>2</w:t>
      </w:r>
      <w:r>
        <w:rPr>
          <w:rFonts w:hint="eastAsia" w:ascii="方正小标宋简体" w:hAnsi="宋体" w:eastAsia="方正小标宋简体"/>
          <w:sz w:val="44"/>
          <w:szCs w:val="44"/>
          <w:shd w:val="clear" w:color="auto" w:fill="FFFFFF"/>
        </w:rPr>
        <w:t>年</w:t>
      </w:r>
      <w:r>
        <w:rPr>
          <w:rFonts w:hint="eastAsia" w:ascii="方正小标宋简体" w:hAnsi="宋体" w:eastAsia="方正小标宋简体"/>
          <w:sz w:val="44"/>
          <w:szCs w:val="44"/>
          <w:shd w:val="clear" w:color="auto" w:fill="FFFFFF"/>
          <w:lang w:eastAsia="zh-CN"/>
        </w:rPr>
        <w:t>专项</w:t>
      </w:r>
      <w:r>
        <w:rPr>
          <w:rFonts w:hint="eastAsia" w:ascii="方正小标宋简体" w:hAnsi="宋体" w:eastAsia="方正小标宋简体"/>
          <w:sz w:val="44"/>
          <w:szCs w:val="44"/>
          <w:shd w:val="clear" w:color="auto" w:fill="FFFFFF"/>
        </w:rPr>
        <w:t>预算</w:t>
      </w:r>
      <w:bookmarkEnd w:id="102"/>
      <w:bookmarkEnd w:id="103"/>
      <w:bookmarkEnd w:id="104"/>
    </w:p>
    <w:p>
      <w:pPr>
        <w:jc w:val="center"/>
        <w:rPr>
          <w:rFonts w:hint="eastAsia"/>
          <w:b/>
          <w:bCs/>
          <w:sz w:val="44"/>
          <w:szCs w:val="44"/>
          <w:lang w:val="en-US" w:eastAsia="zh-CN"/>
        </w:rPr>
      </w:pPr>
      <w:bookmarkStart w:id="105" w:name="_Toc20716_WPSOffice_Level2"/>
      <w:bookmarkStart w:id="106" w:name="_Toc21315_WPSOffice_Level2"/>
      <w:bookmarkStart w:id="107" w:name="_Toc16167_WPSOffice_Level2"/>
      <w:r>
        <w:rPr>
          <w:rFonts w:hint="eastAsia" w:ascii="方正小标宋简体" w:hAnsi="宋体" w:eastAsia="方正小标宋简体"/>
          <w:sz w:val="44"/>
          <w:szCs w:val="44"/>
          <w:shd w:val="clear" w:color="auto" w:fill="FFFFFF"/>
        </w:rPr>
        <w:t>项目支出绩效自评报告</w:t>
      </w:r>
      <w:bookmarkEnd w:id="105"/>
      <w:bookmarkEnd w:id="106"/>
      <w:bookmarkEnd w:id="107"/>
    </w:p>
    <w:p>
      <w:pPr>
        <w:jc w:val="center"/>
        <w:rPr>
          <w:rFonts w:hint="eastAsia"/>
          <w:b/>
          <w:bCs/>
          <w:sz w:val="44"/>
          <w:szCs w:val="44"/>
          <w:lang w:val="en-US" w:eastAsia="zh-CN"/>
        </w:rPr>
      </w:pPr>
      <w:r>
        <w:rPr>
          <w:rFonts w:hint="eastAsia" w:ascii="仿宋_GB2312" w:hAnsi="仿宋_GB2312" w:eastAsia="仿宋_GB2312" w:cs="仿宋_GB2312"/>
          <w:b w:val="0"/>
          <w:bCs w:val="0"/>
          <w:sz w:val="32"/>
          <w:szCs w:val="32"/>
          <w:lang w:val="en-US" w:eastAsia="zh-CN"/>
        </w:rPr>
        <w:t>（城市公交公益性补贴）</w:t>
      </w:r>
    </w:p>
    <w:p>
      <w:pPr>
        <w:rPr>
          <w:rFonts w:hint="eastAsia"/>
          <w:lang w:val="en-US" w:eastAsia="zh-CN"/>
        </w:rPr>
      </w:pPr>
    </w:p>
    <w:p>
      <w:pPr>
        <w:numPr>
          <w:ilvl w:val="0"/>
          <w:numId w:val="5"/>
        </w:numPr>
        <w:ind w:firstLine="643" w:firstLineChars="200"/>
        <w:rPr>
          <w:rFonts w:hint="eastAsia"/>
          <w:b/>
          <w:bCs/>
          <w:sz w:val="32"/>
          <w:szCs w:val="32"/>
          <w:lang w:val="en-US" w:eastAsia="zh-CN"/>
        </w:rPr>
      </w:pPr>
      <w:bookmarkStart w:id="108" w:name="_Toc26044_WPSOffice_Level2"/>
      <w:r>
        <w:rPr>
          <w:rFonts w:hint="eastAsia"/>
          <w:b/>
          <w:bCs/>
          <w:sz w:val="32"/>
          <w:szCs w:val="32"/>
          <w:lang w:val="en-US" w:eastAsia="zh-CN"/>
        </w:rPr>
        <w:t>项目概况</w:t>
      </w:r>
      <w:bookmarkEnd w:id="108"/>
    </w:p>
    <w:p>
      <w:pPr>
        <w:adjustRightInd w:val="0"/>
        <w:snapToGrid w:val="0"/>
        <w:spacing w:line="600" w:lineRule="exact"/>
        <w:ind w:firstLine="321" w:firstLineChars="100"/>
        <w:rPr>
          <w:rFonts w:hint="eastAsia" w:ascii="方正楷体简体" w:hAnsi="宋体" w:eastAsia="方正楷体简体"/>
          <w:b/>
          <w:bCs/>
          <w:sz w:val="32"/>
          <w:szCs w:val="32"/>
          <w:lang w:val="en-US" w:eastAsia="zh-CN"/>
        </w:rPr>
      </w:pPr>
      <w:r>
        <w:rPr>
          <w:rFonts w:hint="eastAsia" w:ascii="方正楷体简体" w:hAnsi="宋体" w:eastAsia="方正楷体简体"/>
          <w:b/>
          <w:bCs/>
          <w:sz w:val="32"/>
          <w:szCs w:val="32"/>
          <w:lang w:val="en-US" w:eastAsia="zh-CN"/>
        </w:rPr>
        <w:t>（一）项目基本情况。</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val="zh-CN" w:eastAsia="zh-CN"/>
        </w:rPr>
        <w:t>罗江区道路运输管理所职能：负责罗江城市公共交通的管理，贯彻执行国家有关公路运输的方针、政策、法律、法规，负责组织实施全区公路运输业发展规划等。为该项目的项目单位，组织实施该项目，</w:t>
      </w:r>
      <w:r>
        <w:rPr>
          <w:rFonts w:hint="eastAsia" w:ascii="仿宋_GB2312" w:hAnsi="仿宋_GB2312" w:eastAsia="仿宋_GB2312" w:cs="仿宋_GB2312"/>
          <w:b w:val="0"/>
          <w:bCs/>
          <w:sz w:val="32"/>
          <w:szCs w:val="32"/>
          <w:lang w:val="zh-CN"/>
        </w:rPr>
        <w:t>对该项目进行管理。</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为加强我区城市公交行业管理，规范城市公交企业的经营行为，保障运营安全，维护乘客合法权益，提高城市公交行业服务水平，认真落实“三类人群”（70周岁以上老年人、残疾人、现役军人）免票政策，根据《城市公共汽车和电车客运管理规定》（中华人民共和国交通运输部令2017年第5号），区交通运输局经认真调研和可行性分析，向区政府报请了资金需求。</w:t>
      </w:r>
    </w:p>
    <w:p>
      <w:pPr>
        <w:adjustRightInd w:val="0"/>
        <w:snapToGrid w:val="0"/>
        <w:spacing w:line="600" w:lineRule="exact"/>
        <w:ind w:firstLine="640" w:firstLineChars="200"/>
        <w:rPr>
          <w:rFonts w:hint="eastAsia" w:ascii="仿宋_GB2312" w:hAnsi="仿宋_GB2312" w:eastAsia="仿宋_GB2312" w:cs="仿宋_GB2312"/>
          <w:b/>
          <w:sz w:val="32"/>
          <w:szCs w:val="32"/>
          <w:lang w:val="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按照项目决策、管理、绩效三类指标，对资金支出行为过程及其效果进行综合评价和判断。评价资金使用的科学性、合理性和有效性，分析存在的问题，提出完善资金管理的制度机制、提升资金使用效益的相关建议，为以后年度相关决策提供参考依据。</w:t>
      </w:r>
    </w:p>
    <w:p>
      <w:pPr>
        <w:pStyle w:val="2"/>
        <w:rPr>
          <w:rFonts w:hint="eastAsia"/>
          <w:lang w:val="en-US" w:eastAsia="zh-CN"/>
        </w:rPr>
      </w:pPr>
      <w:r>
        <w:rPr>
          <w:rFonts w:hint="eastAsia" w:ascii="仿宋_GB2312" w:hAnsi="仿宋_GB2312" w:eastAsia="仿宋_GB2312" w:cs="仿宋_GB2312"/>
          <w:sz w:val="32"/>
          <w:szCs w:val="32"/>
          <w:lang w:val="en-US" w:eastAsia="zh-CN"/>
        </w:rPr>
        <w:t>4.考虑到该项目为民生类项目，为确保落实“三类人群”的免票政策，区财政预算下达的资金后，应在达到付款条件的下，首先确保尽快拨付到企业，避免稳定因素，确保公交运营企业的合法权益。</w:t>
      </w:r>
    </w:p>
    <w:p>
      <w:pPr>
        <w:adjustRightInd w:val="0"/>
        <w:snapToGrid w:val="0"/>
        <w:spacing w:line="600" w:lineRule="exact"/>
        <w:ind w:firstLine="321" w:firstLineChars="100"/>
        <w:rPr>
          <w:rFonts w:hint="eastAsia" w:ascii="方正楷体简体" w:hAnsi="宋体" w:eastAsia="方正楷体简体"/>
          <w:b/>
          <w:bCs/>
          <w:sz w:val="32"/>
          <w:szCs w:val="32"/>
          <w:lang w:val="en-US" w:eastAsia="zh-CN"/>
        </w:rPr>
      </w:pPr>
      <w:r>
        <w:rPr>
          <w:rFonts w:hint="eastAsia" w:ascii="方正楷体简体" w:hAnsi="宋体" w:eastAsia="方正楷体简体"/>
          <w:b/>
          <w:bCs/>
          <w:sz w:val="32"/>
          <w:szCs w:val="32"/>
          <w:lang w:val="en-US" w:eastAsia="zh-CN"/>
        </w:rPr>
        <w:t>（二）项目绩效目标。</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1.项目主要内容。对全区12辆城市公交认真落实“三类人群”（70周岁以上老年人、残疾人、现役军人）免票政策，给予补贴。</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应实现的具体绩效目标：项目绩效目标任务为保证和发挥城市公共交通公益性、惠民性功能，满足群众出行需求，提升群众获得感和幸福感，根据绩效目标任务，分别设置了6个二级指标，分别对应6个三级指标，分别为：数量指标、质量指标、时效指标、成本指标、社会效益指标、服务对象满意度指标。</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3.该项目申报内容与实际相符，申报目标合理。</w:t>
      </w:r>
    </w:p>
    <w:p>
      <w:pPr>
        <w:adjustRightInd w:val="0"/>
        <w:snapToGrid w:val="0"/>
        <w:spacing w:line="600" w:lineRule="exact"/>
        <w:ind w:firstLine="321" w:firstLineChars="100"/>
        <w:rPr>
          <w:rFonts w:hint="eastAsia" w:ascii="方正楷体简体" w:hAnsi="宋体" w:eastAsia="方正楷体简体"/>
          <w:b/>
          <w:bCs/>
          <w:sz w:val="32"/>
          <w:szCs w:val="32"/>
          <w:lang w:val="en-US" w:eastAsia="zh-CN"/>
        </w:rPr>
      </w:pPr>
      <w:r>
        <w:rPr>
          <w:rFonts w:hint="eastAsia" w:ascii="方正楷体简体" w:hAnsi="宋体" w:eastAsia="方正楷体简体"/>
          <w:b/>
          <w:bCs/>
          <w:sz w:val="32"/>
          <w:szCs w:val="32"/>
          <w:lang w:val="en-US" w:eastAsia="zh-CN"/>
        </w:rPr>
        <w:t>（三）项目自评步骤及方法。</w:t>
      </w:r>
    </w:p>
    <w:p>
      <w:pPr>
        <w:pStyle w:val="2"/>
        <w:ind w:left="0"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该项目自评由项目分管业务股室牵头，梳理从项目申报、立项、批复、资金使用等全过程进行自评。</w:t>
      </w:r>
    </w:p>
    <w:p>
      <w:pPr>
        <w:numPr>
          <w:ilvl w:val="0"/>
          <w:numId w:val="6"/>
        </w:numPr>
        <w:ind w:left="640" w:leftChars="0" w:firstLine="0" w:firstLineChars="0"/>
        <w:rPr>
          <w:rFonts w:hint="eastAsia"/>
          <w:b/>
          <w:bCs/>
          <w:sz w:val="32"/>
          <w:szCs w:val="32"/>
          <w:lang w:val="en-US" w:eastAsia="zh-CN"/>
        </w:rPr>
      </w:pPr>
      <w:bookmarkStart w:id="109" w:name="_Toc2901_WPSOffice_Level2"/>
      <w:r>
        <w:rPr>
          <w:rFonts w:hint="eastAsia"/>
          <w:b/>
          <w:bCs/>
          <w:sz w:val="32"/>
          <w:szCs w:val="32"/>
          <w:lang w:val="en-US" w:eastAsia="zh-CN"/>
        </w:rPr>
        <w:t>项目资金申报及使用情况</w:t>
      </w:r>
      <w:bookmarkEnd w:id="109"/>
    </w:p>
    <w:p>
      <w:pPr>
        <w:adjustRightInd w:val="0"/>
        <w:snapToGrid w:val="0"/>
        <w:spacing w:line="600" w:lineRule="exact"/>
        <w:ind w:firstLine="321" w:firstLineChars="100"/>
        <w:rPr>
          <w:rFonts w:hint="eastAsia" w:ascii="方正楷体简体" w:hAnsi="宋体" w:eastAsia="方正楷体简体"/>
          <w:b/>
          <w:bCs/>
          <w:sz w:val="32"/>
          <w:szCs w:val="32"/>
          <w:lang w:val="zh-CN"/>
        </w:rPr>
      </w:pPr>
      <w:r>
        <w:rPr>
          <w:rFonts w:hint="eastAsia" w:ascii="方正楷体简体" w:hAnsi="宋体" w:eastAsia="方正楷体简体"/>
          <w:b/>
          <w:bCs/>
          <w:sz w:val="32"/>
          <w:szCs w:val="32"/>
          <w:lang w:val="zh-CN"/>
        </w:rPr>
        <w:t>（一）项目资金申报及批复情况。</w:t>
      </w:r>
    </w:p>
    <w:p>
      <w:pPr>
        <w:adjustRightInd w:val="0"/>
        <w:snapToGrid w:val="0"/>
        <w:spacing w:line="600" w:lineRule="exact"/>
        <w:ind w:firstLine="720"/>
        <w:rPr>
          <w:rFonts w:hint="eastAsia" w:ascii="宋体" w:hAnsi="宋体" w:eastAsia="宋体" w:cs="宋体"/>
          <w:spacing w:val="20"/>
          <w:kern w:val="0"/>
          <w:sz w:val="32"/>
          <w:szCs w:val="32"/>
          <w:lang w:eastAsia="zh-CN"/>
        </w:rPr>
      </w:pPr>
      <w:r>
        <w:rPr>
          <w:rFonts w:hint="eastAsia" w:ascii="仿宋_GB2312" w:hAnsi="仿宋_GB2312" w:eastAsia="仿宋_GB2312" w:cs="仿宋_GB2312"/>
          <w:b w:val="0"/>
          <w:bCs w:val="0"/>
          <w:sz w:val="32"/>
          <w:szCs w:val="32"/>
          <w:lang w:val="en-US" w:eastAsia="zh-CN"/>
        </w:rPr>
        <w:t>城市公交公益性补贴</w:t>
      </w:r>
      <w:r>
        <w:rPr>
          <w:rFonts w:hint="eastAsia" w:ascii="仿宋_GB2312" w:hAnsi="仿宋_GB2312" w:eastAsia="仿宋_GB2312" w:cs="仿宋_GB2312"/>
          <w:b w:val="0"/>
          <w:bCs w:val="0"/>
          <w:sz w:val="32"/>
          <w:szCs w:val="32"/>
          <w:lang w:eastAsia="zh-CN"/>
        </w:rPr>
        <w:t>项目经费申报</w:t>
      </w:r>
      <w:r>
        <w:rPr>
          <w:rFonts w:hint="eastAsia" w:ascii="仿宋_GB2312" w:hAnsi="仿宋_GB2312" w:eastAsia="仿宋_GB2312" w:cs="仿宋_GB2312"/>
          <w:b w:val="0"/>
          <w:bCs w:val="0"/>
          <w:sz w:val="32"/>
          <w:szCs w:val="32"/>
          <w:lang w:val="en-US" w:eastAsia="zh-CN"/>
        </w:rPr>
        <w:t>18万元，区财政局批复18万元。</w:t>
      </w:r>
      <w:r>
        <w:rPr>
          <w:rFonts w:hint="eastAsia" w:ascii="仿宋_GB2312" w:hAnsi="仿宋_GB2312" w:eastAsia="仿宋_GB2312" w:cs="仿宋_GB2312"/>
          <w:b w:val="0"/>
          <w:bCs w:val="0"/>
          <w:spacing w:val="20"/>
          <w:kern w:val="0"/>
          <w:sz w:val="32"/>
          <w:szCs w:val="32"/>
          <w:lang w:eastAsia="zh-CN"/>
        </w:rPr>
        <w:t>德市</w:t>
      </w:r>
      <w:r>
        <w:rPr>
          <w:rFonts w:hint="eastAsia" w:ascii="仿宋_GB2312" w:hAnsi="仿宋_GB2312" w:eastAsia="仿宋_GB2312" w:cs="仿宋_GB2312"/>
          <w:b w:val="0"/>
          <w:bCs w:val="0"/>
          <w:spacing w:val="20"/>
          <w:kern w:val="0"/>
          <w:sz w:val="32"/>
          <w:szCs w:val="32"/>
        </w:rPr>
        <w:t>罗财预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spacing w:val="20"/>
          <w:kern w:val="0"/>
          <w:sz w:val="32"/>
          <w:szCs w:val="32"/>
        </w:rPr>
        <w:t>20</w:t>
      </w:r>
      <w:r>
        <w:rPr>
          <w:rFonts w:hint="eastAsia" w:ascii="仿宋_GB2312" w:hAnsi="仿宋_GB2312" w:eastAsia="仿宋_GB2312" w:cs="仿宋_GB2312"/>
          <w:b w:val="0"/>
          <w:bCs w:val="0"/>
          <w:spacing w:val="20"/>
          <w:kern w:val="0"/>
          <w:sz w:val="32"/>
          <w:szCs w:val="32"/>
          <w:lang w:val="en-US" w:eastAsia="zh-CN"/>
        </w:rPr>
        <w:t>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spacing w:val="20"/>
          <w:kern w:val="0"/>
          <w:sz w:val="32"/>
          <w:szCs w:val="32"/>
          <w:lang w:val="en-US" w:eastAsia="zh-CN"/>
        </w:rPr>
        <w:t>1</w:t>
      </w:r>
      <w:r>
        <w:rPr>
          <w:rFonts w:hint="eastAsia" w:ascii="仿宋_GB2312" w:hAnsi="仿宋_GB2312" w:eastAsia="仿宋_GB2312" w:cs="仿宋_GB2312"/>
          <w:b w:val="0"/>
          <w:bCs w:val="0"/>
          <w:spacing w:val="20"/>
          <w:kern w:val="0"/>
          <w:sz w:val="32"/>
          <w:szCs w:val="32"/>
        </w:rPr>
        <w:t>号文件批复“</w:t>
      </w:r>
      <w:r>
        <w:rPr>
          <w:rFonts w:hint="eastAsia" w:ascii="仿宋_GB2312" w:hAnsi="仿宋_GB2312" w:eastAsia="仿宋_GB2312" w:cs="仿宋_GB2312"/>
          <w:b w:val="0"/>
          <w:bCs w:val="0"/>
          <w:sz w:val="32"/>
          <w:szCs w:val="32"/>
          <w:lang w:val="en-US" w:eastAsia="zh-CN"/>
        </w:rPr>
        <w:t>城市公交公益性补贴</w:t>
      </w:r>
      <w:r>
        <w:rPr>
          <w:rFonts w:hint="eastAsia" w:ascii="仿宋_GB2312" w:hAnsi="仿宋_GB2312" w:eastAsia="仿宋_GB2312" w:cs="仿宋_GB2312"/>
          <w:b w:val="0"/>
          <w:bCs w:val="0"/>
          <w:spacing w:val="20"/>
          <w:kern w:val="0"/>
          <w:sz w:val="32"/>
          <w:szCs w:val="32"/>
        </w:rPr>
        <w:t>”项目的预算经费</w:t>
      </w:r>
      <w:r>
        <w:rPr>
          <w:rFonts w:hint="eastAsia" w:ascii="仿宋_GB2312" w:hAnsi="仿宋_GB2312" w:eastAsia="仿宋_GB2312" w:cs="仿宋_GB2312"/>
          <w:b w:val="0"/>
          <w:bCs w:val="0"/>
          <w:spacing w:val="20"/>
          <w:kern w:val="0"/>
          <w:sz w:val="32"/>
          <w:szCs w:val="32"/>
          <w:lang w:val="en-US" w:eastAsia="zh-CN"/>
        </w:rPr>
        <w:t>18</w:t>
      </w:r>
      <w:r>
        <w:rPr>
          <w:rFonts w:hint="eastAsia" w:ascii="仿宋_GB2312" w:hAnsi="仿宋_GB2312" w:eastAsia="仿宋_GB2312" w:cs="仿宋_GB2312"/>
          <w:b w:val="0"/>
          <w:bCs w:val="0"/>
          <w:spacing w:val="20"/>
          <w:kern w:val="0"/>
          <w:sz w:val="32"/>
          <w:szCs w:val="32"/>
        </w:rPr>
        <w:t>万元</w:t>
      </w:r>
      <w:r>
        <w:rPr>
          <w:rFonts w:hint="eastAsia" w:ascii="仿宋_GB2312" w:hAnsi="仿宋_GB2312" w:eastAsia="仿宋_GB2312" w:cs="仿宋_GB2312"/>
          <w:spacing w:val="20"/>
          <w:kern w:val="0"/>
          <w:sz w:val="32"/>
          <w:szCs w:val="32"/>
          <w:lang w:eastAsia="zh-CN"/>
        </w:rPr>
        <w:t>。</w:t>
      </w:r>
    </w:p>
    <w:p>
      <w:pPr>
        <w:adjustRightInd w:val="0"/>
        <w:snapToGrid w:val="0"/>
        <w:spacing w:line="600" w:lineRule="exact"/>
        <w:ind w:firstLine="321" w:firstLineChars="100"/>
        <w:rPr>
          <w:rFonts w:hint="eastAsia" w:ascii="方正楷体简体" w:hAnsi="宋体" w:eastAsia="方正楷体简体"/>
          <w:b/>
          <w:bCs/>
          <w:sz w:val="36"/>
          <w:szCs w:val="36"/>
          <w:lang w:val="zh-CN"/>
        </w:rPr>
      </w:pPr>
      <w:r>
        <w:rPr>
          <w:rFonts w:hint="eastAsia" w:ascii="方正楷体简体" w:hAnsi="宋体" w:eastAsia="方正楷体简体"/>
          <w:b/>
          <w:bCs/>
          <w:sz w:val="32"/>
          <w:szCs w:val="32"/>
          <w:lang w:val="zh-CN"/>
        </w:rPr>
        <w:t>（二）资金计划、到位及使用情况。</w:t>
      </w:r>
    </w:p>
    <w:p>
      <w:pPr>
        <w:adjustRightInd w:val="0"/>
        <w:snapToGrid w:val="0"/>
        <w:spacing w:line="600" w:lineRule="exact"/>
        <w:ind w:firstLine="720"/>
        <w:rPr>
          <w:rFonts w:hint="eastAsia" w:ascii="仿宋_GB2312" w:hAnsi="仿宋_GB2312" w:eastAsia="仿宋_GB2312" w:cs="仿宋_GB2312"/>
          <w:b w:val="0"/>
          <w:bCs w:val="0"/>
          <w:spacing w:val="20"/>
          <w:kern w:val="0"/>
          <w:sz w:val="32"/>
          <w:szCs w:val="32"/>
          <w:lang w:val="en-US" w:eastAsia="zh-CN"/>
        </w:rPr>
      </w:pPr>
      <w:r>
        <w:rPr>
          <w:rFonts w:hint="eastAsia" w:ascii="仿宋_GB2312" w:hAnsi="仿宋_GB2312" w:eastAsia="仿宋_GB2312" w:cs="仿宋_GB2312"/>
          <w:sz w:val="32"/>
          <w:szCs w:val="32"/>
          <w:lang w:val="en-US" w:eastAsia="zh-CN"/>
        </w:rPr>
        <w:t>1.资金计划。根据区政府一届六次常务会议精神，同意给予城市公交公益性补贴1.5万/车·年，用以实施“三类人群”（70周岁以上老年人、残疾人、现役军人）免票政策。计划项目资金18万元。</w:t>
      </w:r>
    </w:p>
    <w:p>
      <w:pPr>
        <w:pStyle w:val="2"/>
        <w:ind w:firstLine="720" w:firstLineChars="200"/>
        <w:rPr>
          <w:rFonts w:hint="default"/>
          <w:lang w:val="en-US" w:eastAsia="zh-CN"/>
        </w:rPr>
      </w:pPr>
      <w:r>
        <w:rPr>
          <w:rFonts w:hint="eastAsia" w:ascii="仿宋_GB2312" w:hAnsi="仿宋_GB2312" w:eastAsia="仿宋_GB2312" w:cs="仿宋_GB2312"/>
          <w:b w:val="0"/>
          <w:bCs w:val="0"/>
          <w:spacing w:val="20"/>
          <w:kern w:val="0"/>
          <w:sz w:val="32"/>
          <w:szCs w:val="32"/>
          <w:lang w:val="en-US" w:eastAsia="zh-CN"/>
        </w:rPr>
        <w:t>2.资金到位。根据</w:t>
      </w:r>
      <w:r>
        <w:rPr>
          <w:rFonts w:hint="eastAsia" w:ascii="仿宋_GB2312" w:hAnsi="仿宋_GB2312" w:eastAsia="仿宋_GB2312" w:cs="仿宋_GB2312"/>
          <w:b w:val="0"/>
          <w:bCs w:val="0"/>
          <w:spacing w:val="20"/>
          <w:kern w:val="0"/>
          <w:sz w:val="32"/>
          <w:szCs w:val="32"/>
          <w:lang w:eastAsia="zh-CN"/>
        </w:rPr>
        <w:t>德市</w:t>
      </w:r>
      <w:r>
        <w:rPr>
          <w:rFonts w:hint="eastAsia" w:ascii="仿宋_GB2312" w:hAnsi="仿宋_GB2312" w:eastAsia="仿宋_GB2312" w:cs="仿宋_GB2312"/>
          <w:b w:val="0"/>
          <w:bCs w:val="0"/>
          <w:spacing w:val="20"/>
          <w:kern w:val="0"/>
          <w:sz w:val="32"/>
          <w:szCs w:val="32"/>
        </w:rPr>
        <w:t>罗财预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spacing w:val="20"/>
          <w:kern w:val="0"/>
          <w:sz w:val="32"/>
          <w:szCs w:val="32"/>
        </w:rPr>
        <w:t>20</w:t>
      </w:r>
      <w:r>
        <w:rPr>
          <w:rFonts w:hint="eastAsia" w:ascii="仿宋_GB2312" w:hAnsi="仿宋_GB2312" w:eastAsia="仿宋_GB2312" w:cs="仿宋_GB2312"/>
          <w:b w:val="0"/>
          <w:bCs w:val="0"/>
          <w:spacing w:val="20"/>
          <w:kern w:val="0"/>
          <w:sz w:val="32"/>
          <w:szCs w:val="32"/>
          <w:lang w:val="en-US" w:eastAsia="zh-CN"/>
        </w:rPr>
        <w:t>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spacing w:val="20"/>
          <w:kern w:val="0"/>
          <w:sz w:val="32"/>
          <w:szCs w:val="32"/>
          <w:lang w:val="en-US" w:eastAsia="zh-CN"/>
        </w:rPr>
        <w:t>1</w:t>
      </w:r>
      <w:r>
        <w:rPr>
          <w:rFonts w:hint="eastAsia" w:ascii="仿宋_GB2312" w:hAnsi="仿宋_GB2312" w:eastAsia="仿宋_GB2312" w:cs="仿宋_GB2312"/>
          <w:b w:val="0"/>
          <w:bCs w:val="0"/>
          <w:spacing w:val="20"/>
          <w:kern w:val="0"/>
          <w:sz w:val="32"/>
          <w:szCs w:val="32"/>
        </w:rPr>
        <w:t>号文件批复</w:t>
      </w:r>
      <w:r>
        <w:rPr>
          <w:rFonts w:hint="eastAsia" w:ascii="仿宋_GB2312" w:hAnsi="仿宋_GB2312" w:eastAsia="仿宋_GB2312" w:cs="仿宋_GB2312"/>
          <w:b w:val="0"/>
          <w:bCs w:val="0"/>
          <w:spacing w:val="20"/>
          <w:kern w:val="0"/>
          <w:sz w:val="32"/>
          <w:szCs w:val="32"/>
          <w:lang w:eastAsia="zh-CN"/>
        </w:rPr>
        <w:t>到位资金</w:t>
      </w:r>
      <w:r>
        <w:rPr>
          <w:rFonts w:hint="eastAsia" w:ascii="仿宋_GB2312" w:hAnsi="仿宋_GB2312" w:eastAsia="仿宋_GB2312" w:cs="仿宋_GB2312"/>
          <w:b w:val="0"/>
          <w:bCs w:val="0"/>
          <w:spacing w:val="20"/>
          <w:kern w:val="0"/>
          <w:sz w:val="32"/>
          <w:szCs w:val="32"/>
          <w:lang w:val="en-US" w:eastAsia="zh-CN"/>
        </w:rPr>
        <w:t>18万元。</w:t>
      </w:r>
    </w:p>
    <w:p>
      <w:pPr>
        <w:numPr>
          <w:ilvl w:val="0"/>
          <w:numId w:val="0"/>
        </w:num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3.资金使用：补助资金由区运管所申请，通过财政直接支付给企业，2022年补贴资金18万元，已全部按时发放给企业。</w:t>
      </w:r>
    </w:p>
    <w:p>
      <w:pPr>
        <w:adjustRightInd w:val="0"/>
        <w:snapToGrid w:val="0"/>
        <w:spacing w:line="600" w:lineRule="exact"/>
        <w:ind w:firstLine="321" w:firstLineChars="100"/>
        <w:rPr>
          <w:rFonts w:hint="eastAsia" w:ascii="方正楷体简体" w:hAnsi="宋体" w:eastAsia="方正楷体简体"/>
          <w:b/>
          <w:bCs/>
          <w:sz w:val="32"/>
          <w:szCs w:val="32"/>
          <w:lang w:val="en-US" w:eastAsia="zh-CN"/>
        </w:rPr>
      </w:pPr>
      <w:r>
        <w:rPr>
          <w:rFonts w:hint="eastAsia" w:ascii="方正楷体简体" w:hAnsi="宋体" w:eastAsia="方正楷体简体"/>
          <w:b/>
          <w:bCs/>
          <w:sz w:val="32"/>
          <w:szCs w:val="32"/>
          <w:lang w:val="en-US" w:eastAsia="zh-CN"/>
        </w:rPr>
        <w:t>（三）项目财务管理情况。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lang w:val="en-US" w:eastAsia="zh-CN"/>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严格按照资金的使用范围，执行各项财务制度，通过财政大平台把项目资金支付给</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实施时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由项目股室填报资金申拨单</w:t>
      </w:r>
      <w:r>
        <w:rPr>
          <w:rFonts w:hint="eastAsia" w:ascii="仿宋_GB2312" w:hAnsi="仿宋_GB2312" w:eastAsia="仿宋_GB2312" w:cs="仿宋_GB2312"/>
          <w:sz w:val="32"/>
          <w:szCs w:val="32"/>
        </w:rPr>
        <w:t>，财务审核票据，项目分管领导审核，单位负责人审核拨款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账务处理及时，会计核算规范。</w:t>
      </w:r>
    </w:p>
    <w:p>
      <w:pPr>
        <w:numPr>
          <w:ilvl w:val="0"/>
          <w:numId w:val="6"/>
        </w:numPr>
        <w:ind w:left="640" w:leftChars="0" w:firstLine="0" w:firstLineChars="0"/>
        <w:rPr>
          <w:rFonts w:hint="eastAsia"/>
          <w:b/>
          <w:bCs/>
          <w:sz w:val="32"/>
          <w:szCs w:val="32"/>
          <w:lang w:val="en-US" w:eastAsia="zh-CN"/>
        </w:rPr>
      </w:pPr>
      <w:bookmarkStart w:id="110" w:name="_Toc15722_WPSOffice_Level2"/>
      <w:r>
        <w:rPr>
          <w:rFonts w:hint="eastAsia"/>
          <w:b/>
          <w:bCs/>
          <w:sz w:val="32"/>
          <w:szCs w:val="32"/>
          <w:lang w:val="en-US" w:eastAsia="zh-CN"/>
        </w:rPr>
        <w:t>项目实施及管理情况</w:t>
      </w:r>
      <w:bookmarkEnd w:id="110"/>
    </w:p>
    <w:p>
      <w:pPr>
        <w:keepNext/>
        <w:keepLines/>
        <w:autoSpaceDE w:val="0"/>
        <w:autoSpaceDN w:val="0"/>
        <w:adjustRightInd w:val="0"/>
        <w:spacing w:beforeLines="-2147483648" w:afterLines="-2147483648" w:line="578" w:lineRule="exact"/>
        <w:ind w:firstLine="720"/>
        <w:jc w:val="both"/>
        <w:rPr>
          <w:rFonts w:hint="eastAsia" w:ascii="楷体_GB2312" w:hAnsi="Cambria" w:eastAsia="楷体_GB2312" w:cs="楷体_GB2312"/>
          <w:b/>
          <w:bCs/>
          <w:kern w:val="2"/>
          <w:sz w:val="32"/>
          <w:szCs w:val="32"/>
          <w:lang w:val="en-US" w:eastAsia="zh-CN" w:bidi="ar-SA"/>
        </w:rPr>
      </w:pPr>
      <w:r>
        <w:rPr>
          <w:rFonts w:hint="eastAsia" w:ascii="楷体_GB2312" w:hAnsi="Cambria" w:eastAsia="楷体_GB2312" w:cs="楷体_GB2312"/>
          <w:b/>
          <w:bCs/>
          <w:kern w:val="2"/>
          <w:sz w:val="32"/>
          <w:szCs w:val="32"/>
          <w:lang w:val="en-US" w:eastAsia="zh-CN" w:bidi="ar-SA"/>
        </w:rPr>
        <w:t>（一）项目组织架构及实施流程。</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该项目由罗江区道路运输管理所组织实施，由德阳市罗江区云达公交有限公司负责落实辖区12辆城市公交实施“三类人群”（70周岁以上老年人、残疾人、现役军人）免票政策。</w:t>
      </w:r>
    </w:p>
    <w:p>
      <w:pPr>
        <w:pStyle w:val="2"/>
        <w:ind w:left="0" w:leftChars="0" w:firstLine="643" w:firstLineChars="200"/>
        <w:rPr>
          <w:rFonts w:hint="eastAsia" w:ascii="仿宋_GB2312" w:hAnsi="仿宋_GB2312" w:eastAsia="仿宋_GB2312" w:cs="仿宋_GB2312"/>
          <w:sz w:val="32"/>
          <w:szCs w:val="32"/>
          <w:lang w:val="en-US" w:eastAsia="zh-CN"/>
        </w:rPr>
      </w:pPr>
      <w:r>
        <w:rPr>
          <w:rFonts w:hint="eastAsia" w:ascii="楷体_GB2312" w:hAnsi="Cambria" w:eastAsia="楷体_GB2312" w:cs="楷体_GB2312"/>
          <w:b/>
          <w:bCs/>
          <w:kern w:val="2"/>
          <w:sz w:val="32"/>
          <w:szCs w:val="32"/>
          <w:lang w:val="en-US" w:eastAsia="zh-CN" w:bidi="ar-SA"/>
        </w:rPr>
        <w:t>（二）项目管理情况。</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罗江区道路运输管理所根据项目实际制定各项考核指标，汇同交通运输局对企业实施情况进行考核。</w:t>
      </w:r>
    </w:p>
    <w:p>
      <w:pPr>
        <w:pStyle w:val="2"/>
        <w:ind w:left="0" w:leftChars="0" w:firstLine="643" w:firstLineChars="200"/>
        <w:rPr>
          <w:rFonts w:hint="eastAsia" w:ascii="楷体_GB2312" w:hAnsi="Cambria" w:eastAsia="楷体_GB2312" w:cs="楷体_GB2312"/>
          <w:b/>
          <w:bCs/>
          <w:kern w:val="2"/>
          <w:sz w:val="32"/>
          <w:szCs w:val="32"/>
          <w:lang w:val="en-US" w:eastAsia="zh-CN" w:bidi="ar-SA"/>
        </w:rPr>
      </w:pPr>
      <w:r>
        <w:rPr>
          <w:rFonts w:hint="eastAsia" w:ascii="楷体_GB2312" w:hAnsi="Cambria" w:eastAsia="楷体_GB2312" w:cs="楷体_GB2312"/>
          <w:b/>
          <w:bCs/>
          <w:kern w:val="2"/>
          <w:sz w:val="32"/>
          <w:szCs w:val="32"/>
          <w:lang w:val="en-US" w:eastAsia="zh-CN" w:bidi="ar-SA"/>
        </w:rPr>
        <w:t>（三）项目监管情况。</w:t>
      </w:r>
    </w:p>
    <w:p>
      <w:pPr>
        <w:numPr>
          <w:ilvl w:val="0"/>
          <w:numId w:val="0"/>
        </w:numPr>
        <w:ind w:firstLine="640" w:firstLineChars="200"/>
        <w:rPr>
          <w:rFonts w:hint="eastAsia"/>
          <w:sz w:val="32"/>
          <w:szCs w:val="32"/>
          <w:lang w:val="en-US" w:eastAsia="zh-CN"/>
        </w:rPr>
      </w:pPr>
      <w:r>
        <w:rPr>
          <w:rFonts w:hint="eastAsia" w:ascii="仿宋_GB2312" w:hAnsi="仿宋_GB2312" w:eastAsia="仿宋_GB2312" w:cs="仿宋_GB2312"/>
          <w:sz w:val="32"/>
          <w:szCs w:val="32"/>
          <w:lang w:val="en-US" w:eastAsia="zh-CN"/>
        </w:rPr>
        <w:t>罗江区道路运输管理所不定时的对企业落实“三类人群”免票政策进行查证，并按考核指标进行考核，到达相应标准才予以兑付补助资金，从而确保项目顺利完成。</w:t>
      </w:r>
    </w:p>
    <w:p>
      <w:pPr>
        <w:numPr>
          <w:ilvl w:val="0"/>
          <w:numId w:val="6"/>
        </w:numPr>
        <w:ind w:left="640" w:leftChars="0" w:firstLine="0" w:firstLineChars="0"/>
        <w:rPr>
          <w:rFonts w:hint="eastAsia"/>
          <w:b/>
          <w:bCs/>
          <w:sz w:val="32"/>
          <w:szCs w:val="32"/>
          <w:lang w:val="en-US" w:eastAsia="zh-CN"/>
        </w:rPr>
      </w:pPr>
      <w:bookmarkStart w:id="111" w:name="_Toc20671_WPSOffice_Level2"/>
      <w:r>
        <w:rPr>
          <w:rFonts w:hint="eastAsia"/>
          <w:b/>
          <w:bCs/>
          <w:sz w:val="32"/>
          <w:szCs w:val="32"/>
          <w:lang w:val="en-US" w:eastAsia="zh-CN"/>
        </w:rPr>
        <w:t>项目绩效情况</w:t>
      </w:r>
      <w:bookmarkEnd w:id="111"/>
    </w:p>
    <w:p>
      <w:pPr>
        <w:pStyle w:val="2"/>
        <w:ind w:left="0" w:leftChars="0" w:firstLine="643" w:firstLineChars="200"/>
        <w:rPr>
          <w:rFonts w:hint="eastAsia"/>
          <w:b/>
          <w:bCs/>
          <w:sz w:val="32"/>
          <w:szCs w:val="32"/>
          <w:lang w:val="en-US" w:eastAsia="zh-CN"/>
        </w:rPr>
      </w:pPr>
      <w:r>
        <w:rPr>
          <w:rFonts w:hint="eastAsia" w:ascii="方正楷体简体" w:hAnsi="宋体" w:eastAsia="方正楷体简体" w:cs="Times New Roman"/>
          <w:b/>
          <w:bCs/>
          <w:kern w:val="0"/>
          <w:sz w:val="32"/>
          <w:szCs w:val="32"/>
          <w:lang w:val="en-US" w:eastAsia="zh-CN"/>
        </w:rPr>
        <w:t>（一）项目完成情况。</w:t>
      </w:r>
    </w:p>
    <w:p>
      <w:pPr>
        <w:pStyle w:val="2"/>
        <w:ind w:left="0" w:leftChars="0"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对照年初绩效目标，2022年各项绩效目标完成如下：数量指标-补贴车辆数12辆，完成12辆；时效指标-完成时间2022年，已完成；成本指标-补贴资金18万元，已完成。</w:t>
      </w:r>
    </w:p>
    <w:p>
      <w:pPr>
        <w:pStyle w:val="2"/>
        <w:ind w:left="0" w:leftChars="0" w:firstLine="643" w:firstLineChars="200"/>
        <w:rPr>
          <w:rFonts w:hint="default" w:ascii="仿宋_GB2312" w:hAnsi="仿宋_GB2312" w:eastAsia="仿宋_GB2312" w:cs="仿宋_GB2312"/>
          <w:b w:val="0"/>
          <w:bCs w:val="0"/>
          <w:sz w:val="32"/>
          <w:szCs w:val="32"/>
          <w:lang w:val="en-US" w:eastAsia="zh-CN"/>
        </w:rPr>
      </w:pPr>
      <w:r>
        <w:rPr>
          <w:rFonts w:hint="eastAsia" w:ascii="方正楷体简体" w:hAnsi="宋体" w:eastAsia="方正楷体简体" w:cs="Times New Roman"/>
          <w:b/>
          <w:bCs/>
          <w:kern w:val="0"/>
          <w:sz w:val="32"/>
          <w:szCs w:val="32"/>
          <w:lang w:val="en-US" w:eastAsia="zh-CN"/>
        </w:rPr>
        <w:t>（二）项目效益情况。</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2022年，区道路运输管理所按时完成12辆城市公交公益性补贴发放工作，</w:t>
      </w:r>
      <w:r>
        <w:rPr>
          <w:rFonts w:hint="eastAsia" w:ascii="仿宋_GB2312" w:hAnsi="仿宋_GB2312" w:eastAsia="仿宋_GB2312" w:cs="仿宋_GB2312"/>
          <w:sz w:val="32"/>
          <w:szCs w:val="32"/>
          <w:lang w:val="en-US" w:eastAsia="zh-CN"/>
        </w:rPr>
        <w:t>本项目的实施在经济、社会、生态、可持续影响</w:t>
      </w:r>
      <w:r>
        <w:rPr>
          <w:rFonts w:hint="eastAsia" w:ascii="仿宋_GB2312" w:hAnsi="仿宋_GB2312" w:eastAsia="仿宋_GB2312" w:cs="仿宋_GB2312"/>
          <w:sz w:val="32"/>
          <w:szCs w:val="32"/>
          <w:lang w:val="zh-CN" w:eastAsia="zh-CN"/>
        </w:rPr>
        <w:t>及服务对象满意度等方面</w:t>
      </w:r>
      <w:r>
        <w:rPr>
          <w:rFonts w:hint="eastAsia" w:ascii="仿宋_GB2312" w:hAnsi="仿宋_GB2312" w:eastAsia="仿宋_GB2312" w:cs="仿宋_GB2312"/>
          <w:sz w:val="32"/>
          <w:szCs w:val="32"/>
          <w:lang w:val="en-US" w:eastAsia="zh-CN"/>
        </w:rPr>
        <w:t>都达到了高效益。</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1.在经济效益方面：获得城市公交公益性补贴后，极大的扭转了公交的经营亏损，维护了公共交通行业的稳定和发展。</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2.在社会效益方面：获得城市公交公益性补贴后，公交行业面临的亏损困境得到缓解，城乡公交班次、服务水平等得到有效保障，三类人群享受到惠民政策，大幅提升了城市公交的公益性质。</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3.在生态效益方面：12辆城市公交车辆均采用电力新能源为动力，有效地改善空气质量，节能减排效果显著，对环境可持续发展也有好的影响。</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4.在可持续影响方面：大力发展公共交通是国家交通发展战略要求，对未来社会经济发展和人文交流等方面具有积极意义，同时也是持续推进城乡地区可持续发展的有效手段。</w:t>
      </w:r>
    </w:p>
    <w:p>
      <w:pPr>
        <w:numPr>
          <w:ilvl w:val="0"/>
          <w:numId w:val="0"/>
        </w:numPr>
        <w:ind w:firstLine="640" w:firstLineChars="200"/>
        <w:rPr>
          <w:rFonts w:hint="eastAsia"/>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eastAsia="zh-CN"/>
        </w:rPr>
        <w:t>服务对象满意度方面：</w:t>
      </w:r>
      <w:r>
        <w:rPr>
          <w:rFonts w:hint="eastAsia" w:ascii="仿宋_GB2312" w:hAnsi="仿宋_GB2312" w:eastAsia="仿宋_GB2312" w:cs="仿宋_GB2312"/>
          <w:sz w:val="32"/>
          <w:szCs w:val="32"/>
          <w:lang w:val="en-US" w:eastAsia="zh-CN"/>
        </w:rPr>
        <w:t>获得城市公交公益性补贴后，公共交通领域服务水平得到有效改善，“三类人群”免费乘坐城市公交政策得到有效落实，切实惠及民生，广大群众满意度大幅提升。</w:t>
      </w:r>
    </w:p>
    <w:p>
      <w:pPr>
        <w:numPr>
          <w:ilvl w:val="0"/>
          <w:numId w:val="6"/>
        </w:numPr>
        <w:ind w:left="640" w:leftChars="0" w:firstLine="0" w:firstLineChars="0"/>
        <w:rPr>
          <w:rFonts w:hint="eastAsia"/>
          <w:b/>
          <w:bCs/>
          <w:sz w:val="32"/>
          <w:szCs w:val="32"/>
          <w:lang w:val="en-US" w:eastAsia="zh-CN"/>
        </w:rPr>
      </w:pPr>
      <w:bookmarkStart w:id="112" w:name="_Toc9076_WPSOffice_Level2"/>
      <w:r>
        <w:rPr>
          <w:rFonts w:hint="eastAsia"/>
          <w:b/>
          <w:bCs/>
          <w:sz w:val="32"/>
          <w:szCs w:val="32"/>
          <w:lang w:val="en-US" w:eastAsia="zh-CN"/>
        </w:rPr>
        <w:t>评价结论</w:t>
      </w:r>
      <w:bookmarkEnd w:id="112"/>
      <w:r>
        <w:rPr>
          <w:rFonts w:hint="eastAsia"/>
          <w:b/>
          <w:bCs/>
          <w:sz w:val="32"/>
          <w:szCs w:val="32"/>
          <w:lang w:val="en-US" w:eastAsia="zh-CN"/>
        </w:rPr>
        <w:t>及建议</w:t>
      </w:r>
    </w:p>
    <w:p>
      <w:pPr>
        <w:numPr>
          <w:ilvl w:val="0"/>
          <w:numId w:val="0"/>
        </w:numPr>
        <w:ind w:firstLine="643" w:firstLineChars="200"/>
        <w:rPr>
          <w:rFonts w:hint="eastAsia"/>
          <w:sz w:val="32"/>
          <w:szCs w:val="32"/>
          <w:lang w:val="en-US" w:eastAsia="zh-CN"/>
        </w:rPr>
      </w:pPr>
      <w:r>
        <w:rPr>
          <w:rFonts w:hint="eastAsia" w:ascii="方正楷体简体" w:hAnsi="宋体" w:eastAsia="方正楷体简体" w:cs="Times New Roman"/>
          <w:b/>
          <w:bCs/>
          <w:kern w:val="0"/>
          <w:sz w:val="32"/>
          <w:szCs w:val="32"/>
          <w:lang w:val="en-US" w:eastAsia="zh-CN"/>
        </w:rPr>
        <w:t>（一）评价结论。</w:t>
      </w:r>
      <w:r>
        <w:rPr>
          <w:rFonts w:hint="eastAsia" w:ascii="仿宋_GB2312" w:hAnsi="仿宋_GB2312" w:eastAsia="仿宋_GB2312" w:cs="仿宋_GB2312"/>
          <w:sz w:val="32"/>
          <w:szCs w:val="32"/>
          <w:lang w:val="en-US" w:eastAsia="zh-CN"/>
        </w:rPr>
        <w:t>本项目的实施，充分保障和发挥了公共交通公益性、惠民性功能，切实满足了“三类人群”出行需求，增强了广大群众的幸福感和获得感，收到全社会一致好评。总体评价优良。</w:t>
      </w:r>
    </w:p>
    <w:p>
      <w:pPr>
        <w:numPr>
          <w:ilvl w:val="0"/>
          <w:numId w:val="0"/>
        </w:numPr>
        <w:ind w:firstLine="643" w:firstLineChars="200"/>
        <w:rPr>
          <w:rFonts w:hint="eastAsia" w:ascii="方正楷体简体" w:hAnsi="宋体" w:eastAsia="方正楷体简体" w:cs="Times New Roman"/>
          <w:b/>
          <w:bCs/>
          <w:kern w:val="0"/>
          <w:sz w:val="32"/>
          <w:szCs w:val="32"/>
          <w:lang w:val="en-US" w:eastAsia="zh-CN"/>
        </w:rPr>
      </w:pPr>
      <w:bookmarkStart w:id="113" w:name="_Toc10470_WPSOffice_Level2"/>
      <w:r>
        <w:rPr>
          <w:rFonts w:hint="eastAsia" w:ascii="方正楷体简体" w:hAnsi="宋体" w:eastAsia="方正楷体简体" w:cs="Times New Roman"/>
          <w:b/>
          <w:bCs/>
          <w:kern w:val="0"/>
          <w:sz w:val="32"/>
          <w:szCs w:val="32"/>
          <w:lang w:val="en-US" w:eastAsia="zh-CN"/>
        </w:rPr>
        <w:t>（二）问题及建议</w:t>
      </w:r>
      <w:bookmarkEnd w:id="113"/>
    </w:p>
    <w:p>
      <w:pPr>
        <w:keepNext/>
        <w:keepLines/>
        <w:spacing w:beforeLines="0" w:afterLines="0" w:line="578" w:lineRule="exact"/>
        <w:ind w:firstLine="640"/>
        <w:rPr>
          <w:rFonts w:hint="eastAsia" w:ascii="黑体" w:hAnsi="黑体" w:eastAsia="黑体"/>
          <w:color w:val="auto"/>
          <w:kern w:val="44"/>
          <w:sz w:val="32"/>
          <w:lang w:val="en-US"/>
        </w:rPr>
      </w:pPr>
      <w:r>
        <w:rPr>
          <w:rFonts w:hint="eastAsia" w:ascii="仿宋_GB2312" w:hAnsi="仿宋_GB2312" w:eastAsia="仿宋_GB2312" w:cs="仿宋_GB2312"/>
          <w:sz w:val="32"/>
          <w:szCs w:val="32"/>
          <w:lang w:val="en-US" w:eastAsia="zh-CN"/>
        </w:rPr>
        <w:t>建议按照本项目实施方式，在有条件的领域继续深化和推进实施范围。</w:t>
      </w:r>
    </w:p>
    <w:p>
      <w:pPr>
        <w:spacing w:beforeLines="0" w:afterLines="0" w:line="600" w:lineRule="exact"/>
        <w:ind w:firstLine="640"/>
        <w:jc w:val="both"/>
        <w:rPr>
          <w:rFonts w:hint="eastAsia" w:ascii="仿宋_GB2312" w:hAnsi="仿宋_GB2312" w:eastAsia="仿宋_GB2312"/>
          <w:color w:val="auto"/>
          <w:kern w:val="2"/>
          <w:sz w:val="32"/>
          <w:lang w:val="en-US"/>
        </w:rPr>
      </w:pPr>
    </w:p>
    <w:p>
      <w:pPr>
        <w:spacing w:beforeLines="0" w:afterLines="0" w:line="600" w:lineRule="exact"/>
        <w:ind w:firstLine="640"/>
        <w:jc w:val="both"/>
        <w:rPr>
          <w:rFonts w:hint="eastAsia" w:ascii="仿宋_GB2312" w:hAnsi="仿宋_GB2312" w:eastAsia="仿宋_GB2312"/>
          <w:color w:val="auto"/>
          <w:kern w:val="2"/>
          <w:sz w:val="32"/>
          <w:lang w:val="en-US"/>
        </w:rPr>
      </w:pPr>
    </w:p>
    <w:p>
      <w:pPr>
        <w:spacing w:beforeLines="0" w:afterLines="0" w:line="600" w:lineRule="exact"/>
        <w:ind w:firstLine="640"/>
        <w:jc w:val="both"/>
        <w:rPr>
          <w:rFonts w:hint="eastAsia" w:ascii="仿宋_GB2312" w:hAnsi="仿宋_GB2312" w:eastAsia="仿宋_GB2312"/>
          <w:color w:val="auto"/>
          <w:kern w:val="2"/>
          <w:sz w:val="32"/>
          <w:lang w:val="en-US"/>
        </w:rPr>
      </w:pPr>
    </w:p>
    <w:p>
      <w:pPr>
        <w:spacing w:beforeLines="0" w:afterLines="0" w:line="600" w:lineRule="exact"/>
        <w:ind w:firstLine="640"/>
        <w:jc w:val="both"/>
        <w:rPr>
          <w:rFonts w:hint="eastAsia" w:ascii="仿宋_GB2312" w:hAnsi="仿宋_GB2312" w:eastAsia="仿宋_GB2312"/>
          <w:color w:val="auto"/>
          <w:kern w:val="2"/>
          <w:sz w:val="32"/>
          <w:lang w:val="en-US"/>
        </w:rPr>
      </w:pPr>
    </w:p>
    <w:p>
      <w:pPr>
        <w:pStyle w:val="2"/>
        <w:rPr>
          <w:rFonts w:hint="eastAsia" w:ascii="仿宋_GB2312" w:hAnsi="仿宋_GB2312" w:eastAsia="仿宋_GB2312"/>
          <w:color w:val="auto"/>
          <w:kern w:val="2"/>
          <w:sz w:val="32"/>
          <w:lang w:val="en-US"/>
        </w:rPr>
      </w:pPr>
    </w:p>
    <w:p>
      <w:pPr>
        <w:pStyle w:val="2"/>
        <w:rPr>
          <w:rFonts w:hint="eastAsia" w:ascii="仿宋_GB2312" w:hAnsi="仿宋_GB2312" w:eastAsia="仿宋_GB2312"/>
          <w:color w:val="auto"/>
          <w:kern w:val="2"/>
          <w:sz w:val="32"/>
          <w:lang w:val="en-US"/>
        </w:rPr>
      </w:pPr>
    </w:p>
    <w:p>
      <w:pPr>
        <w:pStyle w:val="2"/>
        <w:rPr>
          <w:rFonts w:hint="eastAsia" w:ascii="仿宋_GB2312" w:hAnsi="仿宋_GB2312" w:eastAsia="仿宋_GB2312"/>
          <w:color w:val="auto"/>
          <w:kern w:val="2"/>
          <w:sz w:val="32"/>
          <w:lang w:val="en-US"/>
        </w:rPr>
      </w:pPr>
    </w:p>
    <w:p>
      <w:pPr>
        <w:pStyle w:val="2"/>
        <w:rPr>
          <w:rFonts w:hint="eastAsia" w:ascii="仿宋_GB2312" w:hAnsi="仿宋_GB2312" w:eastAsia="仿宋_GB2312"/>
          <w:color w:val="auto"/>
          <w:kern w:val="2"/>
          <w:sz w:val="32"/>
          <w:lang w:val="en-US"/>
        </w:rPr>
      </w:pPr>
    </w:p>
    <w:p>
      <w:pPr>
        <w:pStyle w:val="2"/>
        <w:rPr>
          <w:rFonts w:hint="eastAsia" w:ascii="仿宋_GB2312" w:hAnsi="仿宋_GB2312" w:eastAsia="仿宋_GB2312"/>
          <w:color w:val="auto"/>
          <w:kern w:val="2"/>
          <w:sz w:val="32"/>
          <w:lang w:val="en-US"/>
        </w:rPr>
      </w:pPr>
    </w:p>
    <w:p>
      <w:pPr>
        <w:pStyle w:val="2"/>
        <w:rPr>
          <w:rFonts w:hint="eastAsia" w:ascii="仿宋_GB2312" w:hAnsi="仿宋_GB2312" w:eastAsia="仿宋_GB2312"/>
          <w:color w:val="auto"/>
          <w:kern w:val="2"/>
          <w:sz w:val="32"/>
          <w:lang w:val="en-US"/>
        </w:rPr>
      </w:pPr>
    </w:p>
    <w:p>
      <w:pPr>
        <w:pStyle w:val="2"/>
        <w:rPr>
          <w:rFonts w:hint="eastAsia" w:ascii="仿宋_GB2312" w:hAnsi="仿宋_GB2312" w:eastAsia="仿宋_GB2312"/>
          <w:color w:val="auto"/>
          <w:kern w:val="2"/>
          <w:sz w:val="32"/>
          <w:lang w:val="en-US"/>
        </w:rPr>
      </w:pPr>
    </w:p>
    <w:p>
      <w:pPr>
        <w:pStyle w:val="2"/>
        <w:rPr>
          <w:rFonts w:hint="eastAsia" w:ascii="仿宋_GB2312" w:hAnsi="仿宋_GB2312" w:eastAsia="仿宋_GB2312"/>
          <w:color w:val="auto"/>
          <w:kern w:val="2"/>
          <w:sz w:val="32"/>
          <w:lang w:val="en-US"/>
        </w:rPr>
      </w:pPr>
    </w:p>
    <w:p>
      <w:pPr>
        <w:pStyle w:val="2"/>
        <w:rPr>
          <w:rFonts w:hint="eastAsia" w:ascii="仿宋_GB2312" w:hAnsi="仿宋_GB2312" w:eastAsia="仿宋_GB2312"/>
          <w:color w:val="auto"/>
          <w:kern w:val="2"/>
          <w:sz w:val="32"/>
          <w:lang w:val="en-US"/>
        </w:rPr>
      </w:pPr>
    </w:p>
    <w:p>
      <w:pPr>
        <w:pStyle w:val="2"/>
        <w:rPr>
          <w:rFonts w:hint="eastAsia" w:ascii="仿宋_GB2312" w:hAnsi="仿宋_GB2312" w:eastAsia="仿宋_GB2312"/>
          <w:color w:val="auto"/>
          <w:kern w:val="2"/>
          <w:sz w:val="32"/>
          <w:lang w:val="en-US"/>
        </w:rPr>
      </w:pPr>
    </w:p>
    <w:p>
      <w:pPr>
        <w:pStyle w:val="2"/>
        <w:rPr>
          <w:rFonts w:hint="eastAsia" w:ascii="仿宋_GB2312" w:hAnsi="仿宋_GB2312" w:eastAsia="仿宋_GB2312"/>
          <w:color w:val="auto"/>
          <w:kern w:val="2"/>
          <w:sz w:val="32"/>
          <w:lang w:val="en-US"/>
        </w:rPr>
      </w:pPr>
    </w:p>
    <w:p>
      <w:pPr>
        <w:pStyle w:val="2"/>
        <w:rPr>
          <w:rFonts w:hint="eastAsia" w:ascii="仿宋_GB2312" w:hAnsi="仿宋_GB2312" w:eastAsia="仿宋_GB2312"/>
          <w:color w:val="auto"/>
          <w:kern w:val="2"/>
          <w:sz w:val="32"/>
          <w:lang w:val="en-US"/>
        </w:rPr>
      </w:pPr>
    </w:p>
    <w:p>
      <w:pPr>
        <w:pStyle w:val="2"/>
        <w:rPr>
          <w:rFonts w:hint="eastAsia" w:ascii="仿宋_GB2312" w:hAnsi="仿宋_GB2312" w:eastAsia="仿宋_GB2312"/>
          <w:color w:val="auto"/>
          <w:kern w:val="2"/>
          <w:sz w:val="32"/>
          <w:lang w:val="en-US"/>
        </w:rPr>
      </w:pPr>
    </w:p>
    <w:p>
      <w:pPr>
        <w:spacing w:beforeLines="0" w:afterLines="0" w:line="600" w:lineRule="exact"/>
        <w:ind w:firstLine="640"/>
        <w:jc w:val="both"/>
        <w:rPr>
          <w:rFonts w:hint="eastAsia" w:ascii="仿宋_GB2312" w:hAnsi="仿宋_GB2312" w:eastAsia="仿宋_GB2312"/>
          <w:color w:val="auto"/>
          <w:kern w:val="2"/>
          <w:sz w:val="32"/>
          <w:lang w:val="en-US"/>
        </w:rPr>
      </w:pPr>
    </w:p>
    <w:p>
      <w:pPr>
        <w:spacing w:line="600" w:lineRule="exact"/>
        <w:jc w:val="center"/>
        <w:rPr>
          <w:rFonts w:hint="eastAsia" w:ascii="方正小标宋简体" w:hAnsi="宋体" w:eastAsia="方正小标宋简体"/>
          <w:sz w:val="44"/>
          <w:szCs w:val="44"/>
          <w:shd w:val="clear" w:color="auto" w:fill="FFFFFF"/>
        </w:rPr>
      </w:pPr>
      <w:bookmarkStart w:id="114" w:name="_Toc29903_WPSOffice_Level2"/>
      <w:bookmarkStart w:id="115" w:name="_Toc23305_WPSOffice_Level2"/>
      <w:bookmarkStart w:id="116" w:name="_Toc15439_WPSOffice_Level2"/>
      <w:r>
        <w:rPr>
          <w:rFonts w:hint="eastAsia" w:ascii="方正小标宋简体" w:hAnsi="宋体" w:eastAsia="方正小标宋简体"/>
          <w:sz w:val="44"/>
          <w:szCs w:val="44"/>
          <w:shd w:val="clear" w:color="auto" w:fill="FFFFFF"/>
          <w:lang w:eastAsia="zh-CN"/>
        </w:rPr>
        <w:t>罗江区交通运输局</w:t>
      </w:r>
      <w:r>
        <w:rPr>
          <w:rFonts w:hint="eastAsia" w:ascii="方正小标宋简体" w:hAnsi="宋体" w:eastAsia="方正小标宋简体"/>
          <w:sz w:val="44"/>
          <w:szCs w:val="44"/>
          <w:shd w:val="clear" w:color="auto" w:fill="FFFFFF"/>
        </w:rPr>
        <w:t>202</w:t>
      </w:r>
      <w:r>
        <w:rPr>
          <w:rFonts w:hint="eastAsia" w:ascii="方正小标宋简体" w:hAnsi="宋体" w:eastAsia="方正小标宋简体"/>
          <w:sz w:val="44"/>
          <w:szCs w:val="44"/>
          <w:shd w:val="clear" w:color="auto" w:fill="FFFFFF"/>
          <w:lang w:val="en-US" w:eastAsia="zh-CN"/>
        </w:rPr>
        <w:t>2</w:t>
      </w:r>
      <w:r>
        <w:rPr>
          <w:rFonts w:hint="eastAsia" w:ascii="方正小标宋简体" w:hAnsi="宋体" w:eastAsia="方正小标宋简体"/>
          <w:sz w:val="44"/>
          <w:szCs w:val="44"/>
          <w:shd w:val="clear" w:color="auto" w:fill="FFFFFF"/>
        </w:rPr>
        <w:t>年</w:t>
      </w:r>
      <w:r>
        <w:rPr>
          <w:rFonts w:hint="eastAsia" w:ascii="方正小标宋简体" w:hAnsi="宋体" w:eastAsia="方正小标宋简体"/>
          <w:sz w:val="44"/>
          <w:szCs w:val="44"/>
          <w:shd w:val="clear" w:color="auto" w:fill="FFFFFF"/>
          <w:lang w:eastAsia="zh-CN"/>
        </w:rPr>
        <w:t>专项</w:t>
      </w:r>
      <w:r>
        <w:rPr>
          <w:rFonts w:hint="eastAsia" w:ascii="方正小标宋简体" w:hAnsi="宋体" w:eastAsia="方正小标宋简体"/>
          <w:sz w:val="44"/>
          <w:szCs w:val="44"/>
          <w:shd w:val="clear" w:color="auto" w:fill="FFFFFF"/>
        </w:rPr>
        <w:t>预算</w:t>
      </w:r>
      <w:bookmarkEnd w:id="114"/>
      <w:bookmarkEnd w:id="115"/>
      <w:bookmarkEnd w:id="116"/>
    </w:p>
    <w:p>
      <w:pPr>
        <w:jc w:val="center"/>
        <w:rPr>
          <w:rFonts w:hint="eastAsia"/>
          <w:b/>
          <w:bCs/>
          <w:sz w:val="44"/>
          <w:szCs w:val="44"/>
          <w:lang w:val="en-US" w:eastAsia="zh-CN"/>
        </w:rPr>
      </w:pPr>
      <w:bookmarkStart w:id="117" w:name="_Toc15753_WPSOffice_Level2"/>
      <w:bookmarkStart w:id="118" w:name="_Toc16706_WPSOffice_Level2"/>
      <w:bookmarkStart w:id="119" w:name="_Toc14023_WPSOffice_Level2"/>
      <w:r>
        <w:rPr>
          <w:rFonts w:hint="eastAsia" w:ascii="方正小标宋简体" w:hAnsi="宋体" w:eastAsia="方正小标宋简体"/>
          <w:sz w:val="44"/>
          <w:szCs w:val="44"/>
          <w:shd w:val="clear" w:color="auto" w:fill="FFFFFF"/>
        </w:rPr>
        <w:t>项目支出绩效自评报告</w:t>
      </w:r>
      <w:bookmarkEnd w:id="117"/>
      <w:bookmarkEnd w:id="118"/>
      <w:bookmarkEnd w:id="119"/>
    </w:p>
    <w:p>
      <w:pPr>
        <w:jc w:val="center"/>
        <w:rPr>
          <w:rFonts w:hint="eastAsia"/>
          <w:lang w:val="en-US" w:eastAsia="zh-CN"/>
        </w:rPr>
      </w:pPr>
      <w:r>
        <w:rPr>
          <w:rFonts w:hint="eastAsia" w:ascii="仿宋_GB2312" w:hAnsi="仿宋_GB2312" w:eastAsia="仿宋_GB2312" w:cs="仿宋_GB2312"/>
          <w:b w:val="0"/>
          <w:bCs w:val="0"/>
          <w:sz w:val="32"/>
          <w:szCs w:val="32"/>
          <w:lang w:val="en-US" w:eastAsia="zh-CN"/>
        </w:rPr>
        <w:t>（德罗城际公交补贴）</w:t>
      </w:r>
    </w:p>
    <w:p>
      <w:pPr>
        <w:numPr>
          <w:ilvl w:val="0"/>
          <w:numId w:val="7"/>
        </w:numPr>
        <w:ind w:firstLine="643" w:firstLineChars="200"/>
        <w:rPr>
          <w:rFonts w:hint="eastAsia"/>
          <w:b/>
          <w:bCs/>
          <w:sz w:val="32"/>
          <w:szCs w:val="32"/>
          <w:lang w:val="en-US" w:eastAsia="zh-CN"/>
        </w:rPr>
      </w:pPr>
      <w:bookmarkStart w:id="120" w:name="_Toc5164_WPSOffice_Level2"/>
      <w:bookmarkStart w:id="121" w:name="_Toc6117_WPSOffice_Level2"/>
      <w:r>
        <w:rPr>
          <w:rFonts w:hint="eastAsia"/>
          <w:b/>
          <w:bCs/>
          <w:sz w:val="32"/>
          <w:szCs w:val="32"/>
          <w:lang w:val="en-US" w:eastAsia="zh-CN"/>
        </w:rPr>
        <w:t>项目概况</w:t>
      </w:r>
      <w:bookmarkEnd w:id="120"/>
      <w:bookmarkEnd w:id="121"/>
    </w:p>
    <w:p>
      <w:pPr>
        <w:keepNext/>
        <w:keepLines/>
        <w:autoSpaceDE w:val="0"/>
        <w:autoSpaceDN w:val="0"/>
        <w:adjustRightInd w:val="0"/>
        <w:spacing w:beforeLines="-2147483648" w:afterLines="-2147483648" w:line="578" w:lineRule="exact"/>
        <w:ind w:firstLine="720"/>
        <w:jc w:val="both"/>
        <w:rPr>
          <w:rFonts w:hint="eastAsia" w:ascii="楷体_GB2312" w:hAnsi="Cambria" w:eastAsia="楷体_GB2312" w:cs="楷体_GB2312"/>
          <w:b/>
          <w:bCs/>
          <w:kern w:val="2"/>
          <w:sz w:val="32"/>
          <w:szCs w:val="32"/>
          <w:lang w:val="en-US" w:eastAsia="zh-CN" w:bidi="ar-SA"/>
        </w:rPr>
      </w:pPr>
      <w:r>
        <w:rPr>
          <w:rFonts w:hint="eastAsia" w:ascii="楷体_GB2312" w:hAnsi="Cambria" w:eastAsia="楷体_GB2312" w:cs="楷体_GB2312"/>
          <w:b/>
          <w:bCs/>
          <w:kern w:val="2"/>
          <w:sz w:val="32"/>
          <w:szCs w:val="32"/>
          <w:lang w:val="en-US" w:eastAsia="zh-CN" w:bidi="ar-SA"/>
        </w:rPr>
        <w:t>（一）项目基本情况</w:t>
      </w:r>
    </w:p>
    <w:p>
      <w:pPr>
        <w:numPr>
          <w:ilvl w:val="0"/>
          <w:numId w:val="0"/>
        </w:numPr>
        <w:ind w:firstLine="640"/>
        <w:rPr>
          <w:rFonts w:hint="eastAsia" w:ascii="仿宋_GB2312" w:hAnsi="仿宋_GB2312" w:eastAsia="仿宋_GB2312" w:cs="仿宋_GB2312"/>
          <w:b w:val="0"/>
          <w:bCs/>
          <w:sz w:val="32"/>
          <w:szCs w:val="32"/>
          <w:lang w:val="zh-CN" w:eastAsia="zh-CN"/>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val="zh-CN" w:eastAsia="zh-CN"/>
        </w:rPr>
        <w:t>罗江区道路运输管理所职能：负责罗江城市公共交通的管理，贯彻执行国家有关公路运输的方针、政策、法律、法规，负责组织实施全区公路运输业发展规划等。为该项目的项目单位，组织实施该项目，</w:t>
      </w:r>
      <w:r>
        <w:rPr>
          <w:rFonts w:hint="eastAsia" w:ascii="仿宋_GB2312" w:hAnsi="仿宋_GB2312" w:eastAsia="仿宋_GB2312" w:cs="仿宋_GB2312"/>
          <w:b w:val="0"/>
          <w:bCs/>
          <w:sz w:val="32"/>
          <w:szCs w:val="32"/>
          <w:lang w:val="zh-CN"/>
        </w:rPr>
        <w:t>对该项目进行管理。</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为全面落实市委八届七次全会“关于全面推动高质量发展的决定”，促进市县融合协调发展，市政府专题研究了市主城区至罗江区开行公交客运事宜，并责成市交通运输局研究提出主城区至罗江区班车客运公交化实施方案。市交通运输局结合G108客运实际，提出了实行“形象公交化、频次公交化、收费公交化”的运营实施方案，因班次加密、延迟运行时间、实际执行低票价所形成的亏损年度预计336.72万元，由市级财政和罗江区财政每年纳入财政预算，各按50%的比例分摊（其中罗江财政168.36万元）。</w:t>
      </w:r>
    </w:p>
    <w:p>
      <w:pPr>
        <w:adjustRightInd w:val="0"/>
        <w:snapToGrid w:val="0"/>
        <w:spacing w:line="600" w:lineRule="exact"/>
        <w:ind w:firstLine="640" w:firstLineChars="200"/>
        <w:rPr>
          <w:rFonts w:hint="eastAsia" w:ascii="仿宋_GB2312" w:hAnsi="仿宋_GB2312" w:eastAsia="仿宋_GB2312" w:cs="仿宋_GB2312"/>
          <w:b/>
          <w:sz w:val="32"/>
          <w:szCs w:val="32"/>
          <w:lang w:val="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按照项目决策、管理、绩效三类指标，对资金支出行为过程及其效果进行综合评价和判断。评价资金使用的科学性、合理性和有效性，分析存在的问题，提出完善资金管理的制度机制、提升资金使用效益的相关建议，为以后年度相关决策提供参考依据。</w:t>
      </w:r>
    </w:p>
    <w:p>
      <w:pPr>
        <w:pStyle w:val="2"/>
        <w:rPr>
          <w:rFonts w:hint="eastAsia"/>
          <w:lang w:val="en-US" w:eastAsia="zh-CN"/>
        </w:rPr>
      </w:pPr>
      <w:r>
        <w:rPr>
          <w:rFonts w:hint="eastAsia" w:ascii="仿宋_GB2312" w:hAnsi="仿宋_GB2312" w:eastAsia="仿宋_GB2312" w:cs="仿宋_GB2312"/>
          <w:sz w:val="32"/>
          <w:szCs w:val="32"/>
          <w:lang w:val="en-US" w:eastAsia="zh-CN"/>
        </w:rPr>
        <w:t>4.考虑到该项目为民生类项目，为确保落实德罗城际公交低票价的惠民优惠政策，区财政预算下达的资金后，应在达到付款条件的下，首先确保尽快拨付到企业，避免稳定因素，确保公交运营企业的合法权益。</w:t>
      </w:r>
    </w:p>
    <w:p>
      <w:pPr>
        <w:keepNext/>
        <w:keepLines/>
        <w:autoSpaceDE w:val="0"/>
        <w:autoSpaceDN w:val="0"/>
        <w:adjustRightInd w:val="0"/>
        <w:spacing w:beforeLines="-2147483648" w:afterLines="-2147483648" w:line="578" w:lineRule="exact"/>
        <w:ind w:firstLine="720"/>
        <w:jc w:val="both"/>
        <w:rPr>
          <w:rFonts w:hint="eastAsia" w:ascii="楷体_GB2312" w:hAnsi="Cambria" w:eastAsia="楷体_GB2312" w:cs="楷体_GB2312"/>
          <w:b/>
          <w:bCs/>
          <w:kern w:val="2"/>
          <w:sz w:val="32"/>
          <w:szCs w:val="32"/>
          <w:lang w:val="en-US" w:eastAsia="zh-CN" w:bidi="ar-SA"/>
        </w:rPr>
      </w:pPr>
      <w:r>
        <w:rPr>
          <w:rFonts w:hint="eastAsia" w:ascii="楷体_GB2312" w:hAnsi="Cambria" w:eastAsia="楷体_GB2312" w:cs="楷体_GB2312"/>
          <w:b/>
          <w:bCs/>
          <w:kern w:val="2"/>
          <w:sz w:val="32"/>
          <w:szCs w:val="32"/>
          <w:lang w:val="en-US" w:eastAsia="zh-CN" w:bidi="ar-SA"/>
        </w:rPr>
        <w:t>（二）项目绩效目标。</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主要内容。该项目主要是为落实市委八届七次全会精神，对德罗城际公交因班次加密、延迟运行时间、实际执行低票价所形成的亏损年度预计336.72万元，由市级财政和罗江区财政每年纳入财政预算，各按50%的比例分摊（其中罗江财政168.36万元），进行补贴。</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应实现的具体绩效目标：项目绩效目标任务为保证和发挥城市公共交通公益性、惠民性功能，满足群众出行需求，提升群众获得感和幸福感，根据绩效目标任务，分别设置了6个二级指标，分别对应6个三级指标，分别为：数量指标、质量指标、时效指标、成本指标、社会效益指标、服务对象满意度指标。</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3.该项目申报内容与实际相符，申报目标合理。</w:t>
      </w:r>
    </w:p>
    <w:p>
      <w:pPr>
        <w:adjustRightInd w:val="0"/>
        <w:snapToGrid w:val="0"/>
        <w:spacing w:line="600" w:lineRule="exact"/>
        <w:ind w:firstLine="321" w:firstLineChars="100"/>
        <w:rPr>
          <w:rFonts w:hint="eastAsia" w:ascii="方正楷体简体" w:hAnsi="宋体" w:eastAsia="方正楷体简体"/>
          <w:b/>
          <w:bCs/>
          <w:sz w:val="32"/>
          <w:szCs w:val="32"/>
          <w:lang w:val="en-US" w:eastAsia="zh-CN"/>
        </w:rPr>
      </w:pPr>
      <w:bookmarkStart w:id="122" w:name="_Toc4935_WPSOffice_Level2"/>
      <w:r>
        <w:rPr>
          <w:rFonts w:hint="eastAsia" w:ascii="方正楷体简体" w:hAnsi="宋体" w:eastAsia="方正楷体简体"/>
          <w:b/>
          <w:bCs/>
          <w:sz w:val="32"/>
          <w:szCs w:val="32"/>
          <w:lang w:val="en-US" w:eastAsia="zh-CN"/>
        </w:rPr>
        <w:t>（三）项目自评步骤及方法。</w:t>
      </w:r>
    </w:p>
    <w:p>
      <w:pPr>
        <w:pStyle w:val="2"/>
        <w:ind w:left="0" w:leftChars="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该项目自评由项目分管业务股室牵头，梳理从项目申报、立项、批复、资金使用等全过程进行自评。</w:t>
      </w:r>
    </w:p>
    <w:p>
      <w:pPr>
        <w:adjustRightInd w:val="0"/>
        <w:snapToGrid w:val="0"/>
        <w:spacing w:line="600" w:lineRule="exact"/>
        <w:ind w:firstLine="321" w:firstLineChars="100"/>
        <w:rPr>
          <w:rFonts w:hint="eastAsia"/>
          <w:b/>
          <w:bCs/>
          <w:sz w:val="32"/>
          <w:szCs w:val="32"/>
          <w:lang w:val="en-US" w:eastAsia="zh-CN"/>
        </w:rPr>
      </w:pPr>
      <w:bookmarkStart w:id="123" w:name="_Toc19844_WPSOffice_Level2"/>
      <w:r>
        <w:rPr>
          <w:rFonts w:hint="eastAsia"/>
          <w:b/>
          <w:bCs/>
          <w:sz w:val="32"/>
          <w:szCs w:val="32"/>
          <w:lang w:val="en-US" w:eastAsia="zh-CN"/>
        </w:rPr>
        <w:t>二、项目资金申报及使用情况</w:t>
      </w:r>
      <w:bookmarkEnd w:id="122"/>
      <w:bookmarkEnd w:id="123"/>
    </w:p>
    <w:p>
      <w:pPr>
        <w:adjustRightInd w:val="0"/>
        <w:snapToGrid w:val="0"/>
        <w:spacing w:line="600" w:lineRule="exact"/>
        <w:ind w:firstLine="321" w:firstLineChars="100"/>
        <w:rPr>
          <w:rFonts w:hint="eastAsia" w:ascii="方正楷体简体" w:hAnsi="宋体" w:eastAsia="方正楷体简体"/>
          <w:b/>
          <w:bCs/>
          <w:sz w:val="32"/>
          <w:szCs w:val="32"/>
          <w:lang w:val="zh-CN"/>
        </w:rPr>
      </w:pPr>
      <w:r>
        <w:rPr>
          <w:rFonts w:hint="eastAsia" w:ascii="方正楷体简体" w:hAnsi="宋体" w:eastAsia="方正楷体简体"/>
          <w:b/>
          <w:bCs/>
          <w:sz w:val="32"/>
          <w:szCs w:val="32"/>
          <w:lang w:val="zh-CN"/>
        </w:rPr>
        <w:t>（一）项目资金申报及批复情况。</w:t>
      </w:r>
    </w:p>
    <w:p>
      <w:pPr>
        <w:adjustRightInd w:val="0"/>
        <w:snapToGrid w:val="0"/>
        <w:spacing w:line="600" w:lineRule="exact"/>
        <w:ind w:firstLine="720"/>
        <w:rPr>
          <w:rFonts w:hint="eastAsia" w:ascii="宋体" w:hAnsi="宋体" w:eastAsia="宋体" w:cs="宋体"/>
          <w:b w:val="0"/>
          <w:bCs w:val="0"/>
          <w:spacing w:val="20"/>
          <w:kern w:val="0"/>
          <w:sz w:val="32"/>
          <w:szCs w:val="32"/>
          <w:lang w:eastAsia="zh-CN"/>
        </w:rPr>
      </w:pPr>
      <w:r>
        <w:rPr>
          <w:rFonts w:hint="eastAsia" w:ascii="仿宋_GB2312" w:hAnsi="仿宋_GB2312" w:eastAsia="仿宋_GB2312" w:cs="仿宋_GB2312"/>
          <w:b w:val="0"/>
          <w:bCs w:val="0"/>
          <w:sz w:val="32"/>
          <w:szCs w:val="32"/>
          <w:lang w:val="en-US" w:eastAsia="zh-CN"/>
        </w:rPr>
        <w:t>德罗城际公交补贴</w:t>
      </w:r>
      <w:r>
        <w:rPr>
          <w:rFonts w:hint="eastAsia" w:ascii="仿宋_GB2312" w:hAnsi="仿宋_GB2312" w:eastAsia="仿宋_GB2312" w:cs="仿宋_GB2312"/>
          <w:b w:val="0"/>
          <w:bCs w:val="0"/>
          <w:sz w:val="32"/>
          <w:szCs w:val="32"/>
          <w:lang w:eastAsia="zh-CN"/>
        </w:rPr>
        <w:t>项目经费申报</w:t>
      </w:r>
      <w:r>
        <w:rPr>
          <w:rFonts w:hint="eastAsia" w:ascii="仿宋_GB2312" w:hAnsi="仿宋_GB2312" w:eastAsia="仿宋_GB2312" w:cs="仿宋_GB2312"/>
          <w:b w:val="0"/>
          <w:bCs w:val="0"/>
          <w:sz w:val="32"/>
          <w:szCs w:val="32"/>
          <w:lang w:val="en-US" w:eastAsia="zh-CN"/>
        </w:rPr>
        <w:t>168.36万元，区财政局批复168.36万元。</w:t>
      </w:r>
      <w:r>
        <w:rPr>
          <w:rFonts w:hint="eastAsia" w:ascii="仿宋_GB2312" w:hAnsi="仿宋_GB2312" w:eastAsia="仿宋_GB2312" w:cs="仿宋_GB2312"/>
          <w:b w:val="0"/>
          <w:bCs w:val="0"/>
          <w:spacing w:val="20"/>
          <w:kern w:val="0"/>
          <w:sz w:val="32"/>
          <w:szCs w:val="32"/>
          <w:lang w:eastAsia="zh-CN"/>
        </w:rPr>
        <w:t>德市</w:t>
      </w:r>
      <w:r>
        <w:rPr>
          <w:rFonts w:hint="eastAsia" w:ascii="仿宋_GB2312" w:hAnsi="仿宋_GB2312" w:eastAsia="仿宋_GB2312" w:cs="仿宋_GB2312"/>
          <w:b w:val="0"/>
          <w:bCs w:val="0"/>
          <w:spacing w:val="20"/>
          <w:kern w:val="0"/>
          <w:sz w:val="32"/>
          <w:szCs w:val="32"/>
        </w:rPr>
        <w:t>罗财预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spacing w:val="20"/>
          <w:kern w:val="0"/>
          <w:sz w:val="32"/>
          <w:szCs w:val="32"/>
        </w:rPr>
        <w:t>20</w:t>
      </w:r>
      <w:r>
        <w:rPr>
          <w:rFonts w:hint="eastAsia" w:ascii="仿宋_GB2312" w:hAnsi="仿宋_GB2312" w:eastAsia="仿宋_GB2312" w:cs="仿宋_GB2312"/>
          <w:b w:val="0"/>
          <w:bCs w:val="0"/>
          <w:spacing w:val="20"/>
          <w:kern w:val="0"/>
          <w:sz w:val="32"/>
          <w:szCs w:val="32"/>
          <w:lang w:val="en-US" w:eastAsia="zh-CN"/>
        </w:rPr>
        <w:t>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spacing w:val="20"/>
          <w:kern w:val="0"/>
          <w:sz w:val="32"/>
          <w:szCs w:val="32"/>
          <w:lang w:val="en-US" w:eastAsia="zh-CN"/>
        </w:rPr>
        <w:t>1</w:t>
      </w:r>
      <w:r>
        <w:rPr>
          <w:rFonts w:hint="eastAsia" w:ascii="仿宋_GB2312" w:hAnsi="仿宋_GB2312" w:eastAsia="仿宋_GB2312" w:cs="仿宋_GB2312"/>
          <w:b w:val="0"/>
          <w:bCs w:val="0"/>
          <w:spacing w:val="20"/>
          <w:kern w:val="0"/>
          <w:sz w:val="32"/>
          <w:szCs w:val="32"/>
        </w:rPr>
        <w:t>号文件批复“</w:t>
      </w:r>
      <w:r>
        <w:rPr>
          <w:rFonts w:hint="eastAsia" w:ascii="仿宋_GB2312" w:hAnsi="仿宋_GB2312" w:eastAsia="仿宋_GB2312" w:cs="仿宋_GB2312"/>
          <w:b w:val="0"/>
          <w:bCs w:val="0"/>
          <w:sz w:val="32"/>
          <w:szCs w:val="32"/>
          <w:lang w:val="en-US" w:eastAsia="zh-CN"/>
        </w:rPr>
        <w:t>德罗城际公交补贴</w:t>
      </w:r>
      <w:r>
        <w:rPr>
          <w:rFonts w:hint="eastAsia" w:ascii="仿宋_GB2312" w:hAnsi="仿宋_GB2312" w:eastAsia="仿宋_GB2312" w:cs="仿宋_GB2312"/>
          <w:b w:val="0"/>
          <w:bCs w:val="0"/>
          <w:spacing w:val="20"/>
          <w:kern w:val="0"/>
          <w:sz w:val="32"/>
          <w:szCs w:val="32"/>
        </w:rPr>
        <w:t>”项目的预算经费</w:t>
      </w:r>
      <w:r>
        <w:rPr>
          <w:rFonts w:hint="eastAsia" w:ascii="仿宋_GB2312" w:hAnsi="仿宋_GB2312" w:eastAsia="仿宋_GB2312" w:cs="仿宋_GB2312"/>
          <w:b w:val="0"/>
          <w:bCs w:val="0"/>
          <w:sz w:val="32"/>
          <w:szCs w:val="32"/>
          <w:lang w:val="en-US" w:eastAsia="zh-CN"/>
        </w:rPr>
        <w:t>168.36</w:t>
      </w:r>
      <w:r>
        <w:rPr>
          <w:rFonts w:hint="eastAsia" w:ascii="仿宋_GB2312" w:hAnsi="仿宋_GB2312" w:eastAsia="仿宋_GB2312" w:cs="仿宋_GB2312"/>
          <w:b w:val="0"/>
          <w:bCs w:val="0"/>
          <w:spacing w:val="20"/>
          <w:kern w:val="0"/>
          <w:sz w:val="32"/>
          <w:szCs w:val="32"/>
        </w:rPr>
        <w:t>万元</w:t>
      </w:r>
      <w:r>
        <w:rPr>
          <w:rFonts w:hint="eastAsia" w:ascii="仿宋_GB2312" w:hAnsi="仿宋_GB2312" w:eastAsia="仿宋_GB2312" w:cs="仿宋_GB2312"/>
          <w:b w:val="0"/>
          <w:bCs w:val="0"/>
          <w:spacing w:val="20"/>
          <w:kern w:val="0"/>
          <w:sz w:val="32"/>
          <w:szCs w:val="32"/>
          <w:lang w:eastAsia="zh-CN"/>
        </w:rPr>
        <w:t>。</w:t>
      </w:r>
    </w:p>
    <w:p>
      <w:pPr>
        <w:adjustRightInd w:val="0"/>
        <w:snapToGrid w:val="0"/>
        <w:spacing w:line="600" w:lineRule="exact"/>
        <w:ind w:firstLine="321" w:firstLineChars="100"/>
        <w:rPr>
          <w:rFonts w:hint="eastAsia"/>
          <w:b/>
          <w:bCs/>
          <w:sz w:val="32"/>
          <w:szCs w:val="32"/>
          <w:lang w:val="en-US" w:eastAsia="zh-CN"/>
        </w:rPr>
      </w:pPr>
      <w:r>
        <w:rPr>
          <w:rFonts w:hint="eastAsia" w:ascii="方正楷体简体" w:hAnsi="宋体" w:eastAsia="方正楷体简体"/>
          <w:b/>
          <w:bCs/>
          <w:sz w:val="32"/>
          <w:szCs w:val="32"/>
          <w:lang w:val="zh-CN"/>
        </w:rPr>
        <w:t>（二）资金计划、到位及使用情况。</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截至评价时点该项目资金计划168.36万元，到位168.36万，使用168.36万，到位率和使用率均为100%。</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补助资金由区运管所申请，通过财政直接支付给企业，2022年罗江区财政补贴168.36万元已全部按时发放给企业。</w:t>
      </w:r>
    </w:p>
    <w:p>
      <w:pPr>
        <w:adjustRightInd w:val="0"/>
        <w:snapToGrid w:val="0"/>
        <w:spacing w:line="600" w:lineRule="exact"/>
        <w:ind w:firstLine="321" w:firstLineChars="100"/>
        <w:rPr>
          <w:rFonts w:hint="eastAsia" w:ascii="方正楷体简体" w:hAnsi="宋体" w:eastAsia="方正楷体简体"/>
          <w:b/>
          <w:bCs/>
          <w:sz w:val="32"/>
          <w:szCs w:val="32"/>
          <w:lang w:val="en-US" w:eastAsia="zh-CN"/>
        </w:rPr>
      </w:pPr>
      <w:r>
        <w:rPr>
          <w:rFonts w:hint="eastAsia" w:ascii="方正楷体简体" w:hAnsi="宋体" w:eastAsia="方正楷体简体"/>
          <w:b/>
          <w:bCs/>
          <w:sz w:val="32"/>
          <w:szCs w:val="32"/>
          <w:lang w:val="en-US" w:eastAsia="zh-CN"/>
        </w:rPr>
        <w:t>（三）项目财务管理情况。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0" w:firstLineChars="200"/>
        <w:textAlignment w:val="auto"/>
        <w:rPr>
          <w:rFonts w:hint="eastAsia"/>
          <w:lang w:val="en-US" w:eastAsia="zh-CN"/>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严格按照资金的使用范围，执行各项财务制度，通过财政大平台把项目资金支付给</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实施时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由项目股室填报资金申拨单</w:t>
      </w:r>
      <w:r>
        <w:rPr>
          <w:rFonts w:hint="eastAsia" w:ascii="仿宋_GB2312" w:hAnsi="仿宋_GB2312" w:eastAsia="仿宋_GB2312" w:cs="仿宋_GB2312"/>
          <w:sz w:val="32"/>
          <w:szCs w:val="32"/>
        </w:rPr>
        <w:t>，财务审核票据，项目分管领导审核，单位负责人审核拨款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账务处理及时，会计核算规范。</w:t>
      </w:r>
    </w:p>
    <w:p>
      <w:pPr>
        <w:numPr>
          <w:ilvl w:val="0"/>
          <w:numId w:val="0"/>
        </w:numPr>
        <w:ind w:firstLine="643" w:firstLineChars="200"/>
        <w:rPr>
          <w:rFonts w:hint="eastAsia"/>
          <w:b/>
          <w:bCs/>
          <w:sz w:val="32"/>
          <w:szCs w:val="32"/>
          <w:lang w:val="en-US" w:eastAsia="zh-CN"/>
        </w:rPr>
      </w:pPr>
      <w:bookmarkStart w:id="124" w:name="_Toc14682_WPSOffice_Level2"/>
      <w:bookmarkStart w:id="125" w:name="_Toc17682_WPSOffice_Level2"/>
      <w:bookmarkStart w:id="126" w:name="_Toc23148_WPSOffice_Level2"/>
      <w:r>
        <w:rPr>
          <w:rFonts w:hint="eastAsia"/>
          <w:b/>
          <w:bCs/>
          <w:sz w:val="32"/>
          <w:szCs w:val="32"/>
          <w:lang w:val="en-US" w:eastAsia="zh-CN"/>
        </w:rPr>
        <w:t>三、项目实施及管理情况</w:t>
      </w:r>
      <w:bookmarkEnd w:id="124"/>
      <w:bookmarkEnd w:id="125"/>
      <w:bookmarkEnd w:id="126"/>
    </w:p>
    <w:p>
      <w:pPr>
        <w:keepNext/>
        <w:keepLines/>
        <w:autoSpaceDE w:val="0"/>
        <w:autoSpaceDN w:val="0"/>
        <w:adjustRightInd w:val="0"/>
        <w:spacing w:beforeLines="-2147483648" w:afterLines="-2147483648" w:line="578" w:lineRule="exact"/>
        <w:ind w:firstLine="720"/>
        <w:jc w:val="both"/>
        <w:rPr>
          <w:rFonts w:hint="eastAsia" w:ascii="楷体_GB2312" w:hAnsi="Cambria" w:eastAsia="楷体_GB2312" w:cs="楷体_GB2312"/>
          <w:b/>
          <w:bCs/>
          <w:kern w:val="2"/>
          <w:sz w:val="32"/>
          <w:szCs w:val="32"/>
          <w:lang w:val="en-US" w:eastAsia="zh-CN" w:bidi="ar-SA"/>
        </w:rPr>
      </w:pPr>
      <w:r>
        <w:rPr>
          <w:rFonts w:hint="eastAsia" w:ascii="楷体_GB2312" w:hAnsi="Cambria" w:eastAsia="楷体_GB2312" w:cs="楷体_GB2312"/>
          <w:b/>
          <w:bCs/>
          <w:kern w:val="2"/>
          <w:sz w:val="32"/>
          <w:szCs w:val="32"/>
          <w:lang w:val="en-US" w:eastAsia="zh-CN" w:bidi="ar-SA"/>
        </w:rPr>
        <w:t>（一）项目组织架构及实施流程。</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该项目由罗江区道路运输管理所组织实施，由四川省德阳市第一汽车运输公司罗江分公司负责落实辖区10辆德罗城际公交运行管理。</w:t>
      </w:r>
    </w:p>
    <w:p>
      <w:pPr>
        <w:pStyle w:val="2"/>
        <w:ind w:left="0" w:leftChars="0" w:firstLine="643" w:firstLineChars="200"/>
        <w:rPr>
          <w:rFonts w:hint="eastAsia" w:ascii="仿宋_GB2312" w:hAnsi="仿宋_GB2312" w:eastAsia="仿宋_GB2312" w:cs="仿宋_GB2312"/>
          <w:sz w:val="32"/>
          <w:szCs w:val="32"/>
          <w:lang w:val="en-US" w:eastAsia="zh-CN"/>
        </w:rPr>
      </w:pPr>
      <w:r>
        <w:rPr>
          <w:rFonts w:hint="eastAsia" w:ascii="楷体_GB2312" w:hAnsi="Cambria" w:eastAsia="楷体_GB2312" w:cs="楷体_GB2312"/>
          <w:b/>
          <w:bCs/>
          <w:kern w:val="2"/>
          <w:sz w:val="32"/>
          <w:szCs w:val="32"/>
          <w:lang w:val="en-US" w:eastAsia="zh-CN" w:bidi="ar-SA"/>
        </w:rPr>
        <w:t>（二）项目管理情况。</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市交通运输局每季度组织罗江区交通运输局、旌阳区交通运输局共同对整个德罗城际公交运营情况进行考评，罗江区交通运输局根据考评结果测算补贴资金后向区财政申拨项目资金并发放给企业。</w:t>
      </w:r>
    </w:p>
    <w:p>
      <w:pPr>
        <w:pStyle w:val="2"/>
        <w:ind w:left="0" w:leftChars="0" w:firstLine="643" w:firstLineChars="200"/>
        <w:rPr>
          <w:rFonts w:hint="eastAsia" w:ascii="楷体_GB2312" w:hAnsi="Cambria" w:eastAsia="楷体_GB2312" w:cs="楷体_GB2312"/>
          <w:b/>
          <w:bCs/>
          <w:kern w:val="2"/>
          <w:sz w:val="32"/>
          <w:szCs w:val="32"/>
          <w:lang w:val="en-US" w:eastAsia="zh-CN" w:bidi="ar-SA"/>
        </w:rPr>
      </w:pPr>
      <w:r>
        <w:rPr>
          <w:rFonts w:hint="eastAsia" w:ascii="楷体_GB2312" w:hAnsi="Cambria" w:eastAsia="楷体_GB2312" w:cs="楷体_GB2312"/>
          <w:b/>
          <w:bCs/>
          <w:kern w:val="2"/>
          <w:sz w:val="32"/>
          <w:szCs w:val="32"/>
          <w:lang w:val="en-US" w:eastAsia="zh-CN" w:bidi="ar-SA"/>
        </w:rPr>
        <w:t>（三）项目监管情况。</w:t>
      </w:r>
    </w:p>
    <w:p>
      <w:pPr>
        <w:numPr>
          <w:ilvl w:val="0"/>
          <w:numId w:val="0"/>
        </w:numPr>
        <w:ind w:firstLine="640" w:firstLineChars="200"/>
        <w:rPr>
          <w:rFonts w:hint="eastAsia"/>
          <w:sz w:val="32"/>
          <w:szCs w:val="32"/>
          <w:lang w:val="en-US" w:eastAsia="zh-CN"/>
        </w:rPr>
      </w:pPr>
      <w:r>
        <w:rPr>
          <w:rFonts w:hint="eastAsia" w:ascii="仿宋_GB2312" w:hAnsi="仿宋_GB2312" w:eastAsia="仿宋_GB2312" w:cs="仿宋_GB2312"/>
          <w:sz w:val="32"/>
          <w:szCs w:val="32"/>
          <w:lang w:val="en-US" w:eastAsia="zh-CN"/>
        </w:rPr>
        <w:t>市交通运输局、罗江区交通运输局、旌阳区交通运输局每季度对整个德罗城际公交运营情况进行考评，到达相应标准才予以兑付补助资金，从而确保项目顺利完成。</w:t>
      </w:r>
    </w:p>
    <w:p>
      <w:pPr>
        <w:numPr>
          <w:ilvl w:val="0"/>
          <w:numId w:val="0"/>
        </w:numPr>
        <w:ind w:firstLine="643" w:firstLineChars="200"/>
        <w:rPr>
          <w:rFonts w:hint="eastAsia"/>
          <w:b/>
          <w:bCs/>
          <w:sz w:val="32"/>
          <w:szCs w:val="32"/>
          <w:lang w:val="en-US" w:eastAsia="zh-CN"/>
        </w:rPr>
      </w:pPr>
      <w:bookmarkStart w:id="127" w:name="_Toc27411_WPSOffice_Level2"/>
      <w:bookmarkStart w:id="128" w:name="_Toc15243_WPSOffice_Level2"/>
      <w:bookmarkStart w:id="129" w:name="_Toc26940_WPSOffice_Level2"/>
      <w:r>
        <w:rPr>
          <w:rFonts w:hint="eastAsia"/>
          <w:b/>
          <w:bCs/>
          <w:sz w:val="32"/>
          <w:szCs w:val="32"/>
          <w:lang w:val="en-US" w:eastAsia="zh-CN"/>
        </w:rPr>
        <w:t>四、项目绩效情况</w:t>
      </w:r>
      <w:bookmarkEnd w:id="127"/>
      <w:bookmarkEnd w:id="128"/>
      <w:bookmarkEnd w:id="129"/>
    </w:p>
    <w:p>
      <w:pPr>
        <w:keepNext/>
        <w:keepLines/>
        <w:autoSpaceDE w:val="0"/>
        <w:autoSpaceDN w:val="0"/>
        <w:adjustRightInd w:val="0"/>
        <w:spacing w:beforeLines="-2147483648" w:afterLines="-2147483648" w:line="578" w:lineRule="exact"/>
        <w:ind w:firstLine="720"/>
        <w:jc w:val="both"/>
        <w:rPr>
          <w:rFonts w:hint="eastAsia" w:ascii="楷体_GB2312" w:hAnsi="Cambria" w:eastAsia="楷体_GB2312" w:cs="楷体_GB2312"/>
          <w:b/>
          <w:bCs/>
          <w:kern w:val="2"/>
          <w:sz w:val="32"/>
          <w:szCs w:val="32"/>
          <w:lang w:val="en-US" w:eastAsia="zh-CN" w:bidi="ar-SA"/>
        </w:rPr>
      </w:pPr>
      <w:r>
        <w:rPr>
          <w:rFonts w:hint="eastAsia" w:ascii="楷体_GB2312" w:hAnsi="Cambria" w:eastAsia="楷体_GB2312" w:cs="楷体_GB2312"/>
          <w:b/>
          <w:bCs/>
          <w:kern w:val="2"/>
          <w:sz w:val="32"/>
          <w:szCs w:val="32"/>
          <w:lang w:val="en-US" w:eastAsia="zh-CN" w:bidi="ar-SA"/>
        </w:rPr>
        <w:t>（一）项目完成情况</w:t>
      </w:r>
    </w:p>
    <w:p>
      <w:pPr>
        <w:pStyle w:val="2"/>
        <w:ind w:left="0" w:leftChars="0"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对照年初绩效目标，2022年各项绩效目标完成如下：数量指标-德罗公交经营补贴数10辆，完成10辆；时效指标-完成时间2022年，已完成；成本指标-补贴资金168.36万元，已完成。</w:t>
      </w:r>
    </w:p>
    <w:p>
      <w:pPr>
        <w:keepNext/>
        <w:keepLines/>
        <w:autoSpaceDE w:val="0"/>
        <w:autoSpaceDN w:val="0"/>
        <w:adjustRightInd w:val="0"/>
        <w:spacing w:beforeLines="-2147483648" w:afterLines="-2147483648" w:line="578" w:lineRule="exact"/>
        <w:ind w:firstLine="720"/>
        <w:jc w:val="both"/>
        <w:rPr>
          <w:rFonts w:hint="eastAsia" w:ascii="楷体_GB2312" w:hAnsi="Cambria" w:eastAsia="楷体_GB2312" w:cs="楷体_GB2312"/>
          <w:b/>
          <w:bCs/>
          <w:kern w:val="2"/>
          <w:sz w:val="32"/>
          <w:szCs w:val="32"/>
          <w:lang w:val="en-US" w:eastAsia="zh-CN" w:bidi="ar-SA"/>
        </w:rPr>
      </w:pPr>
      <w:r>
        <w:rPr>
          <w:rFonts w:hint="eastAsia" w:ascii="楷体_GB2312" w:hAnsi="Cambria" w:eastAsia="楷体_GB2312" w:cs="楷体_GB2312"/>
          <w:b/>
          <w:bCs/>
          <w:kern w:val="2"/>
          <w:sz w:val="32"/>
          <w:szCs w:val="32"/>
          <w:lang w:val="en-US" w:eastAsia="zh-CN" w:bidi="ar-SA"/>
        </w:rPr>
        <w:t>（二）项目效益情况</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2022年，区道路运输管理所按时完成罗江辖区德罗城际公交财政补贴拨付工作，</w:t>
      </w:r>
      <w:r>
        <w:rPr>
          <w:rFonts w:hint="eastAsia" w:ascii="仿宋_GB2312" w:hAnsi="仿宋_GB2312" w:eastAsia="仿宋_GB2312" w:cs="仿宋_GB2312"/>
          <w:sz w:val="32"/>
          <w:szCs w:val="32"/>
          <w:lang w:val="en-US" w:eastAsia="zh-CN"/>
        </w:rPr>
        <w:t>本项目的实施在经济、社会、生态、可持续影响</w:t>
      </w:r>
      <w:r>
        <w:rPr>
          <w:rFonts w:hint="eastAsia" w:ascii="仿宋_GB2312" w:hAnsi="仿宋_GB2312" w:eastAsia="仿宋_GB2312" w:cs="仿宋_GB2312"/>
          <w:sz w:val="32"/>
          <w:szCs w:val="32"/>
          <w:lang w:val="zh-CN" w:eastAsia="zh-CN"/>
        </w:rPr>
        <w:t>及服务对象满意度等方面</w:t>
      </w:r>
      <w:r>
        <w:rPr>
          <w:rFonts w:hint="eastAsia" w:ascii="仿宋_GB2312" w:hAnsi="仿宋_GB2312" w:eastAsia="仿宋_GB2312" w:cs="仿宋_GB2312"/>
          <w:sz w:val="32"/>
          <w:szCs w:val="32"/>
          <w:lang w:val="en-US" w:eastAsia="zh-CN"/>
        </w:rPr>
        <w:t>都达到了高效益。</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1.在经济效益方面：获得德罗城际公交财政补贴后，极大的扭转了公交的经营亏损，维护了公共交通行业的稳定和发展。</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2.在社会效益方面：获得德罗城际公交财政补贴后，客运行业面临的亏损困境得到缓解，城际公交班次、服务水平等得到有效保障，大幅改善了民众出行条件，提高了公交服务的舒适性、便捷性。</w:t>
      </w:r>
    </w:p>
    <w:p>
      <w:pPr>
        <w:numPr>
          <w:ilvl w:val="0"/>
          <w:numId w:val="8"/>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在生态效益方面：罗江籍10辆德罗城际公交车辆均采用清洁能源为动力，有效地改善空气质量，节能减排效果显著，对环境可持续发展也有好的影响。</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4.在可持续影响方面：大力发展公共交通是国家交通发展战略要求，对未来社会经济发展和人文交流等方面具有积极意义，同时也是持续推进市区两级共同协调可持续发展的有效手段。</w:t>
      </w:r>
    </w:p>
    <w:p>
      <w:pPr>
        <w:numPr>
          <w:ilvl w:val="0"/>
          <w:numId w:val="0"/>
        </w:numPr>
        <w:ind w:firstLine="640" w:firstLineChars="200"/>
        <w:rPr>
          <w:rFonts w:hint="eastAsia"/>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eastAsia="zh-CN"/>
        </w:rPr>
        <w:t>服务对象满意度方面：</w:t>
      </w:r>
      <w:r>
        <w:rPr>
          <w:rFonts w:hint="eastAsia" w:ascii="仿宋_GB2312" w:hAnsi="仿宋_GB2312" w:eastAsia="仿宋_GB2312" w:cs="仿宋_GB2312"/>
          <w:sz w:val="32"/>
          <w:szCs w:val="32"/>
          <w:lang w:val="en-US" w:eastAsia="zh-CN"/>
        </w:rPr>
        <w:t>获得城乡公交保险财政补贴后，公共交通领域服务水平得到有效改善，票价降至3元/人次，切实惠及民生，乘车群众满意度大幅提升。</w:t>
      </w:r>
    </w:p>
    <w:p>
      <w:pPr>
        <w:numPr>
          <w:ilvl w:val="0"/>
          <w:numId w:val="0"/>
        </w:numPr>
        <w:ind w:firstLine="640" w:firstLineChars="200"/>
        <w:rPr>
          <w:rFonts w:hint="eastAsia"/>
          <w:sz w:val="32"/>
          <w:szCs w:val="32"/>
          <w:lang w:val="en-US" w:eastAsia="zh-CN"/>
        </w:rPr>
      </w:pPr>
      <w:bookmarkStart w:id="130" w:name="_Toc27732_WPSOffice_Level2"/>
      <w:bookmarkStart w:id="131" w:name="_Toc25543_WPSOffice_Level2"/>
      <w:bookmarkStart w:id="132" w:name="_Toc11457_WPSOffice_Level2"/>
      <w:r>
        <w:rPr>
          <w:rFonts w:hint="eastAsia" w:ascii="黑体" w:hAnsi="黑体" w:eastAsia="黑体" w:cs="黑体"/>
          <w:sz w:val="32"/>
          <w:szCs w:val="32"/>
          <w:lang w:val="en-US" w:eastAsia="zh-CN"/>
        </w:rPr>
        <w:t>五、评价结论</w:t>
      </w:r>
      <w:bookmarkEnd w:id="130"/>
      <w:bookmarkEnd w:id="131"/>
      <w:r>
        <w:rPr>
          <w:rFonts w:hint="eastAsia" w:ascii="黑体" w:hAnsi="黑体" w:eastAsia="黑体" w:cs="黑体"/>
          <w:sz w:val="32"/>
          <w:szCs w:val="32"/>
          <w:lang w:val="en-US" w:eastAsia="zh-CN"/>
        </w:rPr>
        <w:t>及建议</w:t>
      </w:r>
      <w:bookmarkEnd w:id="132"/>
    </w:p>
    <w:p>
      <w:pPr>
        <w:keepNext/>
        <w:keepLines/>
        <w:autoSpaceDE w:val="0"/>
        <w:autoSpaceDN w:val="0"/>
        <w:adjustRightInd w:val="0"/>
        <w:spacing w:beforeLines="-2147483648" w:afterLines="-2147483648" w:line="578" w:lineRule="exact"/>
        <w:ind w:firstLine="720"/>
        <w:jc w:val="both"/>
        <w:rPr>
          <w:rFonts w:hint="eastAsia" w:ascii="楷体_GB2312" w:hAnsi="Cambria" w:eastAsia="楷体_GB2312" w:cs="楷体_GB2312"/>
          <w:b/>
          <w:bCs/>
          <w:kern w:val="2"/>
          <w:sz w:val="30"/>
          <w:szCs w:val="30"/>
          <w:lang w:val="en-US" w:eastAsia="zh-CN" w:bidi="ar-SA"/>
        </w:rPr>
      </w:pPr>
      <w:r>
        <w:rPr>
          <w:rFonts w:hint="eastAsia" w:ascii="楷体_GB2312" w:hAnsi="Cambria" w:eastAsia="楷体_GB2312" w:cs="楷体_GB2312"/>
          <w:b/>
          <w:bCs/>
          <w:kern w:val="2"/>
          <w:sz w:val="30"/>
          <w:szCs w:val="30"/>
          <w:lang w:val="en-US" w:eastAsia="zh-CN" w:bidi="ar-SA"/>
        </w:rPr>
        <w:t>（一）评价结论。</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的实施，充分保障和发挥了公共交通公益性、惠民性功能，切实满足了市区两地群众出行需求，增强了广大群众的幸福感和获得感，是有效实现市区两级共同协调发展的重要举措。各项绩效目标指标均已完，总体评价优良。</w:t>
      </w:r>
    </w:p>
    <w:p>
      <w:pPr>
        <w:keepNext/>
        <w:keepLines/>
        <w:autoSpaceDE w:val="0"/>
        <w:autoSpaceDN w:val="0"/>
        <w:adjustRightInd w:val="0"/>
        <w:spacing w:beforeLines="-2147483648" w:afterLines="-2147483648" w:line="578" w:lineRule="exact"/>
        <w:ind w:firstLine="720"/>
        <w:jc w:val="both"/>
        <w:rPr>
          <w:rFonts w:hint="eastAsia" w:ascii="楷体_GB2312" w:hAnsi="Cambria" w:eastAsia="楷体_GB2312" w:cs="楷体_GB2312"/>
          <w:b/>
          <w:bCs/>
          <w:kern w:val="2"/>
          <w:sz w:val="30"/>
          <w:szCs w:val="30"/>
          <w:lang w:val="en-US" w:eastAsia="zh-CN" w:bidi="ar-SA"/>
        </w:rPr>
      </w:pPr>
      <w:bookmarkStart w:id="133" w:name="_Toc20508_WPSOffice_Level2"/>
      <w:bookmarkStart w:id="134" w:name="_Toc29854_WPSOffice_Level2"/>
      <w:r>
        <w:rPr>
          <w:rFonts w:hint="eastAsia" w:ascii="楷体_GB2312" w:hAnsi="Cambria" w:eastAsia="楷体_GB2312" w:cs="楷体_GB2312"/>
          <w:b/>
          <w:bCs/>
          <w:kern w:val="2"/>
          <w:sz w:val="30"/>
          <w:szCs w:val="30"/>
          <w:lang w:val="en-US" w:eastAsia="zh-CN" w:bidi="ar-SA"/>
        </w:rPr>
        <w:t>（二）问题及建议</w:t>
      </w:r>
      <w:bookmarkEnd w:id="133"/>
      <w:bookmarkEnd w:id="134"/>
    </w:p>
    <w:p>
      <w:pPr>
        <w:spacing w:beforeLines="0" w:afterLines="0" w:line="600" w:lineRule="exact"/>
        <w:ind w:firstLine="640"/>
        <w:jc w:val="both"/>
        <w:rPr>
          <w:rFonts w:hint="eastAsia" w:ascii="仿宋_GB2312" w:hAnsi="仿宋_GB2312" w:eastAsia="仿宋_GB2312"/>
          <w:color w:val="auto"/>
          <w:kern w:val="2"/>
          <w:sz w:val="32"/>
          <w:lang w:val="en-US"/>
        </w:rPr>
      </w:pPr>
      <w:r>
        <w:rPr>
          <w:rFonts w:hint="eastAsia" w:ascii="仿宋_GB2312" w:hAnsi="仿宋_GB2312" w:eastAsia="仿宋_GB2312" w:cs="仿宋_GB2312"/>
          <w:sz w:val="32"/>
          <w:szCs w:val="32"/>
          <w:lang w:val="en-US" w:eastAsia="zh-CN"/>
        </w:rPr>
        <w:t>建议按照本项目实施方式，在有条件的领域继续深化和推进实施范围。</w:t>
      </w:r>
    </w:p>
    <w:p>
      <w:pPr>
        <w:pStyle w:val="2"/>
        <w:ind w:left="0" w:leftChars="0" w:firstLine="0" w:firstLineChars="0"/>
        <w:rPr>
          <w:rFonts w:hint="eastAsia"/>
          <w:b/>
          <w:bCs/>
          <w:sz w:val="44"/>
          <w:szCs w:val="44"/>
          <w:lang w:val="en-US" w:eastAsia="zh-CN"/>
        </w:rPr>
      </w:pPr>
    </w:p>
    <w:p>
      <w:pPr>
        <w:spacing w:line="600" w:lineRule="exact"/>
        <w:jc w:val="center"/>
        <w:rPr>
          <w:rFonts w:hint="eastAsia" w:ascii="方正小标宋简体" w:hAnsi="宋体" w:eastAsia="方正小标宋简体"/>
          <w:sz w:val="44"/>
          <w:szCs w:val="44"/>
          <w:shd w:val="clear" w:color="auto" w:fill="FFFFFF"/>
        </w:rPr>
      </w:pPr>
      <w:bookmarkStart w:id="135" w:name="_Toc32664_WPSOffice_Level2"/>
      <w:bookmarkStart w:id="136" w:name="_Toc1660_WPSOffice_Level2"/>
      <w:bookmarkStart w:id="137" w:name="_Toc18359_WPSOffice_Level2"/>
      <w:r>
        <w:rPr>
          <w:rFonts w:hint="eastAsia" w:ascii="方正小标宋简体" w:hAnsi="宋体" w:eastAsia="方正小标宋简体"/>
          <w:sz w:val="44"/>
          <w:szCs w:val="44"/>
          <w:shd w:val="clear" w:color="auto" w:fill="FFFFFF"/>
          <w:lang w:eastAsia="zh-CN"/>
        </w:rPr>
        <w:t>罗江区交通运输局</w:t>
      </w:r>
      <w:r>
        <w:rPr>
          <w:rFonts w:hint="eastAsia" w:ascii="方正小标宋简体" w:hAnsi="宋体" w:eastAsia="方正小标宋简体"/>
          <w:sz w:val="44"/>
          <w:szCs w:val="44"/>
          <w:shd w:val="clear" w:color="auto" w:fill="FFFFFF"/>
        </w:rPr>
        <w:t>202</w:t>
      </w:r>
      <w:r>
        <w:rPr>
          <w:rFonts w:hint="eastAsia" w:ascii="方正小标宋简体" w:hAnsi="宋体" w:eastAsia="方正小标宋简体"/>
          <w:sz w:val="44"/>
          <w:szCs w:val="44"/>
          <w:shd w:val="clear" w:color="auto" w:fill="FFFFFF"/>
          <w:lang w:val="en-US" w:eastAsia="zh-CN"/>
        </w:rPr>
        <w:t>2</w:t>
      </w:r>
      <w:r>
        <w:rPr>
          <w:rFonts w:hint="eastAsia" w:ascii="方正小标宋简体" w:hAnsi="宋体" w:eastAsia="方正小标宋简体"/>
          <w:sz w:val="44"/>
          <w:szCs w:val="44"/>
          <w:shd w:val="clear" w:color="auto" w:fill="FFFFFF"/>
        </w:rPr>
        <w:t>年</w:t>
      </w:r>
      <w:r>
        <w:rPr>
          <w:rFonts w:hint="eastAsia" w:ascii="方正小标宋简体" w:hAnsi="宋体" w:eastAsia="方正小标宋简体"/>
          <w:sz w:val="44"/>
          <w:szCs w:val="44"/>
          <w:shd w:val="clear" w:color="auto" w:fill="FFFFFF"/>
          <w:lang w:eastAsia="zh-CN"/>
        </w:rPr>
        <w:t>专项</w:t>
      </w:r>
      <w:r>
        <w:rPr>
          <w:rFonts w:hint="eastAsia" w:ascii="方正小标宋简体" w:hAnsi="宋体" w:eastAsia="方正小标宋简体"/>
          <w:sz w:val="44"/>
          <w:szCs w:val="44"/>
          <w:shd w:val="clear" w:color="auto" w:fill="FFFFFF"/>
        </w:rPr>
        <w:t>预算</w:t>
      </w:r>
      <w:bookmarkEnd w:id="135"/>
      <w:bookmarkEnd w:id="136"/>
      <w:bookmarkEnd w:id="137"/>
    </w:p>
    <w:p>
      <w:pPr>
        <w:jc w:val="center"/>
        <w:rPr>
          <w:rFonts w:hint="eastAsia"/>
          <w:b/>
          <w:bCs/>
          <w:sz w:val="44"/>
          <w:szCs w:val="44"/>
          <w:lang w:val="en-US" w:eastAsia="zh-CN"/>
        </w:rPr>
      </w:pPr>
      <w:bookmarkStart w:id="138" w:name="_Toc29277_WPSOffice_Level2"/>
      <w:bookmarkStart w:id="139" w:name="_Toc10245_WPSOffice_Level2"/>
      <w:bookmarkStart w:id="140" w:name="_Toc26273_WPSOffice_Level2"/>
      <w:r>
        <w:rPr>
          <w:rFonts w:hint="eastAsia" w:ascii="方正小标宋简体" w:hAnsi="宋体" w:eastAsia="方正小标宋简体"/>
          <w:sz w:val="44"/>
          <w:szCs w:val="44"/>
          <w:shd w:val="clear" w:color="auto" w:fill="FFFFFF"/>
        </w:rPr>
        <w:t>项目支出绩效自评报告</w:t>
      </w:r>
      <w:bookmarkEnd w:id="138"/>
      <w:bookmarkEnd w:id="139"/>
      <w:bookmarkEnd w:id="140"/>
    </w:p>
    <w:p>
      <w:pPr>
        <w:jc w:val="center"/>
        <w:rPr>
          <w:rFonts w:hint="eastAsia"/>
          <w:lang w:val="en-US" w:eastAsia="zh-CN"/>
        </w:rPr>
      </w:pPr>
      <w:r>
        <w:rPr>
          <w:rFonts w:hint="eastAsia" w:ascii="仿宋_GB2312" w:hAnsi="仿宋_GB2312" w:eastAsia="仿宋_GB2312" w:cs="仿宋_GB2312"/>
          <w:b w:val="0"/>
          <w:bCs w:val="0"/>
          <w:sz w:val="32"/>
          <w:szCs w:val="32"/>
          <w:lang w:val="en-US" w:eastAsia="zh-CN"/>
        </w:rPr>
        <w:t>（略坪至广富等7条城乡公交线路运行成本补贴）</w:t>
      </w:r>
    </w:p>
    <w:p>
      <w:pPr>
        <w:numPr>
          <w:ilvl w:val="0"/>
          <w:numId w:val="9"/>
        </w:numPr>
        <w:ind w:firstLine="643" w:firstLineChars="200"/>
        <w:rPr>
          <w:rFonts w:hint="eastAsia"/>
          <w:b/>
          <w:bCs/>
          <w:sz w:val="32"/>
          <w:szCs w:val="32"/>
          <w:lang w:val="en-US" w:eastAsia="zh-CN"/>
        </w:rPr>
      </w:pPr>
      <w:bookmarkStart w:id="141" w:name="_Toc31464_WPSOffice_Level2"/>
      <w:bookmarkStart w:id="142" w:name="_Toc23878_WPSOffice_Level2"/>
      <w:bookmarkStart w:id="143" w:name="_Toc9533_WPSOffice_Level2"/>
      <w:r>
        <w:rPr>
          <w:rFonts w:hint="eastAsia"/>
          <w:b/>
          <w:bCs/>
          <w:sz w:val="32"/>
          <w:szCs w:val="32"/>
          <w:lang w:val="en-US" w:eastAsia="zh-CN"/>
        </w:rPr>
        <w:t>项目概况</w:t>
      </w:r>
      <w:bookmarkEnd w:id="141"/>
      <w:bookmarkEnd w:id="142"/>
      <w:bookmarkEnd w:id="143"/>
    </w:p>
    <w:p>
      <w:pPr>
        <w:keepNext/>
        <w:keepLines/>
        <w:autoSpaceDE w:val="0"/>
        <w:autoSpaceDN w:val="0"/>
        <w:adjustRightInd w:val="0"/>
        <w:spacing w:beforeLines="-2147483648" w:afterLines="-2147483648" w:line="578" w:lineRule="exact"/>
        <w:ind w:firstLine="720"/>
        <w:jc w:val="both"/>
        <w:rPr>
          <w:rFonts w:hint="eastAsia" w:ascii="楷体_GB2312" w:hAnsi="Cambria" w:eastAsia="楷体_GB2312" w:cs="楷体_GB2312"/>
          <w:b/>
          <w:bCs/>
          <w:kern w:val="2"/>
          <w:sz w:val="32"/>
          <w:szCs w:val="32"/>
          <w:lang w:val="en-US" w:eastAsia="zh-CN" w:bidi="ar-SA"/>
        </w:rPr>
      </w:pPr>
      <w:r>
        <w:rPr>
          <w:rFonts w:hint="eastAsia" w:ascii="楷体_GB2312" w:hAnsi="Cambria" w:eastAsia="楷体_GB2312" w:cs="楷体_GB2312"/>
          <w:b/>
          <w:bCs/>
          <w:kern w:val="2"/>
          <w:sz w:val="32"/>
          <w:szCs w:val="32"/>
          <w:lang w:val="en-US" w:eastAsia="zh-CN" w:bidi="ar-SA"/>
        </w:rPr>
        <w:t>（一）项目基本情况。</w:t>
      </w:r>
    </w:p>
    <w:p>
      <w:pPr>
        <w:numPr>
          <w:ilvl w:val="0"/>
          <w:numId w:val="0"/>
        </w:numPr>
        <w:ind w:firstLine="640"/>
        <w:rPr>
          <w:rFonts w:hint="eastAsia" w:ascii="仿宋_GB2312" w:hAnsi="仿宋_GB2312" w:eastAsia="仿宋_GB2312" w:cs="仿宋_GB2312"/>
          <w:b w:val="0"/>
          <w:bCs/>
          <w:sz w:val="32"/>
          <w:szCs w:val="32"/>
          <w:lang w:val="zh-CN" w:eastAsia="zh-CN"/>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val="zh-CN" w:eastAsia="zh-CN"/>
        </w:rPr>
        <w:t>罗江区道路运输管理所职能：负责罗江城市公共交通的管理，贯彻执行国家有关公路运输的方针、政策、法律、法规，负责组织实施全区公路运输业发展规划等。为该项目的项目单位，组织实施该项目，</w:t>
      </w:r>
      <w:r>
        <w:rPr>
          <w:rFonts w:hint="eastAsia" w:ascii="仿宋_GB2312" w:hAnsi="仿宋_GB2312" w:eastAsia="仿宋_GB2312" w:cs="仿宋_GB2312"/>
          <w:b w:val="0"/>
          <w:bCs/>
          <w:sz w:val="32"/>
          <w:szCs w:val="32"/>
          <w:lang w:val="zh-CN"/>
        </w:rPr>
        <w:t>对该项目进行管理。</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近年来，随着出行方式越来越多样化，通过公共交通出行的人口比例越来越少，客运行业经营尤为困难，部分城乡公交线路难以维持最基本运行，客流量相对较少的客运支线纷纷停运。为切实解决罗江区部分地段群众出行困难的问题，区交通运输局经认真调研和可行性分析，决定恢复略坪至广富等7条城乡公交线路运行。为保障和发挥公共交通公益性、惠民性功能，满足群众出行需求，区交通运输局向区政府报请了资金需求。</w:t>
      </w:r>
    </w:p>
    <w:p>
      <w:pPr>
        <w:adjustRightInd w:val="0"/>
        <w:snapToGrid w:val="0"/>
        <w:spacing w:line="600" w:lineRule="exact"/>
        <w:ind w:firstLine="640" w:firstLineChars="200"/>
        <w:rPr>
          <w:rFonts w:hint="eastAsia" w:ascii="仿宋_GB2312" w:hAnsi="仿宋_GB2312" w:eastAsia="仿宋_GB2312" w:cs="仿宋_GB2312"/>
          <w:b/>
          <w:sz w:val="32"/>
          <w:szCs w:val="32"/>
          <w:lang w:val="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按照项目决策、管理、绩效三类指标，对资金支出行为过程及其效果进行综合评价和判断。评价资金使用的科学性、合理性和有效性，分析存在的问题，提出完善资金管理的制度机制、提升资金使用效益的相关建议，为以后年度相关决策提供参考依据。</w:t>
      </w:r>
    </w:p>
    <w:p>
      <w:pPr>
        <w:pStyle w:val="2"/>
        <w:rPr>
          <w:rFonts w:hint="eastAsia"/>
          <w:lang w:val="en-US" w:eastAsia="zh-CN"/>
        </w:rPr>
      </w:pPr>
      <w:r>
        <w:rPr>
          <w:rFonts w:hint="eastAsia" w:ascii="仿宋_GB2312" w:hAnsi="仿宋_GB2312" w:eastAsia="仿宋_GB2312" w:cs="仿宋_GB2312"/>
          <w:sz w:val="32"/>
          <w:szCs w:val="32"/>
          <w:lang w:val="en-US" w:eastAsia="zh-CN"/>
        </w:rPr>
        <w:t>4.考虑到该项目为民生类项目，为确保落实</w:t>
      </w:r>
      <w:r>
        <w:rPr>
          <w:rFonts w:hint="eastAsia" w:ascii="仿宋_GB2312" w:hAnsi="仿宋_GB2312" w:eastAsia="仿宋_GB2312" w:cs="仿宋_GB2312"/>
          <w:b w:val="0"/>
          <w:bCs w:val="0"/>
          <w:sz w:val="32"/>
          <w:szCs w:val="32"/>
          <w:lang w:val="en-US" w:eastAsia="zh-CN"/>
        </w:rPr>
        <w:t>略坪至广富等7条城乡公交线路运行成本补贴</w:t>
      </w:r>
      <w:r>
        <w:rPr>
          <w:rFonts w:hint="eastAsia" w:ascii="仿宋_GB2312" w:hAnsi="仿宋_GB2312" w:eastAsia="仿宋_GB2312" w:cs="仿宋_GB2312"/>
          <w:sz w:val="32"/>
          <w:szCs w:val="32"/>
          <w:lang w:val="en-US" w:eastAsia="zh-CN"/>
        </w:rPr>
        <w:t>的惠民优惠政策，区财政预算下达的资金后，应在达到付款条件的下，首先确保尽快拨付到企业，避免稳定因素，确保公交运营企业的合法权益。</w:t>
      </w:r>
    </w:p>
    <w:p>
      <w:pPr>
        <w:keepNext/>
        <w:keepLines/>
        <w:autoSpaceDE w:val="0"/>
        <w:autoSpaceDN w:val="0"/>
        <w:adjustRightInd w:val="0"/>
        <w:spacing w:beforeLines="-2147483648" w:afterLines="-2147483648" w:line="578" w:lineRule="exact"/>
        <w:ind w:firstLine="720"/>
        <w:jc w:val="both"/>
        <w:rPr>
          <w:rFonts w:hint="eastAsia" w:ascii="楷体_GB2312" w:hAnsi="Cambria" w:eastAsia="楷体_GB2312" w:cs="楷体_GB2312"/>
          <w:b/>
          <w:bCs/>
          <w:kern w:val="2"/>
          <w:sz w:val="32"/>
          <w:szCs w:val="32"/>
          <w:lang w:val="en-US" w:eastAsia="zh-CN" w:bidi="ar-SA"/>
        </w:rPr>
      </w:pPr>
      <w:r>
        <w:rPr>
          <w:rFonts w:hint="eastAsia" w:ascii="楷体_GB2312" w:hAnsi="Cambria" w:eastAsia="楷体_GB2312" w:cs="楷体_GB2312"/>
          <w:b/>
          <w:bCs/>
          <w:kern w:val="2"/>
          <w:sz w:val="32"/>
          <w:szCs w:val="32"/>
          <w:lang w:val="en-US" w:eastAsia="zh-CN" w:bidi="ar-SA"/>
        </w:rPr>
        <w:t>（二）项目绩效目标。</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主要内容。该项目主要是为切实解决罗江区部分地段群众出行困难的问题，区交通运输局经认真调研和可行性分析，决定恢复略坪至广富等7条城乡公交线路运行。为保障和发挥公共交通公益性、惠民性功能，满足群众出行需求，区交通运输局向区政府报请了资金需求。对略坪至广富等7条城乡公交线路运行进行成本补贴。</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应实现的具体绩效目标：项目绩效目标任务为保证和发挥城市公共交通公益性、惠民性功能，满足群众出行需求，提升群众获得感和幸福感，根据绩效目标任务，分别设置了6个二级指标，分别对应6个三级指标，分别为：数量指标、质量指标、时效指标、成本指标、社会效益指标、服务对象满意度指标。</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3.该项目申报内容与实际相符，申报目标合理。</w:t>
      </w:r>
    </w:p>
    <w:p>
      <w:pPr>
        <w:adjustRightInd w:val="0"/>
        <w:snapToGrid w:val="0"/>
        <w:spacing w:line="600" w:lineRule="exact"/>
        <w:ind w:firstLine="321" w:firstLineChars="100"/>
        <w:rPr>
          <w:rFonts w:hint="eastAsia" w:ascii="方正楷体简体" w:hAnsi="宋体" w:eastAsia="方正楷体简体"/>
          <w:b/>
          <w:bCs/>
          <w:sz w:val="32"/>
          <w:szCs w:val="32"/>
          <w:lang w:val="en-US" w:eastAsia="zh-CN"/>
        </w:rPr>
      </w:pPr>
      <w:r>
        <w:rPr>
          <w:rFonts w:hint="eastAsia" w:ascii="方正楷体简体" w:hAnsi="宋体" w:eastAsia="方正楷体简体"/>
          <w:b/>
          <w:bCs/>
          <w:sz w:val="32"/>
          <w:szCs w:val="32"/>
          <w:lang w:val="en-US" w:eastAsia="zh-CN"/>
        </w:rPr>
        <w:t>（三）项目自评步骤及方法。</w:t>
      </w:r>
    </w:p>
    <w:p>
      <w:pPr>
        <w:pStyle w:val="2"/>
        <w:rPr>
          <w:rFonts w:hint="eastAsia"/>
          <w:lang w:val="en-US" w:eastAsia="zh-CN"/>
        </w:rPr>
      </w:pPr>
      <w:r>
        <w:rPr>
          <w:rFonts w:hint="eastAsia" w:ascii="仿宋_GB2312" w:hAnsi="仿宋_GB2312" w:eastAsia="仿宋_GB2312" w:cs="仿宋_GB2312"/>
          <w:sz w:val="32"/>
          <w:szCs w:val="32"/>
          <w:lang w:val="en-US" w:eastAsia="zh-CN"/>
        </w:rPr>
        <w:t>该项目自评由项目分管业务股室牵头，梳理从项目申报、立项、批复、资金使用等全过程进行自评。</w:t>
      </w:r>
    </w:p>
    <w:p>
      <w:pPr>
        <w:numPr>
          <w:ilvl w:val="0"/>
          <w:numId w:val="0"/>
        </w:numPr>
        <w:ind w:firstLine="643" w:firstLineChars="200"/>
        <w:rPr>
          <w:rFonts w:hint="eastAsia"/>
          <w:b/>
          <w:bCs/>
          <w:sz w:val="32"/>
          <w:szCs w:val="32"/>
          <w:lang w:val="en-US" w:eastAsia="zh-CN"/>
        </w:rPr>
      </w:pPr>
      <w:bookmarkStart w:id="144" w:name="_Toc22599_WPSOffice_Level2"/>
      <w:bookmarkStart w:id="145" w:name="_Toc22215_WPSOffice_Level2"/>
      <w:bookmarkStart w:id="146" w:name="_Toc2885_WPSOffice_Level2"/>
      <w:r>
        <w:rPr>
          <w:rFonts w:hint="eastAsia"/>
          <w:b/>
          <w:bCs/>
          <w:sz w:val="32"/>
          <w:szCs w:val="32"/>
          <w:lang w:val="en-US" w:eastAsia="zh-CN"/>
        </w:rPr>
        <w:t>二、项目资金申报及使用情况</w:t>
      </w:r>
      <w:bookmarkEnd w:id="144"/>
      <w:bookmarkEnd w:id="145"/>
      <w:bookmarkEnd w:id="146"/>
    </w:p>
    <w:p>
      <w:pPr>
        <w:adjustRightInd w:val="0"/>
        <w:snapToGrid w:val="0"/>
        <w:spacing w:line="600" w:lineRule="exact"/>
        <w:ind w:firstLine="321" w:firstLineChars="100"/>
        <w:rPr>
          <w:rFonts w:hint="eastAsia" w:ascii="方正楷体简体" w:hAnsi="宋体" w:eastAsia="方正楷体简体"/>
          <w:b/>
          <w:bCs/>
          <w:sz w:val="32"/>
          <w:szCs w:val="32"/>
          <w:lang w:val="zh-CN"/>
        </w:rPr>
      </w:pPr>
      <w:r>
        <w:rPr>
          <w:rFonts w:hint="eastAsia" w:ascii="方正楷体简体" w:hAnsi="宋体" w:eastAsia="方正楷体简体"/>
          <w:b/>
          <w:bCs/>
          <w:sz w:val="32"/>
          <w:szCs w:val="32"/>
          <w:lang w:val="zh-CN"/>
        </w:rPr>
        <w:t>（一）项目资金申报及批复情况。</w:t>
      </w:r>
    </w:p>
    <w:p>
      <w:pPr>
        <w:adjustRightInd w:val="0"/>
        <w:snapToGrid w:val="0"/>
        <w:spacing w:line="600" w:lineRule="exact"/>
        <w:ind w:firstLine="720"/>
        <w:rPr>
          <w:rFonts w:hint="eastAsia" w:ascii="仿宋_GB2312" w:hAnsi="仿宋_GB2312" w:eastAsia="仿宋_GB2312" w:cs="仿宋_GB2312"/>
          <w:b w:val="0"/>
          <w:bCs w:val="0"/>
          <w:spacing w:val="20"/>
          <w:kern w:val="0"/>
          <w:sz w:val="32"/>
          <w:szCs w:val="32"/>
          <w:lang w:eastAsia="zh-CN"/>
        </w:rPr>
      </w:pPr>
      <w:r>
        <w:rPr>
          <w:rFonts w:hint="eastAsia" w:ascii="仿宋_GB2312" w:hAnsi="仿宋_GB2312" w:eastAsia="仿宋_GB2312" w:cs="仿宋_GB2312"/>
          <w:b w:val="0"/>
          <w:bCs w:val="0"/>
          <w:sz w:val="32"/>
          <w:szCs w:val="32"/>
          <w:lang w:val="en-US" w:eastAsia="zh-CN"/>
        </w:rPr>
        <w:t>略坪至广富等7条城乡公交线路运行成本补贴</w:t>
      </w:r>
      <w:r>
        <w:rPr>
          <w:rFonts w:hint="eastAsia" w:ascii="仿宋_GB2312" w:hAnsi="仿宋_GB2312" w:eastAsia="仿宋_GB2312" w:cs="仿宋_GB2312"/>
          <w:b w:val="0"/>
          <w:bCs w:val="0"/>
          <w:sz w:val="32"/>
          <w:szCs w:val="32"/>
          <w:lang w:eastAsia="zh-CN"/>
        </w:rPr>
        <w:t>项目经费申报</w:t>
      </w:r>
      <w:r>
        <w:rPr>
          <w:rFonts w:hint="eastAsia" w:ascii="仿宋_GB2312" w:hAnsi="仿宋_GB2312" w:eastAsia="仿宋_GB2312" w:cs="仿宋_GB2312"/>
          <w:sz w:val="32"/>
          <w:szCs w:val="32"/>
          <w:lang w:val="en-US" w:eastAsia="zh-CN"/>
        </w:rPr>
        <w:t>58.87</w:t>
      </w:r>
      <w:r>
        <w:rPr>
          <w:rFonts w:hint="eastAsia" w:ascii="仿宋_GB2312" w:hAnsi="仿宋_GB2312" w:eastAsia="仿宋_GB2312" w:cs="仿宋_GB2312"/>
          <w:b w:val="0"/>
          <w:bCs w:val="0"/>
          <w:sz w:val="32"/>
          <w:szCs w:val="32"/>
          <w:lang w:val="en-US" w:eastAsia="zh-CN"/>
        </w:rPr>
        <w:t>万元，区财政局批复</w:t>
      </w:r>
      <w:r>
        <w:rPr>
          <w:rFonts w:hint="eastAsia" w:ascii="仿宋_GB2312" w:hAnsi="仿宋_GB2312" w:eastAsia="仿宋_GB2312" w:cs="仿宋_GB2312"/>
          <w:sz w:val="32"/>
          <w:szCs w:val="32"/>
          <w:lang w:val="en-US" w:eastAsia="zh-CN"/>
        </w:rPr>
        <w:t>58.87</w:t>
      </w:r>
      <w:r>
        <w:rPr>
          <w:rFonts w:hint="eastAsia" w:ascii="仿宋_GB2312" w:hAnsi="仿宋_GB2312" w:eastAsia="仿宋_GB2312" w:cs="仿宋_GB2312"/>
          <w:b w:val="0"/>
          <w:bCs w:val="0"/>
          <w:sz w:val="32"/>
          <w:szCs w:val="32"/>
          <w:lang w:val="en-US" w:eastAsia="zh-CN"/>
        </w:rPr>
        <w:t>万元。</w:t>
      </w:r>
      <w:r>
        <w:rPr>
          <w:rFonts w:hint="eastAsia" w:ascii="仿宋_GB2312" w:hAnsi="仿宋_GB2312" w:eastAsia="仿宋_GB2312" w:cs="仿宋_GB2312"/>
          <w:b w:val="0"/>
          <w:bCs w:val="0"/>
          <w:spacing w:val="20"/>
          <w:kern w:val="0"/>
          <w:sz w:val="32"/>
          <w:szCs w:val="32"/>
          <w:lang w:eastAsia="zh-CN"/>
        </w:rPr>
        <w:t>德市</w:t>
      </w:r>
      <w:r>
        <w:rPr>
          <w:rFonts w:hint="eastAsia" w:ascii="仿宋_GB2312" w:hAnsi="仿宋_GB2312" w:eastAsia="仿宋_GB2312" w:cs="仿宋_GB2312"/>
          <w:b w:val="0"/>
          <w:bCs w:val="0"/>
          <w:spacing w:val="20"/>
          <w:kern w:val="0"/>
          <w:sz w:val="32"/>
          <w:szCs w:val="32"/>
        </w:rPr>
        <w:t>罗财预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spacing w:val="20"/>
          <w:kern w:val="0"/>
          <w:sz w:val="32"/>
          <w:szCs w:val="32"/>
        </w:rPr>
        <w:t>20</w:t>
      </w:r>
      <w:r>
        <w:rPr>
          <w:rFonts w:hint="eastAsia" w:ascii="仿宋_GB2312" w:hAnsi="仿宋_GB2312" w:eastAsia="仿宋_GB2312" w:cs="仿宋_GB2312"/>
          <w:b w:val="0"/>
          <w:bCs w:val="0"/>
          <w:spacing w:val="20"/>
          <w:kern w:val="0"/>
          <w:sz w:val="32"/>
          <w:szCs w:val="32"/>
          <w:lang w:val="en-US" w:eastAsia="zh-CN"/>
        </w:rPr>
        <w:t>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spacing w:val="20"/>
          <w:kern w:val="0"/>
          <w:sz w:val="32"/>
          <w:szCs w:val="32"/>
          <w:lang w:val="en-US" w:eastAsia="zh-CN"/>
        </w:rPr>
        <w:t>1</w:t>
      </w:r>
      <w:r>
        <w:rPr>
          <w:rFonts w:hint="eastAsia" w:ascii="仿宋_GB2312" w:hAnsi="仿宋_GB2312" w:eastAsia="仿宋_GB2312" w:cs="仿宋_GB2312"/>
          <w:b w:val="0"/>
          <w:bCs w:val="0"/>
          <w:spacing w:val="20"/>
          <w:kern w:val="0"/>
          <w:sz w:val="32"/>
          <w:szCs w:val="32"/>
        </w:rPr>
        <w:t>号文件批复“</w:t>
      </w:r>
      <w:r>
        <w:rPr>
          <w:rFonts w:hint="eastAsia" w:ascii="仿宋_GB2312" w:hAnsi="仿宋_GB2312" w:eastAsia="仿宋_GB2312" w:cs="仿宋_GB2312"/>
          <w:b w:val="0"/>
          <w:bCs w:val="0"/>
          <w:sz w:val="32"/>
          <w:szCs w:val="32"/>
          <w:lang w:val="en-US" w:eastAsia="zh-CN"/>
        </w:rPr>
        <w:t>略坪至广富等7条城乡公交线路运行成本补贴</w:t>
      </w:r>
      <w:r>
        <w:rPr>
          <w:rFonts w:hint="eastAsia" w:ascii="仿宋_GB2312" w:hAnsi="仿宋_GB2312" w:eastAsia="仿宋_GB2312" w:cs="仿宋_GB2312"/>
          <w:b w:val="0"/>
          <w:bCs w:val="0"/>
          <w:spacing w:val="20"/>
          <w:kern w:val="0"/>
          <w:sz w:val="32"/>
          <w:szCs w:val="32"/>
        </w:rPr>
        <w:t>”项目的预算经费</w:t>
      </w:r>
      <w:r>
        <w:rPr>
          <w:rFonts w:hint="eastAsia" w:ascii="仿宋_GB2312" w:hAnsi="仿宋_GB2312" w:eastAsia="仿宋_GB2312" w:cs="仿宋_GB2312"/>
          <w:sz w:val="32"/>
          <w:szCs w:val="32"/>
          <w:lang w:val="en-US" w:eastAsia="zh-CN"/>
        </w:rPr>
        <w:t>58.87</w:t>
      </w:r>
      <w:r>
        <w:rPr>
          <w:rFonts w:hint="eastAsia" w:ascii="仿宋_GB2312" w:hAnsi="仿宋_GB2312" w:eastAsia="仿宋_GB2312" w:cs="仿宋_GB2312"/>
          <w:b w:val="0"/>
          <w:bCs w:val="0"/>
          <w:spacing w:val="20"/>
          <w:kern w:val="0"/>
          <w:sz w:val="32"/>
          <w:szCs w:val="32"/>
        </w:rPr>
        <w:t>万元</w:t>
      </w:r>
      <w:r>
        <w:rPr>
          <w:rFonts w:hint="eastAsia" w:ascii="仿宋_GB2312" w:hAnsi="仿宋_GB2312" w:eastAsia="仿宋_GB2312" w:cs="仿宋_GB2312"/>
          <w:b w:val="0"/>
          <w:bCs w:val="0"/>
          <w:spacing w:val="20"/>
          <w:kern w:val="0"/>
          <w:sz w:val="32"/>
          <w:szCs w:val="32"/>
          <w:lang w:eastAsia="zh-CN"/>
        </w:rPr>
        <w:t>。</w:t>
      </w:r>
    </w:p>
    <w:p>
      <w:pPr>
        <w:adjustRightInd w:val="0"/>
        <w:snapToGrid w:val="0"/>
        <w:spacing w:line="600" w:lineRule="exact"/>
        <w:ind w:firstLine="321" w:firstLineChars="100"/>
        <w:rPr>
          <w:rFonts w:hint="eastAsia"/>
          <w:b/>
          <w:bCs/>
          <w:sz w:val="32"/>
          <w:szCs w:val="32"/>
          <w:lang w:val="en-US" w:eastAsia="zh-CN"/>
        </w:rPr>
      </w:pPr>
      <w:r>
        <w:rPr>
          <w:rFonts w:hint="eastAsia" w:ascii="方正楷体简体" w:hAnsi="宋体" w:eastAsia="方正楷体简体"/>
          <w:b/>
          <w:bCs/>
          <w:sz w:val="32"/>
          <w:szCs w:val="32"/>
          <w:lang w:val="zh-CN"/>
        </w:rPr>
        <w:t>（二）资金计划、到位及使用情况。</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1.资金计划。根据区政府2018年一届十九次常务会议精神，同意对略坪至广富7条城乡公交支线运行成本进行全额补助，共计58.87万元/年。</w:t>
      </w:r>
    </w:p>
    <w:p>
      <w:pPr>
        <w:numPr>
          <w:ilvl w:val="0"/>
          <w:numId w:val="0"/>
        </w:numPr>
        <w:ind w:firstLine="640"/>
        <w:rPr>
          <w:rFonts w:hint="eastAsia" w:ascii="仿宋_GB2312" w:hAnsi="仿宋_GB2312" w:eastAsia="仿宋_GB2312" w:cs="仿宋_GB2312"/>
          <w:b w:val="0"/>
          <w:bCs w:val="0"/>
          <w:spacing w:val="20"/>
          <w:kern w:val="0"/>
          <w:sz w:val="32"/>
          <w:szCs w:val="32"/>
          <w:lang w:eastAsia="zh-CN"/>
        </w:rPr>
      </w:pPr>
      <w:r>
        <w:rPr>
          <w:rFonts w:hint="eastAsia" w:ascii="仿宋_GB2312" w:hAnsi="仿宋_GB2312" w:eastAsia="仿宋_GB2312" w:cs="仿宋_GB2312"/>
          <w:sz w:val="32"/>
          <w:szCs w:val="32"/>
          <w:lang w:val="en-US" w:eastAsia="zh-CN"/>
        </w:rPr>
        <w:t>2.资金到位。</w:t>
      </w:r>
      <w:r>
        <w:rPr>
          <w:rFonts w:hint="eastAsia" w:ascii="仿宋_GB2312" w:hAnsi="仿宋_GB2312" w:eastAsia="仿宋_GB2312" w:cs="仿宋_GB2312"/>
          <w:b w:val="0"/>
          <w:bCs w:val="0"/>
          <w:spacing w:val="20"/>
          <w:kern w:val="0"/>
          <w:sz w:val="32"/>
          <w:szCs w:val="32"/>
          <w:lang w:eastAsia="zh-CN"/>
        </w:rPr>
        <w:t>德市</w:t>
      </w:r>
      <w:r>
        <w:rPr>
          <w:rFonts w:hint="eastAsia" w:ascii="仿宋_GB2312" w:hAnsi="仿宋_GB2312" w:eastAsia="仿宋_GB2312" w:cs="仿宋_GB2312"/>
          <w:b w:val="0"/>
          <w:bCs w:val="0"/>
          <w:spacing w:val="20"/>
          <w:kern w:val="0"/>
          <w:sz w:val="32"/>
          <w:szCs w:val="32"/>
        </w:rPr>
        <w:t>罗财预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spacing w:val="20"/>
          <w:kern w:val="0"/>
          <w:sz w:val="32"/>
          <w:szCs w:val="32"/>
        </w:rPr>
        <w:t>20</w:t>
      </w:r>
      <w:r>
        <w:rPr>
          <w:rFonts w:hint="eastAsia" w:ascii="仿宋_GB2312" w:hAnsi="仿宋_GB2312" w:eastAsia="仿宋_GB2312" w:cs="仿宋_GB2312"/>
          <w:b w:val="0"/>
          <w:bCs w:val="0"/>
          <w:spacing w:val="20"/>
          <w:kern w:val="0"/>
          <w:sz w:val="32"/>
          <w:szCs w:val="32"/>
          <w:lang w:val="en-US" w:eastAsia="zh-CN"/>
        </w:rPr>
        <w:t>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spacing w:val="20"/>
          <w:kern w:val="0"/>
          <w:sz w:val="32"/>
          <w:szCs w:val="32"/>
          <w:lang w:val="en-US" w:eastAsia="zh-CN"/>
        </w:rPr>
        <w:t>1</w:t>
      </w:r>
      <w:r>
        <w:rPr>
          <w:rFonts w:hint="eastAsia" w:ascii="仿宋_GB2312" w:hAnsi="仿宋_GB2312" w:eastAsia="仿宋_GB2312" w:cs="仿宋_GB2312"/>
          <w:b w:val="0"/>
          <w:bCs w:val="0"/>
          <w:spacing w:val="20"/>
          <w:kern w:val="0"/>
          <w:sz w:val="32"/>
          <w:szCs w:val="32"/>
        </w:rPr>
        <w:t>号文件批复“</w:t>
      </w:r>
      <w:r>
        <w:rPr>
          <w:rFonts w:hint="eastAsia" w:ascii="仿宋_GB2312" w:hAnsi="仿宋_GB2312" w:eastAsia="仿宋_GB2312" w:cs="仿宋_GB2312"/>
          <w:b w:val="0"/>
          <w:bCs w:val="0"/>
          <w:sz w:val="32"/>
          <w:szCs w:val="32"/>
          <w:lang w:val="en-US" w:eastAsia="zh-CN"/>
        </w:rPr>
        <w:t>略坪至广富等7条城乡公交线路运行成本补贴</w:t>
      </w:r>
      <w:r>
        <w:rPr>
          <w:rFonts w:hint="eastAsia" w:ascii="仿宋_GB2312" w:hAnsi="仿宋_GB2312" w:eastAsia="仿宋_GB2312" w:cs="仿宋_GB2312"/>
          <w:b w:val="0"/>
          <w:bCs w:val="0"/>
          <w:spacing w:val="20"/>
          <w:kern w:val="0"/>
          <w:sz w:val="32"/>
          <w:szCs w:val="32"/>
        </w:rPr>
        <w:t>”项目的预算经费</w:t>
      </w:r>
      <w:r>
        <w:rPr>
          <w:rFonts w:hint="eastAsia" w:ascii="仿宋_GB2312" w:hAnsi="仿宋_GB2312" w:eastAsia="仿宋_GB2312" w:cs="仿宋_GB2312"/>
          <w:sz w:val="32"/>
          <w:szCs w:val="32"/>
          <w:lang w:val="en-US" w:eastAsia="zh-CN"/>
        </w:rPr>
        <w:t>58.87</w:t>
      </w:r>
      <w:r>
        <w:rPr>
          <w:rFonts w:hint="eastAsia" w:ascii="仿宋_GB2312" w:hAnsi="仿宋_GB2312" w:eastAsia="仿宋_GB2312" w:cs="仿宋_GB2312"/>
          <w:b w:val="0"/>
          <w:bCs w:val="0"/>
          <w:spacing w:val="20"/>
          <w:kern w:val="0"/>
          <w:sz w:val="32"/>
          <w:szCs w:val="32"/>
        </w:rPr>
        <w:t>万元</w:t>
      </w:r>
      <w:r>
        <w:rPr>
          <w:rFonts w:hint="eastAsia" w:ascii="仿宋_GB2312" w:hAnsi="仿宋_GB2312" w:eastAsia="仿宋_GB2312" w:cs="仿宋_GB2312"/>
          <w:b w:val="0"/>
          <w:bCs w:val="0"/>
          <w:spacing w:val="20"/>
          <w:kern w:val="0"/>
          <w:sz w:val="32"/>
          <w:szCs w:val="32"/>
          <w:lang w:eastAsia="zh-CN"/>
        </w:rPr>
        <w:t>。</w:t>
      </w:r>
    </w:p>
    <w:p>
      <w:pPr>
        <w:numPr>
          <w:ilvl w:val="0"/>
          <w:numId w:val="0"/>
        </w:numPr>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pacing w:val="20"/>
          <w:kern w:val="0"/>
          <w:sz w:val="32"/>
          <w:szCs w:val="32"/>
          <w:lang w:val="en-US" w:eastAsia="zh-CN"/>
        </w:rPr>
        <w:t>3.</w:t>
      </w:r>
      <w:r>
        <w:rPr>
          <w:rFonts w:hint="eastAsia" w:ascii="仿宋_GB2312" w:hAnsi="仿宋_GB2312" w:eastAsia="仿宋_GB2312" w:cs="仿宋_GB2312"/>
          <w:b w:val="0"/>
          <w:bCs w:val="0"/>
          <w:spacing w:val="20"/>
          <w:kern w:val="0"/>
          <w:sz w:val="32"/>
          <w:szCs w:val="32"/>
          <w:lang w:eastAsia="zh-CN"/>
        </w:rPr>
        <w:t>资金使用。</w:t>
      </w:r>
      <w:r>
        <w:rPr>
          <w:rFonts w:hint="eastAsia" w:ascii="仿宋_GB2312" w:hAnsi="仿宋_GB2312" w:eastAsia="仿宋_GB2312" w:cs="仿宋_GB2312"/>
          <w:sz w:val="32"/>
          <w:szCs w:val="32"/>
          <w:lang w:val="en-US" w:eastAsia="zh-CN"/>
        </w:rPr>
        <w:t>补助资金由区运管所申请，通过财政直接支付给企业，2022年共计拨付58.8万，资金使用率99%，主要原因是考核跨年度清算少支付0.07万元。</w:t>
      </w:r>
    </w:p>
    <w:p>
      <w:pPr>
        <w:adjustRightInd w:val="0"/>
        <w:snapToGrid w:val="0"/>
        <w:spacing w:line="600" w:lineRule="exact"/>
        <w:ind w:firstLine="321" w:firstLineChars="100"/>
        <w:rPr>
          <w:rFonts w:hint="eastAsia" w:ascii="方正楷体简体" w:hAnsi="宋体" w:eastAsia="方正楷体简体"/>
          <w:b/>
          <w:bCs/>
          <w:sz w:val="32"/>
          <w:szCs w:val="32"/>
          <w:lang w:val="en-US" w:eastAsia="zh-CN"/>
        </w:rPr>
      </w:pPr>
      <w:r>
        <w:rPr>
          <w:rFonts w:hint="eastAsia" w:ascii="方正楷体简体" w:hAnsi="宋体" w:eastAsia="方正楷体简体"/>
          <w:b/>
          <w:bCs/>
          <w:sz w:val="32"/>
          <w:szCs w:val="32"/>
          <w:lang w:val="en-US" w:eastAsia="zh-CN"/>
        </w:rPr>
        <w:t>（三）项目财务管理情况。</w:t>
      </w:r>
    </w:p>
    <w:p>
      <w:pPr>
        <w:pStyle w:val="2"/>
        <w:rPr>
          <w:rFonts w:hint="eastAsia"/>
          <w:lang w:val="en-US" w:eastAsia="zh-CN"/>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严格按照资金的使用范围，执行各项财务制度，通过财政大平台把项目资金支付给</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实施时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由项目股室填报资金申拨单</w:t>
      </w:r>
      <w:r>
        <w:rPr>
          <w:rFonts w:hint="eastAsia" w:ascii="仿宋_GB2312" w:hAnsi="仿宋_GB2312" w:eastAsia="仿宋_GB2312" w:cs="仿宋_GB2312"/>
          <w:sz w:val="32"/>
          <w:szCs w:val="32"/>
        </w:rPr>
        <w:t>，财务审核票据，项目分管领导审核，单位负责人审核拨款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账务处理及时，会计核算规范。</w:t>
      </w:r>
    </w:p>
    <w:p>
      <w:pPr>
        <w:numPr>
          <w:ilvl w:val="0"/>
          <w:numId w:val="0"/>
        </w:numPr>
        <w:ind w:firstLine="643" w:firstLineChars="200"/>
        <w:rPr>
          <w:rFonts w:hint="eastAsia"/>
          <w:b/>
          <w:bCs/>
          <w:sz w:val="32"/>
          <w:szCs w:val="32"/>
          <w:lang w:val="en-US" w:eastAsia="zh-CN"/>
        </w:rPr>
      </w:pPr>
      <w:bookmarkStart w:id="147" w:name="_Toc20944_WPSOffice_Level2"/>
      <w:bookmarkStart w:id="148" w:name="_Toc28649_WPSOffice_Level2"/>
      <w:bookmarkStart w:id="149" w:name="_Toc3738_WPSOffice_Level2"/>
      <w:r>
        <w:rPr>
          <w:rFonts w:hint="eastAsia"/>
          <w:b/>
          <w:bCs/>
          <w:sz w:val="32"/>
          <w:szCs w:val="32"/>
          <w:lang w:val="en-US" w:eastAsia="zh-CN"/>
        </w:rPr>
        <w:t>三、项目实施及管理情况</w:t>
      </w:r>
      <w:bookmarkEnd w:id="147"/>
      <w:bookmarkEnd w:id="148"/>
      <w:bookmarkEnd w:id="149"/>
    </w:p>
    <w:p>
      <w:pPr>
        <w:keepNext/>
        <w:keepLines/>
        <w:autoSpaceDE w:val="0"/>
        <w:autoSpaceDN w:val="0"/>
        <w:adjustRightInd w:val="0"/>
        <w:spacing w:beforeLines="-2147483648" w:afterLines="-2147483648" w:line="578" w:lineRule="exact"/>
        <w:ind w:firstLine="720"/>
        <w:jc w:val="both"/>
        <w:rPr>
          <w:rFonts w:hint="eastAsia" w:ascii="楷体_GB2312" w:hAnsi="Cambria" w:eastAsia="楷体_GB2312" w:cs="楷体_GB2312"/>
          <w:b/>
          <w:bCs/>
          <w:kern w:val="2"/>
          <w:sz w:val="32"/>
          <w:szCs w:val="32"/>
          <w:lang w:val="en-US" w:eastAsia="zh-CN" w:bidi="ar-SA"/>
        </w:rPr>
      </w:pPr>
      <w:r>
        <w:rPr>
          <w:rFonts w:hint="eastAsia" w:ascii="楷体_GB2312" w:hAnsi="Cambria" w:eastAsia="楷体_GB2312" w:cs="楷体_GB2312"/>
          <w:b/>
          <w:bCs/>
          <w:kern w:val="2"/>
          <w:sz w:val="32"/>
          <w:szCs w:val="32"/>
          <w:lang w:val="en-US" w:eastAsia="zh-CN" w:bidi="ar-SA"/>
        </w:rPr>
        <w:t>（一）项目组织架构及实施流程。</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该项目由罗江区道路运输管理所组织实施，由四川省德阳市第一汽车运输公司罗江分公司和德阳市罗江区云达公交有限公司负责运营管理。</w:t>
      </w:r>
    </w:p>
    <w:p>
      <w:pPr>
        <w:pStyle w:val="2"/>
        <w:ind w:left="0" w:leftChars="0" w:firstLine="643" w:firstLineChars="200"/>
        <w:rPr>
          <w:rFonts w:hint="eastAsia" w:ascii="仿宋_GB2312" w:hAnsi="仿宋_GB2312" w:eastAsia="仿宋_GB2312" w:cs="仿宋_GB2312"/>
          <w:sz w:val="32"/>
          <w:szCs w:val="32"/>
          <w:lang w:val="en-US" w:eastAsia="zh-CN"/>
        </w:rPr>
      </w:pPr>
      <w:r>
        <w:rPr>
          <w:rFonts w:hint="eastAsia" w:ascii="楷体_GB2312" w:hAnsi="Cambria" w:eastAsia="楷体_GB2312" w:cs="楷体_GB2312"/>
          <w:b/>
          <w:bCs/>
          <w:kern w:val="2"/>
          <w:sz w:val="32"/>
          <w:szCs w:val="32"/>
          <w:lang w:val="en-US" w:eastAsia="zh-CN" w:bidi="ar-SA"/>
        </w:rPr>
        <w:t>（二）项目管理情况。</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罗江区道路运输管理所根据项目实际制定各项考核指标，汇同交通运输局对企业实施情况进行考核。</w:t>
      </w:r>
    </w:p>
    <w:p>
      <w:pPr>
        <w:pStyle w:val="2"/>
        <w:ind w:left="0" w:leftChars="0" w:firstLine="643" w:firstLineChars="200"/>
        <w:rPr>
          <w:rFonts w:hint="eastAsia" w:ascii="楷体_GB2312" w:hAnsi="Cambria" w:eastAsia="楷体_GB2312" w:cs="楷体_GB2312"/>
          <w:b/>
          <w:bCs/>
          <w:kern w:val="2"/>
          <w:sz w:val="32"/>
          <w:szCs w:val="32"/>
          <w:lang w:val="en-US" w:eastAsia="zh-CN" w:bidi="ar-SA"/>
        </w:rPr>
      </w:pPr>
      <w:r>
        <w:rPr>
          <w:rFonts w:hint="eastAsia" w:ascii="楷体_GB2312" w:hAnsi="Cambria" w:eastAsia="楷体_GB2312" w:cs="楷体_GB2312"/>
          <w:b/>
          <w:bCs/>
          <w:kern w:val="2"/>
          <w:sz w:val="32"/>
          <w:szCs w:val="32"/>
          <w:lang w:val="en-US" w:eastAsia="zh-CN" w:bidi="ar-SA"/>
        </w:rPr>
        <w:t>（三）项目监管情况。</w:t>
      </w:r>
    </w:p>
    <w:p>
      <w:pPr>
        <w:numPr>
          <w:ilvl w:val="0"/>
          <w:numId w:val="0"/>
        </w:numPr>
        <w:ind w:firstLine="640" w:firstLineChars="200"/>
        <w:rPr>
          <w:rFonts w:hint="eastAsia"/>
          <w:sz w:val="32"/>
          <w:szCs w:val="32"/>
          <w:lang w:val="en-US" w:eastAsia="zh-CN"/>
        </w:rPr>
      </w:pPr>
      <w:r>
        <w:rPr>
          <w:rFonts w:hint="eastAsia" w:ascii="仿宋_GB2312" w:hAnsi="仿宋_GB2312" w:eastAsia="仿宋_GB2312" w:cs="仿宋_GB2312"/>
          <w:sz w:val="32"/>
          <w:szCs w:val="32"/>
          <w:lang w:val="en-US" w:eastAsia="zh-CN"/>
        </w:rPr>
        <w:t>罗江区道路运输管理所对线路运行情况进行考核，到达相应标准才予以兑付补助资金，从而确保项目顺利完成。</w:t>
      </w:r>
    </w:p>
    <w:p>
      <w:pPr>
        <w:numPr>
          <w:ilvl w:val="0"/>
          <w:numId w:val="0"/>
        </w:numPr>
        <w:ind w:firstLine="643" w:firstLineChars="200"/>
        <w:rPr>
          <w:rFonts w:hint="eastAsia"/>
          <w:b/>
          <w:bCs/>
          <w:sz w:val="32"/>
          <w:szCs w:val="32"/>
          <w:lang w:val="en-US" w:eastAsia="zh-CN"/>
        </w:rPr>
      </w:pPr>
      <w:bookmarkStart w:id="150" w:name="_Toc31175_WPSOffice_Level2"/>
      <w:bookmarkStart w:id="151" w:name="_Toc9722_WPSOffice_Level2"/>
      <w:bookmarkStart w:id="152" w:name="_Toc7994_WPSOffice_Level2"/>
      <w:r>
        <w:rPr>
          <w:rFonts w:hint="eastAsia"/>
          <w:b/>
          <w:bCs/>
          <w:sz w:val="32"/>
          <w:szCs w:val="32"/>
          <w:lang w:val="en-US" w:eastAsia="zh-CN"/>
        </w:rPr>
        <w:t>四、项目绩效情况</w:t>
      </w:r>
      <w:bookmarkEnd w:id="150"/>
      <w:bookmarkEnd w:id="151"/>
      <w:bookmarkEnd w:id="152"/>
    </w:p>
    <w:p>
      <w:pPr>
        <w:keepNext/>
        <w:keepLines/>
        <w:autoSpaceDE w:val="0"/>
        <w:autoSpaceDN w:val="0"/>
        <w:adjustRightInd w:val="0"/>
        <w:spacing w:beforeLines="-2147483648" w:afterLines="-2147483648" w:line="578" w:lineRule="exact"/>
        <w:ind w:firstLine="720"/>
        <w:jc w:val="both"/>
        <w:rPr>
          <w:rFonts w:hint="eastAsia" w:ascii="楷体_GB2312" w:hAnsi="Cambria" w:eastAsia="楷体_GB2312" w:cs="楷体_GB2312"/>
          <w:b/>
          <w:bCs/>
          <w:kern w:val="2"/>
          <w:sz w:val="32"/>
          <w:szCs w:val="32"/>
          <w:lang w:val="en-US" w:eastAsia="zh-CN" w:bidi="ar-SA"/>
        </w:rPr>
      </w:pPr>
      <w:r>
        <w:rPr>
          <w:rFonts w:hint="eastAsia" w:ascii="楷体_GB2312" w:hAnsi="Cambria" w:eastAsia="楷体_GB2312" w:cs="楷体_GB2312"/>
          <w:b/>
          <w:bCs/>
          <w:kern w:val="2"/>
          <w:sz w:val="32"/>
          <w:szCs w:val="32"/>
          <w:lang w:val="en-US" w:eastAsia="zh-CN" w:bidi="ar-SA"/>
        </w:rPr>
        <w:t>（一）项目完成情况</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对照年初绩效目标，2022年各项绩效目标完成如下：数量指标-补贴线路7条，完成7辆；时效指标-完成时间2022年，已完成；成本指标-补贴资金58.87万元，已完成。</w:t>
      </w:r>
    </w:p>
    <w:p>
      <w:pPr>
        <w:keepNext/>
        <w:keepLines/>
        <w:autoSpaceDE w:val="0"/>
        <w:autoSpaceDN w:val="0"/>
        <w:adjustRightInd w:val="0"/>
        <w:spacing w:beforeLines="-2147483648" w:afterLines="-2147483648" w:line="578" w:lineRule="exact"/>
        <w:ind w:firstLine="720"/>
        <w:jc w:val="both"/>
        <w:rPr>
          <w:rFonts w:hint="eastAsia"/>
          <w:lang w:val="en-US" w:eastAsia="zh-CN"/>
        </w:rPr>
      </w:pPr>
      <w:r>
        <w:rPr>
          <w:rFonts w:hint="eastAsia" w:ascii="楷体_GB2312" w:hAnsi="Cambria" w:eastAsia="楷体_GB2312" w:cs="楷体_GB2312"/>
          <w:b/>
          <w:bCs/>
          <w:kern w:val="2"/>
          <w:sz w:val="32"/>
          <w:szCs w:val="32"/>
          <w:lang w:val="en-US" w:eastAsia="zh-CN" w:bidi="ar-SA"/>
        </w:rPr>
        <w:t>（二）项目效益情况</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2022年，</w:t>
      </w:r>
      <w:r>
        <w:rPr>
          <w:rFonts w:hint="eastAsia" w:ascii="仿宋_GB2312" w:hAnsi="仿宋_GB2312" w:eastAsia="仿宋_GB2312" w:cs="仿宋_GB2312"/>
          <w:sz w:val="32"/>
          <w:szCs w:val="32"/>
          <w:lang w:val="en-US" w:eastAsia="zh-CN"/>
        </w:rPr>
        <w:t>四川省德阳市第一汽车运输公司罗江分公司和德阳市罗江区云达公交有限公司全面完成略坪至广富等7条城乡公交线路运营任务，本项目的实施在经济、社会、生态、可持续影响</w:t>
      </w:r>
      <w:r>
        <w:rPr>
          <w:rFonts w:hint="eastAsia" w:ascii="仿宋_GB2312" w:hAnsi="仿宋_GB2312" w:eastAsia="仿宋_GB2312" w:cs="仿宋_GB2312"/>
          <w:sz w:val="32"/>
          <w:szCs w:val="32"/>
          <w:lang w:val="zh-CN" w:eastAsia="zh-CN"/>
        </w:rPr>
        <w:t>及服务对象满意度等方面</w:t>
      </w:r>
      <w:r>
        <w:rPr>
          <w:rFonts w:hint="eastAsia" w:ascii="仿宋_GB2312" w:hAnsi="仿宋_GB2312" w:eastAsia="仿宋_GB2312" w:cs="仿宋_GB2312"/>
          <w:sz w:val="32"/>
          <w:szCs w:val="32"/>
          <w:lang w:val="en-US" w:eastAsia="zh-CN"/>
        </w:rPr>
        <w:t>都达到了高效益。</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1.在经济效益方面：获得城乡公交支线补助后，极大的扭转了公交的经营亏损。</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2.在社会效益方面：7条城乡公交支线的开行大幅改善了民众出行条件，大大提高了舒适性、便捷性，有效带动农村地区相关产业进一步的发展和提高，促进乡村振兴和脱贫攻坚方面具有明显成效。</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3.在生态效益方面：7条城乡公交支线运营车辆均采用清洁能源为动力，有效地改善空气质量，节能减排效果显著，对环境可持续发展也有好的影响。</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4.在可持续影响方面：大力发展公共交通对未来社会经济发展和人文交流等方面具有积极意义，同时也是持续推进和改善农村地区可持续发展的有效手段。</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eastAsia="zh-CN"/>
        </w:rPr>
        <w:t>服务对象满意度方面：</w:t>
      </w:r>
      <w:r>
        <w:rPr>
          <w:rFonts w:hint="eastAsia" w:ascii="仿宋_GB2312" w:hAnsi="仿宋_GB2312" w:eastAsia="仿宋_GB2312" w:cs="仿宋_GB2312"/>
          <w:sz w:val="32"/>
          <w:szCs w:val="32"/>
          <w:lang w:val="en-US" w:eastAsia="zh-CN"/>
        </w:rPr>
        <w:t>7条城乡公交支线的开行保障了部分偏远地区群众出行需求，且实施的1元/人低票价也切实惠及民生，乘车群众满意度大幅提升。</w:t>
      </w:r>
    </w:p>
    <w:p>
      <w:pPr>
        <w:numPr>
          <w:ilvl w:val="0"/>
          <w:numId w:val="0"/>
        </w:numPr>
        <w:ind w:firstLine="640" w:firstLineChars="200"/>
        <w:rPr>
          <w:rFonts w:hint="eastAsia"/>
          <w:sz w:val="32"/>
          <w:szCs w:val="32"/>
          <w:lang w:val="en-US" w:eastAsia="zh-CN"/>
        </w:rPr>
      </w:pPr>
      <w:bookmarkStart w:id="153" w:name="_Toc27085_WPSOffice_Level2"/>
      <w:r>
        <w:rPr>
          <w:rFonts w:hint="eastAsia" w:ascii="黑体" w:hAnsi="黑体" w:eastAsia="黑体" w:cs="黑体"/>
          <w:sz w:val="32"/>
          <w:szCs w:val="32"/>
          <w:lang w:val="en-US" w:eastAsia="zh-CN"/>
        </w:rPr>
        <w:t>五、评价结论及建议</w:t>
      </w:r>
      <w:bookmarkEnd w:id="153"/>
    </w:p>
    <w:p>
      <w:pPr>
        <w:keepNext/>
        <w:keepLines/>
        <w:autoSpaceDE w:val="0"/>
        <w:autoSpaceDN w:val="0"/>
        <w:adjustRightInd w:val="0"/>
        <w:spacing w:beforeLines="-2147483648" w:afterLines="-2147483648" w:line="578" w:lineRule="exact"/>
        <w:ind w:firstLine="720"/>
        <w:jc w:val="both"/>
        <w:rPr>
          <w:rFonts w:hint="eastAsia" w:ascii="楷体_GB2312" w:hAnsi="Cambria" w:eastAsia="楷体_GB2312" w:cs="楷体_GB2312"/>
          <w:b/>
          <w:bCs/>
          <w:kern w:val="2"/>
          <w:sz w:val="30"/>
          <w:szCs w:val="30"/>
          <w:lang w:val="en-US" w:eastAsia="zh-CN" w:bidi="ar-SA"/>
        </w:rPr>
      </w:pPr>
      <w:r>
        <w:rPr>
          <w:rFonts w:hint="eastAsia" w:ascii="楷体_GB2312" w:hAnsi="Cambria" w:eastAsia="楷体_GB2312" w:cs="楷体_GB2312"/>
          <w:b/>
          <w:bCs/>
          <w:kern w:val="2"/>
          <w:sz w:val="30"/>
          <w:szCs w:val="30"/>
          <w:lang w:val="en-US" w:eastAsia="zh-CN" w:bidi="ar-SA"/>
        </w:rPr>
        <w:t>（一）评价结论。</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的实施，充分保障和发挥了公共交通公益性、惠民性功能，切实满足了部分农村偏远地区群众出行需求，增强了广大群众的幸福感和获得感，是有效实现乡村振兴和脱贫攻坚的重要举措，为罗江区可持续发展提供了有效助力。项目各项绩效指标均已如期完成，总体评价优良。</w:t>
      </w:r>
    </w:p>
    <w:p>
      <w:pPr>
        <w:keepNext/>
        <w:keepLines/>
        <w:autoSpaceDE w:val="0"/>
        <w:autoSpaceDN w:val="0"/>
        <w:adjustRightInd w:val="0"/>
        <w:spacing w:beforeLines="-2147483648" w:afterLines="-2147483648" w:line="578" w:lineRule="exact"/>
        <w:ind w:firstLine="720"/>
        <w:jc w:val="both"/>
        <w:rPr>
          <w:rFonts w:hint="eastAsia" w:ascii="楷体_GB2312" w:hAnsi="Cambria" w:eastAsia="楷体_GB2312" w:cs="楷体_GB2312"/>
          <w:b/>
          <w:bCs/>
          <w:kern w:val="2"/>
          <w:sz w:val="30"/>
          <w:szCs w:val="30"/>
          <w:lang w:val="en-US" w:eastAsia="zh-CN" w:bidi="ar-SA"/>
        </w:rPr>
      </w:pPr>
      <w:bookmarkStart w:id="154" w:name="_Toc11757_WPSOffice_Level2"/>
      <w:bookmarkStart w:id="155" w:name="_Toc24048_WPSOffice_Level2"/>
      <w:r>
        <w:rPr>
          <w:rFonts w:hint="eastAsia" w:ascii="楷体_GB2312" w:hAnsi="Cambria" w:eastAsia="楷体_GB2312" w:cs="楷体_GB2312"/>
          <w:b/>
          <w:bCs/>
          <w:kern w:val="2"/>
          <w:sz w:val="30"/>
          <w:szCs w:val="30"/>
          <w:lang w:val="en-US" w:eastAsia="zh-CN" w:bidi="ar-SA"/>
        </w:rPr>
        <w:t>（二）问题及建议</w:t>
      </w:r>
      <w:bookmarkEnd w:id="154"/>
      <w:bookmarkEnd w:id="155"/>
    </w:p>
    <w:p>
      <w:pPr>
        <w:spacing w:beforeLines="0" w:afterLines="0" w:line="600" w:lineRule="exact"/>
        <w:ind w:firstLine="640"/>
        <w:jc w:val="both"/>
        <w:rPr>
          <w:rFonts w:hint="eastAsia" w:ascii="仿宋_GB2312" w:hAnsi="仿宋_GB2312" w:eastAsia="仿宋_GB2312"/>
          <w:color w:val="auto"/>
          <w:kern w:val="2"/>
          <w:sz w:val="32"/>
          <w:lang w:val="en-US"/>
        </w:rPr>
      </w:pPr>
      <w:r>
        <w:rPr>
          <w:rFonts w:hint="eastAsia" w:ascii="仿宋_GB2312" w:hAnsi="仿宋_GB2312" w:eastAsia="仿宋_GB2312" w:cs="仿宋_GB2312"/>
          <w:sz w:val="32"/>
          <w:szCs w:val="32"/>
          <w:lang w:val="en-US" w:eastAsia="zh-CN"/>
        </w:rPr>
        <w:t>建议按照本项目实施方式，在有条件的区域继续深化和推进实施范围。</w:t>
      </w:r>
    </w:p>
    <w:p>
      <w:pPr>
        <w:jc w:val="center"/>
        <w:rPr>
          <w:rFonts w:hint="eastAsia"/>
          <w:b/>
          <w:bCs/>
          <w:sz w:val="44"/>
          <w:szCs w:val="44"/>
          <w:lang w:val="en-US" w:eastAsia="zh-CN"/>
        </w:rPr>
      </w:pPr>
    </w:p>
    <w:p>
      <w:pPr>
        <w:spacing w:line="600" w:lineRule="exact"/>
        <w:jc w:val="center"/>
        <w:rPr>
          <w:rFonts w:hint="eastAsia" w:ascii="方正小标宋简体" w:hAnsi="宋体" w:eastAsia="方正小标宋简体"/>
          <w:sz w:val="44"/>
          <w:szCs w:val="44"/>
          <w:shd w:val="clear" w:color="auto" w:fill="FFFFFF"/>
          <w:lang w:eastAsia="zh-CN"/>
        </w:rPr>
      </w:pPr>
      <w:bookmarkStart w:id="156" w:name="_Toc14585_WPSOffice_Level2"/>
      <w:bookmarkStart w:id="157" w:name="_Toc345_WPSOffice_Level2"/>
    </w:p>
    <w:p>
      <w:pPr>
        <w:spacing w:line="600" w:lineRule="exact"/>
        <w:jc w:val="center"/>
        <w:rPr>
          <w:rFonts w:hint="eastAsia" w:ascii="方正小标宋简体" w:hAnsi="宋体" w:eastAsia="方正小标宋简体"/>
          <w:sz w:val="44"/>
          <w:szCs w:val="44"/>
          <w:shd w:val="clear" w:color="auto" w:fill="FFFFFF"/>
          <w:lang w:eastAsia="zh-CN"/>
        </w:rPr>
      </w:pPr>
    </w:p>
    <w:p>
      <w:pPr>
        <w:spacing w:line="600" w:lineRule="exact"/>
        <w:jc w:val="center"/>
        <w:rPr>
          <w:rFonts w:hint="eastAsia" w:ascii="方正小标宋简体" w:hAnsi="宋体" w:eastAsia="方正小标宋简体"/>
          <w:sz w:val="44"/>
          <w:szCs w:val="44"/>
          <w:shd w:val="clear" w:color="auto" w:fill="FFFFFF"/>
          <w:lang w:eastAsia="zh-CN"/>
        </w:rPr>
      </w:pPr>
    </w:p>
    <w:p>
      <w:pPr>
        <w:spacing w:line="600" w:lineRule="exact"/>
        <w:jc w:val="center"/>
        <w:rPr>
          <w:rFonts w:hint="eastAsia" w:ascii="方正小标宋简体" w:hAnsi="宋体" w:eastAsia="方正小标宋简体"/>
          <w:sz w:val="44"/>
          <w:szCs w:val="44"/>
          <w:shd w:val="clear" w:color="auto" w:fill="FFFFFF"/>
          <w:lang w:eastAsia="zh-CN"/>
        </w:rPr>
      </w:pPr>
    </w:p>
    <w:p>
      <w:pPr>
        <w:spacing w:line="600" w:lineRule="exact"/>
        <w:jc w:val="center"/>
        <w:rPr>
          <w:rFonts w:hint="eastAsia" w:ascii="方正小标宋简体" w:hAnsi="宋体" w:eastAsia="方正小标宋简体"/>
          <w:sz w:val="44"/>
          <w:szCs w:val="44"/>
          <w:shd w:val="clear" w:color="auto" w:fill="FFFFFF"/>
          <w:lang w:eastAsia="zh-CN"/>
        </w:rPr>
      </w:pPr>
    </w:p>
    <w:p>
      <w:pPr>
        <w:spacing w:line="600" w:lineRule="exact"/>
        <w:jc w:val="center"/>
        <w:rPr>
          <w:rFonts w:hint="eastAsia" w:ascii="方正小标宋简体" w:hAnsi="宋体" w:eastAsia="方正小标宋简体"/>
          <w:sz w:val="44"/>
          <w:szCs w:val="44"/>
          <w:shd w:val="clear" w:color="auto" w:fill="FFFFFF"/>
          <w:lang w:eastAsia="zh-CN"/>
        </w:rPr>
      </w:pPr>
    </w:p>
    <w:p>
      <w:pPr>
        <w:spacing w:line="600" w:lineRule="exact"/>
        <w:jc w:val="center"/>
        <w:rPr>
          <w:rFonts w:hint="eastAsia" w:ascii="方正小标宋简体" w:hAnsi="宋体" w:eastAsia="方正小标宋简体"/>
          <w:sz w:val="44"/>
          <w:szCs w:val="44"/>
          <w:shd w:val="clear" w:color="auto" w:fill="FFFFFF"/>
          <w:lang w:eastAsia="zh-CN"/>
        </w:rPr>
      </w:pPr>
    </w:p>
    <w:p>
      <w:pPr>
        <w:spacing w:line="600" w:lineRule="exact"/>
        <w:jc w:val="center"/>
        <w:rPr>
          <w:rFonts w:hint="eastAsia" w:ascii="方正小标宋简体" w:hAnsi="宋体" w:eastAsia="方正小标宋简体"/>
          <w:sz w:val="44"/>
          <w:szCs w:val="44"/>
          <w:shd w:val="clear" w:color="auto" w:fill="FFFFFF"/>
          <w:lang w:eastAsia="zh-CN"/>
        </w:rPr>
      </w:pPr>
    </w:p>
    <w:p>
      <w:pPr>
        <w:spacing w:line="600" w:lineRule="exact"/>
        <w:jc w:val="center"/>
        <w:rPr>
          <w:rFonts w:hint="eastAsia" w:ascii="方正小标宋简体" w:hAnsi="宋体" w:eastAsia="方正小标宋简体"/>
          <w:sz w:val="44"/>
          <w:szCs w:val="44"/>
          <w:shd w:val="clear" w:color="auto" w:fill="FFFFFF"/>
          <w:lang w:eastAsia="zh-CN"/>
        </w:rPr>
      </w:pPr>
    </w:p>
    <w:p>
      <w:pPr>
        <w:spacing w:line="600" w:lineRule="exact"/>
        <w:jc w:val="center"/>
        <w:rPr>
          <w:rFonts w:hint="eastAsia" w:ascii="方正小标宋简体" w:hAnsi="宋体" w:eastAsia="方正小标宋简体"/>
          <w:sz w:val="44"/>
          <w:szCs w:val="44"/>
          <w:shd w:val="clear" w:color="auto" w:fill="FFFFFF"/>
          <w:lang w:eastAsia="zh-CN"/>
        </w:rPr>
      </w:pPr>
    </w:p>
    <w:p>
      <w:pPr>
        <w:spacing w:line="600" w:lineRule="exact"/>
        <w:jc w:val="center"/>
        <w:rPr>
          <w:rFonts w:hint="eastAsia" w:ascii="方正小标宋简体" w:hAnsi="宋体" w:eastAsia="方正小标宋简体"/>
          <w:sz w:val="44"/>
          <w:szCs w:val="44"/>
          <w:shd w:val="clear" w:color="auto" w:fill="FFFFFF"/>
          <w:lang w:eastAsia="zh-CN"/>
        </w:rPr>
      </w:pPr>
    </w:p>
    <w:p>
      <w:pPr>
        <w:spacing w:line="600" w:lineRule="exact"/>
        <w:jc w:val="center"/>
        <w:rPr>
          <w:rFonts w:hint="eastAsia" w:ascii="方正小标宋简体" w:hAnsi="宋体" w:eastAsia="方正小标宋简体"/>
          <w:sz w:val="44"/>
          <w:szCs w:val="44"/>
          <w:shd w:val="clear" w:color="auto" w:fill="FFFFFF"/>
          <w:lang w:eastAsia="zh-CN"/>
        </w:rPr>
      </w:pPr>
    </w:p>
    <w:p>
      <w:pPr>
        <w:spacing w:line="600" w:lineRule="exact"/>
        <w:jc w:val="center"/>
        <w:rPr>
          <w:rFonts w:hint="eastAsia" w:ascii="方正小标宋简体" w:hAnsi="宋体" w:eastAsia="方正小标宋简体"/>
          <w:sz w:val="44"/>
          <w:szCs w:val="44"/>
          <w:shd w:val="clear" w:color="auto" w:fill="FFFFFF"/>
          <w:lang w:eastAsia="zh-CN"/>
        </w:rPr>
      </w:pPr>
    </w:p>
    <w:p>
      <w:pPr>
        <w:spacing w:line="600" w:lineRule="exact"/>
        <w:jc w:val="center"/>
        <w:rPr>
          <w:rFonts w:hint="eastAsia" w:ascii="方正小标宋简体" w:hAnsi="宋体" w:eastAsia="方正小标宋简体"/>
          <w:sz w:val="44"/>
          <w:szCs w:val="44"/>
          <w:shd w:val="clear" w:color="auto" w:fill="FFFFFF"/>
          <w:lang w:eastAsia="zh-CN"/>
        </w:rPr>
      </w:pPr>
    </w:p>
    <w:p>
      <w:pPr>
        <w:spacing w:line="600" w:lineRule="exact"/>
        <w:jc w:val="center"/>
        <w:rPr>
          <w:rFonts w:hint="eastAsia" w:ascii="方正小标宋简体" w:hAnsi="宋体" w:eastAsia="方正小标宋简体"/>
          <w:sz w:val="44"/>
          <w:szCs w:val="44"/>
          <w:shd w:val="clear" w:color="auto" w:fill="FFFFFF"/>
          <w:lang w:eastAsia="zh-CN"/>
        </w:rPr>
      </w:pPr>
    </w:p>
    <w:p>
      <w:pPr>
        <w:spacing w:line="600" w:lineRule="exact"/>
        <w:jc w:val="center"/>
        <w:rPr>
          <w:rFonts w:hint="eastAsia" w:ascii="方正小标宋简体" w:hAnsi="宋体" w:eastAsia="方正小标宋简体"/>
          <w:sz w:val="44"/>
          <w:szCs w:val="44"/>
          <w:shd w:val="clear" w:color="auto" w:fill="FFFFFF"/>
          <w:lang w:eastAsia="zh-CN"/>
        </w:rPr>
      </w:pPr>
    </w:p>
    <w:p>
      <w:pPr>
        <w:spacing w:line="600" w:lineRule="exact"/>
        <w:jc w:val="center"/>
        <w:rPr>
          <w:rFonts w:hint="eastAsia" w:ascii="方正小标宋简体" w:hAnsi="宋体" w:eastAsia="方正小标宋简体"/>
          <w:sz w:val="44"/>
          <w:szCs w:val="44"/>
          <w:shd w:val="clear" w:color="auto" w:fill="FFFFFF"/>
          <w:lang w:eastAsia="zh-CN"/>
        </w:rPr>
      </w:pPr>
    </w:p>
    <w:p>
      <w:pPr>
        <w:pStyle w:val="2"/>
        <w:rPr>
          <w:rFonts w:hint="eastAsia" w:ascii="方正小标宋简体" w:hAnsi="宋体" w:eastAsia="方正小标宋简体"/>
          <w:sz w:val="44"/>
          <w:szCs w:val="44"/>
          <w:shd w:val="clear" w:color="auto" w:fill="FFFFFF"/>
          <w:lang w:eastAsia="zh-CN"/>
        </w:rPr>
      </w:pPr>
    </w:p>
    <w:p>
      <w:pPr>
        <w:pStyle w:val="2"/>
        <w:rPr>
          <w:rFonts w:hint="eastAsia" w:ascii="方正小标宋简体" w:hAnsi="宋体" w:eastAsia="方正小标宋简体"/>
          <w:sz w:val="44"/>
          <w:szCs w:val="44"/>
          <w:shd w:val="clear" w:color="auto" w:fill="FFFFFF"/>
          <w:lang w:eastAsia="zh-CN"/>
        </w:rPr>
      </w:pPr>
    </w:p>
    <w:p>
      <w:pPr>
        <w:spacing w:line="600" w:lineRule="exact"/>
        <w:jc w:val="center"/>
        <w:rPr>
          <w:rFonts w:hint="eastAsia" w:ascii="方正小标宋简体" w:hAnsi="宋体" w:eastAsia="方正小标宋简体"/>
          <w:sz w:val="44"/>
          <w:szCs w:val="44"/>
          <w:shd w:val="clear" w:color="auto" w:fill="FFFFFF"/>
        </w:rPr>
      </w:pPr>
      <w:bookmarkStart w:id="158" w:name="_Toc2181_WPSOffice_Level2"/>
      <w:r>
        <w:rPr>
          <w:rFonts w:hint="eastAsia" w:ascii="方正小标宋简体" w:hAnsi="宋体" w:eastAsia="方正小标宋简体"/>
          <w:sz w:val="44"/>
          <w:szCs w:val="44"/>
          <w:shd w:val="clear" w:color="auto" w:fill="FFFFFF"/>
          <w:lang w:eastAsia="zh-CN"/>
        </w:rPr>
        <w:t>罗江区交通运输局</w:t>
      </w:r>
      <w:r>
        <w:rPr>
          <w:rFonts w:hint="eastAsia" w:ascii="方正小标宋简体" w:hAnsi="宋体" w:eastAsia="方正小标宋简体"/>
          <w:sz w:val="44"/>
          <w:szCs w:val="44"/>
          <w:shd w:val="clear" w:color="auto" w:fill="FFFFFF"/>
        </w:rPr>
        <w:t>202</w:t>
      </w:r>
      <w:r>
        <w:rPr>
          <w:rFonts w:hint="eastAsia" w:ascii="方正小标宋简体" w:hAnsi="宋体" w:eastAsia="方正小标宋简体"/>
          <w:sz w:val="44"/>
          <w:szCs w:val="44"/>
          <w:shd w:val="clear" w:color="auto" w:fill="FFFFFF"/>
          <w:lang w:val="en-US" w:eastAsia="zh-CN"/>
        </w:rPr>
        <w:t>2</w:t>
      </w:r>
      <w:r>
        <w:rPr>
          <w:rFonts w:hint="eastAsia" w:ascii="方正小标宋简体" w:hAnsi="宋体" w:eastAsia="方正小标宋简体"/>
          <w:sz w:val="44"/>
          <w:szCs w:val="44"/>
          <w:shd w:val="clear" w:color="auto" w:fill="FFFFFF"/>
        </w:rPr>
        <w:t>年</w:t>
      </w:r>
      <w:r>
        <w:rPr>
          <w:rFonts w:hint="eastAsia" w:ascii="方正小标宋简体" w:hAnsi="宋体" w:eastAsia="方正小标宋简体"/>
          <w:sz w:val="44"/>
          <w:szCs w:val="44"/>
          <w:shd w:val="clear" w:color="auto" w:fill="FFFFFF"/>
          <w:lang w:eastAsia="zh-CN"/>
        </w:rPr>
        <w:t>专项</w:t>
      </w:r>
      <w:r>
        <w:rPr>
          <w:rFonts w:hint="eastAsia" w:ascii="方正小标宋简体" w:hAnsi="宋体" w:eastAsia="方正小标宋简体"/>
          <w:sz w:val="44"/>
          <w:szCs w:val="44"/>
          <w:shd w:val="clear" w:color="auto" w:fill="FFFFFF"/>
        </w:rPr>
        <w:t>预算</w:t>
      </w:r>
      <w:bookmarkEnd w:id="156"/>
      <w:bookmarkEnd w:id="157"/>
      <w:bookmarkEnd w:id="158"/>
    </w:p>
    <w:p>
      <w:pPr>
        <w:jc w:val="center"/>
        <w:rPr>
          <w:rFonts w:hint="eastAsia"/>
          <w:b/>
          <w:bCs/>
          <w:sz w:val="44"/>
          <w:szCs w:val="44"/>
          <w:lang w:val="en-US" w:eastAsia="zh-CN"/>
        </w:rPr>
      </w:pPr>
      <w:bookmarkStart w:id="159" w:name="_Toc10370_WPSOffice_Level2"/>
      <w:bookmarkStart w:id="160" w:name="_Toc31721_WPSOffice_Level2"/>
      <w:bookmarkStart w:id="161" w:name="_Toc22769_WPSOffice_Level2"/>
      <w:r>
        <w:rPr>
          <w:rFonts w:hint="eastAsia" w:ascii="方正小标宋简体" w:hAnsi="宋体" w:eastAsia="方正小标宋简体"/>
          <w:sz w:val="44"/>
          <w:szCs w:val="44"/>
          <w:shd w:val="clear" w:color="auto" w:fill="FFFFFF"/>
        </w:rPr>
        <w:t>项目支出绩效自评报告</w:t>
      </w:r>
      <w:bookmarkEnd w:id="159"/>
      <w:bookmarkEnd w:id="160"/>
      <w:bookmarkEnd w:id="161"/>
    </w:p>
    <w:p>
      <w:pPr>
        <w:jc w:val="center"/>
        <w:rPr>
          <w:rFonts w:hint="eastAsia"/>
          <w:b/>
          <w:bCs/>
          <w:sz w:val="44"/>
          <w:szCs w:val="44"/>
          <w:lang w:val="en-US" w:eastAsia="zh-CN"/>
        </w:rPr>
      </w:pPr>
      <w:r>
        <w:rPr>
          <w:rFonts w:hint="eastAsia" w:ascii="仿宋_GB2312" w:hAnsi="仿宋_GB2312" w:eastAsia="仿宋_GB2312" w:cs="仿宋_GB2312"/>
          <w:b w:val="0"/>
          <w:bCs w:val="0"/>
          <w:sz w:val="32"/>
          <w:szCs w:val="32"/>
          <w:lang w:val="en-US" w:eastAsia="zh-CN"/>
        </w:rPr>
        <w:t>（城乡公交保险财政补贴）</w:t>
      </w:r>
    </w:p>
    <w:p>
      <w:pPr>
        <w:rPr>
          <w:rFonts w:hint="eastAsia"/>
          <w:lang w:val="en-US" w:eastAsia="zh-CN"/>
        </w:rPr>
      </w:pPr>
    </w:p>
    <w:p>
      <w:pPr>
        <w:numPr>
          <w:ilvl w:val="0"/>
          <w:numId w:val="0"/>
        </w:numPr>
        <w:ind w:firstLine="643" w:firstLineChars="200"/>
        <w:rPr>
          <w:rFonts w:hint="eastAsia"/>
          <w:b/>
          <w:bCs/>
          <w:sz w:val="32"/>
          <w:szCs w:val="32"/>
          <w:lang w:val="en-US" w:eastAsia="zh-CN"/>
        </w:rPr>
      </w:pPr>
      <w:bookmarkStart w:id="162" w:name="_Toc3882_WPSOffice_Level2"/>
      <w:bookmarkStart w:id="163" w:name="_Toc14116_WPSOffice_Level2"/>
      <w:r>
        <w:rPr>
          <w:rFonts w:hint="eastAsia"/>
          <w:b/>
          <w:bCs/>
          <w:sz w:val="32"/>
          <w:szCs w:val="32"/>
          <w:lang w:val="en-US" w:eastAsia="zh-CN"/>
        </w:rPr>
        <w:t>一、项目概况</w:t>
      </w:r>
      <w:bookmarkEnd w:id="162"/>
      <w:bookmarkEnd w:id="163"/>
    </w:p>
    <w:p>
      <w:pPr>
        <w:keepNext/>
        <w:keepLines/>
        <w:autoSpaceDE w:val="0"/>
        <w:autoSpaceDN w:val="0"/>
        <w:adjustRightInd w:val="0"/>
        <w:spacing w:beforeLines="-2147483648" w:afterLines="-2147483648" w:line="578" w:lineRule="exact"/>
        <w:ind w:firstLine="720"/>
        <w:jc w:val="both"/>
        <w:rPr>
          <w:rFonts w:hint="eastAsia" w:ascii="仿宋_GB2312" w:hAnsi="仿宋_GB2312" w:eastAsia="仿宋_GB2312" w:cs="仿宋_GB2312"/>
          <w:b w:val="0"/>
          <w:bCs/>
          <w:sz w:val="32"/>
          <w:szCs w:val="32"/>
          <w:lang w:val="zh-CN" w:eastAsia="zh-CN"/>
        </w:rPr>
      </w:pPr>
      <w:r>
        <w:rPr>
          <w:rFonts w:hint="eastAsia" w:ascii="楷体_GB2312" w:hAnsi="Cambria" w:eastAsia="楷体_GB2312" w:cs="楷体_GB2312"/>
          <w:b/>
          <w:bCs/>
          <w:kern w:val="2"/>
          <w:sz w:val="32"/>
          <w:szCs w:val="32"/>
          <w:lang w:val="en-US" w:eastAsia="zh-CN" w:bidi="ar-SA"/>
        </w:rPr>
        <w:t>（一）项目基本情况。</w:t>
      </w:r>
    </w:p>
    <w:p>
      <w:pPr>
        <w:numPr>
          <w:ilvl w:val="0"/>
          <w:numId w:val="0"/>
        </w:numPr>
        <w:ind w:firstLine="640"/>
        <w:rPr>
          <w:rFonts w:hint="eastAsia" w:ascii="仿宋_GB2312" w:hAnsi="仿宋_GB2312" w:eastAsia="仿宋_GB2312" w:cs="仿宋_GB2312"/>
          <w:b w:val="0"/>
          <w:bCs/>
          <w:sz w:val="32"/>
          <w:szCs w:val="32"/>
          <w:lang w:val="zh-CN"/>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val="zh-CN" w:eastAsia="zh-CN"/>
        </w:rPr>
        <w:t>罗江区道路运输管理所职能：负责罗江城市公共交通的管理，贯彻执行国家有关公路运输的方针、政策、法律、法规，负责组织实施全区公路运输业发展规划等。为该项目的项目单位，组织实施该项目，</w:t>
      </w:r>
      <w:r>
        <w:rPr>
          <w:rFonts w:hint="eastAsia" w:ascii="仿宋_GB2312" w:hAnsi="仿宋_GB2312" w:eastAsia="仿宋_GB2312" w:cs="仿宋_GB2312"/>
          <w:b w:val="0"/>
          <w:bCs/>
          <w:sz w:val="32"/>
          <w:szCs w:val="32"/>
          <w:lang w:val="zh-CN"/>
        </w:rPr>
        <w:t>对该项目进行管理。</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近年来，随着出行方式越来越多样化，通过公共交通出行的人口比例越来越少，客运行业经营尤为困难，城乡公交线路难以维持最基本运行，服务质量下降明显。为切实保障群众出行需求，维持和发挥公共交通公益性、惠民性功能，区交通运输局经认真调研和可行性分析，向区政府报请了资金需求。根据区政府2018年一届十九次常务会议精神，同意对现有45辆城乡公交保险予以80%的财政补贴。</w:t>
      </w:r>
      <w:bookmarkStart w:id="164" w:name="_Toc20142_WPSOffice_Level2"/>
      <w:bookmarkStart w:id="165" w:name="_Toc21975_WPSOffice_Level2"/>
    </w:p>
    <w:p>
      <w:pPr>
        <w:adjustRightInd w:val="0"/>
        <w:snapToGrid w:val="0"/>
        <w:spacing w:line="600" w:lineRule="exact"/>
        <w:ind w:firstLine="640" w:firstLineChars="200"/>
        <w:rPr>
          <w:rFonts w:hint="eastAsia" w:ascii="仿宋_GB2312" w:hAnsi="仿宋_GB2312" w:eastAsia="仿宋_GB2312" w:cs="仿宋_GB2312"/>
          <w:b/>
          <w:sz w:val="32"/>
          <w:szCs w:val="32"/>
          <w:lang w:val="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按照项目决策、管理、绩效三类指标，对资金支出行为过程及其效果进行综合评价和判断。评价资金使用的科学性、合理性和有效性，分析存在的问题，提出完善资金管理的制度机制、提升资金使用效益的相关建议，为以后年度相关决策提供参考依据。</w:t>
      </w:r>
    </w:p>
    <w:p>
      <w:pPr>
        <w:pStyle w:val="2"/>
        <w:rPr>
          <w:rFonts w:hint="eastAsia"/>
          <w:lang w:val="en-US" w:eastAsia="zh-CN"/>
        </w:rPr>
      </w:pPr>
      <w:r>
        <w:rPr>
          <w:rFonts w:hint="eastAsia" w:ascii="仿宋_GB2312" w:hAnsi="仿宋_GB2312" w:eastAsia="仿宋_GB2312" w:cs="仿宋_GB2312"/>
          <w:sz w:val="32"/>
          <w:szCs w:val="32"/>
          <w:lang w:val="en-US" w:eastAsia="zh-CN"/>
        </w:rPr>
        <w:t>4.考虑到该项目为民生类项目，为确保落实</w:t>
      </w:r>
      <w:r>
        <w:rPr>
          <w:rFonts w:hint="eastAsia" w:ascii="仿宋_GB2312" w:hAnsi="仿宋_GB2312" w:eastAsia="仿宋_GB2312" w:cs="仿宋_GB2312"/>
          <w:b w:val="0"/>
          <w:bCs w:val="0"/>
          <w:sz w:val="32"/>
          <w:szCs w:val="32"/>
          <w:lang w:val="en-US" w:eastAsia="zh-CN"/>
        </w:rPr>
        <w:t>城乡公交保险补贴</w:t>
      </w:r>
      <w:r>
        <w:rPr>
          <w:rFonts w:hint="eastAsia" w:ascii="仿宋_GB2312" w:hAnsi="仿宋_GB2312" w:eastAsia="仿宋_GB2312" w:cs="仿宋_GB2312"/>
          <w:sz w:val="32"/>
          <w:szCs w:val="32"/>
          <w:lang w:val="en-US" w:eastAsia="zh-CN"/>
        </w:rPr>
        <w:t>的惠民优惠政策，区财政预算下达的资金后，应在达到付款条件的下，首先确保尽快拨付到企业，避免稳定因素，确保公交运营企业的合法权益。</w:t>
      </w:r>
    </w:p>
    <w:p>
      <w:pPr>
        <w:keepNext/>
        <w:keepLines/>
        <w:autoSpaceDE w:val="0"/>
        <w:autoSpaceDN w:val="0"/>
        <w:adjustRightInd w:val="0"/>
        <w:spacing w:beforeLines="-2147483648" w:afterLines="-2147483648" w:line="578" w:lineRule="exact"/>
        <w:ind w:firstLine="720"/>
        <w:jc w:val="both"/>
        <w:rPr>
          <w:rFonts w:hint="eastAsia" w:ascii="楷体_GB2312" w:hAnsi="Cambria" w:eastAsia="楷体_GB2312" w:cs="楷体_GB2312"/>
          <w:b/>
          <w:bCs/>
          <w:kern w:val="2"/>
          <w:sz w:val="32"/>
          <w:szCs w:val="32"/>
          <w:lang w:val="en-US" w:eastAsia="zh-CN" w:bidi="ar-SA"/>
        </w:rPr>
      </w:pPr>
      <w:r>
        <w:rPr>
          <w:rFonts w:hint="eastAsia" w:ascii="楷体_GB2312" w:hAnsi="Cambria" w:eastAsia="楷体_GB2312" w:cs="楷体_GB2312"/>
          <w:b/>
          <w:bCs/>
          <w:kern w:val="2"/>
          <w:sz w:val="32"/>
          <w:szCs w:val="32"/>
          <w:lang w:val="en-US" w:eastAsia="zh-CN" w:bidi="ar-SA"/>
        </w:rPr>
        <w:t>（二）项目绩效目标。</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1.项目主要内容。该项目主要是为对全区45辆农村客运给予80%的保险补贴，以解决客运行业经营困难，保障群众出行需求，维持和发挥公共交通公益性、惠民性功能。</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应实现的具体绩效目标：项目绩效目标任务为保证和发挥城市公共交通公益性、惠民性功能，满足群众出行需求，提升群众获得感和幸福感，根据绩效目标任务，分别设置了6个二级指标，分别对应6个三级指标，分别为：数量指标、质量指标、时效指标、成本指标、社会效益指标、服务对象满意度指标。</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3.该项目申报内容与实际相符，申报目标合理。</w:t>
      </w:r>
    </w:p>
    <w:p>
      <w:pPr>
        <w:adjustRightInd w:val="0"/>
        <w:snapToGrid w:val="0"/>
        <w:spacing w:line="600" w:lineRule="exact"/>
        <w:ind w:firstLine="321" w:firstLineChars="100"/>
        <w:rPr>
          <w:rFonts w:hint="eastAsia" w:ascii="方正楷体简体" w:hAnsi="宋体" w:eastAsia="方正楷体简体"/>
          <w:b/>
          <w:bCs/>
          <w:sz w:val="32"/>
          <w:szCs w:val="32"/>
          <w:lang w:val="en-US" w:eastAsia="zh-CN"/>
        </w:rPr>
      </w:pPr>
      <w:r>
        <w:rPr>
          <w:rFonts w:hint="eastAsia" w:ascii="方正楷体简体" w:hAnsi="宋体" w:eastAsia="方正楷体简体"/>
          <w:b/>
          <w:bCs/>
          <w:sz w:val="32"/>
          <w:szCs w:val="32"/>
          <w:lang w:val="en-US" w:eastAsia="zh-CN"/>
        </w:rPr>
        <w:t>（三）项目自评步骤及方法。</w:t>
      </w:r>
    </w:p>
    <w:p>
      <w:pPr>
        <w:pStyle w:val="2"/>
        <w:rPr>
          <w:rFonts w:hint="eastAsia"/>
          <w:lang w:val="en-US" w:eastAsia="zh-CN"/>
        </w:rPr>
      </w:pPr>
      <w:r>
        <w:rPr>
          <w:rFonts w:hint="eastAsia" w:ascii="仿宋_GB2312" w:hAnsi="仿宋_GB2312" w:eastAsia="仿宋_GB2312" w:cs="仿宋_GB2312"/>
          <w:sz w:val="32"/>
          <w:szCs w:val="32"/>
          <w:lang w:val="en-US" w:eastAsia="zh-CN"/>
        </w:rPr>
        <w:t>该项目自评由项目分管业务股室牵头，梳理从项目申报、立项、批复、资金使用等全过程进行自评。</w:t>
      </w:r>
    </w:p>
    <w:p>
      <w:pPr>
        <w:numPr>
          <w:ilvl w:val="0"/>
          <w:numId w:val="0"/>
        </w:numPr>
        <w:ind w:firstLine="640"/>
        <w:rPr>
          <w:rFonts w:hint="eastAsia"/>
          <w:b/>
          <w:bCs/>
          <w:sz w:val="32"/>
          <w:szCs w:val="32"/>
          <w:lang w:val="en-US" w:eastAsia="zh-CN"/>
        </w:rPr>
      </w:pPr>
      <w:bookmarkStart w:id="166" w:name="_Toc28313_WPSOffice_Level2"/>
      <w:r>
        <w:rPr>
          <w:rFonts w:hint="eastAsia"/>
          <w:b/>
          <w:bCs/>
          <w:sz w:val="32"/>
          <w:szCs w:val="32"/>
          <w:lang w:val="en-US" w:eastAsia="zh-CN"/>
        </w:rPr>
        <w:t>二、项目资金申报及使用情况</w:t>
      </w:r>
      <w:bookmarkEnd w:id="164"/>
      <w:bookmarkEnd w:id="165"/>
      <w:bookmarkEnd w:id="166"/>
    </w:p>
    <w:p>
      <w:pPr>
        <w:adjustRightInd w:val="0"/>
        <w:snapToGrid w:val="0"/>
        <w:spacing w:line="600" w:lineRule="exact"/>
        <w:ind w:firstLine="720"/>
        <w:rPr>
          <w:rFonts w:hint="eastAsia" w:ascii="方正楷体简体" w:hAnsi="宋体" w:eastAsia="方正楷体简体"/>
          <w:b/>
          <w:bCs/>
          <w:sz w:val="32"/>
          <w:szCs w:val="32"/>
          <w:lang w:val="zh-CN"/>
        </w:rPr>
      </w:pPr>
      <w:r>
        <w:rPr>
          <w:rFonts w:hint="eastAsia" w:ascii="方正楷体简体" w:hAnsi="宋体" w:eastAsia="方正楷体简体"/>
          <w:b/>
          <w:bCs/>
          <w:sz w:val="32"/>
          <w:szCs w:val="32"/>
          <w:lang w:val="zh-CN"/>
        </w:rPr>
        <w:t>（一）项目资金申报及批复情况。</w:t>
      </w:r>
    </w:p>
    <w:p>
      <w:pPr>
        <w:adjustRightInd w:val="0"/>
        <w:snapToGrid w:val="0"/>
        <w:spacing w:line="600" w:lineRule="exact"/>
        <w:ind w:firstLine="720"/>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sz w:val="32"/>
          <w:szCs w:val="32"/>
          <w:lang w:val="en-US" w:eastAsia="zh-CN"/>
        </w:rPr>
        <w:t>城乡公交保险财政补贴</w:t>
      </w:r>
      <w:r>
        <w:rPr>
          <w:rFonts w:hint="eastAsia" w:ascii="仿宋_GB2312" w:hAnsi="仿宋_GB2312" w:eastAsia="仿宋_GB2312" w:cs="仿宋_GB2312"/>
          <w:b w:val="0"/>
          <w:bCs w:val="0"/>
          <w:sz w:val="32"/>
          <w:szCs w:val="32"/>
          <w:shd w:val="clear" w:color="auto" w:fill="FFFFFF"/>
          <w:lang w:eastAsia="zh-CN"/>
        </w:rPr>
        <w:t>专项</w:t>
      </w:r>
      <w:r>
        <w:rPr>
          <w:rFonts w:hint="eastAsia" w:ascii="仿宋_GB2312" w:hAnsi="仿宋_GB2312" w:eastAsia="仿宋_GB2312" w:cs="仿宋_GB2312"/>
          <w:b w:val="0"/>
          <w:bCs w:val="0"/>
          <w:sz w:val="32"/>
          <w:szCs w:val="32"/>
          <w:lang w:eastAsia="zh-CN"/>
        </w:rPr>
        <w:t>经费申报</w:t>
      </w:r>
      <w:r>
        <w:rPr>
          <w:rFonts w:hint="eastAsia" w:ascii="仿宋_GB2312" w:hAnsi="仿宋_GB2312" w:eastAsia="仿宋_GB2312" w:cs="仿宋_GB2312"/>
          <w:sz w:val="32"/>
          <w:szCs w:val="32"/>
          <w:lang w:val="en-US" w:eastAsia="zh-CN"/>
        </w:rPr>
        <w:t>75.24</w:t>
      </w:r>
      <w:r>
        <w:rPr>
          <w:rFonts w:hint="eastAsia" w:ascii="仿宋_GB2312" w:hAnsi="仿宋_GB2312" w:eastAsia="仿宋_GB2312" w:cs="仿宋_GB2312"/>
          <w:b w:val="0"/>
          <w:bCs w:val="0"/>
          <w:sz w:val="32"/>
          <w:szCs w:val="32"/>
          <w:lang w:val="en-US" w:eastAsia="zh-CN"/>
        </w:rPr>
        <w:t>万元，区财政局批复</w:t>
      </w:r>
      <w:r>
        <w:rPr>
          <w:rFonts w:hint="eastAsia" w:ascii="仿宋_GB2312" w:hAnsi="仿宋_GB2312" w:eastAsia="仿宋_GB2312" w:cs="仿宋_GB2312"/>
          <w:sz w:val="32"/>
          <w:szCs w:val="32"/>
          <w:lang w:val="en-US" w:eastAsia="zh-CN"/>
        </w:rPr>
        <w:t>75.24</w:t>
      </w:r>
      <w:r>
        <w:rPr>
          <w:rFonts w:hint="eastAsia" w:ascii="仿宋_GB2312" w:hAnsi="仿宋_GB2312" w:eastAsia="仿宋_GB2312" w:cs="仿宋_GB2312"/>
          <w:b w:val="0"/>
          <w:bCs w:val="0"/>
          <w:sz w:val="32"/>
          <w:szCs w:val="32"/>
          <w:lang w:val="en-US" w:eastAsia="zh-CN"/>
        </w:rPr>
        <w:t>万元。</w:t>
      </w:r>
      <w:r>
        <w:rPr>
          <w:rFonts w:hint="eastAsia" w:ascii="仿宋_GB2312" w:hAnsi="仿宋_GB2312" w:eastAsia="仿宋_GB2312" w:cs="仿宋_GB2312"/>
          <w:b w:val="0"/>
          <w:bCs w:val="0"/>
          <w:spacing w:val="20"/>
          <w:kern w:val="0"/>
          <w:sz w:val="32"/>
          <w:szCs w:val="32"/>
          <w:lang w:eastAsia="zh-CN"/>
        </w:rPr>
        <w:t>德市</w:t>
      </w:r>
      <w:r>
        <w:rPr>
          <w:rFonts w:hint="eastAsia" w:ascii="仿宋_GB2312" w:hAnsi="仿宋_GB2312" w:eastAsia="仿宋_GB2312" w:cs="仿宋_GB2312"/>
          <w:b w:val="0"/>
          <w:bCs w:val="0"/>
          <w:spacing w:val="20"/>
          <w:kern w:val="0"/>
          <w:sz w:val="32"/>
          <w:szCs w:val="32"/>
        </w:rPr>
        <w:t>罗财预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spacing w:val="20"/>
          <w:kern w:val="0"/>
          <w:sz w:val="32"/>
          <w:szCs w:val="32"/>
        </w:rPr>
        <w:t>20</w:t>
      </w:r>
      <w:r>
        <w:rPr>
          <w:rFonts w:hint="eastAsia" w:ascii="仿宋_GB2312" w:hAnsi="仿宋_GB2312" w:eastAsia="仿宋_GB2312" w:cs="仿宋_GB2312"/>
          <w:b w:val="0"/>
          <w:bCs w:val="0"/>
          <w:spacing w:val="20"/>
          <w:kern w:val="0"/>
          <w:sz w:val="32"/>
          <w:szCs w:val="32"/>
          <w:lang w:val="en-US" w:eastAsia="zh-CN"/>
        </w:rPr>
        <w:t>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spacing w:val="20"/>
          <w:kern w:val="0"/>
          <w:sz w:val="32"/>
          <w:szCs w:val="32"/>
          <w:lang w:val="en-US" w:eastAsia="zh-CN"/>
        </w:rPr>
        <w:t>1</w:t>
      </w:r>
      <w:r>
        <w:rPr>
          <w:rFonts w:hint="eastAsia" w:ascii="仿宋_GB2312" w:hAnsi="仿宋_GB2312" w:eastAsia="仿宋_GB2312" w:cs="仿宋_GB2312"/>
          <w:b w:val="0"/>
          <w:bCs w:val="0"/>
          <w:spacing w:val="20"/>
          <w:kern w:val="0"/>
          <w:sz w:val="32"/>
          <w:szCs w:val="32"/>
        </w:rPr>
        <w:t>号文件批复“</w:t>
      </w:r>
      <w:r>
        <w:rPr>
          <w:rFonts w:hint="eastAsia" w:ascii="仿宋_GB2312" w:hAnsi="仿宋_GB2312" w:eastAsia="仿宋_GB2312" w:cs="仿宋_GB2312"/>
          <w:b w:val="0"/>
          <w:bCs w:val="0"/>
          <w:sz w:val="32"/>
          <w:szCs w:val="32"/>
          <w:lang w:val="en-US" w:eastAsia="zh-CN"/>
        </w:rPr>
        <w:t>城乡公交保险财政补贴</w:t>
      </w:r>
      <w:r>
        <w:rPr>
          <w:rFonts w:hint="eastAsia" w:ascii="仿宋_GB2312" w:hAnsi="仿宋_GB2312" w:eastAsia="仿宋_GB2312" w:cs="仿宋_GB2312"/>
          <w:b w:val="0"/>
          <w:bCs w:val="0"/>
          <w:sz w:val="32"/>
          <w:szCs w:val="32"/>
          <w:shd w:val="clear" w:color="auto" w:fill="FFFFFF"/>
          <w:lang w:eastAsia="zh-CN"/>
        </w:rPr>
        <w:t>专项</w:t>
      </w:r>
      <w:r>
        <w:rPr>
          <w:rFonts w:hint="eastAsia" w:ascii="仿宋_GB2312" w:hAnsi="仿宋_GB2312" w:eastAsia="仿宋_GB2312" w:cs="仿宋_GB2312"/>
          <w:b w:val="0"/>
          <w:bCs w:val="0"/>
          <w:spacing w:val="20"/>
          <w:kern w:val="0"/>
          <w:sz w:val="32"/>
          <w:szCs w:val="32"/>
        </w:rPr>
        <w:t>”的预算经费</w:t>
      </w:r>
      <w:r>
        <w:rPr>
          <w:rFonts w:hint="eastAsia" w:ascii="仿宋_GB2312" w:hAnsi="仿宋_GB2312" w:eastAsia="仿宋_GB2312" w:cs="仿宋_GB2312"/>
          <w:sz w:val="32"/>
          <w:szCs w:val="32"/>
          <w:lang w:val="en-US" w:eastAsia="zh-CN"/>
        </w:rPr>
        <w:t>75.24</w:t>
      </w:r>
      <w:r>
        <w:rPr>
          <w:rFonts w:hint="eastAsia" w:ascii="仿宋_GB2312" w:hAnsi="仿宋_GB2312" w:eastAsia="仿宋_GB2312" w:cs="仿宋_GB2312"/>
          <w:b w:val="0"/>
          <w:bCs w:val="0"/>
          <w:spacing w:val="20"/>
          <w:kern w:val="0"/>
          <w:sz w:val="32"/>
          <w:szCs w:val="32"/>
        </w:rPr>
        <w:t>万元</w:t>
      </w:r>
      <w:r>
        <w:rPr>
          <w:rFonts w:hint="eastAsia" w:ascii="仿宋_GB2312" w:hAnsi="仿宋_GB2312" w:eastAsia="仿宋_GB2312" w:cs="仿宋_GB2312"/>
          <w:b w:val="0"/>
          <w:bCs w:val="0"/>
          <w:spacing w:val="20"/>
          <w:kern w:val="0"/>
          <w:sz w:val="32"/>
          <w:szCs w:val="32"/>
          <w:lang w:eastAsia="zh-CN"/>
        </w:rPr>
        <w:t>。</w:t>
      </w:r>
    </w:p>
    <w:p>
      <w:pPr>
        <w:adjustRightInd w:val="0"/>
        <w:snapToGrid w:val="0"/>
        <w:spacing w:line="600" w:lineRule="exact"/>
        <w:ind w:firstLine="720"/>
        <w:rPr>
          <w:rFonts w:hint="eastAsia"/>
          <w:b/>
          <w:bCs/>
          <w:sz w:val="32"/>
          <w:szCs w:val="32"/>
          <w:lang w:val="en-US" w:eastAsia="zh-CN"/>
        </w:rPr>
      </w:pPr>
      <w:r>
        <w:rPr>
          <w:rFonts w:hint="eastAsia" w:ascii="方正楷体简体" w:hAnsi="宋体" w:eastAsia="方正楷体简体"/>
          <w:b/>
          <w:bCs/>
          <w:sz w:val="32"/>
          <w:szCs w:val="32"/>
          <w:lang w:val="zh-CN"/>
        </w:rPr>
        <w:t>（二）资金计划、到位及使用情况。</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1.资金计划。根据区政府2018年一届十九次常务会议精神，同意对现有45辆城乡公交保险予以80%的财政补贴，约75.24万元。</w:t>
      </w:r>
    </w:p>
    <w:p>
      <w:pPr>
        <w:adjustRightInd w:val="0"/>
        <w:snapToGrid w:val="0"/>
        <w:spacing w:line="600" w:lineRule="exact"/>
        <w:ind w:firstLine="7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2.资金到位。</w:t>
      </w:r>
      <w:r>
        <w:rPr>
          <w:rFonts w:hint="eastAsia" w:ascii="仿宋_GB2312" w:hAnsi="仿宋_GB2312" w:eastAsia="仿宋_GB2312" w:cs="仿宋_GB2312"/>
          <w:b w:val="0"/>
          <w:bCs w:val="0"/>
          <w:spacing w:val="20"/>
          <w:kern w:val="0"/>
          <w:sz w:val="32"/>
          <w:szCs w:val="32"/>
          <w:lang w:eastAsia="zh-CN"/>
        </w:rPr>
        <w:t>德市</w:t>
      </w:r>
      <w:r>
        <w:rPr>
          <w:rFonts w:hint="eastAsia" w:ascii="仿宋_GB2312" w:hAnsi="仿宋_GB2312" w:eastAsia="仿宋_GB2312" w:cs="仿宋_GB2312"/>
          <w:b w:val="0"/>
          <w:bCs w:val="0"/>
          <w:spacing w:val="20"/>
          <w:kern w:val="0"/>
          <w:sz w:val="32"/>
          <w:szCs w:val="32"/>
        </w:rPr>
        <w:t>罗财预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spacing w:val="20"/>
          <w:kern w:val="0"/>
          <w:sz w:val="32"/>
          <w:szCs w:val="32"/>
        </w:rPr>
        <w:t>20</w:t>
      </w:r>
      <w:r>
        <w:rPr>
          <w:rFonts w:hint="eastAsia" w:ascii="仿宋_GB2312" w:hAnsi="仿宋_GB2312" w:eastAsia="仿宋_GB2312" w:cs="仿宋_GB2312"/>
          <w:b w:val="0"/>
          <w:bCs w:val="0"/>
          <w:spacing w:val="20"/>
          <w:kern w:val="0"/>
          <w:sz w:val="32"/>
          <w:szCs w:val="32"/>
          <w:lang w:val="en-US" w:eastAsia="zh-CN"/>
        </w:rPr>
        <w:t>22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spacing w:val="20"/>
          <w:kern w:val="0"/>
          <w:sz w:val="32"/>
          <w:szCs w:val="32"/>
          <w:lang w:val="en-US" w:eastAsia="zh-CN"/>
        </w:rPr>
        <w:t>1</w:t>
      </w:r>
      <w:r>
        <w:rPr>
          <w:rFonts w:hint="eastAsia" w:ascii="仿宋_GB2312" w:hAnsi="仿宋_GB2312" w:eastAsia="仿宋_GB2312" w:cs="仿宋_GB2312"/>
          <w:b w:val="0"/>
          <w:bCs w:val="0"/>
          <w:spacing w:val="20"/>
          <w:kern w:val="0"/>
          <w:sz w:val="32"/>
          <w:szCs w:val="32"/>
        </w:rPr>
        <w:t>号文件批复“</w:t>
      </w:r>
      <w:r>
        <w:rPr>
          <w:rFonts w:hint="eastAsia" w:ascii="仿宋_GB2312" w:hAnsi="仿宋_GB2312" w:eastAsia="仿宋_GB2312" w:cs="仿宋_GB2312"/>
          <w:b w:val="0"/>
          <w:bCs w:val="0"/>
          <w:sz w:val="32"/>
          <w:szCs w:val="32"/>
          <w:lang w:val="en-US" w:eastAsia="zh-CN"/>
        </w:rPr>
        <w:t>城乡公交保险财政补贴</w:t>
      </w:r>
      <w:r>
        <w:rPr>
          <w:rFonts w:hint="eastAsia" w:ascii="仿宋_GB2312" w:hAnsi="仿宋_GB2312" w:eastAsia="仿宋_GB2312" w:cs="仿宋_GB2312"/>
          <w:b w:val="0"/>
          <w:bCs w:val="0"/>
          <w:sz w:val="32"/>
          <w:szCs w:val="32"/>
          <w:shd w:val="clear" w:color="auto" w:fill="FFFFFF"/>
          <w:lang w:eastAsia="zh-CN"/>
        </w:rPr>
        <w:t>专项</w:t>
      </w:r>
      <w:r>
        <w:rPr>
          <w:rFonts w:hint="eastAsia" w:ascii="仿宋_GB2312" w:hAnsi="仿宋_GB2312" w:eastAsia="仿宋_GB2312" w:cs="仿宋_GB2312"/>
          <w:b w:val="0"/>
          <w:bCs w:val="0"/>
          <w:spacing w:val="20"/>
          <w:kern w:val="0"/>
          <w:sz w:val="32"/>
          <w:szCs w:val="32"/>
        </w:rPr>
        <w:t>”的预算经费</w:t>
      </w:r>
      <w:r>
        <w:rPr>
          <w:rFonts w:hint="eastAsia" w:ascii="仿宋_GB2312" w:hAnsi="仿宋_GB2312" w:eastAsia="仿宋_GB2312" w:cs="仿宋_GB2312"/>
          <w:sz w:val="32"/>
          <w:szCs w:val="32"/>
          <w:lang w:val="en-US" w:eastAsia="zh-CN"/>
        </w:rPr>
        <w:t>75.24</w:t>
      </w:r>
      <w:r>
        <w:rPr>
          <w:rFonts w:hint="eastAsia" w:ascii="仿宋_GB2312" w:hAnsi="仿宋_GB2312" w:eastAsia="仿宋_GB2312" w:cs="仿宋_GB2312"/>
          <w:b w:val="0"/>
          <w:bCs w:val="0"/>
          <w:spacing w:val="20"/>
          <w:kern w:val="0"/>
          <w:sz w:val="32"/>
          <w:szCs w:val="32"/>
        </w:rPr>
        <w:t>万元</w:t>
      </w:r>
      <w:r>
        <w:rPr>
          <w:rFonts w:hint="eastAsia" w:ascii="仿宋_GB2312" w:hAnsi="仿宋_GB2312" w:eastAsia="仿宋_GB2312" w:cs="仿宋_GB2312"/>
          <w:b w:val="0"/>
          <w:bCs w:val="0"/>
          <w:spacing w:val="20"/>
          <w:kern w:val="0"/>
          <w:sz w:val="32"/>
          <w:szCs w:val="32"/>
          <w:lang w:eastAsia="zh-CN"/>
        </w:rPr>
        <w:t>。</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资金使用。补贴资金由区运管所申请，通过财政直接支付给企业，2022年财政补贴预算资金75.24万元，实际经组织保险公司采用招标竞价方式产生的保险补贴资金为60.72万元，截止评价进时点资金到位75.24万元，资金使用60.72万元，指标调整后到位60.72万元，使用60.72万元，已全部按时拨付给企，使用率100%。</w:t>
      </w:r>
    </w:p>
    <w:p>
      <w:pPr>
        <w:adjustRightInd w:val="0"/>
        <w:snapToGrid w:val="0"/>
        <w:spacing w:line="600" w:lineRule="exact"/>
        <w:ind w:firstLine="321" w:firstLineChars="100"/>
        <w:rPr>
          <w:rFonts w:hint="eastAsia" w:ascii="方正楷体简体" w:hAnsi="宋体" w:eastAsia="方正楷体简体"/>
          <w:b/>
          <w:bCs/>
          <w:sz w:val="32"/>
          <w:szCs w:val="32"/>
          <w:lang w:val="en-US" w:eastAsia="zh-CN"/>
        </w:rPr>
      </w:pPr>
      <w:r>
        <w:rPr>
          <w:rFonts w:hint="eastAsia" w:ascii="方正楷体简体" w:hAnsi="宋体" w:eastAsia="方正楷体简体"/>
          <w:b/>
          <w:bCs/>
          <w:sz w:val="32"/>
          <w:szCs w:val="32"/>
          <w:lang w:val="en-US" w:eastAsia="zh-CN"/>
        </w:rPr>
        <w:t>（三）项目财务管理情况。</w:t>
      </w:r>
    </w:p>
    <w:p>
      <w:pPr>
        <w:pStyle w:val="2"/>
        <w:rPr>
          <w:rFonts w:hint="eastAsia"/>
          <w:lang w:val="en-US" w:eastAsia="zh-CN"/>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严格按照资金的使用范围，执行各项财务制度，通过财政大平台把项目资金支付给</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实施时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由项目股室填报资金申拨单</w:t>
      </w:r>
      <w:r>
        <w:rPr>
          <w:rFonts w:hint="eastAsia" w:ascii="仿宋_GB2312" w:hAnsi="仿宋_GB2312" w:eastAsia="仿宋_GB2312" w:cs="仿宋_GB2312"/>
          <w:sz w:val="32"/>
          <w:szCs w:val="32"/>
        </w:rPr>
        <w:t>，财务审核票据，项目分管领导审核，单位负责人审核拨款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账务处理及时，会计核算规范。</w:t>
      </w:r>
    </w:p>
    <w:p>
      <w:pPr>
        <w:numPr>
          <w:ilvl w:val="0"/>
          <w:numId w:val="0"/>
        </w:numPr>
        <w:ind w:firstLine="643" w:firstLineChars="200"/>
        <w:rPr>
          <w:rFonts w:hint="eastAsia"/>
          <w:b/>
          <w:bCs/>
          <w:sz w:val="32"/>
          <w:szCs w:val="32"/>
          <w:lang w:val="en-US" w:eastAsia="zh-CN"/>
        </w:rPr>
      </w:pPr>
      <w:bookmarkStart w:id="167" w:name="_Toc658_WPSOffice_Level2"/>
      <w:bookmarkStart w:id="168" w:name="_Toc27694_WPSOffice_Level2"/>
      <w:bookmarkStart w:id="169" w:name="_Toc20666_WPSOffice_Level2"/>
      <w:r>
        <w:rPr>
          <w:rFonts w:hint="eastAsia"/>
          <w:b/>
          <w:bCs/>
          <w:sz w:val="32"/>
          <w:szCs w:val="32"/>
          <w:lang w:val="en-US" w:eastAsia="zh-CN"/>
        </w:rPr>
        <w:t>三、项目实施及管理情况</w:t>
      </w:r>
      <w:bookmarkEnd w:id="167"/>
      <w:bookmarkEnd w:id="168"/>
      <w:bookmarkEnd w:id="169"/>
    </w:p>
    <w:p>
      <w:pPr>
        <w:keepNext/>
        <w:keepLines/>
        <w:autoSpaceDE w:val="0"/>
        <w:autoSpaceDN w:val="0"/>
        <w:adjustRightInd w:val="0"/>
        <w:spacing w:beforeLines="-2147483648" w:afterLines="-2147483648" w:line="578" w:lineRule="exact"/>
        <w:ind w:firstLine="720"/>
        <w:jc w:val="both"/>
        <w:rPr>
          <w:rFonts w:hint="eastAsia" w:ascii="楷体_GB2312" w:hAnsi="Cambria" w:eastAsia="楷体_GB2312" w:cs="楷体_GB2312"/>
          <w:b/>
          <w:bCs/>
          <w:kern w:val="2"/>
          <w:sz w:val="32"/>
          <w:szCs w:val="32"/>
          <w:lang w:val="en-US" w:eastAsia="zh-CN" w:bidi="ar-SA"/>
        </w:rPr>
      </w:pPr>
      <w:r>
        <w:rPr>
          <w:rFonts w:hint="eastAsia" w:ascii="楷体_GB2312" w:hAnsi="Cambria" w:eastAsia="楷体_GB2312" w:cs="楷体_GB2312"/>
          <w:b/>
          <w:bCs/>
          <w:kern w:val="2"/>
          <w:sz w:val="32"/>
          <w:szCs w:val="32"/>
          <w:lang w:val="en-US" w:eastAsia="zh-CN" w:bidi="ar-SA"/>
        </w:rPr>
        <w:t>（一）项目组织架构及实施流程。</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该项目由罗江区道路运输管理所组织实施，德阳市罗江区云达公交有限公司组织辖区各保险公司采取招标竞价方式45辆城乡公交保费，招标流程由区交通运输局及区纪委进行监督。</w:t>
      </w:r>
    </w:p>
    <w:p>
      <w:pPr>
        <w:pStyle w:val="2"/>
        <w:ind w:left="0" w:leftChars="0" w:firstLine="643" w:firstLineChars="200"/>
        <w:rPr>
          <w:rFonts w:hint="eastAsia" w:ascii="仿宋_GB2312" w:hAnsi="仿宋_GB2312" w:eastAsia="仿宋_GB2312" w:cs="仿宋_GB2312"/>
          <w:sz w:val="32"/>
          <w:szCs w:val="32"/>
          <w:lang w:val="en-US" w:eastAsia="zh-CN"/>
        </w:rPr>
      </w:pPr>
      <w:r>
        <w:rPr>
          <w:rFonts w:hint="eastAsia" w:ascii="楷体_GB2312" w:hAnsi="Cambria" w:eastAsia="楷体_GB2312" w:cs="楷体_GB2312"/>
          <w:b/>
          <w:bCs/>
          <w:kern w:val="2"/>
          <w:sz w:val="32"/>
          <w:szCs w:val="32"/>
          <w:lang w:val="en-US" w:eastAsia="zh-CN" w:bidi="ar-SA"/>
        </w:rPr>
        <w:t>（二）项目管理情况。</w:t>
      </w:r>
    </w:p>
    <w:p>
      <w:pPr>
        <w:pStyle w:val="2"/>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罗江区道路运输管理所根据项目实际制定各项考核指标，汇同交通运输局对企业实施情况进行考核管理。</w:t>
      </w:r>
    </w:p>
    <w:p>
      <w:pPr>
        <w:pStyle w:val="2"/>
        <w:ind w:left="0" w:leftChars="0" w:firstLine="643" w:firstLineChars="200"/>
        <w:rPr>
          <w:rFonts w:hint="eastAsia" w:ascii="楷体_GB2312" w:hAnsi="Cambria" w:eastAsia="楷体_GB2312" w:cs="楷体_GB2312"/>
          <w:b/>
          <w:bCs/>
          <w:kern w:val="2"/>
          <w:sz w:val="32"/>
          <w:szCs w:val="32"/>
          <w:lang w:val="en-US" w:eastAsia="zh-CN" w:bidi="ar-SA"/>
        </w:rPr>
      </w:pPr>
      <w:r>
        <w:rPr>
          <w:rFonts w:hint="eastAsia" w:ascii="楷体_GB2312" w:hAnsi="Cambria" w:eastAsia="楷体_GB2312" w:cs="楷体_GB2312"/>
          <w:b/>
          <w:bCs/>
          <w:kern w:val="2"/>
          <w:sz w:val="32"/>
          <w:szCs w:val="32"/>
          <w:lang w:val="en-US" w:eastAsia="zh-CN" w:bidi="ar-SA"/>
        </w:rPr>
        <w:t>（三）项目监管情况。</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罗江区道路运输管理所对线路运行情况进行考核，到达相应标准才予以兑付补助资金，从而确保项目顺利完成。</w:t>
      </w:r>
    </w:p>
    <w:p>
      <w:pPr>
        <w:numPr>
          <w:ilvl w:val="0"/>
          <w:numId w:val="0"/>
        </w:numPr>
        <w:ind w:firstLine="643" w:firstLineChars="200"/>
        <w:rPr>
          <w:rFonts w:hint="eastAsia"/>
          <w:b/>
          <w:bCs/>
          <w:sz w:val="32"/>
          <w:szCs w:val="32"/>
          <w:lang w:val="en-US" w:eastAsia="zh-CN"/>
        </w:rPr>
      </w:pPr>
      <w:bookmarkStart w:id="170" w:name="_Toc26635_WPSOffice_Level2"/>
      <w:bookmarkStart w:id="171" w:name="_Toc31408_WPSOffice_Level2"/>
      <w:bookmarkStart w:id="172" w:name="_Toc21704_WPSOffice_Level2"/>
      <w:r>
        <w:rPr>
          <w:rFonts w:hint="eastAsia"/>
          <w:b/>
          <w:bCs/>
          <w:sz w:val="32"/>
          <w:szCs w:val="32"/>
          <w:lang w:val="en-US" w:eastAsia="zh-CN"/>
        </w:rPr>
        <w:t>四、项目绩效情况</w:t>
      </w:r>
      <w:bookmarkEnd w:id="170"/>
      <w:bookmarkEnd w:id="171"/>
      <w:bookmarkEnd w:id="172"/>
    </w:p>
    <w:p>
      <w:pPr>
        <w:keepNext/>
        <w:keepLines/>
        <w:autoSpaceDE w:val="0"/>
        <w:autoSpaceDN w:val="0"/>
        <w:adjustRightInd w:val="0"/>
        <w:spacing w:beforeLines="-2147483648" w:afterLines="-2147483648" w:line="578" w:lineRule="exact"/>
        <w:ind w:firstLine="720"/>
        <w:jc w:val="both"/>
        <w:rPr>
          <w:rFonts w:hint="eastAsia" w:ascii="楷体_GB2312" w:hAnsi="Cambria" w:eastAsia="楷体_GB2312" w:cs="楷体_GB2312"/>
          <w:b/>
          <w:bCs/>
          <w:kern w:val="2"/>
          <w:sz w:val="32"/>
          <w:szCs w:val="32"/>
          <w:lang w:val="en-US" w:eastAsia="zh-CN" w:bidi="ar-SA"/>
        </w:rPr>
      </w:pPr>
      <w:r>
        <w:rPr>
          <w:rFonts w:hint="eastAsia" w:ascii="楷体_GB2312" w:hAnsi="Cambria" w:eastAsia="楷体_GB2312" w:cs="楷体_GB2312"/>
          <w:b/>
          <w:bCs/>
          <w:kern w:val="2"/>
          <w:sz w:val="32"/>
          <w:szCs w:val="32"/>
          <w:lang w:val="en-US" w:eastAsia="zh-CN" w:bidi="ar-SA"/>
        </w:rPr>
        <w:t>（一）项目完成情况。</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对照年初绩效目标，2022年各项绩效目标完成如下：数量指标-补贴车辆45辆，完成45辆；时效指标-完成时间2022年，已完成；成本指标-补贴资金75.24万元，已完成60.72万元，因保险每年根据车辆出险率变化，从而在不断变化，年终通过指标调整后，当年实际保险补贴完成100%。</w:t>
      </w:r>
    </w:p>
    <w:p>
      <w:pPr>
        <w:keepNext/>
        <w:keepLines/>
        <w:autoSpaceDE w:val="0"/>
        <w:autoSpaceDN w:val="0"/>
        <w:adjustRightInd w:val="0"/>
        <w:spacing w:beforeLines="-2147483648" w:afterLines="-2147483648" w:line="578" w:lineRule="exact"/>
        <w:ind w:firstLine="720"/>
        <w:jc w:val="both"/>
        <w:rPr>
          <w:rFonts w:hint="eastAsia" w:ascii="仿宋_GB2312" w:hAnsi="仿宋_GB2312" w:eastAsia="仿宋_GB2312" w:cs="仿宋_GB2312"/>
          <w:b w:val="0"/>
          <w:bCs w:val="0"/>
          <w:sz w:val="32"/>
          <w:szCs w:val="32"/>
          <w:lang w:val="en-US" w:eastAsia="zh-CN"/>
        </w:rPr>
      </w:pPr>
      <w:r>
        <w:rPr>
          <w:rFonts w:hint="eastAsia" w:ascii="楷体_GB2312" w:hAnsi="Cambria" w:eastAsia="楷体_GB2312" w:cs="楷体_GB2312"/>
          <w:b/>
          <w:bCs/>
          <w:kern w:val="2"/>
          <w:sz w:val="32"/>
          <w:szCs w:val="32"/>
          <w:lang w:val="en-US" w:eastAsia="zh-CN" w:bidi="ar-SA"/>
        </w:rPr>
        <w:t>（二）项目效益情况</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2022年，</w:t>
      </w:r>
      <w:r>
        <w:rPr>
          <w:rFonts w:hint="eastAsia" w:ascii="仿宋_GB2312" w:hAnsi="仿宋_GB2312" w:eastAsia="仿宋_GB2312" w:cs="仿宋_GB2312"/>
          <w:sz w:val="32"/>
          <w:szCs w:val="32"/>
          <w:lang w:val="en-US" w:eastAsia="zh-CN"/>
        </w:rPr>
        <w:t>区道路运输管理所</w:t>
      </w:r>
      <w:r>
        <w:rPr>
          <w:rFonts w:hint="eastAsia" w:ascii="仿宋_GB2312" w:hAnsi="仿宋_GB2312" w:eastAsia="仿宋_GB2312" w:cs="仿宋_GB2312"/>
          <w:b w:val="0"/>
          <w:bCs w:val="0"/>
          <w:sz w:val="32"/>
          <w:szCs w:val="32"/>
          <w:lang w:val="en-US" w:eastAsia="zh-CN"/>
        </w:rPr>
        <w:t>按时完成45辆城乡公交保险财政补贴拨付工作，</w:t>
      </w:r>
      <w:r>
        <w:rPr>
          <w:rFonts w:hint="eastAsia" w:ascii="仿宋_GB2312" w:hAnsi="仿宋_GB2312" w:eastAsia="仿宋_GB2312" w:cs="仿宋_GB2312"/>
          <w:sz w:val="32"/>
          <w:szCs w:val="32"/>
          <w:lang w:val="en-US" w:eastAsia="zh-CN"/>
        </w:rPr>
        <w:t>本项目的实施在经济、社会、生态、可持续影响</w:t>
      </w:r>
      <w:r>
        <w:rPr>
          <w:rFonts w:hint="eastAsia" w:ascii="仿宋_GB2312" w:hAnsi="仿宋_GB2312" w:eastAsia="仿宋_GB2312" w:cs="仿宋_GB2312"/>
          <w:sz w:val="32"/>
          <w:szCs w:val="32"/>
          <w:lang w:val="zh-CN" w:eastAsia="zh-CN"/>
        </w:rPr>
        <w:t>及服务对象满意度等方面</w:t>
      </w:r>
      <w:r>
        <w:rPr>
          <w:rFonts w:hint="eastAsia" w:ascii="仿宋_GB2312" w:hAnsi="仿宋_GB2312" w:eastAsia="仿宋_GB2312" w:cs="仿宋_GB2312"/>
          <w:sz w:val="32"/>
          <w:szCs w:val="32"/>
          <w:lang w:val="en-US" w:eastAsia="zh-CN"/>
        </w:rPr>
        <w:t>都达到了高效益。</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1.在经济效益方面：获得城乡公交保险财政补贴后，极大的扭转了公交的经营亏损，维护了公共交通行业的稳定和发展。</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2.在社会效益方面：获得城乡公交保险财政补贴后，公交行业面临的亏损困境得到缓解，城乡公交班次、服务水平等得到有效保障，大幅改善了民众出行条件，提高了公交服务的舒适性、便捷性。</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3.在生态效益方面：45辆城乡公交车辆均采用清洁能源为动力，有效地改善空气质量，节能减排效果显著，对环境可持续发展也有好的影响。</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xml:space="preserve">   4.在可持续影响方面：大力发展公共交通是国家交通发展战略要求，对未来社会经济发展和人文交流等方面具有积极意义，同时也是持续推进城乡地区可持续发展的有效手段。</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eastAsia="zh-CN"/>
        </w:rPr>
        <w:t>服务对象满意度方面：</w:t>
      </w:r>
      <w:r>
        <w:rPr>
          <w:rFonts w:hint="eastAsia" w:ascii="仿宋_GB2312" w:hAnsi="仿宋_GB2312" w:eastAsia="仿宋_GB2312" w:cs="仿宋_GB2312"/>
          <w:sz w:val="32"/>
          <w:szCs w:val="32"/>
          <w:lang w:val="en-US" w:eastAsia="zh-CN"/>
        </w:rPr>
        <w:t>获得城乡公交保险财政补贴后，公共交通领域服务水平得到有效改善，维持了原票价不变（10年前由物价部门核定的票价），切实惠及民生，乘车群众满意度大幅提升。</w:t>
      </w:r>
    </w:p>
    <w:p>
      <w:pPr>
        <w:numPr>
          <w:ilvl w:val="0"/>
          <w:numId w:val="0"/>
        </w:numPr>
        <w:ind w:firstLine="640" w:firstLineChars="200"/>
        <w:rPr>
          <w:rFonts w:hint="eastAsia" w:ascii="黑体" w:hAnsi="黑体" w:eastAsia="黑体" w:cs="黑体"/>
          <w:sz w:val="32"/>
          <w:szCs w:val="32"/>
          <w:lang w:val="en-US" w:eastAsia="zh-CN"/>
        </w:rPr>
      </w:pPr>
      <w:bookmarkStart w:id="173" w:name="_Toc24790_WPSOffice_Level2"/>
      <w:bookmarkStart w:id="174" w:name="_Toc27353_WPSOffice_Level2"/>
      <w:bookmarkStart w:id="175" w:name="_Toc15743_WPSOffice_Level2"/>
      <w:r>
        <w:rPr>
          <w:rFonts w:hint="eastAsia" w:ascii="黑体" w:hAnsi="黑体" w:eastAsia="黑体" w:cs="黑体"/>
          <w:sz w:val="32"/>
          <w:szCs w:val="32"/>
          <w:lang w:val="en-US" w:eastAsia="zh-CN"/>
        </w:rPr>
        <w:t>五、评价结论</w:t>
      </w:r>
      <w:bookmarkEnd w:id="173"/>
      <w:bookmarkEnd w:id="174"/>
      <w:r>
        <w:rPr>
          <w:rFonts w:hint="eastAsia" w:ascii="黑体" w:hAnsi="黑体" w:eastAsia="黑体" w:cs="黑体"/>
          <w:sz w:val="32"/>
          <w:szCs w:val="32"/>
          <w:lang w:val="en-US" w:eastAsia="zh-CN"/>
        </w:rPr>
        <w:t>及建议。</w:t>
      </w:r>
      <w:bookmarkEnd w:id="175"/>
    </w:p>
    <w:p>
      <w:pPr>
        <w:pStyle w:val="2"/>
        <w:rPr>
          <w:rFonts w:hint="eastAsia" w:ascii="楷体_GB2312" w:hAnsi="Cambria" w:eastAsia="楷体_GB2312" w:cs="楷体_GB2312"/>
          <w:b/>
          <w:bCs/>
          <w:kern w:val="2"/>
          <w:sz w:val="30"/>
          <w:szCs w:val="30"/>
          <w:lang w:val="en-US" w:eastAsia="zh-CN" w:bidi="ar-SA"/>
        </w:rPr>
      </w:pPr>
      <w:r>
        <w:rPr>
          <w:rFonts w:hint="eastAsia" w:ascii="楷体_GB2312" w:hAnsi="Cambria" w:eastAsia="楷体_GB2312" w:cs="楷体_GB2312"/>
          <w:b/>
          <w:bCs/>
          <w:kern w:val="2"/>
          <w:sz w:val="30"/>
          <w:szCs w:val="30"/>
          <w:lang w:val="en-US" w:eastAsia="zh-CN" w:bidi="ar-SA"/>
        </w:rPr>
        <w:t>（一）评价结论。</w:t>
      </w:r>
    </w:p>
    <w:p>
      <w:pPr>
        <w:pStyle w:val="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的实施，充分保障和发挥了公共交通公益性、惠民性功能，切实满足了部分农村偏远地区群众出行需求，增强了广大群众的幸福感和获得感，是有效实现乡村振兴和脱贫攻坚的重要举措，为罗江区可持续发展提供了有效助力。项目各项绩效指标均已如期完成，总体评价优良。</w:t>
      </w:r>
    </w:p>
    <w:p>
      <w:pPr>
        <w:pStyle w:val="2"/>
        <w:rPr>
          <w:rFonts w:hint="eastAsia" w:ascii="楷体_GB2312" w:hAnsi="Cambria" w:eastAsia="楷体_GB2312" w:cs="楷体_GB2312"/>
          <w:b/>
          <w:bCs/>
          <w:kern w:val="2"/>
          <w:sz w:val="30"/>
          <w:szCs w:val="30"/>
          <w:lang w:val="en-US" w:eastAsia="zh-CN" w:bidi="ar-SA"/>
        </w:rPr>
      </w:pPr>
      <w:bookmarkStart w:id="176" w:name="_Toc25942_WPSOffice_Level2"/>
      <w:bookmarkStart w:id="177" w:name="_Toc9781_WPSOffice_Level2"/>
      <w:r>
        <w:rPr>
          <w:rFonts w:hint="eastAsia" w:ascii="楷体_GB2312" w:hAnsi="Cambria" w:eastAsia="楷体_GB2312" w:cs="楷体_GB2312"/>
          <w:b/>
          <w:bCs/>
          <w:kern w:val="2"/>
          <w:sz w:val="30"/>
          <w:szCs w:val="30"/>
          <w:lang w:val="en-US" w:eastAsia="zh-CN" w:bidi="ar-SA"/>
        </w:rPr>
        <w:t>（二）问题及建议</w:t>
      </w:r>
      <w:bookmarkEnd w:id="176"/>
      <w:bookmarkEnd w:id="177"/>
      <w:r>
        <w:rPr>
          <w:rFonts w:hint="eastAsia" w:ascii="楷体_GB2312" w:hAnsi="Cambria" w:eastAsia="楷体_GB2312" w:cs="楷体_GB2312"/>
          <w:b/>
          <w:bCs/>
          <w:kern w:val="2"/>
          <w:sz w:val="30"/>
          <w:szCs w:val="30"/>
          <w:lang w:val="en-US" w:eastAsia="zh-CN" w:bidi="ar-SA"/>
        </w:rPr>
        <w:t>。</w:t>
      </w:r>
    </w:p>
    <w:p>
      <w:pPr>
        <w:spacing w:beforeLines="0" w:afterLines="0" w:line="600" w:lineRule="exact"/>
        <w:ind w:firstLine="640"/>
        <w:jc w:val="both"/>
        <w:rPr>
          <w:rFonts w:hint="eastAsia" w:ascii="仿宋_GB2312" w:hAnsi="仿宋_GB2312" w:eastAsia="仿宋_GB2312"/>
          <w:color w:val="auto"/>
          <w:kern w:val="2"/>
          <w:sz w:val="32"/>
          <w:lang w:val="en-US"/>
        </w:rPr>
      </w:pPr>
      <w:r>
        <w:rPr>
          <w:rFonts w:hint="eastAsia" w:ascii="仿宋_GB2312" w:hAnsi="仿宋_GB2312" w:eastAsia="仿宋_GB2312" w:cs="仿宋_GB2312"/>
          <w:sz w:val="32"/>
          <w:szCs w:val="32"/>
          <w:lang w:val="en-US" w:eastAsia="zh-CN"/>
        </w:rPr>
        <w:t>建议按照本项目实施方式，在有条件的领域继续深化和推进实施范围</w:t>
      </w:r>
      <w:r>
        <w:rPr>
          <w:rFonts w:hint="eastAsia"/>
          <w:sz w:val="32"/>
          <w:szCs w:val="32"/>
          <w:lang w:val="en-US" w:eastAsia="zh-CN"/>
        </w:rPr>
        <w:t>。</w:t>
      </w:r>
    </w:p>
    <w:p>
      <w:pPr>
        <w:pStyle w:val="2"/>
        <w:rPr>
          <w:rFonts w:hint="eastAsia" w:ascii="仿宋_GB2312" w:hAnsi="仿宋_GB2312" w:eastAsia="仿宋_GB2312"/>
          <w:color w:val="auto"/>
          <w:kern w:val="2"/>
          <w:sz w:val="32"/>
          <w:lang w:val="en-US"/>
        </w:rPr>
      </w:pPr>
    </w:p>
    <w:p>
      <w:pPr>
        <w:spacing w:beforeLines="0" w:afterLines="0" w:line="580" w:lineRule="exact"/>
        <w:jc w:val="both"/>
        <w:rPr>
          <w:rFonts w:hint="eastAsia" w:ascii="黑体" w:hAnsi="黑体" w:eastAsia="黑体"/>
          <w:color w:val="auto"/>
          <w:kern w:val="44"/>
          <w:sz w:val="44"/>
          <w:lang w:val="en-US"/>
        </w:rPr>
      </w:pPr>
    </w:p>
    <w:p>
      <w:pPr>
        <w:spacing w:beforeLines="0" w:afterLines="0"/>
        <w:rPr>
          <w:rFonts w:hint="eastAsia" w:ascii="黑体" w:hAnsi="黑体" w:eastAsia="黑体"/>
          <w:color w:val="auto"/>
          <w:kern w:val="44"/>
          <w:sz w:val="44"/>
          <w:lang w:val="en-US"/>
        </w:rPr>
      </w:pPr>
      <w:r>
        <w:rPr>
          <w:rFonts w:hint="eastAsia" w:ascii="黑体" w:hAnsi="黑体" w:eastAsia="黑体"/>
          <w:color w:val="auto"/>
          <w:kern w:val="44"/>
          <w:sz w:val="44"/>
          <w:lang w:val="en-US"/>
        </w:rPr>
        <w:br w:type="page"/>
      </w:r>
    </w:p>
    <w:p>
      <w:pPr>
        <w:pStyle w:val="4"/>
        <w:bidi w:val="0"/>
        <w:jc w:val="center"/>
        <w:rPr>
          <w:rFonts w:hint="eastAsia" w:ascii="黑体" w:hAnsi="黑体" w:eastAsia="黑体" w:cs="黑体"/>
          <w:sz w:val="44"/>
          <w:szCs w:val="44"/>
          <w:lang w:val="en-US"/>
        </w:rPr>
      </w:pPr>
    </w:p>
    <w:tbl>
      <w:tblPr>
        <w:tblStyle w:val="8"/>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1"/>
        <w:gridCol w:w="1480"/>
        <w:gridCol w:w="742"/>
        <w:gridCol w:w="1230"/>
        <w:gridCol w:w="516"/>
        <w:gridCol w:w="750"/>
        <w:gridCol w:w="516"/>
        <w:gridCol w:w="791"/>
        <w:gridCol w:w="506"/>
        <w:gridCol w:w="448"/>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4" w:hRule="atLeast"/>
        </w:trPr>
        <w:tc>
          <w:tcPr>
            <w:tcW w:w="885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项目名称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51060422T000000326225-白马关旅游道路（广济桥至万佛寺段）改扩建工程和景观节点打造项目设计费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主管部门</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德阳市罗江区交通运输局本级</w:t>
            </w:r>
          </w:p>
        </w:tc>
        <w:tc>
          <w:tcPr>
            <w:tcW w:w="7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项目基本情况</w:t>
            </w: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1.项目年度目标完成情况</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项目年度目标</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完成项目方案及初步设计和景观节点打造设计工作，为项目开工建设奠定基础。</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2.项目实施内容及过程概述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该项目严格按照相关程序确定设计单位，全程有监督人员、评标人员等组成的招标组织，组织成全健全，职责分工明确。确定实施单位后即刻开展设计工作，设计过程中严格按照勘察设计相关程序和步骤进行设计，资金得到有效保障。设计成果完成后按照相关规定找行业专业机构进行审核，具有针对成果的质量审核和验收的控制措施，也具有针对未知风险的应急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预算执行情况（10分）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年度预算数（万元）</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年初预算</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调整后预算数</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预算执行数</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预算执行率</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总额</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3.50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3.50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3.50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其中：财政资金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3.50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3.50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3.50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财政专户管理资金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单位资金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绩效指标（90分）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一级指标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二级指标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三级指标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指标性质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指标值</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度量单位</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完成值</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数量指标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方案及初步设计成果资料</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6</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份</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质量指标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评审及审查通过率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份</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时效指标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按期完成投资</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9.4</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成本指标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方案及初步设计服务费</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3.5</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万</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社会效益指标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带动区域经济发展</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高中低</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可持续影响指标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项目持续发挥作用的期限</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高中低</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服务对象满意度指标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群众对项目发挥作用的满意度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70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合计</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99.4</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评价结论</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自评得分99.4分，项目实施为公路建设提供了建设方案依据，确保后期建设顺利完成。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存在问题</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绩效目标设置不规范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改进措施</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绩效目标设定时，全面老虑目标设置流程，加强目标审核把关。</w:t>
            </w:r>
          </w:p>
        </w:tc>
      </w:tr>
    </w:tbl>
    <w:p>
      <w:pPr>
        <w:pStyle w:val="4"/>
        <w:bidi w:val="0"/>
        <w:jc w:val="center"/>
        <w:rPr>
          <w:rFonts w:hint="eastAsia" w:ascii="黑体" w:hAnsi="黑体" w:eastAsia="黑体" w:cs="黑体"/>
          <w:sz w:val="44"/>
          <w:szCs w:val="44"/>
          <w:lang w:val="en-US"/>
        </w:rPr>
      </w:pPr>
    </w:p>
    <w:p>
      <w:pPr>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tbl>
      <w:tblPr>
        <w:tblStyle w:val="8"/>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1"/>
        <w:gridCol w:w="1480"/>
        <w:gridCol w:w="742"/>
        <w:gridCol w:w="1230"/>
        <w:gridCol w:w="516"/>
        <w:gridCol w:w="750"/>
        <w:gridCol w:w="516"/>
        <w:gridCol w:w="791"/>
        <w:gridCol w:w="506"/>
        <w:gridCol w:w="448"/>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4" w:hRule="atLeast"/>
        </w:trPr>
        <w:tc>
          <w:tcPr>
            <w:tcW w:w="885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项目名称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51060422T000000326249-罗江区自然灾害综合风险公路承载体普查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4"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主管部门</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德阳市罗江区交通运输局本级</w:t>
            </w:r>
          </w:p>
        </w:tc>
        <w:tc>
          <w:tcPr>
            <w:tcW w:w="7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项目基本情况</w:t>
            </w: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1.项目年度目标完成情况</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项目年度目标</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完成罗江区自然灾害综合风险公路承载体普查工作</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完成了罗江区自然灾害综合风险公路承载体的普查工作，并完成相关电子版和纸质版报送工作。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2.项目实施内容及过程概述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对罗江区全路段道路存在自然灾害风险的公路承载体进行普查。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预算执行情况（10分）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年度预算数（万元）</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年初预算</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调整后预算数</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预算执行数</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预算执行率</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总额</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3.20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3.20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因该项目分年度施实，财政年初预算收入未达到预期，年初暂未纳入预算，在中期调整时予以预算。.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其中：财政资金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3.20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3.20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财政专户管理资金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单位资金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绩效指标（90分）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一级指标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二级指标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三级指标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指标性质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指标值</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度量单位</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完成值</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产出指标</w:t>
            </w: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数量指标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普查公路里程</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841.954</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公里</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841.954</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普查桥梁座数</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18</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座</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18</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质量指标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普查完成率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时效指标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普查完成时间</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12</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月</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成本指标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普查成本费用</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3.2</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万元</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3.2万元</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社会效益指标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自然灾害防治与应急管理效果</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明显</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明显</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可持续影响指标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持续发挥作用的期限</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高中低</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长期</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服务对象满意度指标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人民群众安全保障</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90%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70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合计</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评价结论</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综上所述，罗江区全路段道路存在自然灾害风险的公路承载体普查完成率较好，有效完成预期目标，自评得分100分。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存在问题</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改进措施</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bl>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tbl>
      <w:tblPr>
        <w:tblStyle w:val="8"/>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1"/>
        <w:gridCol w:w="1480"/>
        <w:gridCol w:w="742"/>
        <w:gridCol w:w="1230"/>
        <w:gridCol w:w="516"/>
        <w:gridCol w:w="750"/>
        <w:gridCol w:w="516"/>
        <w:gridCol w:w="791"/>
        <w:gridCol w:w="506"/>
        <w:gridCol w:w="448"/>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4" w:hRule="atLeast"/>
        </w:trPr>
        <w:tc>
          <w:tcPr>
            <w:tcW w:w="885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项目名称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51060422T000005396230-交通工程建设项目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4"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主管部门</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德阳市罗江区交通运输局本级</w:t>
            </w:r>
          </w:p>
        </w:tc>
        <w:tc>
          <w:tcPr>
            <w:tcW w:w="7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项目基本情况</w:t>
            </w: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1.项目年度目标完成情况</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项目年度目标</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按期完成建设投资</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全部完成目标任务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2.项目实施内容及过程概述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预算执行情况（10分）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年度预算数（万元）</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年初预算</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调整后预算数</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预算执行数</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预算执行率</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总额</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861.82</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860.99</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99.90%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.因该项目分年度施实，财政年初预算收入未达到预期，年初暂未纳入预算，在中期调整时予以预算。.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其中：财政资金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861.82</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860.99</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99.90%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财政专户管理资金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单位资金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绩效指标（90分）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一级指标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二级指标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三级指标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指标性质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指标值</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度量单位</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完成值</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质量指标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满足行业标准</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 xml:space="preserve">100 </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时效指标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完成时间</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12</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月</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12月</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成本指标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总投资</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8618242</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元</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860.99万元</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数量指标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完成项目个数</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19</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个</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19个</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社会效益指标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改善公路通行环境</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优良中差</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优</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可持续影响指标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项目持续发挥作用的期限</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高中低</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高</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服务对象满意度指标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群众对项目发挥作用的认可度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90%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70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合计</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评价结论</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自评得分100分，按期完成建设任务，消除道路安全隐患。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存在问题</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少部分项目在施工进度达到资金拨付的条件下，未能及时对项目资金进行支付。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改进措施</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加强沟通，保证资金及时足额支付。</w:t>
            </w:r>
          </w:p>
        </w:tc>
      </w:tr>
    </w:tbl>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tbl>
      <w:tblPr>
        <w:tblStyle w:val="8"/>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1"/>
        <w:gridCol w:w="1480"/>
        <w:gridCol w:w="742"/>
        <w:gridCol w:w="1230"/>
        <w:gridCol w:w="516"/>
        <w:gridCol w:w="750"/>
        <w:gridCol w:w="516"/>
        <w:gridCol w:w="791"/>
        <w:gridCol w:w="506"/>
        <w:gridCol w:w="448"/>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4" w:hRule="atLeast"/>
        </w:trPr>
        <w:tc>
          <w:tcPr>
            <w:tcW w:w="885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项目名称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51060422T000006701614-德市罗财建[2021]19号2021年车辆购置税收入补助地方资金（第一批）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4"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主管部门</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德阳市罗江区交通运输局本级</w:t>
            </w:r>
          </w:p>
        </w:tc>
        <w:tc>
          <w:tcPr>
            <w:tcW w:w="7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项目基本情况</w:t>
            </w: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1.项目年度目标完成情况</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项目年度目标</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完成“十四五”现代综合交通运输体系发展规划范围内的综合交通、公路、水运等年度建设任务。</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全部完成目标任务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2.项目实施内容及过程概述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将现有危桥（实腹式拱桥）拆除后原址重建一座简支预应力空心板桥梁。桥梁全长19m，桥面宽12m，桥跨布置为1×13m。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预算执行情况（10分）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年度预算数（万元）</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年初预算</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调整后预算数</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预算执行数</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预算执行率</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总额</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10.85</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10.85</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因该项目分年度施实，财政年初预算收入未达到预期，年初暂未纳入预算，在中期调整时予以预算.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其中：财政资金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10.85</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10.85</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财政专户管理资金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单位资金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绩效指标（90分）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一级指标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二级指标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三级指标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指标性质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指标值</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度量单位</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完成值</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数量指标</w:t>
            </w:r>
          </w:p>
        </w:tc>
        <w:tc>
          <w:tcPr>
            <w:tcW w:w="12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支持普通国道危桥梁改造（座）</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座</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质量指标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资金使用合规性</w:t>
            </w:r>
          </w:p>
        </w:tc>
        <w:tc>
          <w:tcPr>
            <w:tcW w:w="516"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完工项目验收合格率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时效指标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按期完成投资</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9.7</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经济效益指标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对经济发展的促进作用</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优良中低差</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社会效益指标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 xml:space="preserve"> 基本公共服务水平</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高中低</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生态效益指标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 xml:space="preserve"> 交通建设符合环评审批要求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可持续影响指标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新改建公路项目适应未来一定时期内交通需求</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服务对象满意度指标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改善通行服务水平群众满意度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80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20"/>
                <w:szCs w:val="20"/>
                <w:u w:val="none"/>
              </w:rPr>
            </w:pPr>
            <w:r>
              <w:rPr>
                <w:rFonts w:hint="default" w:ascii="宋体" w:hAnsi="宋体" w:eastAsia="宋体" w:cs="宋体"/>
                <w:i w:val="0"/>
                <w:color w:val="000000"/>
                <w:kern w:val="0"/>
                <w:sz w:val="20"/>
                <w:szCs w:val="20"/>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70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合计</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99.7</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评价结论</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该项目得分99.7分，总体完成情况良好，消除了桥梁安全隐患，保证了过往车辆的通行安全。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存在问题</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在施工进度达到资金拨付的条件下，未能及时对项目资金进行支付。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改进措施</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加强沟通，保证资金及时足额支付。</w:t>
            </w:r>
          </w:p>
        </w:tc>
      </w:tr>
    </w:tbl>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tbl>
      <w:tblPr>
        <w:tblStyle w:val="8"/>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1"/>
        <w:gridCol w:w="1480"/>
        <w:gridCol w:w="742"/>
        <w:gridCol w:w="1230"/>
        <w:gridCol w:w="516"/>
        <w:gridCol w:w="750"/>
        <w:gridCol w:w="516"/>
        <w:gridCol w:w="791"/>
        <w:gridCol w:w="506"/>
        <w:gridCol w:w="448"/>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4" w:hRule="atLeast"/>
        </w:trPr>
        <w:tc>
          <w:tcPr>
            <w:tcW w:w="885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项目名称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51060422T000006848738-德市罗财农[2022]18号下达2022年市级财政巩固拓展脱贫攻坚成果同乡村振兴有效衔接专项资金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4"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主管部门</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德阳市罗江区交通运输局本级</w:t>
            </w:r>
          </w:p>
        </w:tc>
        <w:tc>
          <w:tcPr>
            <w:tcW w:w="7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项目基本情况</w:t>
            </w: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1.项目年度目标完成情况</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项目年度目标</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完成2022年市级财政巩固拓展脱贫攻坚成果同乡村振兴有效衔接专项资金任务，支持农村公路日常养护54.5万元，支持农村客运30万元，支持四好农村公路100万元。</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全部完成目标任务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2.项目实施内容及过程概述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对农村公路进行日常养护、支持农村客运补助、对四好农村公路12.5公里进行维修。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预算执行情况（10分）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年度预算数（万元）</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年初预算</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调整后预算数</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预算执行数</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预算执行率</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总额</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184.50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184.50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该项目资金为市级年中下达资金.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其中：财政资金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184.50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184.50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财政专户管理资金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单位资金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绩效指标（90分）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一级指标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二级指标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三级指标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指标性质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指标值</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度量单位</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完成值</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数量指标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支持“四好农村公路”建设里程</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12.5</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公里</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质量指标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完工项目验收合格率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时效指标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按期完成项目建设任务</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12</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月</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经济效益指标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对经济发展的促进作用</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高中低</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社会效益指标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基本公共服务水平</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高中低</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公路安全水平</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高中低</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生态效益指标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交通建设符合环评审批要求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strike/>
                <w:color w:val="000000"/>
                <w:sz w:val="18"/>
                <w:szCs w:val="18"/>
              </w:rPr>
            </w:pPr>
            <w:r>
              <w:rPr>
                <w:rFonts w:hint="default" w:ascii="宋体" w:hAnsi="宋体" w:eastAsia="宋体" w:cs="宋体"/>
                <w:i w:val="0"/>
                <w:strike/>
                <w:dstrike w:val="0"/>
                <w:color w:val="000000"/>
                <w:kern w:val="0"/>
                <w:sz w:val="18"/>
                <w:szCs w:val="18"/>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可持续影响指标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新改建公路项目适应未来一定时期内交通需求</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高中低</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服务对象满意度指标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改善通行服务水平群众满意度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80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70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合计</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评价结论</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自评得分100分，按期完成建设任务，消除道路安全隐患。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存在问题</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改进措施</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bl>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tbl>
      <w:tblPr>
        <w:tblStyle w:val="8"/>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1"/>
        <w:gridCol w:w="1480"/>
        <w:gridCol w:w="742"/>
        <w:gridCol w:w="1230"/>
        <w:gridCol w:w="516"/>
        <w:gridCol w:w="750"/>
        <w:gridCol w:w="516"/>
        <w:gridCol w:w="791"/>
        <w:gridCol w:w="506"/>
        <w:gridCol w:w="448"/>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4" w:hRule="atLeast"/>
        </w:trPr>
        <w:tc>
          <w:tcPr>
            <w:tcW w:w="885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项目名称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51060422T000006947188-德市罗财建[2021]5号“8.11”洪灾交通应急资金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4"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主管部门</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德阳市罗江区交通运输局本级</w:t>
            </w:r>
          </w:p>
        </w:tc>
        <w:tc>
          <w:tcPr>
            <w:tcW w:w="7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项目基本情况</w:t>
            </w: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1.项目年度目标完成情况</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项目年度目标</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完成受损道路的修复，完成总工程量的100%。</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修建桥梁一座，并已顺利实施完成。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2.项目实施内容及过程概述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修建桥梁一座。该桥于2021年1月由区行政审批局批准实施方案，同年7月动工，11月完工，目前该桥已投入使用。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预算执行情况（10分）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年度预算数（万元）</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年初预算</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调整后预算数</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预算执行数</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预算执行率</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总额</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27.90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27.90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因该项目分年度施实，财政年初预算收入未达到预期，年初暂未纳入预算，在中期调整时予以预算。.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其中：财政资金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27.90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27.90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财政专户管理资金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单位资金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绩效指标（90分）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一级指标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二级指标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三级指标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指标性质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指标值</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度量单位</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完成值</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产出指标</w:t>
            </w: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质量指标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资金使用合规性</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完工项目验收合格率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时效指标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按期完成投资</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12</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月</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经济效益指标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对经济发展的促进作用</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高中低</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社会效益指标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基本公共服务水平</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高中低</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公路安全水平</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高中低</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生态效益指标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新改建公路项目适应未来一定时期内交通需求</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可持续影响指标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新改建公路项目适应未来一定时期内交通需求</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服务对象满意度指标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改善通行服务水平群众满意度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80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70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合计</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评价结论</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自评得分100分，按期完成建设任务，消除道路安全隐患。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存在问题</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实施过程中存在取土、弃土堆放场地难寻等难题；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改进措施</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在项目实施前，由当地政府协调解决取土、弃土的场地，并征得环保部门的同意。</w:t>
            </w:r>
          </w:p>
        </w:tc>
      </w:tr>
    </w:tbl>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tbl>
      <w:tblPr>
        <w:tblStyle w:val="8"/>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1"/>
        <w:gridCol w:w="1480"/>
        <w:gridCol w:w="742"/>
        <w:gridCol w:w="1230"/>
        <w:gridCol w:w="516"/>
        <w:gridCol w:w="750"/>
        <w:gridCol w:w="516"/>
        <w:gridCol w:w="791"/>
        <w:gridCol w:w="506"/>
        <w:gridCol w:w="448"/>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4" w:hRule="atLeast"/>
        </w:trPr>
        <w:tc>
          <w:tcPr>
            <w:tcW w:w="885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项目名称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51060422T000006947274-德市罗财建[2021]15号2021年中央财政成品油税费改革转移支付资金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主管部门</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德阳市罗江区交通运输局本级</w:t>
            </w:r>
          </w:p>
        </w:tc>
        <w:tc>
          <w:tcPr>
            <w:tcW w:w="7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项目基本情况</w:t>
            </w: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1.项目年度目标完成情况</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项目年度目标</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完成G108线罗江段9.148公里养护工程维修工程量。</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按期完成施工任务，有效提升改善公路路况水平。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2.项目实施内容及过程概述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对罗江区G108线2段约9.4公里公里路面实施养护工程。项目于2021年5月由区发改局批复实施，同年9月开工，2022年1月完工后投入使用，2022年4月交工验收合格。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预算执行情况（10分）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年度预算数（万元）</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年初预算</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调整后预算数</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预算执行数</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预算执行率</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总额</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78.63</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78.63</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本项目为上级专项，分年度实施。.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其中：财政资金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78.63</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78.63</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财政专户管理资金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单位资金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绩效指标（90分）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一级指标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二级指标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三级指标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指标性质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指标值</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度量单位</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完成值</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数量指标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整治路面维修里程</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9.148</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公里</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质量指标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资金使用合规性</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完工项目验收合格率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时效指标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按期完成投资</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12</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月</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经济效益指标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对经济发展的促进作用</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高中低</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社会效益指标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基本公共服务水平</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高中低</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95%</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9.5</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管理和服务水平的提高程度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生态效益指标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整治路面适应未来一定时期内交通需求</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可持续影响指标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整治路面适应未来一定时期内交通需求</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95%</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9.5</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实施管理制措施的延续性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服务对象满意度指标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改善通行服务水平群众满意度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80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70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合计</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99</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评价结论</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本项目绩效满分100分，实得99分；该项目实施，有效改善罗江区G108线的路况水平，提高了公路服务质量。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存在问题</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实施过程中，由于无法进行断道施工，加之该线路车流量远超设计服务流量，施工与道路保通矛盾突出。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改进措施</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加强与公安交警部门协作，进一步做好施工期间安全管理。</w:t>
            </w:r>
          </w:p>
        </w:tc>
      </w:tr>
    </w:tbl>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tbl>
      <w:tblPr>
        <w:tblStyle w:val="8"/>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1"/>
        <w:gridCol w:w="1480"/>
        <w:gridCol w:w="742"/>
        <w:gridCol w:w="1230"/>
        <w:gridCol w:w="516"/>
        <w:gridCol w:w="750"/>
        <w:gridCol w:w="516"/>
        <w:gridCol w:w="791"/>
        <w:gridCol w:w="506"/>
        <w:gridCol w:w="448"/>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4" w:hRule="atLeast"/>
        </w:trPr>
        <w:tc>
          <w:tcPr>
            <w:tcW w:w="885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项目名称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51060422T000006947274-德市罗财建[2021]15号2021年中央财政成品油税费改革转移支付资金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4"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主管部门</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德阳市罗江区交通运输局本级</w:t>
            </w:r>
          </w:p>
        </w:tc>
        <w:tc>
          <w:tcPr>
            <w:tcW w:w="7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项目基本情况</w:t>
            </w: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1.项目年度目标完成情况</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项目年度目标</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完成G108线罗江段9.148公里养护工程维修工程量。</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按期完成施工任务，有效提升改善公路路况水平。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2.项目实施内容及过程概述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对罗江区G108线2段约9.4公里公里路面实施养护工程。项目于2021年5月由区发改局批复实施，同年9月开工，2022年1月完工后投入使用，2022年4月交工验收合格。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预算执行情况（10分）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年度预算数（万元）</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年初预算</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调整后预算数</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预算执行数</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预算执行率</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总额</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78.63</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78.63</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其中：财政资金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78.63</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78.63</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财政专户管理资金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单位资金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绩效指标（90分）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一级指标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二级指标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三级指标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指标性质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指标值</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度量单位</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完成值</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数量指标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整治路面维修里程</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9.148</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公里</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质量指标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资金使用合规性</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完工项目验收合格率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时效指标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按期完成投资</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12</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月</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经济效益指标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对经济发展的促进作用</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高中低</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社会效益指标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基本公共服务水平</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高中低</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95%</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9.5</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管理和服务水平的提高程度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生态效益指标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整治路面适应未来一定时期内交通需求</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可持续影响指标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整治路面适应未来一定时期内交通需求</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95%</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9.5</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实施管理制措施的延续性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服务对象满意度指标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改善通行服务水平群众满意度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80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70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合计</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99</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评价结论</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本项目绩效满分100分，实得99分；该项目实施，有效改善罗江区G108线的路况水平，提高了公路服务质量。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存在问题</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实施过程中，由于无法进行断道施工，加之该线路车流量远超设计服务流量，施工与道路保通矛盾突出。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改进措施</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加强与公安交警部门协作，进一步做好施工期间安全管理。</w:t>
            </w:r>
          </w:p>
        </w:tc>
      </w:tr>
    </w:tbl>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tbl>
      <w:tblPr>
        <w:tblStyle w:val="8"/>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1"/>
        <w:gridCol w:w="1480"/>
        <w:gridCol w:w="742"/>
        <w:gridCol w:w="1230"/>
        <w:gridCol w:w="516"/>
        <w:gridCol w:w="750"/>
        <w:gridCol w:w="516"/>
        <w:gridCol w:w="791"/>
        <w:gridCol w:w="506"/>
        <w:gridCol w:w="448"/>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4" w:hRule="atLeast"/>
        </w:trPr>
        <w:tc>
          <w:tcPr>
            <w:tcW w:w="885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项目名称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51060422T000006971708-德市罗财建[2022]9号-关于下达2022年省级专项资金（成品油税费改革转移支付部分）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4"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主管部门</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德阳市罗江区交通运输局本级</w:t>
            </w:r>
          </w:p>
        </w:tc>
        <w:tc>
          <w:tcPr>
            <w:tcW w:w="7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项目基本情况</w:t>
            </w: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1.项目年度目标完成情况</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项目年度目标</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完成工程量100%</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完成9.86公里建设任务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2.项目实施内容及过程概述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对9.86公里农村公路进行安防设施维修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预算执行情况（10分）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年度预算数（万元）</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年初预算</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调整后预算数</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预算执行数</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预算执行率</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总额</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77.00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77.00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该项目为上级专项资金，年中下达。.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其中：财政资金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77.00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77.00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财政专户管理资金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单位资金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绩效指标（90分）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一级指标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二级指标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三级指标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指标性质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指标值</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度量单位</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完成值</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数量指标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支持村道安防工程里程</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9.86</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公里</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质量指标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资金使用合规性</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完工项目验收合格率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时效指标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按期完成投资</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12</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月</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经济效益指标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对经济发展的促进作用</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高中低</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社会效益指标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公路安全水平</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高中低</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生态效益指标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交通建设符合环评审批要求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可持续影响指标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新改建公路项目适应未来一定时期内交通需求</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高中低</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服务对象满意度指标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改善通行服务水平群众满意度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80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70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合计</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评价结论</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自评得分100分，按期完成建设任务，消除道路安全隐患。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存在问题</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改进措施</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无</w:t>
            </w:r>
          </w:p>
        </w:tc>
      </w:tr>
    </w:tbl>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tbl>
      <w:tblPr>
        <w:tblStyle w:val="8"/>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1"/>
        <w:gridCol w:w="1480"/>
        <w:gridCol w:w="742"/>
        <w:gridCol w:w="1230"/>
        <w:gridCol w:w="516"/>
        <w:gridCol w:w="750"/>
        <w:gridCol w:w="516"/>
        <w:gridCol w:w="791"/>
        <w:gridCol w:w="506"/>
        <w:gridCol w:w="448"/>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4" w:hRule="atLeast"/>
        </w:trPr>
        <w:tc>
          <w:tcPr>
            <w:tcW w:w="885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项目名称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51060422T000006996146-德市罗财建[2021]31号2021年车辆购置税收入补助地方资金（普通省道和农村公路部分）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4"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主管部门</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德阳市罗江区交通运输局本级</w:t>
            </w:r>
          </w:p>
        </w:tc>
        <w:tc>
          <w:tcPr>
            <w:tcW w:w="7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项目基本情况</w:t>
            </w: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1.项目年度目标完成情况</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项目年度目标</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完成总工程量的100%</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全部完成目标任务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2.项目实施内容及过程概述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为解决撤并建制村后断头路问题，对撤并建制村相连道路进行加宽改造提升，项目总里程12.4km。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预算执行情况（10分）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年度预算数（万元）</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年初预算</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调整后预算数</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预算执行数</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预算执行率</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总额</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91.92</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91.92</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其中：财政资金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91.92</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91.92</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财政专户管理资金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单位资金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绩效指标（90分）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一级指标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二级指标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三级指标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指标性质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指标值</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度量单位</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完成值</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数量指标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支持撤并建制村畅通工程里程</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5.9</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公里</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质量指标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资金使用合规性</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完工项目验收合格率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时效指标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按期完成投资</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12</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月</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经济效益指标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对经济发展的促进作用</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高中低</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生态效益指标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交通建设符合环评审批要求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可持续影响指标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新改建公路项目适应未来一定时期内交通需求</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高中低</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社会效益指标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公路安全水平</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高中低</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服务对象满意度指标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改善通行服务水平群众满意度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80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70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合计</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评价结论</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自评得分100分，打通了撤并建制村之间的断头路，方便了群众出行办事，带动了乡村经济发展。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存在问题</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在项目顺利推进的情况下，不能及时按照合同约定对资金进行足额支付。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改进措施</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加强与财政沟通协调，保证资金按时足额支付。</w:t>
            </w:r>
          </w:p>
        </w:tc>
      </w:tr>
    </w:tbl>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tbl>
      <w:tblPr>
        <w:tblStyle w:val="8"/>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1"/>
        <w:gridCol w:w="1480"/>
        <w:gridCol w:w="742"/>
        <w:gridCol w:w="1230"/>
        <w:gridCol w:w="516"/>
        <w:gridCol w:w="750"/>
        <w:gridCol w:w="516"/>
        <w:gridCol w:w="791"/>
        <w:gridCol w:w="506"/>
        <w:gridCol w:w="448"/>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4" w:hRule="atLeast"/>
        </w:trPr>
        <w:tc>
          <w:tcPr>
            <w:tcW w:w="885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项目名称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51060422T000007109018-德市罗财建[2022]15号关于下达2022年第一批省级交通专项资金的通知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4"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主管部门</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德阳市罗江区交通运输局本级</w:t>
            </w:r>
          </w:p>
        </w:tc>
        <w:tc>
          <w:tcPr>
            <w:tcW w:w="7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项目基本情况</w:t>
            </w: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1.项目年度目标完成情况</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项目年度目标</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完成13.9公里撤并建制村畅通工程建设省级补助292万元，农村公路养护补助资金103万元的任务。</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撤并建制村完成工程的80%，农村公路日常养护完成100%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2.项目实施内容及过程概述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对13.9公里撤并建制村畅通工程进行建设，完成农村公路省级补助的日常养护任务。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预算执行情况（10分）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年度预算数（万元）</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年初预算</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调整后预算数</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预算执行数</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预算执行率</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总额</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395.00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173.80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44.00%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8</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因撤并建制村畅通工程为跨年度项目，本年度已完成工程量的80%，年终时因施工单位计量资料暂未提交，无法支付款项，结转下年支付。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其中：财政资金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395.00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173.80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44.00%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财政专户管理资金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单位资金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绩效指标（90分）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一级指标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二级指标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三级指标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指标性质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指标值</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度量单位</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完成值</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产出指标</w:t>
            </w: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质量指标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完工项目验收合格率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资金使用合规性</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时效指标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按期完成投资</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数量指标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公路建设里程</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13.9</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公里</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生态效益指标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交通建设符合环评审批要求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社会效益指标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公路安全水平</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提升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基本公共服务水平</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提升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经济效益指标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对经济发展的促进作用</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明显</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满意度指标</w:t>
            </w:r>
          </w:p>
        </w:tc>
        <w:tc>
          <w:tcPr>
            <w:tcW w:w="74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服务对象满意度指标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改善通行服务水平群众满意度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80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70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合计</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98</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评价结论</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自评得分98分，打通了撤并建制村之间的断头路，方便了群众出行办事，带动了乡村经济发展。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存在问题</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施工进度与资金支付进度不一致。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改进措施</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加强对施工单位的督促，及时根据施工进度完善计量资料的审核和提交。</w:t>
            </w:r>
          </w:p>
        </w:tc>
      </w:tr>
    </w:tbl>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tbl>
      <w:tblPr>
        <w:tblStyle w:val="8"/>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1"/>
        <w:gridCol w:w="1480"/>
        <w:gridCol w:w="742"/>
        <w:gridCol w:w="1230"/>
        <w:gridCol w:w="516"/>
        <w:gridCol w:w="750"/>
        <w:gridCol w:w="516"/>
        <w:gridCol w:w="791"/>
        <w:gridCol w:w="506"/>
        <w:gridCol w:w="448"/>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4" w:hRule="atLeast"/>
        </w:trPr>
        <w:tc>
          <w:tcPr>
            <w:tcW w:w="885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项目名称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51060422T000007109018-德市罗财建[2022]15号关于下达2022年第一批省级交通专项资金的通知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4"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主管部门</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德阳市罗江区交通运输局本级</w:t>
            </w:r>
          </w:p>
        </w:tc>
        <w:tc>
          <w:tcPr>
            <w:tcW w:w="7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项目基本情况</w:t>
            </w: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1.项目年度目标完成情况</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项目年度目标</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完成13.9公里撤并建制村畅通工程建设省级补助292万元，农村公路养护补助资金103万元的任务。</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撤并建制村完成工程的80%，农村公路日常养护完成100%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2.项目实施内容及过程概述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对13.9公里撤并建制村畅通工程进行建设，完成农村公路省级补助的日常养护任务。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预算执行情况（10分）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年度预算数（万元）</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年初预算</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调整后预算数</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预算执行数</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预算执行率</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总额</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395.00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173.80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44.00%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8</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因撤并建制村畅通工程为跨年度项目，本年度已完成工程量的80%，年终时因施工单位计量资料暂未提交，无法支付款项，结转下年支付。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其中：财政资金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395.00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173.80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44.00%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财政专户管理资金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单位资金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绩效指标（90分）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一级指标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二级指标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三级指标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指标性质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指标值</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度量单位</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完成值</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产出指标</w:t>
            </w: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质量指标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完工项目验收合格率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资金使用合规性</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时效指标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按期完成投资</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数量指标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公路建设里程</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13.9</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公里</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生态效益指标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交通建设符合环评审批要求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社会效益指标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公路安全水平</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提升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基本公共服务水平</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提升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经济效益指标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对经济发展的促进作用</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明显</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满意度指标</w:t>
            </w:r>
          </w:p>
        </w:tc>
        <w:tc>
          <w:tcPr>
            <w:tcW w:w="74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服务对象满意度指标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改善通行服务水平群众满意度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80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70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合计</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98</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评价结论</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自评得分98分，打通了撤并建制村之间的断头路，方便了群众出行办事，带动了乡村经济发展。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存在问题</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施工进度与资金支付进度不一致。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改进措施</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加强对施工单位的督促，及时根据施工进度完善计量资料的审核和提交。</w:t>
            </w:r>
          </w:p>
        </w:tc>
      </w:tr>
    </w:tbl>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tbl>
      <w:tblPr>
        <w:tblStyle w:val="8"/>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1"/>
        <w:gridCol w:w="1480"/>
        <w:gridCol w:w="742"/>
        <w:gridCol w:w="1230"/>
        <w:gridCol w:w="516"/>
        <w:gridCol w:w="750"/>
        <w:gridCol w:w="516"/>
        <w:gridCol w:w="791"/>
        <w:gridCol w:w="506"/>
        <w:gridCol w:w="448"/>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4" w:hRule="atLeast"/>
        </w:trPr>
        <w:tc>
          <w:tcPr>
            <w:tcW w:w="885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项目名称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51060422T000007129662-德市罗财建[2020]12号2020年车辆购置税收入补助地方资金（第一批）用于一般公路项目）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主管部门</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德阳市罗江区交通运输局本级</w:t>
            </w:r>
          </w:p>
        </w:tc>
        <w:tc>
          <w:tcPr>
            <w:tcW w:w="7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项目基本情况</w:t>
            </w: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1.项目年度目标完成情况</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项目年度目标</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完成农村公路安全生命防护工程</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全部完成目标任务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2.项目实施内容及过程概述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实施内容为C20砼护肩26m³、波形护栏5252米、标志标牌67个、标线9459.9㎡、减速带20米、附着式轮廓标744个、道口标注228个、示警桩7个等。修建桥梁一座，该桥于2021年12月由区发展和改革局批准实施方案，2022年6月动工，同年12月完工，目前该桥已投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预算执行情况（10分）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年度预算数（万元）</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年初预算</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调整后预算数</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预算执行数</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预算执行率</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总额</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38.47</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38.47</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其中：财政资金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38.47</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38.47</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财政专户管理资金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单位资金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绩效指标（90分）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一级指标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二级指标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三级指标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指标性质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指标值</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度量单位</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完成值</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数量指标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整治农村公路安保里程</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5.252</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公里</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质量指标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资金使用合规性</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15</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15</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完工项目验收合格率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15</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15</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时效指标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按期完成投资</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经济效益指标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对经济发展的促进作用</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明显</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社会效益指标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基本公共服务水平</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提升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生态效益指标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交通建设符合环评审批要求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服务对象满意度指标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改善通行服务水平群众满意度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80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70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合计</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评价结论</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自评得分100分，达到预期效果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存在问题</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实施过程中，与地方沟通不到位，导致施工时压断了群众家的电线，工程协调需进一步加强。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改进措施</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加强与各单位、各部门的沟通，加强监管力度，减少不必要的损失。</w:t>
            </w:r>
          </w:p>
        </w:tc>
      </w:tr>
    </w:tbl>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tbl>
      <w:tblPr>
        <w:tblStyle w:val="8"/>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1"/>
        <w:gridCol w:w="1480"/>
        <w:gridCol w:w="742"/>
        <w:gridCol w:w="1230"/>
        <w:gridCol w:w="516"/>
        <w:gridCol w:w="750"/>
        <w:gridCol w:w="516"/>
        <w:gridCol w:w="791"/>
        <w:gridCol w:w="506"/>
        <w:gridCol w:w="448"/>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4" w:hRule="atLeast"/>
        </w:trPr>
        <w:tc>
          <w:tcPr>
            <w:tcW w:w="885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项目名称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51060422T000007129705-德市罗财建[2021]3号2019年第五批交通建设省级补助资金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主管部门</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德阳市罗江区交通运输局本级</w:t>
            </w:r>
          </w:p>
        </w:tc>
        <w:tc>
          <w:tcPr>
            <w:tcW w:w="7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项目基本情况</w:t>
            </w: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1.项目年度目标完成情况</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项目年度目标</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完成罗江城际列车客运站及周边配套道路建设任务</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全部完成目标任务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2.项目实施内容及过程概述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完成城际列车客运站建设的结算审计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预算执行情况（10分）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年度预算数（万元）</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年初预算</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调整后预算数</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预算执行数</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预算执行率</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总额</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1.13</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1.13</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其中：财政资金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1.13</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1.13</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财政专户管理资金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单位资金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绩效指标（90分）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一级指标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二级指标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三级指标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指标性质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指标值</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度量单位</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完成值</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数量指标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客运站数量</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座</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质量指标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资金使用合规性</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完工项目验收合格率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时效指标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按期完成投资</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经济效益指标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对经济发展的促进作用</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明显</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社会效益指标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基本公共服务水平</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提升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生态效益指标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交通建设符合环评审批要求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可持续影响指标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适应未来一定时期内交通需求</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服务对象满意度指标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改善通行服务水平群众满意度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80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70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合计</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评价结论</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自评得分100分，达到预期效果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存在问题</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 xml:space="preserve">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改进措施</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 xml:space="preserve">无 </w:t>
            </w:r>
          </w:p>
        </w:tc>
      </w:tr>
    </w:tbl>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tbl>
      <w:tblPr>
        <w:tblStyle w:val="8"/>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1"/>
        <w:gridCol w:w="1480"/>
        <w:gridCol w:w="742"/>
        <w:gridCol w:w="1230"/>
        <w:gridCol w:w="516"/>
        <w:gridCol w:w="750"/>
        <w:gridCol w:w="516"/>
        <w:gridCol w:w="791"/>
        <w:gridCol w:w="506"/>
        <w:gridCol w:w="448"/>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4" w:hRule="atLeast"/>
        </w:trPr>
        <w:tc>
          <w:tcPr>
            <w:tcW w:w="885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项目名称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51060422T000007457212-德市罗财建[2020]4号关于下达公路应急抢险救灾补助资金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主管部门</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德阳市罗江区交通运输局本级</w:t>
            </w:r>
          </w:p>
        </w:tc>
        <w:tc>
          <w:tcPr>
            <w:tcW w:w="7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项目基本情况</w:t>
            </w: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1.项目年度目标完成情况</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项目年度目标</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完成项目总工程量的100%</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混凝土护栏、轮廓标、路面标线已顺利实施完成。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2.项目实施内容及过程概述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完成C30混凝土护栏40.5立方米、反光轮廓标498个、标线1862.1平方米。混凝土护栏及轮廓标2022年6月开工，当月完工；标线2022年1月开工，2022年2月完工。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预算执行情况（10分）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年度预算数（万元）</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年初预算</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调整后预算数</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预算执行数</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预算执行率</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总额</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14.83</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14.83</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其中：财政资金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14.83</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14.83</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财政专户管理资金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单位资金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绩效指标（90分）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一级指标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二级指标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三级指标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指标性质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指标值</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度量单位</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完成值</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产出指标</w:t>
            </w: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数量指标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桥梁</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座</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标线</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11862.16</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平方米</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质量指标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合格率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时效指标</w:t>
            </w:r>
          </w:p>
        </w:tc>
        <w:tc>
          <w:tcPr>
            <w:tcW w:w="123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按期完成投资</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社会效益指标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基本公共服务水平</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提高</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生态效益指标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交通建设符合环评审批要求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可持续影响指标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适应未来交通需求</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成本指标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经济成本指标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投资额</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18.86</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万元</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服务对象满意度指标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改善通行服务水平群众满意度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80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70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合计</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评价结论</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自评得分100分，该项目的实施达到了消除安全隐患，保障群众通行安全，提升服务水平的目标。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存在问题</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局部路段养护不到位，管理制度文件不够精细，管理人员业务能力有待提升。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改进措施</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后期将加强局部路段养护力度，安排专人精细化制定管理制度文件，组织提升管理人员应业务知识能力。</w:t>
            </w:r>
          </w:p>
        </w:tc>
      </w:tr>
    </w:tbl>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tbl>
      <w:tblPr>
        <w:tblStyle w:val="8"/>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1"/>
        <w:gridCol w:w="1480"/>
        <w:gridCol w:w="742"/>
        <w:gridCol w:w="1230"/>
        <w:gridCol w:w="516"/>
        <w:gridCol w:w="750"/>
        <w:gridCol w:w="516"/>
        <w:gridCol w:w="791"/>
        <w:gridCol w:w="506"/>
        <w:gridCol w:w="448"/>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4" w:hRule="atLeast"/>
        </w:trPr>
        <w:tc>
          <w:tcPr>
            <w:tcW w:w="885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项目名称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51060422T000007464522-德市罗交[2022]29号交通运输系统综合行政执法服装经费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4"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主管部门</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德阳市罗江区交通运输局本级</w:t>
            </w:r>
          </w:p>
        </w:tc>
        <w:tc>
          <w:tcPr>
            <w:tcW w:w="7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项目基本情况</w:t>
            </w: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1.项目年度目标完成情况</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项目年度目标</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为规范执法人员执法，树立良好的执法形象，适应改革后的执法需要。</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对一线执法人员完成换装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2.项目实施内容及过程概述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为一线执法人员购买执法服装45套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预算执行情况（10分）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年度预算数（万元）</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年初预算</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调整后预算数</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预算执行数</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预算执行率</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总额</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13.59</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13.59</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其中：财政资金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13.59</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13.59</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财政专户管理资金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单位资金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绩效指标（90分）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一级指标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二级指标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三级指标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指标性质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指标值</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度量单位</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完成值</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质量指标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验收合格率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时效指标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完成时间</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12</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月</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数量指标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执法服装</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45</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套</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社会效益指标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执法形象提升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提升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成本指标</w:t>
            </w: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经济成本指标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 xml:space="preserve"> </w:t>
            </w:r>
            <w:r>
              <w:rPr>
                <w:rFonts w:hint="default" w:ascii="宋体" w:hAnsi="宋体" w:eastAsia="宋体" w:cs="宋体"/>
                <w:i w:val="0"/>
                <w:color w:val="000000"/>
                <w:kern w:val="0"/>
                <w:sz w:val="18"/>
                <w:szCs w:val="18"/>
                <w:u w:val="none"/>
                <w:lang w:val="en-US" w:eastAsia="zh-CN" w:bidi="ar"/>
              </w:rPr>
              <w:br w:type="textWrapping"/>
            </w:r>
            <w:r>
              <w:rPr>
                <w:rFonts w:hint="default" w:ascii="宋体" w:hAnsi="宋体" w:eastAsia="宋体" w:cs="宋体"/>
                <w:i w:val="0"/>
                <w:color w:val="000000"/>
                <w:kern w:val="0"/>
                <w:sz w:val="18"/>
                <w:szCs w:val="18"/>
                <w:u w:val="none"/>
                <w:lang w:val="en-US" w:eastAsia="zh-CN" w:bidi="ar"/>
              </w:rPr>
              <w:t>女式（常装）</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2670.2</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元/套</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男式（常装）</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3124.2</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元/套</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服务对象满意度指标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交通执法满意度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80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70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合计</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评价结论</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自评得分100分，该项目的实施规范了执法人员执法，树立良好的执法形象。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存在问题</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 xml:space="preserve">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改进措施</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 xml:space="preserve">无 </w:t>
            </w:r>
          </w:p>
        </w:tc>
      </w:tr>
    </w:tbl>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tbl>
      <w:tblPr>
        <w:tblStyle w:val="8"/>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1"/>
        <w:gridCol w:w="1480"/>
        <w:gridCol w:w="742"/>
        <w:gridCol w:w="1230"/>
        <w:gridCol w:w="516"/>
        <w:gridCol w:w="750"/>
        <w:gridCol w:w="516"/>
        <w:gridCol w:w="791"/>
        <w:gridCol w:w="506"/>
        <w:gridCol w:w="448"/>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4" w:hRule="atLeast"/>
        </w:trPr>
        <w:tc>
          <w:tcPr>
            <w:tcW w:w="885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项目名称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51060423T000008024586-德阳市罗江区大井养护站改造工程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主管部门</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德阳市罗江区交通运输局本级</w:t>
            </w:r>
          </w:p>
        </w:tc>
        <w:tc>
          <w:tcPr>
            <w:tcW w:w="7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项目基本情况</w:t>
            </w: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1.项目年度目标完成情况</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项目年度目标</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对站内现有建筑及场地进行提升改造，改造后新增公共卫生间、冷热水供应等服务设备，改善G108线罗江段的通行环境</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顺利完成施工任务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2.项目实施内容及过程概述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对大井养护站进行改造。项目于2019年9月由区行政审批局批复实施，同年12月开工，2020年3月完工后投入使用，2020年4月交工验收合格。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预算执行情况（10分）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年度预算数（万元）</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年初预算</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调整后预算数</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预算执行数</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预算执行率</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总额</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4.15</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4.15</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其中：财政资金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4.15</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4.15</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财政专户管理资金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单位资金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绩效指标（90分）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一级指标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二级指标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三级指标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指标性质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指标值</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度量单位</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完成值</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时效指标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按期完成投资</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数量指标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支持建设公路养护站数量</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座</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质量指标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完工项目验收合格率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资金使用合规率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生态效益指标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交通建设符合环评审批要求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社会效益指标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基本公共服务水平</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提升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经济效益指标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对经济发展的促进作用</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明显</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可持续影响指标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新改建公路项目适应未来一定时期内交通需求</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服务对象满意度指标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改善通行服务水平群众满意度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80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70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合计</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评价结论</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自评得分100分，该项目实施，有效消除老旧建筑安全隐患，进一步完善公路基础设施，提升公路服务水平，改善职工办公环境。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存在问题</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管理制度文件不够精细，管理人员业务能力有待提升。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改进措施</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后期将加强局部维护力度，安排专人精细化制定管理制度文件，组织提升管理人员应业务知识能力。</w:t>
            </w:r>
          </w:p>
        </w:tc>
      </w:tr>
    </w:tbl>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tbl>
      <w:tblPr>
        <w:tblStyle w:val="8"/>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1"/>
        <w:gridCol w:w="1480"/>
        <w:gridCol w:w="742"/>
        <w:gridCol w:w="1230"/>
        <w:gridCol w:w="516"/>
        <w:gridCol w:w="750"/>
        <w:gridCol w:w="516"/>
        <w:gridCol w:w="791"/>
        <w:gridCol w:w="506"/>
        <w:gridCol w:w="448"/>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4" w:hRule="atLeast"/>
        </w:trPr>
        <w:tc>
          <w:tcPr>
            <w:tcW w:w="885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项目名称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51060423T000008044967-德市罗财建[2020]3号关于下达2019年第二批交通建设省级补助资金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4"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主管部门</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德阳市罗江区交通运输局本级</w:t>
            </w:r>
          </w:p>
        </w:tc>
        <w:tc>
          <w:tcPr>
            <w:tcW w:w="7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项目基本情况</w:t>
            </w: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1.项目年度目标完成情况</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项目年度目标</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完成项目总工程量的100%，消除桥梁安全隐患。</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全部完成目标任务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2.项目实施内容及过程概述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修建桥梁一座。该桥于2020年9月由区行政审批局批准实施方案，2020年11月动工，2021年2月完工，目前该桥已投入使用。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预算执行情况（10分）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年度预算数（万元）</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年初预算</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调整后预算数</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预算执行数</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预算执行率</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总额</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0.30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0.30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其中：财政资金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0.30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0.30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4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财政专户管理资金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单位资金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绩效指标（90分）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一级指标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二级指标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三级指标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指标性质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指标值</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度量单位</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完成值</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产出指标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数量指标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整治危桥座数</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座</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质量指标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完工项目验收合格率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资金使用合规性</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时效指标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按期完成投资</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生态效益指标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交通建设符合环评审批要求</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社会效益指标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基本公共服务水平</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提升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公路安全水平</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提升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经济效益指标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对经济发展的促进作用</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明显</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8"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服务对象满意度指标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改善通行服务水平群众满意度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85</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670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合计</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评价结论</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自评得分100分，按期完成建设任务，消除道路安全隐患。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存在问题</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 xml:space="preserve">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3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改进措施</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 xml:space="preserve">无 </w:t>
            </w:r>
          </w:p>
        </w:tc>
      </w:tr>
    </w:tbl>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tbl>
      <w:tblPr>
        <w:tblStyle w:val="8"/>
        <w:tblW w:w="88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81"/>
        <w:gridCol w:w="1480"/>
        <w:gridCol w:w="742"/>
        <w:gridCol w:w="1230"/>
        <w:gridCol w:w="516"/>
        <w:gridCol w:w="750"/>
        <w:gridCol w:w="516"/>
        <w:gridCol w:w="791"/>
        <w:gridCol w:w="506"/>
        <w:gridCol w:w="448"/>
        <w:gridCol w:w="1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4" w:hRule="atLeast"/>
        </w:trPr>
        <w:tc>
          <w:tcPr>
            <w:tcW w:w="885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项目名称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51060423T000008759941-“十四五”交通运输规划编制和农村公路专项规划编制项目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4" w:hRule="atLeast"/>
        </w:trPr>
        <w:tc>
          <w:tcPr>
            <w:tcW w:w="2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主管部门</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德阳市罗江区交通运输局本级</w:t>
            </w:r>
          </w:p>
        </w:tc>
        <w:tc>
          <w:tcPr>
            <w:tcW w:w="791"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14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德阳市罗江区交通运输局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项目基本情况</w:t>
            </w: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1.项目年度目标完成情况</w:t>
            </w: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项目年度目标</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0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75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编制我区“十四五”交通运输规划和农村公路专项规划，为罗江未来交通发展提供依据，完成规划编制。</w:t>
            </w:r>
          </w:p>
        </w:tc>
        <w:tc>
          <w:tcPr>
            <w:tcW w:w="293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完成了“十四五”交通运输规划编制和农村公路专项规划编制工作，并完成相关电子版和纸质版报送工作。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2.项目实施内容及过程概述</w:t>
            </w:r>
          </w:p>
        </w:tc>
        <w:tc>
          <w:tcPr>
            <w:tcW w:w="6689"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根据罗江区经济发展需求，编制“十四五”交通运输规划编制和农村公路专项规划。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预算执行情况（10分）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年度预算数（万元）</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年初预算</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调整后预算数</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预算执行数</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预算执行率</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总额</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7.20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7.20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color w:val="000000"/>
                <w:sz w:val="18"/>
                <w:szCs w:val="18"/>
                <w:u w:val="none"/>
              </w:rPr>
            </w:pPr>
            <w:r>
              <w:rPr>
                <w:rFonts w:hint="eastAsia" w:ascii="黑体" w:hAnsi="黑体" w:eastAsia="黑体" w:cs="黑体"/>
                <w:i/>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其中：财政资金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7.20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7.20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财政专户管理资金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2"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单位资金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0.00%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9"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其他资金</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17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11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绩效指标（90分）</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一级指标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二级指标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三级指标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指标性质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指标值</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度量单位</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完成值</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权重</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得分</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产出指标</w:t>
            </w: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数量指标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规划成果电子档</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份</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规划成果纸质档</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5</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份</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质量指标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专家评审及审查通过率</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20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时效指标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按期完成投资</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效益指标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社会效益指标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带动区域经济发展</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明显</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可持续影响指标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项目持续发挥作用的期限</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定性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长期</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其他</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成本指标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经济成本指标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编制服务费</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14.4</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万元</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trPr>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满意度指标</w:t>
            </w:r>
          </w:p>
        </w:tc>
        <w:tc>
          <w:tcPr>
            <w:tcW w:w="7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服务对象满意度指标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满足群众出行交通需求满意度</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80</w:t>
            </w:r>
          </w:p>
        </w:tc>
        <w:tc>
          <w:tcPr>
            <w:tcW w:w="5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6706"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合计</w:t>
            </w:r>
          </w:p>
        </w:tc>
        <w:tc>
          <w:tcPr>
            <w:tcW w:w="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4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100</w:t>
            </w:r>
          </w:p>
        </w:tc>
        <w:tc>
          <w:tcPr>
            <w:tcW w:w="1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评价结论</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综上所述，罗江区“十四五”交通运输规划编制和农村公路专项规划编制完成率较好，有效完成预期目标，自评得分100分。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存在问题</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 xml:space="preserve">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default" w:ascii="宋体" w:hAnsi="宋体" w:eastAsia="宋体" w:cs="宋体"/>
                <w:i w:val="0"/>
                <w:color w:val="000000"/>
                <w:kern w:val="0"/>
                <w:sz w:val="18"/>
                <w:szCs w:val="18"/>
                <w:u w:val="none"/>
                <w:lang w:val="en-US" w:eastAsia="zh-CN" w:bidi="ar"/>
              </w:rPr>
              <w:t>改进措施</w:t>
            </w:r>
          </w:p>
        </w:tc>
        <w:tc>
          <w:tcPr>
            <w:tcW w:w="8169"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color w:val="000000"/>
                <w:sz w:val="16"/>
                <w:szCs w:val="16"/>
                <w:u w:val="none"/>
              </w:rPr>
            </w:pPr>
            <w:r>
              <w:rPr>
                <w:rFonts w:hint="eastAsia" w:ascii="微软雅黑" w:hAnsi="微软雅黑" w:eastAsia="微软雅黑" w:cs="微软雅黑"/>
                <w:i/>
                <w:color w:val="000000"/>
                <w:kern w:val="0"/>
                <w:sz w:val="16"/>
                <w:szCs w:val="16"/>
                <w:u w:val="none"/>
                <w:lang w:val="en-US" w:eastAsia="zh-CN" w:bidi="ar"/>
              </w:rPr>
              <w:t xml:space="preserve">无 </w:t>
            </w:r>
          </w:p>
        </w:tc>
      </w:tr>
    </w:tbl>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p>
      <w:pPr>
        <w:pStyle w:val="3"/>
        <w:rPr>
          <w:rFonts w:hint="eastAsia" w:ascii="黑体" w:hAnsi="黑体" w:eastAsia="黑体" w:cs="黑体"/>
          <w:sz w:val="44"/>
          <w:szCs w:val="44"/>
          <w:lang w:val="en-US"/>
        </w:rPr>
      </w:pPr>
    </w:p>
    <w:tbl>
      <w:tblPr>
        <w:tblStyle w:val="8"/>
        <w:tblW w:w="8466" w:type="dxa"/>
        <w:tblInd w:w="89" w:type="dxa"/>
        <w:tblLayout w:type="fixed"/>
        <w:tblCellMar>
          <w:top w:w="0" w:type="dxa"/>
          <w:left w:w="108" w:type="dxa"/>
          <w:bottom w:w="0" w:type="dxa"/>
          <w:right w:w="108" w:type="dxa"/>
        </w:tblCellMar>
      </w:tblPr>
      <w:tblGrid>
        <w:gridCol w:w="646"/>
        <w:gridCol w:w="674"/>
        <w:gridCol w:w="886"/>
        <w:gridCol w:w="1031"/>
        <w:gridCol w:w="473"/>
        <w:gridCol w:w="522"/>
        <w:gridCol w:w="473"/>
        <w:gridCol w:w="845"/>
        <w:gridCol w:w="463"/>
        <w:gridCol w:w="463"/>
        <w:gridCol w:w="1990"/>
      </w:tblGrid>
      <w:tr>
        <w:tblPrEx>
          <w:tblCellMar>
            <w:top w:w="0" w:type="dxa"/>
            <w:left w:w="108" w:type="dxa"/>
            <w:bottom w:w="0" w:type="dxa"/>
            <w:right w:w="108" w:type="dxa"/>
          </w:tblCellMar>
        </w:tblPrEx>
        <w:trPr>
          <w:trHeight w:val="904" w:hRule="atLeast"/>
        </w:trPr>
        <w:tc>
          <w:tcPr>
            <w:tcW w:w="8466" w:type="dxa"/>
            <w:gridSpan w:val="11"/>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hAnsi="黑体" w:eastAsia="黑体" w:cs="宋体"/>
                <w:b/>
                <w:bCs/>
                <w:color w:val="000000"/>
                <w:kern w:val="0"/>
                <w:sz w:val="16"/>
                <w:szCs w:val="16"/>
              </w:rPr>
            </w:pPr>
            <w:r>
              <w:rPr>
                <w:rFonts w:hint="eastAsia" w:ascii="黑体" w:hAnsi="黑体" w:eastAsia="黑体" w:cs="宋体"/>
                <w:b/>
                <w:bCs/>
                <w:color w:val="000000"/>
                <w:kern w:val="0"/>
                <w:sz w:val="24"/>
                <w:szCs w:val="24"/>
              </w:rPr>
              <w:t>部门预算项目支出绩效自评表（2022年度）</w:t>
            </w:r>
          </w:p>
        </w:tc>
      </w:tr>
      <w:tr>
        <w:tblPrEx>
          <w:tblCellMar>
            <w:top w:w="0" w:type="dxa"/>
            <w:left w:w="108" w:type="dxa"/>
            <w:bottom w:w="0" w:type="dxa"/>
            <w:right w:w="108" w:type="dxa"/>
          </w:tblCellMar>
        </w:tblPrEx>
        <w:trPr>
          <w:trHeight w:val="285" w:hRule="atLeast"/>
        </w:trPr>
        <w:tc>
          <w:tcPr>
            <w:tcW w:w="132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项目名称</w:t>
            </w:r>
          </w:p>
        </w:tc>
        <w:tc>
          <w:tcPr>
            <w:tcW w:w="7146" w:type="dxa"/>
            <w:gridSpan w:val="9"/>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51060422T000000326268-科技治超</w:t>
            </w:r>
          </w:p>
        </w:tc>
      </w:tr>
      <w:tr>
        <w:tblPrEx>
          <w:tblCellMar>
            <w:top w:w="0" w:type="dxa"/>
            <w:left w:w="108" w:type="dxa"/>
            <w:bottom w:w="0" w:type="dxa"/>
            <w:right w:w="108" w:type="dxa"/>
          </w:tblCellMar>
        </w:tblPrEx>
        <w:trPr>
          <w:trHeight w:val="514" w:hRule="atLeast"/>
        </w:trPr>
        <w:tc>
          <w:tcPr>
            <w:tcW w:w="132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主管部门</w:t>
            </w:r>
          </w:p>
        </w:tc>
        <w:tc>
          <w:tcPr>
            <w:tcW w:w="3385" w:type="dxa"/>
            <w:gridSpan w:val="5"/>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德阳市罗江区交通运输局本级</w:t>
            </w:r>
          </w:p>
        </w:tc>
        <w:tc>
          <w:tcPr>
            <w:tcW w:w="845" w:type="dxa"/>
            <w:tcBorders>
              <w:top w:val="nil"/>
              <w:left w:val="nil"/>
              <w:bottom w:val="nil"/>
              <w:right w:val="nil"/>
            </w:tcBorders>
            <w:noWrap w:val="0"/>
            <w:vAlign w:val="center"/>
          </w:tcPr>
          <w:p>
            <w:pPr>
              <w:widowControl/>
              <w:jc w:val="left"/>
              <w:rPr>
                <w:rFonts w:ascii="Courier New" w:hAnsi="Courier New" w:cs="Courier New"/>
                <w:color w:val="000000"/>
                <w:kern w:val="0"/>
                <w:sz w:val="16"/>
                <w:szCs w:val="16"/>
              </w:rPr>
            </w:pPr>
            <w:r>
              <w:rPr>
                <w:rFonts w:ascii="Courier New" w:hAnsi="Courier New" w:cs="Courier New"/>
                <w:color w:val="000000"/>
                <w:kern w:val="0"/>
                <w:sz w:val="16"/>
                <w:szCs w:val="16"/>
              </w:rPr>
              <w:t>实施单位 （盖章）</w:t>
            </w:r>
          </w:p>
        </w:tc>
        <w:tc>
          <w:tcPr>
            <w:tcW w:w="291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德阳市罗江区公路路政管理所</w:t>
            </w:r>
          </w:p>
        </w:tc>
      </w:tr>
      <w:tr>
        <w:tblPrEx>
          <w:tblCellMar>
            <w:top w:w="0" w:type="dxa"/>
            <w:left w:w="108" w:type="dxa"/>
            <w:bottom w:w="0" w:type="dxa"/>
            <w:right w:w="108" w:type="dxa"/>
          </w:tblCellMar>
        </w:tblPrEx>
        <w:trPr>
          <w:trHeight w:val="285" w:hRule="atLeast"/>
        </w:trPr>
        <w:tc>
          <w:tcPr>
            <w:tcW w:w="646" w:type="dxa"/>
            <w:vMerge w:val="restart"/>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项目基本情况</w:t>
            </w:r>
          </w:p>
        </w:tc>
        <w:tc>
          <w:tcPr>
            <w:tcW w:w="674" w:type="dxa"/>
            <w:vMerge w:val="restart"/>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1.项目年度目标完成情况</w:t>
            </w:r>
          </w:p>
        </w:tc>
        <w:tc>
          <w:tcPr>
            <w:tcW w:w="3385" w:type="dxa"/>
            <w:gridSpan w:val="5"/>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项目年度目标</w:t>
            </w:r>
          </w:p>
        </w:tc>
        <w:tc>
          <w:tcPr>
            <w:tcW w:w="3761" w:type="dxa"/>
            <w:gridSpan w:val="4"/>
            <w:tcBorders>
              <w:top w:val="single" w:color="000000" w:sz="4" w:space="0"/>
              <w:left w:val="nil"/>
              <w:bottom w:val="single" w:color="000000" w:sz="4" w:space="0"/>
              <w:right w:val="single" w:color="000000" w:sz="4" w:space="0"/>
            </w:tcBorders>
            <w:noWrap w:val="0"/>
            <w:vAlign w:val="center"/>
          </w:tcPr>
          <w:p>
            <w:pPr>
              <w:widowControl/>
              <w:jc w:val="center"/>
              <w:rPr>
                <w:rFonts w:ascii="Courier New" w:hAnsi="Courier New" w:cs="Courier New"/>
                <w:color w:val="000000"/>
                <w:kern w:val="0"/>
                <w:sz w:val="16"/>
                <w:szCs w:val="16"/>
              </w:rPr>
            </w:pPr>
            <w:r>
              <w:rPr>
                <w:rFonts w:ascii="Courier New" w:hAnsi="Courier New" w:cs="Courier New"/>
                <w:color w:val="000000"/>
                <w:kern w:val="0"/>
                <w:sz w:val="16"/>
                <w:szCs w:val="16"/>
              </w:rPr>
              <w:t>年度目标完成情况</w:t>
            </w:r>
          </w:p>
        </w:tc>
      </w:tr>
      <w:tr>
        <w:tblPrEx>
          <w:tblCellMar>
            <w:top w:w="0" w:type="dxa"/>
            <w:left w:w="108" w:type="dxa"/>
            <w:bottom w:w="0" w:type="dxa"/>
            <w:right w:w="108" w:type="dxa"/>
          </w:tblCellMar>
        </w:tblPrEx>
        <w:trPr>
          <w:trHeight w:val="709" w:hRule="atLeast"/>
        </w:trPr>
        <w:tc>
          <w:tcPr>
            <w:tcW w:w="646"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p>
        </w:tc>
        <w:tc>
          <w:tcPr>
            <w:tcW w:w="674"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p>
        </w:tc>
        <w:tc>
          <w:tcPr>
            <w:tcW w:w="3385" w:type="dxa"/>
            <w:gridSpan w:val="5"/>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为更好的开展超限超载治理工作，加强科技投入，推进科技治超工作，满足我区经济持续发展对公路运输的要求，确保公路路产、路权不受侵犯，维护公路完好、安全、畅通。</w:t>
            </w:r>
          </w:p>
        </w:tc>
        <w:tc>
          <w:tcPr>
            <w:tcW w:w="3761" w:type="dxa"/>
            <w:gridSpan w:val="4"/>
            <w:tcBorders>
              <w:top w:val="single" w:color="000000" w:sz="4" w:space="0"/>
              <w:left w:val="nil"/>
              <w:bottom w:val="single" w:color="000000" w:sz="4" w:space="0"/>
              <w:right w:val="single" w:color="000000" w:sz="4" w:space="0"/>
            </w:tcBorders>
            <w:noWrap w:val="0"/>
            <w:vAlign w:val="center"/>
          </w:tcPr>
          <w:p>
            <w:pPr>
              <w:widowControl/>
              <w:jc w:val="left"/>
              <w:rPr>
                <w:rFonts w:ascii="Courier New" w:hAnsi="Courier New" w:cs="Courier New"/>
                <w:color w:val="000000"/>
                <w:kern w:val="0"/>
                <w:sz w:val="16"/>
                <w:szCs w:val="16"/>
              </w:rPr>
            </w:pPr>
            <w:r>
              <w:rPr>
                <w:rFonts w:ascii="Courier New" w:hAnsi="Courier New" w:cs="Courier New"/>
                <w:color w:val="000000"/>
                <w:kern w:val="0"/>
                <w:sz w:val="16"/>
                <w:szCs w:val="16"/>
              </w:rPr>
              <w:t>对照年度目标，说明相关任务目标的完成情况（100字以内）</w:t>
            </w:r>
          </w:p>
        </w:tc>
      </w:tr>
      <w:tr>
        <w:tblPrEx>
          <w:tblCellMar>
            <w:top w:w="0" w:type="dxa"/>
            <w:left w:w="108" w:type="dxa"/>
            <w:bottom w:w="0" w:type="dxa"/>
            <w:right w:w="108" w:type="dxa"/>
          </w:tblCellMar>
        </w:tblPrEx>
        <w:trPr>
          <w:trHeight w:val="694" w:hRule="atLeast"/>
        </w:trPr>
        <w:tc>
          <w:tcPr>
            <w:tcW w:w="646"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p>
        </w:tc>
        <w:tc>
          <w:tcPr>
            <w:tcW w:w="674" w:type="dxa"/>
            <w:tcBorders>
              <w:top w:val="nil"/>
              <w:left w:val="nil"/>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2.项目实施内容及过程概述</w:t>
            </w:r>
          </w:p>
        </w:tc>
        <w:tc>
          <w:tcPr>
            <w:tcW w:w="7146" w:type="dxa"/>
            <w:gridSpan w:val="9"/>
            <w:tcBorders>
              <w:top w:val="single" w:color="000000" w:sz="4" w:space="0"/>
              <w:left w:val="nil"/>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科技治超</w:t>
            </w:r>
          </w:p>
        </w:tc>
      </w:tr>
      <w:tr>
        <w:tblPrEx>
          <w:tblCellMar>
            <w:top w:w="0" w:type="dxa"/>
            <w:left w:w="108" w:type="dxa"/>
            <w:bottom w:w="0" w:type="dxa"/>
            <w:right w:w="108" w:type="dxa"/>
          </w:tblCellMar>
        </w:tblPrEx>
        <w:trPr>
          <w:trHeight w:val="360" w:hRule="atLeast"/>
        </w:trPr>
        <w:tc>
          <w:tcPr>
            <w:tcW w:w="646"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预算执行情况（10分）</w:t>
            </w:r>
          </w:p>
        </w:tc>
        <w:tc>
          <w:tcPr>
            <w:tcW w:w="67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年度预算数（万元）</w:t>
            </w:r>
          </w:p>
        </w:tc>
        <w:tc>
          <w:tcPr>
            <w:tcW w:w="88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年初预算</w:t>
            </w:r>
          </w:p>
        </w:tc>
        <w:tc>
          <w:tcPr>
            <w:tcW w:w="1031"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调整后预算数</w:t>
            </w:r>
          </w:p>
        </w:tc>
        <w:tc>
          <w:tcPr>
            <w:tcW w:w="1468"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预算执行数</w:t>
            </w:r>
          </w:p>
        </w:tc>
        <w:tc>
          <w:tcPr>
            <w:tcW w:w="8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预算执行率</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权重</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得分</w:t>
            </w:r>
          </w:p>
        </w:tc>
        <w:tc>
          <w:tcPr>
            <w:tcW w:w="1990"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原因</w:t>
            </w:r>
          </w:p>
        </w:tc>
      </w:tr>
      <w:tr>
        <w:tblPrEx>
          <w:tblCellMar>
            <w:top w:w="0" w:type="dxa"/>
            <w:left w:w="108" w:type="dxa"/>
            <w:bottom w:w="0" w:type="dxa"/>
            <w:right w:w="108" w:type="dxa"/>
          </w:tblCellMar>
        </w:tblPrEx>
        <w:trPr>
          <w:trHeight w:val="387" w:hRule="atLeast"/>
        </w:trPr>
        <w:tc>
          <w:tcPr>
            <w:tcW w:w="646"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p>
        </w:tc>
        <w:tc>
          <w:tcPr>
            <w:tcW w:w="67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总额</w:t>
            </w:r>
          </w:p>
        </w:tc>
        <w:tc>
          <w:tcPr>
            <w:tcW w:w="88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573.00</w:t>
            </w:r>
          </w:p>
        </w:tc>
        <w:tc>
          <w:tcPr>
            <w:tcW w:w="1031"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14.35</w:t>
            </w:r>
          </w:p>
        </w:tc>
        <w:tc>
          <w:tcPr>
            <w:tcW w:w="1468"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14.35</w:t>
            </w:r>
          </w:p>
        </w:tc>
        <w:tc>
          <w:tcPr>
            <w:tcW w:w="8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100.00%</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10</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10</w:t>
            </w:r>
          </w:p>
        </w:tc>
        <w:tc>
          <w:tcPr>
            <w:tcW w:w="1990" w:type="dxa"/>
            <w:vMerge w:val="restart"/>
            <w:tcBorders>
              <w:top w:val="nil"/>
              <w:left w:val="single" w:color="000000" w:sz="4" w:space="0"/>
              <w:bottom w:val="single" w:color="000000" w:sz="4" w:space="0"/>
              <w:right w:val="single" w:color="000000" w:sz="4" w:space="0"/>
            </w:tcBorders>
            <w:noWrap w:val="0"/>
            <w:vAlign w:val="center"/>
          </w:tcPr>
          <w:p>
            <w:pPr>
              <w:widowControl/>
              <w:jc w:val="left"/>
              <w:rPr>
                <w:rFonts w:ascii="Courier New" w:hAnsi="Courier New" w:cs="Courier New"/>
                <w:i/>
                <w:iCs/>
                <w:color w:val="000000"/>
                <w:kern w:val="0"/>
                <w:sz w:val="16"/>
                <w:szCs w:val="16"/>
              </w:rPr>
            </w:pPr>
            <w:r>
              <w:rPr>
                <w:rFonts w:ascii="Courier New" w:hAnsi="Courier New" w:cs="Courier New"/>
                <w:i/>
                <w:iCs/>
                <w:color w:val="000000"/>
                <w:kern w:val="0"/>
                <w:sz w:val="16"/>
                <w:szCs w:val="16"/>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32" w:hRule="atLeast"/>
        </w:trPr>
        <w:tc>
          <w:tcPr>
            <w:tcW w:w="646"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p>
        </w:tc>
        <w:tc>
          <w:tcPr>
            <w:tcW w:w="67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其中：财政资金</w:t>
            </w:r>
          </w:p>
        </w:tc>
        <w:tc>
          <w:tcPr>
            <w:tcW w:w="88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573.00</w:t>
            </w:r>
          </w:p>
        </w:tc>
        <w:tc>
          <w:tcPr>
            <w:tcW w:w="1031"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14.35</w:t>
            </w:r>
          </w:p>
        </w:tc>
        <w:tc>
          <w:tcPr>
            <w:tcW w:w="1468"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14.35</w:t>
            </w:r>
          </w:p>
        </w:tc>
        <w:tc>
          <w:tcPr>
            <w:tcW w:w="8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100.00%</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99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Courier New" w:hAnsi="Courier New" w:cs="Courier New"/>
                <w:i/>
                <w:iCs/>
                <w:color w:val="000000"/>
                <w:kern w:val="0"/>
                <w:sz w:val="16"/>
                <w:szCs w:val="16"/>
              </w:rPr>
            </w:pPr>
          </w:p>
        </w:tc>
      </w:tr>
      <w:tr>
        <w:tblPrEx>
          <w:tblCellMar>
            <w:top w:w="0" w:type="dxa"/>
            <w:left w:w="108" w:type="dxa"/>
            <w:bottom w:w="0" w:type="dxa"/>
            <w:right w:w="108" w:type="dxa"/>
          </w:tblCellMar>
        </w:tblPrEx>
        <w:trPr>
          <w:trHeight w:val="447" w:hRule="atLeast"/>
        </w:trPr>
        <w:tc>
          <w:tcPr>
            <w:tcW w:w="646"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p>
        </w:tc>
        <w:tc>
          <w:tcPr>
            <w:tcW w:w="67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财政专户管理资金</w:t>
            </w:r>
          </w:p>
        </w:tc>
        <w:tc>
          <w:tcPr>
            <w:tcW w:w="88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0.00</w:t>
            </w:r>
          </w:p>
        </w:tc>
        <w:tc>
          <w:tcPr>
            <w:tcW w:w="1031"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0.00</w:t>
            </w:r>
          </w:p>
        </w:tc>
        <w:tc>
          <w:tcPr>
            <w:tcW w:w="1468"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0.00</w:t>
            </w:r>
          </w:p>
        </w:tc>
        <w:tc>
          <w:tcPr>
            <w:tcW w:w="8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0.00%</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99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Courier New" w:hAnsi="Courier New" w:cs="Courier New"/>
                <w:i/>
                <w:iCs/>
                <w:color w:val="000000"/>
                <w:kern w:val="0"/>
                <w:sz w:val="16"/>
                <w:szCs w:val="16"/>
              </w:rPr>
            </w:pPr>
          </w:p>
        </w:tc>
      </w:tr>
      <w:tr>
        <w:tblPrEx>
          <w:tblCellMar>
            <w:top w:w="0" w:type="dxa"/>
            <w:left w:w="108" w:type="dxa"/>
            <w:bottom w:w="0" w:type="dxa"/>
            <w:right w:w="108" w:type="dxa"/>
          </w:tblCellMar>
        </w:tblPrEx>
        <w:trPr>
          <w:trHeight w:val="402" w:hRule="atLeast"/>
        </w:trPr>
        <w:tc>
          <w:tcPr>
            <w:tcW w:w="646"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p>
        </w:tc>
        <w:tc>
          <w:tcPr>
            <w:tcW w:w="67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单位资金</w:t>
            </w:r>
          </w:p>
        </w:tc>
        <w:tc>
          <w:tcPr>
            <w:tcW w:w="88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0.00</w:t>
            </w:r>
          </w:p>
        </w:tc>
        <w:tc>
          <w:tcPr>
            <w:tcW w:w="1031"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0.00</w:t>
            </w:r>
          </w:p>
        </w:tc>
        <w:tc>
          <w:tcPr>
            <w:tcW w:w="1468"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0.00</w:t>
            </w:r>
          </w:p>
        </w:tc>
        <w:tc>
          <w:tcPr>
            <w:tcW w:w="8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0.00%</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99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Courier New" w:hAnsi="Courier New" w:cs="Courier New"/>
                <w:i/>
                <w:iCs/>
                <w:color w:val="000000"/>
                <w:kern w:val="0"/>
                <w:sz w:val="16"/>
                <w:szCs w:val="16"/>
              </w:rPr>
            </w:pPr>
          </w:p>
        </w:tc>
      </w:tr>
      <w:tr>
        <w:tblPrEx>
          <w:tblCellMar>
            <w:top w:w="0" w:type="dxa"/>
            <w:left w:w="108" w:type="dxa"/>
            <w:bottom w:w="0" w:type="dxa"/>
            <w:right w:w="108" w:type="dxa"/>
          </w:tblCellMar>
        </w:tblPrEx>
        <w:trPr>
          <w:trHeight w:val="379" w:hRule="atLeast"/>
        </w:trPr>
        <w:tc>
          <w:tcPr>
            <w:tcW w:w="646"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p>
        </w:tc>
        <w:tc>
          <w:tcPr>
            <w:tcW w:w="67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其他资金</w:t>
            </w:r>
          </w:p>
        </w:tc>
        <w:tc>
          <w:tcPr>
            <w:tcW w:w="886" w:type="dxa"/>
            <w:tcBorders>
              <w:top w:val="nil"/>
              <w:left w:val="nil"/>
              <w:bottom w:val="single" w:color="000000" w:sz="4" w:space="0"/>
              <w:right w:val="single" w:color="000000" w:sz="4" w:space="0"/>
            </w:tcBorders>
            <w:noWrap w:val="0"/>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031" w:type="dxa"/>
            <w:tcBorders>
              <w:top w:val="nil"/>
              <w:left w:val="nil"/>
              <w:bottom w:val="single" w:color="000000" w:sz="4" w:space="0"/>
              <w:right w:val="single" w:color="000000" w:sz="4" w:space="0"/>
            </w:tcBorders>
            <w:noWrap w:val="0"/>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468" w:type="dxa"/>
            <w:gridSpan w:val="3"/>
            <w:tcBorders>
              <w:top w:val="single" w:color="000000" w:sz="4" w:space="0"/>
              <w:left w:val="nil"/>
              <w:bottom w:val="single" w:color="000000" w:sz="4" w:space="0"/>
              <w:right w:val="single" w:color="000000" w:sz="4" w:space="0"/>
            </w:tcBorders>
            <w:noWrap w:val="0"/>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845" w:type="dxa"/>
            <w:tcBorders>
              <w:top w:val="nil"/>
              <w:left w:val="nil"/>
              <w:bottom w:val="single" w:color="000000" w:sz="4" w:space="0"/>
              <w:right w:val="single" w:color="000000" w:sz="4" w:space="0"/>
            </w:tcBorders>
            <w:noWrap w:val="0"/>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1990"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Courier New" w:hAnsi="Courier New" w:cs="Courier New"/>
                <w:i/>
                <w:iCs/>
                <w:color w:val="000000"/>
                <w:kern w:val="0"/>
                <w:sz w:val="16"/>
                <w:szCs w:val="16"/>
              </w:rPr>
            </w:pPr>
          </w:p>
        </w:tc>
      </w:tr>
      <w:tr>
        <w:tblPrEx>
          <w:tblCellMar>
            <w:top w:w="0" w:type="dxa"/>
            <w:left w:w="108" w:type="dxa"/>
            <w:bottom w:w="0" w:type="dxa"/>
            <w:right w:w="108" w:type="dxa"/>
          </w:tblCellMar>
        </w:tblPrEx>
        <w:trPr>
          <w:trHeight w:val="454" w:hRule="atLeast"/>
        </w:trPr>
        <w:tc>
          <w:tcPr>
            <w:tcW w:w="646"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绩效指标（90分）</w:t>
            </w:r>
          </w:p>
        </w:tc>
        <w:tc>
          <w:tcPr>
            <w:tcW w:w="67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一级指标</w:t>
            </w:r>
          </w:p>
        </w:tc>
        <w:tc>
          <w:tcPr>
            <w:tcW w:w="88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二级指标</w:t>
            </w:r>
          </w:p>
        </w:tc>
        <w:tc>
          <w:tcPr>
            <w:tcW w:w="1031"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三级指标</w:t>
            </w:r>
          </w:p>
        </w:tc>
        <w:tc>
          <w:tcPr>
            <w:tcW w:w="47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指标性质</w:t>
            </w:r>
          </w:p>
        </w:tc>
        <w:tc>
          <w:tcPr>
            <w:tcW w:w="52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指标值</w:t>
            </w:r>
          </w:p>
        </w:tc>
        <w:tc>
          <w:tcPr>
            <w:tcW w:w="47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度量单位</w:t>
            </w:r>
          </w:p>
        </w:tc>
        <w:tc>
          <w:tcPr>
            <w:tcW w:w="8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完成值</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权重</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得分</w:t>
            </w:r>
          </w:p>
        </w:tc>
        <w:tc>
          <w:tcPr>
            <w:tcW w:w="1990"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未完成原因分析</w:t>
            </w:r>
          </w:p>
        </w:tc>
      </w:tr>
      <w:tr>
        <w:tblPrEx>
          <w:tblCellMar>
            <w:top w:w="0" w:type="dxa"/>
            <w:left w:w="108" w:type="dxa"/>
            <w:bottom w:w="0" w:type="dxa"/>
            <w:right w:w="108" w:type="dxa"/>
          </w:tblCellMar>
        </w:tblPrEx>
        <w:trPr>
          <w:trHeight w:val="338" w:hRule="atLeast"/>
        </w:trPr>
        <w:tc>
          <w:tcPr>
            <w:tcW w:w="646"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p>
        </w:tc>
        <w:tc>
          <w:tcPr>
            <w:tcW w:w="674" w:type="dxa"/>
            <w:vMerge w:val="restart"/>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产出指标</w:t>
            </w:r>
          </w:p>
        </w:tc>
        <w:tc>
          <w:tcPr>
            <w:tcW w:w="88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数量指标</w:t>
            </w:r>
          </w:p>
        </w:tc>
        <w:tc>
          <w:tcPr>
            <w:tcW w:w="1031"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科技治超站点</w:t>
            </w:r>
          </w:p>
        </w:tc>
        <w:tc>
          <w:tcPr>
            <w:tcW w:w="47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52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w:t>
            </w:r>
          </w:p>
        </w:tc>
        <w:tc>
          <w:tcPr>
            <w:tcW w:w="47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座</w:t>
            </w:r>
          </w:p>
        </w:tc>
        <w:tc>
          <w:tcPr>
            <w:tcW w:w="8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100.00%</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10</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10</w:t>
            </w:r>
          </w:p>
        </w:tc>
        <w:tc>
          <w:tcPr>
            <w:tcW w:w="1990" w:type="dxa"/>
            <w:tcBorders>
              <w:top w:val="nil"/>
              <w:left w:val="nil"/>
              <w:bottom w:val="single" w:color="000000" w:sz="4" w:space="0"/>
              <w:right w:val="single" w:color="000000" w:sz="4" w:space="0"/>
            </w:tcBorders>
            <w:noWrap w:val="0"/>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646"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p>
        </w:tc>
        <w:tc>
          <w:tcPr>
            <w:tcW w:w="674"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p>
        </w:tc>
        <w:tc>
          <w:tcPr>
            <w:tcW w:w="88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质量指标</w:t>
            </w:r>
          </w:p>
        </w:tc>
        <w:tc>
          <w:tcPr>
            <w:tcW w:w="1031"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项目完工验收合格率</w:t>
            </w:r>
          </w:p>
        </w:tc>
        <w:tc>
          <w:tcPr>
            <w:tcW w:w="47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52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100</w:t>
            </w:r>
          </w:p>
        </w:tc>
        <w:tc>
          <w:tcPr>
            <w:tcW w:w="47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100.00%</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20</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20</w:t>
            </w:r>
          </w:p>
        </w:tc>
        <w:tc>
          <w:tcPr>
            <w:tcW w:w="1990" w:type="dxa"/>
            <w:tcBorders>
              <w:top w:val="nil"/>
              <w:left w:val="nil"/>
              <w:bottom w:val="single" w:color="000000" w:sz="4" w:space="0"/>
              <w:right w:val="single" w:color="000000" w:sz="4" w:space="0"/>
            </w:tcBorders>
            <w:noWrap w:val="0"/>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646"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p>
        </w:tc>
        <w:tc>
          <w:tcPr>
            <w:tcW w:w="674"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p>
        </w:tc>
        <w:tc>
          <w:tcPr>
            <w:tcW w:w="88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时效指标</w:t>
            </w:r>
          </w:p>
        </w:tc>
        <w:tc>
          <w:tcPr>
            <w:tcW w:w="1031"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完成时间</w:t>
            </w:r>
          </w:p>
        </w:tc>
        <w:tc>
          <w:tcPr>
            <w:tcW w:w="47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52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200</w:t>
            </w:r>
          </w:p>
        </w:tc>
        <w:tc>
          <w:tcPr>
            <w:tcW w:w="47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年</w:t>
            </w:r>
          </w:p>
        </w:tc>
        <w:tc>
          <w:tcPr>
            <w:tcW w:w="8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100.00%</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20</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20</w:t>
            </w:r>
          </w:p>
        </w:tc>
        <w:tc>
          <w:tcPr>
            <w:tcW w:w="1990" w:type="dxa"/>
            <w:tcBorders>
              <w:top w:val="nil"/>
              <w:left w:val="nil"/>
              <w:bottom w:val="single" w:color="000000" w:sz="4" w:space="0"/>
              <w:right w:val="single" w:color="000000" w:sz="4" w:space="0"/>
            </w:tcBorders>
            <w:noWrap w:val="0"/>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338" w:hRule="atLeast"/>
        </w:trPr>
        <w:tc>
          <w:tcPr>
            <w:tcW w:w="646"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p>
        </w:tc>
        <w:tc>
          <w:tcPr>
            <w:tcW w:w="674"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p>
        </w:tc>
        <w:tc>
          <w:tcPr>
            <w:tcW w:w="88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成本指标</w:t>
            </w:r>
          </w:p>
        </w:tc>
        <w:tc>
          <w:tcPr>
            <w:tcW w:w="1031"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科技治超站点资金</w:t>
            </w:r>
          </w:p>
        </w:tc>
        <w:tc>
          <w:tcPr>
            <w:tcW w:w="47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52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573</w:t>
            </w:r>
          </w:p>
        </w:tc>
        <w:tc>
          <w:tcPr>
            <w:tcW w:w="47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万元</w:t>
            </w:r>
          </w:p>
        </w:tc>
        <w:tc>
          <w:tcPr>
            <w:tcW w:w="8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100.00%</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20</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20</w:t>
            </w:r>
          </w:p>
        </w:tc>
        <w:tc>
          <w:tcPr>
            <w:tcW w:w="1990" w:type="dxa"/>
            <w:tcBorders>
              <w:top w:val="nil"/>
              <w:left w:val="nil"/>
              <w:bottom w:val="single" w:color="000000" w:sz="4" w:space="0"/>
              <w:right w:val="single" w:color="000000" w:sz="4" w:space="0"/>
            </w:tcBorders>
            <w:noWrap w:val="0"/>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454" w:hRule="atLeast"/>
        </w:trPr>
        <w:tc>
          <w:tcPr>
            <w:tcW w:w="646"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p>
        </w:tc>
        <w:tc>
          <w:tcPr>
            <w:tcW w:w="67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效益指标</w:t>
            </w:r>
          </w:p>
        </w:tc>
        <w:tc>
          <w:tcPr>
            <w:tcW w:w="88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可持续发展指标</w:t>
            </w:r>
          </w:p>
        </w:tc>
        <w:tc>
          <w:tcPr>
            <w:tcW w:w="1031"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项目建成适适应未来一定时期内交通需求</w:t>
            </w:r>
          </w:p>
        </w:tc>
        <w:tc>
          <w:tcPr>
            <w:tcW w:w="47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定性</w:t>
            </w:r>
          </w:p>
        </w:tc>
        <w:tc>
          <w:tcPr>
            <w:tcW w:w="52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高中低</w:t>
            </w:r>
          </w:p>
        </w:tc>
        <w:tc>
          <w:tcPr>
            <w:tcW w:w="47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其他</w:t>
            </w:r>
          </w:p>
        </w:tc>
        <w:tc>
          <w:tcPr>
            <w:tcW w:w="8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100.00%</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10</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10</w:t>
            </w:r>
          </w:p>
        </w:tc>
        <w:tc>
          <w:tcPr>
            <w:tcW w:w="1990" w:type="dxa"/>
            <w:tcBorders>
              <w:top w:val="nil"/>
              <w:left w:val="nil"/>
              <w:bottom w:val="single" w:color="000000" w:sz="4" w:space="0"/>
              <w:right w:val="single" w:color="000000" w:sz="4" w:space="0"/>
            </w:tcBorders>
            <w:noWrap w:val="0"/>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454" w:hRule="atLeast"/>
        </w:trPr>
        <w:tc>
          <w:tcPr>
            <w:tcW w:w="646" w:type="dxa"/>
            <w:vMerge w:val="continue"/>
            <w:tcBorders>
              <w:top w:val="nil"/>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p>
        </w:tc>
        <w:tc>
          <w:tcPr>
            <w:tcW w:w="674"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满意度指标</w:t>
            </w:r>
          </w:p>
        </w:tc>
        <w:tc>
          <w:tcPr>
            <w:tcW w:w="886"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服务对象满意度指标</w:t>
            </w:r>
          </w:p>
        </w:tc>
        <w:tc>
          <w:tcPr>
            <w:tcW w:w="1031"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受益群众满意度</w:t>
            </w:r>
          </w:p>
        </w:tc>
        <w:tc>
          <w:tcPr>
            <w:tcW w:w="47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522"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80</w:t>
            </w:r>
          </w:p>
        </w:tc>
        <w:tc>
          <w:tcPr>
            <w:tcW w:w="47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w:t>
            </w:r>
          </w:p>
        </w:tc>
        <w:tc>
          <w:tcPr>
            <w:tcW w:w="845"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100.00%</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10</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10</w:t>
            </w:r>
          </w:p>
        </w:tc>
        <w:tc>
          <w:tcPr>
            <w:tcW w:w="1990" w:type="dxa"/>
            <w:tcBorders>
              <w:top w:val="nil"/>
              <w:left w:val="nil"/>
              <w:bottom w:val="single" w:color="000000" w:sz="4" w:space="0"/>
              <w:right w:val="single" w:color="000000" w:sz="4" w:space="0"/>
            </w:tcBorders>
            <w:noWrap w:val="0"/>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85" w:hRule="atLeast"/>
        </w:trPr>
        <w:tc>
          <w:tcPr>
            <w:tcW w:w="5550"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合计</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100</w:t>
            </w:r>
          </w:p>
        </w:tc>
        <w:tc>
          <w:tcPr>
            <w:tcW w:w="463" w:type="dxa"/>
            <w:tcBorders>
              <w:top w:val="nil"/>
              <w:left w:val="nil"/>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100</w:t>
            </w:r>
          </w:p>
        </w:tc>
        <w:tc>
          <w:tcPr>
            <w:tcW w:w="1990" w:type="dxa"/>
            <w:tcBorders>
              <w:top w:val="nil"/>
              <w:left w:val="nil"/>
              <w:bottom w:val="single" w:color="000000" w:sz="4" w:space="0"/>
              <w:right w:val="single" w:color="000000" w:sz="4" w:space="0"/>
            </w:tcBorders>
            <w:noWrap w:val="0"/>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604" w:hRule="atLeast"/>
        </w:trPr>
        <w:tc>
          <w:tcPr>
            <w:tcW w:w="646"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评价结论</w:t>
            </w:r>
          </w:p>
        </w:tc>
        <w:tc>
          <w:tcPr>
            <w:tcW w:w="7820" w:type="dxa"/>
            <w:gridSpan w:val="10"/>
            <w:tcBorders>
              <w:top w:val="single" w:color="000000" w:sz="4" w:space="0"/>
              <w:left w:val="nil"/>
              <w:bottom w:val="single" w:color="000000" w:sz="4" w:space="0"/>
              <w:right w:val="single" w:color="000000" w:sz="4" w:space="0"/>
            </w:tcBorders>
            <w:noWrap w:val="0"/>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良好</w:t>
            </w:r>
          </w:p>
        </w:tc>
      </w:tr>
      <w:tr>
        <w:tblPrEx>
          <w:tblCellMar>
            <w:top w:w="0" w:type="dxa"/>
            <w:left w:w="108" w:type="dxa"/>
            <w:bottom w:w="0" w:type="dxa"/>
            <w:right w:w="108" w:type="dxa"/>
          </w:tblCellMar>
        </w:tblPrEx>
        <w:trPr>
          <w:trHeight w:val="574" w:hRule="atLeast"/>
        </w:trPr>
        <w:tc>
          <w:tcPr>
            <w:tcW w:w="646"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存在问题</w:t>
            </w:r>
          </w:p>
        </w:tc>
        <w:tc>
          <w:tcPr>
            <w:tcW w:w="7820" w:type="dxa"/>
            <w:gridSpan w:val="10"/>
            <w:tcBorders>
              <w:top w:val="single" w:color="000000" w:sz="4" w:space="0"/>
              <w:left w:val="nil"/>
              <w:bottom w:val="single" w:color="000000" w:sz="4" w:space="0"/>
              <w:right w:val="single" w:color="000000" w:sz="4" w:space="0"/>
            </w:tcBorders>
            <w:noWrap w:val="0"/>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无</w:t>
            </w:r>
          </w:p>
        </w:tc>
      </w:tr>
      <w:tr>
        <w:tblPrEx>
          <w:tblCellMar>
            <w:top w:w="0" w:type="dxa"/>
            <w:left w:w="108" w:type="dxa"/>
            <w:bottom w:w="0" w:type="dxa"/>
            <w:right w:w="108" w:type="dxa"/>
          </w:tblCellMar>
        </w:tblPrEx>
        <w:trPr>
          <w:trHeight w:val="634" w:hRule="atLeast"/>
        </w:trPr>
        <w:tc>
          <w:tcPr>
            <w:tcW w:w="646" w:type="dxa"/>
            <w:tcBorders>
              <w:top w:val="nil"/>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改进措施</w:t>
            </w:r>
          </w:p>
        </w:tc>
        <w:tc>
          <w:tcPr>
            <w:tcW w:w="7820" w:type="dxa"/>
            <w:gridSpan w:val="10"/>
            <w:tcBorders>
              <w:top w:val="single" w:color="000000" w:sz="4" w:space="0"/>
              <w:left w:val="nil"/>
              <w:bottom w:val="single" w:color="000000" w:sz="4" w:space="0"/>
              <w:right w:val="single" w:color="000000" w:sz="4" w:space="0"/>
            </w:tcBorders>
            <w:noWrap w:val="0"/>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无</w:t>
            </w:r>
          </w:p>
        </w:tc>
      </w:tr>
    </w:tbl>
    <w:p>
      <w:pPr>
        <w:pStyle w:val="3"/>
        <w:rPr>
          <w:rFonts w:hint="eastAsia" w:ascii="黑体" w:hAnsi="黑体" w:eastAsia="黑体" w:cs="黑体"/>
          <w:sz w:val="44"/>
          <w:szCs w:val="44"/>
          <w:lang w:val="en-US"/>
        </w:rPr>
      </w:pPr>
    </w:p>
    <w:p>
      <w:pPr>
        <w:pStyle w:val="4"/>
        <w:bidi w:val="0"/>
        <w:jc w:val="center"/>
        <w:rPr>
          <w:rFonts w:hint="eastAsia" w:ascii="黑体" w:hAnsi="黑体" w:eastAsia="黑体" w:cs="黑体"/>
          <w:sz w:val="44"/>
          <w:szCs w:val="44"/>
          <w:lang w:val="en-US"/>
        </w:rPr>
      </w:pPr>
    </w:p>
    <w:p>
      <w:pPr>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tbl>
      <w:tblPr>
        <w:tblStyle w:val="8"/>
        <w:tblW w:w="9315" w:type="dxa"/>
        <w:tblInd w:w="93" w:type="dxa"/>
        <w:tblLayout w:type="fixed"/>
        <w:tblCellMar>
          <w:top w:w="0" w:type="dxa"/>
          <w:left w:w="108" w:type="dxa"/>
          <w:bottom w:w="0" w:type="dxa"/>
          <w:right w:w="108" w:type="dxa"/>
        </w:tblCellMar>
      </w:tblPr>
      <w:tblGrid>
        <w:gridCol w:w="679"/>
        <w:gridCol w:w="1493"/>
        <w:gridCol w:w="1153"/>
        <w:gridCol w:w="1096"/>
        <w:gridCol w:w="515"/>
        <w:gridCol w:w="696"/>
        <w:gridCol w:w="920"/>
        <w:gridCol w:w="536"/>
        <w:gridCol w:w="536"/>
        <w:gridCol w:w="1691"/>
      </w:tblGrid>
      <w:tr>
        <w:tblPrEx>
          <w:tblCellMar>
            <w:top w:w="0" w:type="dxa"/>
            <w:left w:w="108" w:type="dxa"/>
            <w:bottom w:w="0" w:type="dxa"/>
            <w:right w:w="108" w:type="dxa"/>
          </w:tblCellMar>
        </w:tblPrEx>
        <w:trPr>
          <w:trHeight w:val="904" w:hRule="atLeast"/>
        </w:trPr>
        <w:tc>
          <w:tcPr>
            <w:tcW w:w="9315"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bCs/>
                <w:color w:val="000000"/>
                <w:sz w:val="16"/>
                <w:szCs w:val="16"/>
              </w:rPr>
            </w:pPr>
            <w:r>
              <w:rPr>
                <w:rFonts w:hint="eastAsia" w:ascii="黑体" w:hAnsi="宋体" w:eastAsia="黑体" w:cs="黑体"/>
                <w:b/>
                <w:bCs/>
                <w:color w:val="000000"/>
                <w:kern w:val="0"/>
                <w:sz w:val="16"/>
                <w:szCs w:val="16"/>
                <w:lang w:bidi="ar"/>
              </w:rPr>
              <w:t>部门预算项目支出绩效自评表（2022年度）</w:t>
            </w:r>
          </w:p>
        </w:tc>
      </w:tr>
      <w:tr>
        <w:tblPrEx>
          <w:tblCellMar>
            <w:top w:w="0" w:type="dxa"/>
            <w:left w:w="108" w:type="dxa"/>
            <w:bottom w:w="0" w:type="dxa"/>
            <w:right w:w="108" w:type="dxa"/>
          </w:tblCellMar>
        </w:tblPrEx>
        <w:trPr>
          <w:trHeight w:val="285" w:hRule="atLeast"/>
        </w:trPr>
        <w:tc>
          <w:tcPr>
            <w:tcW w:w="21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项目名称</w:t>
            </w:r>
          </w:p>
        </w:tc>
        <w:tc>
          <w:tcPr>
            <w:tcW w:w="7143"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51060422T000000326170-公路小修保养</w:t>
            </w:r>
          </w:p>
        </w:tc>
      </w:tr>
      <w:tr>
        <w:tblPrEx>
          <w:tblCellMar>
            <w:top w:w="0" w:type="dxa"/>
            <w:left w:w="108" w:type="dxa"/>
            <w:bottom w:w="0" w:type="dxa"/>
            <w:right w:w="108" w:type="dxa"/>
          </w:tblCellMar>
        </w:tblPrEx>
        <w:trPr>
          <w:trHeight w:val="514" w:hRule="atLeast"/>
        </w:trPr>
        <w:tc>
          <w:tcPr>
            <w:tcW w:w="21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主管部门</w:t>
            </w:r>
          </w:p>
        </w:tc>
        <w:tc>
          <w:tcPr>
            <w:tcW w:w="346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德阳市罗江区交通运输局本级</w:t>
            </w:r>
          </w:p>
        </w:tc>
        <w:tc>
          <w:tcPr>
            <w:tcW w:w="920" w:type="dxa"/>
            <w:tcBorders>
              <w:top w:val="nil"/>
              <w:left w:val="nil"/>
              <w:bottom w:val="nil"/>
              <w:right w:val="nil"/>
            </w:tcBorders>
            <w:noWrap w:val="0"/>
            <w:vAlign w:val="center"/>
          </w:tcPr>
          <w:p>
            <w:pPr>
              <w:widowControl/>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实施单位 （盖章）</w:t>
            </w:r>
          </w:p>
        </w:tc>
        <w:tc>
          <w:tcPr>
            <w:tcW w:w="276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德阳市罗江区公路管理所</w:t>
            </w:r>
          </w:p>
        </w:tc>
      </w:tr>
      <w:tr>
        <w:tblPrEx>
          <w:tblCellMar>
            <w:top w:w="0" w:type="dxa"/>
            <w:left w:w="108" w:type="dxa"/>
            <w:bottom w:w="0" w:type="dxa"/>
            <w:right w:w="108" w:type="dxa"/>
          </w:tblCellMar>
        </w:tblPrEx>
        <w:trPr>
          <w:trHeight w:val="285"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项目基本情况</w:t>
            </w:r>
          </w:p>
        </w:tc>
        <w:tc>
          <w:tcPr>
            <w:tcW w:w="149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1.项目年度目标完成情况</w:t>
            </w:r>
          </w:p>
        </w:tc>
        <w:tc>
          <w:tcPr>
            <w:tcW w:w="346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项目年度目标</w:t>
            </w:r>
          </w:p>
        </w:tc>
        <w:tc>
          <w:tcPr>
            <w:tcW w:w="368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年度目标完成情况</w:t>
            </w:r>
          </w:p>
        </w:tc>
      </w:tr>
      <w:tr>
        <w:tblPrEx>
          <w:tblCellMar>
            <w:top w:w="0" w:type="dxa"/>
            <w:left w:w="108" w:type="dxa"/>
            <w:bottom w:w="0" w:type="dxa"/>
            <w:right w:w="108" w:type="dxa"/>
          </w:tblCellMar>
        </w:tblPrEx>
        <w:trPr>
          <w:trHeight w:val="904"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6"/>
                <w:szCs w:val="16"/>
              </w:rPr>
            </w:pPr>
          </w:p>
        </w:tc>
        <w:tc>
          <w:tcPr>
            <w:tcW w:w="149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6"/>
                <w:szCs w:val="16"/>
              </w:rPr>
            </w:pPr>
          </w:p>
        </w:tc>
        <w:tc>
          <w:tcPr>
            <w:tcW w:w="346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加强公路日常养护工作，提高公路养护质量，最大限度发挥公路养护投资效益，提高行业公共服务能力，努力做到路面平整、横坡适度、行车舒适、路肩整洁、边坡稳定、排水畅通；构造物桥涵及</w:t>
            </w:r>
            <w:r>
              <w:rPr>
                <w:rFonts w:hint="eastAsia" w:ascii="宋体" w:hAnsi="宋体" w:cs="宋体"/>
                <w:color w:val="000000"/>
                <w:kern w:val="0"/>
                <w:sz w:val="16"/>
                <w:szCs w:val="16"/>
                <w:lang w:eastAsia="zh-CN" w:bidi="ar"/>
              </w:rPr>
              <w:t>隧道</w:t>
            </w:r>
            <w:r>
              <w:rPr>
                <w:rFonts w:ascii="宋体" w:hAnsi="宋体" w:eastAsia="宋体" w:cs="宋体"/>
                <w:color w:val="000000"/>
                <w:kern w:val="0"/>
                <w:sz w:val="16"/>
                <w:szCs w:val="16"/>
                <w:lang w:bidi="ar"/>
              </w:rPr>
              <w:t>完好、没线设施完善；绿化协调美观，最终实现管养公路“通、美、绿、安”的目标。</w:t>
            </w:r>
          </w:p>
        </w:tc>
        <w:tc>
          <w:tcPr>
            <w:tcW w:w="368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对农村公路日常维修、安防设施维护等</w:t>
            </w:r>
          </w:p>
        </w:tc>
      </w:tr>
      <w:tr>
        <w:tblPrEx>
          <w:tblCellMar>
            <w:top w:w="0" w:type="dxa"/>
            <w:left w:w="108" w:type="dxa"/>
            <w:bottom w:w="0" w:type="dxa"/>
            <w:right w:w="108" w:type="dxa"/>
          </w:tblCellMar>
        </w:tblPrEx>
        <w:trPr>
          <w:trHeight w:val="694"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2.项目实施内容及过程概述</w:t>
            </w:r>
          </w:p>
        </w:tc>
        <w:tc>
          <w:tcPr>
            <w:tcW w:w="7143"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对农村公路日常维修、安防设施维护等</w:t>
            </w:r>
          </w:p>
        </w:tc>
      </w:tr>
      <w:tr>
        <w:tblPrEx>
          <w:tblCellMar>
            <w:top w:w="0" w:type="dxa"/>
            <w:left w:w="108" w:type="dxa"/>
            <w:bottom w:w="0" w:type="dxa"/>
            <w:right w:w="108" w:type="dxa"/>
          </w:tblCellMar>
        </w:tblPrEx>
        <w:trPr>
          <w:trHeight w:val="360"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预算执行情况（10分）</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年度预算数（万元）</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年初预算</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调整后预算数</w:t>
            </w: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预算执行数</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预算执行率</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权重</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得分</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原因</w:t>
            </w:r>
          </w:p>
        </w:tc>
      </w:tr>
      <w:tr>
        <w:tblPrEx>
          <w:tblCellMar>
            <w:top w:w="0" w:type="dxa"/>
            <w:left w:w="108" w:type="dxa"/>
            <w:bottom w:w="0" w:type="dxa"/>
            <w:right w:w="108" w:type="dxa"/>
          </w:tblCellMar>
        </w:tblPrEx>
        <w:trPr>
          <w:trHeight w:val="38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总额</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176.45</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176.45</w:t>
            </w: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176.45</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10</w:t>
            </w:r>
          </w:p>
        </w:tc>
        <w:tc>
          <w:tcPr>
            <w:tcW w:w="16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i/>
                <w:iCs/>
                <w:color w:val="000000"/>
                <w:sz w:val="16"/>
                <w:szCs w:val="16"/>
              </w:rPr>
            </w:pPr>
            <w:r>
              <w:rPr>
                <w:rFonts w:hint="eastAsia" w:ascii="黑体" w:hAnsi="黑体" w:eastAsia="黑体" w:cs="黑体"/>
                <w:i/>
                <w:iCs/>
                <w:color w:val="000000"/>
                <w:kern w:val="0"/>
                <w:sz w:val="16"/>
                <w:szCs w:val="16"/>
                <w:lang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3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其中：财政资金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150.00</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150.00</w:t>
            </w: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150.00</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169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rPr>
            </w:pPr>
          </w:p>
        </w:tc>
      </w:tr>
      <w:tr>
        <w:tblPrEx>
          <w:tblCellMar>
            <w:top w:w="0" w:type="dxa"/>
            <w:left w:w="108" w:type="dxa"/>
            <w:bottom w:w="0" w:type="dxa"/>
            <w:right w:w="108" w:type="dxa"/>
          </w:tblCellMar>
        </w:tblPrEx>
        <w:trPr>
          <w:trHeight w:val="44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财政专户管理资金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169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rPr>
            </w:pPr>
          </w:p>
        </w:tc>
      </w:tr>
      <w:tr>
        <w:tblPrEx>
          <w:tblCellMar>
            <w:top w:w="0" w:type="dxa"/>
            <w:left w:w="108" w:type="dxa"/>
            <w:bottom w:w="0" w:type="dxa"/>
            <w:right w:w="108" w:type="dxa"/>
          </w:tblCellMar>
        </w:tblPrEx>
        <w:trPr>
          <w:trHeight w:val="40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单位资金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26.45</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26.45</w:t>
            </w: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26.45</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169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rPr>
            </w:pPr>
          </w:p>
        </w:tc>
      </w:tr>
      <w:tr>
        <w:tblPrEx>
          <w:tblCellMar>
            <w:top w:w="0" w:type="dxa"/>
            <w:left w:w="108" w:type="dxa"/>
            <w:bottom w:w="0" w:type="dxa"/>
            <w:right w:w="108" w:type="dxa"/>
          </w:tblCellMar>
        </w:tblPrEx>
        <w:trPr>
          <w:trHeight w:val="37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其他资金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169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rPr>
            </w:pPr>
          </w:p>
        </w:tc>
      </w:tr>
      <w:tr>
        <w:tblPrEx>
          <w:tblCellMar>
            <w:top w:w="0" w:type="dxa"/>
            <w:left w:w="108" w:type="dxa"/>
            <w:bottom w:w="0" w:type="dxa"/>
            <w:right w:w="108" w:type="dxa"/>
          </w:tblCellMar>
        </w:tblPrEx>
        <w:trPr>
          <w:trHeight w:val="454"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绩效指标（90分）</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一级指标</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二级指标</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三级指标</w:t>
            </w:r>
          </w:p>
        </w:tc>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指标性质</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指标值</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完成值</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权重</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得分</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未完成原因分析</w:t>
            </w:r>
          </w:p>
        </w:tc>
      </w:tr>
      <w:tr>
        <w:tblPrEx>
          <w:tblCellMar>
            <w:top w:w="0" w:type="dxa"/>
            <w:left w:w="108" w:type="dxa"/>
            <w:bottom w:w="0" w:type="dxa"/>
            <w:right w:w="108" w:type="dxa"/>
          </w:tblCellMar>
        </w:tblPrEx>
        <w:trPr>
          <w:trHeight w:val="33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产出指标</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数量指标</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养护里程</w:t>
            </w:r>
          </w:p>
        </w:tc>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648</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20</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质量指标</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好路率</w:t>
            </w:r>
          </w:p>
        </w:tc>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85</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20</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时效指标</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完成时间</w:t>
            </w:r>
          </w:p>
        </w:tc>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2022</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成本指标</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日常养护费用</w:t>
            </w:r>
          </w:p>
        </w:tc>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176.45</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20</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效益指标</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社会效益指标</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基本公共服务水平</w:t>
            </w:r>
          </w:p>
        </w:tc>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定性</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高中低</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满意度指标</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服务对象满意度指标</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改善通行服务水平群众满意度</w:t>
            </w:r>
          </w:p>
        </w:tc>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85</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8</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285" w:hRule="atLeast"/>
        </w:trPr>
        <w:tc>
          <w:tcPr>
            <w:tcW w:w="6552"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合计</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98</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604"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评价结论</w:t>
            </w:r>
          </w:p>
        </w:tc>
        <w:tc>
          <w:tcPr>
            <w:tcW w:w="8636"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lang w:bidi="ar"/>
              </w:rPr>
              <w:t>良好</w:t>
            </w:r>
          </w:p>
        </w:tc>
      </w:tr>
      <w:tr>
        <w:tblPrEx>
          <w:tblCellMar>
            <w:top w:w="0" w:type="dxa"/>
            <w:left w:w="108" w:type="dxa"/>
            <w:bottom w:w="0" w:type="dxa"/>
            <w:right w:w="108" w:type="dxa"/>
          </w:tblCellMar>
        </w:tblPrEx>
        <w:trPr>
          <w:trHeight w:val="574"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存在问题</w:t>
            </w:r>
          </w:p>
        </w:tc>
        <w:tc>
          <w:tcPr>
            <w:tcW w:w="8636"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lang w:bidi="ar"/>
              </w:rPr>
              <w:t>无</w:t>
            </w:r>
          </w:p>
        </w:tc>
      </w:tr>
      <w:tr>
        <w:tblPrEx>
          <w:tblCellMar>
            <w:top w:w="0" w:type="dxa"/>
            <w:left w:w="108" w:type="dxa"/>
            <w:bottom w:w="0" w:type="dxa"/>
            <w:right w:w="108" w:type="dxa"/>
          </w:tblCellMar>
        </w:tblPrEx>
        <w:trPr>
          <w:trHeight w:val="634"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改进措施</w:t>
            </w:r>
          </w:p>
        </w:tc>
        <w:tc>
          <w:tcPr>
            <w:tcW w:w="8636"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lang w:bidi="ar"/>
              </w:rPr>
              <w:t>无</w:t>
            </w:r>
          </w:p>
        </w:tc>
      </w:tr>
    </w:tbl>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tbl>
      <w:tblPr>
        <w:tblStyle w:val="8"/>
        <w:tblW w:w="9315" w:type="dxa"/>
        <w:tblInd w:w="93" w:type="dxa"/>
        <w:tblLayout w:type="fixed"/>
        <w:tblCellMar>
          <w:top w:w="0" w:type="dxa"/>
          <w:left w:w="108" w:type="dxa"/>
          <w:bottom w:w="0" w:type="dxa"/>
          <w:right w:w="108" w:type="dxa"/>
        </w:tblCellMar>
      </w:tblPr>
      <w:tblGrid>
        <w:gridCol w:w="679"/>
        <w:gridCol w:w="1493"/>
        <w:gridCol w:w="1153"/>
        <w:gridCol w:w="1096"/>
        <w:gridCol w:w="515"/>
        <w:gridCol w:w="696"/>
        <w:gridCol w:w="920"/>
        <w:gridCol w:w="536"/>
        <w:gridCol w:w="536"/>
        <w:gridCol w:w="1691"/>
      </w:tblGrid>
      <w:tr>
        <w:tblPrEx>
          <w:tblCellMar>
            <w:top w:w="0" w:type="dxa"/>
            <w:left w:w="108" w:type="dxa"/>
            <w:bottom w:w="0" w:type="dxa"/>
            <w:right w:w="108" w:type="dxa"/>
          </w:tblCellMar>
        </w:tblPrEx>
        <w:trPr>
          <w:trHeight w:val="904" w:hRule="atLeast"/>
        </w:trPr>
        <w:tc>
          <w:tcPr>
            <w:tcW w:w="9315"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bCs/>
                <w:color w:val="000000"/>
                <w:sz w:val="16"/>
                <w:szCs w:val="16"/>
              </w:rPr>
            </w:pPr>
            <w:r>
              <w:rPr>
                <w:rFonts w:hint="eastAsia" w:ascii="黑体" w:hAnsi="宋体" w:eastAsia="黑体" w:cs="黑体"/>
                <w:b/>
                <w:bCs/>
                <w:color w:val="000000"/>
                <w:kern w:val="0"/>
                <w:sz w:val="16"/>
                <w:szCs w:val="16"/>
                <w:lang w:bidi="ar"/>
              </w:rPr>
              <w:t>部门预算项目支出绩效自评表（2022年度）</w:t>
            </w:r>
          </w:p>
        </w:tc>
      </w:tr>
      <w:tr>
        <w:tblPrEx>
          <w:tblCellMar>
            <w:top w:w="0" w:type="dxa"/>
            <w:left w:w="108" w:type="dxa"/>
            <w:bottom w:w="0" w:type="dxa"/>
            <w:right w:w="108" w:type="dxa"/>
          </w:tblCellMar>
        </w:tblPrEx>
        <w:trPr>
          <w:trHeight w:val="285" w:hRule="atLeast"/>
        </w:trPr>
        <w:tc>
          <w:tcPr>
            <w:tcW w:w="21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项目名称</w:t>
            </w:r>
          </w:p>
        </w:tc>
        <w:tc>
          <w:tcPr>
            <w:tcW w:w="7143"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51060422T000000326329-罗江区农村公路建设监督检测经费</w:t>
            </w:r>
          </w:p>
        </w:tc>
      </w:tr>
      <w:tr>
        <w:tblPrEx>
          <w:tblCellMar>
            <w:top w:w="0" w:type="dxa"/>
            <w:left w:w="108" w:type="dxa"/>
            <w:bottom w:w="0" w:type="dxa"/>
            <w:right w:w="108" w:type="dxa"/>
          </w:tblCellMar>
        </w:tblPrEx>
        <w:trPr>
          <w:trHeight w:val="514" w:hRule="atLeast"/>
        </w:trPr>
        <w:tc>
          <w:tcPr>
            <w:tcW w:w="21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主管部门</w:t>
            </w:r>
          </w:p>
        </w:tc>
        <w:tc>
          <w:tcPr>
            <w:tcW w:w="346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德阳市罗江区交通运输局本级</w:t>
            </w:r>
          </w:p>
        </w:tc>
        <w:tc>
          <w:tcPr>
            <w:tcW w:w="920" w:type="dxa"/>
            <w:tcBorders>
              <w:top w:val="nil"/>
              <w:left w:val="nil"/>
              <w:bottom w:val="nil"/>
              <w:right w:val="nil"/>
            </w:tcBorders>
            <w:noWrap w:val="0"/>
            <w:vAlign w:val="center"/>
          </w:tcPr>
          <w:p>
            <w:pPr>
              <w:widowControl/>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实施单位 （盖章）</w:t>
            </w:r>
          </w:p>
        </w:tc>
        <w:tc>
          <w:tcPr>
            <w:tcW w:w="276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德阳市罗江区公路管理所</w:t>
            </w:r>
          </w:p>
        </w:tc>
      </w:tr>
      <w:tr>
        <w:tblPrEx>
          <w:tblCellMar>
            <w:top w:w="0" w:type="dxa"/>
            <w:left w:w="108" w:type="dxa"/>
            <w:bottom w:w="0" w:type="dxa"/>
            <w:right w:w="108" w:type="dxa"/>
          </w:tblCellMar>
        </w:tblPrEx>
        <w:trPr>
          <w:trHeight w:val="285"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项目基本情况</w:t>
            </w:r>
          </w:p>
        </w:tc>
        <w:tc>
          <w:tcPr>
            <w:tcW w:w="149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1.项目年度目标完成情况</w:t>
            </w:r>
          </w:p>
        </w:tc>
        <w:tc>
          <w:tcPr>
            <w:tcW w:w="346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项目年度目标</w:t>
            </w:r>
          </w:p>
        </w:tc>
        <w:tc>
          <w:tcPr>
            <w:tcW w:w="368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年度目标完成情况</w:t>
            </w:r>
          </w:p>
        </w:tc>
      </w:tr>
      <w:tr>
        <w:tblPrEx>
          <w:tblCellMar>
            <w:top w:w="0" w:type="dxa"/>
            <w:left w:w="108" w:type="dxa"/>
            <w:bottom w:w="0" w:type="dxa"/>
            <w:right w:w="108" w:type="dxa"/>
          </w:tblCellMar>
        </w:tblPrEx>
        <w:trPr>
          <w:trHeight w:val="70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6"/>
                <w:szCs w:val="16"/>
              </w:rPr>
            </w:pPr>
          </w:p>
        </w:tc>
        <w:tc>
          <w:tcPr>
            <w:tcW w:w="149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6"/>
                <w:szCs w:val="16"/>
              </w:rPr>
            </w:pPr>
          </w:p>
        </w:tc>
        <w:tc>
          <w:tcPr>
            <w:tcW w:w="346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完成农村公路质量监督抽检工作，质量监督覆盖率100%。</w:t>
            </w:r>
          </w:p>
        </w:tc>
        <w:tc>
          <w:tcPr>
            <w:tcW w:w="368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罗江区农村公路建设监督检测经费</w:t>
            </w:r>
          </w:p>
        </w:tc>
      </w:tr>
      <w:tr>
        <w:tblPrEx>
          <w:tblCellMar>
            <w:top w:w="0" w:type="dxa"/>
            <w:left w:w="108" w:type="dxa"/>
            <w:bottom w:w="0" w:type="dxa"/>
            <w:right w:w="108" w:type="dxa"/>
          </w:tblCellMar>
        </w:tblPrEx>
        <w:trPr>
          <w:trHeight w:val="694"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2.项目实施内容及过程概述</w:t>
            </w:r>
          </w:p>
        </w:tc>
        <w:tc>
          <w:tcPr>
            <w:tcW w:w="7143"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罗江区农村公路建设监督检测经费</w:t>
            </w:r>
          </w:p>
        </w:tc>
      </w:tr>
      <w:tr>
        <w:tblPrEx>
          <w:tblCellMar>
            <w:top w:w="0" w:type="dxa"/>
            <w:left w:w="108" w:type="dxa"/>
            <w:bottom w:w="0" w:type="dxa"/>
            <w:right w:w="108" w:type="dxa"/>
          </w:tblCellMar>
        </w:tblPrEx>
        <w:trPr>
          <w:trHeight w:val="360"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预算执行情况（10分）</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年度预算数（万元）</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年初预算</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调整后预算数</w:t>
            </w: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预算执行数</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预算执行率</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权重</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得分</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原因</w:t>
            </w:r>
          </w:p>
        </w:tc>
      </w:tr>
      <w:tr>
        <w:tblPrEx>
          <w:tblCellMar>
            <w:top w:w="0" w:type="dxa"/>
            <w:left w:w="108" w:type="dxa"/>
            <w:bottom w:w="0" w:type="dxa"/>
            <w:right w:w="108" w:type="dxa"/>
          </w:tblCellMar>
        </w:tblPrEx>
        <w:trPr>
          <w:trHeight w:val="38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总额</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9.92</w:t>
            </w: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9.92</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eastAsia="宋体" w:cs="宋体"/>
                <w:color w:val="000000"/>
                <w:sz w:val="16"/>
                <w:szCs w:val="16"/>
              </w:rPr>
            </w:pPr>
            <w:r>
              <w:rPr>
                <w:rFonts w:hint="eastAsia" w:ascii="宋体" w:hAnsi="宋体" w:eastAsia="宋体" w:cs="宋体"/>
                <w:color w:val="000000"/>
                <w:sz w:val="16"/>
                <w:szCs w:val="16"/>
              </w:rPr>
              <w:t>10</w:t>
            </w:r>
          </w:p>
        </w:tc>
        <w:tc>
          <w:tcPr>
            <w:tcW w:w="16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i/>
                <w:iCs/>
                <w:color w:val="000000"/>
                <w:sz w:val="16"/>
                <w:szCs w:val="16"/>
              </w:rPr>
            </w:pPr>
            <w:r>
              <w:rPr>
                <w:rFonts w:hint="eastAsia" w:ascii="黑体" w:hAnsi="黑体" w:eastAsia="黑体" w:cs="黑体"/>
                <w:i/>
                <w:iCs/>
                <w:color w:val="000000"/>
                <w:kern w:val="0"/>
                <w:sz w:val="16"/>
                <w:szCs w:val="16"/>
                <w:lang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3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其中：财政资金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9.92</w:t>
            </w: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9.92</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169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rPr>
            </w:pPr>
          </w:p>
        </w:tc>
      </w:tr>
      <w:tr>
        <w:tblPrEx>
          <w:tblCellMar>
            <w:top w:w="0" w:type="dxa"/>
            <w:left w:w="108" w:type="dxa"/>
            <w:bottom w:w="0" w:type="dxa"/>
            <w:right w:w="108" w:type="dxa"/>
          </w:tblCellMar>
        </w:tblPrEx>
        <w:trPr>
          <w:trHeight w:val="44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财政专户管理资金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169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rPr>
            </w:pPr>
          </w:p>
        </w:tc>
      </w:tr>
      <w:tr>
        <w:tblPrEx>
          <w:tblCellMar>
            <w:top w:w="0" w:type="dxa"/>
            <w:left w:w="108" w:type="dxa"/>
            <w:bottom w:w="0" w:type="dxa"/>
            <w:right w:w="108" w:type="dxa"/>
          </w:tblCellMar>
        </w:tblPrEx>
        <w:trPr>
          <w:trHeight w:val="40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单位资金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169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rPr>
            </w:pPr>
          </w:p>
        </w:tc>
      </w:tr>
      <w:tr>
        <w:tblPrEx>
          <w:tblCellMar>
            <w:top w:w="0" w:type="dxa"/>
            <w:left w:w="108" w:type="dxa"/>
            <w:bottom w:w="0" w:type="dxa"/>
            <w:right w:w="108" w:type="dxa"/>
          </w:tblCellMar>
        </w:tblPrEx>
        <w:trPr>
          <w:trHeight w:val="37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其他资金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169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rPr>
            </w:pPr>
          </w:p>
        </w:tc>
      </w:tr>
      <w:tr>
        <w:tblPrEx>
          <w:tblCellMar>
            <w:top w:w="0" w:type="dxa"/>
            <w:left w:w="108" w:type="dxa"/>
            <w:bottom w:w="0" w:type="dxa"/>
            <w:right w:w="108" w:type="dxa"/>
          </w:tblCellMar>
        </w:tblPrEx>
        <w:trPr>
          <w:trHeight w:val="454"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绩效指标（90分）</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一级指标</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二级指标</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三级指标</w:t>
            </w:r>
          </w:p>
        </w:tc>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指标性质</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指标值</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完成值</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权重</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得分</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未完成原因分析</w:t>
            </w:r>
          </w:p>
        </w:tc>
      </w:tr>
      <w:tr>
        <w:tblPrEx>
          <w:tblCellMar>
            <w:top w:w="0" w:type="dxa"/>
            <w:left w:w="108" w:type="dxa"/>
            <w:bottom w:w="0" w:type="dxa"/>
            <w:right w:w="108" w:type="dxa"/>
          </w:tblCellMar>
        </w:tblPrEx>
        <w:trPr>
          <w:trHeight w:val="454"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产出指标</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数量指标</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2022年度在建农村公路及危桥改造质量抽检覆盖率</w:t>
            </w:r>
          </w:p>
        </w:tc>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质量指标</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抽检合格率</w:t>
            </w:r>
          </w:p>
        </w:tc>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95</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20</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时效指标</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按期完成检测工作</w:t>
            </w:r>
          </w:p>
        </w:tc>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20</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成本指标</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农村公路质量监督检测费用</w:t>
            </w:r>
          </w:p>
        </w:tc>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效益指标</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可持续影响指标</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质量保证期限</w:t>
            </w:r>
          </w:p>
        </w:tc>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20</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满意度指标</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服务对象满意度指标</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群众对农村公路建设质量满意度</w:t>
            </w:r>
          </w:p>
        </w:tc>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90</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6"/>
                <w:szCs w:val="16"/>
                <w:lang w:eastAsia="zh-CN"/>
              </w:rPr>
            </w:pPr>
            <w:r>
              <w:rPr>
                <w:rFonts w:hint="eastAsia" w:ascii="宋体" w:hAnsi="宋体" w:eastAsia="宋体" w:cs="宋体"/>
                <w:color w:val="000000"/>
                <w:kern w:val="0"/>
                <w:sz w:val="16"/>
                <w:szCs w:val="16"/>
                <w:lang w:val="en-US" w:eastAsia="zh-CN" w:bidi="ar"/>
              </w:rPr>
              <w:t>7</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285" w:hRule="atLeast"/>
        </w:trPr>
        <w:tc>
          <w:tcPr>
            <w:tcW w:w="6552"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合计</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6"/>
                <w:szCs w:val="16"/>
                <w:lang w:val="en-US" w:eastAsia="zh-CN"/>
              </w:rPr>
            </w:pPr>
            <w:r>
              <w:rPr>
                <w:rFonts w:ascii="宋体" w:hAnsi="宋体" w:eastAsia="宋体" w:cs="宋体"/>
                <w:color w:val="000000"/>
                <w:kern w:val="0"/>
                <w:sz w:val="16"/>
                <w:szCs w:val="16"/>
                <w:lang w:bidi="ar"/>
              </w:rPr>
              <w:t>9</w:t>
            </w:r>
            <w:r>
              <w:rPr>
                <w:rFonts w:hint="eastAsia" w:ascii="宋体" w:hAnsi="宋体" w:eastAsia="宋体" w:cs="宋体"/>
                <w:color w:val="000000"/>
                <w:kern w:val="0"/>
                <w:sz w:val="16"/>
                <w:szCs w:val="16"/>
                <w:lang w:val="en-US" w:eastAsia="zh-CN" w:bidi="ar"/>
              </w:rPr>
              <w:t>7</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604"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评价结论</w:t>
            </w:r>
          </w:p>
        </w:tc>
        <w:tc>
          <w:tcPr>
            <w:tcW w:w="8636"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lang w:bidi="ar"/>
              </w:rPr>
              <w:t>良好</w:t>
            </w:r>
          </w:p>
        </w:tc>
      </w:tr>
      <w:tr>
        <w:tblPrEx>
          <w:tblCellMar>
            <w:top w:w="0" w:type="dxa"/>
            <w:left w:w="108" w:type="dxa"/>
            <w:bottom w:w="0" w:type="dxa"/>
            <w:right w:w="108" w:type="dxa"/>
          </w:tblCellMar>
        </w:tblPrEx>
        <w:trPr>
          <w:trHeight w:val="574"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存在问题</w:t>
            </w:r>
          </w:p>
        </w:tc>
        <w:tc>
          <w:tcPr>
            <w:tcW w:w="8636"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lang w:bidi="ar"/>
              </w:rPr>
              <w:t>无</w:t>
            </w:r>
          </w:p>
        </w:tc>
      </w:tr>
      <w:tr>
        <w:tblPrEx>
          <w:tblCellMar>
            <w:top w:w="0" w:type="dxa"/>
            <w:left w:w="108" w:type="dxa"/>
            <w:bottom w:w="0" w:type="dxa"/>
            <w:right w:w="108" w:type="dxa"/>
          </w:tblCellMar>
        </w:tblPrEx>
        <w:trPr>
          <w:trHeight w:val="634"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改进措施</w:t>
            </w:r>
          </w:p>
        </w:tc>
        <w:tc>
          <w:tcPr>
            <w:tcW w:w="8636"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lang w:bidi="ar"/>
              </w:rPr>
              <w:t>无</w:t>
            </w:r>
          </w:p>
        </w:tc>
      </w:tr>
    </w:tbl>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tbl>
      <w:tblPr>
        <w:tblStyle w:val="8"/>
        <w:tblW w:w="9315" w:type="dxa"/>
        <w:tblInd w:w="93" w:type="dxa"/>
        <w:tblLayout w:type="fixed"/>
        <w:tblCellMar>
          <w:top w:w="0" w:type="dxa"/>
          <w:left w:w="108" w:type="dxa"/>
          <w:bottom w:w="0" w:type="dxa"/>
          <w:right w:w="108" w:type="dxa"/>
        </w:tblCellMar>
      </w:tblPr>
      <w:tblGrid>
        <w:gridCol w:w="679"/>
        <w:gridCol w:w="1493"/>
        <w:gridCol w:w="1153"/>
        <w:gridCol w:w="1096"/>
        <w:gridCol w:w="515"/>
        <w:gridCol w:w="696"/>
        <w:gridCol w:w="920"/>
        <w:gridCol w:w="536"/>
        <w:gridCol w:w="536"/>
        <w:gridCol w:w="1691"/>
      </w:tblGrid>
      <w:tr>
        <w:tblPrEx>
          <w:tblCellMar>
            <w:top w:w="0" w:type="dxa"/>
            <w:left w:w="108" w:type="dxa"/>
            <w:bottom w:w="0" w:type="dxa"/>
            <w:right w:w="108" w:type="dxa"/>
          </w:tblCellMar>
        </w:tblPrEx>
        <w:trPr>
          <w:trHeight w:val="904" w:hRule="atLeast"/>
        </w:trPr>
        <w:tc>
          <w:tcPr>
            <w:tcW w:w="9315"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bCs/>
                <w:color w:val="000000"/>
                <w:sz w:val="16"/>
                <w:szCs w:val="16"/>
              </w:rPr>
            </w:pPr>
            <w:r>
              <w:rPr>
                <w:rFonts w:hint="eastAsia" w:ascii="黑体" w:hAnsi="宋体" w:eastAsia="黑体" w:cs="黑体"/>
                <w:b/>
                <w:bCs/>
                <w:color w:val="000000"/>
                <w:kern w:val="0"/>
                <w:sz w:val="16"/>
                <w:szCs w:val="16"/>
                <w:lang w:bidi="ar"/>
              </w:rPr>
              <w:t>部门预算项目支出绩效自评表（2022年度）</w:t>
            </w:r>
          </w:p>
        </w:tc>
      </w:tr>
      <w:tr>
        <w:tblPrEx>
          <w:tblCellMar>
            <w:top w:w="0" w:type="dxa"/>
            <w:left w:w="108" w:type="dxa"/>
            <w:bottom w:w="0" w:type="dxa"/>
            <w:right w:w="108" w:type="dxa"/>
          </w:tblCellMar>
        </w:tblPrEx>
        <w:trPr>
          <w:trHeight w:val="285" w:hRule="atLeast"/>
        </w:trPr>
        <w:tc>
          <w:tcPr>
            <w:tcW w:w="21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项目名称</w:t>
            </w:r>
          </w:p>
        </w:tc>
        <w:tc>
          <w:tcPr>
            <w:tcW w:w="7143"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51060422T000000326461-罗江区蟠御路高铁损毁恢复工程</w:t>
            </w:r>
          </w:p>
        </w:tc>
      </w:tr>
      <w:tr>
        <w:tblPrEx>
          <w:tblCellMar>
            <w:top w:w="0" w:type="dxa"/>
            <w:left w:w="108" w:type="dxa"/>
            <w:bottom w:w="0" w:type="dxa"/>
            <w:right w:w="108" w:type="dxa"/>
          </w:tblCellMar>
        </w:tblPrEx>
        <w:trPr>
          <w:trHeight w:val="514" w:hRule="atLeast"/>
        </w:trPr>
        <w:tc>
          <w:tcPr>
            <w:tcW w:w="21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主管部门</w:t>
            </w:r>
          </w:p>
        </w:tc>
        <w:tc>
          <w:tcPr>
            <w:tcW w:w="346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德阳市罗江区交通运输局本级</w:t>
            </w:r>
          </w:p>
        </w:tc>
        <w:tc>
          <w:tcPr>
            <w:tcW w:w="920" w:type="dxa"/>
            <w:tcBorders>
              <w:top w:val="nil"/>
              <w:left w:val="nil"/>
              <w:bottom w:val="nil"/>
              <w:right w:val="nil"/>
            </w:tcBorders>
            <w:noWrap w:val="0"/>
            <w:vAlign w:val="center"/>
          </w:tcPr>
          <w:p>
            <w:pPr>
              <w:widowControl/>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实施单位 （盖章）</w:t>
            </w:r>
          </w:p>
        </w:tc>
        <w:tc>
          <w:tcPr>
            <w:tcW w:w="276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德阳市罗江区公路管理所</w:t>
            </w:r>
          </w:p>
        </w:tc>
      </w:tr>
      <w:tr>
        <w:tblPrEx>
          <w:tblCellMar>
            <w:top w:w="0" w:type="dxa"/>
            <w:left w:w="108" w:type="dxa"/>
            <w:bottom w:w="0" w:type="dxa"/>
            <w:right w:w="108" w:type="dxa"/>
          </w:tblCellMar>
        </w:tblPrEx>
        <w:trPr>
          <w:trHeight w:val="285"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项目基本情况</w:t>
            </w:r>
          </w:p>
        </w:tc>
        <w:tc>
          <w:tcPr>
            <w:tcW w:w="149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1.项目年度目标完成情况</w:t>
            </w:r>
          </w:p>
        </w:tc>
        <w:tc>
          <w:tcPr>
            <w:tcW w:w="346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项目年度目标</w:t>
            </w:r>
          </w:p>
        </w:tc>
        <w:tc>
          <w:tcPr>
            <w:tcW w:w="368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年度目标完成情况</w:t>
            </w:r>
          </w:p>
        </w:tc>
      </w:tr>
      <w:tr>
        <w:tblPrEx>
          <w:tblCellMar>
            <w:top w:w="0" w:type="dxa"/>
            <w:left w:w="108" w:type="dxa"/>
            <w:bottom w:w="0" w:type="dxa"/>
            <w:right w:w="108" w:type="dxa"/>
          </w:tblCellMar>
        </w:tblPrEx>
        <w:trPr>
          <w:trHeight w:val="70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6"/>
                <w:szCs w:val="16"/>
              </w:rPr>
            </w:pPr>
          </w:p>
        </w:tc>
        <w:tc>
          <w:tcPr>
            <w:tcW w:w="149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6"/>
                <w:szCs w:val="16"/>
              </w:rPr>
            </w:pPr>
          </w:p>
        </w:tc>
        <w:tc>
          <w:tcPr>
            <w:tcW w:w="346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完成破损路面维修整治。</w:t>
            </w:r>
          </w:p>
        </w:tc>
        <w:tc>
          <w:tcPr>
            <w:tcW w:w="368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前期设计费、招标代理费</w:t>
            </w:r>
          </w:p>
        </w:tc>
      </w:tr>
      <w:tr>
        <w:tblPrEx>
          <w:tblCellMar>
            <w:top w:w="0" w:type="dxa"/>
            <w:left w:w="108" w:type="dxa"/>
            <w:bottom w:w="0" w:type="dxa"/>
            <w:right w:w="108" w:type="dxa"/>
          </w:tblCellMar>
        </w:tblPrEx>
        <w:trPr>
          <w:trHeight w:val="694"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2.项目实施内容及过程概述</w:t>
            </w:r>
          </w:p>
        </w:tc>
        <w:tc>
          <w:tcPr>
            <w:tcW w:w="7143"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前期设计费、招标代理费</w:t>
            </w:r>
          </w:p>
        </w:tc>
      </w:tr>
      <w:tr>
        <w:tblPrEx>
          <w:tblCellMar>
            <w:top w:w="0" w:type="dxa"/>
            <w:left w:w="108" w:type="dxa"/>
            <w:bottom w:w="0" w:type="dxa"/>
            <w:right w:w="108" w:type="dxa"/>
          </w:tblCellMar>
        </w:tblPrEx>
        <w:trPr>
          <w:trHeight w:val="360"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预算执行情况（10分）</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年度预算数（万元）</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年初预算</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调整后预算数</w:t>
            </w: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预算执行数</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预算执行率</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权重</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得分</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原因</w:t>
            </w:r>
          </w:p>
        </w:tc>
      </w:tr>
      <w:tr>
        <w:tblPrEx>
          <w:tblCellMar>
            <w:top w:w="0" w:type="dxa"/>
            <w:left w:w="108" w:type="dxa"/>
            <w:bottom w:w="0" w:type="dxa"/>
            <w:right w:w="108" w:type="dxa"/>
          </w:tblCellMar>
        </w:tblPrEx>
        <w:trPr>
          <w:trHeight w:val="38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总额</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500.00</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21.54</w:t>
            </w: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21.54</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w:t>
            </w:r>
          </w:p>
        </w:tc>
        <w:tc>
          <w:tcPr>
            <w:tcW w:w="16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i/>
                <w:iCs/>
                <w:color w:val="000000"/>
                <w:sz w:val="16"/>
                <w:szCs w:val="16"/>
              </w:rPr>
            </w:pPr>
            <w:r>
              <w:rPr>
                <w:rFonts w:hint="eastAsia" w:ascii="黑体" w:hAnsi="黑体" w:eastAsia="黑体" w:cs="黑体"/>
                <w:i/>
                <w:iCs/>
                <w:color w:val="000000"/>
                <w:kern w:val="0"/>
                <w:sz w:val="16"/>
                <w:szCs w:val="16"/>
                <w:lang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3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其中：财政资金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500.00</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21.54</w:t>
            </w: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21.54</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169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rPr>
            </w:pPr>
          </w:p>
        </w:tc>
      </w:tr>
      <w:tr>
        <w:tblPrEx>
          <w:tblCellMar>
            <w:top w:w="0" w:type="dxa"/>
            <w:left w:w="108" w:type="dxa"/>
            <w:bottom w:w="0" w:type="dxa"/>
            <w:right w:w="108" w:type="dxa"/>
          </w:tblCellMar>
        </w:tblPrEx>
        <w:trPr>
          <w:trHeight w:val="44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财政专户管理资金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169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rPr>
            </w:pPr>
          </w:p>
        </w:tc>
      </w:tr>
      <w:tr>
        <w:tblPrEx>
          <w:tblCellMar>
            <w:top w:w="0" w:type="dxa"/>
            <w:left w:w="108" w:type="dxa"/>
            <w:bottom w:w="0" w:type="dxa"/>
            <w:right w:w="108" w:type="dxa"/>
          </w:tblCellMar>
        </w:tblPrEx>
        <w:trPr>
          <w:trHeight w:val="40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单位资金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169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rPr>
            </w:pPr>
          </w:p>
        </w:tc>
      </w:tr>
      <w:tr>
        <w:tblPrEx>
          <w:tblCellMar>
            <w:top w:w="0" w:type="dxa"/>
            <w:left w:w="108" w:type="dxa"/>
            <w:bottom w:w="0" w:type="dxa"/>
            <w:right w:w="108" w:type="dxa"/>
          </w:tblCellMar>
        </w:tblPrEx>
        <w:trPr>
          <w:trHeight w:val="37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其他资金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169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rPr>
            </w:pPr>
          </w:p>
        </w:tc>
      </w:tr>
      <w:tr>
        <w:tblPrEx>
          <w:tblCellMar>
            <w:top w:w="0" w:type="dxa"/>
            <w:left w:w="108" w:type="dxa"/>
            <w:bottom w:w="0" w:type="dxa"/>
            <w:right w:w="108" w:type="dxa"/>
          </w:tblCellMar>
        </w:tblPrEx>
        <w:trPr>
          <w:trHeight w:val="454"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绩效指标（90分）</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一级指标</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二级指标</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三级指标</w:t>
            </w:r>
          </w:p>
        </w:tc>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指标性质</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指标值</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完成值</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权重</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得分</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未完成原因分析</w:t>
            </w:r>
          </w:p>
        </w:tc>
      </w:tr>
      <w:tr>
        <w:tblPrEx>
          <w:tblCellMar>
            <w:top w:w="0" w:type="dxa"/>
            <w:left w:w="108" w:type="dxa"/>
            <w:bottom w:w="0" w:type="dxa"/>
            <w:right w:w="108" w:type="dxa"/>
          </w:tblCellMar>
        </w:tblPrEx>
        <w:trPr>
          <w:trHeight w:val="33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产出指标</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数量指标</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里程</w:t>
            </w:r>
          </w:p>
        </w:tc>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3.145</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20</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质量指标</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完工验收合格率</w:t>
            </w:r>
          </w:p>
        </w:tc>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20</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时效指标</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按期完成</w:t>
            </w:r>
          </w:p>
        </w:tc>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2022</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成本指标</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总投资</w:t>
            </w:r>
          </w:p>
        </w:tc>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500</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20</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33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效益指标</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社会效益指标</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提高公共服务水平</w:t>
            </w:r>
          </w:p>
        </w:tc>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90</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8</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454"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满意度指标</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服务对象满意度指标</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改善通行服务水平群众满意度</w:t>
            </w:r>
          </w:p>
        </w:tc>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85</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285" w:hRule="atLeast"/>
        </w:trPr>
        <w:tc>
          <w:tcPr>
            <w:tcW w:w="6552"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合计</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98</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604"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评价结论</w:t>
            </w:r>
          </w:p>
        </w:tc>
        <w:tc>
          <w:tcPr>
            <w:tcW w:w="8636"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lang w:bidi="ar"/>
              </w:rPr>
              <w:t>良好</w:t>
            </w:r>
          </w:p>
        </w:tc>
      </w:tr>
      <w:tr>
        <w:tblPrEx>
          <w:tblCellMar>
            <w:top w:w="0" w:type="dxa"/>
            <w:left w:w="108" w:type="dxa"/>
            <w:bottom w:w="0" w:type="dxa"/>
            <w:right w:w="108" w:type="dxa"/>
          </w:tblCellMar>
        </w:tblPrEx>
        <w:trPr>
          <w:trHeight w:val="574"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存在问题</w:t>
            </w:r>
          </w:p>
        </w:tc>
        <w:tc>
          <w:tcPr>
            <w:tcW w:w="8636"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lang w:bidi="ar"/>
              </w:rPr>
              <w:t>无</w:t>
            </w:r>
          </w:p>
        </w:tc>
      </w:tr>
      <w:tr>
        <w:tblPrEx>
          <w:tblCellMar>
            <w:top w:w="0" w:type="dxa"/>
            <w:left w:w="108" w:type="dxa"/>
            <w:bottom w:w="0" w:type="dxa"/>
            <w:right w:w="108" w:type="dxa"/>
          </w:tblCellMar>
        </w:tblPrEx>
        <w:trPr>
          <w:trHeight w:val="634"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改进措施</w:t>
            </w:r>
          </w:p>
        </w:tc>
        <w:tc>
          <w:tcPr>
            <w:tcW w:w="8636"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lang w:bidi="ar"/>
              </w:rPr>
              <w:t>无</w:t>
            </w:r>
          </w:p>
        </w:tc>
      </w:tr>
    </w:tbl>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tbl>
      <w:tblPr>
        <w:tblStyle w:val="8"/>
        <w:tblW w:w="9315" w:type="dxa"/>
        <w:tblInd w:w="93" w:type="dxa"/>
        <w:tblLayout w:type="fixed"/>
        <w:tblCellMar>
          <w:top w:w="0" w:type="dxa"/>
          <w:left w:w="108" w:type="dxa"/>
          <w:bottom w:w="0" w:type="dxa"/>
          <w:right w:w="108" w:type="dxa"/>
        </w:tblCellMar>
      </w:tblPr>
      <w:tblGrid>
        <w:gridCol w:w="679"/>
        <w:gridCol w:w="1493"/>
        <w:gridCol w:w="1153"/>
        <w:gridCol w:w="1096"/>
        <w:gridCol w:w="515"/>
        <w:gridCol w:w="696"/>
        <w:gridCol w:w="920"/>
        <w:gridCol w:w="536"/>
        <w:gridCol w:w="536"/>
        <w:gridCol w:w="1691"/>
      </w:tblGrid>
      <w:tr>
        <w:tblPrEx>
          <w:tblCellMar>
            <w:top w:w="0" w:type="dxa"/>
            <w:left w:w="108" w:type="dxa"/>
            <w:bottom w:w="0" w:type="dxa"/>
            <w:right w:w="108" w:type="dxa"/>
          </w:tblCellMar>
        </w:tblPrEx>
        <w:trPr>
          <w:trHeight w:val="904" w:hRule="atLeast"/>
        </w:trPr>
        <w:tc>
          <w:tcPr>
            <w:tcW w:w="9315"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bCs/>
                <w:color w:val="000000"/>
                <w:sz w:val="16"/>
                <w:szCs w:val="16"/>
              </w:rPr>
            </w:pPr>
            <w:r>
              <w:rPr>
                <w:rFonts w:hint="eastAsia" w:ascii="黑体" w:hAnsi="宋体" w:eastAsia="黑体" w:cs="黑体"/>
                <w:b/>
                <w:bCs/>
                <w:color w:val="000000"/>
                <w:kern w:val="0"/>
                <w:sz w:val="16"/>
                <w:szCs w:val="16"/>
                <w:lang w:bidi="ar"/>
              </w:rPr>
              <w:t>部门预算项目支出绩效自评表（2022年度）</w:t>
            </w:r>
          </w:p>
        </w:tc>
      </w:tr>
      <w:tr>
        <w:tblPrEx>
          <w:tblCellMar>
            <w:top w:w="0" w:type="dxa"/>
            <w:left w:w="108" w:type="dxa"/>
            <w:bottom w:w="0" w:type="dxa"/>
            <w:right w:w="108" w:type="dxa"/>
          </w:tblCellMar>
        </w:tblPrEx>
        <w:trPr>
          <w:trHeight w:val="285" w:hRule="atLeast"/>
        </w:trPr>
        <w:tc>
          <w:tcPr>
            <w:tcW w:w="21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项目名称</w:t>
            </w:r>
          </w:p>
        </w:tc>
        <w:tc>
          <w:tcPr>
            <w:tcW w:w="7143"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51060423T000007678295-罗江区2022年度农村公路养护工程</w:t>
            </w:r>
          </w:p>
        </w:tc>
      </w:tr>
      <w:tr>
        <w:tblPrEx>
          <w:tblCellMar>
            <w:top w:w="0" w:type="dxa"/>
            <w:left w:w="108" w:type="dxa"/>
            <w:bottom w:w="0" w:type="dxa"/>
            <w:right w:w="108" w:type="dxa"/>
          </w:tblCellMar>
        </w:tblPrEx>
        <w:trPr>
          <w:trHeight w:val="514" w:hRule="atLeast"/>
        </w:trPr>
        <w:tc>
          <w:tcPr>
            <w:tcW w:w="21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主管部门</w:t>
            </w:r>
          </w:p>
        </w:tc>
        <w:tc>
          <w:tcPr>
            <w:tcW w:w="346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德阳市罗江区交通运输局本级</w:t>
            </w:r>
          </w:p>
        </w:tc>
        <w:tc>
          <w:tcPr>
            <w:tcW w:w="920" w:type="dxa"/>
            <w:tcBorders>
              <w:top w:val="nil"/>
              <w:left w:val="nil"/>
              <w:bottom w:val="nil"/>
              <w:right w:val="nil"/>
            </w:tcBorders>
            <w:noWrap w:val="0"/>
            <w:vAlign w:val="center"/>
          </w:tcPr>
          <w:p>
            <w:pPr>
              <w:widowControl/>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实施单位 （盖章）</w:t>
            </w:r>
          </w:p>
        </w:tc>
        <w:tc>
          <w:tcPr>
            <w:tcW w:w="276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德阳市罗江区公路管理所</w:t>
            </w:r>
          </w:p>
        </w:tc>
      </w:tr>
      <w:tr>
        <w:tblPrEx>
          <w:tblCellMar>
            <w:top w:w="0" w:type="dxa"/>
            <w:left w:w="108" w:type="dxa"/>
            <w:bottom w:w="0" w:type="dxa"/>
            <w:right w:w="108" w:type="dxa"/>
          </w:tblCellMar>
        </w:tblPrEx>
        <w:trPr>
          <w:trHeight w:val="285"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项目基本情况</w:t>
            </w:r>
          </w:p>
        </w:tc>
        <w:tc>
          <w:tcPr>
            <w:tcW w:w="149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1.项目年度目标完成情况</w:t>
            </w:r>
          </w:p>
        </w:tc>
        <w:tc>
          <w:tcPr>
            <w:tcW w:w="346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项目年度目标</w:t>
            </w:r>
          </w:p>
        </w:tc>
        <w:tc>
          <w:tcPr>
            <w:tcW w:w="368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年度目标完成情况</w:t>
            </w:r>
          </w:p>
        </w:tc>
      </w:tr>
      <w:tr>
        <w:tblPrEx>
          <w:tblCellMar>
            <w:top w:w="0" w:type="dxa"/>
            <w:left w:w="108" w:type="dxa"/>
            <w:bottom w:w="0" w:type="dxa"/>
            <w:right w:w="108" w:type="dxa"/>
          </w:tblCellMar>
        </w:tblPrEx>
        <w:trPr>
          <w:trHeight w:val="709"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6"/>
                <w:szCs w:val="16"/>
              </w:rPr>
            </w:pPr>
          </w:p>
        </w:tc>
        <w:tc>
          <w:tcPr>
            <w:tcW w:w="149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6"/>
                <w:szCs w:val="16"/>
              </w:rPr>
            </w:pPr>
          </w:p>
        </w:tc>
        <w:tc>
          <w:tcPr>
            <w:tcW w:w="346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对农村公路日常维修、安防设施维护等</w:t>
            </w:r>
          </w:p>
        </w:tc>
        <w:tc>
          <w:tcPr>
            <w:tcW w:w="368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color w:val="000000"/>
                <w:sz w:val="16"/>
                <w:szCs w:val="16"/>
              </w:rPr>
            </w:pPr>
            <w:r>
              <w:rPr>
                <w:rFonts w:hint="eastAsia" w:ascii="黑体" w:hAnsi="黑体" w:eastAsia="黑体" w:cs="黑体"/>
                <w:color w:val="000000"/>
                <w:kern w:val="0"/>
                <w:sz w:val="16"/>
                <w:szCs w:val="16"/>
                <w:lang w:bidi="ar"/>
              </w:rPr>
              <w:t>对农村公路日常维修、安防设施维护等</w:t>
            </w:r>
          </w:p>
        </w:tc>
      </w:tr>
      <w:tr>
        <w:tblPrEx>
          <w:tblCellMar>
            <w:top w:w="0" w:type="dxa"/>
            <w:left w:w="108" w:type="dxa"/>
            <w:bottom w:w="0" w:type="dxa"/>
            <w:right w:w="108" w:type="dxa"/>
          </w:tblCellMar>
        </w:tblPrEx>
        <w:trPr>
          <w:trHeight w:val="694"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2.项目实施内容及过程概述</w:t>
            </w:r>
          </w:p>
        </w:tc>
        <w:tc>
          <w:tcPr>
            <w:tcW w:w="7143"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对农村公路日常维修</w:t>
            </w:r>
          </w:p>
        </w:tc>
      </w:tr>
      <w:tr>
        <w:tblPrEx>
          <w:tblCellMar>
            <w:top w:w="0" w:type="dxa"/>
            <w:left w:w="108" w:type="dxa"/>
            <w:bottom w:w="0" w:type="dxa"/>
            <w:right w:w="108" w:type="dxa"/>
          </w:tblCellMar>
        </w:tblPrEx>
        <w:trPr>
          <w:trHeight w:val="360"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预算执行情况（10分）</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年度预算数（万元）</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年初预算</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调整后预算数</w:t>
            </w: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预算执行数</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预算执行率</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权重</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得分</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原因</w:t>
            </w:r>
          </w:p>
        </w:tc>
      </w:tr>
      <w:tr>
        <w:tblPrEx>
          <w:tblCellMar>
            <w:top w:w="0" w:type="dxa"/>
            <w:left w:w="108" w:type="dxa"/>
            <w:bottom w:w="0" w:type="dxa"/>
            <w:right w:w="108" w:type="dxa"/>
          </w:tblCellMar>
        </w:tblPrEx>
        <w:trPr>
          <w:trHeight w:val="38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总额</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159.43</w:t>
            </w: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159.43</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w:t>
            </w:r>
          </w:p>
        </w:tc>
        <w:tc>
          <w:tcPr>
            <w:tcW w:w="16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黑体" w:hAnsi="黑体" w:eastAsia="黑体" w:cs="黑体"/>
                <w:i/>
                <w:iCs/>
                <w:color w:val="000000"/>
                <w:sz w:val="16"/>
                <w:szCs w:val="16"/>
              </w:rPr>
            </w:pPr>
            <w:r>
              <w:rPr>
                <w:rFonts w:hint="eastAsia" w:ascii="黑体" w:hAnsi="黑体" w:eastAsia="黑体" w:cs="黑体"/>
                <w:i/>
                <w:iCs/>
                <w:color w:val="000000"/>
                <w:kern w:val="0"/>
                <w:sz w:val="16"/>
                <w:szCs w:val="16"/>
                <w:lang w:bidi="ar"/>
              </w:rPr>
              <w:t>1.预算执行率=预算执行数/调整后预算数，预算执行率未达到90%的需说明原因（100字以内）;2.年中发生预算调整的（追加或调减）,应单独说明理由；3.其他资金包括：社会投入资金、银行贷款.</w:t>
            </w:r>
          </w:p>
        </w:tc>
      </w:tr>
      <w:tr>
        <w:tblPrEx>
          <w:tblCellMar>
            <w:top w:w="0" w:type="dxa"/>
            <w:left w:w="108" w:type="dxa"/>
            <w:bottom w:w="0" w:type="dxa"/>
            <w:right w:w="108" w:type="dxa"/>
          </w:tblCellMar>
        </w:tblPrEx>
        <w:trPr>
          <w:trHeight w:val="43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其中：财政资金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159.43</w:t>
            </w: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159.43</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169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rPr>
            </w:pPr>
          </w:p>
        </w:tc>
      </w:tr>
      <w:tr>
        <w:tblPrEx>
          <w:tblCellMar>
            <w:top w:w="0" w:type="dxa"/>
            <w:left w:w="108" w:type="dxa"/>
            <w:bottom w:w="0" w:type="dxa"/>
            <w:right w:w="108" w:type="dxa"/>
          </w:tblCellMar>
        </w:tblPrEx>
        <w:trPr>
          <w:trHeight w:val="447"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财政专户管理资金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169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rPr>
            </w:pPr>
          </w:p>
        </w:tc>
      </w:tr>
      <w:tr>
        <w:tblPrEx>
          <w:tblCellMar>
            <w:top w:w="0" w:type="dxa"/>
            <w:left w:w="108" w:type="dxa"/>
            <w:bottom w:w="0" w:type="dxa"/>
            <w:right w:w="108" w:type="dxa"/>
          </w:tblCellMar>
        </w:tblPrEx>
        <w:trPr>
          <w:trHeight w:val="402"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单位资金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0.00%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169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rPr>
            </w:pPr>
          </w:p>
        </w:tc>
      </w:tr>
      <w:tr>
        <w:tblPrEx>
          <w:tblCellMar>
            <w:top w:w="0" w:type="dxa"/>
            <w:left w:w="108" w:type="dxa"/>
            <w:bottom w:w="0" w:type="dxa"/>
            <w:right w:w="108" w:type="dxa"/>
          </w:tblCellMar>
        </w:tblPrEx>
        <w:trPr>
          <w:trHeight w:val="540"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其他资金</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c>
          <w:tcPr>
            <w:tcW w:w="121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w:t>
            </w:r>
          </w:p>
        </w:tc>
        <w:tc>
          <w:tcPr>
            <w:tcW w:w="169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rPr>
            </w:pPr>
          </w:p>
        </w:tc>
      </w:tr>
      <w:tr>
        <w:tblPrEx>
          <w:tblCellMar>
            <w:top w:w="0" w:type="dxa"/>
            <w:left w:w="108" w:type="dxa"/>
            <w:bottom w:w="0" w:type="dxa"/>
            <w:right w:w="108" w:type="dxa"/>
          </w:tblCellMar>
        </w:tblPrEx>
        <w:trPr>
          <w:trHeight w:val="454" w:hRule="atLeast"/>
        </w:trPr>
        <w:tc>
          <w:tcPr>
            <w:tcW w:w="67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绩效指标（90分）</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一级指标</w:t>
            </w: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二级指标</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三级指标</w:t>
            </w:r>
          </w:p>
        </w:tc>
        <w:tc>
          <w:tcPr>
            <w:tcW w:w="5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指标性质</w:t>
            </w: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指标值</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完成值</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权重</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得分</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未完成原因分析</w:t>
            </w:r>
          </w:p>
        </w:tc>
      </w:tr>
      <w:tr>
        <w:tblPrEx>
          <w:tblCellMar>
            <w:top w:w="0" w:type="dxa"/>
            <w:left w:w="108" w:type="dxa"/>
            <w:bottom w:w="0" w:type="dxa"/>
            <w:right w:w="108" w:type="dxa"/>
          </w:tblCellMar>
        </w:tblPrEx>
        <w:trPr>
          <w:trHeight w:val="338" w:hRule="atLeast"/>
        </w:trPr>
        <w:tc>
          <w:tcPr>
            <w:tcW w:w="6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15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5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6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6"/>
                <w:szCs w:val="16"/>
              </w:rPr>
            </w:pP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rPr>
            </w:pPr>
          </w:p>
        </w:tc>
      </w:tr>
      <w:tr>
        <w:tblPrEx>
          <w:tblCellMar>
            <w:top w:w="0" w:type="dxa"/>
            <w:left w:w="108" w:type="dxa"/>
            <w:bottom w:w="0" w:type="dxa"/>
            <w:right w:w="108" w:type="dxa"/>
          </w:tblCellMar>
        </w:tblPrEx>
        <w:trPr>
          <w:trHeight w:val="285" w:hRule="atLeast"/>
        </w:trPr>
        <w:tc>
          <w:tcPr>
            <w:tcW w:w="6552" w:type="dxa"/>
            <w:gridSpan w:val="7"/>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合计</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100</w:t>
            </w:r>
          </w:p>
        </w:tc>
        <w:tc>
          <w:tcPr>
            <w:tcW w:w="5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16"/>
                <w:szCs w:val="16"/>
                <w:lang w:val="en-US" w:eastAsia="zh-CN"/>
              </w:rPr>
            </w:pPr>
            <w:r>
              <w:rPr>
                <w:rFonts w:hint="eastAsia" w:ascii="宋体" w:hAnsi="宋体" w:eastAsia="宋体" w:cs="宋体"/>
                <w:color w:val="000000"/>
                <w:kern w:val="0"/>
                <w:sz w:val="16"/>
                <w:szCs w:val="16"/>
                <w:lang w:val="en-US" w:eastAsia="zh-CN" w:bidi="ar"/>
              </w:rPr>
              <w:t>98</w:t>
            </w:r>
          </w:p>
        </w:tc>
        <w:tc>
          <w:tcPr>
            <w:tcW w:w="169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6"/>
                <w:szCs w:val="16"/>
              </w:rPr>
            </w:pPr>
          </w:p>
        </w:tc>
      </w:tr>
      <w:tr>
        <w:tblPrEx>
          <w:tblCellMar>
            <w:top w:w="0" w:type="dxa"/>
            <w:left w:w="108" w:type="dxa"/>
            <w:bottom w:w="0" w:type="dxa"/>
            <w:right w:w="108" w:type="dxa"/>
          </w:tblCellMar>
        </w:tblPrEx>
        <w:trPr>
          <w:trHeight w:val="604"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评价结论</w:t>
            </w:r>
          </w:p>
        </w:tc>
        <w:tc>
          <w:tcPr>
            <w:tcW w:w="8636"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lang w:bidi="ar"/>
              </w:rPr>
              <w:t>良好</w:t>
            </w:r>
          </w:p>
        </w:tc>
      </w:tr>
      <w:tr>
        <w:tblPrEx>
          <w:tblCellMar>
            <w:top w:w="0" w:type="dxa"/>
            <w:left w:w="108" w:type="dxa"/>
            <w:bottom w:w="0" w:type="dxa"/>
            <w:right w:w="108" w:type="dxa"/>
          </w:tblCellMar>
        </w:tblPrEx>
        <w:trPr>
          <w:trHeight w:val="574"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存在问题</w:t>
            </w:r>
          </w:p>
        </w:tc>
        <w:tc>
          <w:tcPr>
            <w:tcW w:w="8636"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lang w:bidi="ar"/>
              </w:rPr>
              <w:t>无</w:t>
            </w:r>
          </w:p>
        </w:tc>
      </w:tr>
      <w:tr>
        <w:tblPrEx>
          <w:tblCellMar>
            <w:top w:w="0" w:type="dxa"/>
            <w:left w:w="108" w:type="dxa"/>
            <w:bottom w:w="0" w:type="dxa"/>
            <w:right w:w="108" w:type="dxa"/>
          </w:tblCellMar>
        </w:tblPrEx>
        <w:trPr>
          <w:trHeight w:val="634" w:hRule="atLeast"/>
        </w:trPr>
        <w:tc>
          <w:tcPr>
            <w:tcW w:w="6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eastAsia="宋体" w:cs="宋体"/>
                <w:color w:val="000000"/>
                <w:sz w:val="16"/>
                <w:szCs w:val="16"/>
              </w:rPr>
            </w:pPr>
            <w:r>
              <w:rPr>
                <w:rFonts w:ascii="宋体" w:hAnsi="宋体" w:eastAsia="宋体" w:cs="宋体"/>
                <w:color w:val="000000"/>
                <w:kern w:val="0"/>
                <w:sz w:val="16"/>
                <w:szCs w:val="16"/>
                <w:lang w:bidi="ar"/>
              </w:rPr>
              <w:t>改进措施</w:t>
            </w:r>
          </w:p>
        </w:tc>
        <w:tc>
          <w:tcPr>
            <w:tcW w:w="8636"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微软雅黑" w:hAnsi="微软雅黑" w:eastAsia="微软雅黑" w:cs="微软雅黑"/>
                <w:i/>
                <w:iCs/>
                <w:color w:val="000000"/>
                <w:sz w:val="16"/>
                <w:szCs w:val="16"/>
              </w:rPr>
            </w:pPr>
            <w:r>
              <w:rPr>
                <w:rFonts w:hint="eastAsia" w:ascii="微软雅黑" w:hAnsi="微软雅黑" w:eastAsia="微软雅黑" w:cs="微软雅黑"/>
                <w:i/>
                <w:iCs/>
                <w:color w:val="000000"/>
                <w:kern w:val="0"/>
                <w:sz w:val="16"/>
                <w:szCs w:val="16"/>
                <w:lang w:bidi="ar"/>
              </w:rPr>
              <w:t>无</w:t>
            </w:r>
          </w:p>
        </w:tc>
      </w:tr>
    </w:tbl>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tbl>
      <w:tblPr>
        <w:tblStyle w:val="8"/>
        <w:tblW w:w="84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6"/>
        <w:gridCol w:w="711"/>
        <w:gridCol w:w="730"/>
        <w:gridCol w:w="887"/>
        <w:gridCol w:w="428"/>
        <w:gridCol w:w="588"/>
        <w:gridCol w:w="428"/>
        <w:gridCol w:w="863"/>
        <w:gridCol w:w="465"/>
        <w:gridCol w:w="465"/>
        <w:gridCol w:w="2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8466"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项目名称</w:t>
            </w:r>
          </w:p>
        </w:tc>
        <w:tc>
          <w:tcPr>
            <w:tcW w:w="7079"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51060422T000000325911-城市公交公益性补贴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13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主管部门</w:t>
            </w:r>
          </w:p>
        </w:tc>
        <w:tc>
          <w:tcPr>
            <w:tcW w:w="306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德阳市罗江区交通运输局本级</w:t>
            </w:r>
          </w:p>
        </w:tc>
        <w:tc>
          <w:tcPr>
            <w:tcW w:w="863"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实施单位 （盖章）</w:t>
            </w:r>
          </w:p>
        </w:tc>
        <w:tc>
          <w:tcPr>
            <w:tcW w:w="31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德阳市罗江区道路运输管理所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项目基本情况</w:t>
            </w:r>
          </w:p>
        </w:tc>
        <w:tc>
          <w:tcPr>
            <w:tcW w:w="71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1.项目年度目标完成情况</w:t>
            </w:r>
          </w:p>
        </w:tc>
        <w:tc>
          <w:tcPr>
            <w:tcW w:w="306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项目年度目标</w:t>
            </w:r>
          </w:p>
        </w:tc>
        <w:tc>
          <w:tcPr>
            <w:tcW w:w="401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71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306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保证和发挥城市公共交通公益性、惠民性功能，满足群众出行需求，提升群众获得感和幸福感</w:t>
            </w:r>
          </w:p>
        </w:tc>
        <w:tc>
          <w:tcPr>
            <w:tcW w:w="4018"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2.项目实施内容及过程概述</w:t>
            </w:r>
          </w:p>
        </w:tc>
        <w:tc>
          <w:tcPr>
            <w:tcW w:w="7079"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城市公交公益性补贴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预算执行情况（10分）</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年度预算数（万元）</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年初预算</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调整后预算数</w:t>
            </w:r>
          </w:p>
        </w:tc>
        <w:tc>
          <w:tcPr>
            <w:tcW w:w="14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预算执行数</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预算执行率</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总额</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18.00</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18.00</w:t>
            </w:r>
          </w:p>
        </w:tc>
        <w:tc>
          <w:tcPr>
            <w:tcW w:w="14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18.00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22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iCs/>
                <w:color w:val="000000"/>
                <w:sz w:val="16"/>
                <w:szCs w:val="16"/>
                <w:u w:val="none"/>
              </w:rPr>
            </w:pPr>
            <w:r>
              <w:rPr>
                <w:rFonts w:hint="eastAsia" w:ascii="黑体" w:hAnsi="黑体" w:eastAsia="黑体" w:cs="黑体"/>
                <w:i/>
                <w:iCs/>
                <w:color w:val="000000"/>
                <w:kern w:val="0"/>
                <w:sz w:val="16"/>
                <w:szCs w:val="16"/>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其中：财政资金</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18.00</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18.00</w:t>
            </w:r>
          </w:p>
        </w:tc>
        <w:tc>
          <w:tcPr>
            <w:tcW w:w="14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18.00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22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财政专户管理资金</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4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22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单位资金</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4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22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其他资金</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144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22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绩效指标（90分）</w:t>
            </w: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一级指标</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二级指标</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三级指标</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指标性质</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指标值</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度量单位</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完成值</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产出指标</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数量指标</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补贴车辆数</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12</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辆</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质量指标</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确保三类人群享受免费乘坐公共交通福利</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定性</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优良中低差</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8" w:hRule="atLeast"/>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时效指标</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完成时间</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2022</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成本指标</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补贴资金</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18</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万元</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效益指标</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社会效益指标</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确保三类人群幸福感</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定性</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高中低</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7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满意度指标</w:t>
            </w:r>
          </w:p>
        </w:tc>
        <w:tc>
          <w:tcPr>
            <w:tcW w:w="7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服务对象满意度指标</w:t>
            </w:r>
          </w:p>
        </w:tc>
        <w:tc>
          <w:tcPr>
            <w:tcW w:w="8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乘客及经营者满意度</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80</w:t>
            </w:r>
          </w:p>
        </w:tc>
        <w:tc>
          <w:tcPr>
            <w:tcW w:w="4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311"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合计</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评价结论</w:t>
            </w:r>
          </w:p>
        </w:tc>
        <w:tc>
          <w:tcPr>
            <w:tcW w:w="779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存在问题</w:t>
            </w:r>
          </w:p>
        </w:tc>
        <w:tc>
          <w:tcPr>
            <w:tcW w:w="779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6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改进措施</w:t>
            </w:r>
          </w:p>
        </w:tc>
        <w:tc>
          <w:tcPr>
            <w:tcW w:w="7790"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bl>
    <w:p>
      <w:pPr>
        <w:pStyle w:val="2"/>
        <w:ind w:left="0" w:leftChars="0" w:firstLine="0" w:firstLineChars="0"/>
        <w:rPr>
          <w:rFonts w:hint="eastAsia" w:ascii="黑体" w:hAnsi="黑体" w:eastAsia="黑体" w:cs="黑体"/>
          <w:sz w:val="44"/>
          <w:szCs w:val="44"/>
          <w:lang w:val="en-US"/>
        </w:rPr>
      </w:pPr>
    </w:p>
    <w:p>
      <w:pPr>
        <w:pStyle w:val="4"/>
        <w:bidi w:val="0"/>
        <w:jc w:val="both"/>
        <w:rPr>
          <w:rFonts w:hint="eastAsia" w:ascii="黑体" w:hAnsi="黑体" w:eastAsia="黑体" w:cs="黑体"/>
          <w:sz w:val="44"/>
          <w:szCs w:val="44"/>
          <w:lang w:val="en-US"/>
        </w:rPr>
      </w:pPr>
    </w:p>
    <w:p>
      <w:pPr>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tbl>
      <w:tblPr>
        <w:tblStyle w:val="8"/>
        <w:tblW w:w="84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4"/>
        <w:gridCol w:w="710"/>
        <w:gridCol w:w="745"/>
        <w:gridCol w:w="821"/>
        <w:gridCol w:w="436"/>
        <w:gridCol w:w="632"/>
        <w:gridCol w:w="437"/>
        <w:gridCol w:w="863"/>
        <w:gridCol w:w="465"/>
        <w:gridCol w:w="465"/>
        <w:gridCol w:w="22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8466"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项目名称</w:t>
            </w:r>
          </w:p>
        </w:tc>
        <w:tc>
          <w:tcPr>
            <w:tcW w:w="7082"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51060422T000000325923-城乡公交保险财政补贴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138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主管部门</w:t>
            </w:r>
          </w:p>
        </w:tc>
        <w:tc>
          <w:tcPr>
            <w:tcW w:w="307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德阳市罗江区交通运输局本级</w:t>
            </w:r>
          </w:p>
        </w:tc>
        <w:tc>
          <w:tcPr>
            <w:tcW w:w="863"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实施单位 （盖章）</w:t>
            </w:r>
          </w:p>
        </w:tc>
        <w:tc>
          <w:tcPr>
            <w:tcW w:w="314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德阳市罗江区道路运输管理所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项目基本情况</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1.项目年度目标完成情况</w:t>
            </w:r>
          </w:p>
        </w:tc>
        <w:tc>
          <w:tcPr>
            <w:tcW w:w="307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项目年度目标</w:t>
            </w:r>
          </w:p>
        </w:tc>
        <w:tc>
          <w:tcPr>
            <w:tcW w:w="401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307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保证和发挥城乡公共交通公益性、惠民性功能，满足群众出行需求，提升群众获得感和幸福感。</w:t>
            </w:r>
          </w:p>
        </w:tc>
        <w:tc>
          <w:tcPr>
            <w:tcW w:w="401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2.项目实施内容及过程概述</w:t>
            </w:r>
          </w:p>
        </w:tc>
        <w:tc>
          <w:tcPr>
            <w:tcW w:w="7082"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城乡公交保险财政补贴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预算执行情况（10分）</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年度预算数（万元）</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年初预算</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调整后预算数</w:t>
            </w:r>
          </w:p>
        </w:tc>
        <w:tc>
          <w:tcPr>
            <w:tcW w:w="15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预算执行数</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预算执行率</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2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总额</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75.24</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60.72</w:t>
            </w:r>
          </w:p>
        </w:tc>
        <w:tc>
          <w:tcPr>
            <w:tcW w:w="15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60.72</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2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iCs/>
                <w:color w:val="000000"/>
                <w:sz w:val="16"/>
                <w:szCs w:val="16"/>
                <w:u w:val="none"/>
              </w:rPr>
            </w:pPr>
            <w:r>
              <w:rPr>
                <w:rFonts w:hint="eastAsia" w:ascii="黑体" w:hAnsi="黑体" w:eastAsia="黑体" w:cs="黑体"/>
                <w:i/>
                <w:iCs/>
                <w:color w:val="000000"/>
                <w:kern w:val="0"/>
                <w:sz w:val="16"/>
                <w:szCs w:val="16"/>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其中：财政资金</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75.24</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60.72</w:t>
            </w:r>
          </w:p>
        </w:tc>
        <w:tc>
          <w:tcPr>
            <w:tcW w:w="15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60.72</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218"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财政专户管理资金</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5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218"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单位资金</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5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218"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其他资金</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150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218"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绩效指标（90分）</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一级指标</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二级指标</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三级指标</w:t>
            </w:r>
          </w:p>
        </w:tc>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指标性质</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指标值</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度量单位</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完成值</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2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产出指标</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数量指标</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保险补贴车辆数</w:t>
            </w:r>
          </w:p>
        </w:tc>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45</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辆</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2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质量指标</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购买车辆保险覆盖率</w:t>
            </w:r>
          </w:p>
        </w:tc>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22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时效指标</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完成时间</w:t>
            </w:r>
          </w:p>
        </w:tc>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2022</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22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成本指标</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保险补贴</w:t>
            </w:r>
          </w:p>
        </w:tc>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75.24</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万元</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22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效益指标</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可持续发展指标</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促进公共交通行业可持续发展</w:t>
            </w:r>
          </w:p>
        </w:tc>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定性</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高中低</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2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满意度指标</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服务对象满意度指标</w:t>
            </w:r>
          </w:p>
        </w:tc>
        <w:tc>
          <w:tcPr>
            <w:tcW w:w="8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乘客及经营者满意度</w:t>
            </w:r>
          </w:p>
        </w:tc>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80</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2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318"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合计</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22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评价结论</w:t>
            </w:r>
          </w:p>
        </w:tc>
        <w:tc>
          <w:tcPr>
            <w:tcW w:w="779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存在问题</w:t>
            </w:r>
          </w:p>
        </w:tc>
        <w:tc>
          <w:tcPr>
            <w:tcW w:w="779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改进措施</w:t>
            </w:r>
          </w:p>
        </w:tc>
        <w:tc>
          <w:tcPr>
            <w:tcW w:w="7792"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bl>
    <w:p>
      <w:pPr>
        <w:pStyle w:val="2"/>
        <w:ind w:left="0" w:leftChars="0" w:firstLine="0" w:firstLineChars="0"/>
        <w:rPr>
          <w:rFonts w:hint="eastAsia" w:ascii="黑体" w:hAnsi="黑体" w:eastAsia="黑体" w:cs="黑体"/>
          <w:sz w:val="44"/>
          <w:szCs w:val="44"/>
          <w:lang w:val="en-US"/>
        </w:rPr>
      </w:pPr>
    </w:p>
    <w:p>
      <w:pPr>
        <w:pStyle w:val="4"/>
        <w:bidi w:val="0"/>
        <w:jc w:val="both"/>
        <w:rPr>
          <w:rFonts w:hint="eastAsia" w:ascii="黑体" w:hAnsi="黑体" w:eastAsia="黑体" w:cs="黑体"/>
          <w:sz w:val="44"/>
          <w:szCs w:val="44"/>
          <w:lang w:val="en-US"/>
        </w:rPr>
      </w:pPr>
    </w:p>
    <w:p>
      <w:pPr>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p>
      <w:pPr>
        <w:pStyle w:val="2"/>
        <w:rPr>
          <w:rFonts w:hint="eastAsia" w:ascii="黑体" w:hAnsi="黑体" w:eastAsia="黑体" w:cs="黑体"/>
          <w:sz w:val="44"/>
          <w:szCs w:val="44"/>
          <w:lang w:val="en-US"/>
        </w:rPr>
      </w:pPr>
    </w:p>
    <w:tbl>
      <w:tblPr>
        <w:tblStyle w:val="8"/>
        <w:tblW w:w="84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5"/>
        <w:gridCol w:w="710"/>
        <w:gridCol w:w="745"/>
        <w:gridCol w:w="783"/>
        <w:gridCol w:w="436"/>
        <w:gridCol w:w="669"/>
        <w:gridCol w:w="437"/>
        <w:gridCol w:w="863"/>
        <w:gridCol w:w="465"/>
        <w:gridCol w:w="465"/>
        <w:gridCol w:w="22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8466"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项目名称</w:t>
            </w:r>
          </w:p>
        </w:tc>
        <w:tc>
          <w:tcPr>
            <w:tcW w:w="708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51060422T000000325952-略坪至广富等7条城乡公交线路运行成本补贴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13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主管部门</w:t>
            </w:r>
          </w:p>
        </w:tc>
        <w:tc>
          <w:tcPr>
            <w:tcW w:w="307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德阳市罗江区交通运输局本级</w:t>
            </w:r>
          </w:p>
        </w:tc>
        <w:tc>
          <w:tcPr>
            <w:tcW w:w="863"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实施单位 （盖章）</w:t>
            </w:r>
          </w:p>
        </w:tc>
        <w:tc>
          <w:tcPr>
            <w:tcW w:w="314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德阳市罗江区道路运输管理所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项目基本情况</w:t>
            </w: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1.项目年度目标完成情况</w:t>
            </w:r>
          </w:p>
        </w:tc>
        <w:tc>
          <w:tcPr>
            <w:tcW w:w="307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项目年度目标</w:t>
            </w:r>
          </w:p>
        </w:tc>
        <w:tc>
          <w:tcPr>
            <w:tcW w:w="401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307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保证和发挥城乡公共交通公益性、惠民性功能，满足群众出行需求，提升群众获得感和幸福感。</w:t>
            </w:r>
          </w:p>
        </w:tc>
        <w:tc>
          <w:tcPr>
            <w:tcW w:w="401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2.项目实施内容及过程概述</w:t>
            </w:r>
          </w:p>
        </w:tc>
        <w:tc>
          <w:tcPr>
            <w:tcW w:w="7081"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略坪至广富等7条城乡公交线路运行成本补贴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预算执行情况（10分）</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年度预算数（万元）</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年初预算</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调整后预算数</w:t>
            </w:r>
          </w:p>
        </w:tc>
        <w:tc>
          <w:tcPr>
            <w:tcW w:w="15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预算执行数</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预算执行率</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2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总额</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58.87</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58.87</w:t>
            </w:r>
          </w:p>
        </w:tc>
        <w:tc>
          <w:tcPr>
            <w:tcW w:w="15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58.80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99.89%</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21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iCs/>
                <w:color w:val="000000"/>
                <w:sz w:val="16"/>
                <w:szCs w:val="16"/>
                <w:u w:val="none"/>
              </w:rPr>
            </w:pPr>
            <w:r>
              <w:rPr>
                <w:rFonts w:hint="eastAsia" w:ascii="黑体" w:hAnsi="黑体" w:eastAsia="黑体" w:cs="黑体"/>
                <w:i/>
                <w:iCs/>
                <w:color w:val="000000"/>
                <w:kern w:val="0"/>
                <w:sz w:val="16"/>
                <w:szCs w:val="16"/>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其中：财政资金</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58.87</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58.87</w:t>
            </w:r>
          </w:p>
        </w:tc>
        <w:tc>
          <w:tcPr>
            <w:tcW w:w="15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58.80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99.89%</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218"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财政专户管理资金</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5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218"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单位资金</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5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218"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其他资金</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154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218"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绩效指标（90分）</w:t>
            </w: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一级指标</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二级指标</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三级指标</w:t>
            </w:r>
          </w:p>
        </w:tc>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指标性质</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指标值</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度量单位</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完成值</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22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产出指标</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数量指标</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补贴线路数</w:t>
            </w:r>
          </w:p>
        </w:tc>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条</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2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质量指标</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支线车辆服务考核合格率</w:t>
            </w:r>
          </w:p>
        </w:tc>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定性</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优良中低差</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22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时效指标</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完成时间</w:t>
            </w:r>
          </w:p>
        </w:tc>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2022</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22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成本指标</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支线补贴</w:t>
            </w:r>
          </w:p>
        </w:tc>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58.87</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万元</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22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效益指标</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社会效益指标</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保障老百姓出行需求</w:t>
            </w:r>
          </w:p>
        </w:tc>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定性</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高中低</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2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满意度指标</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服务对象满意度指标</w:t>
            </w:r>
          </w:p>
        </w:tc>
        <w:tc>
          <w:tcPr>
            <w:tcW w:w="7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乘客及经营者满意度</w:t>
            </w:r>
          </w:p>
        </w:tc>
        <w:tc>
          <w:tcPr>
            <w:tcW w:w="4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80</w:t>
            </w:r>
          </w:p>
        </w:tc>
        <w:tc>
          <w:tcPr>
            <w:tcW w:w="4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8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21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318"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合计</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22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评价结论</w:t>
            </w:r>
          </w:p>
        </w:tc>
        <w:tc>
          <w:tcPr>
            <w:tcW w:w="779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存在问题</w:t>
            </w:r>
          </w:p>
        </w:tc>
        <w:tc>
          <w:tcPr>
            <w:tcW w:w="779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改进措施</w:t>
            </w:r>
          </w:p>
        </w:tc>
        <w:tc>
          <w:tcPr>
            <w:tcW w:w="7791"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bl>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tbl>
      <w:tblPr>
        <w:tblStyle w:val="8"/>
        <w:tblW w:w="84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2"/>
        <w:gridCol w:w="694"/>
        <w:gridCol w:w="810"/>
        <w:gridCol w:w="828"/>
        <w:gridCol w:w="433"/>
        <w:gridCol w:w="739"/>
        <w:gridCol w:w="433"/>
        <w:gridCol w:w="855"/>
        <w:gridCol w:w="464"/>
        <w:gridCol w:w="464"/>
        <w:gridCol w:w="20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8466"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项目名称</w:t>
            </w:r>
          </w:p>
        </w:tc>
        <w:tc>
          <w:tcPr>
            <w:tcW w:w="711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51060422T000000326002-德罗城际公交营运补贴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135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主管部门</w:t>
            </w:r>
          </w:p>
        </w:tc>
        <w:tc>
          <w:tcPr>
            <w:tcW w:w="324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德阳市罗江区交通运输局本级</w:t>
            </w:r>
          </w:p>
        </w:tc>
        <w:tc>
          <w:tcPr>
            <w:tcW w:w="855"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实施单位 （盖章）</w:t>
            </w:r>
          </w:p>
        </w:tc>
        <w:tc>
          <w:tcPr>
            <w:tcW w:w="301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德阳市罗江区道路运输管理所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项目基本情况</w:t>
            </w:r>
          </w:p>
        </w:tc>
        <w:tc>
          <w:tcPr>
            <w:tcW w:w="6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1.项目年度目标完成情况</w:t>
            </w:r>
          </w:p>
        </w:tc>
        <w:tc>
          <w:tcPr>
            <w:tcW w:w="324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项目年度目标</w:t>
            </w:r>
          </w:p>
        </w:tc>
        <w:tc>
          <w:tcPr>
            <w:tcW w:w="386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69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324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保证和发挥城市公共交通公益性、惠民性功能，满足群众出行需求，提升群众获得感和幸福感。</w:t>
            </w:r>
          </w:p>
        </w:tc>
        <w:tc>
          <w:tcPr>
            <w:tcW w:w="386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2.项目实施内容及过程概述</w:t>
            </w:r>
          </w:p>
        </w:tc>
        <w:tc>
          <w:tcPr>
            <w:tcW w:w="711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德罗城际公交营运补贴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预算执行情况（10分）</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年度预算数（万元）</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年初预算</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调整后预算数</w:t>
            </w:r>
          </w:p>
        </w:tc>
        <w:tc>
          <w:tcPr>
            <w:tcW w:w="16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预算执行数</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预算执行率</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2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总额</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168.36</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168.36</w:t>
            </w:r>
          </w:p>
        </w:tc>
        <w:tc>
          <w:tcPr>
            <w:tcW w:w="16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168.36</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08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iCs/>
                <w:color w:val="000000"/>
                <w:sz w:val="16"/>
                <w:szCs w:val="16"/>
                <w:u w:val="none"/>
              </w:rPr>
            </w:pPr>
            <w:r>
              <w:rPr>
                <w:rFonts w:hint="eastAsia" w:ascii="黑体" w:hAnsi="黑体" w:eastAsia="黑体" w:cs="黑体"/>
                <w:i/>
                <w:iCs/>
                <w:color w:val="000000"/>
                <w:kern w:val="0"/>
                <w:sz w:val="16"/>
                <w:szCs w:val="16"/>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其中：财政资金</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168.36</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168.36</w:t>
            </w:r>
          </w:p>
        </w:tc>
        <w:tc>
          <w:tcPr>
            <w:tcW w:w="16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168.36</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08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财政专户管理资金</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6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08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单位资金</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60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08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其他资金</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160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08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绩效指标（90分）</w:t>
            </w: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一级指标</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二级指标</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三级指标</w:t>
            </w: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指标性质</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指标值</w:t>
            </w: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度量单位</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完成值</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20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6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产出指标</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数量指标</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德罗公交经营补贴数</w:t>
            </w: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辆</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0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6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质量指标</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对车辆服务考核合格率</w:t>
            </w: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95</w:t>
            </w: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分</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20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6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时效指标</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完成时间</w:t>
            </w: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2022</w:t>
            </w: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20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69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成本指标</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补贴费用</w:t>
            </w: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168.36</w:t>
            </w: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万元</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20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效益指标</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社会效益指标</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保障老百姓出行需求</w:t>
            </w: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定性</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优良中低差</w:t>
            </w: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0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6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6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满意度指标</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服务对象满意度指标</w:t>
            </w:r>
          </w:p>
        </w:tc>
        <w:tc>
          <w:tcPr>
            <w:tcW w:w="8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乘客及经营者满意度</w:t>
            </w: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7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80</w:t>
            </w:r>
          </w:p>
        </w:tc>
        <w:tc>
          <w:tcPr>
            <w:tcW w:w="4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08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454"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合计</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208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评价结论</w:t>
            </w:r>
          </w:p>
        </w:tc>
        <w:tc>
          <w:tcPr>
            <w:tcW w:w="7804"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存在问题</w:t>
            </w:r>
          </w:p>
        </w:tc>
        <w:tc>
          <w:tcPr>
            <w:tcW w:w="7804"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6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改进措施</w:t>
            </w:r>
          </w:p>
        </w:tc>
        <w:tc>
          <w:tcPr>
            <w:tcW w:w="7804"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bl>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tbl>
      <w:tblPr>
        <w:tblStyle w:val="8"/>
        <w:tblW w:w="84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0"/>
        <w:gridCol w:w="704"/>
        <w:gridCol w:w="752"/>
        <w:gridCol w:w="940"/>
        <w:gridCol w:w="440"/>
        <w:gridCol w:w="564"/>
        <w:gridCol w:w="440"/>
        <w:gridCol w:w="860"/>
        <w:gridCol w:w="464"/>
        <w:gridCol w:w="465"/>
        <w:gridCol w:w="2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8466"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7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项目名称</w:t>
            </w:r>
          </w:p>
        </w:tc>
        <w:tc>
          <w:tcPr>
            <w:tcW w:w="7092"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51060422T000000326048-站点维修及日常管护专项经费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137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主管部门</w:t>
            </w:r>
          </w:p>
        </w:tc>
        <w:tc>
          <w:tcPr>
            <w:tcW w:w="313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德阳市罗江区交通运输局本级</w:t>
            </w:r>
          </w:p>
        </w:tc>
        <w:tc>
          <w:tcPr>
            <w:tcW w:w="860"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实施单位 （盖章）</w:t>
            </w:r>
          </w:p>
        </w:tc>
        <w:tc>
          <w:tcPr>
            <w:tcW w:w="30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德阳市罗江区道路运输管理所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项目基本情况</w:t>
            </w:r>
          </w:p>
        </w:tc>
        <w:tc>
          <w:tcPr>
            <w:tcW w:w="7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1.项目年度目标完成情况</w:t>
            </w:r>
          </w:p>
        </w:tc>
        <w:tc>
          <w:tcPr>
            <w:tcW w:w="313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项目年度目标</w:t>
            </w:r>
          </w:p>
        </w:tc>
        <w:tc>
          <w:tcPr>
            <w:tcW w:w="395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67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70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313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通过对城乡（市）公交站点（牌）建设，使道路旅客运输行业市场服务质量明显提升，降低安全生产事故。</w:t>
            </w:r>
          </w:p>
        </w:tc>
        <w:tc>
          <w:tcPr>
            <w:tcW w:w="395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67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2.项目实施内容及过程概述</w:t>
            </w:r>
          </w:p>
        </w:tc>
        <w:tc>
          <w:tcPr>
            <w:tcW w:w="7092"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站点维修及日常管护专项经费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预算执行情况（10分）</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年度预算数（万元）</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年初预算</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调整后预算数</w:t>
            </w:r>
          </w:p>
        </w:tc>
        <w:tc>
          <w:tcPr>
            <w:tcW w:w="14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预算执行数</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预算执行率</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总额</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12.00</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12.00</w:t>
            </w:r>
          </w:p>
        </w:tc>
        <w:tc>
          <w:tcPr>
            <w:tcW w:w="14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12.00</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21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iCs/>
                <w:color w:val="000000"/>
                <w:sz w:val="16"/>
                <w:szCs w:val="16"/>
                <w:u w:val="none"/>
              </w:rPr>
            </w:pPr>
            <w:r>
              <w:rPr>
                <w:rFonts w:hint="eastAsia" w:ascii="黑体" w:hAnsi="黑体" w:eastAsia="黑体" w:cs="黑体"/>
                <w:i/>
                <w:iCs/>
                <w:color w:val="000000"/>
                <w:kern w:val="0"/>
                <w:sz w:val="16"/>
                <w:szCs w:val="16"/>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其中：财政资金</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12.00</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12.00</w:t>
            </w:r>
          </w:p>
        </w:tc>
        <w:tc>
          <w:tcPr>
            <w:tcW w:w="14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12.00</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财政专户管理资金</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4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单位资金</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44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其他资金</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144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16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绩效指标（90分）</w:t>
            </w: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一级指标</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二级指标</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三级指标</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指标性质</w:t>
            </w:r>
          </w:p>
        </w:tc>
        <w:tc>
          <w:tcPr>
            <w:tcW w:w="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指标值</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度量单位</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完成值</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0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产出指标</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数量指标</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新建城乡（市）公交站点（牌）个</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30</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个</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1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质量指标</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交站点（牌）建设验收及通过率</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21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时效指标</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完成时间</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2022</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21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0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成本指标</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站点建设资金</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12</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万元</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21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效益指标</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可持续影响指标</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未来一定时期内乘客需示</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1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满意度指标</w:t>
            </w:r>
          </w:p>
        </w:tc>
        <w:tc>
          <w:tcPr>
            <w:tcW w:w="7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服务对象满意度指标</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乘客及经营者满意度</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95</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1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37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合计</w:t>
            </w:r>
          </w:p>
        </w:tc>
        <w:tc>
          <w:tcPr>
            <w:tcW w:w="4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21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评价结论</w:t>
            </w:r>
          </w:p>
        </w:tc>
        <w:tc>
          <w:tcPr>
            <w:tcW w:w="7796"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存在问题</w:t>
            </w:r>
          </w:p>
        </w:tc>
        <w:tc>
          <w:tcPr>
            <w:tcW w:w="7796"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6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改进措施</w:t>
            </w:r>
          </w:p>
        </w:tc>
        <w:tc>
          <w:tcPr>
            <w:tcW w:w="7796"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bl>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tbl>
      <w:tblPr>
        <w:tblStyle w:val="8"/>
        <w:tblW w:w="84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0"/>
        <w:gridCol w:w="716"/>
        <w:gridCol w:w="741"/>
        <w:gridCol w:w="797"/>
        <w:gridCol w:w="434"/>
        <w:gridCol w:w="595"/>
        <w:gridCol w:w="434"/>
        <w:gridCol w:w="866"/>
        <w:gridCol w:w="465"/>
        <w:gridCol w:w="465"/>
        <w:gridCol w:w="2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8466"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项目名称</w:t>
            </w:r>
          </w:p>
        </w:tc>
        <w:tc>
          <w:tcPr>
            <w:tcW w:w="707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51060422T000000326084-预约响应式农村客运专项补贴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13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主管部门</w:t>
            </w:r>
          </w:p>
        </w:tc>
        <w:tc>
          <w:tcPr>
            <w:tcW w:w="300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德阳市罗江区交通运输局本级</w:t>
            </w:r>
          </w:p>
        </w:tc>
        <w:tc>
          <w:tcPr>
            <w:tcW w:w="866"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实施单位 （盖章）</w:t>
            </w:r>
          </w:p>
        </w:tc>
        <w:tc>
          <w:tcPr>
            <w:tcW w:w="320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德阳市罗江区道路运输管理所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项目基本情况</w:t>
            </w:r>
          </w:p>
        </w:tc>
        <w:tc>
          <w:tcPr>
            <w:tcW w:w="7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1.项目年度目标完成情况</w:t>
            </w:r>
          </w:p>
        </w:tc>
        <w:tc>
          <w:tcPr>
            <w:tcW w:w="300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项目年度目标</w:t>
            </w:r>
          </w:p>
        </w:tc>
        <w:tc>
          <w:tcPr>
            <w:tcW w:w="406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6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71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300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保证和发挥城乡公共交通公益性、惠民性功能，满足群众出行需求，提升群众获得感和幸福感</w:t>
            </w:r>
          </w:p>
        </w:tc>
        <w:tc>
          <w:tcPr>
            <w:tcW w:w="406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68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2.项目实施内容及过程概述</w:t>
            </w:r>
          </w:p>
        </w:tc>
        <w:tc>
          <w:tcPr>
            <w:tcW w:w="707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预约响应式农村客运专项补贴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预算执行情况（10分）</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年度预算数（万元）</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年初预算</w:t>
            </w:r>
          </w:p>
        </w:tc>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调整后预算数</w:t>
            </w:r>
          </w:p>
        </w:tc>
        <w:tc>
          <w:tcPr>
            <w:tcW w:w="14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预算执行数</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预算执行率</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总额</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35.00</w:t>
            </w:r>
          </w:p>
        </w:tc>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35.00</w:t>
            </w:r>
          </w:p>
        </w:tc>
        <w:tc>
          <w:tcPr>
            <w:tcW w:w="14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17.50</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2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iCs/>
                <w:color w:val="000000"/>
                <w:sz w:val="16"/>
                <w:szCs w:val="16"/>
                <w:u w:val="none"/>
              </w:rPr>
            </w:pPr>
            <w:r>
              <w:rPr>
                <w:rFonts w:hint="eastAsia" w:ascii="黑体" w:hAnsi="黑体" w:eastAsia="黑体" w:cs="黑体"/>
                <w:i/>
                <w:iCs/>
                <w:color w:val="000000"/>
                <w:kern w:val="0"/>
                <w:sz w:val="16"/>
                <w:szCs w:val="16"/>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其中：财政资金</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35.00</w:t>
            </w:r>
          </w:p>
        </w:tc>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35.00</w:t>
            </w:r>
          </w:p>
        </w:tc>
        <w:tc>
          <w:tcPr>
            <w:tcW w:w="14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17.50</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27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财政专户管理资金</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4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27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单位资金</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4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27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其他资金</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79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146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273"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绩效指标（90分）</w:t>
            </w: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一级指标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二级指标</w:t>
            </w:r>
          </w:p>
        </w:tc>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三级指标</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指标性质</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指标值</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度量单位</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完成值</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产出指标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数量指标</w:t>
            </w:r>
          </w:p>
        </w:tc>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预约响应式农村客运车辆数</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辆</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质量指标</w:t>
            </w:r>
          </w:p>
        </w:tc>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对车辆服务考核合格率</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定性</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优良中低差</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时效指标</w:t>
            </w:r>
          </w:p>
        </w:tc>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完成时间</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2022</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6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成本指标</w:t>
            </w:r>
          </w:p>
        </w:tc>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补贴标准</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万元/个</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效益指标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社会效益指标</w:t>
            </w:r>
          </w:p>
        </w:tc>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保障老百姓出行需求</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定性</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高中低</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满意度指标</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服务对象满意度指标</w:t>
            </w:r>
          </w:p>
        </w:tc>
        <w:tc>
          <w:tcPr>
            <w:tcW w:w="7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乘客及经营者满意度</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80</w:t>
            </w:r>
          </w:p>
        </w:tc>
        <w:tc>
          <w:tcPr>
            <w:tcW w:w="4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26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合计</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4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评价结论</w:t>
            </w:r>
          </w:p>
        </w:tc>
        <w:tc>
          <w:tcPr>
            <w:tcW w:w="7786"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存在问题</w:t>
            </w:r>
          </w:p>
        </w:tc>
        <w:tc>
          <w:tcPr>
            <w:tcW w:w="7786"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改进措施</w:t>
            </w:r>
          </w:p>
        </w:tc>
        <w:tc>
          <w:tcPr>
            <w:tcW w:w="7786"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bl>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tbl>
      <w:tblPr>
        <w:tblStyle w:val="8"/>
        <w:tblW w:w="84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8"/>
        <w:gridCol w:w="726"/>
        <w:gridCol w:w="683"/>
        <w:gridCol w:w="764"/>
        <w:gridCol w:w="440"/>
        <w:gridCol w:w="561"/>
        <w:gridCol w:w="440"/>
        <w:gridCol w:w="871"/>
        <w:gridCol w:w="466"/>
        <w:gridCol w:w="466"/>
        <w:gridCol w:w="2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8466"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项目名称</w:t>
            </w:r>
          </w:p>
        </w:tc>
        <w:tc>
          <w:tcPr>
            <w:tcW w:w="7052"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51060422T000000326129-3路城市公交运行补助经费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141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主管部门</w:t>
            </w:r>
          </w:p>
        </w:tc>
        <w:tc>
          <w:tcPr>
            <w:tcW w:w="288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德阳市罗江区交通运输局本级</w:t>
            </w:r>
          </w:p>
        </w:tc>
        <w:tc>
          <w:tcPr>
            <w:tcW w:w="871"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实施单位 （盖章）</w:t>
            </w:r>
          </w:p>
        </w:tc>
        <w:tc>
          <w:tcPr>
            <w:tcW w:w="329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德阳市罗江区道路运输管理所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项目基本情况</w:t>
            </w:r>
          </w:p>
        </w:tc>
        <w:tc>
          <w:tcPr>
            <w:tcW w:w="7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1.项目年度目标完成情况</w:t>
            </w:r>
          </w:p>
        </w:tc>
        <w:tc>
          <w:tcPr>
            <w:tcW w:w="288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项目年度目标</w:t>
            </w:r>
          </w:p>
        </w:tc>
        <w:tc>
          <w:tcPr>
            <w:tcW w:w="416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688"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288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保证和发挥城市公共交通公益性、惠民性功能，满足群众出行需求，提升群众获得感和幸福感</w:t>
            </w:r>
          </w:p>
        </w:tc>
        <w:tc>
          <w:tcPr>
            <w:tcW w:w="416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688"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2.项目实施内容及过程概述</w:t>
            </w:r>
          </w:p>
        </w:tc>
        <w:tc>
          <w:tcPr>
            <w:tcW w:w="7052"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3路城市公交运行补助经费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预算执行情况（10分）</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年度预算数（万元）</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年初预算</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调整后预算数</w:t>
            </w:r>
          </w:p>
        </w:tc>
        <w:tc>
          <w:tcPr>
            <w:tcW w:w="144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预算执行数</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预算执行率</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6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总额</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7.68</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7.68</w:t>
            </w:r>
          </w:p>
        </w:tc>
        <w:tc>
          <w:tcPr>
            <w:tcW w:w="144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7.68</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36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iCs/>
                <w:color w:val="000000"/>
                <w:sz w:val="16"/>
                <w:szCs w:val="16"/>
                <w:u w:val="none"/>
              </w:rPr>
            </w:pPr>
            <w:r>
              <w:rPr>
                <w:rFonts w:hint="eastAsia" w:ascii="黑体" w:hAnsi="黑体" w:eastAsia="黑体" w:cs="黑体"/>
                <w:i/>
                <w:iCs/>
                <w:color w:val="000000"/>
                <w:kern w:val="0"/>
                <w:sz w:val="16"/>
                <w:szCs w:val="16"/>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6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其中：财政资金</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7.68</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7.68</w:t>
            </w:r>
          </w:p>
        </w:tc>
        <w:tc>
          <w:tcPr>
            <w:tcW w:w="144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7.68</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36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6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财政专户管理资金</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44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36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6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单位资金</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44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36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6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其他资金</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1441"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36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绩效指标（90分）</w:t>
            </w: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一级指标</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二级指标</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三级指标</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指标性质</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指标值</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度量单位</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完成值</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产出指标</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数量指标</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3路城市公交夜间运行班次</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12</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次</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质量指标</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确保群众正常乘车需求</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时效指标</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完成时间</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2022</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6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成本指标</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运行补贴资金</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7.68</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万元</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20</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效益指标</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可持续发展指标</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促进公共交通行业可持续发展</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定性</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高中低</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满意度指标</w:t>
            </w:r>
          </w:p>
        </w:tc>
        <w:tc>
          <w:tcPr>
            <w:tcW w:w="6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服务对象满意度指标</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乘客及经营者满意度</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80</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8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173"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合计</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4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236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评价结论</w:t>
            </w:r>
          </w:p>
        </w:tc>
        <w:tc>
          <w:tcPr>
            <w:tcW w:w="7778"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存在问题</w:t>
            </w:r>
          </w:p>
        </w:tc>
        <w:tc>
          <w:tcPr>
            <w:tcW w:w="7778"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6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改进措施</w:t>
            </w:r>
          </w:p>
        </w:tc>
        <w:tc>
          <w:tcPr>
            <w:tcW w:w="7778"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bl>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p>
      <w:pPr>
        <w:pStyle w:val="2"/>
        <w:ind w:left="0" w:leftChars="0" w:firstLine="0" w:firstLineChars="0"/>
        <w:rPr>
          <w:rFonts w:hint="eastAsia" w:ascii="黑体" w:hAnsi="黑体" w:eastAsia="黑体" w:cs="黑体"/>
          <w:sz w:val="44"/>
          <w:szCs w:val="44"/>
          <w:lang w:val="en-US"/>
        </w:rPr>
      </w:pPr>
    </w:p>
    <w:tbl>
      <w:tblPr>
        <w:tblStyle w:val="8"/>
        <w:tblW w:w="84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2"/>
        <w:gridCol w:w="756"/>
        <w:gridCol w:w="580"/>
        <w:gridCol w:w="693"/>
        <w:gridCol w:w="442"/>
        <w:gridCol w:w="420"/>
        <w:gridCol w:w="442"/>
        <w:gridCol w:w="886"/>
        <w:gridCol w:w="467"/>
        <w:gridCol w:w="467"/>
        <w:gridCol w:w="2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8466"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项目名称</w:t>
            </w:r>
          </w:p>
        </w:tc>
        <w:tc>
          <w:tcPr>
            <w:tcW w:w="6998"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51060422T000005880293-节能减排补助资金（节能与新能源公交车运营补助）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146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主管部门</w:t>
            </w:r>
          </w:p>
        </w:tc>
        <w:tc>
          <w:tcPr>
            <w:tcW w:w="257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德阳市罗江区交通运输局本级</w:t>
            </w:r>
          </w:p>
        </w:tc>
        <w:tc>
          <w:tcPr>
            <w:tcW w:w="886"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实施单位 （盖章）</w:t>
            </w:r>
          </w:p>
        </w:tc>
        <w:tc>
          <w:tcPr>
            <w:tcW w:w="353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德阳市罗江区道路运输管理所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项目基本情况</w:t>
            </w:r>
          </w:p>
        </w:tc>
        <w:tc>
          <w:tcPr>
            <w:tcW w:w="7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1.项目年度目标完成情况</w:t>
            </w:r>
          </w:p>
        </w:tc>
        <w:tc>
          <w:tcPr>
            <w:tcW w:w="257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项目年度目标</w:t>
            </w:r>
          </w:p>
        </w:tc>
        <w:tc>
          <w:tcPr>
            <w:tcW w:w="44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7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2577"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442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2.项目实施内容及过程概述</w:t>
            </w:r>
          </w:p>
        </w:tc>
        <w:tc>
          <w:tcPr>
            <w:tcW w:w="6998"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节能减排补助资金（节能与新能源公交车运营补助）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预算执行情况（10分）</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年度预算数（万元）</w:t>
            </w:r>
          </w:p>
        </w:tc>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年初预算</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调整后预算数</w:t>
            </w:r>
          </w:p>
        </w:tc>
        <w:tc>
          <w:tcPr>
            <w:tcW w:w="130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预算执行数</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预算执行率</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总额</w:t>
            </w:r>
          </w:p>
        </w:tc>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72.00</w:t>
            </w:r>
          </w:p>
        </w:tc>
        <w:tc>
          <w:tcPr>
            <w:tcW w:w="130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72.00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60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iCs/>
                <w:color w:val="000000"/>
                <w:sz w:val="16"/>
                <w:szCs w:val="16"/>
                <w:u w:val="none"/>
              </w:rPr>
            </w:pPr>
            <w:r>
              <w:rPr>
                <w:rFonts w:hint="eastAsia" w:ascii="黑体" w:hAnsi="黑体" w:eastAsia="黑体" w:cs="黑体"/>
                <w:i/>
                <w:iCs/>
                <w:color w:val="000000"/>
                <w:kern w:val="0"/>
                <w:sz w:val="16"/>
                <w:szCs w:val="16"/>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其中：财政资金</w:t>
            </w:r>
          </w:p>
        </w:tc>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72.00</w:t>
            </w:r>
          </w:p>
        </w:tc>
        <w:tc>
          <w:tcPr>
            <w:tcW w:w="130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72.00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60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财政专户管理资金</w:t>
            </w:r>
          </w:p>
        </w:tc>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30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60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单位资金</w:t>
            </w:r>
          </w:p>
        </w:tc>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30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60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其他资金</w:t>
            </w:r>
          </w:p>
        </w:tc>
        <w:tc>
          <w:tcPr>
            <w:tcW w:w="5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1304"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601"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1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绩效指标（90分）</w:t>
            </w: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一级指标</w:t>
            </w:r>
          </w:p>
        </w:tc>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二级指标</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三级指标</w:t>
            </w:r>
          </w:p>
        </w:tc>
        <w:tc>
          <w:tcPr>
            <w:tcW w:w="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指标性质</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指标值</w:t>
            </w:r>
          </w:p>
        </w:tc>
        <w:tc>
          <w:tcPr>
            <w:tcW w:w="4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度量单位</w:t>
            </w: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完成值</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71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4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44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8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90</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90</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931"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合计</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2601"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评价结论</w:t>
            </w:r>
          </w:p>
        </w:tc>
        <w:tc>
          <w:tcPr>
            <w:tcW w:w="7754"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存在问题</w:t>
            </w:r>
          </w:p>
        </w:tc>
        <w:tc>
          <w:tcPr>
            <w:tcW w:w="7754"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改进措施</w:t>
            </w:r>
          </w:p>
        </w:tc>
        <w:tc>
          <w:tcPr>
            <w:tcW w:w="7754"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bl>
    <w:p>
      <w:pPr>
        <w:pStyle w:val="2"/>
        <w:ind w:left="0" w:leftChars="0" w:firstLine="0" w:firstLineChars="0"/>
        <w:rPr>
          <w:rFonts w:hint="eastAsia" w:ascii="黑体" w:hAnsi="黑体" w:eastAsia="黑体" w:cs="黑体"/>
          <w:sz w:val="44"/>
          <w:szCs w:val="44"/>
          <w:lang w:val="en-US"/>
        </w:rPr>
      </w:pPr>
    </w:p>
    <w:tbl>
      <w:tblPr>
        <w:tblStyle w:val="8"/>
        <w:tblW w:w="846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7"/>
        <w:gridCol w:w="750"/>
        <w:gridCol w:w="579"/>
        <w:gridCol w:w="760"/>
        <w:gridCol w:w="440"/>
        <w:gridCol w:w="419"/>
        <w:gridCol w:w="440"/>
        <w:gridCol w:w="883"/>
        <w:gridCol w:w="467"/>
        <w:gridCol w:w="467"/>
        <w:gridCol w:w="2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466" w:type="dxa"/>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16"/>
                <w:szCs w:val="16"/>
                <w:u w:val="none"/>
              </w:rPr>
            </w:pPr>
            <w:r>
              <w:rPr>
                <w:rFonts w:hint="eastAsia" w:ascii="黑体" w:hAnsi="宋体" w:eastAsia="黑体" w:cs="黑体"/>
                <w:b/>
                <w:bCs/>
                <w:i w:val="0"/>
                <w:iCs w:val="0"/>
                <w:color w:val="000000"/>
                <w:kern w:val="0"/>
                <w:sz w:val="16"/>
                <w:szCs w:val="16"/>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5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项目名称</w:t>
            </w:r>
          </w:p>
        </w:tc>
        <w:tc>
          <w:tcPr>
            <w:tcW w:w="7009"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51060422T000006540500-罗江区汽车站经营亏损补贴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145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主管部门</w:t>
            </w:r>
          </w:p>
        </w:tc>
        <w:tc>
          <w:tcPr>
            <w:tcW w:w="263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德阳市罗江区交通运输局本级</w:t>
            </w:r>
          </w:p>
        </w:tc>
        <w:tc>
          <w:tcPr>
            <w:tcW w:w="883"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实施单位 （盖章）</w:t>
            </w:r>
          </w:p>
        </w:tc>
        <w:tc>
          <w:tcPr>
            <w:tcW w:w="348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德阳市罗江区道路运输管理所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项目基本情况</w:t>
            </w:r>
          </w:p>
        </w:tc>
        <w:tc>
          <w:tcPr>
            <w:tcW w:w="7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1.项目年度目标完成情况</w:t>
            </w:r>
          </w:p>
        </w:tc>
        <w:tc>
          <w:tcPr>
            <w:tcW w:w="263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项目年度目标</w:t>
            </w:r>
          </w:p>
        </w:tc>
        <w:tc>
          <w:tcPr>
            <w:tcW w:w="437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trPr>
        <w:tc>
          <w:tcPr>
            <w:tcW w:w="70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2638" w:type="dxa"/>
            <w:gridSpan w:val="5"/>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4371"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000000"/>
                <w:sz w:val="16"/>
                <w:szCs w:val="16"/>
                <w:u w:val="none"/>
              </w:rPr>
            </w:pPr>
            <w:r>
              <w:rPr>
                <w:rFonts w:hint="eastAsia" w:ascii="黑体" w:hAnsi="黑体" w:eastAsia="黑体" w:cs="黑体"/>
                <w:i w:val="0"/>
                <w:iCs w:val="0"/>
                <w:color w:val="000000"/>
                <w:kern w:val="0"/>
                <w:sz w:val="16"/>
                <w:szCs w:val="16"/>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70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2.项目实施内容及过程概述</w:t>
            </w:r>
          </w:p>
        </w:tc>
        <w:tc>
          <w:tcPr>
            <w:tcW w:w="7009"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罗江区汽车站经营亏损补贴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7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预算执行情况（10分）</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年度预算数（万元）</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年初预算</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调整后预算数</w:t>
            </w:r>
          </w:p>
        </w:tc>
        <w:tc>
          <w:tcPr>
            <w:tcW w:w="129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预算执行数</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预算执行率</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2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7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总额</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105.61</w:t>
            </w:r>
          </w:p>
        </w:tc>
        <w:tc>
          <w:tcPr>
            <w:tcW w:w="129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105.61</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w:t>
            </w:r>
          </w:p>
        </w:tc>
        <w:tc>
          <w:tcPr>
            <w:tcW w:w="255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iCs/>
                <w:color w:val="000000"/>
                <w:sz w:val="16"/>
                <w:szCs w:val="16"/>
                <w:u w:val="none"/>
              </w:rPr>
            </w:pPr>
            <w:r>
              <w:rPr>
                <w:rFonts w:hint="eastAsia" w:ascii="黑体" w:hAnsi="黑体" w:eastAsia="黑体" w:cs="黑体"/>
                <w:i/>
                <w:iCs/>
                <w:color w:val="000000"/>
                <w:kern w:val="0"/>
                <w:sz w:val="16"/>
                <w:szCs w:val="16"/>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7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其中：财政资金</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105.61</w:t>
            </w:r>
          </w:p>
        </w:tc>
        <w:tc>
          <w:tcPr>
            <w:tcW w:w="129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105.61</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55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7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财政专户管理资金</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29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55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7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单位资金</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129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0.00%</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55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其他资金</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129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p>
        </w:tc>
        <w:tc>
          <w:tcPr>
            <w:tcW w:w="255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绩效指标（90分）</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一级指标</w:t>
            </w: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二级指标</w:t>
            </w: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三级指标</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指标性质</w:t>
            </w:r>
          </w:p>
        </w:tc>
        <w:tc>
          <w:tcPr>
            <w:tcW w:w="4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指标值</w:t>
            </w: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度量单位</w:t>
            </w: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完成值</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权重</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得分</w:t>
            </w:r>
          </w:p>
        </w:tc>
        <w:tc>
          <w:tcPr>
            <w:tcW w:w="2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7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5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7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41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6"/>
                <w:szCs w:val="16"/>
                <w:u w:val="none"/>
              </w:rPr>
            </w:pPr>
          </w:p>
        </w:tc>
        <w:tc>
          <w:tcPr>
            <w:tcW w:w="8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100.00%</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90</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90</w:t>
            </w:r>
          </w:p>
        </w:tc>
        <w:tc>
          <w:tcPr>
            <w:tcW w:w="25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978"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合计</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4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100</w:t>
            </w:r>
          </w:p>
        </w:tc>
        <w:tc>
          <w:tcPr>
            <w:tcW w:w="255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评价结论</w:t>
            </w:r>
          </w:p>
        </w:tc>
        <w:tc>
          <w:tcPr>
            <w:tcW w:w="7759"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存在问题</w:t>
            </w:r>
          </w:p>
        </w:tc>
        <w:tc>
          <w:tcPr>
            <w:tcW w:w="7759"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改进措施</w:t>
            </w:r>
          </w:p>
        </w:tc>
        <w:tc>
          <w:tcPr>
            <w:tcW w:w="7759" w:type="dxa"/>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bl>
    <w:p>
      <w:pPr>
        <w:pStyle w:val="4"/>
        <w:bidi w:val="0"/>
        <w:jc w:val="both"/>
        <w:rPr>
          <w:rFonts w:hint="eastAsia" w:ascii="黑体" w:hAnsi="黑体" w:eastAsia="黑体" w:cs="黑体"/>
          <w:sz w:val="44"/>
          <w:szCs w:val="44"/>
          <w:lang w:val="en-US"/>
        </w:rPr>
      </w:pPr>
    </w:p>
    <w:p>
      <w:pPr>
        <w:rPr>
          <w:rFonts w:hint="eastAsia"/>
          <w:lang w:val="en-US"/>
        </w:rPr>
      </w:pPr>
    </w:p>
    <w:p>
      <w:pPr>
        <w:pStyle w:val="4"/>
        <w:bidi w:val="0"/>
        <w:jc w:val="center"/>
        <w:rPr>
          <w:rFonts w:hint="eastAsia" w:ascii="黑体" w:hAnsi="黑体" w:eastAsia="黑体" w:cs="黑体"/>
          <w:sz w:val="44"/>
          <w:szCs w:val="44"/>
          <w:lang w:val="en-US"/>
        </w:rPr>
      </w:pPr>
      <w:bookmarkStart w:id="178" w:name="_Toc28889_WPSOffice_Level1"/>
      <w:r>
        <w:rPr>
          <w:rFonts w:hint="eastAsia" w:ascii="黑体" w:hAnsi="黑体" w:eastAsia="黑体" w:cs="黑体"/>
          <w:sz w:val="44"/>
          <w:szCs w:val="44"/>
          <w:lang w:val="en-US"/>
        </w:rPr>
        <w:t>第五部分 附表</w:t>
      </w:r>
      <w:bookmarkEnd w:id="178"/>
    </w:p>
    <w:p>
      <w:pPr>
        <w:pStyle w:val="5"/>
        <w:keepNext/>
        <w:keepLines/>
        <w:spacing w:before="260" w:beforeLines="0" w:after="260" w:afterLines="0" w:line="408" w:lineRule="auto"/>
        <w:jc w:val="both"/>
        <w:rPr>
          <w:rFonts w:hint="eastAsia" w:ascii="仿宋" w:hAnsi="仿宋" w:eastAsia="仿宋"/>
          <w:b/>
          <w:color w:val="auto"/>
          <w:kern w:val="2"/>
          <w:sz w:val="32"/>
          <w:lang w:val="en-US"/>
        </w:rPr>
      </w:pPr>
      <w:bookmarkStart w:id="179" w:name="_Toc2083_WPSOffice_Level2"/>
      <w:r>
        <w:rPr>
          <w:rFonts w:hint="eastAsia" w:ascii="仿宋" w:hAnsi="仿宋" w:eastAsia="仿宋"/>
          <w:color w:val="auto"/>
          <w:kern w:val="2"/>
          <w:sz w:val="32"/>
          <w:lang w:val="en-US"/>
        </w:rPr>
        <w:t>一、收入支出决算总表</w:t>
      </w:r>
      <w:bookmarkEnd w:id="179"/>
    </w:p>
    <w:p>
      <w:pPr>
        <w:pStyle w:val="5"/>
        <w:keepNext/>
        <w:keepLines/>
        <w:spacing w:before="260" w:beforeLines="0" w:after="260" w:afterLines="0" w:line="408" w:lineRule="auto"/>
        <w:jc w:val="both"/>
        <w:rPr>
          <w:rFonts w:hint="eastAsia" w:ascii="仿宋" w:hAnsi="仿宋" w:eastAsia="仿宋"/>
          <w:b/>
          <w:color w:val="auto"/>
          <w:kern w:val="2"/>
          <w:sz w:val="32"/>
          <w:lang w:val="en-US"/>
        </w:rPr>
      </w:pPr>
      <w:bookmarkStart w:id="180" w:name="_Toc12172_WPSOffice_Level2"/>
      <w:r>
        <w:rPr>
          <w:rFonts w:hint="eastAsia" w:ascii="仿宋" w:hAnsi="仿宋" w:eastAsia="仿宋"/>
          <w:color w:val="auto"/>
          <w:kern w:val="2"/>
          <w:sz w:val="32"/>
          <w:lang w:val="en-US"/>
        </w:rPr>
        <w:t>二、收入决算表</w:t>
      </w:r>
      <w:bookmarkEnd w:id="180"/>
    </w:p>
    <w:p>
      <w:pPr>
        <w:pStyle w:val="5"/>
        <w:keepNext/>
        <w:keepLines/>
        <w:spacing w:before="260" w:beforeLines="0" w:after="260" w:afterLines="0" w:line="408" w:lineRule="auto"/>
        <w:jc w:val="both"/>
        <w:rPr>
          <w:rFonts w:hint="eastAsia" w:ascii="仿宋" w:hAnsi="仿宋" w:eastAsia="仿宋"/>
          <w:b/>
          <w:color w:val="auto"/>
          <w:kern w:val="2"/>
          <w:sz w:val="32"/>
          <w:lang w:val="en-US"/>
        </w:rPr>
      </w:pPr>
      <w:bookmarkStart w:id="181" w:name="_Toc8776_WPSOffice_Level2"/>
      <w:r>
        <w:rPr>
          <w:rFonts w:hint="eastAsia" w:ascii="仿宋" w:hAnsi="仿宋" w:eastAsia="仿宋"/>
          <w:color w:val="auto"/>
          <w:kern w:val="2"/>
          <w:sz w:val="32"/>
          <w:lang w:val="en-US"/>
        </w:rPr>
        <w:t>三、支出决算表</w:t>
      </w:r>
      <w:bookmarkEnd w:id="181"/>
    </w:p>
    <w:p>
      <w:pPr>
        <w:pStyle w:val="5"/>
        <w:keepNext/>
        <w:keepLines/>
        <w:spacing w:before="260" w:beforeLines="0" w:after="260" w:afterLines="0" w:line="408" w:lineRule="auto"/>
        <w:jc w:val="both"/>
        <w:rPr>
          <w:rFonts w:hint="eastAsia" w:ascii="仿宋" w:hAnsi="仿宋" w:eastAsia="仿宋"/>
          <w:color w:val="auto"/>
          <w:kern w:val="2"/>
          <w:sz w:val="32"/>
          <w:lang w:val="en-US"/>
        </w:rPr>
      </w:pPr>
      <w:bookmarkStart w:id="182" w:name="_Toc21086_WPSOffice_Level2"/>
      <w:r>
        <w:rPr>
          <w:rFonts w:hint="eastAsia" w:ascii="仿宋" w:hAnsi="仿宋" w:eastAsia="仿宋"/>
          <w:color w:val="auto"/>
          <w:kern w:val="2"/>
          <w:sz w:val="32"/>
          <w:lang w:val="en-US"/>
        </w:rPr>
        <w:t>四、财政拨款收入支出决算总表</w:t>
      </w:r>
      <w:bookmarkEnd w:id="182"/>
    </w:p>
    <w:p>
      <w:pPr>
        <w:pStyle w:val="5"/>
        <w:keepNext/>
        <w:keepLines/>
        <w:spacing w:before="260" w:beforeLines="0" w:after="260" w:afterLines="0" w:line="408" w:lineRule="auto"/>
        <w:jc w:val="both"/>
        <w:rPr>
          <w:rFonts w:hint="eastAsia" w:ascii="仿宋" w:hAnsi="仿宋" w:eastAsia="仿宋"/>
          <w:color w:val="auto"/>
          <w:kern w:val="2"/>
          <w:sz w:val="32"/>
          <w:lang w:val="en-US"/>
        </w:rPr>
      </w:pPr>
      <w:bookmarkStart w:id="183" w:name="_Toc8109_WPSOffice_Level2"/>
      <w:r>
        <w:rPr>
          <w:rFonts w:hint="eastAsia" w:ascii="仿宋" w:hAnsi="仿宋" w:eastAsia="仿宋"/>
          <w:color w:val="auto"/>
          <w:kern w:val="2"/>
          <w:sz w:val="32"/>
          <w:lang w:val="en-US"/>
        </w:rPr>
        <w:t>五、财政拨款支出决算明细表</w:t>
      </w:r>
      <w:bookmarkEnd w:id="183"/>
    </w:p>
    <w:p>
      <w:pPr>
        <w:pStyle w:val="5"/>
        <w:keepNext/>
        <w:keepLines/>
        <w:spacing w:before="260" w:beforeLines="0" w:after="260" w:afterLines="0" w:line="408" w:lineRule="auto"/>
        <w:jc w:val="both"/>
        <w:rPr>
          <w:rFonts w:hint="eastAsia" w:ascii="仿宋" w:hAnsi="仿宋" w:eastAsia="仿宋"/>
          <w:b/>
          <w:color w:val="auto"/>
          <w:kern w:val="2"/>
          <w:sz w:val="32"/>
          <w:lang w:val="en-US"/>
        </w:rPr>
      </w:pPr>
      <w:bookmarkStart w:id="184" w:name="_Toc31681_WPSOffice_Level2"/>
      <w:r>
        <w:rPr>
          <w:rFonts w:hint="eastAsia" w:ascii="仿宋" w:hAnsi="仿宋" w:eastAsia="仿宋"/>
          <w:color w:val="auto"/>
          <w:kern w:val="2"/>
          <w:sz w:val="32"/>
          <w:lang w:val="en-US"/>
        </w:rPr>
        <w:t>六、一般公共预算财政拨款支出决算表</w:t>
      </w:r>
      <w:bookmarkEnd w:id="184"/>
    </w:p>
    <w:p>
      <w:pPr>
        <w:pStyle w:val="5"/>
        <w:keepNext/>
        <w:keepLines/>
        <w:spacing w:before="260" w:beforeLines="0" w:after="260" w:afterLines="0" w:line="408" w:lineRule="auto"/>
        <w:jc w:val="both"/>
        <w:rPr>
          <w:rFonts w:hint="eastAsia" w:ascii="仿宋" w:hAnsi="仿宋" w:eastAsia="仿宋"/>
          <w:b/>
          <w:color w:val="auto"/>
          <w:kern w:val="2"/>
          <w:sz w:val="32"/>
          <w:lang w:val="en-US"/>
        </w:rPr>
      </w:pPr>
      <w:bookmarkStart w:id="185" w:name="_Toc17776_WPSOffice_Level2"/>
      <w:r>
        <w:rPr>
          <w:rFonts w:hint="eastAsia" w:ascii="仿宋" w:hAnsi="仿宋" w:eastAsia="仿宋"/>
          <w:color w:val="auto"/>
          <w:kern w:val="2"/>
          <w:sz w:val="32"/>
          <w:lang w:val="en-US"/>
        </w:rPr>
        <w:t>七、一般公共预算财政拨款支出决算明细表</w:t>
      </w:r>
      <w:bookmarkEnd w:id="185"/>
    </w:p>
    <w:p>
      <w:pPr>
        <w:pStyle w:val="5"/>
        <w:keepNext/>
        <w:keepLines/>
        <w:spacing w:before="260" w:beforeLines="0" w:after="260" w:afterLines="0" w:line="408" w:lineRule="auto"/>
        <w:jc w:val="both"/>
        <w:rPr>
          <w:rFonts w:hint="eastAsia" w:ascii="仿宋" w:hAnsi="仿宋" w:eastAsia="仿宋"/>
          <w:b/>
          <w:color w:val="auto"/>
          <w:kern w:val="2"/>
          <w:sz w:val="32"/>
          <w:lang w:val="en-US"/>
        </w:rPr>
      </w:pPr>
      <w:bookmarkStart w:id="186" w:name="_Toc4307_WPSOffice_Level2"/>
      <w:r>
        <w:rPr>
          <w:rFonts w:hint="eastAsia" w:ascii="仿宋" w:hAnsi="仿宋" w:eastAsia="仿宋"/>
          <w:color w:val="auto"/>
          <w:kern w:val="2"/>
          <w:sz w:val="32"/>
          <w:lang w:val="en-US"/>
        </w:rPr>
        <w:t>八、一般公共预算财政拨款基本支出决算表</w:t>
      </w:r>
      <w:bookmarkEnd w:id="186"/>
    </w:p>
    <w:p>
      <w:pPr>
        <w:pStyle w:val="5"/>
        <w:keepNext/>
        <w:keepLines/>
        <w:spacing w:before="260" w:beforeLines="0" w:after="260" w:afterLines="0" w:line="408" w:lineRule="auto"/>
        <w:jc w:val="both"/>
        <w:rPr>
          <w:rFonts w:hint="eastAsia" w:ascii="仿宋" w:hAnsi="仿宋" w:eastAsia="仿宋"/>
          <w:b/>
          <w:color w:val="auto"/>
          <w:kern w:val="2"/>
          <w:sz w:val="32"/>
          <w:lang w:val="en-US"/>
        </w:rPr>
      </w:pPr>
      <w:bookmarkStart w:id="187" w:name="_Toc11978_WPSOffice_Level2"/>
      <w:r>
        <w:rPr>
          <w:rFonts w:hint="eastAsia" w:ascii="仿宋" w:hAnsi="仿宋" w:eastAsia="仿宋"/>
          <w:color w:val="auto"/>
          <w:kern w:val="2"/>
          <w:sz w:val="32"/>
          <w:lang w:val="en-US"/>
        </w:rPr>
        <w:t>九、一般公共预算财政拨款项目支出决算表</w:t>
      </w:r>
      <w:bookmarkEnd w:id="187"/>
    </w:p>
    <w:p>
      <w:pPr>
        <w:pStyle w:val="5"/>
        <w:keepNext/>
        <w:keepLines/>
        <w:spacing w:before="260" w:beforeLines="0" w:after="260" w:afterLines="0" w:line="408" w:lineRule="auto"/>
        <w:jc w:val="both"/>
        <w:rPr>
          <w:rFonts w:hint="eastAsia" w:ascii="仿宋" w:hAnsi="仿宋" w:eastAsia="仿宋"/>
          <w:b/>
          <w:color w:val="auto"/>
          <w:kern w:val="2"/>
          <w:sz w:val="32"/>
          <w:lang w:val="en-US"/>
        </w:rPr>
      </w:pPr>
      <w:bookmarkStart w:id="188" w:name="_Toc10289_WPSOffice_Level2"/>
      <w:r>
        <w:rPr>
          <w:rFonts w:hint="eastAsia" w:ascii="仿宋" w:hAnsi="仿宋" w:eastAsia="仿宋"/>
          <w:color w:val="auto"/>
          <w:kern w:val="2"/>
          <w:sz w:val="32"/>
          <w:lang w:val="en-US"/>
        </w:rPr>
        <w:t>十、政府性基金预算财政拨款收入支出决算表</w:t>
      </w:r>
      <w:bookmarkEnd w:id="188"/>
    </w:p>
    <w:p>
      <w:pPr>
        <w:pStyle w:val="5"/>
        <w:keepNext/>
        <w:keepLines/>
        <w:spacing w:before="260" w:beforeLines="0" w:after="260" w:afterLines="0" w:line="408" w:lineRule="auto"/>
        <w:jc w:val="both"/>
        <w:rPr>
          <w:rFonts w:hint="eastAsia" w:ascii="仿宋" w:hAnsi="仿宋" w:eastAsia="仿宋"/>
          <w:b/>
          <w:color w:val="auto"/>
          <w:kern w:val="2"/>
          <w:sz w:val="32"/>
          <w:lang w:val="en-US"/>
        </w:rPr>
      </w:pPr>
      <w:bookmarkStart w:id="189" w:name="_Toc1798_WPSOffice_Level2"/>
      <w:r>
        <w:rPr>
          <w:rFonts w:hint="eastAsia" w:ascii="仿宋" w:hAnsi="仿宋" w:eastAsia="仿宋"/>
          <w:color w:val="auto"/>
          <w:kern w:val="2"/>
          <w:sz w:val="32"/>
          <w:lang w:val="en-US"/>
        </w:rPr>
        <w:t>十一、国有资本经营预算财政拨款收入支出决算表</w:t>
      </w:r>
      <w:bookmarkEnd w:id="189"/>
    </w:p>
    <w:p>
      <w:pPr>
        <w:pStyle w:val="5"/>
        <w:keepNext/>
        <w:keepLines/>
        <w:spacing w:before="260" w:beforeLines="0" w:after="260" w:afterLines="0" w:line="408" w:lineRule="auto"/>
        <w:jc w:val="both"/>
        <w:rPr>
          <w:rFonts w:hint="eastAsia" w:ascii="仿宋" w:hAnsi="仿宋" w:eastAsia="仿宋"/>
          <w:b/>
          <w:color w:val="auto"/>
          <w:kern w:val="2"/>
          <w:sz w:val="32"/>
          <w:lang w:val="en-US"/>
        </w:rPr>
      </w:pPr>
      <w:bookmarkStart w:id="190" w:name="_Toc31384_WPSOffice_Level2"/>
      <w:r>
        <w:rPr>
          <w:rFonts w:hint="eastAsia" w:ascii="仿宋" w:hAnsi="仿宋" w:eastAsia="仿宋"/>
          <w:color w:val="auto"/>
          <w:kern w:val="2"/>
          <w:sz w:val="32"/>
          <w:lang w:val="en-US"/>
        </w:rPr>
        <w:t>十二、国有资本经营预算财政拨款支出决算表</w:t>
      </w:r>
      <w:bookmarkEnd w:id="190"/>
    </w:p>
    <w:p>
      <w:pPr>
        <w:pStyle w:val="5"/>
        <w:keepNext/>
        <w:keepLines/>
        <w:spacing w:before="260" w:beforeLines="0" w:after="260" w:afterLines="0" w:line="408" w:lineRule="auto"/>
        <w:jc w:val="both"/>
        <w:rPr>
          <w:rFonts w:hint="eastAsia" w:ascii="仿宋" w:hAnsi="仿宋" w:eastAsia="仿宋"/>
          <w:b/>
          <w:color w:val="auto"/>
          <w:kern w:val="2"/>
          <w:sz w:val="32"/>
          <w:lang w:val="en-US"/>
        </w:rPr>
      </w:pPr>
      <w:bookmarkStart w:id="191" w:name="_Toc23584_WPSOffice_Level2"/>
      <w:r>
        <w:rPr>
          <w:rFonts w:hint="eastAsia" w:ascii="仿宋" w:hAnsi="仿宋" w:eastAsia="仿宋"/>
          <w:color w:val="auto"/>
          <w:kern w:val="2"/>
          <w:sz w:val="32"/>
          <w:lang w:val="en-US"/>
        </w:rPr>
        <w:t>十三、财政拨款</w:t>
      </w:r>
      <w:r>
        <w:rPr>
          <w:rFonts w:hint="default" w:ascii="仿宋" w:hAnsi="仿宋" w:eastAsia="仿宋"/>
          <w:color w:val="auto"/>
          <w:kern w:val="2"/>
          <w:sz w:val="32"/>
          <w:lang w:val="en-US"/>
        </w:rPr>
        <w:t>“</w:t>
      </w:r>
      <w:r>
        <w:rPr>
          <w:rFonts w:hint="eastAsia" w:ascii="仿宋" w:hAnsi="仿宋" w:eastAsia="仿宋"/>
          <w:color w:val="auto"/>
          <w:kern w:val="2"/>
          <w:sz w:val="32"/>
          <w:lang w:val="en-US"/>
        </w:rPr>
        <w:t>三公</w:t>
      </w:r>
      <w:r>
        <w:rPr>
          <w:rFonts w:hint="default" w:ascii="仿宋" w:hAnsi="仿宋" w:eastAsia="仿宋"/>
          <w:color w:val="auto"/>
          <w:kern w:val="2"/>
          <w:sz w:val="32"/>
          <w:lang w:val="en-US"/>
        </w:rPr>
        <w:t>”</w:t>
      </w:r>
      <w:r>
        <w:rPr>
          <w:rFonts w:hint="eastAsia" w:ascii="仿宋" w:hAnsi="仿宋" w:eastAsia="仿宋"/>
          <w:color w:val="auto"/>
          <w:kern w:val="2"/>
          <w:sz w:val="32"/>
          <w:lang w:val="en-US"/>
        </w:rPr>
        <w:t>经费支出决算表</w:t>
      </w:r>
      <w:bookmarkEnd w:id="191"/>
    </w:p>
    <w:p/>
    <w:sectPr>
      <w:footerReference r:id="rId4" w:type="default"/>
      <w:pgSz w:w="11850" w:h="16783"/>
      <w:pgMar w:top="1440" w:right="1800" w:bottom="1440" w:left="1800" w:header="720" w:footer="720" w:gutter="0"/>
      <w:lnNumType w:countBy="0" w:distance="36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楷体简体">
    <w:altName w:val="宋体"/>
    <w:panose1 w:val="03000509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lang w:eastAsia="zh-CN"/>
                            </w:rPr>
                          </w:pPr>
                          <w:r>
                            <w:rPr>
                              <w:rFonts w:hint="eastAsia" w:hAnsi="Times New Roman" w:asciiTheme="majorAscii" w:eastAsiaTheme="minorEastAsia"/>
                              <w:sz w:val="18"/>
                              <w:szCs w:val="18"/>
                              <w:lang w:eastAsia="zh-CN"/>
                            </w:rPr>
                            <w:t>—</w:t>
                          </w:r>
                          <w:r>
                            <w:rPr>
                              <w:rFonts w:hint="eastAsia" w:ascii="Times New Roman" w:hAnsi="Times New Roman" w:eastAsiaTheme="minorEastAsia"/>
                              <w:sz w:val="28"/>
                              <w:szCs w:val="28"/>
                              <w:lang w:eastAsia="zh-CN"/>
                            </w:rPr>
                            <w:t xml:space="preserve"> </w:t>
                          </w:r>
                          <w:r>
                            <w:rPr>
                              <w:rFonts w:hint="eastAsia" w:ascii="Times New Roman" w:hAnsi="Times New Roman" w:eastAsiaTheme="minorEastAsia"/>
                              <w:sz w:val="28"/>
                              <w:szCs w:val="28"/>
                              <w:lang w:eastAsia="zh-CN"/>
                            </w:rPr>
                            <w:fldChar w:fldCharType="begin"/>
                          </w:r>
                          <w:r>
                            <w:rPr>
                              <w:rFonts w:hint="eastAsia" w:ascii="Times New Roman" w:hAnsi="Times New Roman" w:eastAsiaTheme="minorEastAsia"/>
                              <w:sz w:val="28"/>
                              <w:szCs w:val="28"/>
                              <w:lang w:eastAsia="zh-CN"/>
                            </w:rPr>
                            <w:instrText xml:space="preserve"> PAGE  \* MERGEFORMAT </w:instrText>
                          </w:r>
                          <w:r>
                            <w:rPr>
                              <w:rFonts w:hint="eastAsia" w:ascii="Times New Roman" w:hAnsi="Times New Roman" w:eastAsiaTheme="minorEastAsia"/>
                              <w:sz w:val="28"/>
                              <w:szCs w:val="28"/>
                              <w:lang w:eastAsia="zh-CN"/>
                            </w:rPr>
                            <w:fldChar w:fldCharType="separate"/>
                          </w:r>
                          <w:r>
                            <w:rPr>
                              <w:rFonts w:hint="eastAsia" w:ascii="Times New Roman" w:hAnsi="Times New Roman" w:eastAsiaTheme="minorEastAsia"/>
                              <w:sz w:val="28"/>
                              <w:szCs w:val="28"/>
                              <w:lang w:eastAsia="zh-CN"/>
                            </w:rPr>
                            <w:t>4</w:t>
                          </w:r>
                          <w:r>
                            <w:rPr>
                              <w:rFonts w:hint="eastAsia" w:ascii="Times New Roman" w:hAnsi="Times New Roman" w:eastAsiaTheme="minorEastAsia"/>
                              <w:sz w:val="28"/>
                              <w:szCs w:val="28"/>
                              <w:lang w:eastAsia="zh-CN"/>
                            </w:rPr>
                            <w:fldChar w:fldCharType="end"/>
                          </w:r>
                          <w:r>
                            <w:rPr>
                              <w:rFonts w:hint="eastAsia" w:ascii="Times New Roman" w:hAnsi="Times New Roman" w:eastAsiaTheme="minorEastAsia"/>
                              <w:sz w:val="28"/>
                              <w:szCs w:val="28"/>
                              <w:lang w:eastAsia="zh-CN"/>
                            </w:rPr>
                            <w:t xml:space="preserve"> </w:t>
                          </w:r>
                          <w:r>
                            <w:rPr>
                              <w:rFonts w:hint="eastAsia" w:hAnsi="Times New Roman" w:asciiTheme="majorAscii" w:eastAsiaTheme="minorEastAsia"/>
                              <w:sz w:val="18"/>
                              <w:szCs w:val="1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lang w:eastAsia="zh-CN"/>
                      </w:rPr>
                    </w:pPr>
                    <w:r>
                      <w:rPr>
                        <w:rFonts w:hint="eastAsia" w:hAnsi="Times New Roman" w:asciiTheme="majorAscii" w:eastAsiaTheme="minorEastAsia"/>
                        <w:sz w:val="18"/>
                        <w:szCs w:val="18"/>
                        <w:lang w:eastAsia="zh-CN"/>
                      </w:rPr>
                      <w:t>—</w:t>
                    </w:r>
                    <w:r>
                      <w:rPr>
                        <w:rFonts w:hint="eastAsia" w:ascii="Times New Roman" w:hAnsi="Times New Roman" w:eastAsiaTheme="minorEastAsia"/>
                        <w:sz w:val="28"/>
                        <w:szCs w:val="28"/>
                        <w:lang w:eastAsia="zh-CN"/>
                      </w:rPr>
                      <w:t xml:space="preserve"> </w:t>
                    </w:r>
                    <w:r>
                      <w:rPr>
                        <w:rFonts w:hint="eastAsia" w:ascii="Times New Roman" w:hAnsi="Times New Roman" w:eastAsiaTheme="minorEastAsia"/>
                        <w:sz w:val="28"/>
                        <w:szCs w:val="28"/>
                        <w:lang w:eastAsia="zh-CN"/>
                      </w:rPr>
                      <w:fldChar w:fldCharType="begin"/>
                    </w:r>
                    <w:r>
                      <w:rPr>
                        <w:rFonts w:hint="eastAsia" w:ascii="Times New Roman" w:hAnsi="Times New Roman" w:eastAsiaTheme="minorEastAsia"/>
                        <w:sz w:val="28"/>
                        <w:szCs w:val="28"/>
                        <w:lang w:eastAsia="zh-CN"/>
                      </w:rPr>
                      <w:instrText xml:space="preserve"> PAGE  \* MERGEFORMAT </w:instrText>
                    </w:r>
                    <w:r>
                      <w:rPr>
                        <w:rFonts w:hint="eastAsia" w:ascii="Times New Roman" w:hAnsi="Times New Roman" w:eastAsiaTheme="minorEastAsia"/>
                        <w:sz w:val="28"/>
                        <w:szCs w:val="28"/>
                        <w:lang w:eastAsia="zh-CN"/>
                      </w:rPr>
                      <w:fldChar w:fldCharType="separate"/>
                    </w:r>
                    <w:r>
                      <w:rPr>
                        <w:rFonts w:hint="eastAsia" w:ascii="Times New Roman" w:hAnsi="Times New Roman" w:eastAsiaTheme="minorEastAsia"/>
                        <w:sz w:val="28"/>
                        <w:szCs w:val="28"/>
                        <w:lang w:eastAsia="zh-CN"/>
                      </w:rPr>
                      <w:t>4</w:t>
                    </w:r>
                    <w:r>
                      <w:rPr>
                        <w:rFonts w:hint="eastAsia" w:ascii="Times New Roman" w:hAnsi="Times New Roman" w:eastAsiaTheme="minorEastAsia"/>
                        <w:sz w:val="28"/>
                        <w:szCs w:val="28"/>
                        <w:lang w:eastAsia="zh-CN"/>
                      </w:rPr>
                      <w:fldChar w:fldCharType="end"/>
                    </w:r>
                    <w:r>
                      <w:rPr>
                        <w:rFonts w:hint="eastAsia" w:ascii="Times New Roman" w:hAnsi="Times New Roman" w:eastAsiaTheme="minorEastAsia"/>
                        <w:sz w:val="28"/>
                        <w:szCs w:val="28"/>
                        <w:lang w:eastAsia="zh-CN"/>
                      </w:rPr>
                      <w:t xml:space="preserve"> </w:t>
                    </w:r>
                    <w:r>
                      <w:rPr>
                        <w:rFonts w:hint="eastAsia" w:hAnsi="Times New Roman" w:asciiTheme="majorAscii" w:eastAsiaTheme="minorEastAsia"/>
                        <w:sz w:val="18"/>
                        <w:szCs w:val="1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BD16C6"/>
    <w:multiLevelType w:val="singleLevel"/>
    <w:tmpl w:val="87BD16C6"/>
    <w:lvl w:ilvl="0" w:tentative="0">
      <w:start w:val="2"/>
      <w:numFmt w:val="chineseCounting"/>
      <w:suff w:val="nothing"/>
      <w:lvlText w:val="%1、"/>
      <w:lvlJc w:val="left"/>
      <w:pPr>
        <w:ind w:left="640" w:firstLine="0"/>
      </w:pPr>
      <w:rPr>
        <w:rFonts w:hint="eastAsia"/>
      </w:rPr>
    </w:lvl>
  </w:abstractNum>
  <w:abstractNum w:abstractNumId="1">
    <w:nsid w:val="B6DC14E5"/>
    <w:multiLevelType w:val="singleLevel"/>
    <w:tmpl w:val="B6DC14E5"/>
    <w:lvl w:ilvl="0" w:tentative="0">
      <w:start w:val="2"/>
      <w:numFmt w:val="chineseCounting"/>
      <w:suff w:val="nothing"/>
      <w:lvlText w:val="（%1）"/>
      <w:lvlJc w:val="left"/>
      <w:rPr>
        <w:rFonts w:hint="eastAsia"/>
      </w:rPr>
    </w:lvl>
  </w:abstractNum>
  <w:abstractNum w:abstractNumId="2">
    <w:nsid w:val="C68EB9BB"/>
    <w:multiLevelType w:val="singleLevel"/>
    <w:tmpl w:val="C68EB9BB"/>
    <w:lvl w:ilvl="0" w:tentative="0">
      <w:start w:val="1"/>
      <w:numFmt w:val="chineseCounting"/>
      <w:suff w:val="nothing"/>
      <w:lvlText w:val="（%1）"/>
      <w:lvlJc w:val="left"/>
      <w:rPr>
        <w:rFonts w:hint="eastAsia"/>
      </w:rPr>
    </w:lvl>
  </w:abstractNum>
  <w:abstractNum w:abstractNumId="3">
    <w:nsid w:val="CA652C7F"/>
    <w:multiLevelType w:val="singleLevel"/>
    <w:tmpl w:val="CA652C7F"/>
    <w:lvl w:ilvl="0" w:tentative="0">
      <w:start w:val="1"/>
      <w:numFmt w:val="chineseCounting"/>
      <w:suff w:val="nothing"/>
      <w:lvlText w:val="%1、"/>
      <w:lvlJc w:val="left"/>
      <w:rPr>
        <w:rFonts w:hint="eastAsia"/>
      </w:rPr>
    </w:lvl>
  </w:abstractNum>
  <w:abstractNum w:abstractNumId="4">
    <w:nsid w:val="D9E2B907"/>
    <w:multiLevelType w:val="singleLevel"/>
    <w:tmpl w:val="D9E2B907"/>
    <w:lvl w:ilvl="0" w:tentative="0">
      <w:start w:val="1"/>
      <w:numFmt w:val="chineseCounting"/>
      <w:suff w:val="nothing"/>
      <w:lvlText w:val="%1、"/>
      <w:lvlJc w:val="left"/>
      <w:rPr>
        <w:rFonts w:hint="eastAsia"/>
      </w:rPr>
    </w:lvl>
  </w:abstractNum>
  <w:abstractNum w:abstractNumId="5">
    <w:nsid w:val="FCA6610B"/>
    <w:multiLevelType w:val="singleLevel"/>
    <w:tmpl w:val="FCA6610B"/>
    <w:lvl w:ilvl="0" w:tentative="0">
      <w:start w:val="2"/>
      <w:numFmt w:val="chineseCounting"/>
      <w:suff w:val="nothing"/>
      <w:lvlText w:val="%1、"/>
      <w:lvlJc w:val="left"/>
      <w:rPr>
        <w:rFonts w:hint="eastAsia"/>
      </w:rPr>
    </w:lvl>
  </w:abstractNum>
  <w:abstractNum w:abstractNumId="6">
    <w:nsid w:val="2217492B"/>
    <w:multiLevelType w:val="singleLevel"/>
    <w:tmpl w:val="2217492B"/>
    <w:lvl w:ilvl="0" w:tentative="0">
      <w:start w:val="3"/>
      <w:numFmt w:val="decimal"/>
      <w:lvlText w:val="%1."/>
      <w:lvlJc w:val="left"/>
      <w:pPr>
        <w:tabs>
          <w:tab w:val="left" w:pos="312"/>
        </w:tabs>
      </w:pPr>
    </w:lvl>
  </w:abstractNum>
  <w:abstractNum w:abstractNumId="7">
    <w:nsid w:val="6B5B2AE0"/>
    <w:multiLevelType w:val="singleLevel"/>
    <w:tmpl w:val="6B5B2AE0"/>
    <w:lvl w:ilvl="0" w:tentative="0">
      <w:start w:val="2"/>
      <w:numFmt w:val="chineseCounting"/>
      <w:suff w:val="nothing"/>
      <w:lvlText w:val="（%1）"/>
      <w:lvlJc w:val="left"/>
      <w:pPr>
        <w:ind w:left="600" w:firstLine="0"/>
      </w:pPr>
      <w:rPr>
        <w:rFonts w:hint="eastAsia"/>
      </w:rPr>
    </w:lvl>
  </w:abstractNum>
  <w:abstractNum w:abstractNumId="8">
    <w:nsid w:val="7A479178"/>
    <w:multiLevelType w:val="singleLevel"/>
    <w:tmpl w:val="7A479178"/>
    <w:lvl w:ilvl="0" w:tentative="0">
      <w:start w:val="1"/>
      <w:numFmt w:val="chineseCounting"/>
      <w:suff w:val="nothing"/>
      <w:lvlText w:val="%1、"/>
      <w:lvlJc w:val="left"/>
      <w:rPr>
        <w:rFonts w:hint="eastAsia"/>
      </w:rPr>
    </w:lvl>
  </w:abstractNum>
  <w:num w:numId="1">
    <w:abstractNumId w:val="2"/>
  </w:num>
  <w:num w:numId="2">
    <w:abstractNumId w:val="5"/>
  </w:num>
  <w:num w:numId="3">
    <w:abstractNumId w:val="1"/>
  </w:num>
  <w:num w:numId="4">
    <w:abstractNumId w:val="7"/>
  </w:num>
  <w:num w:numId="5">
    <w:abstractNumId w:val="8"/>
  </w:num>
  <w:num w:numId="6">
    <w:abstractNumId w:val="0"/>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iM2I3MzNkMDJhYzQ4NTRhOGNmMjM3ZGM4YzViZGYifQ=="/>
  </w:docVars>
  <w:rsids>
    <w:rsidRoot w:val="00172A27"/>
    <w:rsid w:val="004F5080"/>
    <w:rsid w:val="014A4DC3"/>
    <w:rsid w:val="02823F39"/>
    <w:rsid w:val="02FE777B"/>
    <w:rsid w:val="035F6554"/>
    <w:rsid w:val="07143007"/>
    <w:rsid w:val="07EE452A"/>
    <w:rsid w:val="082B4133"/>
    <w:rsid w:val="0B4E4DDF"/>
    <w:rsid w:val="0D7C6CB9"/>
    <w:rsid w:val="0D85232B"/>
    <w:rsid w:val="0E312392"/>
    <w:rsid w:val="0EA1491A"/>
    <w:rsid w:val="0EC94633"/>
    <w:rsid w:val="0FB24D50"/>
    <w:rsid w:val="10EF71EA"/>
    <w:rsid w:val="11050FBA"/>
    <w:rsid w:val="11161F61"/>
    <w:rsid w:val="13322755"/>
    <w:rsid w:val="13BC6F56"/>
    <w:rsid w:val="14EA2F2B"/>
    <w:rsid w:val="175836AC"/>
    <w:rsid w:val="17DE4505"/>
    <w:rsid w:val="18194E5A"/>
    <w:rsid w:val="18402646"/>
    <w:rsid w:val="1B597085"/>
    <w:rsid w:val="1BDD712B"/>
    <w:rsid w:val="1CFF63DA"/>
    <w:rsid w:val="1E2045A6"/>
    <w:rsid w:val="1E5D0138"/>
    <w:rsid w:val="1E8F7426"/>
    <w:rsid w:val="1ED70328"/>
    <w:rsid w:val="1EEF52A7"/>
    <w:rsid w:val="1F965AD3"/>
    <w:rsid w:val="216418A3"/>
    <w:rsid w:val="21724B67"/>
    <w:rsid w:val="22312410"/>
    <w:rsid w:val="22EA6807"/>
    <w:rsid w:val="22F37CD6"/>
    <w:rsid w:val="236F6C5F"/>
    <w:rsid w:val="24F3193E"/>
    <w:rsid w:val="25FA3B8E"/>
    <w:rsid w:val="27377B90"/>
    <w:rsid w:val="299265C5"/>
    <w:rsid w:val="2BE50237"/>
    <w:rsid w:val="2BEB22F6"/>
    <w:rsid w:val="2C15322A"/>
    <w:rsid w:val="2E2B4CCE"/>
    <w:rsid w:val="2FAF3152"/>
    <w:rsid w:val="2FC24672"/>
    <w:rsid w:val="2FD13303"/>
    <w:rsid w:val="31CE499D"/>
    <w:rsid w:val="31D82100"/>
    <w:rsid w:val="339A50F3"/>
    <w:rsid w:val="37342216"/>
    <w:rsid w:val="379615C6"/>
    <w:rsid w:val="382567EF"/>
    <w:rsid w:val="3906488F"/>
    <w:rsid w:val="3A275B4B"/>
    <w:rsid w:val="3A603DC8"/>
    <w:rsid w:val="3AF9188D"/>
    <w:rsid w:val="3CA258CA"/>
    <w:rsid w:val="3CC5727B"/>
    <w:rsid w:val="3D6E643F"/>
    <w:rsid w:val="3DEF00B2"/>
    <w:rsid w:val="3E26177D"/>
    <w:rsid w:val="401A1325"/>
    <w:rsid w:val="40E01699"/>
    <w:rsid w:val="417808F7"/>
    <w:rsid w:val="465F057F"/>
    <w:rsid w:val="46EF1B5F"/>
    <w:rsid w:val="477545A0"/>
    <w:rsid w:val="47A111E5"/>
    <w:rsid w:val="47BA7326"/>
    <w:rsid w:val="47E82CEB"/>
    <w:rsid w:val="48815187"/>
    <w:rsid w:val="488E03D9"/>
    <w:rsid w:val="49570943"/>
    <w:rsid w:val="4A053563"/>
    <w:rsid w:val="4A517F44"/>
    <w:rsid w:val="4A8B2F4E"/>
    <w:rsid w:val="4AA86C0D"/>
    <w:rsid w:val="4AC3223D"/>
    <w:rsid w:val="4C23393B"/>
    <w:rsid w:val="4D204900"/>
    <w:rsid w:val="4D435274"/>
    <w:rsid w:val="4DA74F17"/>
    <w:rsid w:val="4EFF2D44"/>
    <w:rsid w:val="505978A1"/>
    <w:rsid w:val="51950B1E"/>
    <w:rsid w:val="52B71EE4"/>
    <w:rsid w:val="534C25A4"/>
    <w:rsid w:val="53E11782"/>
    <w:rsid w:val="54191C7C"/>
    <w:rsid w:val="56562851"/>
    <w:rsid w:val="5666404B"/>
    <w:rsid w:val="570F673B"/>
    <w:rsid w:val="57890DC3"/>
    <w:rsid w:val="57A40EEC"/>
    <w:rsid w:val="58607649"/>
    <w:rsid w:val="59E37A61"/>
    <w:rsid w:val="5AAD1CF9"/>
    <w:rsid w:val="5C7C13BF"/>
    <w:rsid w:val="5D231604"/>
    <w:rsid w:val="5D4F6A04"/>
    <w:rsid w:val="5DCD7945"/>
    <w:rsid w:val="5DE85639"/>
    <w:rsid w:val="5E256CE6"/>
    <w:rsid w:val="611649B4"/>
    <w:rsid w:val="61A86AD8"/>
    <w:rsid w:val="637604D6"/>
    <w:rsid w:val="6383199C"/>
    <w:rsid w:val="64A50F9C"/>
    <w:rsid w:val="65730826"/>
    <w:rsid w:val="66221817"/>
    <w:rsid w:val="6721462A"/>
    <w:rsid w:val="674F1310"/>
    <w:rsid w:val="680203CB"/>
    <w:rsid w:val="68740D56"/>
    <w:rsid w:val="69926C81"/>
    <w:rsid w:val="69EA1C9B"/>
    <w:rsid w:val="6AF87FB0"/>
    <w:rsid w:val="6CA910FA"/>
    <w:rsid w:val="6DEC5AEF"/>
    <w:rsid w:val="6EFB64C6"/>
    <w:rsid w:val="70CA4F52"/>
    <w:rsid w:val="70E3040D"/>
    <w:rsid w:val="71F418B9"/>
    <w:rsid w:val="7319184B"/>
    <w:rsid w:val="73536C9B"/>
    <w:rsid w:val="750916BE"/>
    <w:rsid w:val="76424D48"/>
    <w:rsid w:val="7767559A"/>
    <w:rsid w:val="79681319"/>
    <w:rsid w:val="7A6530E8"/>
    <w:rsid w:val="7AE415F3"/>
    <w:rsid w:val="7C7835A8"/>
    <w:rsid w:val="7CDA3276"/>
    <w:rsid w:val="7D992531"/>
    <w:rsid w:val="7DC61959"/>
    <w:rsid w:val="7E704337"/>
    <w:rsid w:val="7F5E3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semiHidden="0" w:name="Normal"/>
    <w:lsdException w:qFormat="1" w:uiPriority="99" w:semiHidden="0" w:name="heading 1"/>
    <w:lsdException w:qFormat="1"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99"/>
    <w:pPr>
      <w:widowControl w:val="0"/>
      <w:autoSpaceDE w:val="0"/>
      <w:autoSpaceDN w:val="0"/>
      <w:adjustRightInd w:val="0"/>
      <w:spacing w:beforeLines="0" w:afterLines="0"/>
    </w:pPr>
    <w:rPr>
      <w:rFonts w:hint="default" w:ascii="Times New Roman" w:hAnsi="Times New Roman" w:eastAsia="宋体" w:cs="Times New Roman"/>
      <w:sz w:val="24"/>
    </w:rPr>
  </w:style>
  <w:style w:type="paragraph" w:styleId="4">
    <w:name w:val="heading 1"/>
    <w:next w:val="1"/>
    <w:unhideWhenUsed/>
    <w:qFormat/>
    <w:uiPriority w:val="99"/>
    <w:pPr>
      <w:widowControl w:val="0"/>
      <w:autoSpaceDE w:val="0"/>
      <w:autoSpaceDN w:val="0"/>
      <w:adjustRightInd w:val="0"/>
      <w:spacing w:beforeLines="0" w:afterLines="0"/>
    </w:pPr>
    <w:rPr>
      <w:rFonts w:hint="default" w:ascii="Times New Roman" w:hAnsi="Times New Roman" w:eastAsia="宋体" w:cs="Times New Roman"/>
      <w:sz w:val="24"/>
    </w:rPr>
  </w:style>
  <w:style w:type="paragraph" w:styleId="5">
    <w:name w:val="heading 2"/>
    <w:next w:val="1"/>
    <w:unhideWhenUsed/>
    <w:qFormat/>
    <w:uiPriority w:val="99"/>
    <w:pPr>
      <w:widowControl w:val="0"/>
      <w:autoSpaceDE w:val="0"/>
      <w:autoSpaceDN w:val="0"/>
      <w:adjustRightInd w:val="0"/>
      <w:spacing w:beforeLines="0" w:afterLines="0"/>
    </w:pPr>
    <w:rPr>
      <w:rFonts w:hint="default" w:ascii="Times New Roman" w:hAnsi="Times New Roman" w:eastAsia="宋体" w:cs="Times New Roman"/>
      <w:sz w:val="2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semiHidden/>
    <w:unhideWhenUsed/>
    <w:qFormat/>
    <w:uiPriority w:val="99"/>
    <w:pPr>
      <w:spacing w:beforeLines="0" w:after="120"/>
      <w:ind w:firstLine="420" w:firstLineChars="100"/>
    </w:pPr>
    <w:rPr>
      <w:rFonts w:ascii="Times New Roman" w:eastAsia="宋体"/>
      <w:kern w:val="2"/>
      <w:sz w:val="21"/>
    </w:rPr>
  </w:style>
  <w:style w:type="paragraph" w:styleId="3">
    <w:name w:val="Body Text"/>
    <w:basedOn w:val="1"/>
    <w:qFormat/>
    <w:uiPriority w:val="99"/>
    <w:pPr>
      <w:spacing w:beforeLines="30"/>
    </w:pPr>
    <w:rPr>
      <w:rFonts w:ascii="仿宋_GB2312" w:eastAsia="仿宋_GB2312"/>
      <w:kern w:val="0"/>
      <w:sz w:val="3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unhideWhenUsed/>
    <w:qFormat/>
    <w:uiPriority w:val="22"/>
    <w:rPr>
      <w:rFonts w:hint="default"/>
      <w:b/>
      <w:sz w:val="24"/>
    </w:rPr>
  </w:style>
  <w:style w:type="paragraph" w:customStyle="1" w:styleId="12">
    <w:name w:val="WPSOffice手动目录 1"/>
    <w:qFormat/>
    <w:uiPriority w:val="0"/>
    <w:pPr>
      <w:ind w:leftChars="0"/>
    </w:pPr>
    <w:rPr>
      <w:rFonts w:ascii="Calibri" w:hAnsi="Calibri" w:eastAsia="宋体" w:cs="Times New Roman"/>
      <w:sz w:val="20"/>
      <w:szCs w:val="20"/>
    </w:rPr>
  </w:style>
  <w:style w:type="paragraph" w:customStyle="1" w:styleId="13">
    <w:name w:val="WPSOffice手动目录 2"/>
    <w:qFormat/>
    <w:uiPriority w:val="0"/>
    <w:pPr>
      <w:ind w:leftChars="200"/>
    </w:pPr>
    <w:rPr>
      <w:rFonts w:ascii="Calibri" w:hAnsi="Calibri" w:eastAsia="宋体" w:cs="Times New Roman"/>
      <w:sz w:val="20"/>
      <w:szCs w:val="20"/>
    </w:rPr>
  </w:style>
  <w:style w:type="character" w:customStyle="1" w:styleId="14">
    <w:name w:val="font01"/>
    <w:basedOn w:val="10"/>
    <w:qFormat/>
    <w:uiPriority w:val="0"/>
    <w:rPr>
      <w:rFonts w:hint="eastAsia" w:ascii="宋体" w:hAnsi="宋体" w:eastAsia="宋体" w:cs="宋体"/>
      <w:color w:val="000000"/>
      <w:sz w:val="20"/>
      <w:szCs w:val="20"/>
      <w:u w:val="none"/>
    </w:rPr>
  </w:style>
  <w:style w:type="character" w:customStyle="1" w:styleId="15">
    <w:name w:val="font51"/>
    <w:basedOn w:val="10"/>
    <w:qFormat/>
    <w:uiPriority w:val="0"/>
    <w:rPr>
      <w:rFonts w:hint="eastAsia" w:ascii="宋体" w:hAnsi="宋体" w:eastAsia="宋体" w:cs="宋体"/>
      <w:color w:val="000000"/>
      <w:sz w:val="16"/>
      <w:szCs w:val="16"/>
      <w:u w:val="none"/>
    </w:rPr>
  </w:style>
  <w:style w:type="character" w:customStyle="1" w:styleId="16">
    <w:name w:val="font41"/>
    <w:basedOn w:val="10"/>
    <w:uiPriority w:val="0"/>
    <w:rPr>
      <w:rFonts w:hint="eastAsia" w:ascii="宋体" w:hAnsi="宋体" w:eastAsia="宋体" w:cs="宋体"/>
      <w:color w:val="000000"/>
      <w:sz w:val="16"/>
      <w:szCs w:val="16"/>
      <w:u w:val="none"/>
    </w:rPr>
  </w:style>
  <w:style w:type="character" w:customStyle="1" w:styleId="17">
    <w:name w:val="font3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layout>
        <c:manualLayout>
          <c:xMode val="edge"/>
          <c:yMode val="edge"/>
          <c:x val="0.333097517730496"/>
          <c:y val="0.025820854132002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delete val="1"/>
          </c:dLbls>
          <c:cat>
            <c:strRef>
              <c:f>Sheet1!$A$2:$A$3</c:f>
              <c:strCache>
                <c:ptCount val="2"/>
                <c:pt idx="0">
                  <c:v>2021年</c:v>
                </c:pt>
                <c:pt idx="1">
                  <c:v>2022年</c:v>
                </c:pt>
              </c:strCache>
            </c:strRef>
          </c:cat>
          <c:val>
            <c:numRef>
              <c:f>Sheet1!$B$2:$B$3</c:f>
              <c:numCache>
                <c:formatCode>General</c:formatCode>
                <c:ptCount val="2"/>
                <c:pt idx="0">
                  <c:v>6910.03</c:v>
                </c:pt>
                <c:pt idx="1">
                  <c:v>6510.58</c:v>
                </c:pt>
              </c:numCache>
            </c:numRef>
          </c:val>
        </c:ser>
        <c:dLbls>
          <c:showLegendKey val="0"/>
          <c:showVal val="0"/>
          <c:showCatName val="0"/>
          <c:showSerName val="0"/>
          <c:showPercent val="0"/>
          <c:showBubbleSize val="0"/>
        </c:dLbls>
        <c:gapWidth val="219"/>
        <c:overlap val="-27"/>
        <c:axId val="367252142"/>
        <c:axId val="820803268"/>
      </c:barChart>
      <c:catAx>
        <c:axId val="36725214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0803268"/>
        <c:crosses val="autoZero"/>
        <c:auto val="1"/>
        <c:lblAlgn val="ctr"/>
        <c:lblOffset val="100"/>
        <c:noMultiLvlLbl val="0"/>
      </c:catAx>
      <c:valAx>
        <c:axId val="8208032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725214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cap="none" spc="20" baseline="0">
              <a:solidFill>
                <a:schemeClr val="tx1">
                  <a:lumMod val="50000"/>
                  <a:lumOff val="50000"/>
                </a:schemeClr>
              </a:solidFill>
              <a:latin typeface="+mn-lt"/>
              <a:ea typeface="+mn-ea"/>
              <a:cs typeface="+mn-cs"/>
            </a:defRPr>
          </a:pPr>
        </a:p>
      </c:tx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收入决算结构图</c:v>
                </c:pt>
              </c:strCache>
            </c:strRef>
          </c:tx>
          <c:spPr>
            <a:scene3d>
              <a:camera prst="orthographicFront"/>
              <a:lightRig rig="threePt" dir="t"/>
            </a:scene3d>
            <a:sp3d contourW="9525"/>
          </c:spPr>
          <c:explosion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cene3d>
                <a:camera prst="orthographicFront"/>
                <a:lightRig rig="threePt" dir="t"/>
              </a:scene3d>
              <a:sp3d contourW="9525"/>
            </c:spPr>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a:scene3d>
                <a:camera prst="orthographicFront"/>
                <a:lightRig rig="threePt" dir="t"/>
              </a:scene3d>
              <a:sp3d contourW="9525"/>
            </c:spPr>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cene3d>
                <a:camera prst="orthographicFront"/>
                <a:lightRig rig="threePt" dir="t"/>
              </a:scene3d>
              <a:sp3d contourW="9525"/>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Sheet1!$A$2:$A$4</c:f>
              <c:strCache>
                <c:ptCount val="3"/>
                <c:pt idx="0">
                  <c:v>一般公共预算财政拨款收入</c:v>
                </c:pt>
                <c:pt idx="1">
                  <c:v>政府性基金预算财政拨款收入</c:v>
                </c:pt>
                <c:pt idx="2">
                  <c:v>其他收入</c:v>
                </c:pt>
              </c:strCache>
            </c:strRef>
          </c:cat>
          <c:val>
            <c:numRef>
              <c:f>Sheet1!$B$2:$B$4</c:f>
              <c:numCache>
                <c:formatCode>General</c:formatCode>
                <c:ptCount val="3"/>
                <c:pt idx="0">
                  <c:v>3444.38</c:v>
                </c:pt>
                <c:pt idx="1">
                  <c:v>896.87</c:v>
                </c:pt>
                <c:pt idx="2">
                  <c:v>1144.65</c:v>
                </c:pt>
              </c:numCache>
            </c:numRef>
          </c:val>
        </c:ser>
        <c:dLbls>
          <c:showLegendKey val="0"/>
          <c:showVal val="0"/>
          <c:showCatName val="1"/>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2625"/>
          <c:y val="0.125333333333333"/>
          <c:w val="0.945"/>
          <c:h val="0.760833333333333"/>
        </c:manualLayout>
      </c:layout>
      <c:pie3DChart>
        <c:varyColors val="1"/>
        <c:ser>
          <c:idx val="0"/>
          <c:order val="0"/>
          <c:tx>
            <c:strRef>
              <c:f>Sheet1!$B$1</c:f>
              <c:strCache>
                <c:ptCount val="1"/>
                <c:pt idx="0">
                  <c:v>支出决算结构图</c:v>
                </c:pt>
              </c:strCache>
            </c:strRef>
          </c:tx>
          <c:spPr>
            <a:scene3d>
              <a:camera prst="orthographicFront"/>
              <a:lightRig rig="threePt" dir="t"/>
            </a:scene3d>
            <a:sp3d contourW="9525"/>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1876.91</c:v>
                </c:pt>
                <c:pt idx="1">
                  <c:v>3862.09</c:v>
                </c:pt>
              </c:numCache>
            </c:numRef>
          </c:val>
        </c:ser>
        <c:dLbls>
          <c:showLegendKey val="0"/>
          <c:showVal val="0"/>
          <c:showCatName val="1"/>
          <c:showSerName val="0"/>
          <c:showPercent val="0"/>
          <c:showBubbleSize val="0"/>
        </c:dLbls>
      </c:pie3D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2021年财政拨款收、支总计</c:v>
                </c:pt>
              </c:strCache>
            </c:strRef>
          </c:tx>
          <c:spPr>
            <a:solidFill>
              <a:schemeClr val="accent1"/>
            </a:solidFill>
            <a:ln>
              <a:noFill/>
            </a:ln>
            <a:effectLst/>
          </c:spPr>
          <c:invertIfNegative val="0"/>
          <c:dLbls>
            <c:delete val="1"/>
          </c:dLbls>
          <c:cat>
            <c:strRef>
              <c:f>Sheet1!$A$2</c:f>
              <c:strCache>
                <c:ptCount val="1"/>
                <c:pt idx="0">
                  <c:v>类别 1</c:v>
                </c:pt>
              </c:strCache>
            </c:strRef>
          </c:cat>
          <c:val>
            <c:numRef>
              <c:f>Sheet1!$B$2</c:f>
              <c:numCache>
                <c:formatCode>General</c:formatCode>
                <c:ptCount val="1"/>
                <c:pt idx="0">
                  <c:v>5235.12</c:v>
                </c:pt>
              </c:numCache>
            </c:numRef>
          </c:val>
        </c:ser>
        <c:ser>
          <c:idx val="1"/>
          <c:order val="1"/>
          <c:tx>
            <c:strRef>
              <c:f>Sheet1!$C$1</c:f>
              <c:strCache>
                <c:ptCount val="1"/>
                <c:pt idx="0">
                  <c:v>2022年财政拨款收、支总计</c:v>
                </c:pt>
              </c:strCache>
            </c:strRef>
          </c:tx>
          <c:spPr>
            <a:solidFill>
              <a:schemeClr val="accent2"/>
            </a:solidFill>
            <a:ln>
              <a:noFill/>
            </a:ln>
            <a:effectLst/>
          </c:spPr>
          <c:invertIfNegative val="0"/>
          <c:dLbls>
            <c:delete val="1"/>
          </c:dLbls>
          <c:cat>
            <c:strRef>
              <c:f>Sheet1!$A$2</c:f>
              <c:strCache>
                <c:ptCount val="1"/>
                <c:pt idx="0">
                  <c:v>类别 1</c:v>
                </c:pt>
              </c:strCache>
            </c:strRef>
          </c:cat>
          <c:val>
            <c:numRef>
              <c:f>Sheet1!$C$2</c:f>
              <c:numCache>
                <c:formatCode>General</c:formatCode>
                <c:ptCount val="1"/>
                <c:pt idx="0">
                  <c:v>4347.83</c:v>
                </c:pt>
              </c:numCache>
            </c:numRef>
          </c:val>
        </c:ser>
        <c:dLbls>
          <c:showLegendKey val="0"/>
          <c:showVal val="0"/>
          <c:showCatName val="0"/>
          <c:showSerName val="0"/>
          <c:showPercent val="0"/>
          <c:showBubbleSize val="0"/>
        </c:dLbls>
        <c:gapWidth val="219"/>
        <c:overlap val="-27"/>
        <c:axId val="227227224"/>
        <c:axId val="42340156"/>
      </c:barChart>
      <c:catAx>
        <c:axId val="2272272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340156"/>
        <c:crosses val="autoZero"/>
        <c:auto val="1"/>
        <c:lblAlgn val="ctr"/>
        <c:lblOffset val="100"/>
        <c:noMultiLvlLbl val="0"/>
      </c:catAx>
      <c:valAx>
        <c:axId val="423401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722722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layout>
        <c:manualLayout>
          <c:xMode val="edge"/>
          <c:yMode val="edge"/>
          <c:x val="0.208942799381615"/>
          <c:y val="0.0264900662251656"/>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2021年一般公共预算财政拨款支出</c:v>
                </c:pt>
              </c:strCache>
            </c:strRef>
          </c:tx>
          <c:spPr>
            <a:solidFill>
              <a:schemeClr val="accent1"/>
            </a:solidFill>
            <a:ln>
              <a:noFill/>
            </a:ln>
            <a:effectLst/>
          </c:spPr>
          <c:invertIfNegative val="0"/>
          <c:dLbls>
            <c:delete val="1"/>
          </c:dLbls>
          <c:cat>
            <c:strRef>
              <c:f>Sheet1!$A$2</c:f>
              <c:strCache>
                <c:ptCount val="1"/>
                <c:pt idx="0">
                  <c:v>类别 1</c:v>
                </c:pt>
              </c:strCache>
            </c:strRef>
          </c:cat>
          <c:val>
            <c:numRef>
              <c:f>Sheet1!$B$2</c:f>
              <c:numCache>
                <c:formatCode>General</c:formatCode>
                <c:ptCount val="1"/>
                <c:pt idx="0">
                  <c:v>5228.55</c:v>
                </c:pt>
              </c:numCache>
            </c:numRef>
          </c:val>
        </c:ser>
        <c:ser>
          <c:idx val="1"/>
          <c:order val="1"/>
          <c:tx>
            <c:strRef>
              <c:f>Sheet1!$C$1</c:f>
              <c:strCache>
                <c:ptCount val="1"/>
                <c:pt idx="0">
                  <c:v>2022年一般公共预算财政拨款支出</c:v>
                </c:pt>
              </c:strCache>
            </c:strRef>
          </c:tx>
          <c:spPr>
            <a:solidFill>
              <a:schemeClr val="accent2"/>
            </a:solidFill>
            <a:ln>
              <a:noFill/>
            </a:ln>
            <a:effectLst/>
          </c:spPr>
          <c:invertIfNegative val="0"/>
          <c:dLbls>
            <c:delete val="1"/>
          </c:dLbls>
          <c:cat>
            <c:strRef>
              <c:f>Sheet1!$A$2</c:f>
              <c:strCache>
                <c:ptCount val="1"/>
                <c:pt idx="0">
                  <c:v>类别 1</c:v>
                </c:pt>
              </c:strCache>
            </c:strRef>
          </c:cat>
          <c:val>
            <c:numRef>
              <c:f>Sheet1!$C$2</c:f>
              <c:numCache>
                <c:formatCode>General</c:formatCode>
                <c:ptCount val="1"/>
                <c:pt idx="0">
                  <c:v>3444.73</c:v>
                </c:pt>
              </c:numCache>
            </c:numRef>
          </c:val>
        </c:ser>
        <c:dLbls>
          <c:showLegendKey val="0"/>
          <c:showVal val="0"/>
          <c:showCatName val="0"/>
          <c:showSerName val="0"/>
          <c:showPercent val="0"/>
          <c:showBubbleSize val="0"/>
        </c:dLbls>
        <c:gapWidth val="219"/>
        <c:overlap val="-27"/>
        <c:axId val="127297808"/>
        <c:axId val="64440446"/>
      </c:barChart>
      <c:catAx>
        <c:axId val="1272978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440446"/>
        <c:crosses val="autoZero"/>
        <c:auto val="1"/>
        <c:lblAlgn val="ctr"/>
        <c:lblOffset val="100"/>
        <c:noMultiLvlLbl val="0"/>
      </c:catAx>
      <c:valAx>
        <c:axId val="6444044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72978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p>
      </c:tx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2625"/>
          <c:y val="0.122"/>
          <c:w val="0.945"/>
          <c:h val="0.760833333333333"/>
        </c:manualLayout>
      </c:layout>
      <c:pie3DChart>
        <c:varyColors val="1"/>
        <c:ser>
          <c:idx val="0"/>
          <c:order val="0"/>
          <c:tx>
            <c:strRef>
              <c:f>Sheet1!$B$1</c:f>
              <c:strCache>
                <c:ptCount val="1"/>
                <c:pt idx="0">
                  <c:v>一般公共预算财政拨款支出结构图</c:v>
                </c:pt>
              </c:strCache>
            </c:strRef>
          </c:tx>
          <c:spPr>
            <a:scene3d>
              <a:camera prst="orthographicFront"/>
              <a:lightRig rig="threePt" dir="t"/>
            </a:scene3d>
            <a:sp3d contourW="9525"/>
          </c:spPr>
          <c:explosion val="0"/>
          <c:dPt>
            <c:idx val="0"/>
            <c:bubble3D val="0"/>
            <c:spPr>
              <a:solidFill>
                <a:schemeClr val="accent1"/>
              </a:solidFill>
              <a:ln>
                <a:noFill/>
              </a:ln>
              <a:effectLst>
                <a:outerShdw blurRad="88900" sx="102000" sy="102000" algn="ctr" rotWithShape="0">
                  <a:prstClr val="black">
                    <a:alpha val="10000"/>
                  </a:prstClr>
                </a:outerShdw>
              </a:effectLst>
            </c:spPr>
          </c:dPt>
          <c:dPt>
            <c:idx val="1"/>
            <c:bubble3D val="0"/>
            <c:spPr>
              <a:solidFill>
                <a:schemeClr val="accent2"/>
              </a:solidFill>
              <a:ln>
                <a:noFill/>
              </a:ln>
              <a:effectLst>
                <a:outerShdw blurRad="88900" sx="102000" sy="102000" algn="ctr" rotWithShape="0">
                  <a:prstClr val="black">
                    <a:alpha val="10000"/>
                  </a:prstClr>
                </a:outerShdw>
              </a:effectLst>
            </c:spPr>
          </c:dPt>
          <c:dPt>
            <c:idx val="2"/>
            <c:bubble3D val="0"/>
            <c:spPr>
              <a:solidFill>
                <a:schemeClr val="accent3"/>
              </a:solidFill>
              <a:ln>
                <a:noFill/>
              </a:ln>
              <a:effectLst>
                <a:outerShdw blurRad="88900" sx="102000" sy="102000" algn="ctr" rotWithShape="0">
                  <a:prstClr val="black">
                    <a:alpha val="10000"/>
                  </a:prstClr>
                </a:outerShdw>
              </a:effectLst>
            </c:spPr>
          </c:dPt>
          <c:dPt>
            <c:idx val="3"/>
            <c:bubble3D val="0"/>
            <c:spPr>
              <a:solidFill>
                <a:schemeClr val="accent4"/>
              </a:solidFill>
              <a:ln>
                <a:noFill/>
              </a:ln>
              <a:effectLst>
                <a:outerShdw blurRad="88900" sx="102000" sy="102000" algn="ctr" rotWithShape="0">
                  <a:prstClr val="black">
                    <a:alpha val="10000"/>
                  </a:prstClr>
                </a:outerShdw>
              </a:effectLst>
            </c:spPr>
          </c:dPt>
          <c:dPt>
            <c:idx val="4"/>
            <c:bubble3D val="0"/>
            <c:spPr>
              <a:solidFill>
                <a:schemeClr val="accent5"/>
              </a:solidFill>
              <a:ln>
                <a:noFill/>
              </a:ln>
              <a:effectLst>
                <a:outerShdw blurRad="88900" sx="102000" sy="102000" algn="ctr" rotWithShape="0">
                  <a:prstClr val="black">
                    <a:alpha val="10000"/>
                  </a:prstClr>
                </a:outerShdw>
              </a:effectLst>
            </c:spPr>
          </c:dPt>
          <c:dPt>
            <c:idx val="5"/>
            <c:bubble3D val="0"/>
            <c:spPr>
              <a:solidFill>
                <a:schemeClr val="accent6"/>
              </a:solidFill>
              <a:ln>
                <a:noFill/>
              </a:ln>
              <a:effectLst>
                <a:outerShdw blurRad="88900" sx="102000" sy="102000" algn="ctr" rotWithShape="0">
                  <a:prstClr val="black">
                    <a:alpha val="10000"/>
                  </a:prstClr>
                </a:outerShdw>
              </a:effectLst>
            </c:spPr>
          </c:dPt>
          <c:dPt>
            <c:idx val="6"/>
            <c:bubble3D val="0"/>
            <c:spPr>
              <a:solidFill>
                <a:schemeClr val="accent1">
                  <a:lumMod val="60000"/>
                </a:schemeClr>
              </a:solidFill>
              <a:ln>
                <a:noFill/>
              </a:ln>
              <a:effectLst>
                <a:outerShdw blurRad="88900" sx="102000" sy="102000" algn="ctr" rotWithShape="0">
                  <a:prstClr val="black">
                    <a:alpha val="10000"/>
                  </a:prstClr>
                </a:outerShdw>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2"/>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3"/>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4"/>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5"/>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6"/>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dLbl>
              <c:idx val="6"/>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lumMod val="60000"/>
                        </a:schemeClr>
                      </a:solidFill>
                      <a:latin typeface="+mn-lt"/>
                      <a:ea typeface="+mn-ea"/>
                      <a:cs typeface="+mn-cs"/>
                    </a:defRPr>
                  </a:pPr>
                </a:p>
              </c:txPr>
              <c:dLblPos val="outEnd"/>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一般公共服务支出</c:v>
                </c:pt>
                <c:pt idx="1">
                  <c:v>社会保障和就业支出</c:v>
                </c:pt>
                <c:pt idx="2">
                  <c:v>卫生健康支出</c:v>
                </c:pt>
                <c:pt idx="3">
                  <c:v>节能环保支出</c:v>
                </c:pt>
                <c:pt idx="4">
                  <c:v>农林水支出</c:v>
                </c:pt>
                <c:pt idx="5">
                  <c:v>交通运输支出</c:v>
                </c:pt>
                <c:pt idx="6">
                  <c:v>住房保障支出</c:v>
                </c:pt>
              </c:strCache>
            </c:strRef>
          </c:cat>
          <c:val>
            <c:numRef>
              <c:f>Sheet1!$B$2:$B$8</c:f>
              <c:numCache>
                <c:formatCode>General</c:formatCode>
                <c:ptCount val="7"/>
                <c:pt idx="0">
                  <c:v>2</c:v>
                </c:pt>
                <c:pt idx="1">
                  <c:v>324.88</c:v>
                </c:pt>
                <c:pt idx="2">
                  <c:v>38.04</c:v>
                </c:pt>
                <c:pt idx="3">
                  <c:v>72</c:v>
                </c:pt>
                <c:pt idx="4">
                  <c:v>326.28</c:v>
                </c:pt>
                <c:pt idx="5">
                  <c:v>2563.48</c:v>
                </c:pt>
                <c:pt idx="6">
                  <c:v>118.05</c:v>
                </c:pt>
              </c:numCache>
            </c:numRef>
          </c:val>
        </c:ser>
        <c:dLbls>
          <c:showLegendKey val="0"/>
          <c:showVal val="0"/>
          <c:showCatName val="1"/>
          <c:showSerName val="0"/>
          <c:showPercent val="0"/>
          <c:showBubbleSize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cap="none" spc="20" baseline="0">
              <a:solidFill>
                <a:schemeClr val="tx1">
                  <a:lumMod val="50000"/>
                  <a:lumOff val="50000"/>
                </a:schemeClr>
              </a:solidFill>
              <a:latin typeface="+mn-lt"/>
              <a:ea typeface="+mn-ea"/>
              <a:cs typeface="+mn-cs"/>
            </a:defRPr>
          </a:pPr>
        </a:p>
      </c:tx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tx>
            <c:strRef>
              <c:f>Sheet1!$B$1</c:f>
              <c:strCache>
                <c:ptCount val="1"/>
                <c:pt idx="0">
                  <c:v>“三公”经费财政拨款支出结构图</c:v>
                </c:pt>
              </c:strCache>
            </c:strRef>
          </c:tx>
          <c:spPr>
            <a:scene3d>
              <a:camera prst="orthographicFront"/>
              <a:lightRig rig="threePt" dir="t"/>
            </a:scene3d>
            <a:sp3d contourW="9525"/>
          </c:spPr>
          <c:explosion val="0"/>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c:spPr>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公务用车购置及运行维护费支出</c:v>
                </c:pt>
                <c:pt idx="1">
                  <c:v>公务接待费支出</c:v>
                </c:pt>
              </c:strCache>
            </c:strRef>
          </c:cat>
          <c:val>
            <c:numRef>
              <c:f>Sheet1!$B$2:$B$3</c:f>
              <c:numCache>
                <c:formatCode>General</c:formatCode>
                <c:ptCount val="2"/>
                <c:pt idx="0">
                  <c:v>8.89</c:v>
                </c:pt>
                <c:pt idx="1">
                  <c:v>1.48</c:v>
                </c:pt>
              </c:numCache>
            </c:numRef>
          </c:val>
        </c:ser>
        <c:dLbls>
          <c:showLegendKey val="0"/>
          <c:showVal val="0"/>
          <c:showCatName val="1"/>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ff5ec24-23f7-4ffc-a705-3693c71b4525}"/>
        <w:style w:val=""/>
        <w:category>
          <w:name w:val="常规"/>
          <w:gallery w:val="placeholder"/>
        </w:category>
        <w:types>
          <w:type w:val="bbPlcHdr"/>
        </w:types>
        <w:behaviors>
          <w:behavior w:val="content"/>
        </w:behaviors>
        <w:description w:val=""/>
        <w:guid w:val="{3ff5ec24-23f7-4ffc-a705-3693c71b4525}"/>
      </w:docPartPr>
      <w:docPartBody>
        <w:p>
          <w:r>
            <w:rPr>
              <w:color w:val="808080"/>
            </w:rPr>
            <w:t>单击此处输入文字。</w:t>
          </w:r>
        </w:p>
      </w:docPartBody>
    </w:docPart>
    <w:docPart>
      <w:docPartPr>
        <w:name w:val="{4ebc9a52-0331-4fe8-935f-b6baeda0f661}"/>
        <w:style w:val=""/>
        <w:category>
          <w:name w:val="常规"/>
          <w:gallery w:val="placeholder"/>
        </w:category>
        <w:types>
          <w:type w:val="bbPlcHdr"/>
        </w:types>
        <w:behaviors>
          <w:behavior w:val="content"/>
        </w:behaviors>
        <w:description w:val=""/>
        <w:guid w:val="{4ebc9a52-0331-4fe8-935f-b6baeda0f661}"/>
      </w:docPartPr>
      <w:docPartBody>
        <w:p>
          <w:r>
            <w:rPr>
              <w:color w:val="808080"/>
            </w:rPr>
            <w:t>单击此处输入文字。</w:t>
          </w:r>
        </w:p>
      </w:docPartBody>
    </w:docPart>
    <w:docPart>
      <w:docPartPr>
        <w:name w:val="{d812e5d1-f876-4825-a790-4f4cc57fd609}"/>
        <w:style w:val=""/>
        <w:category>
          <w:name w:val="常规"/>
          <w:gallery w:val="placeholder"/>
        </w:category>
        <w:types>
          <w:type w:val="bbPlcHdr"/>
        </w:types>
        <w:behaviors>
          <w:behavior w:val="content"/>
        </w:behaviors>
        <w:description w:val=""/>
        <w:guid w:val="{d812e5d1-f876-4825-a790-4f4cc57fd609}"/>
      </w:docPartPr>
      <w:docPartBody>
        <w:p>
          <w:r>
            <w:rPr>
              <w:color w:val="808080"/>
            </w:rPr>
            <w:t>单击此处输入文字。</w:t>
          </w:r>
        </w:p>
      </w:docPartBody>
    </w:docPart>
    <w:docPart>
      <w:docPartPr>
        <w:name w:val="{2f12fb81-fac7-485f-8219-826e8e868a4b}"/>
        <w:style w:val=""/>
        <w:category>
          <w:name w:val="常规"/>
          <w:gallery w:val="placeholder"/>
        </w:category>
        <w:types>
          <w:type w:val="bbPlcHdr"/>
        </w:types>
        <w:behaviors>
          <w:behavior w:val="content"/>
        </w:behaviors>
        <w:description w:val=""/>
        <w:guid w:val="{2f12fb81-fac7-485f-8219-826e8e868a4b}"/>
      </w:docPartPr>
      <w:docPartBody>
        <w:p>
          <w:r>
            <w:rPr>
              <w:color w:val="808080"/>
            </w:rPr>
            <w:t>单击此处输入文字。</w:t>
          </w:r>
        </w:p>
      </w:docPartBody>
    </w:docPart>
    <w:docPart>
      <w:docPartPr>
        <w:name w:val="{68e43eb5-251d-4069-b37b-6584248616f5}"/>
        <w:style w:val=""/>
        <w:category>
          <w:name w:val="常规"/>
          <w:gallery w:val="placeholder"/>
        </w:category>
        <w:types>
          <w:type w:val="bbPlcHdr"/>
        </w:types>
        <w:behaviors>
          <w:behavior w:val="content"/>
        </w:behaviors>
        <w:description w:val=""/>
        <w:guid w:val="{68e43eb5-251d-4069-b37b-6584248616f5}"/>
      </w:docPartPr>
      <w:docPartBody>
        <w:p>
          <w:r>
            <w:rPr>
              <w:color w:val="808080"/>
            </w:rPr>
            <w:t>单击此处输入文字。</w:t>
          </w:r>
        </w:p>
      </w:docPartBody>
    </w:docPart>
    <w:docPart>
      <w:docPartPr>
        <w:name w:val="{1faf8fd6-c6aa-440c-85fc-70039dee0de3}"/>
        <w:style w:val=""/>
        <w:category>
          <w:name w:val="常规"/>
          <w:gallery w:val="placeholder"/>
        </w:category>
        <w:types>
          <w:type w:val="bbPlcHdr"/>
        </w:types>
        <w:behaviors>
          <w:behavior w:val="content"/>
        </w:behaviors>
        <w:description w:val=""/>
        <w:guid w:val="{1faf8fd6-c6aa-440c-85fc-70039dee0de3}"/>
      </w:docPartPr>
      <w:docPartBody>
        <w:p>
          <w:r>
            <w:rPr>
              <w:color w:val="808080"/>
            </w:rPr>
            <w:t>单击此处输入文字。</w:t>
          </w:r>
        </w:p>
      </w:docPartBody>
    </w:docPart>
    <w:docPart>
      <w:docPartPr>
        <w:name w:val="{743815b0-17a3-4867-a57e-eacd0999ef9d}"/>
        <w:style w:val=""/>
        <w:category>
          <w:name w:val="常规"/>
          <w:gallery w:val="placeholder"/>
        </w:category>
        <w:types>
          <w:type w:val="bbPlcHdr"/>
        </w:types>
        <w:behaviors>
          <w:behavior w:val="content"/>
        </w:behaviors>
        <w:description w:val=""/>
        <w:guid w:val="{743815b0-17a3-4867-a57e-eacd0999ef9d}"/>
      </w:docPartPr>
      <w:docPartBody>
        <w:p>
          <w:r>
            <w:rPr>
              <w:color w:val="808080"/>
            </w:rPr>
            <w:t>单击此处输入文字。</w:t>
          </w:r>
        </w:p>
      </w:docPartBody>
    </w:docPart>
    <w:docPart>
      <w:docPartPr>
        <w:name w:val="{bd7cfc10-620b-480d-96b0-37b9c655b6e0}"/>
        <w:style w:val=""/>
        <w:category>
          <w:name w:val="常规"/>
          <w:gallery w:val="placeholder"/>
        </w:category>
        <w:types>
          <w:type w:val="bbPlcHdr"/>
        </w:types>
        <w:behaviors>
          <w:behavior w:val="content"/>
        </w:behaviors>
        <w:description w:val=""/>
        <w:guid w:val="{bd7cfc10-620b-480d-96b0-37b9c655b6e0}"/>
      </w:docPartPr>
      <w:docPartBody>
        <w:p>
          <w:r>
            <w:rPr>
              <w:color w:val="808080"/>
            </w:rPr>
            <w:t>单击此处输入文字。</w:t>
          </w:r>
        </w:p>
      </w:docPartBody>
    </w:docPart>
    <w:docPart>
      <w:docPartPr>
        <w:name w:val="{2e441556-2d76-4315-8447-0952d6f2956b}"/>
        <w:style w:val=""/>
        <w:category>
          <w:name w:val="常规"/>
          <w:gallery w:val="placeholder"/>
        </w:category>
        <w:types>
          <w:type w:val="bbPlcHdr"/>
        </w:types>
        <w:behaviors>
          <w:behavior w:val="content"/>
        </w:behaviors>
        <w:description w:val=""/>
        <w:guid w:val="{2e441556-2d76-4315-8447-0952d6f2956b}"/>
      </w:docPartPr>
      <w:docPartBody>
        <w:p>
          <w:r>
            <w:rPr>
              <w:color w:val="808080"/>
            </w:rPr>
            <w:t>单击此处输入文字。</w:t>
          </w:r>
        </w:p>
      </w:docPartBody>
    </w:docPart>
    <w:docPart>
      <w:docPartPr>
        <w:name w:val="{55b4a3e0-55e4-403f-b02c-69b2a135c36b}"/>
        <w:style w:val=""/>
        <w:category>
          <w:name w:val="常规"/>
          <w:gallery w:val="placeholder"/>
        </w:category>
        <w:types>
          <w:type w:val="bbPlcHdr"/>
        </w:types>
        <w:behaviors>
          <w:behavior w:val="content"/>
        </w:behaviors>
        <w:description w:val=""/>
        <w:guid w:val="{55b4a3e0-55e4-403f-b02c-69b2a135c36b}"/>
      </w:docPartPr>
      <w:docPartBody>
        <w:p>
          <w:r>
            <w:rPr>
              <w:color w:val="808080"/>
            </w:rPr>
            <w:t>单击此处输入文字。</w:t>
          </w:r>
        </w:p>
      </w:docPartBody>
    </w:docPart>
    <w:docPart>
      <w:docPartPr>
        <w:name w:val="{7fe8d43f-66a8-441a-81e1-19c47640f715}"/>
        <w:style w:val=""/>
        <w:category>
          <w:name w:val="常规"/>
          <w:gallery w:val="placeholder"/>
        </w:category>
        <w:types>
          <w:type w:val="bbPlcHdr"/>
        </w:types>
        <w:behaviors>
          <w:behavior w:val="content"/>
        </w:behaviors>
        <w:description w:val=""/>
        <w:guid w:val="{7fe8d43f-66a8-441a-81e1-19c47640f715}"/>
      </w:docPartPr>
      <w:docPartBody>
        <w:p>
          <w:r>
            <w:rPr>
              <w:color w:val="808080"/>
            </w:rPr>
            <w:t>单击此处输入文字。</w:t>
          </w:r>
        </w:p>
      </w:docPartBody>
    </w:docPart>
    <w:docPart>
      <w:docPartPr>
        <w:name w:val="{a3ac7c4e-9060-467f-8125-a30661bae681}"/>
        <w:style w:val=""/>
        <w:category>
          <w:name w:val="常规"/>
          <w:gallery w:val="placeholder"/>
        </w:category>
        <w:types>
          <w:type w:val="bbPlcHdr"/>
        </w:types>
        <w:behaviors>
          <w:behavior w:val="content"/>
        </w:behaviors>
        <w:description w:val=""/>
        <w:guid w:val="{a3ac7c4e-9060-467f-8125-a30661bae681}"/>
      </w:docPartPr>
      <w:docPartBody>
        <w:p>
          <w:r>
            <w:rPr>
              <w:color w:val="808080"/>
            </w:rPr>
            <w:t>单击此处输入文字。</w:t>
          </w:r>
        </w:p>
      </w:docPartBody>
    </w:docPart>
    <w:docPart>
      <w:docPartPr>
        <w:name w:val="{a5dea23a-bebc-4359-876b-b084f6765b61}"/>
        <w:style w:val=""/>
        <w:category>
          <w:name w:val="常规"/>
          <w:gallery w:val="placeholder"/>
        </w:category>
        <w:types>
          <w:type w:val="bbPlcHdr"/>
        </w:types>
        <w:behaviors>
          <w:behavior w:val="content"/>
        </w:behaviors>
        <w:description w:val=""/>
        <w:guid w:val="{a5dea23a-bebc-4359-876b-b084f6765b61}"/>
      </w:docPartPr>
      <w:docPartBody>
        <w:p>
          <w:r>
            <w:rPr>
              <w:color w:val="808080"/>
            </w:rPr>
            <w:t>单击此处输入文字。</w:t>
          </w:r>
        </w:p>
      </w:docPartBody>
    </w:docPart>
    <w:docPart>
      <w:docPartPr>
        <w:name w:val="{a67dffeb-e57b-4cdd-a7f4-1f4ed9cd9591}"/>
        <w:style w:val=""/>
        <w:category>
          <w:name w:val="常规"/>
          <w:gallery w:val="placeholder"/>
        </w:category>
        <w:types>
          <w:type w:val="bbPlcHdr"/>
        </w:types>
        <w:behaviors>
          <w:behavior w:val="content"/>
        </w:behaviors>
        <w:description w:val=""/>
        <w:guid w:val="{a67dffeb-e57b-4cdd-a7f4-1f4ed9cd9591}"/>
      </w:docPartPr>
      <w:docPartBody>
        <w:p>
          <w:r>
            <w:rPr>
              <w:color w:val="808080"/>
            </w:rPr>
            <w:t>单击此处输入文字。</w:t>
          </w:r>
        </w:p>
      </w:docPartBody>
    </w:docPart>
    <w:docPart>
      <w:docPartPr>
        <w:name w:val="{76279ea9-e3cf-46fb-96bf-aa0d6624cd98}"/>
        <w:style w:val=""/>
        <w:category>
          <w:name w:val="常规"/>
          <w:gallery w:val="placeholder"/>
        </w:category>
        <w:types>
          <w:type w:val="bbPlcHdr"/>
        </w:types>
        <w:behaviors>
          <w:behavior w:val="content"/>
        </w:behaviors>
        <w:description w:val=""/>
        <w:guid w:val="{76279ea9-e3cf-46fb-96bf-aa0d6624cd98}"/>
      </w:docPartPr>
      <w:docPartBody>
        <w:p>
          <w:r>
            <w:rPr>
              <w:color w:val="808080"/>
            </w:rPr>
            <w:t>单击此处输入文字。</w:t>
          </w:r>
        </w:p>
      </w:docPartBody>
    </w:docPart>
    <w:docPart>
      <w:docPartPr>
        <w:name w:val="{1aab88b1-93f3-4a07-8faa-46f5672e35e2}"/>
        <w:style w:val=""/>
        <w:category>
          <w:name w:val="常规"/>
          <w:gallery w:val="placeholder"/>
        </w:category>
        <w:types>
          <w:type w:val="bbPlcHdr"/>
        </w:types>
        <w:behaviors>
          <w:behavior w:val="content"/>
        </w:behaviors>
        <w:description w:val=""/>
        <w:guid w:val="{1aab88b1-93f3-4a07-8faa-46f5672e35e2}"/>
      </w:docPartPr>
      <w:docPartBody>
        <w:p>
          <w:r>
            <w:rPr>
              <w:color w:val="808080"/>
            </w:rPr>
            <w:t>单击此处输入文字。</w:t>
          </w:r>
        </w:p>
      </w:docPartBody>
    </w:docPart>
    <w:docPart>
      <w:docPartPr>
        <w:name w:val="{0e64582e-04be-4c95-aac2-7b6e17a99895}"/>
        <w:style w:val=""/>
        <w:category>
          <w:name w:val="常规"/>
          <w:gallery w:val="placeholder"/>
        </w:category>
        <w:types>
          <w:type w:val="bbPlcHdr"/>
        </w:types>
        <w:behaviors>
          <w:behavior w:val="content"/>
        </w:behaviors>
        <w:description w:val=""/>
        <w:guid w:val="{0e64582e-04be-4c95-aac2-7b6e17a99895}"/>
      </w:docPartPr>
      <w:docPartBody>
        <w:p>
          <w:r>
            <w:rPr>
              <w:color w:val="808080"/>
            </w:rPr>
            <w:t>单击此处输入文字。</w:t>
          </w:r>
        </w:p>
      </w:docPartBody>
    </w:docPart>
    <w:docPart>
      <w:docPartPr>
        <w:name w:val="{b67f3978-14e8-4160-8204-7886385e0ec4}"/>
        <w:style w:val=""/>
        <w:category>
          <w:name w:val="常规"/>
          <w:gallery w:val="placeholder"/>
        </w:category>
        <w:types>
          <w:type w:val="bbPlcHdr"/>
        </w:types>
        <w:behaviors>
          <w:behavior w:val="content"/>
        </w:behaviors>
        <w:description w:val=""/>
        <w:guid w:val="{b67f3978-14e8-4160-8204-7886385e0ec4}"/>
      </w:docPartPr>
      <w:docPartBody>
        <w:p>
          <w:r>
            <w:rPr>
              <w:color w:val="808080"/>
            </w:rPr>
            <w:t>单击此处输入文字。</w:t>
          </w:r>
        </w:p>
      </w:docPartBody>
    </w:docPart>
    <w:docPart>
      <w:docPartPr>
        <w:name w:val="{54af234c-d631-4d8e-979d-dec088d8a0c2}"/>
        <w:style w:val=""/>
        <w:category>
          <w:name w:val="常规"/>
          <w:gallery w:val="placeholder"/>
        </w:category>
        <w:types>
          <w:type w:val="bbPlcHdr"/>
        </w:types>
        <w:behaviors>
          <w:behavior w:val="content"/>
        </w:behaviors>
        <w:description w:val=""/>
        <w:guid w:val="{54af234c-d631-4d8e-979d-dec088d8a0c2}"/>
      </w:docPartPr>
      <w:docPartBody>
        <w:p>
          <w:r>
            <w:rPr>
              <w:color w:val="808080"/>
            </w:rPr>
            <w:t>单击此处输入文字。</w:t>
          </w:r>
        </w:p>
      </w:docPartBody>
    </w:docPart>
    <w:docPart>
      <w:docPartPr>
        <w:name w:val="{9307ecf8-129c-4de0-8ad8-7fa7e54a5cf7}"/>
        <w:style w:val=""/>
        <w:category>
          <w:name w:val="常规"/>
          <w:gallery w:val="placeholder"/>
        </w:category>
        <w:types>
          <w:type w:val="bbPlcHdr"/>
        </w:types>
        <w:behaviors>
          <w:behavior w:val="content"/>
        </w:behaviors>
        <w:description w:val=""/>
        <w:guid w:val="{9307ecf8-129c-4de0-8ad8-7fa7e54a5cf7}"/>
      </w:docPartPr>
      <w:docPartBody>
        <w:p>
          <w:r>
            <w:rPr>
              <w:color w:val="808080"/>
            </w:rPr>
            <w:t>单击此处输入文字。</w:t>
          </w:r>
        </w:p>
      </w:docPartBody>
    </w:docPart>
    <w:docPart>
      <w:docPartPr>
        <w:name w:val="{b8c4f343-e8dd-4490-96b6-4cc8fbebfa02}"/>
        <w:style w:val=""/>
        <w:category>
          <w:name w:val="常规"/>
          <w:gallery w:val="placeholder"/>
        </w:category>
        <w:types>
          <w:type w:val="bbPlcHdr"/>
        </w:types>
        <w:behaviors>
          <w:behavior w:val="content"/>
        </w:behaviors>
        <w:description w:val=""/>
        <w:guid w:val="{b8c4f343-e8dd-4490-96b6-4cc8fbebfa02}"/>
      </w:docPartPr>
      <w:docPartBody>
        <w:p>
          <w:r>
            <w:rPr>
              <w:color w:val="808080"/>
            </w:rPr>
            <w:t>单击此处输入文字。</w:t>
          </w:r>
        </w:p>
      </w:docPartBody>
    </w:docPart>
    <w:docPart>
      <w:docPartPr>
        <w:name w:val="{90d73dfb-891a-48f9-8890-856160837279}"/>
        <w:style w:val=""/>
        <w:category>
          <w:name w:val="常规"/>
          <w:gallery w:val="placeholder"/>
        </w:category>
        <w:types>
          <w:type w:val="bbPlcHdr"/>
        </w:types>
        <w:behaviors>
          <w:behavior w:val="content"/>
        </w:behaviors>
        <w:description w:val=""/>
        <w:guid w:val="{90d73dfb-891a-48f9-8890-856160837279}"/>
      </w:docPartPr>
      <w:docPartBody>
        <w:p>
          <w:r>
            <w:rPr>
              <w:color w:val="808080"/>
            </w:rPr>
            <w:t>单击此处输入文字。</w:t>
          </w:r>
        </w:p>
      </w:docPartBody>
    </w:docPart>
    <w:docPart>
      <w:docPartPr>
        <w:name w:val="{d5f070d3-199e-4fe8-aef5-267632c07b57}"/>
        <w:style w:val=""/>
        <w:category>
          <w:name w:val="常规"/>
          <w:gallery w:val="placeholder"/>
        </w:category>
        <w:types>
          <w:type w:val="bbPlcHdr"/>
        </w:types>
        <w:behaviors>
          <w:behavior w:val="content"/>
        </w:behaviors>
        <w:description w:val=""/>
        <w:guid w:val="{d5f070d3-199e-4fe8-aef5-267632c07b57}"/>
      </w:docPartPr>
      <w:docPartBody>
        <w:p>
          <w:r>
            <w:rPr>
              <w:color w:val="808080"/>
            </w:rPr>
            <w:t>单击此处输入文字。</w:t>
          </w:r>
        </w:p>
      </w:docPartBody>
    </w:docPart>
    <w:docPart>
      <w:docPartPr>
        <w:name w:val="{e14c7b64-eb41-40f0-bebf-25ba563458fd}"/>
        <w:style w:val=""/>
        <w:category>
          <w:name w:val="常规"/>
          <w:gallery w:val="placeholder"/>
        </w:category>
        <w:types>
          <w:type w:val="bbPlcHdr"/>
        </w:types>
        <w:behaviors>
          <w:behavior w:val="content"/>
        </w:behaviors>
        <w:description w:val=""/>
        <w:guid w:val="{e14c7b64-eb41-40f0-bebf-25ba563458fd}"/>
      </w:docPartPr>
      <w:docPartBody>
        <w:p>
          <w:r>
            <w:rPr>
              <w:color w:val="808080"/>
            </w:rPr>
            <w:t>单击此处输入文字。</w:t>
          </w:r>
        </w:p>
      </w:docPartBody>
    </w:docPart>
    <w:docPart>
      <w:docPartPr>
        <w:name w:val="{873af63b-c829-4a96-b788-e765db8f1dbb}"/>
        <w:style w:val=""/>
        <w:category>
          <w:name w:val="常规"/>
          <w:gallery w:val="placeholder"/>
        </w:category>
        <w:types>
          <w:type w:val="bbPlcHdr"/>
        </w:types>
        <w:behaviors>
          <w:behavior w:val="content"/>
        </w:behaviors>
        <w:description w:val=""/>
        <w:guid w:val="{873af63b-c829-4a96-b788-e765db8f1dbb}"/>
      </w:docPartPr>
      <w:docPartBody>
        <w:p>
          <w:r>
            <w:rPr>
              <w:color w:val="808080"/>
            </w:rPr>
            <w:t>单击此处输入文字。</w:t>
          </w:r>
        </w:p>
      </w:docPartBody>
    </w:docPart>
    <w:docPart>
      <w:docPartPr>
        <w:name w:val="{55ccfe88-4d99-49aa-8a05-b6d4bb705b29}"/>
        <w:style w:val=""/>
        <w:category>
          <w:name w:val="常规"/>
          <w:gallery w:val="placeholder"/>
        </w:category>
        <w:types>
          <w:type w:val="bbPlcHdr"/>
        </w:types>
        <w:behaviors>
          <w:behavior w:val="content"/>
        </w:behaviors>
        <w:description w:val=""/>
        <w:guid w:val="{55ccfe88-4d99-49aa-8a05-b6d4bb705b29}"/>
      </w:docPartPr>
      <w:docPartBody>
        <w:p>
          <w:r>
            <w:rPr>
              <w:color w:val="808080"/>
            </w:rPr>
            <w:t>单击此处输入文字。</w:t>
          </w:r>
        </w:p>
      </w:docPartBody>
    </w:docPart>
    <w:docPart>
      <w:docPartPr>
        <w:name w:val="{c0e5a771-7156-4bfe-aa3c-8dc31ec2d66b}"/>
        <w:style w:val=""/>
        <w:category>
          <w:name w:val="常规"/>
          <w:gallery w:val="placeholder"/>
        </w:category>
        <w:types>
          <w:type w:val="bbPlcHdr"/>
        </w:types>
        <w:behaviors>
          <w:behavior w:val="content"/>
        </w:behaviors>
        <w:description w:val=""/>
        <w:guid w:val="{c0e5a771-7156-4bfe-aa3c-8dc31ec2d66b}"/>
      </w:docPartPr>
      <w:docPartBody>
        <w:p>
          <w:r>
            <w:rPr>
              <w:color w:val="808080"/>
            </w:rPr>
            <w:t>单击此处输入文字。</w:t>
          </w:r>
        </w:p>
      </w:docPartBody>
    </w:docPart>
    <w:docPart>
      <w:docPartPr>
        <w:name w:val="{786cfa05-10d1-4802-9a25-c1f678274b4d}"/>
        <w:style w:val=""/>
        <w:category>
          <w:name w:val="常规"/>
          <w:gallery w:val="placeholder"/>
        </w:category>
        <w:types>
          <w:type w:val="bbPlcHdr"/>
        </w:types>
        <w:behaviors>
          <w:behavior w:val="content"/>
        </w:behaviors>
        <w:description w:val=""/>
        <w:guid w:val="{786cfa05-10d1-4802-9a25-c1f678274b4d}"/>
      </w:docPartPr>
      <w:docPartBody>
        <w:p>
          <w:r>
            <w:rPr>
              <w:color w:val="808080"/>
            </w:rPr>
            <w:t>单击此处输入文字。</w:t>
          </w:r>
        </w:p>
      </w:docPartBody>
    </w:docPart>
    <w:docPart>
      <w:docPartPr>
        <w:name w:val="{4e0b9a75-5920-4462-ab7e-d1928c1e1cc7}"/>
        <w:style w:val=""/>
        <w:category>
          <w:name w:val="常规"/>
          <w:gallery w:val="placeholder"/>
        </w:category>
        <w:types>
          <w:type w:val="bbPlcHdr"/>
        </w:types>
        <w:behaviors>
          <w:behavior w:val="content"/>
        </w:behaviors>
        <w:description w:val=""/>
        <w:guid w:val="{4e0b9a75-5920-4462-ab7e-d1928c1e1cc7}"/>
      </w:docPartPr>
      <w:docPartBody>
        <w:p>
          <w:r>
            <w:rPr>
              <w:color w:val="808080"/>
            </w:rPr>
            <w:t>单击此处输入文字。</w:t>
          </w:r>
        </w:p>
      </w:docPartBody>
    </w:docPart>
    <w:docPart>
      <w:docPartPr>
        <w:name w:val="{a3b86cc3-9fce-496d-a530-c4e28ba157bd}"/>
        <w:style w:val=""/>
        <w:category>
          <w:name w:val="常规"/>
          <w:gallery w:val="placeholder"/>
        </w:category>
        <w:types>
          <w:type w:val="bbPlcHdr"/>
        </w:types>
        <w:behaviors>
          <w:behavior w:val="content"/>
        </w:behaviors>
        <w:description w:val=""/>
        <w:guid w:val="{a3b86cc3-9fce-496d-a530-c4e28ba157b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2023-09-25T07:21:00Z</dcterms:created>
  <dc:creator>Administrator</dc:creator>
  <cp:lastModifiedBy>阁主</cp:lastModifiedBy>
  <dcterms:modified xsi:type="dcterms:W3CDTF">2023-10-27T05:59:18Z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07510EA8E6AD4C4F9A48D9B93B615FCA_12</vt:lpwstr>
  </property>
</Properties>
</file>