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jc w:val="left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重大设计变更情形一览表</w:t>
      </w:r>
    </w:p>
    <w:bookmarkEnd w:id="0"/>
    <w:tbl>
      <w:tblPr>
        <w:tblStyle w:val="3"/>
        <w:tblW w:w="9930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640"/>
        <w:gridCol w:w="630"/>
        <w:gridCol w:w="444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  <w:t>变更情形</w:t>
            </w:r>
          </w:p>
        </w:tc>
        <w:tc>
          <w:tcPr>
            <w:tcW w:w="507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  <w:t>变更情形细化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  <w:t>序号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  <w:t>情形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  <w:t>编码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  <w:t>情形细化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路线起讫点和控制点发生变化的；连续长度2公里以上的路线方案调整的；路基分幅形式变化的。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1.1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路线起讫点的坐标或高程发生变化的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因接线项目设计不同步造成的除外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1.2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连续长度2公里以上平面调整的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1.3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连续长度2公里以上纵面调整的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1.4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路基分幅形式变化2公里及以上的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互通式立交的数量、位置、布置形式发生变化的；互通式立交连接线的标准和规模发生变化的；分离式立交的数量发生变化的。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2.1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互通式立交的座数发生变化的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2.2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互通式立交中心位置发生变化超过500米的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2.3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互通式立交匝道布置形式发生变化的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2.4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连接线技术等级、车道数等发生变化的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2.5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连接线长度变化超过500米的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主线、互通、连接线的特大桥、大桥、中桥数量、桥位、跨径、结构型式发生变化的。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3.1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特大桥、大桥、中桥的座数发生变化的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施工图设计阶段优化调整，引起的大桥、中桥的座数调整的除外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3.2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梁式桥（简支梁、连续梁、连续刚构、斜腿刚构、T构等）、拱式桥、斜拉桥、悬索桥等桥梁结构型式发生变化的。（钢结构桥梁与混凝土结构桥梁互换包含在内，预制与现浇梁互换的除外）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3.3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主跨大于50米的桥梁主跨跨径发生变化的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3.4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一座桥梁的总长度变化超过60米的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ind w:left="210" w:hanging="210" w:hangingChars="1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隧道的数量、洞身结构型式、行车道宽度改变的。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4.1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隧道的座数发生变化的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施工图设计阶段设计优化调整，引起长度500米以下隧道座数调整的除外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4.2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隧道建筑限界发生变化的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4.3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隧道断面布置形式（分离式、连拱、分岔）发生变化的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隧道照明、通风、监控、报警、供配电、消防设施及开挖技术方案发生变化的。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5.1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隧道通风和排烟方式（自然通风、纵向机械通风、纵向机械分段送排通风）、风机房型式（地表、地下）、隧道通风通道型式（竖井、有轨斜井、无轨斜井或横洞、平导）发生变化的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5.2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隧道照明、监控、报警、供配电和消防设施技术方案发生重大变化的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5.3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隧道开挖方式（钻爆开挖、掘进机掘进）发生变化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路面结构类型、宽度和厚度发生变化的；路面主要材料、主要材料料场发生变化的。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6.1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主线或匝道的路面结构（面层、基层、底基层、改善层）类型发生变化的，包括改变沥青混凝土类型、调整结构层组成等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施工图设计阶段优化调整引起的除外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6.2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主线或匝道的路面结构层分层或厚度发生变化的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6.3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路面结构层的上面层主要材料发生变化的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6.4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路面结构层的上面层主要材料料场发生变化的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7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交通安全设施防护标准、方案发生变化的。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7.1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主线防护标准和等级发生变化的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7.2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全线路基中央分隔带安全护栏形式发生变化的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项目通信、监控、收费系统总体技术方案改变的，新增或调整平安智慧高速公路建设的。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8.1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光传输设备制式发生变化的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施工图设计阶段优化调整引起的除外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8.2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监控等级发生变化的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8.3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收费制式发生变化的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8.4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新增智慧高速建设内容或调整智慧高速建设标准的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9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收费站点位置、规模发生变化的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9.1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收费站点数量发生变化的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施工图设计阶段优化调整引起的除外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9.2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站点收费车道数发生变化的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管理、养护和服务设施建设规模发生变化的。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10.1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管理方式（集中管理或分段管理）发生变化的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施工图设计阶段优化调整引起的除外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10.2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管理站点数量发生变化的</w:t>
            </w: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10.3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服务区、停车区、养护工区的数量发生变化的</w:t>
            </w: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10.4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服务区、停车区位置发生变化的</w:t>
            </w: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10.5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房建建筑面积发生变化超过10%的</w:t>
            </w: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11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新增的大型滑坡、泥石流等地质灾害治理工程。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11.1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新增的大型滑坡（滑体方量超过30万方）的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11.2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因自然灾害等不可预见原因导致的泥石流、高位崩塌等灾后处治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4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11.3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隧道瓦斯设防等级变化，连续长度500米以上的软质岩大变形、硬质岩岩爆等特殊不良地质处治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12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调整项目概算投资。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ind w:left="1050" w:hanging="1050" w:hangingChars="500"/>
        <w:rPr>
          <w:rFonts w:hint="default" w:ascii="Times New Roman" w:hAnsi="Times New Roman" w:eastAsia="仿宋_GB2312" w:cs="Times New Roman"/>
          <w:color w:val="auto"/>
          <w:szCs w:val="22"/>
        </w:rPr>
      </w:pPr>
      <w:r>
        <w:rPr>
          <w:rFonts w:hint="default" w:ascii="Times New Roman" w:hAnsi="Times New Roman" w:eastAsia="黑体" w:cs="Times New Roman"/>
          <w:color w:val="auto"/>
          <w:szCs w:val="22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Cs w:val="22"/>
        </w:rPr>
        <w:t>一、国高网高速公路项目设计变更内容达到《公路工程设计变更管理办法》规定的重大设计变更情形的，设计变更方案由交通运输厅审查后报交通运输部审批；</w:t>
      </w:r>
    </w:p>
    <w:p>
      <w:pPr>
        <w:ind w:left="1050" w:leftChars="300" w:hanging="420" w:hangingChars="200"/>
        <w:rPr>
          <w:rFonts w:hint="default" w:ascii="Times New Roman" w:hAnsi="Times New Roman" w:eastAsia="仿宋_GB2312" w:cs="Times New Roman"/>
          <w:color w:val="auto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Cs w:val="22"/>
        </w:rPr>
        <w:t>二、对设计变更所属类型存在异议的，由项目法人单位书面报请交通运输厅明确审批</w:t>
      </w:r>
      <w:r>
        <w:rPr>
          <w:rFonts w:hint="eastAsia" w:ascii="Times New Roman" w:hAnsi="Times New Roman" w:eastAsia="仿宋_GB2312" w:cs="Times New Roman"/>
          <w:color w:val="auto"/>
          <w:szCs w:val="22"/>
          <w:lang w:eastAsia="zh-CN"/>
        </w:rPr>
        <w:t>（定）</w:t>
      </w:r>
      <w:r>
        <w:rPr>
          <w:rFonts w:hint="default" w:ascii="Times New Roman" w:hAnsi="Times New Roman" w:eastAsia="仿宋_GB2312" w:cs="Times New Roman"/>
          <w:color w:val="auto"/>
          <w:szCs w:val="22"/>
        </w:rPr>
        <w:t>层级。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ZTMwZWMyOTgxMjY0MmQ5Y2YwMDMzOTU1Y2IxYTgifQ=="/>
  </w:docVars>
  <w:rsids>
    <w:rsidRoot w:val="6EDC204D"/>
    <w:rsid w:val="6ED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2023-09-21T02:43:00Z</dcterms:created>
  <dc:creator>zyj19</dc:creator>
  <cp:lastModifiedBy>zyj19</cp:lastModifiedBy>
  <dcterms:modified xsi:type="dcterms:W3CDTF">2023-09-21T02:44:26Z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A3B9ED8CC5074B3788041C0936B2801B_11</vt:lpwstr>
  </property>
</Properties>
</file>