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F4" w:rsidRPr="002D2380" w:rsidRDefault="008C23F4" w:rsidP="008C23F4">
      <w:pPr>
        <w:ind w:rightChars="93" w:right="195"/>
        <w:jc w:val="center"/>
        <w:rPr>
          <w:rFonts w:ascii="方正小标宋简体" w:eastAsia="方正小标宋简体" w:hAnsi="华文仿宋"/>
          <w:sz w:val="44"/>
          <w:szCs w:val="44"/>
        </w:rPr>
      </w:pPr>
      <w:bookmarkStart w:id="0" w:name="OLE_LINK1"/>
      <w:bookmarkStart w:id="1" w:name="OLE_LINK2"/>
      <w:r w:rsidRPr="006E645A">
        <w:rPr>
          <w:rFonts w:ascii="方正小标宋简体" w:eastAsia="方正小标宋简体" w:hAnsi="华文仿宋" w:hint="eastAsia"/>
          <w:sz w:val="44"/>
          <w:szCs w:val="44"/>
        </w:rPr>
        <w:t>德阳市罗江区</w:t>
      </w:r>
    </w:p>
    <w:p w:rsidR="008C23F4" w:rsidRPr="006E645A" w:rsidRDefault="008C23F4" w:rsidP="008C23F4">
      <w:pPr>
        <w:ind w:rightChars="93" w:right="195"/>
        <w:jc w:val="center"/>
        <w:rPr>
          <w:rFonts w:ascii="华文仿宋" w:eastAsia="华文仿宋" w:hAnsi="华文仿宋"/>
          <w:sz w:val="30"/>
          <w:szCs w:val="30"/>
        </w:rPr>
      </w:pPr>
      <w:r w:rsidRPr="006E645A">
        <w:rPr>
          <w:rFonts w:ascii="方正小标宋简体" w:eastAsia="方正小标宋简体" w:hAnsi="华文仿宋"/>
          <w:sz w:val="44"/>
          <w:szCs w:val="44"/>
        </w:rPr>
        <w:t xml:space="preserve"> 烟草制品零售点合理布局规划</w:t>
      </w:r>
      <w:bookmarkEnd w:id="0"/>
      <w:bookmarkEnd w:id="1"/>
      <w:r w:rsidRPr="006E645A">
        <w:rPr>
          <w:rFonts w:ascii="方正小标宋简体" w:eastAsia="方正小标宋简体" w:hAnsi="华文仿宋" w:hint="eastAsia"/>
          <w:sz w:val="44"/>
          <w:szCs w:val="44"/>
        </w:rPr>
        <w:t>（草案）</w:t>
      </w:r>
    </w:p>
    <w:p w:rsidR="008C23F4" w:rsidRPr="002D2380" w:rsidRDefault="008C23F4" w:rsidP="008C23F4">
      <w:pPr>
        <w:widowControl/>
        <w:shd w:val="clear" w:color="auto" w:fill="FFFFFF"/>
        <w:spacing w:line="600" w:lineRule="atLeast"/>
        <w:jc w:val="center"/>
        <w:rPr>
          <w:rFonts w:ascii="华文仿宋" w:eastAsia="华文仿宋" w:hAnsi="华文仿宋"/>
          <w:sz w:val="30"/>
          <w:szCs w:val="30"/>
        </w:rPr>
      </w:pPr>
      <w:r w:rsidRPr="006E645A">
        <w:rPr>
          <w:rFonts w:ascii="华文仿宋" w:eastAsia="华文仿宋" w:hAnsi="华文仿宋" w:hint="eastAsia"/>
          <w:sz w:val="30"/>
          <w:szCs w:val="30"/>
        </w:rPr>
        <w:t>第一章 </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总则</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sz w:val="30"/>
          <w:szCs w:val="30"/>
        </w:rPr>
        <w:t>第一条 加强烟草专卖零售许可证管理，合理配置卷烟零售市场资源，规范卷烟零售市场秩序，根据《中华人民共和国行政许可法》、《中华人民共和国烟草专卖法》、《中华人民共和国烟草专卖法实施条例》、《烟草专卖许可证管理办法》及实施细则</w:t>
      </w:r>
      <w:r w:rsidRPr="006E645A">
        <w:rPr>
          <w:rFonts w:ascii="华文仿宋" w:eastAsia="华文仿宋" w:hAnsi="华文仿宋" w:hint="eastAsia"/>
          <w:sz w:val="30"/>
          <w:szCs w:val="30"/>
        </w:rPr>
        <w:t>等法律法规规章和规范性文件，结合罗江实际，制定本规划。</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sz w:val="30"/>
          <w:szCs w:val="30"/>
        </w:rPr>
        <w:t>第二条 本规定所称烟草制品零售点（以下简称零售点）指依法取得烟草专卖零售许可证的公民、法人或其他组织从事烟草制品零售业务，在</w:t>
      </w:r>
      <w:r w:rsidRPr="006E645A">
        <w:rPr>
          <w:rFonts w:ascii="华文仿宋" w:eastAsia="华文仿宋" w:hAnsi="华文仿宋" w:hint="eastAsia"/>
          <w:sz w:val="30"/>
          <w:szCs w:val="30"/>
        </w:rPr>
        <w:t>德阳市罗江</w:t>
      </w:r>
      <w:r w:rsidRPr="006E645A">
        <w:rPr>
          <w:rFonts w:ascii="华文仿宋" w:eastAsia="华文仿宋" w:hAnsi="华文仿宋"/>
          <w:sz w:val="30"/>
          <w:szCs w:val="30"/>
        </w:rPr>
        <w:t>区行政辖区内申领烟草专卖零售许可证的，适用本规划。</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sz w:val="30"/>
          <w:szCs w:val="30"/>
        </w:rPr>
        <w:t>第三条 本规划所称合理布局，是指根据</w:t>
      </w:r>
      <w:r w:rsidRPr="006E645A">
        <w:rPr>
          <w:rFonts w:ascii="华文仿宋" w:eastAsia="华文仿宋" w:hAnsi="华文仿宋" w:hint="eastAsia"/>
          <w:sz w:val="30"/>
          <w:szCs w:val="30"/>
        </w:rPr>
        <w:t>罗江</w:t>
      </w:r>
      <w:r w:rsidRPr="006E645A">
        <w:rPr>
          <w:rFonts w:ascii="华文仿宋" w:eastAsia="华文仿宋" w:hAnsi="华文仿宋"/>
          <w:sz w:val="30"/>
          <w:szCs w:val="30"/>
        </w:rPr>
        <w:t>区行政区域内的人口数量、交通状况、经济发展水平、消费能力等因素，</w:t>
      </w:r>
      <w:r w:rsidRPr="006E645A">
        <w:rPr>
          <w:rFonts w:ascii="华文仿宋" w:eastAsia="华文仿宋" w:hAnsi="华文仿宋" w:hint="eastAsia"/>
          <w:sz w:val="30"/>
          <w:szCs w:val="30"/>
        </w:rPr>
        <w:t>尊重客观事实，遵循市场规律，采取符合实际、科学合理的布局方式，实现零售许可数量和质量的合理平衡。</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sz w:val="30"/>
          <w:szCs w:val="30"/>
        </w:rPr>
        <w:t>第</w:t>
      </w:r>
      <w:r w:rsidRPr="006E645A">
        <w:rPr>
          <w:rFonts w:ascii="华文仿宋" w:eastAsia="华文仿宋" w:hAnsi="华文仿宋" w:hint="eastAsia"/>
          <w:sz w:val="30"/>
          <w:szCs w:val="30"/>
        </w:rPr>
        <w:t>四</w:t>
      </w:r>
      <w:r w:rsidRPr="006E645A">
        <w:rPr>
          <w:rFonts w:ascii="华文仿宋" w:eastAsia="华文仿宋" w:hAnsi="华文仿宋"/>
          <w:sz w:val="30"/>
          <w:szCs w:val="30"/>
        </w:rPr>
        <w:t>条 本规定遵循以下原则：</w:t>
      </w:r>
    </w:p>
    <w:p w:rsidR="008C23F4" w:rsidRPr="006E645A" w:rsidRDefault="008C23F4" w:rsidP="008C23F4">
      <w:pPr>
        <w:spacing w:line="560" w:lineRule="exact"/>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（一）依法行政原则</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依据法定职权、按照法定程序、在法定职责范围内进行，保证烟草制品零售市场准入和退出合法有序、公平公正；</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（二）服务社会原则</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履行社会责任，践行控烟履约和未成年人保护职责，满足社</w:t>
      </w:r>
      <w:r w:rsidRPr="006E645A">
        <w:rPr>
          <w:rFonts w:ascii="华文仿宋" w:eastAsia="华文仿宋" w:hAnsi="华文仿宋" w:hint="eastAsia"/>
          <w:sz w:val="30"/>
          <w:szCs w:val="30"/>
        </w:rPr>
        <w:lastRenderedPageBreak/>
        <w:t>会需要，方便消费者购买。支持社会就业，扶持社会弱势群体及特殊人群，保护未成年人身心健康，树立责任烟草良好形象；</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（三）均衡发展原则</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坚持零售户总量、分布与烟草制品消费需求相适应，适时评估执行效果，对不适宜的规定及时作出调整，确保烟草制品零售点均衡发展；</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（四）信赖保护原则</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对本规定发布前已依法核发的烟草专卖零售许可证，在许可证有效期内不受本规定调整的影响。许可证有效期届满前提出延续申请的，除经营场所的安全要求和中小学、幼儿园、少年宫周围的限制规定外，依法办理延续。</w:t>
      </w:r>
    </w:p>
    <w:p w:rsidR="008C23F4" w:rsidRPr="006E645A" w:rsidRDefault="008C23F4" w:rsidP="008C23F4">
      <w:pPr>
        <w:ind w:firstLineChars="800" w:firstLine="2400"/>
        <w:rPr>
          <w:rFonts w:ascii="华文仿宋" w:eastAsia="华文仿宋" w:hAnsi="华文仿宋"/>
          <w:sz w:val="30"/>
          <w:szCs w:val="30"/>
        </w:rPr>
      </w:pPr>
      <w:r w:rsidRPr="006E645A">
        <w:rPr>
          <w:rFonts w:ascii="华文仿宋" w:eastAsia="华文仿宋" w:hAnsi="华文仿宋" w:hint="eastAsia"/>
          <w:sz w:val="30"/>
          <w:szCs w:val="30"/>
        </w:rPr>
        <w:t>第二章 </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具体布局标准</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第五条 零售点布局模式分为间距模式、总量模式、总量与间距相结合的模式三种。</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sz w:val="30"/>
          <w:szCs w:val="30"/>
        </w:rPr>
        <w:t>第</w:t>
      </w:r>
      <w:r w:rsidRPr="006E645A">
        <w:rPr>
          <w:rFonts w:ascii="华文仿宋" w:eastAsia="华文仿宋" w:hAnsi="华文仿宋" w:hint="eastAsia"/>
          <w:sz w:val="30"/>
          <w:szCs w:val="30"/>
        </w:rPr>
        <w:t>六</w:t>
      </w:r>
      <w:r w:rsidRPr="006E645A">
        <w:rPr>
          <w:rFonts w:ascii="华文仿宋" w:eastAsia="华文仿宋" w:hAnsi="华文仿宋"/>
          <w:sz w:val="30"/>
          <w:szCs w:val="30"/>
        </w:rPr>
        <w:t>条</w:t>
      </w:r>
      <w:r w:rsidR="008E249B">
        <w:rPr>
          <w:rFonts w:ascii="华文仿宋" w:eastAsia="华文仿宋" w:hAnsi="华文仿宋" w:hint="eastAsia"/>
          <w:sz w:val="30"/>
          <w:szCs w:val="30"/>
        </w:rPr>
        <w:t xml:space="preserve"> </w:t>
      </w:r>
      <w:r w:rsidRPr="006E645A">
        <w:rPr>
          <w:rFonts w:ascii="华文仿宋" w:eastAsia="华文仿宋" w:hAnsi="华文仿宋"/>
          <w:sz w:val="30"/>
          <w:szCs w:val="30"/>
        </w:rPr>
        <w:t>德阳市罗江区零售点布局分为4</w:t>
      </w:r>
      <w:r w:rsidRPr="006E645A">
        <w:rPr>
          <w:rFonts w:ascii="华文仿宋" w:eastAsia="华文仿宋" w:hAnsi="华文仿宋" w:hint="eastAsia"/>
          <w:sz w:val="30"/>
          <w:szCs w:val="30"/>
        </w:rPr>
        <w:t>个区域，（具体情况见附件）。</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sz w:val="30"/>
          <w:szCs w:val="30"/>
        </w:rPr>
        <w:t>第</w:t>
      </w:r>
      <w:r w:rsidRPr="006E645A">
        <w:rPr>
          <w:rFonts w:ascii="华文仿宋" w:eastAsia="华文仿宋" w:hAnsi="华文仿宋" w:hint="eastAsia"/>
          <w:sz w:val="30"/>
          <w:szCs w:val="30"/>
        </w:rPr>
        <w:t>七</w:t>
      </w:r>
      <w:r w:rsidRPr="006E645A">
        <w:rPr>
          <w:rFonts w:ascii="华文仿宋" w:eastAsia="华文仿宋" w:hAnsi="华文仿宋"/>
          <w:sz w:val="30"/>
          <w:szCs w:val="30"/>
        </w:rPr>
        <w:t>条</w:t>
      </w:r>
      <w:r w:rsidR="008E249B">
        <w:rPr>
          <w:rFonts w:ascii="华文仿宋" w:eastAsia="华文仿宋" w:hAnsi="华文仿宋" w:hint="eastAsia"/>
          <w:sz w:val="30"/>
          <w:szCs w:val="30"/>
        </w:rPr>
        <w:t xml:space="preserve"> </w:t>
      </w:r>
      <w:r w:rsidRPr="006E645A">
        <w:rPr>
          <w:rFonts w:ascii="华文仿宋" w:eastAsia="华文仿宋" w:hAnsi="华文仿宋"/>
          <w:sz w:val="30"/>
          <w:szCs w:val="30"/>
        </w:rPr>
        <w:t>零售点设置标准</w:t>
      </w:r>
      <w:r w:rsidRPr="006E645A">
        <w:rPr>
          <w:rFonts w:ascii="华文仿宋" w:eastAsia="华文仿宋" w:hAnsi="华文仿宋" w:hint="eastAsia"/>
          <w:sz w:val="30"/>
          <w:szCs w:val="30"/>
        </w:rPr>
        <w:t>：</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（一）</w:t>
      </w:r>
      <w:r w:rsidRPr="006E645A">
        <w:rPr>
          <w:rFonts w:ascii="华文仿宋" w:eastAsia="华文仿宋" w:hAnsi="华文仿宋"/>
          <w:sz w:val="30"/>
          <w:szCs w:val="30"/>
        </w:rPr>
        <w:t>1区零售点的间距不得少于80米</w:t>
      </w:r>
      <w:r w:rsidRPr="006E645A">
        <w:rPr>
          <w:rFonts w:ascii="华文仿宋" w:eastAsia="华文仿宋" w:hAnsi="华文仿宋" w:hint="eastAsia"/>
          <w:sz w:val="30"/>
          <w:szCs w:val="30"/>
        </w:rPr>
        <w:t>；</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（二）</w:t>
      </w:r>
      <w:r w:rsidRPr="006E645A">
        <w:rPr>
          <w:rFonts w:ascii="华文仿宋" w:eastAsia="华文仿宋" w:hAnsi="华文仿宋"/>
          <w:sz w:val="30"/>
          <w:szCs w:val="30"/>
        </w:rPr>
        <w:t>2区零售点的间距不得少于100米</w:t>
      </w:r>
      <w:r w:rsidRPr="006E645A">
        <w:rPr>
          <w:rFonts w:ascii="华文仿宋" w:eastAsia="华文仿宋" w:hAnsi="华文仿宋" w:hint="eastAsia"/>
          <w:sz w:val="30"/>
          <w:szCs w:val="30"/>
        </w:rPr>
        <w:t>；</w:t>
      </w:r>
    </w:p>
    <w:p w:rsidR="008C23F4"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（三）</w:t>
      </w:r>
      <w:r w:rsidRPr="006E645A">
        <w:rPr>
          <w:rFonts w:ascii="华文仿宋" w:eastAsia="华文仿宋" w:hAnsi="华文仿宋"/>
          <w:sz w:val="30"/>
          <w:szCs w:val="30"/>
        </w:rPr>
        <w:t>3区零售点的间距不得少于60米</w:t>
      </w:r>
      <w:r w:rsidRPr="006E645A">
        <w:rPr>
          <w:rFonts w:ascii="华文仿宋" w:eastAsia="华文仿宋" w:hAnsi="华文仿宋" w:hint="eastAsia"/>
          <w:sz w:val="30"/>
          <w:szCs w:val="30"/>
        </w:rPr>
        <w:t>；</w:t>
      </w:r>
    </w:p>
    <w:p w:rsidR="008C23F4" w:rsidRPr="002D2380"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（四）</w:t>
      </w:r>
      <w:r w:rsidRPr="006E645A">
        <w:rPr>
          <w:rFonts w:ascii="华文仿宋" w:eastAsia="华文仿宋" w:hAnsi="华文仿宋"/>
          <w:sz w:val="30"/>
          <w:szCs w:val="30"/>
        </w:rPr>
        <w:t>4区零售点的以各行政村（社区）实际居住人口设置，每个行政村（社区）1500</w:t>
      </w:r>
      <w:r w:rsidRPr="006E645A">
        <w:rPr>
          <w:rFonts w:ascii="华文仿宋" w:eastAsia="华文仿宋" w:hAnsi="华文仿宋" w:hint="eastAsia"/>
          <w:sz w:val="30"/>
          <w:szCs w:val="30"/>
        </w:rPr>
        <w:t>人以下设置</w:t>
      </w:r>
      <w:r w:rsidRPr="006E645A">
        <w:rPr>
          <w:rFonts w:ascii="华文仿宋" w:eastAsia="华文仿宋" w:hAnsi="华文仿宋"/>
          <w:sz w:val="30"/>
          <w:szCs w:val="30"/>
        </w:rPr>
        <w:t>1个</w:t>
      </w:r>
      <w:r w:rsidRPr="006E645A">
        <w:rPr>
          <w:rFonts w:ascii="华文仿宋" w:eastAsia="华文仿宋" w:hAnsi="华文仿宋" w:hint="eastAsia"/>
          <w:sz w:val="30"/>
          <w:szCs w:val="30"/>
        </w:rPr>
        <w:t>零售点；</w:t>
      </w:r>
      <w:r w:rsidRPr="006E645A">
        <w:rPr>
          <w:rFonts w:ascii="华文仿宋" w:eastAsia="华文仿宋" w:hAnsi="华文仿宋"/>
          <w:sz w:val="30"/>
          <w:szCs w:val="30"/>
        </w:rPr>
        <w:t>1501</w:t>
      </w:r>
      <w:r w:rsidRPr="006E645A">
        <w:rPr>
          <w:rFonts w:ascii="华文仿宋" w:eastAsia="华文仿宋" w:hAnsi="华文仿宋" w:hint="eastAsia"/>
          <w:sz w:val="30"/>
          <w:szCs w:val="30"/>
        </w:rPr>
        <w:t>人至</w:t>
      </w:r>
      <w:r w:rsidRPr="006E645A">
        <w:rPr>
          <w:rFonts w:ascii="华文仿宋" w:eastAsia="华文仿宋" w:hAnsi="华文仿宋"/>
          <w:sz w:val="30"/>
          <w:szCs w:val="30"/>
        </w:rPr>
        <w:t>3000</w:t>
      </w:r>
      <w:r w:rsidRPr="006E645A">
        <w:rPr>
          <w:rFonts w:ascii="华文仿宋" w:eastAsia="华文仿宋" w:hAnsi="华文仿宋" w:hint="eastAsia"/>
          <w:sz w:val="30"/>
          <w:szCs w:val="30"/>
        </w:rPr>
        <w:t>人以下设置</w:t>
      </w:r>
      <w:r w:rsidRPr="006E645A">
        <w:rPr>
          <w:rFonts w:ascii="华文仿宋" w:eastAsia="华文仿宋" w:hAnsi="华文仿宋"/>
          <w:sz w:val="30"/>
          <w:szCs w:val="30"/>
        </w:rPr>
        <w:t>2个零售点</w:t>
      </w:r>
      <w:r w:rsidRPr="006E645A">
        <w:rPr>
          <w:rFonts w:ascii="华文仿宋" w:eastAsia="华文仿宋" w:hAnsi="华文仿宋" w:hint="eastAsia"/>
          <w:sz w:val="30"/>
          <w:szCs w:val="30"/>
        </w:rPr>
        <w:t>；</w:t>
      </w:r>
      <w:r w:rsidRPr="006E645A">
        <w:rPr>
          <w:rFonts w:ascii="华文仿宋" w:eastAsia="华文仿宋" w:hAnsi="华文仿宋"/>
          <w:sz w:val="30"/>
          <w:szCs w:val="30"/>
        </w:rPr>
        <w:t>3001</w:t>
      </w:r>
      <w:r w:rsidRPr="006E645A">
        <w:rPr>
          <w:rFonts w:ascii="华文仿宋" w:eastAsia="华文仿宋" w:hAnsi="华文仿宋" w:hint="eastAsia"/>
          <w:sz w:val="30"/>
          <w:szCs w:val="30"/>
        </w:rPr>
        <w:t>人至</w:t>
      </w:r>
      <w:r w:rsidRPr="006E645A">
        <w:rPr>
          <w:rFonts w:ascii="华文仿宋" w:eastAsia="华文仿宋" w:hAnsi="华文仿宋"/>
          <w:sz w:val="30"/>
          <w:szCs w:val="30"/>
        </w:rPr>
        <w:t>4500</w:t>
      </w:r>
      <w:r w:rsidRPr="006E645A">
        <w:rPr>
          <w:rFonts w:ascii="华文仿宋" w:eastAsia="华文仿宋" w:hAnsi="华文仿宋" w:hint="eastAsia"/>
          <w:sz w:val="30"/>
          <w:szCs w:val="30"/>
        </w:rPr>
        <w:t>人以下设置</w:t>
      </w:r>
      <w:r w:rsidRPr="006E645A">
        <w:rPr>
          <w:rFonts w:ascii="华文仿宋" w:eastAsia="华文仿宋" w:hAnsi="华文仿宋"/>
          <w:sz w:val="30"/>
          <w:szCs w:val="30"/>
        </w:rPr>
        <w:t>3个</w:t>
      </w:r>
      <w:r w:rsidRPr="006E645A">
        <w:rPr>
          <w:rFonts w:ascii="华文仿宋" w:eastAsia="华文仿宋" w:hAnsi="华文仿宋" w:hint="eastAsia"/>
          <w:sz w:val="30"/>
          <w:szCs w:val="30"/>
        </w:rPr>
        <w:t>零售点，</w:t>
      </w:r>
      <w:r w:rsidRPr="006E645A">
        <w:rPr>
          <w:rFonts w:ascii="华文仿宋" w:eastAsia="华文仿宋" w:hAnsi="华文仿宋" w:hint="eastAsia"/>
          <w:sz w:val="30"/>
          <w:szCs w:val="30"/>
        </w:rPr>
        <w:lastRenderedPageBreak/>
        <w:t>以此类推，</w:t>
      </w:r>
      <w:r w:rsidRPr="006E645A">
        <w:rPr>
          <w:rFonts w:ascii="华文仿宋" w:eastAsia="华文仿宋" w:hAnsi="华文仿宋"/>
          <w:sz w:val="30"/>
          <w:szCs w:val="30"/>
        </w:rPr>
        <w:t>实际居住</w:t>
      </w:r>
      <w:r w:rsidRPr="006E645A">
        <w:rPr>
          <w:rFonts w:ascii="华文仿宋" w:eastAsia="华文仿宋" w:hAnsi="华文仿宋" w:hint="eastAsia"/>
          <w:sz w:val="30"/>
          <w:szCs w:val="30"/>
        </w:rPr>
        <w:t>人口</w:t>
      </w:r>
      <w:r w:rsidRPr="006E645A">
        <w:rPr>
          <w:rFonts w:ascii="华文仿宋" w:eastAsia="华文仿宋" w:hAnsi="华文仿宋"/>
          <w:sz w:val="30"/>
          <w:szCs w:val="30"/>
        </w:rPr>
        <w:t>以政府部门提供的数据为准</w:t>
      </w:r>
      <w:r w:rsidRPr="006E645A">
        <w:rPr>
          <w:rFonts w:ascii="华文仿宋" w:eastAsia="华文仿宋" w:hAnsi="华文仿宋" w:hint="eastAsia"/>
          <w:sz w:val="30"/>
          <w:szCs w:val="30"/>
        </w:rPr>
        <w:t>。各零售点的间距不少于</w:t>
      </w:r>
      <w:r w:rsidRPr="006E645A">
        <w:rPr>
          <w:rFonts w:ascii="华文仿宋" w:eastAsia="华文仿宋" w:hAnsi="华文仿宋"/>
          <w:sz w:val="30"/>
          <w:szCs w:val="30"/>
        </w:rPr>
        <w:t>30米。现有行政村已经超过</w:t>
      </w:r>
      <w:r w:rsidRPr="006E645A">
        <w:rPr>
          <w:rFonts w:ascii="华文仿宋" w:eastAsia="华文仿宋" w:hAnsi="华文仿宋" w:hint="eastAsia"/>
          <w:sz w:val="30"/>
          <w:szCs w:val="30"/>
        </w:rPr>
        <w:t>设置总量的，不再新增；</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（五）</w:t>
      </w:r>
      <w:r w:rsidRPr="006E645A">
        <w:rPr>
          <w:rFonts w:ascii="华文仿宋" w:eastAsia="华文仿宋" w:hAnsi="华文仿宋"/>
          <w:sz w:val="30"/>
          <w:szCs w:val="30"/>
        </w:rPr>
        <w:t>1、2、3</w:t>
      </w:r>
      <w:r w:rsidRPr="006E645A">
        <w:rPr>
          <w:rFonts w:ascii="华文仿宋" w:eastAsia="华文仿宋" w:hAnsi="华文仿宋" w:hint="eastAsia"/>
          <w:sz w:val="30"/>
          <w:szCs w:val="30"/>
        </w:rPr>
        <w:t>区零售点，不占用行政村（社区）</w:t>
      </w:r>
      <w:r w:rsidRPr="006E645A">
        <w:rPr>
          <w:rFonts w:ascii="华文仿宋" w:eastAsia="华文仿宋" w:hAnsi="华文仿宋"/>
          <w:sz w:val="30"/>
          <w:szCs w:val="30"/>
        </w:rPr>
        <w:t>4区内零售点设置名额</w:t>
      </w:r>
      <w:r w:rsidRPr="006E645A">
        <w:rPr>
          <w:rFonts w:ascii="华文仿宋" w:eastAsia="华文仿宋" w:hAnsi="华文仿宋" w:hint="eastAsia"/>
          <w:sz w:val="30"/>
          <w:szCs w:val="30"/>
        </w:rPr>
        <w:t>；</w:t>
      </w:r>
    </w:p>
    <w:p w:rsidR="008C23F4" w:rsidRPr="006E645A" w:rsidRDefault="008C23F4" w:rsidP="008C23F4">
      <w:pPr>
        <w:ind w:firstLineChars="200" w:firstLine="600"/>
        <w:rPr>
          <w:rFonts w:ascii="华文仿宋" w:eastAsia="华文仿宋" w:hAnsi="华文仿宋"/>
          <w:color w:val="FF0000"/>
          <w:sz w:val="30"/>
          <w:szCs w:val="30"/>
        </w:rPr>
      </w:pPr>
      <w:r w:rsidRPr="006E645A">
        <w:rPr>
          <w:rFonts w:ascii="华文仿宋" w:eastAsia="华文仿宋" w:hAnsi="华文仿宋" w:hint="eastAsia"/>
          <w:color w:val="FF0000"/>
          <w:sz w:val="30"/>
          <w:szCs w:val="30"/>
        </w:rPr>
        <w:t>（六）主营业务为餐饮娱乐住宿、五金建材、建筑装潢、美容美发、化妆品店、按摩推拿、宠物店、文化体育用品等专业性较强，与烟草制品零售业务没有直接或间接互补营销关系的娱乐服务类和其他类业态，设置零售点数量</w:t>
      </w:r>
      <w:r w:rsidRPr="006E645A">
        <w:rPr>
          <w:rFonts w:ascii="华文仿宋" w:eastAsia="华文仿宋" w:hAnsi="华文仿宋"/>
          <w:color w:val="FF0000"/>
          <w:sz w:val="30"/>
          <w:szCs w:val="30"/>
        </w:rPr>
        <w:t>不超过</w:t>
      </w:r>
      <w:r w:rsidRPr="006E645A">
        <w:rPr>
          <w:rFonts w:ascii="华文仿宋" w:eastAsia="华文仿宋" w:hAnsi="华文仿宋" w:hint="eastAsia"/>
          <w:color w:val="FF0000"/>
          <w:sz w:val="30"/>
          <w:szCs w:val="30"/>
        </w:rPr>
        <w:t>上年度末辖区内持证零售户总数的</w:t>
      </w:r>
      <w:r w:rsidRPr="006E645A">
        <w:rPr>
          <w:rFonts w:ascii="华文仿宋" w:eastAsia="华文仿宋" w:hAnsi="华文仿宋"/>
          <w:color w:val="FF0000"/>
          <w:sz w:val="30"/>
          <w:szCs w:val="30"/>
        </w:rPr>
        <w:t>10%</w:t>
      </w:r>
      <w:r w:rsidRPr="006E645A">
        <w:rPr>
          <w:rFonts w:ascii="华文仿宋" w:eastAsia="华文仿宋" w:hAnsi="华文仿宋" w:hint="eastAsia"/>
          <w:color w:val="FF0000"/>
          <w:sz w:val="30"/>
          <w:szCs w:val="30"/>
        </w:rPr>
        <w:t>；</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（七）综合性商贸、集贸、农贸市场原则上按</w:t>
      </w:r>
      <w:r w:rsidRPr="006E645A">
        <w:rPr>
          <w:rFonts w:ascii="华文仿宋" w:eastAsia="华文仿宋" w:hAnsi="华文仿宋"/>
          <w:sz w:val="30"/>
          <w:szCs w:val="30"/>
        </w:rPr>
        <w:t xml:space="preserve"> 50个以下店面（门点）</w:t>
      </w:r>
      <w:r w:rsidRPr="006E645A">
        <w:rPr>
          <w:rFonts w:ascii="华文仿宋" w:eastAsia="华文仿宋" w:hAnsi="华文仿宋" w:hint="eastAsia"/>
          <w:sz w:val="30"/>
          <w:szCs w:val="30"/>
        </w:rPr>
        <w:t>设置</w:t>
      </w:r>
      <w:r w:rsidRPr="006E645A">
        <w:rPr>
          <w:rFonts w:ascii="华文仿宋" w:eastAsia="华文仿宋" w:hAnsi="华文仿宋"/>
          <w:sz w:val="30"/>
          <w:szCs w:val="30"/>
        </w:rPr>
        <w:t>1个</w:t>
      </w:r>
      <w:r w:rsidRPr="006E645A">
        <w:rPr>
          <w:rFonts w:ascii="华文仿宋" w:eastAsia="华文仿宋" w:hAnsi="华文仿宋" w:hint="eastAsia"/>
          <w:sz w:val="30"/>
          <w:szCs w:val="30"/>
        </w:rPr>
        <w:t>零售点</w:t>
      </w:r>
      <w:r w:rsidRPr="006E645A">
        <w:rPr>
          <w:rFonts w:ascii="华文仿宋" w:eastAsia="华文仿宋" w:hAnsi="华文仿宋"/>
          <w:sz w:val="30"/>
          <w:szCs w:val="30"/>
        </w:rPr>
        <w:t>；51-100个店面（门点）</w:t>
      </w:r>
      <w:r w:rsidRPr="006E645A">
        <w:rPr>
          <w:rFonts w:ascii="华文仿宋" w:eastAsia="华文仿宋" w:hAnsi="华文仿宋" w:hint="eastAsia"/>
          <w:sz w:val="30"/>
          <w:szCs w:val="30"/>
        </w:rPr>
        <w:t>设置</w:t>
      </w:r>
      <w:r w:rsidRPr="006E645A">
        <w:rPr>
          <w:rFonts w:ascii="华文仿宋" w:eastAsia="华文仿宋" w:hAnsi="华文仿宋"/>
          <w:sz w:val="30"/>
          <w:szCs w:val="30"/>
        </w:rPr>
        <w:t>2个</w:t>
      </w:r>
      <w:r w:rsidRPr="006E645A">
        <w:rPr>
          <w:rFonts w:ascii="华文仿宋" w:eastAsia="华文仿宋" w:hAnsi="华文仿宋" w:hint="eastAsia"/>
          <w:sz w:val="30"/>
          <w:szCs w:val="30"/>
        </w:rPr>
        <w:t>零售点</w:t>
      </w:r>
      <w:r w:rsidRPr="006E645A">
        <w:rPr>
          <w:rFonts w:ascii="华文仿宋" w:eastAsia="华文仿宋" w:hAnsi="华文仿宋"/>
          <w:sz w:val="30"/>
          <w:szCs w:val="30"/>
        </w:rPr>
        <w:t>；101</w:t>
      </w:r>
      <w:r w:rsidRPr="006E645A">
        <w:rPr>
          <w:rFonts w:ascii="华文仿宋" w:eastAsia="华文仿宋" w:hAnsi="华文仿宋" w:hint="eastAsia"/>
          <w:sz w:val="30"/>
          <w:szCs w:val="30"/>
        </w:rPr>
        <w:t>个</w:t>
      </w:r>
      <w:r w:rsidRPr="006E645A">
        <w:rPr>
          <w:rFonts w:ascii="华文仿宋" w:eastAsia="华文仿宋" w:hAnsi="华文仿宋"/>
          <w:sz w:val="30"/>
          <w:szCs w:val="30"/>
        </w:rPr>
        <w:t>-150店面（门点）</w:t>
      </w:r>
      <w:r w:rsidRPr="006E645A">
        <w:rPr>
          <w:rFonts w:ascii="华文仿宋" w:eastAsia="华文仿宋" w:hAnsi="华文仿宋" w:hint="eastAsia"/>
          <w:sz w:val="30"/>
          <w:szCs w:val="30"/>
        </w:rPr>
        <w:t>设置</w:t>
      </w:r>
      <w:r w:rsidRPr="006E645A">
        <w:rPr>
          <w:rFonts w:ascii="华文仿宋" w:eastAsia="华文仿宋" w:hAnsi="华文仿宋"/>
          <w:sz w:val="30"/>
          <w:szCs w:val="30"/>
        </w:rPr>
        <w:t>3个</w:t>
      </w:r>
      <w:r w:rsidRPr="006E645A">
        <w:rPr>
          <w:rFonts w:ascii="华文仿宋" w:eastAsia="华文仿宋" w:hAnsi="华文仿宋" w:hint="eastAsia"/>
          <w:sz w:val="30"/>
          <w:szCs w:val="30"/>
        </w:rPr>
        <w:t>零售点；</w:t>
      </w:r>
      <w:r w:rsidRPr="006E645A">
        <w:rPr>
          <w:rFonts w:ascii="华文仿宋" w:eastAsia="华文仿宋" w:hAnsi="华文仿宋"/>
          <w:sz w:val="30"/>
          <w:szCs w:val="30"/>
        </w:rPr>
        <w:t>151</w:t>
      </w:r>
      <w:r w:rsidRPr="006E645A">
        <w:rPr>
          <w:rFonts w:ascii="华文仿宋" w:eastAsia="华文仿宋" w:hAnsi="华文仿宋" w:hint="eastAsia"/>
          <w:sz w:val="30"/>
          <w:szCs w:val="30"/>
        </w:rPr>
        <w:t>个</w:t>
      </w:r>
      <w:r w:rsidRPr="006E645A">
        <w:rPr>
          <w:rFonts w:ascii="华文仿宋" w:eastAsia="华文仿宋" w:hAnsi="华文仿宋"/>
          <w:sz w:val="30"/>
          <w:szCs w:val="30"/>
        </w:rPr>
        <w:t>店面（门点）</w:t>
      </w:r>
      <w:r w:rsidRPr="006E645A">
        <w:rPr>
          <w:rFonts w:ascii="华文仿宋" w:eastAsia="华文仿宋" w:hAnsi="华文仿宋" w:hint="eastAsia"/>
          <w:sz w:val="30"/>
          <w:szCs w:val="30"/>
        </w:rPr>
        <w:t>以上的每增加</w:t>
      </w:r>
      <w:r w:rsidRPr="006E645A">
        <w:rPr>
          <w:rFonts w:ascii="华文仿宋" w:eastAsia="华文仿宋" w:hAnsi="华文仿宋"/>
          <w:sz w:val="30"/>
          <w:szCs w:val="30"/>
        </w:rPr>
        <w:t>50个店面（门点）</w:t>
      </w:r>
      <w:r w:rsidRPr="006E645A">
        <w:rPr>
          <w:rFonts w:ascii="华文仿宋" w:eastAsia="华文仿宋" w:hAnsi="华文仿宋" w:hint="eastAsia"/>
          <w:sz w:val="30"/>
          <w:szCs w:val="30"/>
        </w:rPr>
        <w:t>增设</w:t>
      </w:r>
      <w:r w:rsidRPr="006E645A">
        <w:rPr>
          <w:rFonts w:ascii="华文仿宋" w:eastAsia="华文仿宋" w:hAnsi="华文仿宋"/>
          <w:sz w:val="30"/>
          <w:szCs w:val="30"/>
        </w:rPr>
        <w:t>1个零售点，</w:t>
      </w:r>
      <w:r w:rsidRPr="006E645A">
        <w:rPr>
          <w:rFonts w:ascii="华文仿宋" w:eastAsia="华文仿宋" w:hAnsi="华文仿宋" w:hint="eastAsia"/>
          <w:sz w:val="30"/>
          <w:szCs w:val="30"/>
        </w:rPr>
        <w:t>最多不得超过</w:t>
      </w:r>
      <w:r w:rsidRPr="006E645A">
        <w:rPr>
          <w:rFonts w:ascii="华文仿宋" w:eastAsia="华文仿宋" w:hAnsi="华文仿宋"/>
          <w:sz w:val="30"/>
          <w:szCs w:val="30"/>
        </w:rPr>
        <w:t>5</w:t>
      </w:r>
      <w:r w:rsidRPr="006E645A">
        <w:rPr>
          <w:rFonts w:ascii="华文仿宋" w:eastAsia="华文仿宋" w:hAnsi="华文仿宋" w:hint="eastAsia"/>
          <w:sz w:val="30"/>
          <w:szCs w:val="30"/>
        </w:rPr>
        <w:t>个，</w:t>
      </w:r>
      <w:r w:rsidRPr="006E645A">
        <w:rPr>
          <w:rFonts w:ascii="华文仿宋" w:eastAsia="华文仿宋" w:hAnsi="华文仿宋"/>
          <w:sz w:val="30"/>
          <w:szCs w:val="30"/>
        </w:rPr>
        <w:t>且新增零售点的间距不少于30米（店面数量以市场管理方出具的相关证明为准）</w:t>
      </w:r>
      <w:r w:rsidRPr="006E645A">
        <w:rPr>
          <w:rFonts w:ascii="华文仿宋" w:eastAsia="华文仿宋" w:hAnsi="华文仿宋" w:hint="eastAsia"/>
          <w:sz w:val="30"/>
          <w:szCs w:val="30"/>
        </w:rPr>
        <w:t>；</w:t>
      </w:r>
    </w:p>
    <w:p w:rsidR="008C23F4" w:rsidRPr="002D2380" w:rsidRDefault="008C23F4" w:rsidP="008C23F4">
      <w:pPr>
        <w:ind w:firstLine="640"/>
        <w:rPr>
          <w:rFonts w:ascii="华文仿宋" w:eastAsia="华文仿宋" w:hAnsi="华文仿宋"/>
          <w:sz w:val="30"/>
          <w:szCs w:val="30"/>
        </w:rPr>
      </w:pPr>
      <w:r w:rsidRPr="006E645A">
        <w:rPr>
          <w:rFonts w:ascii="华文仿宋" w:eastAsia="华文仿宋" w:hAnsi="华文仿宋" w:hint="eastAsia"/>
          <w:sz w:val="30"/>
          <w:szCs w:val="30"/>
        </w:rPr>
        <w:t>（八）高等院校内部（大学），按</w:t>
      </w:r>
      <w:r w:rsidRPr="006E645A">
        <w:rPr>
          <w:rFonts w:ascii="华文仿宋" w:eastAsia="华文仿宋" w:hAnsi="华文仿宋"/>
          <w:sz w:val="30"/>
          <w:szCs w:val="30"/>
        </w:rPr>
        <w:t>10000人以下设置2个零售点</w:t>
      </w:r>
      <w:r w:rsidRPr="006E645A">
        <w:rPr>
          <w:rFonts w:ascii="华文仿宋" w:eastAsia="华文仿宋" w:hAnsi="华文仿宋" w:hint="eastAsia"/>
          <w:sz w:val="30"/>
          <w:szCs w:val="30"/>
        </w:rPr>
        <w:t>；</w:t>
      </w:r>
      <w:r w:rsidRPr="006E645A">
        <w:rPr>
          <w:rFonts w:ascii="华文仿宋" w:eastAsia="华文仿宋" w:hAnsi="华文仿宋"/>
          <w:sz w:val="30"/>
          <w:szCs w:val="30"/>
        </w:rPr>
        <w:t>10001</w:t>
      </w:r>
      <w:r w:rsidRPr="006E645A">
        <w:rPr>
          <w:rFonts w:ascii="华文仿宋" w:eastAsia="华文仿宋" w:hAnsi="华文仿宋" w:hint="eastAsia"/>
          <w:sz w:val="30"/>
          <w:szCs w:val="30"/>
        </w:rPr>
        <w:t>人至</w:t>
      </w:r>
      <w:r w:rsidRPr="006E645A">
        <w:rPr>
          <w:rFonts w:ascii="华文仿宋" w:eastAsia="华文仿宋" w:hAnsi="华文仿宋"/>
          <w:sz w:val="30"/>
          <w:szCs w:val="30"/>
        </w:rPr>
        <w:t>20000人的设置5个零售点</w:t>
      </w:r>
      <w:r w:rsidRPr="006E645A">
        <w:rPr>
          <w:rFonts w:ascii="华文仿宋" w:eastAsia="华文仿宋" w:hAnsi="华文仿宋" w:hint="eastAsia"/>
          <w:sz w:val="30"/>
          <w:szCs w:val="30"/>
        </w:rPr>
        <w:t>；</w:t>
      </w:r>
      <w:r w:rsidRPr="006E645A">
        <w:rPr>
          <w:rFonts w:ascii="华文仿宋" w:eastAsia="华文仿宋" w:hAnsi="华文仿宋"/>
          <w:sz w:val="30"/>
          <w:szCs w:val="30"/>
        </w:rPr>
        <w:t>20001</w:t>
      </w:r>
      <w:r w:rsidRPr="006E645A">
        <w:rPr>
          <w:rFonts w:ascii="华文仿宋" w:eastAsia="华文仿宋" w:hAnsi="华文仿宋" w:hint="eastAsia"/>
          <w:sz w:val="30"/>
          <w:szCs w:val="30"/>
        </w:rPr>
        <w:t>人以上的设置</w:t>
      </w:r>
      <w:r w:rsidRPr="006E645A">
        <w:rPr>
          <w:rFonts w:ascii="华文仿宋" w:eastAsia="华文仿宋" w:hAnsi="华文仿宋"/>
          <w:sz w:val="30"/>
          <w:szCs w:val="30"/>
        </w:rPr>
        <w:t>8个零售点，且零售点间距不少于100米</w:t>
      </w:r>
      <w:r w:rsidRPr="006E645A">
        <w:rPr>
          <w:rFonts w:ascii="华文仿宋" w:eastAsia="华文仿宋" w:hAnsi="华文仿宋" w:hint="eastAsia"/>
          <w:sz w:val="30"/>
          <w:szCs w:val="30"/>
        </w:rPr>
        <w:t>；</w:t>
      </w:r>
    </w:p>
    <w:p w:rsidR="008C23F4" w:rsidRPr="002D2380" w:rsidRDefault="008C23F4" w:rsidP="008C23F4">
      <w:pPr>
        <w:ind w:firstLine="640"/>
        <w:rPr>
          <w:rFonts w:ascii="华文仿宋" w:eastAsia="华文仿宋" w:hAnsi="华文仿宋"/>
          <w:sz w:val="30"/>
          <w:szCs w:val="30"/>
        </w:rPr>
      </w:pPr>
      <w:r w:rsidRPr="006E645A">
        <w:rPr>
          <w:rFonts w:ascii="华文仿宋" w:eastAsia="华文仿宋" w:hAnsi="华文仿宋" w:hint="eastAsia"/>
          <w:sz w:val="30"/>
          <w:szCs w:val="30"/>
        </w:rPr>
        <w:t>（九）火车站内设置</w:t>
      </w:r>
      <w:r w:rsidRPr="006E645A">
        <w:rPr>
          <w:rFonts w:ascii="华文仿宋" w:eastAsia="华文仿宋" w:hAnsi="华文仿宋"/>
          <w:sz w:val="30"/>
          <w:szCs w:val="30"/>
        </w:rPr>
        <w:t>1个零售点</w:t>
      </w:r>
      <w:r w:rsidRPr="006E645A">
        <w:rPr>
          <w:rFonts w:ascii="华文仿宋" w:eastAsia="华文仿宋" w:hAnsi="华文仿宋" w:hint="eastAsia"/>
          <w:sz w:val="30"/>
          <w:szCs w:val="30"/>
        </w:rPr>
        <w:t>；</w:t>
      </w:r>
    </w:p>
    <w:p w:rsidR="008C23F4" w:rsidRPr="002D2380" w:rsidRDefault="008C23F4" w:rsidP="008C23F4">
      <w:pPr>
        <w:ind w:firstLine="640"/>
        <w:rPr>
          <w:rFonts w:ascii="华文仿宋" w:eastAsia="华文仿宋" w:hAnsi="华文仿宋"/>
          <w:sz w:val="30"/>
          <w:szCs w:val="30"/>
        </w:rPr>
      </w:pPr>
      <w:r w:rsidRPr="006E645A">
        <w:rPr>
          <w:rFonts w:ascii="华文仿宋" w:eastAsia="华文仿宋" w:hAnsi="华文仿宋" w:hint="eastAsia"/>
          <w:sz w:val="30"/>
          <w:szCs w:val="30"/>
        </w:rPr>
        <w:t>（十）旅游景点内零售点设置总数不超过</w:t>
      </w:r>
      <w:r w:rsidRPr="006E645A">
        <w:rPr>
          <w:rFonts w:ascii="华文仿宋" w:eastAsia="华文仿宋" w:hAnsi="华文仿宋"/>
          <w:sz w:val="30"/>
          <w:szCs w:val="30"/>
        </w:rPr>
        <w:t>2个，零售点间距不少于100米</w:t>
      </w:r>
      <w:r w:rsidRPr="006E645A">
        <w:rPr>
          <w:rFonts w:ascii="华文仿宋" w:eastAsia="华文仿宋" w:hAnsi="华文仿宋" w:hint="eastAsia"/>
          <w:sz w:val="30"/>
          <w:szCs w:val="30"/>
        </w:rPr>
        <w:t>；</w:t>
      </w:r>
    </w:p>
    <w:p w:rsidR="008C23F4" w:rsidRPr="006E645A" w:rsidRDefault="008C23F4" w:rsidP="008C23F4">
      <w:pPr>
        <w:pStyle w:val="a3"/>
        <w:shd w:val="clear" w:color="auto" w:fill="FFFFFF"/>
        <w:spacing w:line="573" w:lineRule="atLeast"/>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lastRenderedPageBreak/>
        <w:t>（十一）高速公路服务区设置</w:t>
      </w:r>
      <w:r w:rsidRPr="006E645A">
        <w:rPr>
          <w:rFonts w:ascii="华文仿宋" w:eastAsia="华文仿宋" w:hAnsi="华文仿宋"/>
          <w:sz w:val="30"/>
          <w:szCs w:val="30"/>
        </w:rPr>
        <w:t>1个零售点。</w:t>
      </w:r>
    </w:p>
    <w:p w:rsidR="008C23F4" w:rsidRPr="006E645A" w:rsidRDefault="008C23F4" w:rsidP="008C23F4">
      <w:pPr>
        <w:pStyle w:val="a3"/>
        <w:shd w:val="clear" w:color="auto" w:fill="FFFFFF"/>
        <w:spacing w:line="573" w:lineRule="atLeast"/>
        <w:ind w:firstLineChars="200" w:firstLine="600"/>
        <w:rPr>
          <w:rFonts w:ascii="华文仿宋" w:eastAsia="华文仿宋" w:hAnsi="华文仿宋" w:cstheme="minorBidi"/>
          <w:kern w:val="2"/>
          <w:sz w:val="30"/>
          <w:szCs w:val="30"/>
        </w:rPr>
      </w:pPr>
      <w:r w:rsidRPr="006E645A">
        <w:rPr>
          <w:rFonts w:ascii="华文仿宋" w:eastAsia="华文仿宋" w:hAnsi="华文仿宋"/>
          <w:sz w:val="30"/>
          <w:szCs w:val="30"/>
        </w:rPr>
        <w:t>第</w:t>
      </w:r>
      <w:r w:rsidRPr="006E645A">
        <w:rPr>
          <w:rFonts w:ascii="华文仿宋" w:eastAsia="华文仿宋" w:hAnsi="华文仿宋" w:hint="eastAsia"/>
          <w:sz w:val="30"/>
          <w:szCs w:val="30"/>
        </w:rPr>
        <w:t>八</w:t>
      </w:r>
      <w:r w:rsidRPr="006E645A">
        <w:rPr>
          <w:rFonts w:ascii="华文仿宋" w:eastAsia="华文仿宋" w:hAnsi="华文仿宋"/>
          <w:sz w:val="30"/>
          <w:szCs w:val="30"/>
        </w:rPr>
        <w:t>条</w:t>
      </w:r>
      <w:r w:rsidR="008E249B">
        <w:rPr>
          <w:rFonts w:ascii="华文仿宋" w:eastAsia="华文仿宋" w:hAnsi="华文仿宋" w:hint="eastAsia"/>
          <w:sz w:val="30"/>
          <w:szCs w:val="30"/>
        </w:rPr>
        <w:t xml:space="preserve"> </w:t>
      </w:r>
      <w:r w:rsidRPr="006E645A">
        <w:rPr>
          <w:rFonts w:ascii="华文仿宋" w:eastAsia="华文仿宋" w:hAnsi="华文仿宋" w:cstheme="minorBidi" w:hint="eastAsia"/>
          <w:kern w:val="2"/>
          <w:sz w:val="30"/>
          <w:szCs w:val="30"/>
        </w:rPr>
        <w:t>具有以下情形的且满足其他设置条件的，可以在间距上放宽，但放宽幅度不超过规定间距的</w:t>
      </w:r>
      <w:r w:rsidRPr="006E645A">
        <w:rPr>
          <w:rFonts w:ascii="华文仿宋" w:eastAsia="华文仿宋" w:hAnsi="华文仿宋" w:cstheme="minorBidi"/>
          <w:kern w:val="2"/>
          <w:sz w:val="30"/>
          <w:szCs w:val="30"/>
        </w:rPr>
        <w:t>50%：</w:t>
      </w:r>
    </w:p>
    <w:p w:rsidR="008C23F4" w:rsidRPr="006E645A" w:rsidRDefault="008C23F4" w:rsidP="008C23F4">
      <w:pPr>
        <w:pStyle w:val="a3"/>
        <w:shd w:val="clear" w:color="auto" w:fill="FFFFFF"/>
        <w:spacing w:line="573" w:lineRule="atLeast"/>
        <w:ind w:firstLineChars="200" w:firstLine="600"/>
        <w:rPr>
          <w:rFonts w:ascii="华文仿宋" w:eastAsia="华文仿宋" w:hAnsi="华文仿宋" w:cstheme="minorBidi"/>
          <w:kern w:val="2"/>
          <w:sz w:val="30"/>
          <w:szCs w:val="30"/>
        </w:rPr>
      </w:pPr>
      <w:r w:rsidRPr="006E645A">
        <w:rPr>
          <w:rFonts w:ascii="华文仿宋" w:eastAsia="华文仿宋" w:hAnsi="华文仿宋" w:cstheme="minorBidi" w:hint="eastAsia"/>
          <w:kern w:val="2"/>
          <w:sz w:val="30"/>
          <w:szCs w:val="30"/>
        </w:rPr>
        <w:t>（一）对具有自主经营能力和民事行为能力的残疾军人、烈士家属、因公牺牲军人家属、病故军人家属、带病回乡退伍军人等重点优抚对象和低保户，持相关部门核发的证件或证明的；</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（二）较高级别的视力残疾（一级盲、二级盲）、听力残疾（一、二、三级）、言语残疾（一、二、三级）和肢体残疾（一级、二级），且确属家庭经济困难的（相关部门出具书面证明材料）的</w:t>
      </w:r>
      <w:r w:rsidRPr="006E645A">
        <w:rPr>
          <w:rFonts w:ascii="华文仿宋" w:eastAsia="华文仿宋" w:hAnsi="华文仿宋"/>
          <w:sz w:val="30"/>
          <w:szCs w:val="30"/>
        </w:rPr>
        <w:t>；</w:t>
      </w:r>
    </w:p>
    <w:p w:rsidR="008C23F4" w:rsidRPr="006E645A" w:rsidRDefault="008C23F4" w:rsidP="008C23F4">
      <w:pPr>
        <w:autoSpaceDE w:val="0"/>
        <w:autoSpaceDN w:val="0"/>
        <w:adjustRightInd w:val="0"/>
        <w:spacing w:line="360" w:lineRule="auto"/>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（三）经营面积</w:t>
      </w:r>
      <w:r w:rsidRPr="006E645A">
        <w:rPr>
          <w:rFonts w:ascii="华文仿宋" w:eastAsia="华文仿宋" w:hAnsi="华文仿宋"/>
          <w:sz w:val="30"/>
          <w:szCs w:val="30"/>
        </w:rPr>
        <w:t>200㎡以上的超市、烟酒商店等</w:t>
      </w:r>
      <w:r w:rsidRPr="006E645A">
        <w:rPr>
          <w:rFonts w:ascii="华文仿宋" w:eastAsia="华文仿宋" w:hAnsi="华文仿宋" w:hint="eastAsia"/>
          <w:sz w:val="30"/>
          <w:szCs w:val="30"/>
        </w:rPr>
        <w:t>。</w:t>
      </w:r>
    </w:p>
    <w:p w:rsidR="008C23F4" w:rsidRPr="006E645A" w:rsidRDefault="008C23F4" w:rsidP="008C23F4">
      <w:pPr>
        <w:spacing w:line="600" w:lineRule="exact"/>
        <w:ind w:firstLineChars="200" w:firstLine="600"/>
        <w:rPr>
          <w:rFonts w:ascii="华文仿宋" w:eastAsia="华文仿宋" w:hAnsi="华文仿宋"/>
          <w:sz w:val="30"/>
          <w:szCs w:val="30"/>
        </w:rPr>
      </w:pPr>
      <w:r w:rsidRPr="006E645A">
        <w:rPr>
          <w:rFonts w:ascii="华文仿宋" w:eastAsia="华文仿宋" w:hAnsi="华文仿宋" w:cs="Times New Roman" w:hint="eastAsia"/>
          <w:sz w:val="30"/>
          <w:szCs w:val="30"/>
        </w:rPr>
        <w:t>第</w:t>
      </w:r>
      <w:r w:rsidRPr="006E645A">
        <w:rPr>
          <w:rFonts w:ascii="华文仿宋" w:eastAsia="华文仿宋" w:hAnsi="华文仿宋" w:hint="eastAsia"/>
          <w:sz w:val="30"/>
          <w:szCs w:val="30"/>
        </w:rPr>
        <w:t>九</w:t>
      </w:r>
      <w:r w:rsidRPr="006E645A">
        <w:rPr>
          <w:rFonts w:ascii="华文仿宋" w:eastAsia="华文仿宋" w:hAnsi="华文仿宋" w:cs="Times New Roman" w:hint="eastAsia"/>
          <w:sz w:val="30"/>
          <w:szCs w:val="30"/>
        </w:rPr>
        <w:t>条</w:t>
      </w:r>
      <w:r w:rsidRPr="006E645A">
        <w:rPr>
          <w:rFonts w:ascii="华文仿宋" w:eastAsia="华文仿宋" w:hAnsi="华文仿宋" w:cs="Times New Roman"/>
          <w:sz w:val="30"/>
          <w:szCs w:val="30"/>
        </w:rPr>
        <w:t xml:space="preserve"> </w:t>
      </w:r>
      <w:r w:rsidRPr="006E645A">
        <w:rPr>
          <w:rFonts w:ascii="华文仿宋" w:eastAsia="华文仿宋" w:hAnsi="华文仿宋" w:cs="Times New Roman" w:hint="eastAsia"/>
          <w:sz w:val="30"/>
          <w:szCs w:val="30"/>
        </w:rPr>
        <w:t>有下列情形之一的，</w:t>
      </w:r>
      <w:r w:rsidRPr="006E645A">
        <w:rPr>
          <w:rFonts w:ascii="华文仿宋" w:eastAsia="华文仿宋" w:hAnsi="华文仿宋" w:hint="eastAsia"/>
          <w:sz w:val="30"/>
          <w:szCs w:val="30"/>
        </w:rPr>
        <w:t>采取“退一进一”的标准，</w:t>
      </w:r>
      <w:r w:rsidRPr="006E645A">
        <w:rPr>
          <w:rFonts w:ascii="华文仿宋" w:eastAsia="华文仿宋" w:hAnsi="华文仿宋" w:cs="Times New Roman" w:hint="eastAsia"/>
          <w:sz w:val="30"/>
          <w:szCs w:val="30"/>
        </w:rPr>
        <w:t>可不受</w:t>
      </w:r>
      <w:r w:rsidRPr="006E645A">
        <w:rPr>
          <w:rFonts w:ascii="华文仿宋" w:eastAsia="华文仿宋" w:hAnsi="华文仿宋" w:hint="eastAsia"/>
          <w:sz w:val="30"/>
          <w:szCs w:val="30"/>
        </w:rPr>
        <w:t>零售点总量的</w:t>
      </w:r>
      <w:r w:rsidRPr="006E645A">
        <w:rPr>
          <w:rFonts w:ascii="华文仿宋" w:eastAsia="华文仿宋" w:hAnsi="华文仿宋" w:cs="Times New Roman" w:hint="eastAsia"/>
          <w:sz w:val="30"/>
          <w:szCs w:val="30"/>
        </w:rPr>
        <w:t>限制</w:t>
      </w:r>
      <w:r w:rsidRPr="006E645A">
        <w:rPr>
          <w:rFonts w:ascii="华文仿宋" w:eastAsia="华文仿宋" w:hAnsi="华文仿宋" w:hint="eastAsia"/>
          <w:sz w:val="30"/>
          <w:szCs w:val="30"/>
        </w:rPr>
        <w:t>，并在间距上放宽，但放宽幅度不超过规定间距的</w:t>
      </w:r>
      <w:r w:rsidRPr="006E645A">
        <w:rPr>
          <w:rFonts w:ascii="华文仿宋" w:eastAsia="华文仿宋" w:hAnsi="华文仿宋"/>
          <w:sz w:val="30"/>
          <w:szCs w:val="30"/>
        </w:rPr>
        <w:t>50%</w:t>
      </w:r>
      <w:r w:rsidRPr="006E645A">
        <w:rPr>
          <w:rFonts w:ascii="华文仿宋" w:eastAsia="华文仿宋" w:hAnsi="华文仿宋" w:cs="Times New Roman" w:hint="eastAsia"/>
          <w:sz w:val="30"/>
          <w:szCs w:val="30"/>
        </w:rPr>
        <w:t>：</w:t>
      </w:r>
    </w:p>
    <w:p w:rsidR="008C23F4" w:rsidRPr="006E645A" w:rsidRDefault="008C23F4" w:rsidP="008C23F4">
      <w:pPr>
        <w:autoSpaceDE w:val="0"/>
        <w:autoSpaceDN w:val="0"/>
        <w:adjustRightInd w:val="0"/>
        <w:spacing w:line="360" w:lineRule="auto"/>
        <w:ind w:firstLineChars="200" w:firstLine="600"/>
        <w:jc w:val="left"/>
        <w:rPr>
          <w:rFonts w:ascii="华文仿宋" w:eastAsia="华文仿宋" w:hAnsi="华文仿宋"/>
          <w:sz w:val="30"/>
          <w:szCs w:val="30"/>
        </w:rPr>
      </w:pPr>
      <w:r w:rsidRPr="006E645A">
        <w:rPr>
          <w:rFonts w:ascii="华文仿宋" w:eastAsia="华文仿宋" w:hAnsi="华文仿宋" w:hint="eastAsia"/>
          <w:sz w:val="30"/>
          <w:szCs w:val="30"/>
        </w:rPr>
        <w:t>（一）因历史遗留问题延续至今的流动摊点、邮亭等迁入门店内经营的；</w:t>
      </w:r>
    </w:p>
    <w:p w:rsidR="008C23F4" w:rsidRPr="002D2380" w:rsidRDefault="008C23F4" w:rsidP="008C23F4">
      <w:pPr>
        <w:adjustRightInd w:val="0"/>
        <w:snapToGrid w:val="0"/>
        <w:spacing w:line="600" w:lineRule="exact"/>
        <w:ind w:firstLine="630"/>
        <w:rPr>
          <w:rFonts w:ascii="华文仿宋" w:eastAsia="华文仿宋" w:hAnsi="华文仿宋"/>
          <w:sz w:val="30"/>
          <w:szCs w:val="30"/>
        </w:rPr>
      </w:pPr>
      <w:r w:rsidRPr="006E645A">
        <w:rPr>
          <w:rFonts w:ascii="华文仿宋" w:eastAsia="华文仿宋" w:hAnsi="华文仿宋" w:hint="eastAsia"/>
          <w:sz w:val="30"/>
          <w:szCs w:val="30"/>
        </w:rPr>
        <w:t>（二）因历史原因，现在幼儿园、中小学校内部以及</w:t>
      </w:r>
      <w:r w:rsidRPr="006E645A">
        <w:rPr>
          <w:rFonts w:ascii="华文仿宋" w:eastAsia="华文仿宋" w:hAnsi="华文仿宋"/>
          <w:sz w:val="30"/>
          <w:szCs w:val="30"/>
        </w:rPr>
        <w:t>进出通道口向外延伸100米</w:t>
      </w:r>
      <w:r w:rsidRPr="006E645A">
        <w:rPr>
          <w:rFonts w:ascii="华文仿宋" w:eastAsia="华文仿宋" w:hAnsi="华文仿宋" w:hint="eastAsia"/>
          <w:sz w:val="30"/>
          <w:szCs w:val="30"/>
        </w:rPr>
        <w:t>以内的持证经营户，主动搬离，需要重新在本辖区其他地址申领烟草专卖零售许可证的</w:t>
      </w:r>
      <w:r w:rsidRPr="006E645A">
        <w:rPr>
          <w:rFonts w:ascii="华文仿宋" w:eastAsia="华文仿宋" w:hAnsi="华文仿宋" w:cs="仿宋_GB2312" w:hint="eastAsia"/>
          <w:kern w:val="0"/>
          <w:sz w:val="30"/>
          <w:szCs w:val="30"/>
        </w:rPr>
        <w:t>；</w:t>
      </w:r>
    </w:p>
    <w:p w:rsidR="008C23F4" w:rsidRPr="002D2380" w:rsidRDefault="008C23F4" w:rsidP="008C23F4">
      <w:pPr>
        <w:widowControl/>
        <w:ind w:firstLine="640"/>
        <w:textAlignment w:val="baseline"/>
        <w:rPr>
          <w:rFonts w:ascii="华文仿宋" w:eastAsia="华文仿宋" w:hAnsi="华文仿宋"/>
          <w:sz w:val="30"/>
          <w:szCs w:val="30"/>
        </w:rPr>
      </w:pPr>
      <w:r w:rsidRPr="006E645A">
        <w:rPr>
          <w:rFonts w:ascii="华文仿宋" w:eastAsia="华文仿宋" w:hAnsi="华文仿宋" w:cs="仿宋_GB2312" w:hint="eastAsia"/>
          <w:kern w:val="0"/>
          <w:sz w:val="30"/>
          <w:szCs w:val="30"/>
        </w:rPr>
        <w:t>（三）</w:t>
      </w:r>
      <w:r w:rsidRPr="006E645A">
        <w:rPr>
          <w:rFonts w:ascii="华文仿宋" w:eastAsia="华文仿宋" w:hAnsi="华文仿宋" w:hint="eastAsia"/>
          <w:sz w:val="30"/>
          <w:szCs w:val="30"/>
        </w:rPr>
        <w:t>因</w:t>
      </w:r>
      <w:r w:rsidRPr="006E645A">
        <w:rPr>
          <w:rFonts w:ascii="华文仿宋" w:eastAsia="华文仿宋" w:hAnsi="华文仿宋" w:cs="仿宋_GB2312" w:hint="eastAsia"/>
          <w:kern w:val="0"/>
          <w:sz w:val="30"/>
          <w:szCs w:val="30"/>
        </w:rPr>
        <w:t>道路规划、城市建设等客观原因造成无法在核定经营地址经营，持证人申请变更到本辖区内其他地址经营</w:t>
      </w:r>
      <w:r w:rsidRPr="006E645A">
        <w:rPr>
          <w:rFonts w:ascii="华文仿宋" w:eastAsia="华文仿宋" w:hAnsi="华文仿宋" w:hint="eastAsia"/>
          <w:sz w:val="30"/>
          <w:szCs w:val="30"/>
        </w:rPr>
        <w:t>。</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sz w:val="30"/>
          <w:szCs w:val="30"/>
        </w:rPr>
        <w:lastRenderedPageBreak/>
        <w:t>第</w:t>
      </w:r>
      <w:r w:rsidRPr="006E645A">
        <w:rPr>
          <w:rFonts w:ascii="华文仿宋" w:eastAsia="华文仿宋" w:hAnsi="华文仿宋" w:cstheme="minorBidi" w:hint="eastAsia"/>
          <w:sz w:val="30"/>
          <w:szCs w:val="30"/>
        </w:rPr>
        <w:t>十</w:t>
      </w:r>
      <w:r w:rsidRPr="006E645A">
        <w:rPr>
          <w:rFonts w:ascii="华文仿宋" w:eastAsia="华文仿宋" w:hAnsi="华文仿宋" w:cstheme="minorBidi"/>
          <w:sz w:val="30"/>
          <w:szCs w:val="30"/>
        </w:rPr>
        <w:t>条 按照《四川省烟草专卖局关于残疾人办理烟草专卖零售许可证的指导意见》的规定，残疾人不予放宽办证条件的情形：</w:t>
      </w:r>
      <w:bookmarkStart w:id="2" w:name="_GoBack"/>
      <w:bookmarkEnd w:id="2"/>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（一）有固定职业及稳定收入来源的；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（二）享受退休、退职、退养待遇具有稳定生活保障的；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（三）非本人或直系亲属（仅限配偶、父母、子女或法定监护人）经营的；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（四）较低级别的视力残疾、听力残疾、言语残疾和肢体残疾且可以从事一般社会工作的；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（五）法律法规及其他规范性文件规定的不予放宽的情形。</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sz w:val="30"/>
          <w:szCs w:val="30"/>
        </w:rPr>
        <w:t>第</w:t>
      </w:r>
      <w:r w:rsidRPr="006E645A">
        <w:rPr>
          <w:rFonts w:ascii="华文仿宋" w:eastAsia="华文仿宋" w:hAnsi="华文仿宋" w:cstheme="minorBidi" w:hint="eastAsia"/>
          <w:sz w:val="30"/>
          <w:szCs w:val="30"/>
        </w:rPr>
        <w:t>十一</w:t>
      </w:r>
      <w:r w:rsidRPr="006E645A">
        <w:rPr>
          <w:rFonts w:ascii="华文仿宋" w:eastAsia="华文仿宋" w:hAnsi="华文仿宋" w:cstheme="minorBidi"/>
          <w:sz w:val="30"/>
          <w:szCs w:val="30"/>
        </w:rPr>
        <w:t>条 有下列情形之一的，不予发放烟草专卖零售许可证：</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（一）无固定经营场所的；</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（二）经营场所与住所不相独立的；</w:t>
      </w:r>
    </w:p>
    <w:p w:rsidR="008C23F4" w:rsidRPr="002D2380" w:rsidRDefault="008C23F4" w:rsidP="008C23F4">
      <w:pPr>
        <w:spacing w:line="560" w:lineRule="exact"/>
        <w:ind w:firstLine="645"/>
        <w:rPr>
          <w:rFonts w:ascii="华文仿宋" w:eastAsia="华文仿宋" w:hAnsi="华文仿宋"/>
          <w:sz w:val="30"/>
          <w:szCs w:val="30"/>
        </w:rPr>
      </w:pPr>
      <w:r w:rsidRPr="006E645A">
        <w:rPr>
          <w:rFonts w:ascii="华文仿宋" w:eastAsia="华文仿宋" w:hAnsi="华文仿宋" w:hint="eastAsia"/>
          <w:sz w:val="30"/>
          <w:szCs w:val="30"/>
        </w:rPr>
        <w:t>（三）同一经营场所已办理烟草专卖零售许可证，且还在有效期内的；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（四）经营场所基于安全因素不适宜经营烟草制品的</w:t>
      </w:r>
      <w:r w:rsidRPr="006E645A">
        <w:rPr>
          <w:rFonts w:ascii="华文仿宋" w:eastAsia="华文仿宋" w:hAnsi="华文仿宋" w:cstheme="minorBidi"/>
          <w:sz w:val="30"/>
          <w:szCs w:val="30"/>
        </w:rPr>
        <w:t>;</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（五）利用信息网络渠道销售烟草制品的；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（六）申请人为未成年人、无民事行为能力人及限制民事行为能力人的；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（七）利用自动售货机（柜）</w:t>
      </w:r>
      <w:r w:rsidRPr="006E645A">
        <w:rPr>
          <w:rFonts w:ascii="华文仿宋" w:eastAsia="华文仿宋" w:hAnsi="华文仿宋" w:hint="eastAsia"/>
          <w:sz w:val="30"/>
          <w:szCs w:val="30"/>
        </w:rPr>
        <w:t>或者其他自动售货形式，销售或者变相</w:t>
      </w:r>
      <w:r w:rsidRPr="006E645A">
        <w:rPr>
          <w:rFonts w:ascii="华文仿宋" w:eastAsia="华文仿宋" w:hAnsi="华文仿宋" w:cstheme="minorBidi" w:hint="eastAsia"/>
          <w:sz w:val="30"/>
          <w:szCs w:val="30"/>
        </w:rPr>
        <w:t>销售烟草制品的；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（八）申请人为外商投资的商业企业、个体工商户或者以特</w:t>
      </w:r>
      <w:r w:rsidRPr="006E645A">
        <w:rPr>
          <w:rFonts w:ascii="华文仿宋" w:eastAsia="华文仿宋" w:hAnsi="华文仿宋" w:cstheme="minorBidi" w:hint="eastAsia"/>
          <w:sz w:val="30"/>
          <w:szCs w:val="30"/>
        </w:rPr>
        <w:lastRenderedPageBreak/>
        <w:t>许、吸纳加盟店等其他再投资形式变相从事烟草专卖品经营业务的；</w:t>
      </w:r>
    </w:p>
    <w:p w:rsidR="008C23F4" w:rsidRPr="006E645A" w:rsidRDefault="008C23F4" w:rsidP="008C23F4">
      <w:pPr>
        <w:pStyle w:val="a4"/>
        <w:spacing w:line="600" w:lineRule="exact"/>
        <w:ind w:firstLineChars="160" w:firstLine="48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（九）申请人被取消从事烟草专卖业务资格不满三年的；</w:t>
      </w:r>
    </w:p>
    <w:p w:rsidR="008C23F4" w:rsidRPr="006E645A" w:rsidRDefault="008C23F4" w:rsidP="008C23F4">
      <w:pPr>
        <w:pStyle w:val="a4"/>
        <w:spacing w:line="600" w:lineRule="exact"/>
        <w:ind w:firstLineChars="150" w:firstLine="45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（十）申请人隐瞒有关情况或者提供虚假材料，烟草专卖行政主管部门作出不予受理或者不予发证决定后，一年内再次提出申请的；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（十一）申请人以欺骗、贿赂等不正当手段取得的烟草专卖许可证被撤销后，三年内再次提出申请的；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（十二）未领取烟草专卖零售许可证经营烟草专卖品业务，并且一年内被执法机关处罚两次以上，在三年内申请领取烟草专卖零售许可证的；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（十三）未领取烟草专卖零售许可证经营烟草专卖品业务被追究刑事责任，在三年内申请领取烟草专卖零售许可证的；</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（十四）法律、法规、规章等相关规定明文禁止的其他情形。</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hint="eastAsia"/>
          <w:sz w:val="30"/>
          <w:szCs w:val="30"/>
        </w:rPr>
        <w:t>第十二条</w:t>
      </w:r>
      <w:r w:rsidRPr="006E645A">
        <w:rPr>
          <w:rFonts w:ascii="华文仿宋" w:eastAsia="华文仿宋" w:hAnsi="华文仿宋" w:cstheme="minorBidi"/>
          <w:sz w:val="30"/>
          <w:szCs w:val="30"/>
        </w:rPr>
        <w:t xml:space="preserve"> </w:t>
      </w:r>
      <w:r w:rsidRPr="006E645A">
        <w:rPr>
          <w:rFonts w:ascii="华文仿宋" w:eastAsia="华文仿宋" w:hAnsi="华文仿宋" w:cstheme="minorBidi" w:hint="eastAsia"/>
          <w:sz w:val="30"/>
          <w:szCs w:val="30"/>
        </w:rPr>
        <w:t>中小学、幼儿园内部以及</w:t>
      </w:r>
      <w:r w:rsidRPr="006E645A">
        <w:rPr>
          <w:rFonts w:ascii="华文仿宋" w:eastAsia="华文仿宋" w:hAnsi="华文仿宋" w:cstheme="minorBidi"/>
          <w:sz w:val="30"/>
          <w:szCs w:val="30"/>
        </w:rPr>
        <w:t>进出通道口向外延伸100米以内，不增设烟草专卖零售许可证。</w:t>
      </w:r>
    </w:p>
    <w:p w:rsidR="008C23F4" w:rsidRPr="002D2380" w:rsidRDefault="008C23F4" w:rsidP="008C23F4">
      <w:pPr>
        <w:widowControl/>
        <w:jc w:val="center"/>
        <w:textAlignment w:val="baseline"/>
        <w:rPr>
          <w:rFonts w:ascii="华文仿宋" w:eastAsia="华文仿宋" w:hAnsi="华文仿宋"/>
          <w:sz w:val="30"/>
          <w:szCs w:val="30"/>
        </w:rPr>
      </w:pPr>
      <w:r w:rsidRPr="006E645A">
        <w:rPr>
          <w:rFonts w:ascii="华文仿宋" w:eastAsia="华文仿宋" w:hAnsi="华文仿宋" w:hint="eastAsia"/>
          <w:sz w:val="30"/>
          <w:szCs w:val="30"/>
        </w:rPr>
        <w:t>第三章</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其他规定</w:t>
      </w:r>
    </w:p>
    <w:p w:rsidR="008C23F4" w:rsidRPr="002D2380" w:rsidRDefault="008C23F4" w:rsidP="008C23F4">
      <w:pPr>
        <w:widowControl/>
        <w:ind w:firstLine="640"/>
        <w:textAlignment w:val="baseline"/>
        <w:rPr>
          <w:rFonts w:ascii="华文仿宋" w:eastAsia="华文仿宋" w:hAnsi="华文仿宋" w:cs="仿宋_GB2312"/>
          <w:kern w:val="0"/>
          <w:sz w:val="30"/>
          <w:szCs w:val="30"/>
        </w:rPr>
      </w:pPr>
      <w:r w:rsidRPr="006E645A">
        <w:rPr>
          <w:rFonts w:ascii="华文仿宋" w:eastAsia="华文仿宋" w:hAnsi="华文仿宋" w:hint="eastAsia"/>
          <w:sz w:val="30"/>
          <w:szCs w:val="30"/>
        </w:rPr>
        <w:t>第十三条</w:t>
      </w:r>
      <w:r w:rsidRPr="006E645A">
        <w:rPr>
          <w:rFonts w:ascii="华文仿宋" w:eastAsia="华文仿宋" w:hAnsi="华文仿宋"/>
          <w:sz w:val="30"/>
          <w:szCs w:val="30"/>
        </w:rPr>
        <w:t xml:space="preserve"> </w:t>
      </w:r>
      <w:r w:rsidRPr="006E645A">
        <w:rPr>
          <w:rFonts w:ascii="华文仿宋" w:eastAsia="华文仿宋" w:hAnsi="华文仿宋" w:cs="仿宋_GB2312"/>
          <w:kern w:val="0"/>
          <w:sz w:val="30"/>
          <w:szCs w:val="30"/>
        </w:rPr>
        <w:t>本规定中“与住所相独立”是指经营场所与生活区域相独立，可对消费者全开放（店</w:t>
      </w:r>
      <w:r w:rsidRPr="006E645A">
        <w:rPr>
          <w:rFonts w:ascii="华文仿宋" w:eastAsia="华文仿宋" w:hAnsi="华文仿宋" w:cs="仿宋_GB2312" w:hint="eastAsia"/>
          <w:kern w:val="0"/>
          <w:sz w:val="30"/>
          <w:szCs w:val="30"/>
        </w:rPr>
        <w:t>面</w:t>
      </w:r>
      <w:r w:rsidRPr="006E645A">
        <w:rPr>
          <w:rFonts w:ascii="华文仿宋" w:eastAsia="华文仿宋" w:hAnsi="华文仿宋" w:cs="仿宋_GB2312"/>
          <w:kern w:val="0"/>
          <w:sz w:val="30"/>
          <w:szCs w:val="30"/>
        </w:rPr>
        <w:t>处于完全开放状态，</w:t>
      </w:r>
      <w:r w:rsidRPr="006E645A">
        <w:rPr>
          <w:rFonts w:ascii="华文仿宋" w:eastAsia="华文仿宋" w:hAnsi="华文仿宋" w:cs="仿宋_GB2312" w:hint="eastAsia"/>
          <w:kern w:val="0"/>
          <w:sz w:val="30"/>
          <w:szCs w:val="30"/>
        </w:rPr>
        <w:t>消费者和行政监管部门可不受限进出</w:t>
      </w:r>
      <w:r w:rsidRPr="006E645A">
        <w:rPr>
          <w:rFonts w:ascii="华文仿宋" w:eastAsia="华文仿宋" w:hAnsi="华文仿宋" w:cs="仿宋_GB2312"/>
          <w:kern w:val="0"/>
          <w:sz w:val="30"/>
          <w:szCs w:val="30"/>
        </w:rPr>
        <w:t>）。</w:t>
      </w:r>
    </w:p>
    <w:p w:rsidR="008C23F4" w:rsidRPr="002D2380" w:rsidRDefault="008C23F4" w:rsidP="008C23F4">
      <w:pPr>
        <w:widowControl/>
        <w:ind w:firstLine="640"/>
        <w:textAlignment w:val="baseline"/>
        <w:rPr>
          <w:rFonts w:ascii="华文仿宋" w:eastAsia="华文仿宋" w:hAnsi="华文仿宋" w:cs="仿宋_GB2312"/>
          <w:kern w:val="0"/>
          <w:sz w:val="30"/>
          <w:szCs w:val="30"/>
        </w:rPr>
      </w:pPr>
      <w:r w:rsidRPr="006E645A">
        <w:rPr>
          <w:rFonts w:ascii="华文仿宋" w:eastAsia="华文仿宋" w:hAnsi="华文仿宋" w:cs="仿宋_GB2312" w:hint="eastAsia"/>
          <w:kern w:val="0"/>
          <w:sz w:val="30"/>
          <w:szCs w:val="30"/>
        </w:rPr>
        <w:t>第十四条</w:t>
      </w:r>
      <w:r w:rsidR="008E249B">
        <w:rPr>
          <w:rFonts w:ascii="华文仿宋" w:eastAsia="华文仿宋" w:hAnsi="华文仿宋" w:cs="仿宋_GB2312" w:hint="eastAsia"/>
          <w:kern w:val="0"/>
          <w:sz w:val="30"/>
          <w:szCs w:val="30"/>
        </w:rPr>
        <w:t xml:space="preserve"> </w:t>
      </w:r>
      <w:r w:rsidRPr="006E645A">
        <w:rPr>
          <w:rFonts w:ascii="华文仿宋" w:eastAsia="华文仿宋" w:hAnsi="华文仿宋" w:cs="仿宋_GB2312"/>
          <w:kern w:val="0"/>
          <w:sz w:val="30"/>
          <w:szCs w:val="30"/>
        </w:rPr>
        <w:t>本</w:t>
      </w:r>
      <w:r w:rsidRPr="006E645A">
        <w:rPr>
          <w:rFonts w:ascii="华文仿宋" w:eastAsia="华文仿宋" w:hAnsi="华文仿宋" w:cs="仿宋_GB2312" w:hint="eastAsia"/>
          <w:kern w:val="0"/>
          <w:sz w:val="30"/>
          <w:szCs w:val="30"/>
        </w:rPr>
        <w:t>规定所称中小学、幼儿园进出通道口包括所有进出通道口。中小学是指普通中小学、特殊教育学校、中等职业学校、专门学校。</w:t>
      </w:r>
    </w:p>
    <w:p w:rsidR="008C23F4" w:rsidRPr="002D2380" w:rsidRDefault="008C23F4" w:rsidP="008C23F4">
      <w:pPr>
        <w:widowControl/>
        <w:ind w:firstLine="640"/>
        <w:textAlignment w:val="baseline"/>
        <w:rPr>
          <w:rFonts w:ascii="华文仿宋" w:eastAsia="华文仿宋" w:hAnsi="华文仿宋" w:cs="仿宋_GB2312"/>
          <w:kern w:val="0"/>
          <w:sz w:val="30"/>
          <w:szCs w:val="30"/>
        </w:rPr>
      </w:pPr>
    </w:p>
    <w:p w:rsidR="008C23F4" w:rsidRPr="006E645A" w:rsidRDefault="008C23F4" w:rsidP="008C23F4">
      <w:pPr>
        <w:pStyle w:val="a4"/>
        <w:ind w:firstLine="600"/>
        <w:rPr>
          <w:rFonts w:ascii="华文仿宋" w:eastAsia="华文仿宋" w:hAnsi="华文仿宋" w:cs="仿宋_GB2312"/>
          <w:kern w:val="0"/>
          <w:sz w:val="30"/>
          <w:szCs w:val="30"/>
        </w:rPr>
      </w:pPr>
      <w:r w:rsidRPr="006E645A">
        <w:rPr>
          <w:rFonts w:ascii="华文仿宋" w:eastAsia="华文仿宋" w:hAnsi="华文仿宋" w:cs="仿宋_GB2312" w:hint="eastAsia"/>
          <w:kern w:val="0"/>
          <w:sz w:val="30"/>
          <w:szCs w:val="30"/>
        </w:rPr>
        <w:t>第十五条</w:t>
      </w:r>
      <w:r w:rsidRPr="006E645A">
        <w:rPr>
          <w:rFonts w:ascii="华文仿宋" w:eastAsia="华文仿宋" w:hAnsi="华文仿宋" w:cs="仿宋_GB2312"/>
          <w:kern w:val="0"/>
          <w:sz w:val="30"/>
          <w:szCs w:val="30"/>
        </w:rPr>
        <w:t xml:space="preserve"> </w:t>
      </w:r>
      <w:r w:rsidRPr="006E645A">
        <w:rPr>
          <w:rFonts w:ascii="华文仿宋" w:eastAsia="华文仿宋" w:hAnsi="华文仿宋" w:cs="仿宋_GB2312" w:hint="eastAsia"/>
          <w:kern w:val="0"/>
          <w:sz w:val="30"/>
          <w:szCs w:val="30"/>
        </w:rPr>
        <w:t>本规定中“固定经营场所”是指对外正常经营、安全储存烟草制品的基本设施和条件的场所，包含相关部门出具合法有效证明的固定经营场所</w:t>
      </w:r>
      <w:r w:rsidRPr="006E645A">
        <w:rPr>
          <w:rFonts w:ascii="华文仿宋" w:eastAsia="华文仿宋" w:hAnsi="华文仿宋" w:cs="仿宋_GB2312"/>
          <w:kern w:val="0"/>
          <w:sz w:val="30"/>
          <w:szCs w:val="30"/>
        </w:rPr>
        <w:t>，不包含流动摊点（车、棚）、</w:t>
      </w:r>
      <w:r w:rsidRPr="006E645A">
        <w:rPr>
          <w:rFonts w:ascii="华文仿宋" w:eastAsia="华文仿宋" w:hAnsi="华文仿宋" w:cs="仿宋_GB2312" w:hint="eastAsia"/>
          <w:kern w:val="0"/>
          <w:sz w:val="30"/>
          <w:szCs w:val="30"/>
        </w:rPr>
        <w:t>地下车库、</w:t>
      </w:r>
      <w:r w:rsidRPr="006E645A">
        <w:rPr>
          <w:rFonts w:ascii="华文仿宋" w:eastAsia="华文仿宋" w:hAnsi="华文仿宋" w:cs="仿宋_GB2312"/>
          <w:kern w:val="0"/>
          <w:sz w:val="30"/>
          <w:szCs w:val="30"/>
        </w:rPr>
        <w:t>违章建筑、活动板房、临时建筑物、危房、市政规划已标示待拆迁建筑等</w:t>
      </w:r>
      <w:r w:rsidRPr="006E645A">
        <w:rPr>
          <w:rFonts w:ascii="华文仿宋" w:eastAsia="华文仿宋" w:hAnsi="华文仿宋" w:cs="仿宋_GB2312" w:hint="eastAsia"/>
          <w:kern w:val="0"/>
          <w:sz w:val="30"/>
          <w:szCs w:val="30"/>
        </w:rPr>
        <w:t>经营</w:t>
      </w:r>
      <w:r w:rsidRPr="006E645A">
        <w:rPr>
          <w:rFonts w:ascii="华文仿宋" w:eastAsia="华文仿宋" w:hAnsi="华文仿宋" w:cs="仿宋_GB2312"/>
          <w:kern w:val="0"/>
          <w:sz w:val="30"/>
          <w:szCs w:val="30"/>
        </w:rPr>
        <w:t>场所。</w:t>
      </w:r>
    </w:p>
    <w:p w:rsidR="008C23F4" w:rsidRPr="006E645A" w:rsidRDefault="008C23F4" w:rsidP="008C23F4">
      <w:pPr>
        <w:ind w:firstLineChars="200" w:firstLine="600"/>
        <w:rPr>
          <w:rFonts w:ascii="华文仿宋" w:eastAsia="华文仿宋" w:hAnsi="华文仿宋"/>
          <w:color w:val="FF0000"/>
          <w:sz w:val="30"/>
          <w:szCs w:val="30"/>
        </w:rPr>
      </w:pPr>
      <w:r w:rsidRPr="006E645A">
        <w:rPr>
          <w:rFonts w:ascii="华文仿宋" w:eastAsia="华文仿宋" w:hAnsi="华文仿宋" w:cs="仿宋_GB2312" w:hint="eastAsia"/>
          <w:color w:val="FF0000"/>
          <w:kern w:val="0"/>
          <w:sz w:val="30"/>
          <w:szCs w:val="30"/>
        </w:rPr>
        <w:t>第十六条</w:t>
      </w:r>
      <w:r w:rsidRPr="006E645A">
        <w:rPr>
          <w:rFonts w:ascii="华文仿宋" w:eastAsia="华文仿宋" w:hAnsi="华文仿宋" w:cs="仿宋_GB2312"/>
          <w:color w:val="FF0000"/>
          <w:kern w:val="0"/>
          <w:sz w:val="30"/>
          <w:szCs w:val="30"/>
        </w:rPr>
        <w:t xml:space="preserve"> </w:t>
      </w:r>
      <w:r w:rsidRPr="006E645A">
        <w:rPr>
          <w:rFonts w:ascii="华文仿宋" w:eastAsia="华文仿宋" w:hAnsi="华文仿宋" w:hint="eastAsia"/>
          <w:color w:val="FF0000"/>
          <w:sz w:val="30"/>
          <w:szCs w:val="30"/>
        </w:rPr>
        <w:t>辖区</w:t>
      </w:r>
      <w:r w:rsidRPr="006E645A">
        <w:rPr>
          <w:rFonts w:ascii="华文仿宋" w:eastAsia="华文仿宋" w:hAnsi="华文仿宋"/>
          <w:color w:val="FF0000"/>
          <w:sz w:val="30"/>
          <w:szCs w:val="30"/>
        </w:rPr>
        <w:t>内</w:t>
      </w:r>
      <w:r w:rsidRPr="006E645A">
        <w:rPr>
          <w:rFonts w:ascii="华文仿宋" w:eastAsia="华文仿宋" w:hAnsi="华文仿宋" w:hint="eastAsia"/>
          <w:color w:val="FF0000"/>
          <w:sz w:val="30"/>
          <w:szCs w:val="30"/>
        </w:rPr>
        <w:t>娱乐服务类和其他类业态占</w:t>
      </w:r>
      <w:r w:rsidRPr="006E645A">
        <w:rPr>
          <w:rFonts w:ascii="华文仿宋" w:eastAsia="华文仿宋" w:hAnsi="华文仿宋"/>
          <w:color w:val="FF0000"/>
          <w:sz w:val="30"/>
          <w:szCs w:val="30"/>
        </w:rPr>
        <w:t>总持证比例情况</w:t>
      </w:r>
      <w:r w:rsidRPr="006E645A">
        <w:rPr>
          <w:rFonts w:ascii="华文仿宋" w:eastAsia="华文仿宋" w:hAnsi="华文仿宋" w:hint="eastAsia"/>
          <w:color w:val="FF0000"/>
          <w:sz w:val="30"/>
          <w:szCs w:val="30"/>
        </w:rPr>
        <w:t>，依上年度末</w:t>
      </w:r>
      <w:r w:rsidRPr="006E645A">
        <w:rPr>
          <w:rFonts w:ascii="华文仿宋" w:eastAsia="华文仿宋" w:hAnsi="华文仿宋"/>
          <w:color w:val="FF0000"/>
          <w:sz w:val="30"/>
          <w:szCs w:val="30"/>
        </w:rPr>
        <w:t>公示数据为准</w:t>
      </w:r>
      <w:r w:rsidRPr="006E645A">
        <w:rPr>
          <w:rFonts w:ascii="华文仿宋" w:eastAsia="华文仿宋" w:hAnsi="华文仿宋" w:hint="eastAsia"/>
          <w:color w:val="FF0000"/>
          <w:sz w:val="30"/>
          <w:szCs w:val="30"/>
        </w:rPr>
        <w:t>。</w:t>
      </w:r>
    </w:p>
    <w:p w:rsidR="008C23F4" w:rsidRPr="002D2380" w:rsidRDefault="008C23F4" w:rsidP="008C23F4">
      <w:pPr>
        <w:widowControl/>
        <w:ind w:firstLine="641"/>
        <w:textAlignment w:val="baseline"/>
        <w:rPr>
          <w:rFonts w:ascii="华文仿宋" w:eastAsia="华文仿宋" w:hAnsi="华文仿宋"/>
          <w:sz w:val="30"/>
          <w:szCs w:val="30"/>
        </w:rPr>
      </w:pPr>
      <w:r w:rsidRPr="006E645A">
        <w:rPr>
          <w:rFonts w:ascii="华文仿宋" w:eastAsia="华文仿宋" w:hAnsi="华文仿宋" w:cs="仿宋_GB2312" w:hint="eastAsia"/>
          <w:kern w:val="0"/>
          <w:sz w:val="30"/>
          <w:szCs w:val="30"/>
        </w:rPr>
        <w:t>第十七条</w:t>
      </w:r>
      <w:r w:rsidRPr="006E645A">
        <w:rPr>
          <w:rFonts w:ascii="华文仿宋" w:eastAsia="华文仿宋" w:hAnsi="华文仿宋" w:cs="仿宋_GB2312"/>
          <w:kern w:val="0"/>
          <w:sz w:val="30"/>
          <w:szCs w:val="30"/>
        </w:rPr>
        <w:t xml:space="preserve"> </w:t>
      </w:r>
      <w:r w:rsidRPr="006E645A">
        <w:rPr>
          <w:rFonts w:ascii="华文仿宋" w:eastAsia="华文仿宋" w:hAnsi="华文仿宋" w:cs="仿宋_GB2312" w:hint="eastAsia"/>
          <w:kern w:val="0"/>
          <w:sz w:val="30"/>
          <w:szCs w:val="30"/>
        </w:rPr>
        <w:t>申请办理电子烟零售许可证的需按照《四川省电子烟零售点布局规划》进行核定。第二十条</w:t>
      </w:r>
      <w:r w:rsidRPr="006E645A">
        <w:rPr>
          <w:rFonts w:ascii="华文仿宋" w:eastAsia="华文仿宋" w:hAnsi="华文仿宋" w:cs="仿宋_GB2312"/>
          <w:kern w:val="0"/>
          <w:sz w:val="30"/>
          <w:szCs w:val="30"/>
        </w:rPr>
        <w:t xml:space="preserve"> </w:t>
      </w:r>
      <w:r w:rsidRPr="006E645A">
        <w:rPr>
          <w:rFonts w:ascii="华文仿宋" w:eastAsia="华文仿宋" w:hAnsi="华文仿宋" w:cs="仿宋_GB2312" w:hint="eastAsia"/>
          <w:kern w:val="0"/>
          <w:sz w:val="30"/>
          <w:szCs w:val="30"/>
        </w:rPr>
        <w:t>本规划中具体业态标准按照《烟草零售</w:t>
      </w:r>
      <w:r w:rsidRPr="006E645A">
        <w:rPr>
          <w:rFonts w:ascii="华文仿宋" w:eastAsia="华文仿宋" w:hAnsi="华文仿宋" w:hint="eastAsia"/>
          <w:sz w:val="30"/>
          <w:szCs w:val="30"/>
        </w:rPr>
        <w:t>业态分类标准》进行核定。</w:t>
      </w:r>
    </w:p>
    <w:p w:rsidR="008C23F4" w:rsidRPr="002D2380" w:rsidRDefault="008C23F4" w:rsidP="008C23F4">
      <w:pPr>
        <w:widowControl/>
        <w:shd w:val="clear" w:color="auto" w:fill="FFFFFF"/>
        <w:spacing w:line="600" w:lineRule="atLeast"/>
        <w:jc w:val="center"/>
        <w:rPr>
          <w:rFonts w:ascii="华文仿宋" w:eastAsia="华文仿宋" w:hAnsi="华文仿宋"/>
          <w:sz w:val="30"/>
          <w:szCs w:val="30"/>
        </w:rPr>
      </w:pPr>
      <w:r w:rsidRPr="006E645A">
        <w:rPr>
          <w:rFonts w:ascii="华文仿宋" w:eastAsia="华文仿宋" w:hAnsi="华文仿宋" w:hint="eastAsia"/>
          <w:sz w:val="30"/>
          <w:szCs w:val="30"/>
        </w:rPr>
        <w:t>第三章 </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附则</w:t>
      </w:r>
    </w:p>
    <w:p w:rsidR="008C23F4" w:rsidRPr="006E645A" w:rsidRDefault="008C23F4" w:rsidP="008C23F4">
      <w:pPr>
        <w:pStyle w:val="a4"/>
        <w:spacing w:line="600" w:lineRule="exact"/>
        <w:ind w:firstLine="600"/>
        <w:rPr>
          <w:rFonts w:ascii="华文仿宋" w:eastAsia="华文仿宋" w:hAnsi="华文仿宋" w:cstheme="minorBidi"/>
          <w:sz w:val="30"/>
          <w:szCs w:val="30"/>
        </w:rPr>
      </w:pPr>
      <w:r w:rsidRPr="006E645A">
        <w:rPr>
          <w:rFonts w:ascii="华文仿宋" w:eastAsia="华文仿宋" w:hAnsi="华文仿宋" w:cstheme="minorBidi"/>
          <w:sz w:val="30"/>
          <w:szCs w:val="30"/>
        </w:rPr>
        <w:t>第</w:t>
      </w:r>
      <w:r w:rsidRPr="006E645A">
        <w:rPr>
          <w:rFonts w:ascii="华文仿宋" w:eastAsia="华文仿宋" w:hAnsi="华文仿宋" w:cstheme="minorBidi" w:hint="eastAsia"/>
          <w:sz w:val="30"/>
          <w:szCs w:val="30"/>
        </w:rPr>
        <w:t>十八</w:t>
      </w:r>
      <w:r w:rsidRPr="006E645A">
        <w:rPr>
          <w:rFonts w:ascii="华文仿宋" w:eastAsia="华文仿宋" w:hAnsi="华文仿宋" w:cstheme="minorBidi"/>
          <w:sz w:val="30"/>
          <w:szCs w:val="30"/>
        </w:rPr>
        <w:t xml:space="preserve">条 其他需要说明的情形：　　</w:t>
      </w:r>
    </w:p>
    <w:p w:rsidR="008C23F4" w:rsidRPr="002D2380" w:rsidRDefault="008C23F4" w:rsidP="008C23F4">
      <w:pPr>
        <w:widowControl/>
        <w:ind w:firstLine="640"/>
        <w:textAlignment w:val="baseline"/>
        <w:rPr>
          <w:rFonts w:ascii="华文仿宋" w:eastAsia="华文仿宋" w:hAnsi="华文仿宋"/>
          <w:sz w:val="30"/>
          <w:szCs w:val="30"/>
        </w:rPr>
      </w:pPr>
      <w:r w:rsidRPr="006E645A">
        <w:rPr>
          <w:rFonts w:ascii="华文仿宋" w:eastAsia="华文仿宋" w:hAnsi="华文仿宋" w:hint="eastAsia"/>
          <w:sz w:val="30"/>
          <w:szCs w:val="30"/>
        </w:rPr>
        <w:t>（一）本规划所称“间距”是指：申请人拟从事烟草制品零售业务的经营场所与其周边最近的持证人的经营场所之间的最近通行距离，测量误差正负不超过</w:t>
      </w:r>
      <w:r w:rsidRPr="006E645A">
        <w:rPr>
          <w:rFonts w:ascii="华文仿宋" w:eastAsia="华文仿宋" w:hAnsi="华文仿宋"/>
          <w:sz w:val="30"/>
          <w:szCs w:val="30"/>
        </w:rPr>
        <w:t>1米。本着便利消费者购买的原则，街道中间设置有封闭式隔离栏的，隔离栏另一侧的零售点不纳入测量范围；有绿化带或其他障碍物的，测量时应绕开，按最近的通行距离测量；测量需要符合道路交通安全有关规定的前提下，按行人行走的最短距离测量。</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（二）中小学、幼儿园内部以及</w:t>
      </w:r>
      <w:r w:rsidRPr="006E645A">
        <w:rPr>
          <w:rFonts w:ascii="华文仿宋" w:eastAsia="华文仿宋" w:hAnsi="华文仿宋"/>
          <w:sz w:val="30"/>
          <w:szCs w:val="30"/>
        </w:rPr>
        <w:t>进出通道口50米以内持证零售户，烟草专卖零售许可证有效期届满后不予延续。</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lastRenderedPageBreak/>
        <w:t>（三）本规划所称“以上”、“以下”“以内”、“不得少于”、“不超过”均包含本数。</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（四）对调整后的镇、行政村</w:t>
      </w:r>
      <w:r>
        <w:rPr>
          <w:rFonts w:ascii="华文仿宋" w:eastAsia="华文仿宋" w:hAnsi="华文仿宋" w:hint="eastAsia"/>
          <w:sz w:val="30"/>
          <w:szCs w:val="30"/>
        </w:rPr>
        <w:t>（社区）</w:t>
      </w:r>
      <w:r w:rsidRPr="006E645A">
        <w:rPr>
          <w:rFonts w:ascii="华文仿宋" w:eastAsia="华文仿宋" w:hAnsi="华文仿宋" w:hint="eastAsia"/>
          <w:sz w:val="30"/>
          <w:szCs w:val="30"/>
        </w:rPr>
        <w:t>按原镇、行政村</w:t>
      </w:r>
      <w:r>
        <w:rPr>
          <w:rFonts w:ascii="华文仿宋" w:eastAsia="华文仿宋" w:hAnsi="华文仿宋" w:hint="eastAsia"/>
          <w:sz w:val="30"/>
          <w:szCs w:val="30"/>
        </w:rPr>
        <w:t>（社区）</w:t>
      </w:r>
      <w:r w:rsidRPr="006E645A">
        <w:rPr>
          <w:rFonts w:ascii="华文仿宋" w:eastAsia="华文仿宋" w:hAnsi="华文仿宋" w:hint="eastAsia"/>
          <w:sz w:val="30"/>
          <w:szCs w:val="30"/>
        </w:rPr>
        <w:t>设置零售点。</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（五）本规划有效期内法律、法规、规章或者上级主管部门有新的规定的，从其规定。</w:t>
      </w:r>
    </w:p>
    <w:p w:rsidR="008C23F4" w:rsidRPr="006E645A" w:rsidRDefault="008C23F4" w:rsidP="008C23F4">
      <w:pPr>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第十九条</w:t>
      </w:r>
      <w:r w:rsidR="008E249B">
        <w:rPr>
          <w:rFonts w:ascii="华文仿宋" w:eastAsia="华文仿宋" w:hAnsi="华文仿宋" w:hint="eastAsia"/>
          <w:sz w:val="30"/>
          <w:szCs w:val="30"/>
        </w:rPr>
        <w:t xml:space="preserve"> </w:t>
      </w:r>
      <w:r w:rsidRPr="006E645A">
        <w:rPr>
          <w:rFonts w:ascii="华文仿宋" w:eastAsia="华文仿宋" w:hAnsi="华文仿宋"/>
          <w:sz w:val="30"/>
          <w:szCs w:val="30"/>
        </w:rPr>
        <w:t xml:space="preserve">本规划由德阳市罗江区烟草专卖局负责解释。 </w:t>
      </w:r>
    </w:p>
    <w:p w:rsidR="008C23F4" w:rsidRPr="006E645A" w:rsidRDefault="008C23F4" w:rsidP="008C23F4">
      <w:pPr>
        <w:spacing w:line="600" w:lineRule="exact"/>
        <w:ind w:firstLineChars="200" w:firstLine="600"/>
        <w:rPr>
          <w:rFonts w:ascii="华文仿宋" w:eastAsia="华文仿宋" w:hAnsi="华文仿宋"/>
          <w:sz w:val="30"/>
          <w:szCs w:val="30"/>
        </w:rPr>
      </w:pPr>
      <w:r w:rsidRPr="006E645A">
        <w:rPr>
          <w:rFonts w:ascii="华文仿宋" w:eastAsia="华文仿宋" w:hAnsi="华文仿宋" w:hint="eastAsia"/>
          <w:sz w:val="30"/>
          <w:szCs w:val="30"/>
        </w:rPr>
        <w:t>第二十条</w:t>
      </w:r>
      <w:r w:rsidR="008E249B">
        <w:rPr>
          <w:rFonts w:ascii="华文仿宋" w:eastAsia="华文仿宋" w:hAnsi="华文仿宋" w:hint="eastAsia"/>
          <w:sz w:val="30"/>
          <w:szCs w:val="30"/>
        </w:rPr>
        <w:t xml:space="preserve"> </w:t>
      </w:r>
      <w:r w:rsidRPr="006E645A">
        <w:rPr>
          <w:rFonts w:ascii="华文仿宋" w:eastAsia="华文仿宋" w:hAnsi="华文仿宋" w:hint="eastAsia"/>
          <w:sz w:val="30"/>
          <w:szCs w:val="30"/>
        </w:rPr>
        <w:t>本规划自</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年</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月</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日起实施，有效期五年。原</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年</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月</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日起实施的《德阳市罗江区烟草专卖局</w:t>
      </w:r>
      <w:r w:rsidRPr="006E645A">
        <w:rPr>
          <w:rFonts w:ascii="华文仿宋" w:eastAsia="华文仿宋" w:hAnsi="华文仿宋"/>
          <w:sz w:val="30"/>
          <w:szCs w:val="30"/>
        </w:rPr>
        <w:t xml:space="preserve">  </w:t>
      </w:r>
      <w:r w:rsidRPr="006E645A">
        <w:rPr>
          <w:rFonts w:ascii="华文仿宋" w:eastAsia="华文仿宋" w:hAnsi="华文仿宋" w:hint="eastAsia"/>
          <w:sz w:val="30"/>
          <w:szCs w:val="30"/>
        </w:rPr>
        <w:t>年零售点合理布局规划调整方案》</w:t>
      </w:r>
      <w:r w:rsidRPr="006E645A">
        <w:rPr>
          <w:rFonts w:ascii="华文仿宋" w:eastAsia="华文仿宋" w:hAnsi="华文仿宋"/>
          <w:sz w:val="30"/>
          <w:szCs w:val="30"/>
        </w:rPr>
        <w:t>(</w:t>
      </w:r>
      <w:r w:rsidRPr="006E645A">
        <w:rPr>
          <w:rFonts w:ascii="华文仿宋" w:eastAsia="华文仿宋" w:hAnsi="华文仿宋" w:hint="eastAsia"/>
          <w:sz w:val="30"/>
          <w:szCs w:val="30"/>
        </w:rPr>
        <w:t>罗江</w:t>
      </w:r>
      <w:r w:rsidRPr="006E645A">
        <w:rPr>
          <w:rFonts w:ascii="华文仿宋" w:eastAsia="华文仿宋" w:hAnsi="华文仿宋"/>
          <w:sz w:val="30"/>
          <w:szCs w:val="30"/>
        </w:rPr>
        <w:t>烟专 号)</w:t>
      </w:r>
      <w:r w:rsidRPr="006E645A">
        <w:rPr>
          <w:rFonts w:ascii="华文仿宋" w:eastAsia="华文仿宋" w:hAnsi="华文仿宋" w:hint="eastAsia"/>
          <w:sz w:val="30"/>
          <w:szCs w:val="30"/>
        </w:rPr>
        <w:t>同时废止。</w:t>
      </w:r>
    </w:p>
    <w:p w:rsidR="008C23F4" w:rsidRPr="002D2380" w:rsidRDefault="008C23F4" w:rsidP="008C23F4">
      <w:pPr>
        <w:rPr>
          <w:rFonts w:ascii="华文仿宋" w:eastAsia="华文仿宋" w:hAnsi="华文仿宋"/>
          <w:sz w:val="30"/>
          <w:szCs w:val="30"/>
        </w:rPr>
      </w:pPr>
    </w:p>
    <w:p w:rsidR="008C23F4" w:rsidRPr="006E645A" w:rsidRDefault="008C23F4" w:rsidP="008C23F4">
      <w:pPr>
        <w:ind w:firstLineChars="150" w:firstLine="450"/>
        <w:rPr>
          <w:rFonts w:ascii="华文仿宋" w:eastAsia="华文仿宋" w:hAnsi="华文仿宋"/>
          <w:sz w:val="30"/>
          <w:szCs w:val="30"/>
        </w:rPr>
      </w:pPr>
    </w:p>
    <w:p w:rsidR="008E249B" w:rsidRPr="002D2380" w:rsidRDefault="008C23F4" w:rsidP="008E249B">
      <w:pPr>
        <w:ind w:firstLineChars="150" w:firstLine="489"/>
        <w:jc w:val="left"/>
        <w:rPr>
          <w:rFonts w:ascii="仿宋_GB2312" w:eastAsia="仿宋_GB2312" w:hAnsi="宋体" w:cs="宋体"/>
          <w:bCs/>
          <w:spacing w:val="13"/>
          <w:kern w:val="0"/>
          <w:sz w:val="28"/>
          <w:szCs w:val="28"/>
        </w:rPr>
      </w:pPr>
      <w:r w:rsidRPr="006E645A">
        <w:rPr>
          <w:rFonts w:ascii="华文仿宋" w:eastAsia="华文仿宋" w:hAnsi="华文仿宋" w:cs="宋体" w:hint="eastAsia"/>
          <w:bCs/>
          <w:spacing w:val="13"/>
          <w:kern w:val="0"/>
          <w:sz w:val="30"/>
          <w:szCs w:val="30"/>
        </w:rPr>
        <w:t>附件</w:t>
      </w:r>
      <w:r w:rsidRPr="006E645A">
        <w:rPr>
          <w:rFonts w:ascii="华文仿宋" w:eastAsia="华文仿宋" w:hAnsi="华文仿宋" w:cs="宋体"/>
          <w:bCs/>
          <w:spacing w:val="13"/>
          <w:kern w:val="0"/>
          <w:sz w:val="30"/>
          <w:szCs w:val="30"/>
        </w:rPr>
        <w:t xml:space="preserve">1: </w:t>
      </w:r>
      <w:r w:rsidRPr="006E645A">
        <w:rPr>
          <w:rFonts w:ascii="华文仿宋" w:eastAsia="华文仿宋" w:hAnsi="华文仿宋" w:cs="宋体" w:hint="eastAsia"/>
          <w:bCs/>
          <w:spacing w:val="13"/>
          <w:kern w:val="0"/>
          <w:sz w:val="30"/>
          <w:szCs w:val="30"/>
        </w:rPr>
        <w:t>“</w:t>
      </w:r>
      <w:r w:rsidRPr="006E645A">
        <w:rPr>
          <w:rFonts w:ascii="华文仿宋" w:eastAsia="华文仿宋" w:hAnsi="华文仿宋" w:cs="宋体"/>
          <w:bCs/>
          <w:spacing w:val="13"/>
          <w:kern w:val="0"/>
          <w:sz w:val="30"/>
          <w:szCs w:val="30"/>
        </w:rPr>
        <w:t>4</w:t>
      </w:r>
      <w:r w:rsidRPr="006E645A">
        <w:rPr>
          <w:rFonts w:ascii="华文仿宋" w:eastAsia="华文仿宋" w:hAnsi="华文仿宋" w:cs="宋体" w:hint="eastAsia"/>
          <w:bCs/>
          <w:spacing w:val="13"/>
          <w:kern w:val="0"/>
          <w:sz w:val="30"/>
          <w:szCs w:val="30"/>
        </w:rPr>
        <w:t>个区”分布图，其中</w:t>
      </w:r>
      <w:r w:rsidRPr="006E645A">
        <w:rPr>
          <w:rFonts w:ascii="华文仿宋" w:eastAsia="华文仿宋" w:hAnsi="华文仿宋"/>
          <w:sz w:val="30"/>
          <w:szCs w:val="30"/>
        </w:rPr>
        <w:t>1</w:t>
      </w:r>
      <w:r w:rsidRPr="006E645A">
        <w:rPr>
          <w:rFonts w:ascii="华文仿宋" w:eastAsia="华文仿宋" w:hAnsi="华文仿宋" w:hint="eastAsia"/>
          <w:sz w:val="30"/>
          <w:szCs w:val="30"/>
        </w:rPr>
        <w:t>、</w:t>
      </w:r>
      <w:r w:rsidRPr="006E645A">
        <w:rPr>
          <w:rFonts w:ascii="华文仿宋" w:eastAsia="华文仿宋" w:hAnsi="华文仿宋"/>
          <w:sz w:val="30"/>
          <w:szCs w:val="30"/>
        </w:rPr>
        <w:t>2</w:t>
      </w:r>
      <w:r w:rsidRPr="006E645A">
        <w:rPr>
          <w:rFonts w:ascii="华文仿宋" w:eastAsia="华文仿宋" w:hAnsi="华文仿宋" w:hint="eastAsia"/>
          <w:sz w:val="30"/>
          <w:szCs w:val="30"/>
        </w:rPr>
        <w:t>、</w:t>
      </w:r>
      <w:r w:rsidRPr="006E645A">
        <w:rPr>
          <w:rFonts w:ascii="华文仿宋" w:eastAsia="华文仿宋" w:hAnsi="华文仿宋"/>
          <w:sz w:val="30"/>
          <w:szCs w:val="30"/>
        </w:rPr>
        <w:t>3</w:t>
      </w:r>
      <w:r w:rsidRPr="006E645A">
        <w:rPr>
          <w:rFonts w:ascii="华文仿宋" w:eastAsia="华文仿宋" w:hAnsi="华文仿宋" w:hint="eastAsia"/>
          <w:sz w:val="30"/>
          <w:szCs w:val="30"/>
        </w:rPr>
        <w:t>区域</w:t>
      </w:r>
      <w:r w:rsidRPr="006E645A">
        <w:rPr>
          <w:rFonts w:ascii="华文仿宋" w:eastAsia="华文仿宋" w:hAnsi="华文仿宋"/>
          <w:sz w:val="30"/>
          <w:szCs w:val="30"/>
        </w:rPr>
        <w:t>(含道路两边临街铺面)</w:t>
      </w:r>
      <w:r w:rsidR="008E249B" w:rsidRPr="008E249B">
        <w:rPr>
          <w:rFonts w:ascii="仿宋_GB2312" w:eastAsia="仿宋_GB2312" w:hAnsi="宋体" w:cs="宋体"/>
          <w:bCs/>
          <w:noProof/>
          <w:spacing w:val="13"/>
          <w:kern w:val="0"/>
          <w:sz w:val="28"/>
          <w:szCs w:val="28"/>
        </w:rPr>
        <w:t xml:space="preserve"> </w:t>
      </w:r>
      <w:r w:rsidR="008E249B">
        <w:rPr>
          <w:rFonts w:ascii="仿宋_GB2312" w:eastAsia="仿宋_GB2312" w:hAnsi="宋体" w:cs="宋体"/>
          <w:bCs/>
          <w:noProof/>
          <w:spacing w:val="13"/>
          <w:kern w:val="0"/>
          <w:sz w:val="28"/>
          <w:szCs w:val="28"/>
        </w:rPr>
        <w:lastRenderedPageBreak/>
        <w:drawing>
          <wp:inline distT="0" distB="0" distL="0" distR="0">
            <wp:extent cx="5978537" cy="5467350"/>
            <wp:effectExtent l="19050" t="0" r="3163" b="0"/>
            <wp:docPr id="34" name="图片 7" descr="C:\Users\LJ-ZM-LYB\Documents\Tencent Files\361274173\Image\C2C\Image1\0F2CD55F6275AF6B37C8D6B8178065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J-ZM-LYB\Documents\Tencent Files\361274173\Image\C2C\Image1\0F2CD55F6275AF6B37C8D6B8178065BC.jpg"/>
                    <pic:cNvPicPr>
                      <a:picLocks noChangeAspect="1" noChangeArrowheads="1"/>
                    </pic:cNvPicPr>
                  </pic:nvPicPr>
                  <pic:blipFill>
                    <a:blip r:embed="rId6"/>
                    <a:srcRect/>
                    <a:stretch>
                      <a:fillRect/>
                    </a:stretch>
                  </pic:blipFill>
                  <pic:spPr>
                    <a:xfrm>
                      <a:off x="0" y="0"/>
                      <a:ext cx="5985062" cy="5473317"/>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仿宋_GB2312" w:eastAsia="仿宋_GB2312" w:hAnsi="宋体" w:cs="宋体"/>
          <w:bCs/>
          <w:spacing w:val="13"/>
          <w:kern w:val="0"/>
          <w:sz w:val="28"/>
          <w:szCs w:val="28"/>
        </w:rPr>
      </w:pPr>
      <w:r>
        <w:rPr>
          <w:rFonts w:ascii="仿宋_GB2312" w:eastAsia="仿宋_GB2312" w:hAnsi="宋体" w:cs="宋体"/>
          <w:bCs/>
          <w:noProof/>
          <w:spacing w:val="13"/>
          <w:kern w:val="0"/>
          <w:sz w:val="28"/>
          <w:szCs w:val="28"/>
        </w:rPr>
        <w:lastRenderedPageBreak/>
        <w:drawing>
          <wp:inline distT="0" distB="0" distL="0" distR="0">
            <wp:extent cx="5921895" cy="5181600"/>
            <wp:effectExtent l="19050" t="0" r="2655" b="0"/>
            <wp:docPr id="35" name="图片 6" descr="C:\Users\LJ-ZM-LYB\Documents\Tencent Files\361274173\Image\C2C\Image1\B3FE5CC69ACD126CBEC73C55FBAF06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J-ZM-LYB\Documents\Tencent Files\361274173\Image\C2C\Image1\B3FE5CC69ACD126CBEC73C55FBAF065D.jpg"/>
                    <pic:cNvPicPr>
                      <a:picLocks noChangeAspect="1" noChangeArrowheads="1"/>
                    </pic:cNvPicPr>
                  </pic:nvPicPr>
                  <pic:blipFill>
                    <a:blip r:embed="rId7"/>
                    <a:srcRect/>
                    <a:stretch>
                      <a:fillRect/>
                    </a:stretch>
                  </pic:blipFill>
                  <pic:spPr>
                    <a:xfrm>
                      <a:off x="0" y="0"/>
                      <a:ext cx="5925832" cy="5185045"/>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Times New Roman" w:hAnsi="Times New Roman" w:cs="Times New Roman"/>
          <w:snapToGrid w:val="0"/>
          <w:w w:val="0"/>
          <w:kern w:val="0"/>
          <w:sz w:val="0"/>
          <w:szCs w:val="0"/>
          <w:u w:color="000000"/>
          <w:shd w:val="clear" w:color="000000" w:fill="000000"/>
        </w:rPr>
      </w:pPr>
      <w:r>
        <w:rPr>
          <w:rFonts w:ascii="仿宋_GB2312" w:eastAsia="仿宋_GB2312" w:hAnsi="宋体" w:cs="宋体"/>
          <w:bCs/>
          <w:noProof/>
          <w:spacing w:val="13"/>
          <w:kern w:val="0"/>
          <w:sz w:val="28"/>
          <w:szCs w:val="28"/>
        </w:rPr>
        <w:lastRenderedPageBreak/>
        <w:drawing>
          <wp:inline distT="0" distB="0" distL="0" distR="0">
            <wp:extent cx="5516625" cy="3676650"/>
            <wp:effectExtent l="19050" t="0" r="7875" b="0"/>
            <wp:docPr id="36" name="图片 3" descr="C:\Users\LJ-ZM-LYB\Documents\Tencent Files\361274173\Image\C2C\Image1\432D35CCFBB0DE84A983266460E04C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J-ZM-LYB\Documents\Tencent Files\361274173\Image\C2C\Image1\432D35CCFBB0DE84A983266460E04CEE.jpg"/>
                    <pic:cNvPicPr>
                      <a:picLocks noChangeAspect="1" noChangeArrowheads="1"/>
                    </pic:cNvPicPr>
                  </pic:nvPicPr>
                  <pic:blipFill>
                    <a:blip r:embed="rId8"/>
                    <a:srcRect/>
                    <a:stretch>
                      <a:fillRect/>
                    </a:stretch>
                  </pic:blipFill>
                  <pic:spPr>
                    <a:xfrm>
                      <a:off x="0" y="0"/>
                      <a:ext cx="5521037" cy="3679590"/>
                    </a:xfrm>
                    <a:prstGeom prst="rect">
                      <a:avLst/>
                    </a:prstGeom>
                    <a:noFill/>
                    <a:ln w="9525">
                      <a:noFill/>
                      <a:miter lim="800000"/>
                      <a:headEnd/>
                      <a:tailEnd/>
                    </a:ln>
                  </pic:spPr>
                </pic:pic>
              </a:graphicData>
            </a:graphic>
          </wp:inline>
        </w:drawing>
      </w:r>
      <w:r>
        <w:rPr>
          <w:rFonts w:ascii="仿宋_GB2312" w:eastAsia="仿宋_GB2312" w:hAnsi="宋体" w:cs="宋体"/>
          <w:bCs/>
          <w:noProof/>
          <w:spacing w:val="13"/>
          <w:kern w:val="0"/>
          <w:sz w:val="28"/>
          <w:szCs w:val="28"/>
        </w:rPr>
        <w:lastRenderedPageBreak/>
        <w:drawing>
          <wp:inline distT="0" distB="0" distL="0" distR="0">
            <wp:extent cx="6062345" cy="6652260"/>
            <wp:effectExtent l="19050" t="0" r="0" b="0"/>
            <wp:docPr id="37" name="图片 1" descr="C:\Users\LJ-ZM-LYB\Documents\Tencent Files\361274173\Image\C2C\Image1\8C0E65DAD84494B3D18B33EA6962EE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LJ-ZM-LYB\Documents\Tencent Files\361274173\Image\C2C\Image1\8C0E65DAD84494B3D18B33EA6962EE5E.jpg"/>
                    <pic:cNvPicPr>
                      <a:picLocks noChangeAspect="1" noChangeArrowheads="1"/>
                    </pic:cNvPicPr>
                  </pic:nvPicPr>
                  <pic:blipFill>
                    <a:blip r:embed="rId9"/>
                    <a:srcRect/>
                    <a:stretch>
                      <a:fillRect/>
                    </a:stretch>
                  </pic:blipFill>
                  <pic:spPr>
                    <a:xfrm>
                      <a:off x="0" y="0"/>
                      <a:ext cx="6063793" cy="6653614"/>
                    </a:xfrm>
                    <a:prstGeom prst="rect">
                      <a:avLst/>
                    </a:prstGeom>
                    <a:noFill/>
                    <a:ln w="9525">
                      <a:noFill/>
                      <a:miter lim="800000"/>
                      <a:headEnd/>
                      <a:tailEnd/>
                    </a:ln>
                  </pic:spPr>
                </pic:pic>
              </a:graphicData>
            </a:graphic>
          </wp:inline>
        </w:drawing>
      </w:r>
      <w:r>
        <w:rPr>
          <w:rFonts w:ascii="仿宋_GB2312" w:eastAsia="仿宋_GB2312" w:hAnsi="宋体" w:cs="宋体"/>
          <w:bCs/>
          <w:noProof/>
          <w:spacing w:val="13"/>
          <w:kern w:val="0"/>
          <w:sz w:val="28"/>
          <w:szCs w:val="28"/>
        </w:rPr>
        <w:lastRenderedPageBreak/>
        <w:drawing>
          <wp:inline distT="0" distB="0" distL="0" distR="0">
            <wp:extent cx="6626860" cy="3965575"/>
            <wp:effectExtent l="19050" t="0" r="1964" b="0"/>
            <wp:docPr id="38" name="图片 4" descr="C:\Users\LJ-ZM-LYB\Documents\Tencent Files\361274173\Image\C2C\Image1\15170E5FB0BC86FAB6A00E61996E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J-ZM-LYB\Documents\Tencent Files\361274173\Image\C2C\Image1\15170E5FB0BC86FAB6A00E61996E6622.jpg"/>
                    <pic:cNvPicPr>
                      <a:picLocks noChangeAspect="1" noChangeArrowheads="1"/>
                    </pic:cNvPicPr>
                  </pic:nvPicPr>
                  <pic:blipFill>
                    <a:blip r:embed="rId10"/>
                    <a:srcRect/>
                    <a:stretch>
                      <a:fillRect/>
                    </a:stretch>
                  </pic:blipFill>
                  <pic:spPr>
                    <a:xfrm>
                      <a:off x="0" y="0"/>
                      <a:ext cx="6631239" cy="39682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w w:val="0"/>
          <w:kern w:val="0"/>
          <w:sz w:val="0"/>
          <w:szCs w:val="0"/>
          <w:u w:color="000000"/>
          <w:shd w:val="clear" w:color="000000" w:fill="000000"/>
        </w:rPr>
        <w:drawing>
          <wp:inline distT="0" distB="0" distL="0" distR="0">
            <wp:extent cx="6532880" cy="3721100"/>
            <wp:effectExtent l="19050" t="0" r="1104" b="0"/>
            <wp:docPr id="39" name="图片 3" descr="C:\Users\LJ-ZM-LYB\Documents\Tencent Files\361274173\Image\C2C\Image1\4F438ABD46D60CF648CC0B5AAB276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C:\Users\LJ-ZM-LYB\Documents\Tencent Files\361274173\Image\C2C\Image1\4F438ABD46D60CF648CC0B5AAB276662.jpg"/>
                    <pic:cNvPicPr>
                      <a:picLocks noChangeAspect="1" noChangeArrowheads="1"/>
                    </pic:cNvPicPr>
                  </pic:nvPicPr>
                  <pic:blipFill>
                    <a:blip r:embed="rId11"/>
                    <a:srcRect/>
                    <a:stretch>
                      <a:fillRect/>
                    </a:stretch>
                  </pic:blipFill>
                  <pic:spPr>
                    <a:xfrm>
                      <a:off x="0" y="0"/>
                      <a:ext cx="6537416" cy="3723884"/>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仿宋_GB2312" w:eastAsia="仿宋_GB2312" w:hAnsi="宋体" w:cs="宋体"/>
          <w:bCs/>
          <w:spacing w:val="13"/>
          <w:kern w:val="0"/>
          <w:sz w:val="28"/>
          <w:szCs w:val="28"/>
        </w:rPr>
      </w:pPr>
      <w:r>
        <w:rPr>
          <w:rFonts w:ascii="仿宋_GB2312" w:eastAsia="仿宋_GB2312" w:hAnsi="宋体" w:cs="宋体"/>
          <w:bCs/>
          <w:noProof/>
          <w:spacing w:val="13"/>
          <w:kern w:val="0"/>
          <w:sz w:val="28"/>
          <w:szCs w:val="28"/>
        </w:rPr>
        <w:lastRenderedPageBreak/>
        <w:drawing>
          <wp:inline distT="0" distB="0" distL="0" distR="0">
            <wp:extent cx="6360160" cy="7313295"/>
            <wp:effectExtent l="19050" t="0" r="2215" b="0"/>
            <wp:docPr id="40" name="图片 5" descr="C:\Users\LJ-ZM-LYB\Documents\Tencent Files\361274173\Image\C2C\Image1\8C4EC2A4DFE1DD7DDFBE246DF14DA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J-ZM-LYB\Documents\Tencent Files\361274173\Image\C2C\Image1\8C4EC2A4DFE1DD7DDFBE246DF14DA5FD.jpg"/>
                    <pic:cNvPicPr>
                      <a:picLocks noChangeAspect="1" noChangeArrowheads="1"/>
                    </pic:cNvPicPr>
                  </pic:nvPicPr>
                  <pic:blipFill>
                    <a:blip r:embed="rId12"/>
                    <a:srcRect/>
                    <a:stretch>
                      <a:fillRect/>
                    </a:stretch>
                  </pic:blipFill>
                  <pic:spPr>
                    <a:xfrm>
                      <a:off x="0" y="0"/>
                      <a:ext cx="6361811" cy="7315200"/>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仿宋_GB2312" w:eastAsia="仿宋_GB2312" w:hAnsi="宋体" w:cs="宋体"/>
          <w:bCs/>
          <w:spacing w:val="13"/>
          <w:kern w:val="0"/>
          <w:sz w:val="28"/>
          <w:szCs w:val="28"/>
        </w:rPr>
      </w:pPr>
      <w:r>
        <w:rPr>
          <w:rFonts w:ascii="仿宋_GB2312" w:eastAsia="仿宋_GB2312" w:hAnsi="宋体" w:cs="宋体"/>
          <w:bCs/>
          <w:noProof/>
          <w:spacing w:val="13"/>
          <w:kern w:val="0"/>
          <w:sz w:val="28"/>
          <w:szCs w:val="28"/>
        </w:rPr>
        <w:lastRenderedPageBreak/>
        <w:drawing>
          <wp:inline distT="0" distB="0" distL="0" distR="0">
            <wp:extent cx="6092190" cy="6677025"/>
            <wp:effectExtent l="19050" t="0" r="3490" b="0"/>
            <wp:docPr id="41" name="图片 2" descr="C:\Users\LJ-ZM-LYB\Documents\Tencent Files\361274173\Image\C2C\Image1\930FE41A2D76D45F09C865B602E420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J-ZM-LYB\Documents\Tencent Files\361274173\Image\C2C\Image1\930FE41A2D76D45F09C865B602E4202C.jpg"/>
                    <pic:cNvPicPr>
                      <a:picLocks noChangeAspect="1" noChangeArrowheads="1"/>
                    </pic:cNvPicPr>
                  </pic:nvPicPr>
                  <pic:blipFill>
                    <a:blip r:embed="rId13"/>
                    <a:srcRect/>
                    <a:stretch>
                      <a:fillRect/>
                    </a:stretch>
                  </pic:blipFill>
                  <pic:spPr>
                    <a:xfrm>
                      <a:off x="0" y="0"/>
                      <a:ext cx="6095825" cy="6680881"/>
                    </a:xfrm>
                    <a:prstGeom prst="rect">
                      <a:avLst/>
                    </a:prstGeom>
                    <a:noFill/>
                    <a:ln w="9525">
                      <a:noFill/>
                      <a:miter lim="800000"/>
                      <a:headEnd/>
                      <a:tailEnd/>
                    </a:ln>
                  </pic:spPr>
                </pic:pic>
              </a:graphicData>
            </a:graphic>
          </wp:inline>
        </w:drawing>
      </w:r>
      <w:r>
        <w:rPr>
          <w:rFonts w:ascii="仿宋_GB2312" w:eastAsia="仿宋_GB2312" w:hAnsi="宋体" w:cs="宋体"/>
          <w:bCs/>
          <w:noProof/>
          <w:spacing w:val="13"/>
          <w:kern w:val="0"/>
          <w:sz w:val="28"/>
          <w:szCs w:val="28"/>
        </w:rPr>
        <w:drawing>
          <wp:inline distT="0" distB="0" distL="0" distR="0">
            <wp:extent cx="6541135" cy="1732915"/>
            <wp:effectExtent l="19050" t="0" r="0" b="0"/>
            <wp:docPr id="42" name="图片 8" descr="C:\Users\LJ-ZM-LYB\Documents\Tencent Files\361274173\Image\C2C\Image1\FB45632AF6C7118E5E2807D0B143D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J-ZM-LYB\Documents\Tencent Files\361274173\Image\C2C\Image1\FB45632AF6C7118E5E2807D0B143D067.jpg"/>
                    <pic:cNvPicPr>
                      <a:picLocks noChangeAspect="1" noChangeArrowheads="1"/>
                    </pic:cNvPicPr>
                  </pic:nvPicPr>
                  <pic:blipFill>
                    <a:blip r:embed="rId14"/>
                    <a:srcRect/>
                    <a:stretch>
                      <a:fillRect/>
                    </a:stretch>
                  </pic:blipFill>
                  <pic:spPr>
                    <a:xfrm>
                      <a:off x="0" y="0"/>
                      <a:ext cx="6562692" cy="1738659"/>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仿宋_GB2312" w:eastAsia="仿宋_GB2312" w:hAnsi="宋体" w:cs="宋体"/>
          <w:bCs/>
          <w:spacing w:val="13"/>
          <w:kern w:val="0"/>
          <w:sz w:val="28"/>
          <w:szCs w:val="28"/>
        </w:rPr>
      </w:pPr>
      <w:r>
        <w:rPr>
          <w:rFonts w:ascii="仿宋_GB2312" w:eastAsia="仿宋_GB2312" w:hAnsi="宋体" w:cs="宋体"/>
          <w:bCs/>
          <w:noProof/>
          <w:spacing w:val="13"/>
          <w:kern w:val="0"/>
          <w:sz w:val="28"/>
          <w:szCs w:val="28"/>
        </w:rPr>
        <w:lastRenderedPageBreak/>
        <w:drawing>
          <wp:inline distT="0" distB="0" distL="0" distR="0">
            <wp:extent cx="5911850" cy="4156710"/>
            <wp:effectExtent l="19050" t="0" r="0" b="0"/>
            <wp:docPr id="43" name="图片 9" descr="C:\Users\LJ-ZM-LYB\Documents\Tencent Files\361274173\Image\C2C\Image1\14F55F8998391BF775BB950A9C7C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J-ZM-LYB\Documents\Tencent Files\361274173\Image\C2C\Image1\14F55F8998391BF775BB950A9C7C1407.jpg"/>
                    <pic:cNvPicPr>
                      <a:picLocks noChangeAspect="1" noChangeArrowheads="1"/>
                    </pic:cNvPicPr>
                  </pic:nvPicPr>
                  <pic:blipFill>
                    <a:blip r:embed="rId15"/>
                    <a:srcRect/>
                    <a:stretch>
                      <a:fillRect/>
                    </a:stretch>
                  </pic:blipFill>
                  <pic:spPr>
                    <a:xfrm>
                      <a:off x="0" y="0"/>
                      <a:ext cx="5921661" cy="4163982"/>
                    </a:xfrm>
                    <a:prstGeom prst="rect">
                      <a:avLst/>
                    </a:prstGeom>
                    <a:noFill/>
                    <a:ln w="9525">
                      <a:noFill/>
                      <a:miter lim="800000"/>
                      <a:headEnd/>
                      <a:tailEnd/>
                    </a:ln>
                  </pic:spPr>
                </pic:pic>
              </a:graphicData>
            </a:graphic>
          </wp:inline>
        </w:drawing>
      </w:r>
    </w:p>
    <w:p w:rsidR="008E249B" w:rsidRPr="002D2380" w:rsidRDefault="008E249B" w:rsidP="008E249B">
      <w:pPr>
        <w:ind w:firstLineChars="150" w:firstLine="420"/>
        <w:rPr>
          <w:rFonts w:ascii="仿宋_GB2312" w:eastAsia="仿宋_GB2312" w:hAnsi="宋体" w:cs="宋体"/>
          <w:bCs/>
          <w:spacing w:val="13"/>
          <w:kern w:val="0"/>
          <w:sz w:val="28"/>
          <w:szCs w:val="28"/>
        </w:rPr>
      </w:pPr>
      <w:r>
        <w:rPr>
          <w:rFonts w:ascii="仿宋_GB2312" w:eastAsia="仿宋_GB2312" w:hAnsi="宋体" w:cs="宋体"/>
          <w:bCs/>
          <w:noProof/>
          <w:spacing w:val="13"/>
          <w:kern w:val="0"/>
          <w:sz w:val="28"/>
          <w:szCs w:val="28"/>
        </w:rPr>
        <w:drawing>
          <wp:inline distT="0" distB="0" distL="0" distR="0">
            <wp:extent cx="6243320" cy="4056380"/>
            <wp:effectExtent l="19050" t="0" r="4873" b="0"/>
            <wp:docPr id="44" name="图片 1" descr="C:\Users\LJ-ZM-LYB\Documents\Tencent Files\361274173\Image\C2C\Image1\51EB4DFB892C2E7A97EF949D9D608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J-ZM-LYB\Documents\Tencent Files\361274173\Image\C2C\Image1\51EB4DFB892C2E7A97EF949D9D608639.jpg"/>
                    <pic:cNvPicPr>
                      <a:picLocks noChangeAspect="1" noChangeArrowheads="1"/>
                    </pic:cNvPicPr>
                  </pic:nvPicPr>
                  <pic:blipFill>
                    <a:blip r:embed="rId16"/>
                    <a:srcRect/>
                    <a:stretch>
                      <a:fillRect/>
                    </a:stretch>
                  </pic:blipFill>
                  <pic:spPr>
                    <a:xfrm>
                      <a:off x="0" y="0"/>
                      <a:ext cx="6249330" cy="4060363"/>
                    </a:xfrm>
                    <a:prstGeom prst="rect">
                      <a:avLst/>
                    </a:prstGeom>
                    <a:noFill/>
                    <a:ln w="9525">
                      <a:noFill/>
                      <a:miter lim="800000"/>
                      <a:headEnd/>
                      <a:tailEnd/>
                    </a:ln>
                  </pic:spPr>
                </pic:pic>
              </a:graphicData>
            </a:graphic>
          </wp:inline>
        </w:drawing>
      </w:r>
    </w:p>
    <w:p w:rsidR="008E249B" w:rsidRDefault="008E249B" w:rsidP="008E249B">
      <w:pPr>
        <w:ind w:firstLine="480"/>
        <w:rPr>
          <w:rFonts w:ascii="华文仿宋" w:eastAsia="华文仿宋" w:hAnsi="华文仿宋"/>
          <w:sz w:val="32"/>
          <w:szCs w:val="32"/>
        </w:rPr>
      </w:pPr>
    </w:p>
    <w:p w:rsidR="008E249B" w:rsidRPr="002D2380" w:rsidRDefault="008E249B" w:rsidP="008E249B">
      <w:pPr>
        <w:ind w:firstLineChars="150" w:firstLine="459"/>
        <w:rPr>
          <w:rFonts w:ascii="仿宋_GB2312" w:eastAsia="仿宋_GB2312" w:hAnsi="宋体" w:cs="宋体"/>
          <w:bCs/>
          <w:spacing w:val="13"/>
          <w:kern w:val="0"/>
          <w:sz w:val="28"/>
          <w:szCs w:val="28"/>
        </w:rPr>
      </w:pPr>
      <w:r w:rsidRPr="002D2380">
        <w:rPr>
          <w:rFonts w:ascii="仿宋_GB2312" w:eastAsia="仿宋_GB2312" w:hAnsi="宋体" w:cs="宋体"/>
          <w:bCs/>
          <w:spacing w:val="13"/>
          <w:kern w:val="0"/>
          <w:sz w:val="28"/>
          <w:szCs w:val="28"/>
        </w:rPr>
        <w:lastRenderedPageBreak/>
        <w:t xml:space="preserve"> </w:t>
      </w:r>
    </w:p>
    <w:p w:rsidR="002156BE" w:rsidRPr="008E249B" w:rsidRDefault="002156BE" w:rsidP="008E249B">
      <w:pPr>
        <w:jc w:val="left"/>
        <w:rPr>
          <w:rFonts w:ascii="仿宋_GB2312" w:eastAsia="仿宋_GB2312" w:hAnsi="宋体" w:cs="宋体"/>
          <w:bCs/>
          <w:spacing w:val="13"/>
          <w:kern w:val="0"/>
          <w:sz w:val="28"/>
          <w:szCs w:val="28"/>
        </w:rPr>
      </w:pPr>
    </w:p>
    <w:sectPr w:rsidR="002156BE" w:rsidRPr="008E249B" w:rsidSect="00B25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0D7" w:rsidRDefault="003620D7" w:rsidP="008E249B">
      <w:r>
        <w:separator/>
      </w:r>
    </w:p>
  </w:endnote>
  <w:endnote w:type="continuationSeparator" w:id="1">
    <w:p w:rsidR="003620D7" w:rsidRDefault="003620D7" w:rsidP="008E2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0D7" w:rsidRDefault="003620D7" w:rsidP="008E249B">
      <w:r>
        <w:separator/>
      </w:r>
    </w:p>
  </w:footnote>
  <w:footnote w:type="continuationSeparator" w:id="1">
    <w:p w:rsidR="003620D7" w:rsidRDefault="003620D7" w:rsidP="008E2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3F4"/>
    <w:rsid w:val="002156BE"/>
    <w:rsid w:val="003620D7"/>
    <w:rsid w:val="008C23F4"/>
    <w:rsid w:val="008E249B"/>
    <w:rsid w:val="00A93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C23F4"/>
    <w:pPr>
      <w:widowControl/>
      <w:spacing w:before="100" w:beforeAutospacing="1" w:after="100" w:afterAutospacing="1"/>
      <w:jc w:val="left"/>
    </w:pPr>
    <w:rPr>
      <w:rFonts w:ascii="宋体" w:eastAsia="宋体" w:hAnsi="宋体" w:cs="宋体"/>
      <w:kern w:val="0"/>
      <w:sz w:val="24"/>
      <w:szCs w:val="24"/>
    </w:rPr>
  </w:style>
  <w:style w:type="paragraph" w:customStyle="1" w:styleId="a4">
    <w:name w:val="方正正文"/>
    <w:basedOn w:val="a"/>
    <w:qFormat/>
    <w:rsid w:val="008C23F4"/>
    <w:pPr>
      <w:snapToGrid w:val="0"/>
      <w:spacing w:line="319" w:lineRule="auto"/>
      <w:ind w:firstLineChars="200" w:firstLine="200"/>
    </w:pPr>
    <w:rPr>
      <w:rFonts w:ascii="Times New Roman" w:eastAsia="方正仿宋" w:hAnsi="Times New Roman" w:cs="Times New Roman"/>
      <w:sz w:val="32"/>
      <w:szCs w:val="24"/>
    </w:rPr>
  </w:style>
  <w:style w:type="paragraph" w:styleId="a5">
    <w:name w:val="header"/>
    <w:basedOn w:val="a"/>
    <w:link w:val="Char"/>
    <w:uiPriority w:val="99"/>
    <w:semiHidden/>
    <w:unhideWhenUsed/>
    <w:rsid w:val="008E2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E249B"/>
    <w:rPr>
      <w:sz w:val="18"/>
      <w:szCs w:val="18"/>
    </w:rPr>
  </w:style>
  <w:style w:type="paragraph" w:styleId="a6">
    <w:name w:val="footer"/>
    <w:basedOn w:val="a"/>
    <w:link w:val="Char0"/>
    <w:uiPriority w:val="99"/>
    <w:semiHidden/>
    <w:unhideWhenUsed/>
    <w:rsid w:val="008E249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E249B"/>
    <w:rPr>
      <w:sz w:val="18"/>
      <w:szCs w:val="18"/>
    </w:rPr>
  </w:style>
  <w:style w:type="paragraph" w:styleId="a7">
    <w:name w:val="Balloon Text"/>
    <w:basedOn w:val="a"/>
    <w:link w:val="Char1"/>
    <w:uiPriority w:val="99"/>
    <w:semiHidden/>
    <w:unhideWhenUsed/>
    <w:rsid w:val="008E249B"/>
    <w:rPr>
      <w:sz w:val="18"/>
      <w:szCs w:val="18"/>
    </w:rPr>
  </w:style>
  <w:style w:type="character" w:customStyle="1" w:styleId="Char1">
    <w:name w:val="批注框文本 Char"/>
    <w:basedOn w:val="a0"/>
    <w:link w:val="a7"/>
    <w:uiPriority w:val="99"/>
    <w:semiHidden/>
    <w:rsid w:val="008E24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dc:creator>
  <cp:lastModifiedBy>史荣山</cp:lastModifiedBy>
  <cp:revision>2</cp:revision>
  <dcterms:created xsi:type="dcterms:W3CDTF">2023-06-20T03:17:00Z</dcterms:created>
  <dcterms:modified xsi:type="dcterms:W3CDTF">2023-06-20T03:27:00Z</dcterms:modified>
</cp:coreProperties>
</file>