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outlineLvl w:val="0"/>
        <w:rPr>
          <w:rFonts w:ascii="方正小标宋简体" w:hAnsi="宋体" w:eastAsia="方正小标宋简体"/>
          <w:color w:val="000000"/>
          <w:sz w:val="72"/>
          <w:szCs w:val="72"/>
        </w:rPr>
      </w:pPr>
      <w:r>
        <w:rPr>
          <w:rFonts w:ascii="黑体" w:hAnsi="黑体" w:eastAsia="黑体"/>
          <w:color w:val="000000"/>
          <w:sz w:val="72"/>
          <w:szCs w:val="72"/>
        </w:rPr>
        <w:t>20</w:t>
      </w:r>
      <w:r>
        <w:rPr>
          <w:rFonts w:hint="eastAsia" w:ascii="黑体" w:hAnsi="黑体" w:eastAsia="黑体"/>
          <w:color w:val="000000"/>
          <w:sz w:val="72"/>
          <w:szCs w:val="72"/>
        </w:rPr>
        <w:t>23</w:t>
      </w:r>
      <w:r>
        <w:rPr>
          <w:rFonts w:hint="eastAsia" w:ascii="方正小标宋简体" w:hAnsi="宋体" w:eastAsia="方正小标宋简体"/>
          <w:color w:val="000000"/>
          <w:sz w:val="72"/>
          <w:szCs w:val="72"/>
        </w:rPr>
        <w:t>年度</w:t>
      </w:r>
    </w:p>
    <w:p>
      <w:pPr>
        <w:adjustRightInd w:val="0"/>
        <w:snapToGrid w:val="0"/>
        <w:spacing w:line="360" w:lineRule="auto"/>
        <w:jc w:val="center"/>
        <w:outlineLvl w:val="0"/>
        <w:rPr>
          <w:rFonts w:ascii="方正小标宋简体" w:hAnsi="宋体" w:eastAsia="方正小标宋简体"/>
          <w:color w:val="000000"/>
          <w:sz w:val="72"/>
          <w:szCs w:val="72"/>
        </w:rPr>
      </w:pPr>
      <w:bookmarkStart w:id="0" w:name="_Toc15396476"/>
      <w:bookmarkStart w:id="1" w:name="_Toc15396598"/>
      <w:bookmarkStart w:id="2" w:name="_Toc15378442"/>
      <w:bookmarkStart w:id="3" w:name="_Toc15377194"/>
      <w:bookmarkStart w:id="4" w:name="_Toc15306268"/>
      <w:bookmarkStart w:id="5" w:name="_Toc15377426"/>
      <w:r>
        <w:rPr>
          <w:rFonts w:hint="eastAsia" w:ascii="方正小标宋简体" w:hAnsi="宋体" w:eastAsia="方正小标宋简体"/>
          <w:color w:val="000000"/>
          <w:w w:val="90"/>
          <w:sz w:val="72"/>
          <w:szCs w:val="72"/>
        </w:rPr>
        <w:t>中共德阳市罗江区委统战部</w:t>
      </w:r>
      <w:r>
        <w:rPr>
          <w:rFonts w:hint="eastAsia" w:ascii="方正小标宋简体" w:hAnsi="宋体" w:eastAsia="方正小标宋简体"/>
          <w:color w:val="000000"/>
          <w:sz w:val="72"/>
          <w:szCs w:val="72"/>
        </w:rPr>
        <w:t>部门</w:t>
      </w:r>
      <w:bookmarkEnd w:id="0"/>
      <w:bookmarkEnd w:id="1"/>
      <w:bookmarkEnd w:id="2"/>
      <w:bookmarkEnd w:id="3"/>
      <w:bookmarkEnd w:id="4"/>
      <w:bookmarkEnd w:id="5"/>
      <w:r>
        <w:rPr>
          <w:rFonts w:hint="eastAsia" w:ascii="方正小标宋简体" w:hAnsi="宋体" w:eastAsia="方正小标宋简体"/>
          <w:color w:val="000000"/>
          <w:sz w:val="72"/>
          <w:szCs w:val="72"/>
        </w:rPr>
        <w:t>预算公开</w:t>
      </w:r>
    </w:p>
    <w:p>
      <w:pPr>
        <w:widowControl/>
        <w:spacing w:before="100" w:beforeAutospacing="1" w:after="100" w:afterAutospacing="1"/>
        <w:ind w:firstLine="640"/>
        <w:jc w:val="left"/>
        <w:rPr>
          <w:rFonts w:ascii="仿宋_GB2312" w:hAnsi="宋体" w:eastAsia="仿宋_GB2312" w:cs="宋体"/>
          <w:color w:val="000000"/>
          <w:kern w:val="0"/>
          <w:sz w:val="32"/>
          <w:szCs w:val="32"/>
          <w:shd w:val="clear" w:color="auto" w:fill="FFFFFF"/>
        </w:rPr>
      </w:pPr>
    </w:p>
    <w:p>
      <w:pPr>
        <w:widowControl/>
        <w:spacing w:before="100" w:beforeAutospacing="1" w:after="100" w:afterAutospacing="1"/>
        <w:ind w:firstLine="640"/>
        <w:jc w:val="left"/>
        <w:rPr>
          <w:rFonts w:ascii="仿宋_GB2312" w:hAnsi="宋体" w:eastAsia="仿宋_GB2312" w:cs="宋体"/>
          <w:color w:val="000000"/>
          <w:kern w:val="0"/>
          <w:sz w:val="32"/>
          <w:szCs w:val="32"/>
          <w:shd w:val="clear" w:color="auto" w:fill="FFFFFF"/>
        </w:rPr>
      </w:pPr>
      <w:bookmarkStart w:id="6" w:name="_GoBack"/>
      <w:bookmarkEnd w:id="6"/>
    </w:p>
    <w:p>
      <w:pPr>
        <w:widowControl/>
        <w:spacing w:before="100" w:beforeAutospacing="1" w:after="100" w:afterAutospacing="1"/>
        <w:ind w:firstLine="640"/>
        <w:jc w:val="left"/>
        <w:rPr>
          <w:rFonts w:ascii="仿宋_GB2312" w:hAnsi="宋体" w:eastAsia="仿宋_GB2312" w:cs="宋体"/>
          <w:color w:val="000000"/>
          <w:kern w:val="0"/>
          <w:sz w:val="32"/>
          <w:szCs w:val="32"/>
          <w:shd w:val="clear" w:color="auto" w:fill="FFFFFF"/>
        </w:rPr>
      </w:pPr>
    </w:p>
    <w:p>
      <w:pPr>
        <w:widowControl/>
        <w:spacing w:before="100" w:beforeAutospacing="1" w:after="100" w:afterAutospacing="1"/>
        <w:ind w:firstLine="640"/>
        <w:jc w:val="left"/>
        <w:rPr>
          <w:rFonts w:ascii="仿宋_GB2312" w:hAnsi="宋体" w:eastAsia="仿宋_GB2312" w:cs="宋体"/>
          <w:color w:val="000000"/>
          <w:kern w:val="0"/>
          <w:sz w:val="32"/>
          <w:szCs w:val="32"/>
          <w:shd w:val="clear" w:color="auto" w:fill="FFFFFF"/>
        </w:rPr>
      </w:pPr>
    </w:p>
    <w:p>
      <w:pPr>
        <w:widowControl/>
        <w:spacing w:before="100" w:beforeAutospacing="1" w:after="100" w:afterAutospacing="1"/>
        <w:ind w:firstLine="640"/>
        <w:jc w:val="left"/>
        <w:rPr>
          <w:rFonts w:ascii="仿宋_GB2312" w:hAnsi="宋体" w:eastAsia="仿宋_GB2312" w:cs="宋体"/>
          <w:color w:val="000000"/>
          <w:kern w:val="0"/>
          <w:sz w:val="32"/>
          <w:szCs w:val="32"/>
          <w:shd w:val="clear" w:color="auto" w:fill="FFFFFF"/>
        </w:rPr>
      </w:pPr>
    </w:p>
    <w:p>
      <w:pPr>
        <w:widowControl/>
        <w:jc w:val="center"/>
        <w:rPr>
          <w:rFonts w:ascii="黑体" w:hAnsi="黑体" w:eastAsia="黑体"/>
          <w:color w:val="000000"/>
          <w:szCs w:val="48"/>
        </w:rPr>
        <w:sectPr>
          <w:pgSz w:w="11906" w:h="16838"/>
          <w:pgMar w:top="1440" w:right="1800" w:bottom="1440" w:left="1800" w:header="851" w:footer="992" w:gutter="0"/>
          <w:cols w:space="425" w:num="1"/>
          <w:docGrid w:type="lines" w:linePitch="312" w:charSpace="0"/>
        </w:sectPr>
      </w:pPr>
    </w:p>
    <w:p>
      <w:pPr>
        <w:widowControl/>
        <w:jc w:val="center"/>
        <w:rPr>
          <w:rFonts w:ascii="黑体" w:hAnsi="黑体" w:eastAsia="黑体"/>
          <w:color w:val="000000"/>
          <w:szCs w:val="48"/>
        </w:rPr>
      </w:pPr>
      <w:r>
        <w:rPr>
          <w:rFonts w:hint="eastAsia" w:ascii="黑体" w:hAnsi="黑体" w:eastAsia="黑体"/>
          <w:color w:val="000000"/>
          <w:szCs w:val="48"/>
        </w:rPr>
        <w:t>目录</w:t>
      </w:r>
    </w:p>
    <w:p>
      <w:pPr>
        <w:widowControl/>
        <w:jc w:val="center"/>
        <w:rPr>
          <w:rFonts w:ascii="黑体" w:hAnsi="黑体" w:eastAsia="黑体" w:cstheme="minorBidi"/>
          <w:sz w:val="28"/>
          <w:szCs w:val="28"/>
        </w:rPr>
      </w:pPr>
    </w:p>
    <w:p>
      <w:pPr>
        <w:pStyle w:val="18"/>
        <w:tabs>
          <w:tab w:val="right" w:leader="dot" w:pos="8845"/>
        </w:tabs>
        <w:rPr>
          <w:rFonts w:ascii="仿宋_GB2312" w:hAnsi="仿宋_GB2312" w:eastAsia="仿宋_GB2312" w:cstheme="minorBidi"/>
          <w:kern w:val="2"/>
          <w:sz w:val="32"/>
          <w:szCs w:val="32"/>
        </w:rPr>
      </w:pPr>
      <w:r>
        <w:rPr>
          <w:rStyle w:val="9"/>
          <w:rFonts w:hint="eastAsia"/>
          <w:sz w:val="41"/>
        </w:rPr>
        <w:fldChar w:fldCharType="begin"/>
      </w:r>
      <w:r>
        <w:rPr>
          <w:rStyle w:val="9"/>
          <w:rFonts w:hint="eastAsia" w:ascii="ˎ̥" w:hAnsi="ˎ̥"/>
          <w:b/>
          <w:bCs/>
          <w:color w:val="000000"/>
          <w:sz w:val="41"/>
          <w:szCs w:val="41"/>
        </w:rPr>
        <w:instrText xml:space="preserve">TOC \o "1-2" \h \u </w:instrText>
      </w:r>
      <w:r>
        <w:rPr>
          <w:rStyle w:val="9"/>
          <w:rFonts w:hint="eastAsia"/>
          <w:sz w:val="41"/>
        </w:rPr>
        <w:fldChar w:fldCharType="separate"/>
      </w:r>
      <w:r>
        <w:fldChar w:fldCharType="begin"/>
      </w:r>
      <w:r>
        <w:instrText xml:space="preserve"> HYPERLINK \l "_Toc28770" </w:instrText>
      </w:r>
      <w:r>
        <w:fldChar w:fldCharType="separate"/>
      </w:r>
      <w:r>
        <w:rPr>
          <w:rFonts w:hint="eastAsia" w:ascii="仿宋_GB2312" w:hAnsi="仿宋_GB2312" w:eastAsia="仿宋_GB2312" w:cstheme="minorBidi"/>
          <w:kern w:val="2"/>
          <w:sz w:val="32"/>
          <w:szCs w:val="32"/>
        </w:rPr>
        <w:t>一、基本职能及主要工作</w:t>
      </w:r>
      <w:r>
        <w:rPr>
          <w:rFonts w:hint="eastAsia" w:ascii="仿宋_GB2312" w:hAnsi="仿宋_GB2312" w:eastAsia="仿宋_GB2312" w:cstheme="minorBidi"/>
          <w:kern w:val="2"/>
          <w:sz w:val="32"/>
          <w:szCs w:val="32"/>
        </w:rPr>
        <w:tab/>
      </w:r>
      <w:r>
        <w:rPr>
          <w:rFonts w:hint="eastAsia" w:ascii="仿宋_GB2312" w:hAnsi="仿宋_GB2312" w:eastAsia="仿宋_GB2312" w:cstheme="minorBidi"/>
          <w:kern w:val="2"/>
          <w:sz w:val="32"/>
          <w:szCs w:val="32"/>
        </w:rPr>
        <w:fldChar w:fldCharType="begin"/>
      </w:r>
      <w:r>
        <w:rPr>
          <w:rFonts w:hint="eastAsia" w:ascii="仿宋_GB2312" w:hAnsi="仿宋_GB2312" w:eastAsia="仿宋_GB2312" w:cstheme="minorBidi"/>
          <w:kern w:val="2"/>
          <w:sz w:val="32"/>
          <w:szCs w:val="32"/>
        </w:rPr>
        <w:instrText xml:space="preserve"> PAGEREF _Toc28770 \h </w:instrText>
      </w:r>
      <w:r>
        <w:rPr>
          <w:rFonts w:hint="eastAsia" w:ascii="仿宋_GB2312" w:hAnsi="仿宋_GB2312" w:eastAsia="仿宋_GB2312" w:cstheme="minorBidi"/>
          <w:kern w:val="2"/>
          <w:sz w:val="32"/>
          <w:szCs w:val="32"/>
        </w:rPr>
        <w:fldChar w:fldCharType="separate"/>
      </w:r>
      <w:r>
        <w:rPr>
          <w:rFonts w:hint="eastAsia" w:ascii="仿宋_GB2312" w:hAnsi="仿宋_GB2312" w:eastAsia="仿宋_GB2312" w:cstheme="minorBidi"/>
          <w:kern w:val="2"/>
          <w:sz w:val="32"/>
          <w:szCs w:val="32"/>
        </w:rPr>
        <w:t>1</w:t>
      </w:r>
      <w:r>
        <w:rPr>
          <w:rFonts w:hint="eastAsia" w:ascii="仿宋_GB2312" w:hAnsi="仿宋_GB2312" w:eastAsia="仿宋_GB2312" w:cstheme="minorBidi"/>
          <w:kern w:val="2"/>
          <w:sz w:val="32"/>
          <w:szCs w:val="32"/>
        </w:rPr>
        <w:fldChar w:fldCharType="end"/>
      </w:r>
      <w:r>
        <w:rPr>
          <w:rFonts w:hint="eastAsia" w:ascii="仿宋_GB2312" w:hAnsi="仿宋_GB2312" w:eastAsia="仿宋_GB2312" w:cstheme="minorBidi"/>
          <w:kern w:val="2"/>
          <w:sz w:val="32"/>
          <w:szCs w:val="32"/>
        </w:rPr>
        <w:fldChar w:fldCharType="end"/>
      </w:r>
    </w:p>
    <w:p>
      <w:pPr>
        <w:pStyle w:val="19"/>
        <w:tabs>
          <w:tab w:val="right" w:leader="dot" w:pos="8845"/>
        </w:tabs>
        <w:ind w:left="0" w:leftChars="0" w:firstLine="400" w:firstLineChars="200"/>
        <w:rPr>
          <w:rFonts w:ascii="仿宋_GB2312" w:hAnsi="仿宋_GB2312" w:eastAsia="仿宋_GB2312" w:cstheme="minorBidi"/>
          <w:kern w:val="2"/>
          <w:sz w:val="32"/>
          <w:szCs w:val="32"/>
        </w:rPr>
      </w:pPr>
      <w:r>
        <w:fldChar w:fldCharType="begin"/>
      </w:r>
      <w:r>
        <w:instrText xml:space="preserve"> HYPERLINK \l "_Toc21884" </w:instrText>
      </w:r>
      <w:r>
        <w:fldChar w:fldCharType="separate"/>
      </w:r>
      <w:r>
        <w:rPr>
          <w:rFonts w:hint="eastAsia" w:ascii="仿宋_GB2312" w:hAnsi="仿宋_GB2312" w:eastAsia="仿宋_GB2312" w:cstheme="minorBidi"/>
          <w:kern w:val="2"/>
          <w:sz w:val="32"/>
          <w:szCs w:val="32"/>
        </w:rPr>
        <w:t>（一）会机构设置及主要职责</w:t>
      </w:r>
      <w:r>
        <w:rPr>
          <w:rFonts w:hint="eastAsia" w:ascii="仿宋_GB2312" w:hAnsi="仿宋_GB2312" w:eastAsia="仿宋_GB2312" w:cstheme="minorBidi"/>
          <w:kern w:val="2"/>
          <w:sz w:val="32"/>
          <w:szCs w:val="32"/>
        </w:rPr>
        <w:tab/>
      </w:r>
      <w:r>
        <w:rPr>
          <w:rFonts w:hint="eastAsia" w:ascii="仿宋_GB2312" w:hAnsi="仿宋_GB2312" w:eastAsia="仿宋_GB2312" w:cstheme="minorBidi"/>
          <w:kern w:val="2"/>
          <w:sz w:val="32"/>
          <w:szCs w:val="32"/>
        </w:rPr>
        <w:fldChar w:fldCharType="begin"/>
      </w:r>
      <w:r>
        <w:rPr>
          <w:rFonts w:hint="eastAsia" w:ascii="仿宋_GB2312" w:hAnsi="仿宋_GB2312" w:eastAsia="仿宋_GB2312" w:cstheme="minorBidi"/>
          <w:kern w:val="2"/>
          <w:sz w:val="32"/>
          <w:szCs w:val="32"/>
        </w:rPr>
        <w:instrText xml:space="preserve"> PAGEREF _Toc21884 \h </w:instrText>
      </w:r>
      <w:r>
        <w:rPr>
          <w:rFonts w:hint="eastAsia" w:ascii="仿宋_GB2312" w:hAnsi="仿宋_GB2312" w:eastAsia="仿宋_GB2312" w:cstheme="minorBidi"/>
          <w:kern w:val="2"/>
          <w:sz w:val="32"/>
          <w:szCs w:val="32"/>
        </w:rPr>
        <w:fldChar w:fldCharType="separate"/>
      </w:r>
      <w:r>
        <w:rPr>
          <w:rFonts w:hint="eastAsia" w:ascii="仿宋_GB2312" w:hAnsi="仿宋_GB2312" w:eastAsia="仿宋_GB2312" w:cstheme="minorBidi"/>
          <w:kern w:val="2"/>
          <w:sz w:val="32"/>
          <w:szCs w:val="32"/>
        </w:rPr>
        <w:t>1</w:t>
      </w:r>
      <w:r>
        <w:rPr>
          <w:rFonts w:hint="eastAsia" w:ascii="仿宋_GB2312" w:hAnsi="仿宋_GB2312" w:eastAsia="仿宋_GB2312" w:cstheme="minorBidi"/>
          <w:kern w:val="2"/>
          <w:sz w:val="32"/>
          <w:szCs w:val="32"/>
        </w:rPr>
        <w:fldChar w:fldCharType="end"/>
      </w:r>
      <w:r>
        <w:rPr>
          <w:rFonts w:hint="eastAsia" w:ascii="仿宋_GB2312" w:hAnsi="仿宋_GB2312" w:eastAsia="仿宋_GB2312" w:cstheme="minorBidi"/>
          <w:kern w:val="2"/>
          <w:sz w:val="32"/>
          <w:szCs w:val="32"/>
        </w:rPr>
        <w:fldChar w:fldCharType="end"/>
      </w:r>
    </w:p>
    <w:p>
      <w:pPr>
        <w:pStyle w:val="19"/>
        <w:tabs>
          <w:tab w:val="right" w:leader="dot" w:pos="8845"/>
        </w:tabs>
        <w:ind w:left="0" w:leftChars="0" w:firstLine="400" w:firstLineChars="200"/>
        <w:rPr>
          <w:rFonts w:ascii="仿宋_GB2312" w:hAnsi="仿宋_GB2312" w:eastAsia="仿宋_GB2312" w:cstheme="minorBidi"/>
          <w:kern w:val="2"/>
          <w:sz w:val="32"/>
          <w:szCs w:val="32"/>
        </w:rPr>
      </w:pPr>
      <w:r>
        <w:fldChar w:fldCharType="begin"/>
      </w:r>
      <w:r>
        <w:instrText xml:space="preserve"> HYPERLINK \l "_Toc818" </w:instrText>
      </w:r>
      <w:r>
        <w:fldChar w:fldCharType="separate"/>
      </w:r>
      <w:r>
        <w:rPr>
          <w:rFonts w:hint="eastAsia" w:ascii="仿宋_GB2312" w:hAnsi="仿宋_GB2312" w:eastAsia="仿宋_GB2312" w:cstheme="minorBidi"/>
          <w:kern w:val="2"/>
          <w:sz w:val="32"/>
          <w:szCs w:val="32"/>
        </w:rPr>
        <w:t>（二）2023年重点工作</w:t>
      </w:r>
      <w:r>
        <w:rPr>
          <w:rFonts w:hint="eastAsia" w:ascii="仿宋_GB2312" w:hAnsi="仿宋_GB2312" w:eastAsia="仿宋_GB2312" w:cstheme="minorBidi"/>
          <w:kern w:val="2"/>
          <w:sz w:val="32"/>
          <w:szCs w:val="32"/>
        </w:rPr>
        <w:tab/>
      </w:r>
      <w:r>
        <w:rPr>
          <w:rFonts w:hint="eastAsia" w:ascii="仿宋_GB2312" w:hAnsi="仿宋_GB2312" w:eastAsia="仿宋_GB2312" w:cstheme="minorBidi"/>
          <w:kern w:val="2"/>
          <w:sz w:val="32"/>
          <w:szCs w:val="32"/>
        </w:rPr>
        <w:fldChar w:fldCharType="begin"/>
      </w:r>
      <w:r>
        <w:rPr>
          <w:rFonts w:hint="eastAsia" w:ascii="仿宋_GB2312" w:hAnsi="仿宋_GB2312" w:eastAsia="仿宋_GB2312" w:cstheme="minorBidi"/>
          <w:kern w:val="2"/>
          <w:sz w:val="32"/>
          <w:szCs w:val="32"/>
        </w:rPr>
        <w:instrText xml:space="preserve"> PAGEREF _Toc818 \h </w:instrText>
      </w:r>
      <w:r>
        <w:rPr>
          <w:rFonts w:hint="eastAsia" w:ascii="仿宋_GB2312" w:hAnsi="仿宋_GB2312" w:eastAsia="仿宋_GB2312" w:cstheme="minorBidi"/>
          <w:kern w:val="2"/>
          <w:sz w:val="32"/>
          <w:szCs w:val="32"/>
        </w:rPr>
        <w:fldChar w:fldCharType="separate"/>
      </w:r>
      <w:r>
        <w:rPr>
          <w:rFonts w:hint="eastAsia" w:ascii="仿宋_GB2312" w:hAnsi="仿宋_GB2312" w:eastAsia="仿宋_GB2312" w:cstheme="minorBidi"/>
          <w:kern w:val="2"/>
          <w:sz w:val="32"/>
          <w:szCs w:val="32"/>
        </w:rPr>
        <w:t>2</w:t>
      </w:r>
      <w:r>
        <w:rPr>
          <w:rFonts w:hint="eastAsia" w:ascii="仿宋_GB2312" w:hAnsi="仿宋_GB2312" w:eastAsia="仿宋_GB2312" w:cstheme="minorBidi"/>
          <w:kern w:val="2"/>
          <w:sz w:val="32"/>
          <w:szCs w:val="32"/>
        </w:rPr>
        <w:fldChar w:fldCharType="end"/>
      </w:r>
      <w:r>
        <w:rPr>
          <w:rFonts w:hint="eastAsia" w:ascii="仿宋_GB2312" w:hAnsi="仿宋_GB2312" w:eastAsia="仿宋_GB2312" w:cstheme="minorBidi"/>
          <w:kern w:val="2"/>
          <w:sz w:val="32"/>
          <w:szCs w:val="32"/>
        </w:rPr>
        <w:fldChar w:fldCharType="end"/>
      </w:r>
    </w:p>
    <w:p>
      <w:pPr>
        <w:pStyle w:val="18"/>
        <w:tabs>
          <w:tab w:val="right" w:leader="dot" w:pos="8845"/>
        </w:tabs>
        <w:rPr>
          <w:rFonts w:ascii="仿宋_GB2312" w:hAnsi="仿宋_GB2312" w:eastAsia="仿宋_GB2312" w:cstheme="minorBidi"/>
          <w:kern w:val="2"/>
          <w:sz w:val="32"/>
          <w:szCs w:val="32"/>
        </w:rPr>
      </w:pPr>
      <w:r>
        <w:fldChar w:fldCharType="begin"/>
      </w:r>
      <w:r>
        <w:instrText xml:space="preserve"> HYPERLINK \l "_Toc27442" </w:instrText>
      </w:r>
      <w:r>
        <w:fldChar w:fldCharType="separate"/>
      </w:r>
      <w:r>
        <w:rPr>
          <w:rFonts w:hint="eastAsia" w:ascii="仿宋_GB2312" w:hAnsi="仿宋_GB2312" w:eastAsia="仿宋_GB2312" w:cstheme="minorBidi"/>
          <w:kern w:val="2"/>
          <w:sz w:val="32"/>
          <w:szCs w:val="32"/>
        </w:rPr>
        <w:t>二、部门预算单位构成</w:t>
      </w:r>
      <w:r>
        <w:rPr>
          <w:rFonts w:hint="eastAsia" w:ascii="仿宋_GB2312" w:hAnsi="仿宋_GB2312" w:eastAsia="仿宋_GB2312" w:cstheme="minorBidi"/>
          <w:kern w:val="2"/>
          <w:sz w:val="32"/>
          <w:szCs w:val="32"/>
        </w:rPr>
        <w:tab/>
      </w:r>
      <w:r>
        <w:rPr>
          <w:rFonts w:hint="eastAsia" w:ascii="仿宋_GB2312" w:hAnsi="仿宋_GB2312" w:eastAsia="仿宋_GB2312" w:cstheme="minorBidi"/>
          <w:kern w:val="2"/>
          <w:sz w:val="32"/>
          <w:szCs w:val="32"/>
        </w:rPr>
        <w:fldChar w:fldCharType="begin"/>
      </w:r>
      <w:r>
        <w:rPr>
          <w:rFonts w:hint="eastAsia" w:ascii="仿宋_GB2312" w:hAnsi="仿宋_GB2312" w:eastAsia="仿宋_GB2312" w:cstheme="minorBidi"/>
          <w:kern w:val="2"/>
          <w:sz w:val="32"/>
          <w:szCs w:val="32"/>
        </w:rPr>
        <w:instrText xml:space="preserve"> PAGEREF _Toc27442 \h </w:instrText>
      </w:r>
      <w:r>
        <w:rPr>
          <w:rFonts w:hint="eastAsia" w:ascii="仿宋_GB2312" w:hAnsi="仿宋_GB2312" w:eastAsia="仿宋_GB2312" w:cstheme="minorBidi"/>
          <w:kern w:val="2"/>
          <w:sz w:val="32"/>
          <w:szCs w:val="32"/>
        </w:rPr>
        <w:fldChar w:fldCharType="separate"/>
      </w:r>
      <w:r>
        <w:rPr>
          <w:rFonts w:hint="eastAsia" w:ascii="仿宋_GB2312" w:hAnsi="仿宋_GB2312" w:eastAsia="仿宋_GB2312" w:cstheme="minorBidi"/>
          <w:kern w:val="2"/>
          <w:sz w:val="32"/>
          <w:szCs w:val="32"/>
        </w:rPr>
        <w:t>3</w:t>
      </w:r>
      <w:r>
        <w:rPr>
          <w:rFonts w:hint="eastAsia" w:ascii="仿宋_GB2312" w:hAnsi="仿宋_GB2312" w:eastAsia="仿宋_GB2312" w:cstheme="minorBidi"/>
          <w:kern w:val="2"/>
          <w:sz w:val="32"/>
          <w:szCs w:val="32"/>
        </w:rPr>
        <w:fldChar w:fldCharType="end"/>
      </w:r>
      <w:r>
        <w:rPr>
          <w:rFonts w:hint="eastAsia" w:ascii="仿宋_GB2312" w:hAnsi="仿宋_GB2312" w:eastAsia="仿宋_GB2312" w:cstheme="minorBidi"/>
          <w:kern w:val="2"/>
          <w:sz w:val="32"/>
          <w:szCs w:val="32"/>
        </w:rPr>
        <w:fldChar w:fldCharType="end"/>
      </w:r>
    </w:p>
    <w:p>
      <w:pPr>
        <w:pStyle w:val="18"/>
        <w:tabs>
          <w:tab w:val="right" w:leader="dot" w:pos="8845"/>
        </w:tabs>
        <w:rPr>
          <w:rFonts w:ascii="仿宋_GB2312" w:hAnsi="仿宋_GB2312" w:eastAsia="仿宋_GB2312" w:cstheme="minorBidi"/>
          <w:kern w:val="2"/>
          <w:sz w:val="32"/>
          <w:szCs w:val="32"/>
        </w:rPr>
      </w:pPr>
      <w:r>
        <w:fldChar w:fldCharType="begin"/>
      </w:r>
      <w:r>
        <w:instrText xml:space="preserve"> HYPERLINK \l "_Toc1848" </w:instrText>
      </w:r>
      <w:r>
        <w:fldChar w:fldCharType="separate"/>
      </w:r>
      <w:r>
        <w:rPr>
          <w:rFonts w:hint="eastAsia" w:ascii="仿宋_GB2312" w:hAnsi="仿宋_GB2312" w:eastAsia="仿宋_GB2312" w:cstheme="minorBidi"/>
          <w:kern w:val="2"/>
          <w:sz w:val="32"/>
          <w:szCs w:val="32"/>
        </w:rPr>
        <w:t>三、收支预算增减变化情况说明</w:t>
      </w:r>
      <w:r>
        <w:rPr>
          <w:rFonts w:hint="eastAsia" w:ascii="仿宋_GB2312" w:hAnsi="仿宋_GB2312" w:eastAsia="仿宋_GB2312" w:cstheme="minorBidi"/>
          <w:kern w:val="2"/>
          <w:sz w:val="32"/>
          <w:szCs w:val="32"/>
        </w:rPr>
        <w:tab/>
      </w:r>
      <w:r>
        <w:rPr>
          <w:rFonts w:hint="eastAsia" w:ascii="仿宋_GB2312" w:hAnsi="仿宋_GB2312" w:eastAsia="仿宋_GB2312" w:cstheme="minorBidi"/>
          <w:kern w:val="2"/>
          <w:sz w:val="32"/>
          <w:szCs w:val="32"/>
        </w:rPr>
        <w:fldChar w:fldCharType="begin"/>
      </w:r>
      <w:r>
        <w:rPr>
          <w:rFonts w:hint="eastAsia" w:ascii="仿宋_GB2312" w:hAnsi="仿宋_GB2312" w:eastAsia="仿宋_GB2312" w:cstheme="minorBidi"/>
          <w:kern w:val="2"/>
          <w:sz w:val="32"/>
          <w:szCs w:val="32"/>
        </w:rPr>
        <w:instrText xml:space="preserve"> PAGEREF _Toc1848 \h </w:instrText>
      </w:r>
      <w:r>
        <w:rPr>
          <w:rFonts w:hint="eastAsia" w:ascii="仿宋_GB2312" w:hAnsi="仿宋_GB2312" w:eastAsia="仿宋_GB2312" w:cstheme="minorBidi"/>
          <w:kern w:val="2"/>
          <w:sz w:val="32"/>
          <w:szCs w:val="32"/>
        </w:rPr>
        <w:fldChar w:fldCharType="separate"/>
      </w:r>
      <w:r>
        <w:rPr>
          <w:rFonts w:hint="eastAsia" w:ascii="仿宋_GB2312" w:hAnsi="仿宋_GB2312" w:eastAsia="仿宋_GB2312" w:cstheme="minorBidi"/>
          <w:kern w:val="2"/>
          <w:sz w:val="32"/>
          <w:szCs w:val="32"/>
        </w:rPr>
        <w:t>3</w:t>
      </w:r>
      <w:r>
        <w:rPr>
          <w:rFonts w:hint="eastAsia" w:ascii="仿宋_GB2312" w:hAnsi="仿宋_GB2312" w:eastAsia="仿宋_GB2312" w:cstheme="minorBidi"/>
          <w:kern w:val="2"/>
          <w:sz w:val="32"/>
          <w:szCs w:val="32"/>
        </w:rPr>
        <w:fldChar w:fldCharType="end"/>
      </w:r>
      <w:r>
        <w:rPr>
          <w:rFonts w:hint="eastAsia" w:ascii="仿宋_GB2312" w:hAnsi="仿宋_GB2312" w:eastAsia="仿宋_GB2312" w:cstheme="minorBidi"/>
          <w:kern w:val="2"/>
          <w:sz w:val="32"/>
          <w:szCs w:val="32"/>
        </w:rPr>
        <w:fldChar w:fldCharType="end"/>
      </w:r>
    </w:p>
    <w:p>
      <w:pPr>
        <w:pStyle w:val="19"/>
        <w:tabs>
          <w:tab w:val="right" w:leader="dot" w:pos="8845"/>
        </w:tabs>
        <w:ind w:left="0" w:leftChars="0" w:firstLine="400" w:firstLineChars="200"/>
        <w:rPr>
          <w:rFonts w:ascii="仿宋_GB2312" w:hAnsi="仿宋_GB2312" w:eastAsia="仿宋_GB2312" w:cstheme="minorBidi"/>
          <w:kern w:val="2"/>
          <w:sz w:val="32"/>
          <w:szCs w:val="32"/>
        </w:rPr>
      </w:pPr>
      <w:r>
        <w:fldChar w:fldCharType="begin"/>
      </w:r>
      <w:r>
        <w:instrText xml:space="preserve"> HYPERLINK \l "_Toc193" </w:instrText>
      </w:r>
      <w:r>
        <w:fldChar w:fldCharType="separate"/>
      </w:r>
      <w:r>
        <w:rPr>
          <w:rFonts w:hint="eastAsia" w:ascii="仿宋_GB2312" w:hAnsi="仿宋_GB2312" w:eastAsia="仿宋_GB2312" w:cstheme="minorBidi"/>
          <w:kern w:val="2"/>
          <w:sz w:val="32"/>
          <w:szCs w:val="32"/>
        </w:rPr>
        <w:t>（一）收入预算情况</w:t>
      </w:r>
      <w:r>
        <w:rPr>
          <w:rFonts w:hint="eastAsia" w:ascii="仿宋_GB2312" w:hAnsi="仿宋_GB2312" w:eastAsia="仿宋_GB2312" w:cstheme="minorBidi"/>
          <w:kern w:val="2"/>
          <w:sz w:val="32"/>
          <w:szCs w:val="32"/>
        </w:rPr>
        <w:tab/>
      </w:r>
      <w:r>
        <w:rPr>
          <w:rFonts w:hint="eastAsia" w:ascii="仿宋_GB2312" w:hAnsi="仿宋_GB2312" w:eastAsia="仿宋_GB2312" w:cstheme="minorBidi"/>
          <w:kern w:val="2"/>
          <w:sz w:val="32"/>
          <w:szCs w:val="32"/>
        </w:rPr>
        <w:t>4</w:t>
      </w:r>
      <w:r>
        <w:rPr>
          <w:rFonts w:hint="eastAsia" w:ascii="仿宋_GB2312" w:hAnsi="仿宋_GB2312" w:eastAsia="仿宋_GB2312" w:cstheme="minorBidi"/>
          <w:kern w:val="2"/>
          <w:sz w:val="32"/>
          <w:szCs w:val="32"/>
        </w:rPr>
        <w:fldChar w:fldCharType="end"/>
      </w:r>
    </w:p>
    <w:p>
      <w:pPr>
        <w:pStyle w:val="19"/>
        <w:tabs>
          <w:tab w:val="right" w:leader="dot" w:pos="8845"/>
        </w:tabs>
        <w:ind w:left="0" w:leftChars="0" w:firstLine="400" w:firstLineChars="200"/>
        <w:rPr>
          <w:rFonts w:ascii="仿宋_GB2312" w:hAnsi="仿宋_GB2312" w:eastAsia="仿宋_GB2312" w:cstheme="minorBidi"/>
          <w:kern w:val="2"/>
          <w:sz w:val="32"/>
          <w:szCs w:val="32"/>
        </w:rPr>
      </w:pPr>
      <w:r>
        <w:fldChar w:fldCharType="begin"/>
      </w:r>
      <w:r>
        <w:instrText xml:space="preserve"> HYPERLINK \l "_Toc3651" </w:instrText>
      </w:r>
      <w:r>
        <w:fldChar w:fldCharType="separate"/>
      </w:r>
      <w:r>
        <w:rPr>
          <w:rFonts w:hint="eastAsia" w:ascii="仿宋_GB2312" w:hAnsi="仿宋_GB2312" w:eastAsia="仿宋_GB2312" w:cstheme="minorBidi"/>
          <w:kern w:val="2"/>
          <w:sz w:val="32"/>
          <w:szCs w:val="32"/>
        </w:rPr>
        <w:t>（二）支出预算情况</w:t>
      </w:r>
      <w:r>
        <w:rPr>
          <w:rFonts w:hint="eastAsia" w:ascii="仿宋_GB2312" w:hAnsi="仿宋_GB2312" w:eastAsia="仿宋_GB2312" w:cstheme="minorBidi"/>
          <w:kern w:val="2"/>
          <w:sz w:val="32"/>
          <w:szCs w:val="32"/>
        </w:rPr>
        <w:tab/>
      </w:r>
      <w:r>
        <w:rPr>
          <w:rFonts w:hint="eastAsia" w:ascii="仿宋_GB2312" w:hAnsi="仿宋_GB2312" w:eastAsia="仿宋_GB2312" w:cstheme="minorBidi"/>
          <w:kern w:val="2"/>
          <w:sz w:val="32"/>
          <w:szCs w:val="32"/>
        </w:rPr>
        <w:fldChar w:fldCharType="begin"/>
      </w:r>
      <w:r>
        <w:rPr>
          <w:rFonts w:hint="eastAsia" w:ascii="仿宋_GB2312" w:hAnsi="仿宋_GB2312" w:eastAsia="仿宋_GB2312" w:cstheme="minorBidi"/>
          <w:kern w:val="2"/>
          <w:sz w:val="32"/>
          <w:szCs w:val="32"/>
        </w:rPr>
        <w:instrText xml:space="preserve"> PAGEREF _Toc3651 \h </w:instrText>
      </w:r>
      <w:r>
        <w:rPr>
          <w:rFonts w:hint="eastAsia" w:ascii="仿宋_GB2312" w:hAnsi="仿宋_GB2312" w:eastAsia="仿宋_GB2312" w:cstheme="minorBidi"/>
          <w:kern w:val="2"/>
          <w:sz w:val="32"/>
          <w:szCs w:val="32"/>
        </w:rPr>
        <w:fldChar w:fldCharType="separate"/>
      </w:r>
      <w:r>
        <w:rPr>
          <w:rFonts w:hint="eastAsia" w:ascii="仿宋_GB2312" w:hAnsi="仿宋_GB2312" w:eastAsia="仿宋_GB2312" w:cstheme="minorBidi"/>
          <w:kern w:val="2"/>
          <w:sz w:val="32"/>
          <w:szCs w:val="32"/>
        </w:rPr>
        <w:t>4</w:t>
      </w:r>
      <w:r>
        <w:rPr>
          <w:rFonts w:hint="eastAsia" w:ascii="仿宋_GB2312" w:hAnsi="仿宋_GB2312" w:eastAsia="仿宋_GB2312" w:cstheme="minorBidi"/>
          <w:kern w:val="2"/>
          <w:sz w:val="32"/>
          <w:szCs w:val="32"/>
        </w:rPr>
        <w:fldChar w:fldCharType="end"/>
      </w:r>
      <w:r>
        <w:rPr>
          <w:rFonts w:hint="eastAsia" w:ascii="仿宋_GB2312" w:hAnsi="仿宋_GB2312" w:eastAsia="仿宋_GB2312" w:cstheme="minorBidi"/>
          <w:kern w:val="2"/>
          <w:sz w:val="32"/>
          <w:szCs w:val="32"/>
        </w:rPr>
        <w:fldChar w:fldCharType="end"/>
      </w:r>
    </w:p>
    <w:p>
      <w:pPr>
        <w:pStyle w:val="18"/>
        <w:tabs>
          <w:tab w:val="right" w:leader="dot" w:pos="8845"/>
        </w:tabs>
        <w:rPr>
          <w:rFonts w:ascii="仿宋_GB2312" w:hAnsi="仿宋_GB2312" w:eastAsia="仿宋_GB2312" w:cstheme="minorBidi"/>
          <w:kern w:val="2"/>
          <w:sz w:val="32"/>
          <w:szCs w:val="32"/>
        </w:rPr>
      </w:pPr>
      <w:r>
        <w:fldChar w:fldCharType="begin"/>
      </w:r>
      <w:r>
        <w:instrText xml:space="preserve"> HYPERLINK \l "_Toc3738" </w:instrText>
      </w:r>
      <w:r>
        <w:fldChar w:fldCharType="separate"/>
      </w:r>
      <w:r>
        <w:rPr>
          <w:rFonts w:hint="eastAsia" w:ascii="仿宋_GB2312" w:hAnsi="仿宋_GB2312" w:eastAsia="仿宋_GB2312" w:cstheme="minorBidi"/>
          <w:kern w:val="2"/>
          <w:sz w:val="32"/>
          <w:szCs w:val="32"/>
        </w:rPr>
        <w:t>四、财政拨款收支预算情况说明</w:t>
      </w:r>
      <w:r>
        <w:rPr>
          <w:rFonts w:hint="eastAsia" w:ascii="仿宋_GB2312" w:hAnsi="仿宋_GB2312" w:eastAsia="仿宋_GB2312" w:cstheme="minorBidi"/>
          <w:kern w:val="2"/>
          <w:sz w:val="32"/>
          <w:szCs w:val="32"/>
        </w:rPr>
        <w:tab/>
      </w:r>
      <w:r>
        <w:rPr>
          <w:rFonts w:hint="eastAsia" w:ascii="仿宋_GB2312" w:hAnsi="仿宋_GB2312" w:eastAsia="仿宋_GB2312" w:cstheme="minorBidi"/>
          <w:kern w:val="2"/>
          <w:sz w:val="32"/>
          <w:szCs w:val="32"/>
        </w:rPr>
        <w:t>5</w:t>
      </w:r>
      <w:r>
        <w:rPr>
          <w:rFonts w:hint="eastAsia" w:ascii="仿宋_GB2312" w:hAnsi="仿宋_GB2312" w:eastAsia="仿宋_GB2312" w:cstheme="minorBidi"/>
          <w:kern w:val="2"/>
          <w:sz w:val="32"/>
          <w:szCs w:val="32"/>
        </w:rPr>
        <w:fldChar w:fldCharType="end"/>
      </w:r>
    </w:p>
    <w:p>
      <w:pPr>
        <w:pStyle w:val="18"/>
        <w:tabs>
          <w:tab w:val="right" w:leader="dot" w:pos="8845"/>
        </w:tabs>
        <w:rPr>
          <w:rFonts w:ascii="仿宋_GB2312" w:hAnsi="仿宋_GB2312" w:eastAsia="仿宋_GB2312" w:cstheme="minorBidi"/>
          <w:kern w:val="2"/>
          <w:sz w:val="32"/>
          <w:szCs w:val="32"/>
        </w:rPr>
      </w:pPr>
      <w:r>
        <w:fldChar w:fldCharType="begin"/>
      </w:r>
      <w:r>
        <w:instrText xml:space="preserve"> HYPERLINK \l "_Toc3440" </w:instrText>
      </w:r>
      <w:r>
        <w:fldChar w:fldCharType="separate"/>
      </w:r>
      <w:r>
        <w:rPr>
          <w:rFonts w:hint="eastAsia" w:ascii="仿宋_GB2312" w:hAnsi="仿宋_GB2312" w:eastAsia="仿宋_GB2312" w:cstheme="minorBidi"/>
          <w:kern w:val="2"/>
          <w:sz w:val="32"/>
          <w:szCs w:val="32"/>
        </w:rPr>
        <w:t>五、一般公共预算当年拨款情况说明</w:t>
      </w:r>
      <w:r>
        <w:rPr>
          <w:rFonts w:hint="eastAsia" w:ascii="仿宋_GB2312" w:hAnsi="仿宋_GB2312" w:eastAsia="仿宋_GB2312" w:cstheme="minorBidi"/>
          <w:kern w:val="2"/>
          <w:sz w:val="32"/>
          <w:szCs w:val="32"/>
        </w:rPr>
        <w:tab/>
      </w:r>
      <w:r>
        <w:rPr>
          <w:rFonts w:hint="eastAsia" w:ascii="仿宋_GB2312" w:hAnsi="仿宋_GB2312" w:eastAsia="仿宋_GB2312" w:cstheme="minorBidi"/>
          <w:kern w:val="2"/>
          <w:sz w:val="32"/>
          <w:szCs w:val="32"/>
        </w:rPr>
        <w:t>7</w:t>
      </w:r>
      <w:r>
        <w:rPr>
          <w:rFonts w:hint="eastAsia" w:ascii="仿宋_GB2312" w:hAnsi="仿宋_GB2312" w:eastAsia="仿宋_GB2312" w:cstheme="minorBidi"/>
          <w:kern w:val="2"/>
          <w:sz w:val="32"/>
          <w:szCs w:val="32"/>
        </w:rPr>
        <w:fldChar w:fldCharType="end"/>
      </w:r>
    </w:p>
    <w:p>
      <w:pPr>
        <w:pStyle w:val="19"/>
        <w:tabs>
          <w:tab w:val="right" w:leader="dot" w:pos="8845"/>
        </w:tabs>
        <w:ind w:left="0" w:leftChars="0" w:firstLine="400" w:firstLineChars="200"/>
        <w:rPr>
          <w:rFonts w:ascii="仿宋_GB2312" w:hAnsi="仿宋_GB2312" w:eastAsia="仿宋_GB2312" w:cstheme="minorBidi"/>
          <w:kern w:val="2"/>
          <w:sz w:val="32"/>
          <w:szCs w:val="32"/>
        </w:rPr>
      </w:pPr>
      <w:r>
        <w:fldChar w:fldCharType="begin"/>
      </w:r>
      <w:r>
        <w:instrText xml:space="preserve"> HYPERLINK \l "_Toc25098" </w:instrText>
      </w:r>
      <w:r>
        <w:fldChar w:fldCharType="separate"/>
      </w:r>
      <w:r>
        <w:rPr>
          <w:rFonts w:hint="eastAsia" w:ascii="仿宋_GB2312" w:hAnsi="仿宋_GB2312" w:eastAsia="仿宋_GB2312" w:cstheme="minorBidi"/>
          <w:kern w:val="2"/>
          <w:sz w:val="32"/>
          <w:szCs w:val="32"/>
        </w:rPr>
        <w:t>（一）一般公共预算当年拨款规模变化情况</w:t>
      </w:r>
      <w:r>
        <w:rPr>
          <w:rFonts w:hint="eastAsia" w:ascii="仿宋_GB2312" w:hAnsi="仿宋_GB2312" w:eastAsia="仿宋_GB2312" w:cstheme="minorBidi"/>
          <w:kern w:val="2"/>
          <w:sz w:val="32"/>
          <w:szCs w:val="32"/>
        </w:rPr>
        <w:tab/>
      </w:r>
      <w:r>
        <w:rPr>
          <w:rFonts w:hint="eastAsia" w:ascii="仿宋_GB2312" w:hAnsi="仿宋_GB2312" w:eastAsia="仿宋_GB2312" w:cstheme="minorBidi"/>
          <w:kern w:val="2"/>
          <w:sz w:val="32"/>
          <w:szCs w:val="32"/>
        </w:rPr>
        <w:t>7</w:t>
      </w:r>
      <w:r>
        <w:rPr>
          <w:rFonts w:hint="eastAsia" w:ascii="仿宋_GB2312" w:hAnsi="仿宋_GB2312" w:eastAsia="仿宋_GB2312" w:cstheme="minorBidi"/>
          <w:kern w:val="2"/>
          <w:sz w:val="32"/>
          <w:szCs w:val="32"/>
        </w:rPr>
        <w:fldChar w:fldCharType="end"/>
      </w:r>
    </w:p>
    <w:p>
      <w:pPr>
        <w:pStyle w:val="19"/>
        <w:tabs>
          <w:tab w:val="right" w:leader="dot" w:pos="8845"/>
        </w:tabs>
        <w:ind w:left="0" w:leftChars="0" w:firstLine="400" w:firstLineChars="200"/>
        <w:rPr>
          <w:rFonts w:ascii="仿宋_GB2312" w:hAnsi="仿宋_GB2312" w:eastAsia="仿宋_GB2312" w:cstheme="minorBidi"/>
          <w:kern w:val="2"/>
          <w:sz w:val="32"/>
          <w:szCs w:val="32"/>
        </w:rPr>
      </w:pPr>
      <w:r>
        <w:fldChar w:fldCharType="begin"/>
      </w:r>
      <w:r>
        <w:instrText xml:space="preserve"> HYPERLINK \l "_Toc16092" </w:instrText>
      </w:r>
      <w:r>
        <w:fldChar w:fldCharType="separate"/>
      </w:r>
      <w:r>
        <w:rPr>
          <w:rFonts w:hint="eastAsia" w:ascii="仿宋_GB2312" w:hAnsi="仿宋_GB2312" w:eastAsia="仿宋_GB2312" w:cstheme="minorBidi"/>
          <w:kern w:val="2"/>
          <w:sz w:val="32"/>
          <w:szCs w:val="32"/>
        </w:rPr>
        <w:t>（二）一般公共预算当年拨款结构情况(按照功能科目类写)</w:t>
      </w:r>
      <w:r>
        <w:rPr>
          <w:rFonts w:hint="eastAsia" w:ascii="仿宋_GB2312" w:hAnsi="仿宋_GB2312" w:eastAsia="仿宋_GB2312" w:cstheme="minorBidi"/>
          <w:kern w:val="2"/>
          <w:sz w:val="32"/>
          <w:szCs w:val="32"/>
        </w:rPr>
        <w:tab/>
      </w:r>
      <w:r>
        <w:rPr>
          <w:rFonts w:hint="eastAsia" w:ascii="仿宋_GB2312" w:hAnsi="仿宋_GB2312" w:eastAsia="仿宋_GB2312" w:cstheme="minorBidi"/>
          <w:kern w:val="2"/>
          <w:sz w:val="32"/>
          <w:szCs w:val="32"/>
        </w:rPr>
        <w:t>7</w:t>
      </w:r>
      <w:r>
        <w:rPr>
          <w:rFonts w:hint="eastAsia" w:ascii="仿宋_GB2312" w:hAnsi="仿宋_GB2312" w:eastAsia="仿宋_GB2312" w:cstheme="minorBidi"/>
          <w:kern w:val="2"/>
          <w:sz w:val="32"/>
          <w:szCs w:val="32"/>
        </w:rPr>
        <w:fldChar w:fldCharType="end"/>
      </w:r>
    </w:p>
    <w:p>
      <w:pPr>
        <w:pStyle w:val="19"/>
        <w:tabs>
          <w:tab w:val="right" w:leader="dot" w:pos="8845"/>
        </w:tabs>
        <w:ind w:left="0" w:leftChars="0" w:firstLine="400" w:firstLineChars="200"/>
        <w:rPr>
          <w:rFonts w:ascii="仿宋_GB2312" w:hAnsi="仿宋_GB2312" w:eastAsia="仿宋_GB2312" w:cstheme="minorBidi"/>
          <w:kern w:val="2"/>
          <w:sz w:val="32"/>
          <w:szCs w:val="32"/>
        </w:rPr>
      </w:pPr>
      <w:r>
        <w:fldChar w:fldCharType="begin"/>
      </w:r>
      <w:r>
        <w:instrText xml:space="preserve"> HYPERLINK \l "_Toc28341" </w:instrText>
      </w:r>
      <w:r>
        <w:fldChar w:fldCharType="separate"/>
      </w:r>
      <w:r>
        <w:rPr>
          <w:rFonts w:hint="eastAsia" w:ascii="仿宋_GB2312" w:hAnsi="仿宋_GB2312" w:eastAsia="仿宋_GB2312" w:cstheme="minorBidi"/>
          <w:kern w:val="2"/>
          <w:sz w:val="32"/>
          <w:szCs w:val="32"/>
        </w:rPr>
        <w:t>（三）一般公共预算当年拨款具体使用情况（按功能科目类款项写）</w:t>
      </w:r>
      <w:r>
        <w:rPr>
          <w:rFonts w:hint="eastAsia" w:ascii="仿宋_GB2312" w:hAnsi="仿宋_GB2312" w:eastAsia="仿宋_GB2312" w:cstheme="minorBidi"/>
          <w:kern w:val="2"/>
          <w:sz w:val="32"/>
          <w:szCs w:val="32"/>
        </w:rPr>
        <w:tab/>
      </w:r>
      <w:r>
        <w:rPr>
          <w:rFonts w:hint="eastAsia" w:ascii="仿宋_GB2312" w:hAnsi="仿宋_GB2312" w:eastAsia="仿宋_GB2312" w:cstheme="minorBidi"/>
          <w:kern w:val="2"/>
          <w:sz w:val="32"/>
          <w:szCs w:val="32"/>
        </w:rPr>
        <w:t>7</w:t>
      </w:r>
      <w:r>
        <w:rPr>
          <w:rFonts w:hint="eastAsia" w:ascii="仿宋_GB2312" w:hAnsi="仿宋_GB2312" w:eastAsia="仿宋_GB2312" w:cstheme="minorBidi"/>
          <w:kern w:val="2"/>
          <w:sz w:val="32"/>
          <w:szCs w:val="32"/>
        </w:rPr>
        <w:fldChar w:fldCharType="end"/>
      </w:r>
    </w:p>
    <w:p>
      <w:pPr>
        <w:pStyle w:val="18"/>
        <w:tabs>
          <w:tab w:val="right" w:leader="dot" w:pos="8845"/>
        </w:tabs>
        <w:rPr>
          <w:rFonts w:ascii="仿宋_GB2312" w:hAnsi="仿宋_GB2312" w:eastAsia="仿宋_GB2312" w:cstheme="minorBidi"/>
          <w:kern w:val="2"/>
          <w:sz w:val="32"/>
          <w:szCs w:val="32"/>
        </w:rPr>
      </w:pPr>
      <w:r>
        <w:fldChar w:fldCharType="begin"/>
      </w:r>
      <w:r>
        <w:instrText xml:space="preserve"> HYPERLINK \l "_Toc18858" </w:instrText>
      </w:r>
      <w:r>
        <w:fldChar w:fldCharType="separate"/>
      </w:r>
      <w:r>
        <w:rPr>
          <w:rFonts w:hint="eastAsia" w:ascii="仿宋_GB2312" w:hAnsi="仿宋_GB2312" w:eastAsia="仿宋_GB2312" w:cstheme="minorBidi"/>
          <w:kern w:val="2"/>
          <w:sz w:val="32"/>
          <w:szCs w:val="32"/>
        </w:rPr>
        <w:t>六、一般公共预算基本支出情况说明</w:t>
      </w:r>
      <w:r>
        <w:rPr>
          <w:rFonts w:hint="eastAsia" w:ascii="仿宋_GB2312" w:hAnsi="仿宋_GB2312" w:eastAsia="仿宋_GB2312" w:cstheme="minorBidi"/>
          <w:kern w:val="2"/>
          <w:sz w:val="32"/>
          <w:szCs w:val="32"/>
        </w:rPr>
        <w:tab/>
      </w:r>
      <w:r>
        <w:rPr>
          <w:rFonts w:hint="eastAsia" w:ascii="仿宋_GB2312" w:hAnsi="仿宋_GB2312" w:eastAsia="仿宋_GB2312" w:cstheme="minorBidi"/>
          <w:kern w:val="2"/>
          <w:sz w:val="32"/>
          <w:szCs w:val="32"/>
        </w:rPr>
        <w:t>7</w:t>
      </w:r>
      <w:r>
        <w:rPr>
          <w:rFonts w:hint="eastAsia" w:ascii="仿宋_GB2312" w:hAnsi="仿宋_GB2312" w:eastAsia="仿宋_GB2312" w:cstheme="minorBidi"/>
          <w:kern w:val="2"/>
          <w:sz w:val="32"/>
          <w:szCs w:val="32"/>
        </w:rPr>
        <w:fldChar w:fldCharType="end"/>
      </w:r>
    </w:p>
    <w:p>
      <w:pPr>
        <w:pStyle w:val="18"/>
        <w:tabs>
          <w:tab w:val="right" w:leader="dot" w:pos="8845"/>
        </w:tabs>
        <w:rPr>
          <w:rFonts w:ascii="仿宋_GB2312" w:hAnsi="仿宋_GB2312" w:eastAsia="仿宋_GB2312" w:cstheme="minorBidi"/>
          <w:kern w:val="2"/>
          <w:sz w:val="32"/>
          <w:szCs w:val="32"/>
        </w:rPr>
      </w:pPr>
      <w:r>
        <w:fldChar w:fldCharType="begin"/>
      </w:r>
      <w:r>
        <w:instrText xml:space="preserve"> HYPERLINK \l "_Toc256" </w:instrText>
      </w:r>
      <w:r>
        <w:fldChar w:fldCharType="separate"/>
      </w:r>
      <w:r>
        <w:rPr>
          <w:rFonts w:hint="eastAsia" w:ascii="仿宋_GB2312" w:hAnsi="仿宋_GB2312" w:eastAsia="仿宋_GB2312" w:cstheme="minorBidi"/>
          <w:kern w:val="2"/>
          <w:sz w:val="32"/>
          <w:szCs w:val="32"/>
        </w:rPr>
        <w:t>七、“三公”经费财政拨款预算安排情况说明</w:t>
      </w:r>
      <w:r>
        <w:rPr>
          <w:rFonts w:hint="eastAsia" w:ascii="仿宋_GB2312" w:hAnsi="仿宋_GB2312" w:eastAsia="仿宋_GB2312" w:cstheme="minorBidi"/>
          <w:kern w:val="2"/>
          <w:sz w:val="32"/>
          <w:szCs w:val="32"/>
        </w:rPr>
        <w:tab/>
      </w:r>
      <w:r>
        <w:rPr>
          <w:rFonts w:hint="eastAsia" w:ascii="仿宋_GB2312" w:hAnsi="仿宋_GB2312" w:eastAsia="仿宋_GB2312" w:cstheme="minorBidi"/>
          <w:kern w:val="2"/>
          <w:sz w:val="32"/>
          <w:szCs w:val="32"/>
        </w:rPr>
        <w:t>7</w:t>
      </w:r>
      <w:r>
        <w:rPr>
          <w:rFonts w:hint="eastAsia" w:ascii="仿宋_GB2312" w:hAnsi="仿宋_GB2312" w:eastAsia="仿宋_GB2312" w:cstheme="minorBidi"/>
          <w:kern w:val="2"/>
          <w:sz w:val="32"/>
          <w:szCs w:val="32"/>
        </w:rPr>
        <w:fldChar w:fldCharType="end"/>
      </w:r>
    </w:p>
    <w:p>
      <w:pPr>
        <w:pStyle w:val="18"/>
        <w:tabs>
          <w:tab w:val="right" w:leader="dot" w:pos="8845"/>
        </w:tabs>
        <w:rPr>
          <w:rFonts w:ascii="仿宋_GB2312" w:hAnsi="仿宋_GB2312" w:eastAsia="仿宋_GB2312" w:cstheme="minorBidi"/>
          <w:kern w:val="2"/>
          <w:sz w:val="32"/>
          <w:szCs w:val="32"/>
        </w:rPr>
      </w:pPr>
      <w:r>
        <w:fldChar w:fldCharType="begin"/>
      </w:r>
      <w:r>
        <w:instrText xml:space="preserve"> HYPERLINK \l "_Toc11086" </w:instrText>
      </w:r>
      <w:r>
        <w:fldChar w:fldCharType="separate"/>
      </w:r>
      <w:r>
        <w:rPr>
          <w:rFonts w:hint="eastAsia" w:ascii="仿宋_GB2312" w:hAnsi="仿宋_GB2312" w:eastAsia="仿宋_GB2312" w:cstheme="minorBidi"/>
          <w:kern w:val="2"/>
          <w:sz w:val="32"/>
          <w:szCs w:val="32"/>
        </w:rPr>
        <w:t>八、政府性基金预算收支情况说明</w:t>
      </w:r>
      <w:r>
        <w:rPr>
          <w:rFonts w:hint="eastAsia" w:ascii="仿宋_GB2312" w:hAnsi="仿宋_GB2312" w:eastAsia="仿宋_GB2312" w:cstheme="minorBidi"/>
          <w:kern w:val="2"/>
          <w:sz w:val="32"/>
          <w:szCs w:val="32"/>
        </w:rPr>
        <w:tab/>
      </w:r>
      <w:r>
        <w:rPr>
          <w:rFonts w:hint="eastAsia" w:ascii="仿宋_GB2312" w:hAnsi="仿宋_GB2312" w:eastAsia="仿宋_GB2312" w:cstheme="minorBidi"/>
          <w:kern w:val="2"/>
          <w:sz w:val="32"/>
          <w:szCs w:val="32"/>
        </w:rPr>
        <w:t>9</w:t>
      </w:r>
      <w:r>
        <w:rPr>
          <w:rFonts w:hint="eastAsia" w:ascii="仿宋_GB2312" w:hAnsi="仿宋_GB2312" w:eastAsia="仿宋_GB2312" w:cstheme="minorBidi"/>
          <w:kern w:val="2"/>
          <w:sz w:val="32"/>
          <w:szCs w:val="32"/>
        </w:rPr>
        <w:fldChar w:fldCharType="end"/>
      </w:r>
    </w:p>
    <w:p>
      <w:pPr>
        <w:pStyle w:val="18"/>
        <w:tabs>
          <w:tab w:val="right" w:leader="dot" w:pos="8845"/>
        </w:tabs>
        <w:rPr>
          <w:rFonts w:ascii="仿宋_GB2312" w:hAnsi="仿宋_GB2312" w:eastAsia="仿宋_GB2312" w:cstheme="minorBidi"/>
          <w:kern w:val="2"/>
          <w:sz w:val="32"/>
          <w:szCs w:val="32"/>
        </w:rPr>
      </w:pPr>
      <w:r>
        <w:fldChar w:fldCharType="begin"/>
      </w:r>
      <w:r>
        <w:instrText xml:space="preserve"> HYPERLINK \l "_Toc165" </w:instrText>
      </w:r>
      <w:r>
        <w:fldChar w:fldCharType="separate"/>
      </w:r>
      <w:r>
        <w:rPr>
          <w:rFonts w:hint="eastAsia" w:ascii="仿宋_GB2312" w:hAnsi="仿宋_GB2312" w:eastAsia="仿宋_GB2312" w:cstheme="minorBidi"/>
          <w:kern w:val="2"/>
          <w:sz w:val="32"/>
          <w:szCs w:val="32"/>
        </w:rPr>
        <w:t>九、国有资本经营预算支出情况说明</w:t>
      </w:r>
      <w:r>
        <w:rPr>
          <w:rFonts w:hint="eastAsia" w:ascii="仿宋_GB2312" w:hAnsi="仿宋_GB2312" w:eastAsia="仿宋_GB2312" w:cstheme="minorBidi"/>
          <w:kern w:val="2"/>
          <w:sz w:val="32"/>
          <w:szCs w:val="32"/>
        </w:rPr>
        <w:tab/>
      </w:r>
      <w:r>
        <w:rPr>
          <w:rFonts w:hint="eastAsia" w:ascii="仿宋_GB2312" w:hAnsi="仿宋_GB2312" w:eastAsia="仿宋_GB2312" w:cstheme="minorBidi"/>
          <w:kern w:val="2"/>
          <w:sz w:val="32"/>
          <w:szCs w:val="32"/>
        </w:rPr>
        <w:t>9</w:t>
      </w:r>
      <w:r>
        <w:rPr>
          <w:rFonts w:hint="eastAsia" w:ascii="仿宋_GB2312" w:hAnsi="仿宋_GB2312" w:eastAsia="仿宋_GB2312" w:cstheme="minorBidi"/>
          <w:kern w:val="2"/>
          <w:sz w:val="32"/>
          <w:szCs w:val="32"/>
        </w:rPr>
        <w:fldChar w:fldCharType="end"/>
      </w:r>
    </w:p>
    <w:p>
      <w:pPr>
        <w:pStyle w:val="18"/>
        <w:tabs>
          <w:tab w:val="right" w:leader="dot" w:pos="8845"/>
        </w:tabs>
        <w:rPr>
          <w:rFonts w:ascii="仿宋_GB2312" w:hAnsi="仿宋_GB2312" w:eastAsia="仿宋_GB2312" w:cstheme="minorBidi"/>
          <w:kern w:val="2"/>
          <w:sz w:val="32"/>
          <w:szCs w:val="32"/>
        </w:rPr>
      </w:pPr>
      <w:r>
        <w:fldChar w:fldCharType="begin"/>
      </w:r>
      <w:r>
        <w:instrText xml:space="preserve"> HYPERLINK \l "_Toc29771" </w:instrText>
      </w:r>
      <w:r>
        <w:fldChar w:fldCharType="separate"/>
      </w:r>
      <w:r>
        <w:rPr>
          <w:rFonts w:hint="eastAsia" w:ascii="仿宋_GB2312" w:hAnsi="仿宋_GB2312" w:eastAsia="仿宋_GB2312" w:cstheme="minorBidi"/>
          <w:kern w:val="2"/>
          <w:sz w:val="32"/>
          <w:szCs w:val="32"/>
        </w:rPr>
        <w:t>十、其他重要事项的情况说明</w:t>
      </w:r>
      <w:r>
        <w:rPr>
          <w:rFonts w:hint="eastAsia" w:ascii="仿宋_GB2312" w:hAnsi="仿宋_GB2312" w:eastAsia="仿宋_GB2312" w:cstheme="minorBidi"/>
          <w:kern w:val="2"/>
          <w:sz w:val="32"/>
          <w:szCs w:val="32"/>
        </w:rPr>
        <w:tab/>
      </w:r>
      <w:r>
        <w:rPr>
          <w:rFonts w:hint="eastAsia" w:ascii="仿宋_GB2312" w:hAnsi="仿宋_GB2312" w:eastAsia="仿宋_GB2312" w:cstheme="minorBidi"/>
          <w:kern w:val="2"/>
          <w:sz w:val="32"/>
          <w:szCs w:val="32"/>
        </w:rPr>
        <w:t>9</w:t>
      </w:r>
      <w:r>
        <w:rPr>
          <w:rFonts w:hint="eastAsia" w:ascii="仿宋_GB2312" w:hAnsi="仿宋_GB2312" w:eastAsia="仿宋_GB2312" w:cstheme="minorBidi"/>
          <w:kern w:val="2"/>
          <w:sz w:val="32"/>
          <w:szCs w:val="32"/>
        </w:rPr>
        <w:fldChar w:fldCharType="end"/>
      </w:r>
    </w:p>
    <w:p>
      <w:pPr>
        <w:pStyle w:val="19"/>
        <w:tabs>
          <w:tab w:val="right" w:leader="dot" w:pos="8845"/>
        </w:tabs>
        <w:ind w:left="0" w:leftChars="0" w:firstLine="400" w:firstLineChars="200"/>
        <w:rPr>
          <w:rFonts w:ascii="仿宋_GB2312" w:hAnsi="仿宋_GB2312" w:eastAsia="仿宋_GB2312" w:cstheme="minorBidi"/>
          <w:kern w:val="2"/>
          <w:sz w:val="32"/>
          <w:szCs w:val="32"/>
        </w:rPr>
      </w:pPr>
      <w:r>
        <w:fldChar w:fldCharType="begin"/>
      </w:r>
      <w:r>
        <w:instrText xml:space="preserve"> HYPERLINK \l "_Toc11525" </w:instrText>
      </w:r>
      <w:r>
        <w:fldChar w:fldCharType="separate"/>
      </w:r>
      <w:r>
        <w:rPr>
          <w:rFonts w:hint="eastAsia" w:ascii="仿宋_GB2312" w:hAnsi="仿宋_GB2312" w:eastAsia="仿宋_GB2312" w:cstheme="minorBidi"/>
          <w:kern w:val="2"/>
          <w:sz w:val="32"/>
          <w:szCs w:val="32"/>
        </w:rPr>
        <w:t>（一）机关运行经费</w:t>
      </w:r>
      <w:r>
        <w:rPr>
          <w:rFonts w:hint="eastAsia" w:ascii="仿宋_GB2312" w:hAnsi="仿宋_GB2312" w:eastAsia="仿宋_GB2312" w:cstheme="minorBidi"/>
          <w:kern w:val="2"/>
          <w:sz w:val="32"/>
          <w:szCs w:val="32"/>
        </w:rPr>
        <w:tab/>
      </w:r>
      <w:r>
        <w:rPr>
          <w:rFonts w:hint="eastAsia" w:ascii="仿宋_GB2312" w:hAnsi="仿宋_GB2312" w:eastAsia="仿宋_GB2312" w:cstheme="minorBidi"/>
          <w:kern w:val="2"/>
          <w:sz w:val="32"/>
          <w:szCs w:val="32"/>
        </w:rPr>
        <w:t>9</w:t>
      </w:r>
      <w:r>
        <w:rPr>
          <w:rFonts w:hint="eastAsia" w:ascii="仿宋_GB2312" w:hAnsi="仿宋_GB2312" w:eastAsia="仿宋_GB2312" w:cstheme="minorBidi"/>
          <w:kern w:val="2"/>
          <w:sz w:val="32"/>
          <w:szCs w:val="32"/>
        </w:rPr>
        <w:fldChar w:fldCharType="end"/>
      </w:r>
    </w:p>
    <w:p>
      <w:pPr>
        <w:pStyle w:val="19"/>
        <w:tabs>
          <w:tab w:val="right" w:leader="dot" w:pos="8845"/>
        </w:tabs>
        <w:ind w:left="0" w:leftChars="0" w:firstLine="640" w:firstLineChars="200"/>
        <w:rPr>
          <w:rFonts w:ascii="仿宋_GB2312" w:hAnsi="仿宋_GB2312" w:eastAsia="仿宋_GB2312" w:cstheme="minorBidi"/>
          <w:kern w:val="2"/>
          <w:sz w:val="32"/>
          <w:szCs w:val="32"/>
        </w:rPr>
        <w:sectPr>
          <w:footerReference r:id="rId3" w:type="default"/>
          <w:pgSz w:w="11906" w:h="16838"/>
          <w:pgMar w:top="1440" w:right="1800" w:bottom="1440" w:left="1800" w:header="851" w:footer="992" w:gutter="0"/>
          <w:pgNumType w:start="1"/>
          <w:cols w:space="425" w:num="1"/>
          <w:docGrid w:type="lines" w:linePitch="312" w:charSpace="0"/>
        </w:sectPr>
      </w:pPr>
    </w:p>
    <w:p>
      <w:pPr>
        <w:pStyle w:val="19"/>
        <w:tabs>
          <w:tab w:val="right" w:leader="dot" w:pos="8845"/>
        </w:tabs>
        <w:ind w:left="0" w:leftChars="0" w:firstLine="400" w:firstLineChars="200"/>
        <w:rPr>
          <w:rFonts w:ascii="仿宋_GB2312" w:hAnsi="仿宋_GB2312" w:eastAsia="仿宋_GB2312" w:cstheme="minorBidi"/>
          <w:kern w:val="2"/>
          <w:sz w:val="32"/>
          <w:szCs w:val="32"/>
        </w:rPr>
      </w:pPr>
      <w:r>
        <w:fldChar w:fldCharType="begin"/>
      </w:r>
      <w:r>
        <w:instrText xml:space="preserve"> HYPERLINK \l "_Toc15299" </w:instrText>
      </w:r>
      <w:r>
        <w:fldChar w:fldCharType="separate"/>
      </w:r>
      <w:r>
        <w:rPr>
          <w:rFonts w:hint="eastAsia" w:ascii="仿宋_GB2312" w:hAnsi="仿宋_GB2312" w:eastAsia="仿宋_GB2312" w:cstheme="minorBidi"/>
          <w:kern w:val="2"/>
          <w:sz w:val="32"/>
          <w:szCs w:val="32"/>
        </w:rPr>
        <w:t>（二）政府采购情况</w:t>
      </w:r>
      <w:r>
        <w:rPr>
          <w:rFonts w:hint="eastAsia" w:ascii="仿宋_GB2312" w:hAnsi="仿宋_GB2312" w:eastAsia="仿宋_GB2312" w:cstheme="minorBidi"/>
          <w:kern w:val="2"/>
          <w:sz w:val="32"/>
          <w:szCs w:val="32"/>
        </w:rPr>
        <w:tab/>
      </w:r>
      <w:r>
        <w:rPr>
          <w:rFonts w:hint="eastAsia" w:ascii="仿宋_GB2312" w:hAnsi="仿宋_GB2312" w:eastAsia="仿宋_GB2312" w:cstheme="minorBidi"/>
          <w:kern w:val="2"/>
          <w:sz w:val="32"/>
          <w:szCs w:val="32"/>
        </w:rPr>
        <w:t>9</w:t>
      </w:r>
      <w:r>
        <w:rPr>
          <w:rFonts w:hint="eastAsia" w:ascii="仿宋_GB2312" w:hAnsi="仿宋_GB2312" w:eastAsia="仿宋_GB2312" w:cstheme="minorBidi"/>
          <w:kern w:val="2"/>
          <w:sz w:val="32"/>
          <w:szCs w:val="32"/>
        </w:rPr>
        <w:fldChar w:fldCharType="end"/>
      </w:r>
    </w:p>
    <w:p>
      <w:pPr>
        <w:pStyle w:val="19"/>
        <w:tabs>
          <w:tab w:val="right" w:leader="dot" w:pos="8845"/>
        </w:tabs>
        <w:ind w:left="0" w:leftChars="0" w:firstLine="400" w:firstLineChars="200"/>
        <w:rPr>
          <w:rFonts w:ascii="仿宋_GB2312" w:hAnsi="仿宋_GB2312" w:eastAsia="仿宋_GB2312" w:cstheme="minorBidi"/>
          <w:kern w:val="2"/>
          <w:sz w:val="32"/>
          <w:szCs w:val="32"/>
        </w:rPr>
      </w:pPr>
      <w:r>
        <w:fldChar w:fldCharType="begin"/>
      </w:r>
      <w:r>
        <w:instrText xml:space="preserve"> HYPERLINK \l "_Toc18679" </w:instrText>
      </w:r>
      <w:r>
        <w:fldChar w:fldCharType="separate"/>
      </w:r>
      <w:r>
        <w:rPr>
          <w:rFonts w:hint="eastAsia" w:ascii="仿宋_GB2312" w:hAnsi="仿宋_GB2312" w:eastAsia="仿宋_GB2312" w:cstheme="minorBidi"/>
          <w:kern w:val="2"/>
          <w:sz w:val="32"/>
          <w:szCs w:val="32"/>
        </w:rPr>
        <w:t>（三）国有资产占有使用情况</w:t>
      </w:r>
      <w:r>
        <w:rPr>
          <w:rFonts w:hint="eastAsia" w:ascii="仿宋_GB2312" w:hAnsi="仿宋_GB2312" w:eastAsia="仿宋_GB2312" w:cstheme="minorBidi"/>
          <w:kern w:val="2"/>
          <w:sz w:val="32"/>
          <w:szCs w:val="32"/>
        </w:rPr>
        <w:tab/>
      </w:r>
      <w:r>
        <w:rPr>
          <w:rFonts w:hint="eastAsia" w:ascii="仿宋_GB2312" w:hAnsi="仿宋_GB2312" w:eastAsia="仿宋_GB2312" w:cstheme="minorBidi"/>
          <w:kern w:val="2"/>
          <w:sz w:val="32"/>
          <w:szCs w:val="32"/>
        </w:rPr>
        <w:t>9</w:t>
      </w:r>
      <w:r>
        <w:rPr>
          <w:rFonts w:hint="eastAsia" w:ascii="仿宋_GB2312" w:hAnsi="仿宋_GB2312" w:eastAsia="仿宋_GB2312" w:cstheme="minorBidi"/>
          <w:kern w:val="2"/>
          <w:sz w:val="32"/>
          <w:szCs w:val="32"/>
        </w:rPr>
        <w:fldChar w:fldCharType="end"/>
      </w:r>
    </w:p>
    <w:p>
      <w:pPr>
        <w:pStyle w:val="19"/>
        <w:tabs>
          <w:tab w:val="right" w:leader="dot" w:pos="8845"/>
        </w:tabs>
        <w:ind w:left="0" w:leftChars="0" w:firstLine="400" w:firstLineChars="200"/>
        <w:rPr>
          <w:rFonts w:ascii="仿宋_GB2312" w:hAnsi="仿宋_GB2312" w:eastAsia="仿宋_GB2312" w:cstheme="minorBidi"/>
          <w:kern w:val="2"/>
          <w:sz w:val="32"/>
          <w:szCs w:val="32"/>
        </w:rPr>
      </w:pPr>
      <w:r>
        <w:fldChar w:fldCharType="begin"/>
      </w:r>
      <w:r>
        <w:instrText xml:space="preserve"> HYPERLINK \l "_Toc2176" </w:instrText>
      </w:r>
      <w:r>
        <w:fldChar w:fldCharType="separate"/>
      </w:r>
      <w:r>
        <w:rPr>
          <w:rFonts w:hint="eastAsia" w:ascii="仿宋_GB2312" w:hAnsi="仿宋_GB2312" w:eastAsia="仿宋_GB2312" w:cstheme="minorBidi"/>
          <w:kern w:val="2"/>
          <w:sz w:val="32"/>
          <w:szCs w:val="32"/>
        </w:rPr>
        <w:t>（四）绩效目标设置情况</w:t>
      </w:r>
      <w:r>
        <w:rPr>
          <w:rFonts w:hint="eastAsia" w:ascii="仿宋_GB2312" w:hAnsi="仿宋_GB2312" w:eastAsia="仿宋_GB2312" w:cstheme="minorBidi"/>
          <w:kern w:val="2"/>
          <w:sz w:val="32"/>
          <w:szCs w:val="32"/>
        </w:rPr>
        <w:tab/>
      </w:r>
      <w:r>
        <w:rPr>
          <w:rFonts w:hint="eastAsia" w:ascii="仿宋_GB2312" w:hAnsi="仿宋_GB2312" w:eastAsia="仿宋_GB2312" w:cstheme="minorBidi"/>
          <w:kern w:val="2"/>
          <w:sz w:val="32"/>
          <w:szCs w:val="32"/>
        </w:rPr>
        <w:t>9</w:t>
      </w:r>
      <w:r>
        <w:rPr>
          <w:rFonts w:hint="eastAsia" w:ascii="仿宋_GB2312" w:hAnsi="仿宋_GB2312" w:eastAsia="仿宋_GB2312" w:cstheme="minorBidi"/>
          <w:kern w:val="2"/>
          <w:sz w:val="32"/>
          <w:szCs w:val="32"/>
        </w:rPr>
        <w:fldChar w:fldCharType="end"/>
      </w:r>
    </w:p>
    <w:p>
      <w:pPr>
        <w:pStyle w:val="18"/>
        <w:tabs>
          <w:tab w:val="right" w:leader="dot" w:pos="8845"/>
        </w:tabs>
        <w:rPr>
          <w:b/>
        </w:rPr>
      </w:pPr>
      <w:r>
        <w:fldChar w:fldCharType="begin"/>
      </w:r>
      <w:r>
        <w:instrText xml:space="preserve"> HYPERLINK \l "_Toc6693" </w:instrText>
      </w:r>
      <w:r>
        <w:fldChar w:fldCharType="separate"/>
      </w:r>
      <w:r>
        <w:rPr>
          <w:rFonts w:hint="eastAsia" w:ascii="仿宋_GB2312" w:hAnsi="仿宋_GB2312" w:eastAsia="仿宋_GB2312" w:cstheme="minorBidi"/>
          <w:kern w:val="2"/>
          <w:sz w:val="32"/>
          <w:szCs w:val="32"/>
        </w:rPr>
        <w:t>十一、名词解释</w:t>
      </w:r>
      <w:r>
        <w:rPr>
          <w:rFonts w:hint="eastAsia" w:ascii="仿宋_GB2312" w:hAnsi="仿宋_GB2312" w:eastAsia="仿宋_GB2312" w:cstheme="minorBidi"/>
          <w:kern w:val="2"/>
          <w:sz w:val="32"/>
          <w:szCs w:val="32"/>
        </w:rPr>
        <w:tab/>
      </w:r>
      <w:r>
        <w:rPr>
          <w:rFonts w:hint="eastAsia" w:ascii="仿宋_GB2312" w:hAnsi="仿宋_GB2312" w:eastAsia="仿宋_GB2312" w:cstheme="minorBidi"/>
          <w:kern w:val="2"/>
          <w:sz w:val="32"/>
          <w:szCs w:val="32"/>
        </w:rPr>
        <w:t>1</w:t>
      </w:r>
      <w:r>
        <w:rPr>
          <w:rFonts w:hint="eastAsia" w:ascii="仿宋_GB2312" w:hAnsi="仿宋_GB2312" w:eastAsia="仿宋_GB2312" w:cstheme="minorBidi"/>
          <w:kern w:val="2"/>
          <w:sz w:val="32"/>
          <w:szCs w:val="32"/>
        </w:rPr>
        <w:fldChar w:fldCharType="end"/>
      </w:r>
      <w:r>
        <w:rPr>
          <w:rFonts w:hint="eastAsia" w:ascii="仿宋_GB2312" w:hAnsi="仿宋_GB2312" w:eastAsia="仿宋_GB2312" w:cstheme="minorBidi"/>
          <w:kern w:val="2"/>
          <w:sz w:val="32"/>
          <w:szCs w:val="32"/>
        </w:rPr>
        <w:t>2</w:t>
      </w:r>
    </w:p>
    <w:p>
      <w:pPr>
        <w:spacing w:line="560" w:lineRule="exact"/>
        <w:ind w:left="2562" w:leftChars="132" w:hanging="1928" w:hangingChars="400"/>
        <w:rPr>
          <w:rFonts w:hint="eastAsia" w:ascii="ˎ̥" w:hAnsi="ˎ̥"/>
          <w:b/>
          <w:bCs/>
          <w:color w:val="000000"/>
          <w:szCs w:val="41"/>
        </w:rPr>
      </w:pPr>
      <w:r>
        <w:rPr>
          <w:rFonts w:hint="eastAsia" w:ascii="ˎ̥" w:hAnsi="ˎ̥"/>
          <w:b/>
          <w:bCs/>
          <w:color w:val="000000"/>
          <w:szCs w:val="41"/>
        </w:rPr>
        <w:fldChar w:fldCharType="end"/>
      </w:r>
    </w:p>
    <w:p>
      <w:pPr>
        <w:adjustRightInd w:val="0"/>
        <w:snapToGrid w:val="0"/>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一、基本职能及主要工作</w:t>
      </w:r>
    </w:p>
    <w:p>
      <w:pPr>
        <w:adjustRightInd w:val="0"/>
        <w:snapToGrid w:val="0"/>
        <w:spacing w:line="560" w:lineRule="exact"/>
        <w:ind w:firstLine="560" w:firstLineChars="175"/>
        <w:rPr>
          <w:rFonts w:ascii="楷体_GB2312" w:hAnsi="楷体" w:eastAsia="楷体_GB2312" w:cs="楷体"/>
          <w:sz w:val="32"/>
          <w:szCs w:val="32"/>
        </w:rPr>
      </w:pPr>
      <w:r>
        <w:rPr>
          <w:rFonts w:hint="eastAsia" w:ascii="楷体_GB2312" w:hAnsi="楷体" w:eastAsia="楷体_GB2312" w:cs="楷体"/>
          <w:sz w:val="32"/>
          <w:szCs w:val="32"/>
        </w:rPr>
        <w:t>（一）机构设置及主要职责</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 w:eastAsia="仿宋_GB2312" w:cs="仿宋"/>
          <w:sz w:val="32"/>
          <w:szCs w:val="32"/>
        </w:rPr>
        <w:t>中国共产党德阳市罗江区委员会统一战线工作部是区委主管全区统一战线工作的职能部门（与德阳市罗江区民族宗教事务局合署办公），其主要职责是：组织贯彻执行中央、省委、市委和区委关于统一战线的方针、政策；负责联系区内各民主党派、有关人民团体和无党派代表人士，及时通报情况，了解和反映他们的意见和建议；负责我区党外人士的政治安排，协助做好实职安排；指导、协助对宗教事务的依法管理，检查督促民族、宗教政策的执行，联系少数民族和宗教界代表人物；指导、帮助区工商联和民间商会开展工作，组织进行非公有制经济代表人士思想政治工作，促进非公有制经济健康发展；调研我区党外知识分子情况，反映意见，协调关系，提出政策性建议；团结、引导我区新的社会阶层代表人士；负责开展以祖国统一为重点，有利于扩大我区对外开放，发展经贸海外统战工作。</w:t>
      </w:r>
    </w:p>
    <w:p>
      <w:pPr>
        <w:adjustRightInd w:val="0"/>
        <w:snapToGrid w:val="0"/>
        <w:spacing w:line="560" w:lineRule="exact"/>
        <w:ind w:firstLine="560" w:firstLineChars="175"/>
        <w:rPr>
          <w:rFonts w:ascii="楷体_GB2312" w:hAnsi="楷体" w:eastAsia="楷体_GB2312" w:cs="楷体"/>
          <w:sz w:val="32"/>
          <w:szCs w:val="32"/>
        </w:rPr>
      </w:pPr>
      <w:r>
        <w:rPr>
          <w:rFonts w:hint="eastAsia" w:ascii="楷体_GB2312" w:hAnsi="楷体" w:eastAsia="楷体_GB2312" w:cs="楷体"/>
          <w:sz w:val="32"/>
          <w:szCs w:val="32"/>
        </w:rPr>
        <w:t>（二）</w:t>
      </w:r>
      <w:r>
        <w:rPr>
          <w:rFonts w:hint="eastAsia" w:ascii="楷体_GB2312" w:hAnsi="仿宋" w:eastAsia="楷体_GB2312" w:cs="仿宋"/>
          <w:sz w:val="32"/>
          <w:szCs w:val="32"/>
        </w:rPr>
        <w:t>中国共产党德阳市罗江区委员会统一战线工作部</w:t>
      </w:r>
      <w:r>
        <w:rPr>
          <w:rFonts w:hint="eastAsia" w:ascii="楷体_GB2312" w:hAnsi="楷体" w:eastAsia="楷体_GB2312" w:cs="楷体"/>
          <w:sz w:val="32"/>
          <w:szCs w:val="32"/>
        </w:rPr>
        <w:t>2023年重点工作</w:t>
      </w:r>
    </w:p>
    <w:p>
      <w:pPr>
        <w:spacing w:line="580" w:lineRule="exact"/>
        <w:ind w:firstLine="640" w:firstLineChars="200"/>
        <w:rPr>
          <w:rFonts w:ascii="Times New Roman" w:eastAsia="仿宋_GB2312"/>
          <w:sz w:val="32"/>
          <w:szCs w:val="32"/>
        </w:rPr>
      </w:pPr>
      <w:r>
        <w:rPr>
          <w:rFonts w:ascii="Times New Roman" w:eastAsia="仿宋_GB2312"/>
          <w:sz w:val="32"/>
          <w:szCs w:val="32"/>
        </w:rPr>
        <w:t>2023年是学习贯彻党的二十大精神和省委十二届二次全会精神的开局之年，也是深入落实市委九届五次全会、区委二届四次全会部署的起步之年</w:t>
      </w:r>
      <w:r>
        <w:rPr>
          <w:rFonts w:hint="eastAsia" w:ascii="Times New Roman" w:eastAsia="仿宋_GB2312"/>
          <w:sz w:val="32"/>
          <w:szCs w:val="32"/>
        </w:rPr>
        <w:t>。全区统一战线工作的总体要求是：坚定以习近平新时代中国特色社会主义思想为指导，全面贯彻落实党的二十大精神和习近平总书记对四川工作系列重要指示精神，认真学习贯彻习近平总书记关于做好新时代党的统一战线工作的重要思想，认真落实中央、省委、市委和区委重大决策部署，把握团结奋斗的时代主题，深入践行“4321工作法”，坚持凝聚人心、汇聚力量，坚持服务大局、担当作为，坚持聚焦重点、精准发力，坚持狠抓落实、善作善成，深化学习教育，学深悟透党的二十大精神，以实实在在的硬举措、真动作全力以赴“拼经济、搞建设、抓发展”，推动新时代罗江统战工作再上新台阶，为</w:t>
      </w:r>
      <w:r>
        <w:rPr>
          <w:rFonts w:ascii="Times New Roman" w:eastAsia="仿宋_GB2312"/>
          <w:sz w:val="32"/>
          <w:szCs w:val="32"/>
        </w:rPr>
        <w:t>党建责任制考核（坚持党对统战工作的全面领导）进入全市第一方阵目标任务</w:t>
      </w:r>
      <w:r>
        <w:rPr>
          <w:rFonts w:hint="eastAsia" w:ascii="Times New Roman" w:eastAsia="仿宋_GB2312"/>
          <w:sz w:val="32"/>
          <w:szCs w:val="32"/>
        </w:rPr>
        <w:t>保驾护航。</w:t>
      </w:r>
    </w:p>
    <w:p>
      <w:pPr>
        <w:spacing w:line="580" w:lineRule="exact"/>
        <w:ind w:firstLine="643" w:firstLineChars="200"/>
        <w:rPr>
          <w:rFonts w:ascii="Times New Roman" w:eastAsia="黑体"/>
          <w:sz w:val="32"/>
          <w:szCs w:val="32"/>
        </w:rPr>
      </w:pPr>
      <w:r>
        <w:rPr>
          <w:rFonts w:hint="eastAsia" w:ascii="黑体" w:hAnsi="黑体" w:eastAsia="黑体" w:cs="黑体"/>
          <w:b/>
          <w:bCs/>
          <w:sz w:val="32"/>
          <w:szCs w:val="32"/>
        </w:rPr>
        <w:t>1.</w:t>
      </w:r>
      <w:r>
        <w:rPr>
          <w:rFonts w:ascii="Times New Roman" w:eastAsia="黑体"/>
          <w:sz w:val="32"/>
          <w:szCs w:val="32"/>
        </w:rPr>
        <w:t>超常擘画，助推新闻富矿营造</w:t>
      </w:r>
    </w:p>
    <w:p>
      <w:pPr>
        <w:spacing w:line="580" w:lineRule="exact"/>
        <w:ind w:firstLine="643" w:firstLineChars="200"/>
        <w:rPr>
          <w:rFonts w:ascii="Times New Roman" w:eastAsia="仿宋_GB2312"/>
          <w:sz w:val="32"/>
          <w:szCs w:val="32"/>
        </w:rPr>
      </w:pPr>
      <w:r>
        <w:rPr>
          <w:rFonts w:hint="eastAsia" w:ascii="Times New Roman" w:eastAsia="楷体_GB2312"/>
          <w:b/>
          <w:bCs/>
          <w:sz w:val="32"/>
          <w:szCs w:val="32"/>
        </w:rPr>
        <w:t>（</w:t>
      </w:r>
      <w:r>
        <w:rPr>
          <w:rFonts w:ascii="Times New Roman" w:eastAsia="楷体_GB2312"/>
          <w:b/>
          <w:bCs/>
          <w:sz w:val="32"/>
          <w:szCs w:val="32"/>
        </w:rPr>
        <w:t>1</w:t>
      </w:r>
      <w:r>
        <w:rPr>
          <w:rFonts w:hint="eastAsia" w:ascii="Times New Roman" w:eastAsia="楷体_GB2312"/>
          <w:b/>
          <w:bCs/>
          <w:sz w:val="32"/>
          <w:szCs w:val="32"/>
        </w:rPr>
        <w:t>）</w:t>
      </w:r>
      <w:r>
        <w:rPr>
          <w:rFonts w:ascii="Times New Roman" w:eastAsia="楷体_GB2312"/>
          <w:b/>
          <w:bCs/>
          <w:sz w:val="32"/>
          <w:szCs w:val="32"/>
        </w:rPr>
        <w:t>加强目标任务分解落实力度。</w:t>
      </w:r>
      <w:r>
        <w:rPr>
          <w:rFonts w:ascii="Times New Roman" w:eastAsia="仿宋_GB2312"/>
          <w:sz w:val="32"/>
          <w:szCs w:val="32"/>
        </w:rPr>
        <w:t>对照市上考核清单，梳理任务分工，制定年度统战信息、宣传工作考核办法（含签批、争取重点会议或活动）。邀请市上业务科室来罗开展一期统战系统信息员内宣和外宣业务专题培训。</w:t>
      </w:r>
    </w:p>
    <w:p>
      <w:pPr>
        <w:spacing w:line="580" w:lineRule="exact"/>
        <w:ind w:firstLine="643" w:firstLineChars="200"/>
        <w:rPr>
          <w:rFonts w:ascii="Times New Roman" w:eastAsia="仿宋_GB2312"/>
          <w:b/>
          <w:bCs/>
          <w:sz w:val="32"/>
          <w:szCs w:val="32"/>
        </w:rPr>
      </w:pPr>
      <w:r>
        <w:rPr>
          <w:rFonts w:hint="eastAsia" w:ascii="Times New Roman" w:eastAsia="楷体_GB2312"/>
          <w:b/>
          <w:bCs/>
          <w:sz w:val="32"/>
          <w:szCs w:val="32"/>
        </w:rPr>
        <w:t>（</w:t>
      </w:r>
      <w:r>
        <w:rPr>
          <w:rFonts w:ascii="Times New Roman" w:eastAsia="楷体_GB2312"/>
          <w:b/>
          <w:bCs/>
          <w:sz w:val="32"/>
          <w:szCs w:val="32"/>
        </w:rPr>
        <w:t>2</w:t>
      </w:r>
      <w:r>
        <w:rPr>
          <w:rFonts w:hint="eastAsia" w:ascii="Times New Roman" w:eastAsia="楷体_GB2312"/>
          <w:b/>
          <w:bCs/>
          <w:sz w:val="32"/>
          <w:szCs w:val="32"/>
        </w:rPr>
        <w:t>）</w:t>
      </w:r>
      <w:r>
        <w:rPr>
          <w:rFonts w:ascii="Times New Roman" w:eastAsia="楷体_GB2312"/>
          <w:b/>
          <w:bCs/>
          <w:sz w:val="32"/>
          <w:szCs w:val="32"/>
        </w:rPr>
        <w:t>加强《统战之声》宣传力度。</w:t>
      </w:r>
      <w:r>
        <w:rPr>
          <w:rFonts w:ascii="Times New Roman" w:eastAsia="仿宋_GB2312"/>
          <w:sz w:val="32"/>
          <w:szCs w:val="32"/>
        </w:rPr>
        <w:t>每月编辑1期《统战之声》，注重以特色亮点工作为基准多出专刊。</w:t>
      </w:r>
    </w:p>
    <w:p>
      <w:pPr>
        <w:spacing w:line="580" w:lineRule="exact"/>
        <w:ind w:firstLine="643" w:firstLineChars="200"/>
        <w:rPr>
          <w:rFonts w:ascii="Times New Roman" w:eastAsia="仿宋_GB2312"/>
          <w:sz w:val="32"/>
          <w:szCs w:val="32"/>
        </w:rPr>
      </w:pPr>
      <w:r>
        <w:rPr>
          <w:rFonts w:hint="eastAsia" w:ascii="Times New Roman" w:eastAsia="楷体_GB2312"/>
          <w:b/>
          <w:bCs/>
          <w:sz w:val="32"/>
          <w:szCs w:val="32"/>
        </w:rPr>
        <w:t>(3)</w:t>
      </w:r>
      <w:r>
        <w:rPr>
          <w:rFonts w:ascii="Times New Roman" w:eastAsia="楷体_GB2312"/>
          <w:b/>
          <w:bCs/>
          <w:sz w:val="32"/>
          <w:szCs w:val="32"/>
        </w:rPr>
        <w:t>加强特色工作签批认可力度。</w:t>
      </w:r>
      <w:r>
        <w:rPr>
          <w:rFonts w:ascii="Times New Roman" w:eastAsia="仿宋_GB2312"/>
          <w:sz w:val="32"/>
          <w:szCs w:val="32"/>
        </w:rPr>
        <w:t>特色亮点工作形成专题报告，送相关市领导签批。用好民主党派等“直通车”，争取统战系统省级相关领导签批。</w:t>
      </w:r>
    </w:p>
    <w:p>
      <w:pPr>
        <w:spacing w:line="580" w:lineRule="exact"/>
        <w:ind w:firstLine="643" w:firstLineChars="200"/>
        <w:rPr>
          <w:rFonts w:ascii="Times New Roman" w:eastAsia="仿宋_GB2312"/>
          <w:sz w:val="32"/>
          <w:szCs w:val="32"/>
        </w:rPr>
      </w:pPr>
      <w:r>
        <w:rPr>
          <w:rFonts w:hint="eastAsia" w:ascii="Times New Roman" w:eastAsia="楷体_GB2312"/>
          <w:b/>
          <w:bCs/>
          <w:sz w:val="32"/>
          <w:szCs w:val="32"/>
        </w:rPr>
        <w:t>(</w:t>
      </w:r>
      <w:r>
        <w:rPr>
          <w:rFonts w:ascii="Times New Roman" w:eastAsia="楷体_GB2312"/>
          <w:b/>
          <w:bCs/>
          <w:sz w:val="32"/>
          <w:szCs w:val="32"/>
        </w:rPr>
        <w:t>4</w:t>
      </w:r>
      <w:r>
        <w:rPr>
          <w:rFonts w:hint="eastAsia" w:ascii="Times New Roman" w:eastAsia="楷体_GB2312"/>
          <w:b/>
          <w:bCs/>
          <w:sz w:val="32"/>
          <w:szCs w:val="32"/>
        </w:rPr>
        <w:t>)</w:t>
      </w:r>
      <w:r>
        <w:rPr>
          <w:rFonts w:ascii="Times New Roman" w:eastAsia="楷体_GB2312"/>
          <w:b/>
          <w:bCs/>
          <w:sz w:val="32"/>
          <w:szCs w:val="32"/>
        </w:rPr>
        <w:t>加强省市会议或活动落地力度。</w:t>
      </w:r>
      <w:r>
        <w:rPr>
          <w:rFonts w:ascii="Times New Roman" w:eastAsia="仿宋_GB2312"/>
          <w:sz w:val="32"/>
          <w:szCs w:val="32"/>
        </w:rPr>
        <w:t>积极争取省、市两级会议活动在罗召开。省级不低于1次，市级不低于2次。发挥民主党派和统战团体“直通车”优势，争取对罗更多支持，力争承办一次重大会议或活动。</w:t>
      </w:r>
    </w:p>
    <w:p>
      <w:pPr>
        <w:spacing w:line="580" w:lineRule="exact"/>
        <w:ind w:firstLine="643" w:firstLineChars="200"/>
        <w:rPr>
          <w:rFonts w:ascii="Times New Roman" w:eastAsia="仿宋_GB2312"/>
          <w:sz w:val="32"/>
          <w:szCs w:val="32"/>
        </w:rPr>
      </w:pPr>
      <w:r>
        <w:rPr>
          <w:rFonts w:hint="eastAsia" w:ascii="Times New Roman" w:eastAsia="楷体_GB2312"/>
          <w:b/>
          <w:bCs/>
          <w:sz w:val="32"/>
          <w:szCs w:val="32"/>
        </w:rPr>
        <w:t>(</w:t>
      </w:r>
      <w:r>
        <w:rPr>
          <w:rFonts w:ascii="Times New Roman" w:eastAsia="楷体_GB2312"/>
          <w:b/>
          <w:bCs/>
          <w:sz w:val="32"/>
          <w:szCs w:val="32"/>
        </w:rPr>
        <w:t>5</w:t>
      </w:r>
      <w:r>
        <w:rPr>
          <w:rFonts w:hint="eastAsia" w:ascii="Times New Roman" w:eastAsia="楷体_GB2312"/>
          <w:b/>
          <w:bCs/>
          <w:sz w:val="32"/>
          <w:szCs w:val="32"/>
        </w:rPr>
        <w:t>)</w:t>
      </w:r>
      <w:r>
        <w:rPr>
          <w:rFonts w:ascii="Times New Roman" w:eastAsia="楷体_GB2312"/>
          <w:b/>
          <w:bCs/>
          <w:sz w:val="32"/>
          <w:szCs w:val="32"/>
        </w:rPr>
        <w:t>加强各级平台信息攻关力度。</w:t>
      </w:r>
      <w:r>
        <w:rPr>
          <w:rFonts w:ascii="Times New Roman" w:eastAsia="仿宋_GB2312"/>
          <w:sz w:val="32"/>
          <w:szCs w:val="32"/>
        </w:rPr>
        <w:t>协调区融媒体中心加大统战信息外宣供稿力度；协调市委统战部相关科室加大省级内宣信息攻关力度。维护好区级统战信息平台，及时上传更新外宣信息。</w:t>
      </w:r>
    </w:p>
    <w:p>
      <w:pPr>
        <w:pStyle w:val="3"/>
        <w:spacing w:before="93" w:line="580" w:lineRule="exact"/>
        <w:ind w:firstLine="643" w:firstLineChars="200"/>
        <w:rPr>
          <w:rFonts w:ascii="Times New Roman" w:eastAsia="黑体"/>
          <w:sz w:val="32"/>
          <w:szCs w:val="32"/>
        </w:rPr>
      </w:pPr>
      <w:r>
        <w:rPr>
          <w:rFonts w:hint="eastAsia" w:ascii="黑体" w:hAnsi="黑体" w:eastAsia="黑体" w:cs="黑体"/>
          <w:b/>
          <w:bCs/>
          <w:sz w:val="32"/>
          <w:szCs w:val="32"/>
        </w:rPr>
        <w:t>2.</w:t>
      </w:r>
      <w:r>
        <w:rPr>
          <w:rFonts w:ascii="Times New Roman" w:eastAsia="黑体"/>
          <w:sz w:val="32"/>
          <w:szCs w:val="32"/>
        </w:rPr>
        <w:t>发挥优势，助推乡村振兴战略</w:t>
      </w:r>
    </w:p>
    <w:p>
      <w:pPr>
        <w:pStyle w:val="3"/>
        <w:spacing w:before="93" w:line="580" w:lineRule="exact"/>
        <w:ind w:firstLine="643" w:firstLineChars="200"/>
        <w:rPr>
          <w:rFonts w:ascii="Times New Roman"/>
          <w:sz w:val="32"/>
          <w:szCs w:val="32"/>
        </w:rPr>
      </w:pPr>
      <w:r>
        <w:rPr>
          <w:rFonts w:hint="eastAsia" w:ascii="Times New Roman" w:eastAsia="楷体_GB2312"/>
          <w:b/>
          <w:bCs/>
          <w:sz w:val="32"/>
          <w:szCs w:val="32"/>
        </w:rPr>
        <w:t>(</w:t>
      </w:r>
      <w:r>
        <w:rPr>
          <w:rFonts w:ascii="Times New Roman" w:eastAsia="楷体_GB2312"/>
          <w:b/>
          <w:bCs/>
          <w:sz w:val="32"/>
          <w:szCs w:val="32"/>
        </w:rPr>
        <w:t>6</w:t>
      </w:r>
      <w:r>
        <w:rPr>
          <w:rFonts w:hint="eastAsia" w:ascii="Times New Roman" w:eastAsia="楷体_GB2312"/>
          <w:b/>
          <w:bCs/>
          <w:sz w:val="32"/>
          <w:szCs w:val="32"/>
        </w:rPr>
        <w:t>)</w:t>
      </w:r>
      <w:r>
        <w:rPr>
          <w:rFonts w:ascii="Times New Roman" w:eastAsia="楷体_GB2312"/>
          <w:b/>
          <w:bCs/>
          <w:sz w:val="32"/>
          <w:szCs w:val="32"/>
        </w:rPr>
        <w:t>发挥典型标杆作用。</w:t>
      </w:r>
      <w:r>
        <w:rPr>
          <w:rFonts w:ascii="Times New Roman"/>
          <w:sz w:val="32"/>
          <w:szCs w:val="32"/>
        </w:rPr>
        <w:t>开展新农民孵化共育统战工作基地创建，制定考评办法，明确申报推荐条件及评定挂牌标准，引领培养有实力、有担当的新农民</w:t>
      </w:r>
      <w:r>
        <w:rPr>
          <w:rFonts w:hint="eastAsia" w:ascii="Times New Roman"/>
          <w:sz w:val="32"/>
          <w:szCs w:val="32"/>
        </w:rPr>
        <w:t>发展</w:t>
      </w:r>
      <w:r>
        <w:rPr>
          <w:rFonts w:ascii="Times New Roman"/>
          <w:sz w:val="32"/>
          <w:szCs w:val="32"/>
        </w:rPr>
        <w:t>壮大</w:t>
      </w:r>
      <w:r>
        <w:rPr>
          <w:rFonts w:hint="eastAsia" w:ascii="Times New Roman"/>
          <w:sz w:val="32"/>
          <w:szCs w:val="32"/>
        </w:rPr>
        <w:t>，</w:t>
      </w:r>
      <w:r>
        <w:rPr>
          <w:rFonts w:ascii="Times New Roman"/>
          <w:sz w:val="32"/>
          <w:szCs w:val="32"/>
        </w:rPr>
        <w:t>并带动一片致富一方。</w:t>
      </w:r>
    </w:p>
    <w:p>
      <w:pPr>
        <w:spacing w:line="580" w:lineRule="exact"/>
        <w:ind w:firstLine="320" w:firstLineChars="100"/>
        <w:rPr>
          <w:rFonts w:ascii="Times New Roman" w:eastAsia="仿宋_GB2312"/>
          <w:sz w:val="32"/>
          <w:szCs w:val="32"/>
        </w:rPr>
      </w:pPr>
      <w:r>
        <w:rPr>
          <w:rFonts w:hint="eastAsia" w:ascii="Times New Roman" w:eastAsia="仿宋"/>
          <w:bCs/>
          <w:sz w:val="32"/>
          <w:szCs w:val="32"/>
        </w:rPr>
        <w:t>(</w:t>
      </w:r>
      <w:r>
        <w:rPr>
          <w:rFonts w:ascii="Times New Roman" w:eastAsia="楷体_GB2312"/>
          <w:b/>
          <w:bCs/>
          <w:sz w:val="32"/>
          <w:szCs w:val="32"/>
        </w:rPr>
        <w:t>7</w:t>
      </w:r>
      <w:r>
        <w:rPr>
          <w:rFonts w:hint="eastAsia" w:ascii="Times New Roman" w:eastAsia="楷体_GB2312"/>
          <w:b/>
          <w:bCs/>
          <w:sz w:val="32"/>
          <w:szCs w:val="32"/>
        </w:rPr>
        <w:t>)</w:t>
      </w:r>
      <w:r>
        <w:rPr>
          <w:rFonts w:ascii="Times New Roman" w:eastAsia="楷体_GB2312"/>
          <w:b/>
          <w:bCs/>
          <w:sz w:val="32"/>
          <w:szCs w:val="32"/>
        </w:rPr>
        <w:t>发挥典型带动作用。</w:t>
      </w:r>
      <w:r>
        <w:rPr>
          <w:rFonts w:ascii="Times New Roman" w:eastAsia="仿宋_GB2312"/>
          <w:sz w:val="32"/>
          <w:szCs w:val="32"/>
        </w:rPr>
        <w:t>建立一批乡村振兴孵化基地，开展大学生创业实训活动，撒种到家庭农场，培育骨干型新农民，确保高校毕业生安心在乡村扎根。计划创业实训人数不低于100人次。</w:t>
      </w:r>
    </w:p>
    <w:p>
      <w:pPr>
        <w:spacing w:line="580" w:lineRule="exact"/>
        <w:ind w:firstLine="643" w:firstLineChars="200"/>
        <w:rPr>
          <w:rFonts w:ascii="Times New Roman" w:eastAsia="仿宋_GB2312"/>
          <w:sz w:val="32"/>
          <w:szCs w:val="32"/>
        </w:rPr>
      </w:pPr>
      <w:r>
        <w:rPr>
          <w:rFonts w:hint="eastAsia" w:ascii="Times New Roman" w:eastAsia="楷体_GB2312"/>
          <w:b/>
          <w:bCs/>
          <w:sz w:val="32"/>
          <w:szCs w:val="32"/>
        </w:rPr>
        <w:t>(</w:t>
      </w:r>
      <w:r>
        <w:rPr>
          <w:rFonts w:ascii="Times New Roman" w:eastAsia="楷体_GB2312"/>
          <w:b/>
          <w:bCs/>
          <w:sz w:val="32"/>
          <w:szCs w:val="32"/>
        </w:rPr>
        <w:t>8</w:t>
      </w:r>
      <w:r>
        <w:rPr>
          <w:rFonts w:hint="eastAsia" w:ascii="Times New Roman" w:eastAsia="楷体_GB2312"/>
          <w:b/>
          <w:bCs/>
          <w:sz w:val="32"/>
          <w:szCs w:val="32"/>
        </w:rPr>
        <w:t>)</w:t>
      </w:r>
      <w:r>
        <w:rPr>
          <w:rFonts w:ascii="Times New Roman" w:eastAsia="楷体_GB2312"/>
          <w:b/>
          <w:bCs/>
          <w:sz w:val="32"/>
          <w:szCs w:val="32"/>
        </w:rPr>
        <w:t>发挥典型激励作用。</w:t>
      </w:r>
      <w:r>
        <w:rPr>
          <w:rFonts w:ascii="Times New Roman" w:eastAsia="仿宋_GB2312"/>
          <w:sz w:val="32"/>
          <w:szCs w:val="32"/>
        </w:rPr>
        <w:t>建立示范基地“一对一”结对帮扶机制，在全区新农民中开展一对一帮扶培育。设立帮扶考核机制，每个基地帮扶带动不低于3户，让“大农民”带动“小农民”，让先进帮后进，促使后进提档升级。召开“一对一”结对帮扶发布仪式。</w:t>
      </w:r>
    </w:p>
    <w:p>
      <w:pPr>
        <w:spacing w:line="580" w:lineRule="exact"/>
        <w:ind w:firstLine="643" w:firstLineChars="200"/>
        <w:rPr>
          <w:rFonts w:ascii="Times New Roman" w:eastAsia="仿宋_GB2312"/>
          <w:sz w:val="32"/>
          <w:szCs w:val="32"/>
        </w:rPr>
      </w:pPr>
      <w:r>
        <w:rPr>
          <w:rFonts w:hint="eastAsia" w:ascii="Times New Roman" w:eastAsia="楷体_GB2312"/>
          <w:b/>
          <w:bCs/>
          <w:sz w:val="32"/>
          <w:szCs w:val="32"/>
        </w:rPr>
        <w:t>(</w:t>
      </w:r>
      <w:r>
        <w:rPr>
          <w:rFonts w:ascii="Times New Roman" w:eastAsia="楷体_GB2312"/>
          <w:b/>
          <w:bCs/>
          <w:sz w:val="32"/>
          <w:szCs w:val="32"/>
        </w:rPr>
        <w:t>9</w:t>
      </w:r>
      <w:r>
        <w:rPr>
          <w:rFonts w:hint="eastAsia" w:ascii="Times New Roman" w:eastAsia="楷体_GB2312"/>
          <w:b/>
          <w:bCs/>
          <w:sz w:val="32"/>
          <w:szCs w:val="32"/>
        </w:rPr>
        <w:t>)</w:t>
      </w:r>
      <w:r>
        <w:rPr>
          <w:rFonts w:ascii="Times New Roman" w:eastAsia="楷体_GB2312"/>
          <w:b/>
          <w:bCs/>
          <w:sz w:val="32"/>
          <w:szCs w:val="32"/>
        </w:rPr>
        <w:t>发挥典型引领作用。</w:t>
      </w:r>
      <w:r>
        <w:rPr>
          <w:rFonts w:ascii="Times New Roman" w:eastAsia="仿宋_GB2312"/>
          <w:sz w:val="32"/>
          <w:szCs w:val="32"/>
        </w:rPr>
        <w:t>依托新农会“土专家”建设，推进柑橘、青花椒等特色产业技术培训，开展现场技术指导、产品网络营销活动不低于2次。</w:t>
      </w:r>
    </w:p>
    <w:p>
      <w:pPr>
        <w:spacing w:line="580" w:lineRule="exact"/>
        <w:ind w:firstLine="643" w:firstLineChars="200"/>
        <w:rPr>
          <w:rFonts w:ascii="Times New Roman" w:eastAsia="仿宋_GB2312"/>
          <w:sz w:val="32"/>
          <w:szCs w:val="32"/>
        </w:rPr>
      </w:pPr>
      <w:r>
        <w:rPr>
          <w:rFonts w:hint="eastAsia" w:ascii="Times New Roman" w:eastAsia="楷体_GB2312"/>
          <w:b/>
          <w:bCs/>
          <w:sz w:val="32"/>
          <w:szCs w:val="32"/>
        </w:rPr>
        <w:t>(</w:t>
      </w:r>
      <w:r>
        <w:rPr>
          <w:rFonts w:ascii="Times New Roman" w:eastAsia="楷体_GB2312"/>
          <w:b/>
          <w:bCs/>
          <w:sz w:val="32"/>
          <w:szCs w:val="32"/>
        </w:rPr>
        <w:t>10</w:t>
      </w:r>
      <w:r>
        <w:rPr>
          <w:rFonts w:hint="eastAsia" w:ascii="Times New Roman" w:eastAsia="楷体_GB2312"/>
          <w:b/>
          <w:bCs/>
          <w:sz w:val="32"/>
          <w:szCs w:val="32"/>
        </w:rPr>
        <w:t>)</w:t>
      </w:r>
      <w:r>
        <w:rPr>
          <w:rFonts w:ascii="Times New Roman" w:eastAsia="楷体_GB2312"/>
          <w:b/>
          <w:bCs/>
          <w:sz w:val="32"/>
          <w:szCs w:val="32"/>
        </w:rPr>
        <w:t>组建智囊献智。</w:t>
      </w:r>
      <w:r>
        <w:rPr>
          <w:rFonts w:ascii="Times New Roman" w:eastAsia="仿宋_GB2312"/>
          <w:sz w:val="32"/>
          <w:szCs w:val="32"/>
        </w:rPr>
        <w:t>以乡村振兴研究院为平台，组建高校专家智库与新农民结合的调研团队，建立不脱离农村实际的智库队伍。召开乡村振兴研究专家聘书颁布仪式。</w:t>
      </w:r>
    </w:p>
    <w:p>
      <w:pPr>
        <w:spacing w:line="580" w:lineRule="exact"/>
        <w:ind w:firstLine="643" w:firstLineChars="200"/>
        <w:rPr>
          <w:rFonts w:ascii="Times New Roman" w:eastAsia="仿宋"/>
          <w:b/>
          <w:bCs/>
          <w:sz w:val="32"/>
          <w:szCs w:val="32"/>
        </w:rPr>
      </w:pPr>
      <w:r>
        <w:rPr>
          <w:rFonts w:hint="eastAsia" w:ascii="Times New Roman" w:eastAsia="楷体_GB2312"/>
          <w:b/>
          <w:bCs/>
          <w:sz w:val="32"/>
          <w:szCs w:val="32"/>
        </w:rPr>
        <w:t>(</w:t>
      </w:r>
      <w:r>
        <w:rPr>
          <w:rFonts w:ascii="Times New Roman" w:eastAsia="楷体_GB2312"/>
          <w:b/>
          <w:bCs/>
          <w:sz w:val="32"/>
          <w:szCs w:val="32"/>
        </w:rPr>
        <w:t>11</w:t>
      </w:r>
      <w:r>
        <w:rPr>
          <w:rFonts w:hint="eastAsia" w:ascii="Times New Roman" w:eastAsia="楷体_GB2312"/>
          <w:b/>
          <w:bCs/>
          <w:sz w:val="32"/>
          <w:szCs w:val="32"/>
        </w:rPr>
        <w:t>)</w:t>
      </w:r>
      <w:r>
        <w:rPr>
          <w:rFonts w:ascii="Times New Roman" w:eastAsia="楷体_GB2312"/>
          <w:b/>
          <w:bCs/>
          <w:sz w:val="32"/>
          <w:szCs w:val="32"/>
        </w:rPr>
        <w:t>组织实践献力。</w:t>
      </w:r>
      <w:r>
        <w:rPr>
          <w:rFonts w:ascii="Times New Roman" w:eastAsia="仿宋_GB2312"/>
          <w:sz w:val="32"/>
          <w:szCs w:val="32"/>
        </w:rPr>
        <w:t>召开乡村振兴研究座谈会，确定2个调研课题和调研方式、地点等，调研课题与实践创新课题结合；组织实地考察调研；撰写调研报告；邀请农业农村局、乡村振兴局等部门召开调研建言献策交办专题会。</w:t>
      </w:r>
    </w:p>
    <w:p>
      <w:pPr>
        <w:spacing w:line="580" w:lineRule="exact"/>
        <w:ind w:firstLine="643" w:firstLineChars="200"/>
        <w:rPr>
          <w:rFonts w:ascii="Times New Roman" w:eastAsia="仿宋_GB2312"/>
          <w:sz w:val="32"/>
          <w:szCs w:val="32"/>
        </w:rPr>
      </w:pPr>
      <w:r>
        <w:rPr>
          <w:rFonts w:hint="eastAsia" w:ascii="Times New Roman" w:eastAsia="楷体_GB2312"/>
          <w:b/>
          <w:bCs/>
          <w:sz w:val="32"/>
          <w:szCs w:val="32"/>
        </w:rPr>
        <w:t>(</w:t>
      </w:r>
      <w:r>
        <w:rPr>
          <w:rFonts w:ascii="Times New Roman" w:eastAsia="楷体_GB2312"/>
          <w:b/>
          <w:bCs/>
          <w:sz w:val="32"/>
          <w:szCs w:val="32"/>
        </w:rPr>
        <w:t>12</w:t>
      </w:r>
      <w:r>
        <w:rPr>
          <w:rFonts w:hint="eastAsia" w:ascii="Times New Roman" w:eastAsia="楷体_GB2312"/>
          <w:b/>
          <w:bCs/>
          <w:sz w:val="32"/>
          <w:szCs w:val="32"/>
        </w:rPr>
        <w:t>)</w:t>
      </w:r>
      <w:r>
        <w:rPr>
          <w:rFonts w:ascii="Times New Roman" w:eastAsia="楷体_GB2312"/>
          <w:b/>
          <w:bCs/>
          <w:sz w:val="32"/>
          <w:szCs w:val="32"/>
        </w:rPr>
        <w:t>擦亮罗江品牌。</w:t>
      </w:r>
      <w:r>
        <w:rPr>
          <w:rFonts w:ascii="Times New Roman" w:eastAsia="仿宋_GB2312"/>
          <w:sz w:val="32"/>
          <w:szCs w:val="32"/>
        </w:rPr>
        <w:t>整合全区民主党派和统战团体六个服务活动，提升统一战线同心乡村振兴的社会反响。召开“统战聚力·同心罗江”活动发布仪式。</w:t>
      </w:r>
    </w:p>
    <w:p>
      <w:pPr>
        <w:spacing w:line="580" w:lineRule="exact"/>
        <w:ind w:firstLine="643" w:firstLineChars="200"/>
        <w:rPr>
          <w:rFonts w:ascii="Times New Roman" w:eastAsia="仿宋_GB2312"/>
          <w:sz w:val="32"/>
          <w:szCs w:val="32"/>
        </w:rPr>
      </w:pPr>
      <w:r>
        <w:rPr>
          <w:rFonts w:hint="eastAsia" w:ascii="Times New Roman" w:eastAsia="楷体_GB2312"/>
          <w:b/>
          <w:bCs/>
          <w:sz w:val="32"/>
          <w:szCs w:val="32"/>
        </w:rPr>
        <w:t>(</w:t>
      </w:r>
      <w:r>
        <w:rPr>
          <w:rFonts w:ascii="Times New Roman" w:eastAsia="楷体_GB2312"/>
          <w:b/>
          <w:bCs/>
          <w:sz w:val="32"/>
          <w:szCs w:val="32"/>
        </w:rPr>
        <w:t>13</w:t>
      </w:r>
      <w:r>
        <w:rPr>
          <w:rFonts w:hint="eastAsia" w:ascii="Times New Roman" w:eastAsia="楷体_GB2312"/>
          <w:b/>
          <w:bCs/>
          <w:sz w:val="32"/>
          <w:szCs w:val="32"/>
        </w:rPr>
        <w:t>)</w:t>
      </w:r>
      <w:r>
        <w:rPr>
          <w:rFonts w:ascii="Times New Roman" w:eastAsia="楷体_GB2312"/>
          <w:b/>
          <w:bCs/>
          <w:sz w:val="32"/>
          <w:szCs w:val="32"/>
        </w:rPr>
        <w:t>唱响服务声势。</w:t>
      </w:r>
      <w:r>
        <w:rPr>
          <w:rFonts w:ascii="Times New Roman" w:eastAsia="仿宋_GB2312"/>
          <w:sz w:val="32"/>
          <w:szCs w:val="32"/>
        </w:rPr>
        <w:t>统一步调推动“万企兴万村”、“农村贫困学生捐资助学”、“农村留守儿童爱心守护”、“农村失助老人社会养老”、“侨心联童心”、“党外知识分子助力乡村振兴千村共建基地”活动有序开展，建成6个特色服务品牌基地。</w:t>
      </w:r>
    </w:p>
    <w:p>
      <w:pPr>
        <w:spacing w:line="580" w:lineRule="exact"/>
        <w:ind w:firstLine="643" w:firstLineChars="200"/>
        <w:rPr>
          <w:rFonts w:ascii="Times New Roman" w:eastAsia="仿宋_GB2312"/>
          <w:sz w:val="32"/>
          <w:szCs w:val="32"/>
        </w:rPr>
      </w:pPr>
      <w:r>
        <w:rPr>
          <w:rFonts w:hint="eastAsia" w:ascii="Times New Roman" w:eastAsia="楷体_GB2312"/>
          <w:b/>
          <w:bCs/>
          <w:sz w:val="32"/>
          <w:szCs w:val="32"/>
        </w:rPr>
        <w:t>(</w:t>
      </w:r>
      <w:r>
        <w:rPr>
          <w:rFonts w:ascii="Times New Roman" w:eastAsia="楷体_GB2312"/>
          <w:b/>
          <w:bCs/>
          <w:sz w:val="32"/>
          <w:szCs w:val="32"/>
        </w:rPr>
        <w:t>14</w:t>
      </w:r>
      <w:r>
        <w:rPr>
          <w:rFonts w:hint="eastAsia" w:ascii="Times New Roman" w:eastAsia="楷体_GB2312"/>
          <w:b/>
          <w:bCs/>
          <w:sz w:val="32"/>
          <w:szCs w:val="32"/>
        </w:rPr>
        <w:t>)</w:t>
      </w:r>
      <w:r>
        <w:rPr>
          <w:rFonts w:ascii="Times New Roman" w:eastAsia="楷体_GB2312"/>
          <w:b/>
          <w:bCs/>
          <w:sz w:val="32"/>
          <w:szCs w:val="32"/>
        </w:rPr>
        <w:t>抓牢机制运行。</w:t>
      </w:r>
      <w:r>
        <w:rPr>
          <w:rFonts w:ascii="Times New Roman" w:eastAsia="仿宋_GB2312"/>
          <w:sz w:val="32"/>
          <w:szCs w:val="32"/>
        </w:rPr>
        <w:t>制定同心联络站考核机制文件，建立部机关定人每月联系制度，确保联络站规范有效运行。推进“同心德阳·统战基地”跟进建设，重点突破1-2个在今年纳入市级基地挂牌。突破社区统战基地建设空白，在魁星阁社区与同心联络站搭建促进基层协商、楼栋管理、宗教和顺、新阶服务等多向服务的创新基地。</w:t>
      </w:r>
    </w:p>
    <w:p>
      <w:pPr>
        <w:spacing w:line="580" w:lineRule="exact"/>
        <w:ind w:firstLine="643" w:firstLineChars="200"/>
        <w:rPr>
          <w:rFonts w:ascii="Times New Roman" w:eastAsia="仿宋_GB2312"/>
          <w:sz w:val="32"/>
          <w:szCs w:val="32"/>
        </w:rPr>
      </w:pPr>
      <w:r>
        <w:rPr>
          <w:rFonts w:hint="eastAsia" w:ascii="Times New Roman" w:eastAsia="楷体_GB2312"/>
          <w:b/>
          <w:bCs/>
          <w:sz w:val="32"/>
          <w:szCs w:val="32"/>
        </w:rPr>
        <w:t>(</w:t>
      </w:r>
      <w:r>
        <w:rPr>
          <w:rFonts w:ascii="Times New Roman" w:eastAsia="楷体_GB2312"/>
          <w:b/>
          <w:bCs/>
          <w:sz w:val="32"/>
          <w:szCs w:val="32"/>
        </w:rPr>
        <w:t>15</w:t>
      </w:r>
      <w:r>
        <w:rPr>
          <w:rFonts w:hint="eastAsia" w:ascii="Times New Roman" w:eastAsia="楷体_GB2312"/>
          <w:b/>
          <w:bCs/>
          <w:sz w:val="32"/>
          <w:szCs w:val="32"/>
        </w:rPr>
        <w:t>)</w:t>
      </w:r>
      <w:r>
        <w:rPr>
          <w:rFonts w:ascii="Times New Roman" w:eastAsia="楷体_GB2312"/>
          <w:b/>
          <w:bCs/>
          <w:sz w:val="32"/>
          <w:szCs w:val="32"/>
        </w:rPr>
        <w:t>抓牢民生焦点。</w:t>
      </w:r>
      <w:r>
        <w:rPr>
          <w:rFonts w:ascii="Times New Roman" w:eastAsia="仿宋_GB2312"/>
          <w:sz w:val="32"/>
          <w:szCs w:val="32"/>
        </w:rPr>
        <w:t>指导并提炼年度重点问题，筛选建立同心联络站10件重点民生实事督办清单，督促落实形成服务效果。</w:t>
      </w:r>
    </w:p>
    <w:p>
      <w:pPr>
        <w:spacing w:line="580" w:lineRule="exact"/>
        <w:ind w:firstLine="643" w:firstLineChars="200"/>
        <w:rPr>
          <w:rFonts w:ascii="Times New Roman" w:eastAsia="黑体"/>
          <w:sz w:val="32"/>
          <w:szCs w:val="32"/>
        </w:rPr>
      </w:pPr>
      <w:r>
        <w:rPr>
          <w:rFonts w:hint="eastAsia" w:ascii="黑体" w:hAnsi="黑体" w:eastAsia="黑体" w:cs="黑体"/>
          <w:b/>
          <w:bCs/>
          <w:sz w:val="32"/>
          <w:szCs w:val="32"/>
        </w:rPr>
        <w:t>3.</w:t>
      </w:r>
      <w:r>
        <w:rPr>
          <w:rFonts w:ascii="Times New Roman" w:eastAsia="黑体"/>
          <w:sz w:val="32"/>
          <w:szCs w:val="32"/>
        </w:rPr>
        <w:t>主动作为，助推拼经济搞建设</w:t>
      </w:r>
    </w:p>
    <w:p>
      <w:pPr>
        <w:spacing w:line="580" w:lineRule="exact"/>
        <w:ind w:firstLine="643" w:firstLineChars="200"/>
        <w:rPr>
          <w:rFonts w:ascii="Times New Roman" w:eastAsia="仿宋_GB2312"/>
          <w:sz w:val="32"/>
          <w:szCs w:val="32"/>
        </w:rPr>
      </w:pPr>
      <w:r>
        <w:rPr>
          <w:rFonts w:hint="eastAsia" w:ascii="Times New Roman" w:eastAsia="楷体_GB2312"/>
          <w:b/>
          <w:bCs/>
          <w:sz w:val="32"/>
          <w:szCs w:val="32"/>
        </w:rPr>
        <w:t>(</w:t>
      </w:r>
      <w:r>
        <w:rPr>
          <w:rFonts w:ascii="Times New Roman" w:eastAsia="楷体_GB2312"/>
          <w:b/>
          <w:bCs/>
          <w:sz w:val="32"/>
          <w:szCs w:val="32"/>
        </w:rPr>
        <w:t>16</w:t>
      </w:r>
      <w:r>
        <w:rPr>
          <w:rFonts w:hint="eastAsia" w:ascii="Times New Roman" w:eastAsia="楷体_GB2312"/>
          <w:b/>
          <w:bCs/>
          <w:sz w:val="32"/>
          <w:szCs w:val="32"/>
        </w:rPr>
        <w:t>)</w:t>
      </w:r>
      <w:r>
        <w:rPr>
          <w:rFonts w:ascii="Times New Roman" w:eastAsia="楷体_GB2312"/>
          <w:b/>
          <w:bCs/>
          <w:sz w:val="32"/>
          <w:szCs w:val="32"/>
        </w:rPr>
        <w:t>推进问题收集。</w:t>
      </w:r>
      <w:r>
        <w:rPr>
          <w:rFonts w:ascii="Times New Roman" w:eastAsia="仿宋_GB2312"/>
          <w:sz w:val="32"/>
          <w:szCs w:val="32"/>
        </w:rPr>
        <w:t>坚持问题信息收集“一个口子进一个口子出”的原则，通过线上问卷调查和线下专题会议、座谈会、联谊活动、实地“大走访”等方式收集、分类建立问题信息台账，按照收集问题的轻重缓急程度，实行现场办、分工办、专题办三级协调处理，并及时反馈办理情况。</w:t>
      </w:r>
    </w:p>
    <w:p>
      <w:pPr>
        <w:pStyle w:val="3"/>
        <w:spacing w:before="93" w:line="580" w:lineRule="exact"/>
        <w:ind w:firstLine="643" w:firstLineChars="200"/>
        <w:rPr>
          <w:rFonts w:ascii="Times New Roman"/>
          <w:sz w:val="32"/>
          <w:szCs w:val="32"/>
        </w:rPr>
      </w:pPr>
      <w:r>
        <w:rPr>
          <w:rFonts w:hint="eastAsia" w:ascii="Times New Roman" w:eastAsia="楷体_GB2312"/>
          <w:b/>
          <w:bCs/>
          <w:sz w:val="32"/>
          <w:szCs w:val="32"/>
        </w:rPr>
        <w:t>(</w:t>
      </w:r>
      <w:r>
        <w:rPr>
          <w:rFonts w:ascii="Times New Roman" w:eastAsia="楷体_GB2312"/>
          <w:b/>
          <w:bCs/>
          <w:sz w:val="32"/>
          <w:szCs w:val="32"/>
        </w:rPr>
        <w:t>17</w:t>
      </w:r>
      <w:r>
        <w:rPr>
          <w:rFonts w:hint="eastAsia" w:ascii="Times New Roman" w:eastAsia="楷体_GB2312"/>
          <w:b/>
          <w:bCs/>
          <w:sz w:val="32"/>
          <w:szCs w:val="32"/>
        </w:rPr>
        <w:t>)</w:t>
      </w:r>
      <w:r>
        <w:rPr>
          <w:rFonts w:ascii="Times New Roman" w:eastAsia="楷体_GB2312"/>
          <w:b/>
          <w:bCs/>
          <w:sz w:val="32"/>
          <w:szCs w:val="32"/>
        </w:rPr>
        <w:t>推进政策宣传。</w:t>
      </w:r>
      <w:r>
        <w:rPr>
          <w:rFonts w:ascii="Times New Roman"/>
          <w:sz w:val="32"/>
          <w:szCs w:val="32"/>
        </w:rPr>
        <w:t>通过川商云课堂、专家解读经济政策和当前经济形势、政策小汇编、变企业找政策为政策找企业等方式，让非公经济人士做到“经济形势清、方针政策明、发展思路清”。</w:t>
      </w:r>
    </w:p>
    <w:p>
      <w:pPr>
        <w:pStyle w:val="3"/>
        <w:spacing w:before="93" w:line="580" w:lineRule="exact"/>
        <w:ind w:firstLine="643" w:firstLineChars="200"/>
        <w:rPr>
          <w:rFonts w:ascii="Times New Roman"/>
          <w:sz w:val="32"/>
          <w:szCs w:val="32"/>
        </w:rPr>
      </w:pPr>
      <w:r>
        <w:rPr>
          <w:rFonts w:hint="eastAsia" w:ascii="Times New Roman" w:eastAsia="楷体_GB2312"/>
          <w:b/>
          <w:bCs/>
          <w:sz w:val="32"/>
          <w:szCs w:val="32"/>
        </w:rPr>
        <w:t>(</w:t>
      </w:r>
      <w:r>
        <w:rPr>
          <w:rFonts w:ascii="Times New Roman" w:eastAsia="楷体_GB2312"/>
          <w:b/>
          <w:bCs/>
          <w:sz w:val="32"/>
          <w:szCs w:val="32"/>
        </w:rPr>
        <w:t>18</w:t>
      </w:r>
      <w:r>
        <w:rPr>
          <w:rFonts w:hint="eastAsia" w:ascii="Times New Roman" w:eastAsia="楷体_GB2312"/>
          <w:b/>
          <w:bCs/>
          <w:sz w:val="32"/>
          <w:szCs w:val="32"/>
        </w:rPr>
        <w:t>)</w:t>
      </w:r>
      <w:r>
        <w:rPr>
          <w:rFonts w:ascii="Times New Roman" w:eastAsia="楷体_GB2312"/>
          <w:b/>
          <w:bCs/>
          <w:sz w:val="32"/>
          <w:szCs w:val="32"/>
        </w:rPr>
        <w:t>推进惠企服务。</w:t>
      </w:r>
      <w:r>
        <w:rPr>
          <w:rFonts w:ascii="Times New Roman"/>
          <w:sz w:val="32"/>
          <w:szCs w:val="32"/>
        </w:rPr>
        <w:t>真心实意为企业解难题、办实事，协调相关部门把惠企政策落到实处，为企业在金融支持、风险防控、法律服务等方面做好服务。</w:t>
      </w:r>
    </w:p>
    <w:p>
      <w:pPr>
        <w:spacing w:line="580" w:lineRule="exact"/>
        <w:ind w:firstLine="643" w:firstLineChars="200"/>
        <w:rPr>
          <w:rFonts w:ascii="Times New Roman" w:eastAsia="仿宋_GB2312"/>
          <w:sz w:val="32"/>
          <w:szCs w:val="32"/>
        </w:rPr>
      </w:pPr>
      <w:r>
        <w:rPr>
          <w:rFonts w:hint="eastAsia" w:ascii="Times New Roman" w:eastAsia="楷体_GB2312"/>
          <w:b/>
          <w:bCs/>
          <w:sz w:val="32"/>
          <w:szCs w:val="32"/>
        </w:rPr>
        <w:t>(</w:t>
      </w:r>
      <w:r>
        <w:rPr>
          <w:rFonts w:ascii="Times New Roman" w:eastAsia="楷体_GB2312"/>
          <w:b/>
          <w:bCs/>
          <w:sz w:val="32"/>
          <w:szCs w:val="32"/>
        </w:rPr>
        <w:t>19</w:t>
      </w:r>
      <w:r>
        <w:rPr>
          <w:rFonts w:hint="eastAsia" w:ascii="Times New Roman" w:eastAsia="楷体_GB2312"/>
          <w:b/>
          <w:bCs/>
          <w:sz w:val="32"/>
          <w:szCs w:val="32"/>
        </w:rPr>
        <w:t>)</w:t>
      </w:r>
      <w:r>
        <w:rPr>
          <w:rFonts w:ascii="Times New Roman" w:eastAsia="楷体_GB2312"/>
          <w:b/>
          <w:bCs/>
          <w:sz w:val="32"/>
          <w:szCs w:val="32"/>
        </w:rPr>
        <w:t>推进商会建设。</w:t>
      </w:r>
      <w:r>
        <w:rPr>
          <w:rFonts w:ascii="Times New Roman" w:eastAsia="仿宋_GB2312"/>
          <w:sz w:val="32"/>
          <w:szCs w:val="32"/>
        </w:rPr>
        <w:t>按照“组建好、运营好、提升好”的原则推进商会建设，力争年内成立行业商会2个，基层商会1-2个，开展有实效的商会活动，在管理品质提升、资源整合、降低成本、市场拓展等方面助力民营企业健康发展。加强（建立）与省内优秀商会和上海、深圳、江苏、浙江等地四川商会的交流合作，邀请其到罗实地考察，来罗投资兴业，借力商会招商引资。</w:t>
      </w:r>
    </w:p>
    <w:p>
      <w:pPr>
        <w:pStyle w:val="3"/>
        <w:spacing w:before="93" w:line="580" w:lineRule="exact"/>
        <w:ind w:firstLine="643" w:firstLineChars="200"/>
        <w:rPr>
          <w:rFonts w:ascii="Times New Roman"/>
          <w:sz w:val="32"/>
          <w:szCs w:val="32"/>
        </w:rPr>
      </w:pPr>
      <w:r>
        <w:rPr>
          <w:rFonts w:hint="eastAsia" w:ascii="Times New Roman" w:eastAsia="楷体_GB2312"/>
          <w:b/>
          <w:bCs/>
          <w:sz w:val="32"/>
          <w:szCs w:val="32"/>
        </w:rPr>
        <w:t>(</w:t>
      </w:r>
      <w:r>
        <w:rPr>
          <w:rFonts w:ascii="Times New Roman" w:eastAsia="楷体_GB2312"/>
          <w:b/>
          <w:bCs/>
          <w:sz w:val="32"/>
          <w:szCs w:val="32"/>
        </w:rPr>
        <w:t>20</w:t>
      </w:r>
      <w:r>
        <w:rPr>
          <w:rFonts w:hint="eastAsia" w:ascii="Times New Roman" w:eastAsia="楷体_GB2312"/>
          <w:b/>
          <w:bCs/>
          <w:sz w:val="32"/>
          <w:szCs w:val="32"/>
        </w:rPr>
        <w:t>)</w:t>
      </w:r>
      <w:r>
        <w:rPr>
          <w:rFonts w:ascii="Times New Roman" w:eastAsia="楷体_GB2312"/>
          <w:b/>
          <w:bCs/>
          <w:sz w:val="32"/>
          <w:szCs w:val="32"/>
        </w:rPr>
        <w:t>推进万企兴万村。</w:t>
      </w:r>
      <w:r>
        <w:rPr>
          <w:rFonts w:ascii="Times New Roman"/>
          <w:sz w:val="32"/>
          <w:szCs w:val="32"/>
        </w:rPr>
        <w:t>动员和引导更多民营企业参与“万企兴万村”行动，履行好民营企业在稳岗就业、乡村振兴、公益慈善等方面的社会责任。</w:t>
      </w:r>
    </w:p>
    <w:p>
      <w:pPr>
        <w:spacing w:line="580" w:lineRule="exact"/>
        <w:ind w:firstLine="643" w:firstLineChars="200"/>
        <w:rPr>
          <w:rFonts w:ascii="Times New Roman" w:eastAsia="黑体"/>
          <w:bCs/>
          <w:sz w:val="32"/>
          <w:szCs w:val="32"/>
        </w:rPr>
      </w:pPr>
      <w:r>
        <w:rPr>
          <w:rFonts w:hint="eastAsia" w:ascii="黑体" w:hAnsi="黑体" w:eastAsia="黑体" w:cs="黑体"/>
          <w:b/>
          <w:sz w:val="32"/>
          <w:szCs w:val="32"/>
        </w:rPr>
        <w:t>4.</w:t>
      </w:r>
      <w:r>
        <w:rPr>
          <w:rFonts w:ascii="Times New Roman" w:eastAsia="黑体"/>
          <w:bCs/>
          <w:sz w:val="32"/>
          <w:szCs w:val="32"/>
        </w:rPr>
        <w:t>创新举措，助推西部科教城发展</w:t>
      </w:r>
    </w:p>
    <w:p>
      <w:pPr>
        <w:spacing w:line="580" w:lineRule="exact"/>
        <w:ind w:firstLine="643" w:firstLineChars="200"/>
        <w:rPr>
          <w:rFonts w:ascii="Times New Roman" w:eastAsia="仿宋_GB2312"/>
          <w:sz w:val="32"/>
          <w:szCs w:val="32"/>
        </w:rPr>
      </w:pPr>
      <w:r>
        <w:rPr>
          <w:rFonts w:hint="eastAsia" w:ascii="Times New Roman" w:eastAsia="楷体_GB2312"/>
          <w:b/>
          <w:bCs/>
          <w:sz w:val="32"/>
          <w:szCs w:val="32"/>
        </w:rPr>
        <w:t>(</w:t>
      </w:r>
      <w:r>
        <w:rPr>
          <w:rFonts w:ascii="Times New Roman" w:eastAsia="楷体_GB2312"/>
          <w:b/>
          <w:bCs/>
          <w:sz w:val="32"/>
          <w:szCs w:val="32"/>
        </w:rPr>
        <w:t>21</w:t>
      </w:r>
      <w:r>
        <w:rPr>
          <w:rFonts w:hint="eastAsia" w:ascii="Times New Roman" w:eastAsia="楷体_GB2312"/>
          <w:b/>
          <w:bCs/>
          <w:sz w:val="32"/>
          <w:szCs w:val="32"/>
        </w:rPr>
        <w:t>)</w:t>
      </w:r>
      <w:r>
        <w:rPr>
          <w:rFonts w:ascii="Times New Roman" w:eastAsia="楷体_GB2312"/>
          <w:b/>
          <w:bCs/>
          <w:sz w:val="32"/>
          <w:szCs w:val="32"/>
        </w:rPr>
        <w:t>搭建联谊平台。</w:t>
      </w:r>
      <w:r>
        <w:rPr>
          <w:rFonts w:ascii="Times New Roman" w:eastAsia="仿宋_GB2312"/>
          <w:sz w:val="32"/>
          <w:szCs w:val="32"/>
        </w:rPr>
        <w:t>以中华职教社为平台，抓政治理论学习，深入学习贯彻党的二十大和省市区全会精神；组织全体社员开展《条例》等统战法规条例专题学习活动，确保主要阵地全覆盖。通过谈心交心、通报情况、走访慰问等方式与社员深入沟通思想、增进感情，增强社内凝聚力。</w:t>
      </w:r>
    </w:p>
    <w:p>
      <w:pPr>
        <w:spacing w:line="580" w:lineRule="exact"/>
        <w:ind w:firstLine="643" w:firstLineChars="200"/>
        <w:rPr>
          <w:rFonts w:ascii="Times New Roman" w:eastAsia="仿宋_GB2312"/>
          <w:sz w:val="32"/>
          <w:szCs w:val="32"/>
        </w:rPr>
      </w:pPr>
      <w:r>
        <w:rPr>
          <w:rFonts w:hint="eastAsia" w:ascii="Times New Roman" w:eastAsia="楷体_GB2312"/>
          <w:b/>
          <w:bCs/>
          <w:sz w:val="32"/>
          <w:szCs w:val="32"/>
        </w:rPr>
        <w:t>(</w:t>
      </w:r>
      <w:r>
        <w:rPr>
          <w:rFonts w:ascii="Times New Roman" w:eastAsia="楷体_GB2312"/>
          <w:b/>
          <w:bCs/>
          <w:sz w:val="32"/>
          <w:szCs w:val="32"/>
        </w:rPr>
        <w:t>22</w:t>
      </w:r>
      <w:r>
        <w:rPr>
          <w:rFonts w:hint="eastAsia" w:ascii="Times New Roman" w:eastAsia="楷体_GB2312"/>
          <w:b/>
          <w:bCs/>
          <w:sz w:val="32"/>
          <w:szCs w:val="32"/>
        </w:rPr>
        <w:t>)</w:t>
      </w:r>
      <w:r>
        <w:rPr>
          <w:rFonts w:ascii="Times New Roman" w:eastAsia="楷体_GB2312"/>
          <w:b/>
          <w:bCs/>
          <w:sz w:val="32"/>
          <w:szCs w:val="32"/>
        </w:rPr>
        <w:t>搭建社员之家。</w:t>
      </w:r>
      <w:r>
        <w:rPr>
          <w:rFonts w:ascii="Times New Roman" w:eastAsia="仿宋_GB2312"/>
          <w:sz w:val="32"/>
          <w:szCs w:val="32"/>
        </w:rPr>
        <w:t>以中华职教社为平台，全面加强职教社基层组织建设，将“社员之家”建设为学校宣传职教精神、开展学术活动、对外学术交流的重要窗口。</w:t>
      </w:r>
    </w:p>
    <w:p>
      <w:pPr>
        <w:spacing w:line="580" w:lineRule="exact"/>
        <w:ind w:firstLine="643" w:firstLineChars="200"/>
        <w:rPr>
          <w:rFonts w:ascii="Times New Roman" w:eastAsia="黑体"/>
          <w:sz w:val="32"/>
          <w:szCs w:val="32"/>
        </w:rPr>
      </w:pPr>
      <w:r>
        <w:rPr>
          <w:rFonts w:hint="eastAsia" w:ascii="Times New Roman" w:eastAsia="楷体_GB2312"/>
          <w:b/>
          <w:bCs/>
          <w:sz w:val="32"/>
          <w:szCs w:val="32"/>
        </w:rPr>
        <w:t>(</w:t>
      </w:r>
      <w:r>
        <w:rPr>
          <w:rFonts w:ascii="Times New Roman" w:eastAsia="楷体_GB2312"/>
          <w:b/>
          <w:bCs/>
          <w:sz w:val="32"/>
          <w:szCs w:val="32"/>
        </w:rPr>
        <w:t>23</w:t>
      </w:r>
      <w:r>
        <w:rPr>
          <w:rFonts w:hint="eastAsia" w:ascii="Times New Roman" w:eastAsia="楷体_GB2312"/>
          <w:b/>
          <w:bCs/>
          <w:sz w:val="32"/>
          <w:szCs w:val="32"/>
        </w:rPr>
        <w:t>)</w:t>
      </w:r>
      <w:r>
        <w:rPr>
          <w:rFonts w:ascii="Times New Roman" w:eastAsia="楷体_GB2312"/>
          <w:b/>
          <w:bCs/>
          <w:sz w:val="32"/>
          <w:szCs w:val="32"/>
        </w:rPr>
        <w:t>搭建校地联盟。</w:t>
      </w:r>
      <w:r>
        <w:rPr>
          <w:rFonts w:ascii="Times New Roman" w:eastAsia="仿宋_GB2312"/>
          <w:sz w:val="32"/>
          <w:szCs w:val="32"/>
        </w:rPr>
        <w:t>以中华职教社为平台，邀请省内高校与区中华职教社协作，深入企业调研找准问题，制定校企合作措施，搭建驻罗高校与民营企业对口人才培养机制，解决高校人才与企业用人需求不匹配、人才素质不高的问题。</w:t>
      </w:r>
    </w:p>
    <w:p>
      <w:pPr>
        <w:spacing w:line="580" w:lineRule="exact"/>
        <w:ind w:firstLine="643" w:firstLineChars="200"/>
        <w:rPr>
          <w:rFonts w:ascii="Times New Roman" w:eastAsia="仿宋_GB2312"/>
          <w:sz w:val="32"/>
          <w:szCs w:val="32"/>
        </w:rPr>
      </w:pPr>
      <w:r>
        <w:rPr>
          <w:rFonts w:hint="eastAsia" w:ascii="Times New Roman" w:eastAsia="楷体_GB2312"/>
          <w:b/>
          <w:bCs/>
          <w:sz w:val="32"/>
          <w:szCs w:val="32"/>
        </w:rPr>
        <w:t>(</w:t>
      </w:r>
      <w:r>
        <w:rPr>
          <w:rFonts w:ascii="Times New Roman" w:eastAsia="楷体_GB2312"/>
          <w:b/>
          <w:bCs/>
          <w:sz w:val="32"/>
          <w:szCs w:val="32"/>
        </w:rPr>
        <w:t>24</w:t>
      </w:r>
      <w:r>
        <w:rPr>
          <w:rFonts w:hint="eastAsia" w:ascii="Times New Roman" w:eastAsia="楷体_GB2312"/>
          <w:b/>
          <w:bCs/>
          <w:sz w:val="32"/>
          <w:szCs w:val="32"/>
        </w:rPr>
        <w:t>)</w:t>
      </w:r>
      <w:r>
        <w:rPr>
          <w:rFonts w:ascii="Times New Roman" w:eastAsia="楷体_GB2312"/>
          <w:b/>
          <w:bCs/>
          <w:sz w:val="32"/>
          <w:szCs w:val="32"/>
        </w:rPr>
        <w:t>搭建以商招商。</w:t>
      </w:r>
      <w:r>
        <w:rPr>
          <w:rFonts w:ascii="Times New Roman" w:eastAsia="仿宋_GB2312"/>
          <w:sz w:val="32"/>
          <w:szCs w:val="32"/>
        </w:rPr>
        <w:t>以中华职教社为平台，开展企业社员以商招商，摸清社员参与度的家底、找准招商关键环节、寻求招商项目或信息2条落地落实。</w:t>
      </w:r>
    </w:p>
    <w:p>
      <w:pPr>
        <w:spacing w:line="580" w:lineRule="exact"/>
        <w:ind w:firstLine="643" w:firstLineChars="200"/>
        <w:rPr>
          <w:rFonts w:ascii="Times New Roman" w:eastAsia="仿宋_GB2312"/>
          <w:sz w:val="32"/>
          <w:szCs w:val="32"/>
        </w:rPr>
      </w:pPr>
      <w:r>
        <w:rPr>
          <w:rFonts w:hint="eastAsia" w:ascii="Times New Roman" w:eastAsia="楷体_GB2312"/>
          <w:b/>
          <w:bCs/>
          <w:sz w:val="32"/>
          <w:szCs w:val="32"/>
        </w:rPr>
        <w:t>(</w:t>
      </w:r>
      <w:r>
        <w:rPr>
          <w:rFonts w:ascii="Times New Roman" w:eastAsia="楷体_GB2312"/>
          <w:b/>
          <w:bCs/>
          <w:sz w:val="32"/>
          <w:szCs w:val="32"/>
        </w:rPr>
        <w:t>25</w:t>
      </w:r>
      <w:r>
        <w:rPr>
          <w:rFonts w:hint="eastAsia" w:ascii="Times New Roman" w:eastAsia="楷体_GB2312"/>
          <w:b/>
          <w:bCs/>
          <w:sz w:val="32"/>
          <w:szCs w:val="32"/>
        </w:rPr>
        <w:t>)</w:t>
      </w:r>
      <w:r>
        <w:rPr>
          <w:rFonts w:ascii="Times New Roman" w:eastAsia="楷体_GB2312"/>
          <w:b/>
          <w:bCs/>
          <w:sz w:val="32"/>
          <w:szCs w:val="32"/>
        </w:rPr>
        <w:t>搭建校校合作。</w:t>
      </w:r>
      <w:r>
        <w:rPr>
          <w:rFonts w:ascii="Times New Roman" w:eastAsia="仿宋_GB2312"/>
          <w:sz w:val="32"/>
          <w:szCs w:val="32"/>
        </w:rPr>
        <w:t>以中华职教社为平台，邀请省内外高校与驻罗高校签订“校校合作”协议，合作开展专业共建，共同开发与实施人才培养，开展教师互派互访、交流学习活动等，共同推进人才培养。</w:t>
      </w:r>
    </w:p>
    <w:p>
      <w:pPr>
        <w:spacing w:line="580" w:lineRule="exact"/>
        <w:ind w:firstLine="643" w:firstLineChars="200"/>
        <w:rPr>
          <w:rFonts w:ascii="Times New Roman" w:eastAsia="仿宋_GB2312"/>
          <w:sz w:val="32"/>
          <w:szCs w:val="32"/>
        </w:rPr>
      </w:pPr>
      <w:r>
        <w:rPr>
          <w:rFonts w:hint="eastAsia" w:ascii="Times New Roman" w:eastAsia="楷体_GB2312"/>
          <w:b/>
          <w:bCs/>
          <w:sz w:val="32"/>
          <w:szCs w:val="32"/>
        </w:rPr>
        <w:t>(</w:t>
      </w:r>
      <w:r>
        <w:rPr>
          <w:rFonts w:ascii="Times New Roman" w:eastAsia="楷体_GB2312"/>
          <w:b/>
          <w:bCs/>
          <w:sz w:val="32"/>
          <w:szCs w:val="32"/>
        </w:rPr>
        <w:t>26</w:t>
      </w:r>
      <w:r>
        <w:rPr>
          <w:rFonts w:hint="eastAsia" w:ascii="Times New Roman" w:eastAsia="楷体_GB2312"/>
          <w:b/>
          <w:bCs/>
          <w:sz w:val="32"/>
          <w:szCs w:val="32"/>
        </w:rPr>
        <w:t>)</w:t>
      </w:r>
      <w:r>
        <w:rPr>
          <w:rFonts w:ascii="Times New Roman" w:eastAsia="楷体_GB2312"/>
          <w:b/>
          <w:bCs/>
          <w:sz w:val="32"/>
          <w:szCs w:val="32"/>
        </w:rPr>
        <w:t>搭建支持平台。</w:t>
      </w:r>
      <w:r>
        <w:rPr>
          <w:rFonts w:ascii="Times New Roman" w:eastAsia="仿宋_GB2312"/>
          <w:sz w:val="32"/>
          <w:szCs w:val="32"/>
        </w:rPr>
        <w:t>以中华职教社为平台，用好职教社“直通车”作用，争取上级资源，助力职业教育发展。用活团体社员“直通车”作用，开展“求职招聘直通车”活动，开通求职招聘直通车微信群，实现企业用工信息和学校人才信息的共享互通和精准对接。</w:t>
      </w:r>
    </w:p>
    <w:p>
      <w:pPr>
        <w:overflowPunct w:val="0"/>
        <w:spacing w:line="580" w:lineRule="exact"/>
        <w:ind w:firstLine="643" w:firstLineChars="200"/>
        <w:rPr>
          <w:rFonts w:ascii="Times New Roman" w:eastAsia="仿宋_GB2312"/>
          <w:sz w:val="32"/>
          <w:szCs w:val="32"/>
        </w:rPr>
      </w:pPr>
      <w:r>
        <w:rPr>
          <w:rFonts w:hint="eastAsia" w:ascii="Times New Roman" w:eastAsia="楷体_GB2312"/>
          <w:b/>
          <w:bCs/>
          <w:sz w:val="32"/>
          <w:szCs w:val="32"/>
        </w:rPr>
        <w:t>(</w:t>
      </w:r>
      <w:r>
        <w:rPr>
          <w:rFonts w:ascii="Times New Roman" w:eastAsia="楷体_GB2312"/>
          <w:b/>
          <w:bCs/>
          <w:sz w:val="32"/>
          <w:szCs w:val="32"/>
        </w:rPr>
        <w:t>27</w:t>
      </w:r>
      <w:r>
        <w:rPr>
          <w:rFonts w:hint="eastAsia" w:ascii="Times New Roman" w:eastAsia="楷体_GB2312"/>
          <w:b/>
          <w:bCs/>
          <w:sz w:val="32"/>
          <w:szCs w:val="32"/>
        </w:rPr>
        <w:t>)</w:t>
      </w:r>
      <w:r>
        <w:rPr>
          <w:rFonts w:ascii="Times New Roman" w:eastAsia="楷体_GB2312"/>
          <w:b/>
          <w:bCs/>
          <w:sz w:val="32"/>
          <w:szCs w:val="32"/>
        </w:rPr>
        <w:t>搭建对话平台。</w:t>
      </w:r>
      <w:r>
        <w:rPr>
          <w:rFonts w:ascii="Times New Roman" w:eastAsia="仿宋_GB2312"/>
          <w:sz w:val="32"/>
          <w:szCs w:val="32"/>
        </w:rPr>
        <w:t>以中华职教社为平台，开展政府、职教社、职业院校、行业企</w:t>
      </w:r>
      <w:r>
        <w:rPr>
          <w:rFonts w:hint="eastAsia" w:ascii="Times New Roman" w:eastAsia="仿宋_GB2312"/>
          <w:sz w:val="32"/>
          <w:szCs w:val="32"/>
        </w:rPr>
        <w:t>业</w:t>
      </w:r>
      <w:r>
        <w:rPr>
          <w:rFonts w:ascii="Times New Roman" w:eastAsia="仿宋_GB2312"/>
          <w:sz w:val="32"/>
          <w:szCs w:val="32"/>
        </w:rPr>
        <w:t>代表参与经济建设等对话会活动。</w:t>
      </w:r>
    </w:p>
    <w:p>
      <w:pPr>
        <w:spacing w:line="580" w:lineRule="exact"/>
        <w:ind w:firstLine="643" w:firstLineChars="200"/>
        <w:rPr>
          <w:rFonts w:ascii="Times New Roman" w:eastAsia="黑体"/>
          <w:sz w:val="32"/>
          <w:szCs w:val="32"/>
        </w:rPr>
      </w:pPr>
      <w:r>
        <w:rPr>
          <w:rFonts w:hint="eastAsia" w:ascii="黑体" w:hAnsi="黑体" w:eastAsia="黑体" w:cs="黑体"/>
          <w:b/>
          <w:bCs/>
          <w:sz w:val="32"/>
          <w:szCs w:val="32"/>
        </w:rPr>
        <w:t>5.</w:t>
      </w:r>
      <w:r>
        <w:rPr>
          <w:rFonts w:ascii="Times New Roman" w:eastAsia="黑体"/>
          <w:sz w:val="32"/>
          <w:szCs w:val="32"/>
        </w:rPr>
        <w:t>立足本职，</w:t>
      </w:r>
      <w:r>
        <w:rPr>
          <w:rFonts w:ascii="Times New Roman" w:eastAsia="黑体"/>
          <w:bCs/>
          <w:sz w:val="32"/>
          <w:szCs w:val="32"/>
        </w:rPr>
        <w:t>助推</w:t>
      </w:r>
      <w:r>
        <w:rPr>
          <w:rFonts w:ascii="Times New Roman" w:eastAsia="黑体"/>
          <w:sz w:val="32"/>
          <w:szCs w:val="32"/>
        </w:rPr>
        <w:t>统战力量提升</w:t>
      </w:r>
    </w:p>
    <w:p>
      <w:pPr>
        <w:spacing w:line="580" w:lineRule="exact"/>
        <w:ind w:firstLine="643" w:firstLineChars="200"/>
        <w:rPr>
          <w:rFonts w:ascii="Times New Roman" w:eastAsia="仿宋_GB2312"/>
          <w:sz w:val="32"/>
          <w:szCs w:val="32"/>
        </w:rPr>
      </w:pPr>
      <w:r>
        <w:rPr>
          <w:rFonts w:hint="eastAsia" w:ascii="Times New Roman" w:eastAsia="楷体_GB2312"/>
          <w:b/>
          <w:bCs/>
          <w:sz w:val="32"/>
          <w:szCs w:val="32"/>
        </w:rPr>
        <w:t>(</w:t>
      </w:r>
      <w:r>
        <w:rPr>
          <w:rFonts w:ascii="Times New Roman" w:eastAsia="楷体_GB2312"/>
          <w:b/>
          <w:bCs/>
          <w:sz w:val="32"/>
          <w:szCs w:val="32"/>
        </w:rPr>
        <w:t>28</w:t>
      </w:r>
      <w:r>
        <w:rPr>
          <w:rFonts w:hint="eastAsia" w:ascii="Times New Roman" w:eastAsia="楷体_GB2312"/>
          <w:b/>
          <w:bCs/>
          <w:sz w:val="32"/>
          <w:szCs w:val="32"/>
        </w:rPr>
        <w:t>)</w:t>
      </w:r>
      <w:r>
        <w:rPr>
          <w:rFonts w:ascii="Times New Roman" w:eastAsia="楷体_GB2312"/>
          <w:b/>
          <w:bCs/>
          <w:sz w:val="32"/>
          <w:szCs w:val="32"/>
        </w:rPr>
        <w:t>坚持底线思维。</w:t>
      </w:r>
      <w:r>
        <w:rPr>
          <w:rFonts w:ascii="Times New Roman" w:eastAsia="仿宋_GB2312"/>
          <w:sz w:val="32"/>
          <w:szCs w:val="32"/>
        </w:rPr>
        <w:t>抓实网络统战工作，联合宣传部门开展网络统战代表人士情况摸底，引导其加入新阶，充实统战队伍力量。抓牢意识形态领域工作，定期分析研判形势，妥善做好港澳台侨领域风险隐患防范应对。完成民间信仰场所核实、试点宗教活动场所规范化建设等。</w:t>
      </w:r>
    </w:p>
    <w:p>
      <w:pPr>
        <w:spacing w:line="580" w:lineRule="exact"/>
        <w:ind w:firstLine="320" w:firstLineChars="100"/>
        <w:rPr>
          <w:rFonts w:ascii="Times New Roman" w:eastAsia="仿宋_GB2312"/>
          <w:sz w:val="32"/>
          <w:szCs w:val="32"/>
        </w:rPr>
      </w:pPr>
      <w:r>
        <w:rPr>
          <w:rFonts w:hint="eastAsia" w:ascii="Times New Roman" w:eastAsia="仿宋"/>
          <w:sz w:val="32"/>
          <w:szCs w:val="32"/>
        </w:rPr>
        <w:t>(</w:t>
      </w:r>
      <w:r>
        <w:rPr>
          <w:rFonts w:ascii="Times New Roman" w:eastAsia="楷体_GB2312"/>
          <w:b/>
          <w:bCs/>
          <w:sz w:val="32"/>
          <w:szCs w:val="32"/>
        </w:rPr>
        <w:t>29</w:t>
      </w:r>
      <w:r>
        <w:rPr>
          <w:rFonts w:hint="eastAsia" w:ascii="Times New Roman" w:eastAsia="楷体_GB2312"/>
          <w:b/>
          <w:bCs/>
          <w:sz w:val="32"/>
          <w:szCs w:val="32"/>
        </w:rPr>
        <w:t>)</w:t>
      </w:r>
      <w:r>
        <w:rPr>
          <w:rFonts w:ascii="Times New Roman" w:eastAsia="楷体_GB2312"/>
          <w:b/>
          <w:bCs/>
          <w:sz w:val="32"/>
          <w:szCs w:val="32"/>
        </w:rPr>
        <w:t>坚持补齐短板。</w:t>
      </w:r>
      <w:r>
        <w:rPr>
          <w:rFonts w:ascii="Times New Roman" w:eastAsia="仿宋_GB2312"/>
          <w:sz w:val="32"/>
          <w:szCs w:val="32"/>
        </w:rPr>
        <w:t>完成侨联班子选举，推进新侨驿站归国留学生思想政治引领工作。完成知联班子社会团体登记，适时完成选举。谋划台联换届选举，充分考虑派驻机制是否成熟；摸清常驻罗台胞和两岸婚姻情况，做好台资企业跟踪和服务工作。谋划德阳市新农会罗江分会成员调整，让具备代表性的新农民成为主体，并争取调整班子成员。</w:t>
      </w:r>
    </w:p>
    <w:p>
      <w:pPr>
        <w:spacing w:line="580" w:lineRule="exact"/>
        <w:ind w:firstLine="643" w:firstLineChars="200"/>
        <w:rPr>
          <w:rFonts w:ascii="Times New Roman" w:eastAsia="仿宋_GB2312"/>
          <w:sz w:val="32"/>
          <w:szCs w:val="32"/>
        </w:rPr>
      </w:pPr>
      <w:r>
        <w:rPr>
          <w:rFonts w:hint="eastAsia" w:ascii="Times New Roman" w:eastAsia="楷体_GB2312"/>
          <w:b/>
          <w:bCs/>
          <w:sz w:val="32"/>
          <w:szCs w:val="32"/>
        </w:rPr>
        <w:t>(</w:t>
      </w:r>
      <w:r>
        <w:rPr>
          <w:rFonts w:ascii="Times New Roman" w:eastAsia="楷体_GB2312"/>
          <w:b/>
          <w:bCs/>
          <w:sz w:val="32"/>
          <w:szCs w:val="32"/>
        </w:rPr>
        <w:t>30</w:t>
      </w:r>
      <w:r>
        <w:rPr>
          <w:rFonts w:hint="eastAsia" w:ascii="Times New Roman" w:eastAsia="楷体_GB2312"/>
          <w:b/>
          <w:bCs/>
          <w:sz w:val="32"/>
          <w:szCs w:val="32"/>
        </w:rPr>
        <w:t>)</w:t>
      </w:r>
      <w:r>
        <w:rPr>
          <w:rFonts w:ascii="Times New Roman" w:eastAsia="楷体_GB2312"/>
          <w:b/>
          <w:bCs/>
          <w:sz w:val="32"/>
          <w:szCs w:val="32"/>
        </w:rPr>
        <w:t>坚持标线稳固。</w:t>
      </w:r>
      <w:r>
        <w:rPr>
          <w:rFonts w:ascii="Times New Roman" w:eastAsia="仿宋_GB2312"/>
          <w:sz w:val="32"/>
          <w:szCs w:val="32"/>
        </w:rPr>
        <w:t>按照指标要求，稳固党外干部指标性配备。研究无党派人士工作机制，结合“双报告”“双走访”，重点掌握一批体制内人士，为党外干部储备水源。分类清理、整理并完善建立党外代表人士数据库。争取民主党派发展指标，协助驻地高校发展高质量成员2名以上。</w:t>
      </w:r>
    </w:p>
    <w:p>
      <w:pPr>
        <w:spacing w:line="580" w:lineRule="exact"/>
        <w:ind w:firstLine="643" w:firstLineChars="200"/>
        <w:rPr>
          <w:rFonts w:ascii="Times New Roman" w:eastAsia="仿宋_GB2312"/>
          <w:sz w:val="32"/>
          <w:szCs w:val="32"/>
        </w:rPr>
      </w:pPr>
      <w:r>
        <w:rPr>
          <w:rFonts w:hint="eastAsia" w:ascii="Times New Roman" w:eastAsia="楷体_GB2312"/>
          <w:b/>
          <w:bCs/>
          <w:sz w:val="32"/>
          <w:szCs w:val="32"/>
        </w:rPr>
        <w:t>(</w:t>
      </w:r>
      <w:r>
        <w:rPr>
          <w:rFonts w:ascii="Times New Roman" w:eastAsia="楷体_GB2312"/>
          <w:b/>
          <w:bCs/>
          <w:sz w:val="32"/>
          <w:szCs w:val="32"/>
        </w:rPr>
        <w:t>31</w:t>
      </w:r>
      <w:r>
        <w:rPr>
          <w:rFonts w:hint="eastAsia" w:ascii="Times New Roman" w:eastAsia="楷体_GB2312"/>
          <w:b/>
          <w:bCs/>
          <w:sz w:val="32"/>
          <w:szCs w:val="32"/>
        </w:rPr>
        <w:t>)</w:t>
      </w:r>
      <w:r>
        <w:rPr>
          <w:rFonts w:ascii="Times New Roman" w:eastAsia="楷体_GB2312"/>
          <w:b/>
          <w:bCs/>
          <w:sz w:val="32"/>
          <w:szCs w:val="32"/>
        </w:rPr>
        <w:t>坚持献策优势。</w:t>
      </w:r>
      <w:r>
        <w:rPr>
          <w:rFonts w:ascii="Times New Roman" w:eastAsia="仿宋_GB2312"/>
          <w:sz w:val="32"/>
          <w:szCs w:val="32"/>
        </w:rPr>
        <w:t>围绕全区2023年重点目标任务认领清单，召开考察调研选题推介会，引导落实民主党派、无党派人士和统战团体重点调研和建言献策计划；召开民主监督情况通报会和政党协商会议。</w:t>
      </w:r>
    </w:p>
    <w:p>
      <w:pPr>
        <w:spacing w:line="580" w:lineRule="exact"/>
        <w:ind w:firstLine="643" w:firstLineChars="200"/>
        <w:rPr>
          <w:rFonts w:ascii="Times New Roman" w:eastAsia="仿宋_GB2312"/>
          <w:sz w:val="32"/>
          <w:szCs w:val="32"/>
        </w:rPr>
      </w:pPr>
      <w:r>
        <w:rPr>
          <w:rFonts w:hint="eastAsia" w:ascii="Times New Roman" w:eastAsia="楷体_GB2312"/>
          <w:b/>
          <w:bCs/>
          <w:sz w:val="32"/>
          <w:szCs w:val="32"/>
        </w:rPr>
        <w:t>(</w:t>
      </w:r>
      <w:r>
        <w:rPr>
          <w:rFonts w:ascii="Times New Roman" w:eastAsia="楷体_GB2312"/>
          <w:b/>
          <w:bCs/>
          <w:sz w:val="32"/>
          <w:szCs w:val="32"/>
        </w:rPr>
        <w:t>32</w:t>
      </w:r>
      <w:r>
        <w:rPr>
          <w:rFonts w:hint="eastAsia" w:ascii="Times New Roman" w:eastAsia="楷体_GB2312"/>
          <w:b/>
          <w:bCs/>
          <w:sz w:val="32"/>
          <w:szCs w:val="32"/>
        </w:rPr>
        <w:t>)</w:t>
      </w:r>
      <w:r>
        <w:rPr>
          <w:rFonts w:ascii="Times New Roman" w:eastAsia="楷体_GB2312"/>
          <w:b/>
          <w:bCs/>
          <w:sz w:val="32"/>
          <w:szCs w:val="32"/>
        </w:rPr>
        <w:t>坚持理论研究。</w:t>
      </w:r>
      <w:r>
        <w:rPr>
          <w:rFonts w:ascii="Times New Roman" w:eastAsia="仿宋_GB2312"/>
          <w:sz w:val="32"/>
          <w:szCs w:val="32"/>
        </w:rPr>
        <w:t>与驻地高校加强理论创新课题研究，撰写高质量调研报告和理论文章。力争理论文章进入省级评定等次。</w:t>
      </w:r>
    </w:p>
    <w:p>
      <w:pPr>
        <w:spacing w:line="580" w:lineRule="exact"/>
        <w:ind w:firstLine="643" w:firstLineChars="200"/>
        <w:rPr>
          <w:rFonts w:ascii="Times New Roman" w:eastAsia="仿宋_GB2312"/>
          <w:sz w:val="32"/>
          <w:szCs w:val="32"/>
        </w:rPr>
      </w:pPr>
      <w:r>
        <w:rPr>
          <w:rFonts w:hint="eastAsia" w:ascii="Times New Roman" w:eastAsia="楷体_GB2312"/>
          <w:b/>
          <w:bCs/>
          <w:sz w:val="32"/>
          <w:szCs w:val="32"/>
        </w:rPr>
        <w:t>(</w:t>
      </w:r>
      <w:r>
        <w:rPr>
          <w:rFonts w:ascii="Times New Roman" w:eastAsia="楷体_GB2312"/>
          <w:b/>
          <w:bCs/>
          <w:sz w:val="32"/>
          <w:szCs w:val="32"/>
        </w:rPr>
        <w:t>33</w:t>
      </w:r>
      <w:r>
        <w:rPr>
          <w:rFonts w:hint="eastAsia" w:ascii="Times New Roman" w:eastAsia="楷体_GB2312"/>
          <w:b/>
          <w:bCs/>
          <w:sz w:val="32"/>
          <w:szCs w:val="32"/>
        </w:rPr>
        <w:t>)</w:t>
      </w:r>
      <w:r>
        <w:rPr>
          <w:rFonts w:ascii="Times New Roman" w:eastAsia="楷体_GB2312"/>
          <w:b/>
          <w:bCs/>
          <w:sz w:val="32"/>
          <w:szCs w:val="32"/>
        </w:rPr>
        <w:t>坚持示范创建。</w:t>
      </w:r>
      <w:r>
        <w:rPr>
          <w:rFonts w:ascii="Times New Roman" w:eastAsia="仿宋_GB2312"/>
          <w:sz w:val="32"/>
          <w:szCs w:val="32"/>
        </w:rPr>
        <w:t>扎实推动民族团结进步示范各项工作，推进国家级民族团结进步示范单位和省级民族团结进步示范县创建。</w:t>
      </w:r>
    </w:p>
    <w:p>
      <w:pPr>
        <w:spacing w:line="580" w:lineRule="exact"/>
        <w:ind w:firstLine="643" w:firstLineChars="200"/>
        <w:jc w:val="left"/>
        <w:rPr>
          <w:rFonts w:ascii="Times New Roman" w:eastAsia="仿宋_GB2312"/>
          <w:sz w:val="32"/>
          <w:szCs w:val="32"/>
        </w:rPr>
      </w:pPr>
      <w:r>
        <w:rPr>
          <w:rFonts w:hint="eastAsia" w:ascii="Times New Roman" w:eastAsia="楷体_GB2312"/>
          <w:b/>
          <w:bCs/>
          <w:sz w:val="32"/>
          <w:szCs w:val="32"/>
        </w:rPr>
        <w:t>(</w:t>
      </w:r>
      <w:r>
        <w:rPr>
          <w:rFonts w:ascii="Times New Roman" w:eastAsia="楷体_GB2312"/>
          <w:b/>
          <w:bCs/>
          <w:sz w:val="32"/>
          <w:szCs w:val="32"/>
        </w:rPr>
        <w:t>34</w:t>
      </w:r>
      <w:r>
        <w:rPr>
          <w:rFonts w:hint="eastAsia" w:ascii="Times New Roman" w:eastAsia="楷体_GB2312"/>
          <w:b/>
          <w:bCs/>
          <w:sz w:val="32"/>
          <w:szCs w:val="32"/>
        </w:rPr>
        <w:t>)</w:t>
      </w:r>
      <w:r>
        <w:rPr>
          <w:rFonts w:ascii="Times New Roman" w:eastAsia="楷体_GB2312"/>
          <w:b/>
          <w:bCs/>
          <w:sz w:val="32"/>
          <w:szCs w:val="32"/>
        </w:rPr>
        <w:t>坚持自身建设。</w:t>
      </w:r>
      <w:r>
        <w:rPr>
          <w:rFonts w:ascii="Times New Roman" w:eastAsia="仿宋_GB2312"/>
          <w:sz w:val="32"/>
          <w:szCs w:val="32"/>
        </w:rPr>
        <w:t>围绕贯彻落实全区2023年重点目标任务认领清单，研究统战系统全年特色培训课题，形成罗江特色。每两月邀请市委统战部相关科室集中培训一次。</w:t>
      </w:r>
    </w:p>
    <w:p>
      <w:pPr>
        <w:adjustRightInd w:val="0"/>
        <w:snapToGrid w:val="0"/>
        <w:spacing w:line="560" w:lineRule="exact"/>
        <w:ind w:firstLine="560" w:firstLineChars="175"/>
        <w:rPr>
          <w:rFonts w:ascii="仿宋_GB2312" w:hAnsi="仿宋_GB2312" w:eastAsia="仿宋_GB2312"/>
          <w:sz w:val="32"/>
          <w:szCs w:val="32"/>
        </w:rPr>
      </w:pPr>
      <w:r>
        <w:rPr>
          <w:rFonts w:hint="eastAsia" w:ascii="黑体" w:hAnsi="黑体" w:eastAsia="黑体" w:cs="黑体"/>
          <w:sz w:val="32"/>
          <w:szCs w:val="32"/>
        </w:rPr>
        <w:t>二、部门预算单位构成</w:t>
      </w:r>
    </w:p>
    <w:p>
      <w:pPr>
        <w:adjustRightInd w:val="0"/>
        <w:snapToGrid w:val="0"/>
        <w:spacing w:line="56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中国共产党德阳市罗江区委员会统一战线工作部与德阳市罗江区民族宗教事务局合署办公，无下属二级预算单位。</w:t>
      </w:r>
    </w:p>
    <w:p>
      <w:pPr>
        <w:adjustRightInd w:val="0"/>
        <w:snapToGrid w:val="0"/>
        <w:spacing w:line="560" w:lineRule="exact"/>
        <w:ind w:firstLine="560" w:firstLineChars="175"/>
        <w:rPr>
          <w:rFonts w:ascii="仿宋_GB2312" w:hAnsi="仿宋" w:eastAsia="仿宋_GB2312" w:cs="仿宋"/>
          <w:sz w:val="32"/>
          <w:szCs w:val="32"/>
        </w:rPr>
      </w:pPr>
      <w:r>
        <w:rPr>
          <w:rFonts w:hint="eastAsia" w:ascii="仿宋_GB2312" w:hAnsi="仿宋" w:eastAsia="仿宋_GB2312" w:cs="仿宋"/>
          <w:sz w:val="32"/>
          <w:szCs w:val="32"/>
        </w:rPr>
        <w:t>中国共产党德阳市罗江区委员会统一战线工作部总编制12名，其中行政编制7名，事业编制5名，工勤编制0名。在职人员总数11人，其中：行政人员7人，事业人员4人；离退休人员3人，其中：退休人员3人。本次公开数据包括所有下属二级单位数据。</w:t>
      </w:r>
    </w:p>
    <w:p>
      <w:pPr>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三、收支预算增减变化情况说明</w:t>
      </w:r>
    </w:p>
    <w:p>
      <w:pPr>
        <w:spacing w:line="560" w:lineRule="exact"/>
        <w:ind w:firstLine="560" w:firstLineChars="175"/>
        <w:rPr>
          <w:rFonts w:ascii="仿宋_GB2312" w:hAnsi="仿宋_GB2312" w:eastAsia="仿宋_GB2312"/>
          <w:sz w:val="32"/>
          <w:szCs w:val="32"/>
        </w:rPr>
      </w:pPr>
      <w:r>
        <w:rPr>
          <w:rFonts w:hint="eastAsia" w:ascii="仿宋_GB2312" w:hAnsi="仿宋" w:eastAsia="仿宋_GB2312" w:cs="仿宋"/>
          <w:sz w:val="32"/>
          <w:szCs w:val="32"/>
        </w:rPr>
        <w:t>按照综合预算的原则，中国共产党德阳市罗江区委员会统一战线工作部所有收支均包含下属单位数据，全部纳入部门预算管理。</w:t>
      </w:r>
      <w:r>
        <w:rPr>
          <w:rFonts w:hint="eastAsia" w:ascii="仿宋_GB2312" w:hAnsi="仿宋_GB2312" w:eastAsia="仿宋_GB2312"/>
          <w:sz w:val="32"/>
          <w:szCs w:val="32"/>
        </w:rPr>
        <w:t>收入包括：</w:t>
      </w:r>
      <w:r>
        <w:rPr>
          <w:rFonts w:hint="eastAsia" w:ascii="仿宋_GB2312" w:hAnsi="仿宋" w:eastAsia="仿宋_GB2312" w:cs="仿宋"/>
          <w:sz w:val="32"/>
          <w:szCs w:val="32"/>
        </w:rPr>
        <w:t>当年财政拨款收入</w:t>
      </w:r>
      <w:r>
        <w:rPr>
          <w:rFonts w:hint="eastAsia" w:ascii="仿宋_GB2312" w:hAnsi="仿宋_GB2312" w:eastAsia="仿宋_GB2312"/>
          <w:color w:val="000000" w:themeColor="text1"/>
          <w:sz w:val="32"/>
          <w:szCs w:val="32"/>
        </w:rPr>
        <w:t>285.12</w:t>
      </w:r>
      <w:r>
        <w:rPr>
          <w:rFonts w:hint="eastAsia" w:ascii="仿宋_GB2312" w:hAnsi="仿宋" w:eastAsia="仿宋_GB2312" w:cs="仿宋"/>
          <w:sz w:val="32"/>
          <w:szCs w:val="32"/>
        </w:rPr>
        <w:t>万元，</w:t>
      </w:r>
      <w:r>
        <w:rPr>
          <w:rFonts w:hint="eastAsia" w:ascii="仿宋_GB2312" w:hAnsi="仿宋_GB2312" w:eastAsia="仿宋_GB2312"/>
          <w:sz w:val="32"/>
          <w:szCs w:val="32"/>
        </w:rPr>
        <w:t>比2022年预算数增加</w:t>
      </w:r>
      <w:r>
        <w:rPr>
          <w:rFonts w:hint="eastAsia" w:ascii="仿宋_GB2312" w:hAnsi="仿宋_GB2312" w:eastAsia="仿宋_GB2312"/>
          <w:color w:val="000000" w:themeColor="text1"/>
          <w:sz w:val="32"/>
          <w:szCs w:val="32"/>
        </w:rPr>
        <w:t>36.45</w:t>
      </w:r>
      <w:r>
        <w:rPr>
          <w:rFonts w:hint="eastAsia" w:ascii="仿宋_GB2312" w:hAnsi="仿宋_GB2312" w:eastAsia="仿宋_GB2312"/>
          <w:sz w:val="32"/>
          <w:szCs w:val="32"/>
        </w:rPr>
        <w:t>万元，增加人员导致增加基本工资等人员经费和公用经费；支出包括：</w:t>
      </w:r>
      <w:r>
        <w:rPr>
          <w:rFonts w:hint="eastAsia" w:ascii="仿宋_GB2312" w:hAnsi="仿宋" w:eastAsia="仿宋_GB2312" w:cs="仿宋"/>
          <w:sz w:val="32"/>
          <w:szCs w:val="32"/>
        </w:rPr>
        <w:t>支出预算</w:t>
      </w:r>
      <w:r>
        <w:rPr>
          <w:rFonts w:hint="eastAsia" w:ascii="仿宋_GB2312" w:hAnsi="仿宋_GB2312" w:eastAsia="仿宋_GB2312"/>
          <w:color w:val="000000" w:themeColor="text1"/>
          <w:sz w:val="32"/>
          <w:szCs w:val="32"/>
        </w:rPr>
        <w:t>285.12</w:t>
      </w:r>
      <w:r>
        <w:rPr>
          <w:rFonts w:hint="eastAsia" w:ascii="仿宋_GB2312" w:hAnsi="仿宋" w:eastAsia="仿宋_GB2312" w:cs="仿宋"/>
          <w:sz w:val="32"/>
          <w:szCs w:val="32"/>
        </w:rPr>
        <w:t>万元，其中：一般公共服务支出</w:t>
      </w:r>
      <w:r>
        <w:rPr>
          <w:rFonts w:hint="eastAsia" w:ascii="仿宋_GB2312" w:hAnsi="仿宋" w:eastAsia="仿宋_GB2312" w:cs="仿宋"/>
          <w:color w:val="000000" w:themeColor="text1"/>
          <w:sz w:val="32"/>
          <w:szCs w:val="32"/>
        </w:rPr>
        <w:t>222.70</w:t>
      </w:r>
      <w:r>
        <w:rPr>
          <w:rFonts w:hint="eastAsia" w:ascii="仿宋_GB2312" w:hAnsi="仿宋" w:eastAsia="仿宋_GB2312" w:cs="仿宋"/>
          <w:sz w:val="32"/>
          <w:szCs w:val="32"/>
        </w:rPr>
        <w:t>万元，社会保障和就业支出</w:t>
      </w:r>
      <w:r>
        <w:rPr>
          <w:rFonts w:hint="eastAsia" w:ascii="仿宋_GB2312" w:hAnsi="仿宋" w:eastAsia="仿宋_GB2312" w:cs="仿宋"/>
          <w:color w:val="000000" w:themeColor="text1"/>
          <w:sz w:val="32"/>
          <w:szCs w:val="32"/>
        </w:rPr>
        <w:t>36.88</w:t>
      </w:r>
      <w:r>
        <w:rPr>
          <w:rFonts w:hint="eastAsia" w:ascii="仿宋_GB2312" w:hAnsi="仿宋" w:eastAsia="仿宋_GB2312" w:cs="仿宋"/>
          <w:sz w:val="32"/>
          <w:szCs w:val="32"/>
        </w:rPr>
        <w:t>万元，卫生健康支出</w:t>
      </w:r>
      <w:r>
        <w:rPr>
          <w:rFonts w:hint="eastAsia" w:ascii="仿宋_GB2312" w:hAnsi="仿宋" w:eastAsia="仿宋_GB2312" w:cs="仿宋"/>
          <w:color w:val="000000" w:themeColor="text1"/>
          <w:sz w:val="32"/>
          <w:szCs w:val="32"/>
        </w:rPr>
        <w:t>8.49</w:t>
      </w:r>
      <w:r>
        <w:rPr>
          <w:rFonts w:hint="eastAsia" w:ascii="仿宋_GB2312" w:hAnsi="仿宋" w:eastAsia="仿宋_GB2312" w:cs="仿宋"/>
          <w:sz w:val="32"/>
          <w:szCs w:val="32"/>
        </w:rPr>
        <w:t>万元，住房保障支出</w:t>
      </w:r>
      <w:r>
        <w:rPr>
          <w:rFonts w:hint="eastAsia" w:ascii="仿宋_GB2312" w:hAnsi="仿宋" w:eastAsia="仿宋_GB2312" w:cs="仿宋"/>
          <w:color w:val="000000" w:themeColor="text1"/>
          <w:sz w:val="32"/>
          <w:szCs w:val="32"/>
        </w:rPr>
        <w:t>17.05</w:t>
      </w:r>
      <w:r>
        <w:rPr>
          <w:rFonts w:hint="eastAsia" w:ascii="仿宋_GB2312" w:hAnsi="仿宋" w:eastAsia="仿宋_GB2312" w:cs="仿宋"/>
          <w:sz w:val="32"/>
          <w:szCs w:val="32"/>
        </w:rPr>
        <w:t>万元。</w:t>
      </w:r>
      <w:r>
        <w:rPr>
          <w:rFonts w:hint="eastAsia" w:ascii="仿宋_GB2312" w:hAnsi="仿宋_GB2312" w:eastAsia="仿宋_GB2312"/>
          <w:sz w:val="32"/>
          <w:szCs w:val="32"/>
        </w:rPr>
        <w:t>比2022年预算数增加</w:t>
      </w:r>
      <w:r>
        <w:rPr>
          <w:rFonts w:hint="eastAsia" w:ascii="仿宋_GB2312" w:hAnsi="仿宋_GB2312" w:eastAsia="仿宋_GB2312"/>
          <w:color w:val="000000" w:themeColor="text1"/>
          <w:sz w:val="32"/>
          <w:szCs w:val="32"/>
        </w:rPr>
        <w:t>36.45</w:t>
      </w:r>
      <w:r>
        <w:rPr>
          <w:rFonts w:hint="eastAsia" w:ascii="仿宋_GB2312" w:hAnsi="仿宋_GB2312" w:eastAsia="仿宋_GB2312"/>
          <w:sz w:val="32"/>
          <w:szCs w:val="32"/>
        </w:rPr>
        <w:t>万元，主要是用于宗教场所维修补助、统战代表人士学习考察、新增人员支出共计增加</w:t>
      </w:r>
      <w:r>
        <w:rPr>
          <w:rFonts w:hint="eastAsia" w:ascii="仿宋_GB2312" w:hAnsi="仿宋_GB2312" w:eastAsia="仿宋_GB2312"/>
          <w:color w:val="000000" w:themeColor="text1"/>
          <w:sz w:val="32"/>
          <w:szCs w:val="32"/>
        </w:rPr>
        <w:t>36.45</w:t>
      </w:r>
      <w:r>
        <w:rPr>
          <w:rFonts w:hint="eastAsia" w:ascii="仿宋_GB2312" w:hAnsi="仿宋_GB2312" w:eastAsia="仿宋_GB2312"/>
          <w:sz w:val="32"/>
          <w:szCs w:val="32"/>
        </w:rPr>
        <w:t>万元。</w:t>
      </w:r>
      <w:r>
        <w:rPr>
          <w:rFonts w:hint="eastAsia" w:ascii="仿宋_GB2312" w:hAnsi="仿宋" w:eastAsia="仿宋_GB2312" w:cs="仿宋"/>
          <w:sz w:val="32"/>
          <w:szCs w:val="32"/>
        </w:rPr>
        <w:t>中国共产党德阳市罗江区委员会统一战线工作部</w:t>
      </w:r>
      <w:r>
        <w:rPr>
          <w:rFonts w:hint="eastAsia" w:ascii="仿宋_GB2312" w:hAnsi="仿宋_GB2312" w:eastAsia="仿宋_GB2312"/>
          <w:sz w:val="32"/>
          <w:szCs w:val="32"/>
        </w:rPr>
        <w:t>2023年收支总预算</w:t>
      </w:r>
      <w:r>
        <w:rPr>
          <w:rFonts w:hint="eastAsia" w:ascii="仿宋_GB2312" w:hAnsi="仿宋_GB2312" w:eastAsia="仿宋_GB2312"/>
          <w:color w:val="000000" w:themeColor="text1"/>
          <w:sz w:val="32"/>
          <w:szCs w:val="32"/>
        </w:rPr>
        <w:t>285.12</w:t>
      </w:r>
      <w:r>
        <w:rPr>
          <w:rFonts w:hint="eastAsia" w:ascii="仿宋_GB2312" w:hAnsi="仿宋_GB2312" w:eastAsia="仿宋_GB2312"/>
          <w:sz w:val="32"/>
          <w:szCs w:val="32"/>
        </w:rPr>
        <w:t>万元。</w:t>
      </w:r>
    </w:p>
    <w:p>
      <w:pPr>
        <w:spacing w:line="560" w:lineRule="exact"/>
        <w:ind w:firstLine="560" w:firstLineChars="175"/>
        <w:rPr>
          <w:rFonts w:ascii="楷体_GB2312" w:hAnsi="楷体_GB2312" w:eastAsia="楷体_GB2312" w:cs="楷体_GB2312"/>
          <w:sz w:val="32"/>
          <w:szCs w:val="32"/>
        </w:rPr>
      </w:pPr>
      <w:r>
        <w:rPr>
          <w:rFonts w:hint="eastAsia" w:ascii="楷体_GB2312" w:hAnsi="楷体_GB2312" w:eastAsia="楷体_GB2312" w:cs="楷体_GB2312"/>
          <w:sz w:val="32"/>
          <w:szCs w:val="32"/>
        </w:rPr>
        <w:t>（一）收入预算情况</w:t>
      </w:r>
    </w:p>
    <w:p>
      <w:pPr>
        <w:adjustRightInd w:val="0"/>
        <w:snapToGrid w:val="0"/>
        <w:spacing w:line="560" w:lineRule="exact"/>
        <w:ind w:firstLine="560" w:firstLineChars="175"/>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rPr>
        <w:t>23</w:t>
      </w:r>
      <w:r>
        <w:rPr>
          <w:rFonts w:ascii="仿宋_GB2312" w:hAnsi="仿宋_GB2312" w:eastAsia="仿宋_GB2312"/>
          <w:sz w:val="32"/>
          <w:szCs w:val="32"/>
        </w:rPr>
        <w:t>年收入预算</w:t>
      </w:r>
      <w:r>
        <w:rPr>
          <w:rFonts w:hint="eastAsia" w:ascii="仿宋_GB2312" w:hAnsi="仿宋_GB2312" w:eastAsia="仿宋_GB2312"/>
          <w:color w:val="000000" w:themeColor="text1"/>
          <w:sz w:val="32"/>
          <w:szCs w:val="32"/>
        </w:rPr>
        <w:t>285.12</w:t>
      </w:r>
      <w:r>
        <w:rPr>
          <w:rFonts w:hint="eastAsia" w:ascii="仿宋_GB2312" w:hAnsi="仿宋_GB2312" w:eastAsia="仿宋_GB2312"/>
          <w:sz w:val="32"/>
          <w:szCs w:val="32"/>
        </w:rPr>
        <w:t>万元</w:t>
      </w:r>
      <w:r>
        <w:rPr>
          <w:rFonts w:ascii="仿宋_GB2312" w:hAnsi="仿宋_GB2312" w:eastAsia="仿宋_GB2312"/>
          <w:sz w:val="32"/>
          <w:szCs w:val="32"/>
        </w:rPr>
        <w:t>，其中：一般公共预算拨款收入</w:t>
      </w:r>
      <w:r>
        <w:rPr>
          <w:rFonts w:hint="eastAsia" w:ascii="仿宋_GB2312" w:hAnsi="仿宋_GB2312" w:eastAsia="仿宋_GB2312"/>
          <w:color w:val="000000" w:themeColor="text1"/>
          <w:sz w:val="32"/>
          <w:szCs w:val="32"/>
        </w:rPr>
        <w:t>285.12</w:t>
      </w:r>
      <w:r>
        <w:rPr>
          <w:rFonts w:hint="eastAsia" w:ascii="仿宋_GB2312" w:hAnsi="仿宋_GB2312" w:eastAsia="仿宋_GB2312"/>
          <w:sz w:val="32"/>
          <w:szCs w:val="32"/>
        </w:rPr>
        <w:t>万元</w:t>
      </w:r>
      <w:r>
        <w:rPr>
          <w:rFonts w:ascii="仿宋_GB2312" w:hAnsi="仿宋_GB2312" w:eastAsia="仿宋_GB2312"/>
          <w:sz w:val="32"/>
          <w:szCs w:val="32"/>
        </w:rPr>
        <w:t>，占</w:t>
      </w:r>
      <w:r>
        <w:rPr>
          <w:rFonts w:hint="eastAsia" w:ascii="仿宋_GB2312" w:hAnsi="仿宋_GB2312" w:eastAsia="仿宋_GB2312"/>
          <w:sz w:val="32"/>
          <w:szCs w:val="32"/>
        </w:rPr>
        <w:t>100</w:t>
      </w:r>
      <w:r>
        <w:rPr>
          <w:rFonts w:ascii="仿宋_GB2312" w:hAnsi="仿宋_GB2312" w:eastAsia="仿宋_GB2312"/>
          <w:sz w:val="32"/>
          <w:szCs w:val="32"/>
        </w:rPr>
        <w:t>%。</w:t>
      </w:r>
    </w:p>
    <w:p>
      <w:pPr>
        <w:spacing w:line="560" w:lineRule="exact"/>
        <w:ind w:firstLine="560" w:firstLineChars="175"/>
        <w:rPr>
          <w:rFonts w:ascii="楷体_GB2312" w:hAnsi="楷体_GB2312" w:eastAsia="楷体_GB2312" w:cs="楷体_GB2312"/>
          <w:sz w:val="32"/>
          <w:szCs w:val="32"/>
        </w:rPr>
      </w:pPr>
      <w:r>
        <w:rPr>
          <w:rFonts w:hint="eastAsia" w:ascii="楷体_GB2312" w:hAnsi="楷体_GB2312" w:eastAsia="楷体_GB2312" w:cs="楷体_GB2312"/>
          <w:sz w:val="32"/>
          <w:szCs w:val="32"/>
        </w:rPr>
        <w:t>（二）支出预算情况</w:t>
      </w:r>
    </w:p>
    <w:p>
      <w:pPr>
        <w:spacing w:line="560" w:lineRule="exact"/>
        <w:ind w:firstLine="560" w:firstLineChars="175"/>
        <w:rPr>
          <w:rFonts w:ascii="仿宋_GB2312" w:hAnsi="仿宋_GB2312" w:eastAsia="仿宋_GB2312"/>
          <w:sz w:val="32"/>
          <w:szCs w:val="32"/>
        </w:rPr>
      </w:pPr>
      <w:r>
        <w:rPr>
          <w:rFonts w:ascii="仿宋_GB2312" w:hAnsi="仿宋_GB2312" w:eastAsia="仿宋_GB2312"/>
          <w:sz w:val="32"/>
          <w:szCs w:val="32"/>
        </w:rPr>
        <w:t>20</w:t>
      </w:r>
      <w:r>
        <w:rPr>
          <w:rFonts w:hint="eastAsia" w:ascii="仿宋_GB2312" w:hAnsi="仿宋_GB2312" w:eastAsia="仿宋_GB2312"/>
          <w:sz w:val="32"/>
          <w:szCs w:val="32"/>
        </w:rPr>
        <w:t>23</w:t>
      </w:r>
      <w:r>
        <w:rPr>
          <w:rFonts w:ascii="仿宋_GB2312" w:hAnsi="仿宋_GB2312" w:eastAsia="仿宋_GB2312"/>
          <w:sz w:val="32"/>
          <w:szCs w:val="32"/>
        </w:rPr>
        <w:t>年支出预算</w:t>
      </w:r>
      <w:r>
        <w:rPr>
          <w:rFonts w:hint="eastAsia" w:ascii="仿宋_GB2312" w:hAnsi="仿宋_GB2312" w:eastAsia="仿宋_GB2312"/>
          <w:color w:val="000000" w:themeColor="text1"/>
          <w:sz w:val="32"/>
          <w:szCs w:val="32"/>
        </w:rPr>
        <w:t>285.12</w:t>
      </w:r>
      <w:r>
        <w:rPr>
          <w:rFonts w:hint="eastAsia" w:ascii="仿宋_GB2312" w:hAnsi="仿宋_GB2312" w:eastAsia="仿宋_GB2312"/>
          <w:sz w:val="32"/>
          <w:szCs w:val="32"/>
        </w:rPr>
        <w:t>万元</w:t>
      </w:r>
      <w:r>
        <w:rPr>
          <w:rFonts w:ascii="仿宋_GB2312" w:hAnsi="仿宋_GB2312" w:eastAsia="仿宋_GB2312"/>
          <w:sz w:val="32"/>
          <w:szCs w:val="32"/>
        </w:rPr>
        <w:t>，其中：基本支出</w:t>
      </w:r>
      <w:r>
        <w:rPr>
          <w:rFonts w:hint="eastAsia" w:ascii="仿宋_GB2312" w:hAnsi="仿宋_GB2312" w:eastAsia="仿宋_GB2312"/>
          <w:color w:val="000000" w:themeColor="text1"/>
          <w:sz w:val="32"/>
          <w:szCs w:val="32"/>
        </w:rPr>
        <w:t>235.00</w:t>
      </w:r>
      <w:r>
        <w:rPr>
          <w:rFonts w:hint="eastAsia" w:ascii="仿宋_GB2312" w:hAnsi="仿宋_GB2312" w:eastAsia="仿宋_GB2312"/>
          <w:sz w:val="32"/>
          <w:szCs w:val="32"/>
        </w:rPr>
        <w:t>万元</w:t>
      </w:r>
      <w:r>
        <w:rPr>
          <w:rFonts w:ascii="仿宋_GB2312" w:hAnsi="仿宋_GB2312" w:eastAsia="仿宋_GB2312"/>
          <w:sz w:val="32"/>
          <w:szCs w:val="32"/>
        </w:rPr>
        <w:t>，占</w:t>
      </w:r>
      <w:r>
        <w:rPr>
          <w:rFonts w:hint="eastAsia" w:ascii="仿宋_GB2312" w:hAnsi="仿宋_GB2312" w:eastAsia="仿宋_GB2312"/>
          <w:color w:val="000000" w:themeColor="text1"/>
          <w:sz w:val="32"/>
          <w:szCs w:val="32"/>
        </w:rPr>
        <w:t>82.42</w:t>
      </w:r>
      <w:r>
        <w:rPr>
          <w:rFonts w:hint="eastAsia" w:ascii="仿宋_GB2312" w:hAnsi="仿宋_GB2312" w:eastAsia="仿宋_GB2312"/>
          <w:sz w:val="32"/>
          <w:szCs w:val="32"/>
        </w:rPr>
        <w:t>%</w:t>
      </w:r>
      <w:r>
        <w:rPr>
          <w:rFonts w:ascii="仿宋_GB2312" w:hAnsi="仿宋_GB2312" w:eastAsia="仿宋_GB2312"/>
          <w:sz w:val="32"/>
          <w:szCs w:val="32"/>
        </w:rPr>
        <w:t>；项目支出</w:t>
      </w:r>
      <w:r>
        <w:rPr>
          <w:rFonts w:hint="eastAsia" w:ascii="仿宋_GB2312" w:hAnsi="仿宋_GB2312" w:eastAsia="仿宋_GB2312"/>
          <w:color w:val="000000" w:themeColor="text1"/>
          <w:sz w:val="32"/>
          <w:szCs w:val="32"/>
        </w:rPr>
        <w:t>50.12</w:t>
      </w:r>
      <w:r>
        <w:rPr>
          <w:rFonts w:hint="eastAsia" w:ascii="仿宋_GB2312" w:hAnsi="仿宋_GB2312" w:eastAsia="仿宋_GB2312"/>
          <w:sz w:val="32"/>
          <w:szCs w:val="32"/>
        </w:rPr>
        <w:t>万元</w:t>
      </w:r>
      <w:r>
        <w:rPr>
          <w:rFonts w:ascii="仿宋_GB2312" w:hAnsi="仿宋_GB2312" w:eastAsia="仿宋_GB2312"/>
          <w:sz w:val="32"/>
          <w:szCs w:val="32"/>
        </w:rPr>
        <w:t>，占</w:t>
      </w:r>
      <w:r>
        <w:rPr>
          <w:rFonts w:hint="eastAsia" w:ascii="仿宋_GB2312" w:hAnsi="仿宋_GB2312" w:eastAsia="仿宋_GB2312"/>
          <w:color w:val="000000" w:themeColor="text1"/>
          <w:sz w:val="32"/>
          <w:szCs w:val="32"/>
        </w:rPr>
        <w:t>17.58</w:t>
      </w:r>
      <w:r>
        <w:rPr>
          <w:rFonts w:hint="eastAsia" w:ascii="仿宋_GB2312" w:hAnsi="仿宋_GB2312" w:eastAsia="仿宋_GB2312"/>
          <w:sz w:val="32"/>
          <w:szCs w:val="32"/>
        </w:rPr>
        <w:t>%</w:t>
      </w:r>
      <w:r>
        <w:rPr>
          <w:rFonts w:ascii="仿宋_GB2312" w:hAnsi="仿宋_GB2312" w:eastAsia="仿宋_GB2312"/>
          <w:sz w:val="32"/>
          <w:szCs w:val="32"/>
        </w:rPr>
        <w:t>。</w:t>
      </w:r>
    </w:p>
    <w:p>
      <w:pPr>
        <w:spacing w:line="560" w:lineRule="exact"/>
        <w:ind w:firstLine="560" w:firstLineChars="175"/>
        <w:rPr>
          <w:rFonts w:ascii="仿宋_GB2312" w:hAnsi="仿宋_GB2312" w:eastAsia="仿宋_GB2312"/>
          <w:sz w:val="32"/>
          <w:szCs w:val="32"/>
        </w:rPr>
      </w:pPr>
      <w:r>
        <w:rPr>
          <w:rFonts w:hint="eastAsia" w:ascii="黑体" w:hAnsi="黑体" w:eastAsia="黑体" w:cs="黑体"/>
          <w:sz w:val="32"/>
          <w:szCs w:val="32"/>
        </w:rPr>
        <w:t>四、财政拨款收支预算情况说明</w:t>
      </w:r>
    </w:p>
    <w:p>
      <w:pPr>
        <w:spacing w:line="560" w:lineRule="exact"/>
        <w:ind w:firstLine="560" w:firstLineChars="175"/>
        <w:rPr>
          <w:rFonts w:ascii="仿宋_GB2312" w:eastAsia="仿宋_GB2312"/>
          <w:sz w:val="32"/>
          <w:szCs w:val="32"/>
        </w:rPr>
      </w:pPr>
      <w:r>
        <w:rPr>
          <w:rFonts w:hint="eastAsia" w:ascii="仿宋_GB2312" w:hAnsi="仿宋" w:eastAsia="仿宋_GB2312" w:cs="仿宋"/>
          <w:sz w:val="32"/>
          <w:szCs w:val="32"/>
        </w:rPr>
        <w:t>中国共产党德阳市罗江区委员会统一战线工作部</w:t>
      </w:r>
      <w:r>
        <w:rPr>
          <w:rFonts w:hint="eastAsia" w:ascii="仿宋_GB2312" w:hAnsi="仿宋_GB2312" w:eastAsia="仿宋_GB2312"/>
          <w:sz w:val="32"/>
          <w:szCs w:val="32"/>
        </w:rPr>
        <w:t>2023年财政拨款收支总预算</w:t>
      </w:r>
      <w:r>
        <w:rPr>
          <w:rFonts w:hint="eastAsia" w:ascii="仿宋_GB2312" w:hAnsi="仿宋_GB2312" w:eastAsia="仿宋_GB2312"/>
          <w:color w:val="000000" w:themeColor="text1"/>
          <w:sz w:val="32"/>
          <w:szCs w:val="32"/>
        </w:rPr>
        <w:t>285.12</w:t>
      </w:r>
      <w:r>
        <w:rPr>
          <w:rFonts w:hint="eastAsia" w:ascii="仿宋_GB2312" w:hAnsi="仿宋_GB2312" w:eastAsia="仿宋_GB2312"/>
          <w:sz w:val="32"/>
          <w:szCs w:val="32"/>
        </w:rPr>
        <w:t>万元。</w:t>
      </w:r>
      <w:r>
        <w:rPr>
          <w:rFonts w:hint="eastAsia" w:ascii="仿宋_GB2312" w:eastAsia="仿宋_GB2312"/>
          <w:color w:val="000000"/>
          <w:sz w:val="32"/>
          <w:szCs w:val="32"/>
        </w:rPr>
        <w:t>比2022年财政拨款收支总预算</w:t>
      </w:r>
      <w:r>
        <w:rPr>
          <w:rFonts w:hint="eastAsia" w:ascii="仿宋_GB2312" w:eastAsia="仿宋_GB2312"/>
          <w:sz w:val="32"/>
          <w:szCs w:val="32"/>
        </w:rPr>
        <w:t>增加</w:t>
      </w:r>
      <w:r>
        <w:rPr>
          <w:rFonts w:hint="eastAsia" w:ascii="仿宋_GB2312" w:eastAsia="仿宋_GB2312"/>
          <w:color w:val="000000" w:themeColor="text1"/>
          <w:sz w:val="32"/>
          <w:szCs w:val="32"/>
        </w:rPr>
        <w:t>36.45</w:t>
      </w:r>
      <w:r>
        <w:rPr>
          <w:rFonts w:hint="eastAsia" w:ascii="仿宋_GB2312" w:eastAsia="仿宋_GB2312"/>
          <w:sz w:val="32"/>
          <w:szCs w:val="32"/>
        </w:rPr>
        <w:t>万元，</w:t>
      </w:r>
      <w:r>
        <w:rPr>
          <w:rFonts w:hint="eastAsia" w:ascii="仿宋_GB2312" w:eastAsia="仿宋_GB2312"/>
          <w:color w:val="000000"/>
          <w:sz w:val="32"/>
          <w:szCs w:val="32"/>
        </w:rPr>
        <w:t>主要是</w:t>
      </w:r>
      <w:r>
        <w:rPr>
          <w:rFonts w:hint="eastAsia" w:ascii="仿宋_GB2312" w:hAnsi="仿宋_GB2312" w:eastAsia="仿宋_GB2312"/>
          <w:sz w:val="32"/>
          <w:szCs w:val="32"/>
        </w:rPr>
        <w:t>增加人员导致增加基本工资等人员经费和公用经费</w:t>
      </w:r>
      <w:r>
        <w:rPr>
          <w:rFonts w:hint="eastAsia" w:ascii="仿宋_GB2312" w:hAnsi="仿宋_GB2312" w:eastAsia="仿宋_GB2312"/>
          <w:color w:val="000000" w:themeColor="text1"/>
          <w:sz w:val="32"/>
          <w:szCs w:val="32"/>
        </w:rPr>
        <w:t>36.45</w:t>
      </w:r>
      <w:r>
        <w:rPr>
          <w:rFonts w:hint="eastAsia" w:ascii="仿宋_GB2312" w:hAnsi="仿宋_GB2312" w:eastAsia="仿宋_GB2312"/>
          <w:sz w:val="32"/>
          <w:szCs w:val="32"/>
        </w:rPr>
        <w:t>万元。</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收入包括：本年一般公共预算拨款收入</w:t>
      </w:r>
      <w:r>
        <w:rPr>
          <w:rFonts w:hint="eastAsia" w:ascii="仿宋_GB2312" w:hAnsi="仿宋_GB2312" w:eastAsia="仿宋_GB2312"/>
          <w:color w:val="000000" w:themeColor="text1"/>
          <w:sz w:val="32"/>
          <w:szCs w:val="32"/>
        </w:rPr>
        <w:t>285.12</w:t>
      </w:r>
      <w:r>
        <w:rPr>
          <w:rFonts w:hint="eastAsia" w:ascii="仿宋_GB2312" w:hAnsi="仿宋_GB2312" w:eastAsia="仿宋_GB2312"/>
          <w:sz w:val="32"/>
          <w:szCs w:val="32"/>
        </w:rPr>
        <w:t>万元；支出包括：</w:t>
      </w:r>
      <w:r>
        <w:rPr>
          <w:rFonts w:hint="eastAsia" w:ascii="仿宋_GB2312" w:hAnsi="仿宋" w:eastAsia="仿宋_GB2312" w:cs="仿宋"/>
          <w:sz w:val="32"/>
          <w:szCs w:val="32"/>
        </w:rPr>
        <w:t>一般公共服务支出</w:t>
      </w:r>
      <w:r>
        <w:rPr>
          <w:rFonts w:hint="eastAsia" w:ascii="仿宋_GB2312" w:hAnsi="仿宋" w:eastAsia="仿宋_GB2312" w:cs="仿宋"/>
          <w:color w:val="000000" w:themeColor="text1"/>
          <w:sz w:val="32"/>
          <w:szCs w:val="32"/>
        </w:rPr>
        <w:t>222.70</w:t>
      </w:r>
      <w:r>
        <w:rPr>
          <w:rFonts w:hint="eastAsia" w:ascii="仿宋_GB2312" w:hAnsi="仿宋" w:eastAsia="仿宋_GB2312" w:cs="仿宋"/>
          <w:sz w:val="32"/>
          <w:szCs w:val="32"/>
        </w:rPr>
        <w:t>万元，社会保障和就业支出</w:t>
      </w:r>
      <w:r>
        <w:rPr>
          <w:rFonts w:hint="eastAsia" w:ascii="仿宋_GB2312" w:hAnsi="仿宋" w:eastAsia="仿宋_GB2312" w:cs="仿宋"/>
          <w:color w:val="000000" w:themeColor="text1"/>
          <w:sz w:val="32"/>
          <w:szCs w:val="32"/>
        </w:rPr>
        <w:t>36.88</w:t>
      </w:r>
      <w:r>
        <w:rPr>
          <w:rFonts w:hint="eastAsia" w:ascii="仿宋_GB2312" w:hAnsi="仿宋" w:eastAsia="仿宋_GB2312" w:cs="仿宋"/>
          <w:sz w:val="32"/>
          <w:szCs w:val="32"/>
        </w:rPr>
        <w:t>万元，卫生健康支出</w:t>
      </w:r>
      <w:r>
        <w:rPr>
          <w:rFonts w:hint="eastAsia" w:ascii="仿宋_GB2312" w:hAnsi="仿宋" w:eastAsia="仿宋_GB2312" w:cs="仿宋"/>
          <w:color w:val="000000" w:themeColor="text1"/>
          <w:sz w:val="32"/>
          <w:szCs w:val="32"/>
        </w:rPr>
        <w:t>8.49</w:t>
      </w:r>
      <w:r>
        <w:rPr>
          <w:rFonts w:hint="eastAsia" w:ascii="仿宋_GB2312" w:hAnsi="仿宋" w:eastAsia="仿宋_GB2312" w:cs="仿宋"/>
          <w:sz w:val="32"/>
          <w:szCs w:val="32"/>
        </w:rPr>
        <w:t>万元，住房保障支出</w:t>
      </w:r>
      <w:r>
        <w:rPr>
          <w:rFonts w:hint="eastAsia" w:ascii="仿宋_GB2312" w:hAnsi="仿宋" w:eastAsia="仿宋_GB2312" w:cs="仿宋"/>
          <w:color w:val="000000" w:themeColor="text1"/>
          <w:sz w:val="32"/>
          <w:szCs w:val="32"/>
        </w:rPr>
        <w:t>17.05</w:t>
      </w:r>
      <w:r>
        <w:rPr>
          <w:rFonts w:hint="eastAsia" w:ascii="仿宋_GB2312" w:hAnsi="仿宋" w:eastAsia="仿宋_GB2312" w:cs="仿宋"/>
          <w:sz w:val="32"/>
          <w:szCs w:val="32"/>
        </w:rPr>
        <w:t>万元。</w:t>
      </w:r>
    </w:p>
    <w:p>
      <w:pPr>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五、一般公共预算当年拨款情况说明</w:t>
      </w:r>
    </w:p>
    <w:p>
      <w:pPr>
        <w:spacing w:line="560" w:lineRule="exact"/>
        <w:ind w:firstLine="560" w:firstLineChars="175"/>
        <w:rPr>
          <w:rFonts w:ascii="楷体_GB2312" w:hAnsi="楷体_GB2312" w:eastAsia="楷体_GB2312" w:cs="楷体_GB2312"/>
          <w:sz w:val="32"/>
          <w:szCs w:val="32"/>
        </w:rPr>
      </w:pPr>
      <w:r>
        <w:rPr>
          <w:rFonts w:hint="eastAsia" w:ascii="楷体_GB2312" w:hAnsi="楷体_GB2312" w:eastAsia="楷体_GB2312" w:cs="楷体_GB2312"/>
          <w:sz w:val="32"/>
          <w:szCs w:val="32"/>
        </w:rPr>
        <w:t>（一）一般公共预算当年拨款规模变化情况</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 w:eastAsia="仿宋_GB2312" w:cs="仿宋"/>
          <w:sz w:val="32"/>
          <w:szCs w:val="32"/>
        </w:rPr>
        <w:t>中国共产党德阳市罗江区委员会统一战线工作部</w:t>
      </w:r>
      <w:r>
        <w:rPr>
          <w:rFonts w:hint="eastAsia" w:ascii="仿宋_GB2312" w:hAnsi="仿宋_GB2312" w:eastAsia="仿宋_GB2312"/>
          <w:sz w:val="32"/>
          <w:szCs w:val="32"/>
        </w:rPr>
        <w:t>2023年一般公共预算当年拨款</w:t>
      </w:r>
      <w:r>
        <w:rPr>
          <w:rFonts w:hint="eastAsia" w:ascii="仿宋_GB2312" w:hAnsi="仿宋_GB2312" w:eastAsia="仿宋_GB2312"/>
          <w:color w:val="000000" w:themeColor="text1"/>
          <w:sz w:val="32"/>
          <w:szCs w:val="32"/>
        </w:rPr>
        <w:t>285.12</w:t>
      </w:r>
      <w:r>
        <w:rPr>
          <w:rFonts w:hint="eastAsia" w:ascii="仿宋_GB2312" w:hAnsi="仿宋_GB2312" w:eastAsia="仿宋_GB2312"/>
          <w:sz w:val="32"/>
          <w:szCs w:val="32"/>
        </w:rPr>
        <w:t>万元，比2022年预算数增加</w:t>
      </w:r>
      <w:r>
        <w:rPr>
          <w:rFonts w:hint="eastAsia" w:ascii="仿宋_GB2312" w:hAnsi="仿宋_GB2312" w:eastAsia="仿宋_GB2312"/>
          <w:color w:val="000000" w:themeColor="text1"/>
          <w:sz w:val="32"/>
          <w:szCs w:val="32"/>
        </w:rPr>
        <w:t>36.45</w:t>
      </w:r>
      <w:r>
        <w:rPr>
          <w:rFonts w:hint="eastAsia" w:ascii="仿宋_GB2312" w:hAnsi="仿宋_GB2312" w:eastAsia="仿宋_GB2312"/>
          <w:sz w:val="32"/>
          <w:szCs w:val="32"/>
        </w:rPr>
        <w:t>万元，增加人员导致增加基本工资等人员经费和公用经费</w:t>
      </w:r>
      <w:r>
        <w:rPr>
          <w:rFonts w:hint="eastAsia" w:ascii="仿宋_GB2312" w:hAnsi="仿宋_GB2312" w:eastAsia="仿宋_GB2312"/>
          <w:color w:val="000000" w:themeColor="text1"/>
          <w:sz w:val="32"/>
          <w:szCs w:val="32"/>
        </w:rPr>
        <w:t>36.45</w:t>
      </w:r>
      <w:r>
        <w:rPr>
          <w:rFonts w:hint="eastAsia" w:ascii="仿宋_GB2312" w:hAnsi="仿宋_GB2312" w:eastAsia="仿宋_GB2312"/>
          <w:sz w:val="32"/>
          <w:szCs w:val="32"/>
        </w:rPr>
        <w:t>万元。</w:t>
      </w:r>
    </w:p>
    <w:p>
      <w:pPr>
        <w:spacing w:line="560" w:lineRule="exact"/>
        <w:ind w:firstLine="560" w:firstLineChars="175"/>
        <w:rPr>
          <w:rFonts w:ascii="楷体_GB2312" w:hAnsi="楷体_GB2312" w:eastAsia="楷体_GB2312" w:cs="楷体_GB2312"/>
          <w:sz w:val="32"/>
          <w:szCs w:val="32"/>
        </w:rPr>
      </w:pPr>
      <w:r>
        <w:rPr>
          <w:rFonts w:hint="eastAsia" w:ascii="楷体_GB2312" w:hAnsi="楷体_GB2312" w:eastAsia="楷体_GB2312" w:cs="楷体_GB2312"/>
          <w:sz w:val="32"/>
          <w:szCs w:val="32"/>
        </w:rPr>
        <w:t>（二）一般公共预算当年拨款结构情况</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一般公共服务支出</w:t>
      </w:r>
      <w:r>
        <w:rPr>
          <w:rFonts w:hint="eastAsia" w:ascii="仿宋_GB2312" w:hAnsi="仿宋_GB2312" w:eastAsia="仿宋_GB2312"/>
          <w:color w:val="000000" w:themeColor="text1"/>
          <w:sz w:val="32"/>
          <w:szCs w:val="32"/>
        </w:rPr>
        <w:t>222.70</w:t>
      </w:r>
      <w:r>
        <w:rPr>
          <w:rFonts w:hint="eastAsia" w:ascii="仿宋_GB2312" w:hAnsi="仿宋_GB2312" w:eastAsia="仿宋_GB2312"/>
          <w:sz w:val="32"/>
          <w:szCs w:val="32"/>
        </w:rPr>
        <w:t>万元，占</w:t>
      </w:r>
      <w:r>
        <w:rPr>
          <w:rFonts w:hint="eastAsia" w:ascii="仿宋_GB2312" w:hAnsi="仿宋_GB2312" w:eastAsia="仿宋_GB2312"/>
          <w:color w:val="000000" w:themeColor="text1"/>
          <w:sz w:val="32"/>
          <w:szCs w:val="32"/>
        </w:rPr>
        <w:t>78.10</w:t>
      </w:r>
      <w:r>
        <w:rPr>
          <w:rFonts w:hint="eastAsia" w:ascii="仿宋_GB2312" w:hAnsi="仿宋_GB2312" w:eastAsia="仿宋_GB2312"/>
          <w:sz w:val="32"/>
          <w:szCs w:val="32"/>
        </w:rPr>
        <w:t>%；</w:t>
      </w:r>
      <w:r>
        <w:rPr>
          <w:rFonts w:hint="eastAsia" w:ascii="仿宋_GB2312" w:hAnsi="仿宋" w:eastAsia="仿宋_GB2312" w:cs="仿宋"/>
          <w:sz w:val="32"/>
          <w:szCs w:val="32"/>
        </w:rPr>
        <w:t>社会保障和就业支出</w:t>
      </w:r>
      <w:r>
        <w:rPr>
          <w:rFonts w:hint="eastAsia" w:ascii="仿宋_GB2312" w:hAnsi="仿宋" w:eastAsia="仿宋_GB2312" w:cs="仿宋"/>
          <w:color w:val="000000" w:themeColor="text1"/>
          <w:sz w:val="32"/>
          <w:szCs w:val="32"/>
        </w:rPr>
        <w:t>36.88</w:t>
      </w:r>
      <w:r>
        <w:rPr>
          <w:rFonts w:hint="eastAsia" w:ascii="仿宋_GB2312" w:hAnsi="仿宋" w:eastAsia="仿宋_GB2312" w:cs="仿宋"/>
          <w:sz w:val="32"/>
          <w:szCs w:val="32"/>
        </w:rPr>
        <w:t>万元，占</w:t>
      </w:r>
      <w:r>
        <w:rPr>
          <w:rFonts w:hint="eastAsia" w:ascii="仿宋_GB2312" w:hAnsi="仿宋" w:eastAsia="仿宋_GB2312" w:cs="仿宋"/>
          <w:color w:val="000000" w:themeColor="text1"/>
          <w:sz w:val="32"/>
          <w:szCs w:val="32"/>
        </w:rPr>
        <w:t>12.93</w:t>
      </w:r>
      <w:r>
        <w:rPr>
          <w:rFonts w:hint="eastAsia" w:ascii="仿宋_GB2312" w:hAnsi="仿宋" w:eastAsia="仿宋_GB2312" w:cs="仿宋"/>
          <w:sz w:val="32"/>
          <w:szCs w:val="32"/>
        </w:rPr>
        <w:t>%，卫生健康支出</w:t>
      </w:r>
      <w:r>
        <w:rPr>
          <w:rFonts w:hint="eastAsia" w:ascii="仿宋_GB2312" w:hAnsi="仿宋" w:eastAsia="仿宋_GB2312" w:cs="仿宋"/>
          <w:color w:val="000000" w:themeColor="text1"/>
          <w:sz w:val="32"/>
          <w:szCs w:val="32"/>
        </w:rPr>
        <w:t>8.49</w:t>
      </w:r>
      <w:r>
        <w:rPr>
          <w:rFonts w:hint="eastAsia" w:ascii="仿宋_GB2312" w:hAnsi="仿宋" w:eastAsia="仿宋_GB2312" w:cs="仿宋"/>
          <w:sz w:val="32"/>
          <w:szCs w:val="32"/>
        </w:rPr>
        <w:t>万元，占</w:t>
      </w:r>
      <w:r>
        <w:rPr>
          <w:rFonts w:hint="eastAsia" w:ascii="仿宋_GB2312" w:hAnsi="仿宋" w:eastAsia="仿宋_GB2312" w:cs="仿宋"/>
          <w:color w:val="000000" w:themeColor="text1"/>
          <w:sz w:val="32"/>
          <w:szCs w:val="32"/>
        </w:rPr>
        <w:t>2.97</w:t>
      </w:r>
      <w:r>
        <w:rPr>
          <w:rFonts w:hint="eastAsia" w:ascii="仿宋_GB2312" w:hAnsi="仿宋" w:eastAsia="仿宋_GB2312" w:cs="仿宋"/>
          <w:sz w:val="32"/>
          <w:szCs w:val="32"/>
        </w:rPr>
        <w:t>%，住房保障支出</w:t>
      </w:r>
      <w:r>
        <w:rPr>
          <w:rFonts w:hint="eastAsia" w:ascii="仿宋_GB2312" w:hAnsi="仿宋" w:eastAsia="仿宋_GB2312" w:cs="仿宋"/>
          <w:color w:val="000000" w:themeColor="text1"/>
          <w:sz w:val="32"/>
          <w:szCs w:val="32"/>
        </w:rPr>
        <w:t>17.05</w:t>
      </w:r>
      <w:r>
        <w:rPr>
          <w:rFonts w:hint="eastAsia" w:ascii="仿宋_GB2312" w:hAnsi="仿宋" w:eastAsia="仿宋_GB2312" w:cs="仿宋"/>
          <w:sz w:val="32"/>
          <w:szCs w:val="32"/>
        </w:rPr>
        <w:t>万元，占</w:t>
      </w:r>
      <w:r>
        <w:rPr>
          <w:rFonts w:hint="eastAsia" w:ascii="仿宋_GB2312" w:hAnsi="仿宋" w:eastAsia="仿宋_GB2312" w:cs="仿宋"/>
          <w:color w:val="000000" w:themeColor="text1"/>
          <w:sz w:val="32"/>
          <w:szCs w:val="32"/>
        </w:rPr>
        <w:t>6.00</w:t>
      </w:r>
      <w:r>
        <w:rPr>
          <w:rFonts w:hint="eastAsia" w:ascii="仿宋_GB2312" w:hAnsi="仿宋" w:eastAsia="仿宋_GB2312" w:cs="仿宋"/>
          <w:sz w:val="32"/>
          <w:szCs w:val="32"/>
        </w:rPr>
        <w:t>%。</w:t>
      </w:r>
    </w:p>
    <w:p>
      <w:pPr>
        <w:spacing w:line="560" w:lineRule="exact"/>
        <w:ind w:firstLine="560" w:firstLineChars="175"/>
        <w:rPr>
          <w:rFonts w:ascii="楷体_GB2312" w:hAnsi="楷体_GB2312" w:eastAsia="楷体_GB2312" w:cs="楷体_GB2312"/>
          <w:sz w:val="32"/>
          <w:szCs w:val="32"/>
        </w:rPr>
      </w:pPr>
      <w:r>
        <w:rPr>
          <w:rFonts w:hint="eastAsia" w:ascii="楷体_GB2312" w:hAnsi="楷体_GB2312" w:eastAsia="楷体_GB2312" w:cs="楷体_GB2312"/>
          <w:sz w:val="32"/>
          <w:szCs w:val="32"/>
        </w:rPr>
        <w:t>（三）一般公共预算当年拨款具体使用情况</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1.一般公共服务（类）</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民族事务（款）民族工作专项（支出项）2023年预算数为</w:t>
      </w:r>
      <w:r>
        <w:rPr>
          <w:rFonts w:hint="eastAsia" w:ascii="仿宋_GB2312" w:hAnsi="仿宋_GB2312" w:eastAsia="仿宋_GB2312"/>
          <w:color w:val="000000" w:themeColor="text1"/>
          <w:sz w:val="32"/>
          <w:szCs w:val="32"/>
        </w:rPr>
        <w:t>5.00</w:t>
      </w:r>
      <w:r>
        <w:rPr>
          <w:rFonts w:hint="eastAsia" w:ascii="仿宋_GB2312" w:hAnsi="仿宋_GB2312" w:eastAsia="仿宋_GB2312"/>
          <w:sz w:val="32"/>
          <w:szCs w:val="32"/>
        </w:rPr>
        <w:t>万元，主要用于开展我区少数民族工作发生的支出。</w:t>
      </w:r>
    </w:p>
    <w:p>
      <w:pPr>
        <w:pStyle w:val="12"/>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统战事务（款）行政运行（支出项）2023年预算数为</w:t>
      </w:r>
      <w:r>
        <w:rPr>
          <w:rFonts w:hint="eastAsia" w:ascii="仿宋_GB2312" w:hAnsi="仿宋_GB2312" w:eastAsia="仿宋_GB2312"/>
          <w:color w:val="000000" w:themeColor="text1"/>
          <w:sz w:val="32"/>
          <w:szCs w:val="32"/>
        </w:rPr>
        <w:t>121.46</w:t>
      </w:r>
      <w:r>
        <w:rPr>
          <w:rFonts w:hint="eastAsia" w:ascii="仿宋_GB2312" w:hAnsi="仿宋_GB2312" w:eastAsia="仿宋_GB2312"/>
          <w:sz w:val="32"/>
          <w:szCs w:val="32"/>
        </w:rPr>
        <w:t>万元，主要用于区委统战部机关公务人员运行的基本工资、津补贴、奖金、办公费、印刷费、邮电费、差旅费、会议费、公务接待费、劳务费、工会经费、其他交通运行维护费、其他商品和服务支出、退休费、医疗费。</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统战事务（款）一般行政管理事务（支出项）2023年预算数为</w:t>
      </w:r>
      <w:r>
        <w:rPr>
          <w:rFonts w:hint="eastAsia" w:ascii="仿宋_GB2312" w:hAnsi="仿宋_GB2312" w:eastAsia="仿宋_GB2312"/>
          <w:color w:val="000000" w:themeColor="text1"/>
          <w:sz w:val="32"/>
          <w:szCs w:val="32"/>
        </w:rPr>
        <w:t>5.75</w:t>
      </w:r>
      <w:r>
        <w:rPr>
          <w:rFonts w:hint="eastAsia" w:ascii="仿宋_GB2312" w:hAnsi="仿宋_GB2312" w:eastAsia="仿宋_GB2312"/>
          <w:sz w:val="32"/>
          <w:szCs w:val="32"/>
        </w:rPr>
        <w:t>万元，主要用于组织我区统战成员开展学习培训、考察调研工作经费；主要用于</w:t>
      </w:r>
      <w:r>
        <w:rPr>
          <w:rFonts w:hint="eastAsia" w:ascii="仿宋_GB2312" w:eastAsia="仿宋_GB2312"/>
          <w:sz w:val="32"/>
          <w:szCs w:val="32"/>
        </w:rPr>
        <w:t>贯彻落实党和国家的对台方针政策，协调对台经贸工作和各领域交流合作事宜，联系服务我区台胞台属促进两岸交流，进一步扩大罗江对外交流合作</w:t>
      </w:r>
      <w:r>
        <w:rPr>
          <w:rFonts w:hint="eastAsia" w:ascii="仿宋_GB2312" w:hAnsi="仿宋_GB2312" w:eastAsia="仿宋_GB2312"/>
          <w:sz w:val="32"/>
          <w:szCs w:val="32"/>
        </w:rPr>
        <w:t>。</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统战事务（款）宗教事务（支出项）2023年预算数为</w:t>
      </w:r>
      <w:r>
        <w:rPr>
          <w:rFonts w:hint="eastAsia" w:ascii="仿宋_GB2312" w:hAnsi="仿宋_GB2312" w:eastAsia="仿宋_GB2312"/>
          <w:color w:val="000000" w:themeColor="text1"/>
          <w:sz w:val="32"/>
          <w:szCs w:val="32"/>
        </w:rPr>
        <w:t>29.12</w:t>
      </w:r>
      <w:r>
        <w:rPr>
          <w:rFonts w:hint="eastAsia" w:ascii="仿宋_GB2312" w:hAnsi="仿宋_GB2312" w:eastAsia="仿宋_GB2312"/>
          <w:sz w:val="32"/>
          <w:szCs w:val="32"/>
        </w:rPr>
        <w:t>万元，主要用于我区民族宗教界代表人士生活补助、宗教场所维修补助专项经费、宗教工作经费；支持和指导民主党派、工商联等统战成员开展学习、调研活动；好宗教领域各项工作，促进我区宗教工作有序开展，社会和谐稳定。</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统战事务（款）其他统战事务支出（支出项）2023年预算数为</w:t>
      </w:r>
      <w:r>
        <w:rPr>
          <w:rFonts w:hint="eastAsia" w:ascii="仿宋_GB2312" w:hAnsi="仿宋_GB2312" w:eastAsia="仿宋_GB2312"/>
          <w:color w:val="000000" w:themeColor="text1"/>
          <w:sz w:val="32"/>
          <w:szCs w:val="32"/>
        </w:rPr>
        <w:t>13.00</w:t>
      </w:r>
      <w:r>
        <w:rPr>
          <w:rFonts w:hint="eastAsia" w:ascii="仿宋_GB2312" w:hAnsi="仿宋_GB2312" w:eastAsia="仿宋_GB2312"/>
          <w:sz w:val="32"/>
          <w:szCs w:val="32"/>
        </w:rPr>
        <w:t>万元，主要用于我区民族宗教界代表人士生活补助、宗教场所维修补助专项经费、宗教工作经费。</w:t>
      </w:r>
    </w:p>
    <w:p>
      <w:pPr>
        <w:pStyle w:val="12"/>
        <w:spacing w:line="560" w:lineRule="exact"/>
        <w:ind w:firstLine="560" w:firstLineChars="175"/>
      </w:pPr>
      <w:r>
        <w:rPr>
          <w:rFonts w:hint="eastAsia" w:ascii="仿宋_GB2312" w:hAnsi="仿宋_GB2312" w:eastAsia="仿宋_GB2312"/>
          <w:color w:val="auto"/>
          <w:sz w:val="32"/>
          <w:szCs w:val="32"/>
        </w:rPr>
        <w:t>统战事务（款）事业运行（支出项）2023年预算数为</w:t>
      </w:r>
      <w:r>
        <w:rPr>
          <w:rFonts w:hint="eastAsia" w:ascii="仿宋_GB2312" w:hAnsi="仿宋_GB2312" w:eastAsia="仿宋_GB2312"/>
          <w:color w:val="000000" w:themeColor="text1"/>
          <w:sz w:val="32"/>
          <w:szCs w:val="32"/>
        </w:rPr>
        <w:t>48.37</w:t>
      </w:r>
      <w:r>
        <w:rPr>
          <w:rFonts w:hint="eastAsia" w:ascii="仿宋_GB2312" w:hAnsi="仿宋_GB2312" w:eastAsia="仿宋_GB2312"/>
          <w:color w:val="auto"/>
          <w:sz w:val="32"/>
          <w:szCs w:val="32"/>
        </w:rPr>
        <w:t>万元，</w:t>
      </w:r>
      <w:r>
        <w:rPr>
          <w:rFonts w:hint="eastAsia" w:ascii="仿宋_GB2312" w:hAnsi="仿宋_GB2312" w:eastAsia="仿宋_GB2312"/>
          <w:sz w:val="32"/>
          <w:szCs w:val="32"/>
        </w:rPr>
        <w:t>主要用于区委统战部机关事业人员运行的基本工资、津补贴、奖金、办公费、印刷费、邮电费、差旅费、会议费、公务接待费、劳务费、工会经费、其他交通运行维护费、其他商品和服务支出、退休费、医疗费。</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2.社会保障和就业支出（类）</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行政事业单位养老保险支出（款）机关事业单位基本养老保险缴费支出（支出项）2023年预算数为</w:t>
      </w:r>
      <w:r>
        <w:rPr>
          <w:rFonts w:hint="eastAsia" w:ascii="仿宋_GB2312" w:hAnsi="仿宋_GB2312" w:eastAsia="仿宋_GB2312"/>
          <w:color w:val="000000" w:themeColor="text1"/>
          <w:sz w:val="32"/>
          <w:szCs w:val="32"/>
        </w:rPr>
        <w:t>20.44</w:t>
      </w:r>
      <w:r>
        <w:rPr>
          <w:rFonts w:hint="eastAsia" w:ascii="仿宋_GB2312" w:hAnsi="仿宋_GB2312" w:eastAsia="仿宋_GB2312"/>
          <w:sz w:val="32"/>
          <w:szCs w:val="32"/>
        </w:rPr>
        <w:t>万元，主要用于区委统战部机关单位养老保险缴费。</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行政事业单位养老保险支出（款）机关事业单位职业年金缴费支出（支出项）2023年预算数为</w:t>
      </w:r>
      <w:r>
        <w:rPr>
          <w:rFonts w:hint="eastAsia" w:ascii="仿宋_GB2312" w:hAnsi="仿宋_GB2312" w:eastAsia="仿宋_GB2312"/>
          <w:color w:val="000000" w:themeColor="text1"/>
          <w:sz w:val="32"/>
          <w:szCs w:val="32"/>
        </w:rPr>
        <w:t>10.22</w:t>
      </w:r>
      <w:r>
        <w:rPr>
          <w:rFonts w:hint="eastAsia" w:ascii="仿宋_GB2312" w:hAnsi="仿宋_GB2312" w:eastAsia="仿宋_GB2312"/>
          <w:sz w:val="32"/>
          <w:szCs w:val="32"/>
        </w:rPr>
        <w:t>万元，主要用于区委统战部机关单位职业年金缴费。</w:t>
      </w:r>
    </w:p>
    <w:p>
      <w:pPr>
        <w:adjustRightInd w:val="0"/>
        <w:snapToGrid w:val="0"/>
        <w:spacing w:line="560" w:lineRule="exact"/>
        <w:ind w:firstLine="560" w:firstLineChars="175"/>
      </w:pPr>
      <w:r>
        <w:rPr>
          <w:rFonts w:hint="eastAsia" w:ascii="仿宋_GB2312" w:hAnsi="仿宋_GB2312" w:eastAsia="仿宋_GB2312"/>
          <w:sz w:val="32"/>
          <w:szCs w:val="32"/>
        </w:rPr>
        <w:t>行政事业单位养老保险支出（款）其他行政事业单位养老保险支出（支出项）2023年预算数为</w:t>
      </w:r>
      <w:r>
        <w:rPr>
          <w:rFonts w:hint="eastAsia" w:ascii="仿宋_GB2312" w:hAnsi="仿宋_GB2312" w:eastAsia="仿宋_GB2312"/>
          <w:color w:val="000000" w:themeColor="text1"/>
          <w:sz w:val="32"/>
          <w:szCs w:val="32"/>
        </w:rPr>
        <w:t>6</w:t>
      </w:r>
      <w:r>
        <w:rPr>
          <w:rFonts w:hint="eastAsia" w:ascii="仿宋_GB2312" w:hAnsi="仿宋_GB2312" w:eastAsia="仿宋_GB2312"/>
          <w:sz w:val="32"/>
          <w:szCs w:val="32"/>
        </w:rPr>
        <w:t>万元，主要用于区委统战部机关离退休人员支出。</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其他社会保障和就业支出（款）其他社会保障和就业支出（支出项）2023年预算数为</w:t>
      </w:r>
      <w:r>
        <w:rPr>
          <w:rFonts w:hint="eastAsia" w:ascii="仿宋_GB2312" w:hAnsi="仿宋_GB2312" w:eastAsia="仿宋_GB2312"/>
          <w:color w:val="000000" w:themeColor="text1"/>
          <w:sz w:val="32"/>
          <w:szCs w:val="32"/>
        </w:rPr>
        <w:t>0.22</w:t>
      </w:r>
      <w:r>
        <w:rPr>
          <w:rFonts w:hint="eastAsia" w:ascii="仿宋_GB2312" w:hAnsi="仿宋_GB2312" w:eastAsia="仿宋_GB2312"/>
          <w:sz w:val="32"/>
          <w:szCs w:val="32"/>
        </w:rPr>
        <w:t>万元，主要用于区委统战部机关离退休人员相关支出。</w:t>
      </w:r>
    </w:p>
    <w:p>
      <w:pPr>
        <w:tabs>
          <w:tab w:val="left" w:pos="312"/>
        </w:tabs>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3.卫生健康支出</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行政事业单位医疗（款）行政单位医疗（支出项）2023年预算数为</w:t>
      </w:r>
      <w:r>
        <w:rPr>
          <w:rFonts w:hint="eastAsia" w:ascii="仿宋_GB2312" w:hAnsi="仿宋_GB2312" w:eastAsia="仿宋_GB2312"/>
          <w:color w:val="000000" w:themeColor="text1"/>
          <w:sz w:val="32"/>
          <w:szCs w:val="32"/>
        </w:rPr>
        <w:t>6.17</w:t>
      </w:r>
      <w:r>
        <w:rPr>
          <w:rFonts w:hint="eastAsia" w:ascii="仿宋_GB2312" w:hAnsi="仿宋_GB2312" w:eastAsia="仿宋_GB2312"/>
          <w:sz w:val="32"/>
          <w:szCs w:val="32"/>
        </w:rPr>
        <w:t>万元，主要用于区委统战部机关行政人员医疗保险缴费。</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行政事业单位医疗（款）事业单位医疗（支出项）2023年预算数为</w:t>
      </w:r>
      <w:r>
        <w:rPr>
          <w:rFonts w:hint="eastAsia" w:ascii="仿宋_GB2312" w:hAnsi="仿宋_GB2312" w:eastAsia="仿宋_GB2312"/>
          <w:color w:val="000000" w:themeColor="text1"/>
          <w:sz w:val="32"/>
          <w:szCs w:val="32"/>
        </w:rPr>
        <w:t>2.32</w:t>
      </w:r>
      <w:r>
        <w:rPr>
          <w:rFonts w:hint="eastAsia" w:ascii="仿宋_GB2312" w:hAnsi="仿宋_GB2312" w:eastAsia="仿宋_GB2312"/>
          <w:sz w:val="32"/>
          <w:szCs w:val="32"/>
        </w:rPr>
        <w:t>万元，主要用于区委统战部机关事业人员医疗保险缴费。</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4.住房保障支出（类）</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住房改革支出（款）住房公积金（支出项）2023年预算数为</w:t>
      </w:r>
      <w:r>
        <w:rPr>
          <w:rFonts w:hint="eastAsia" w:ascii="仿宋_GB2312" w:hAnsi="仿宋_GB2312" w:eastAsia="仿宋_GB2312"/>
          <w:color w:val="000000" w:themeColor="text1"/>
          <w:sz w:val="32"/>
          <w:szCs w:val="32"/>
        </w:rPr>
        <w:t>17.05</w:t>
      </w:r>
      <w:r>
        <w:rPr>
          <w:rFonts w:hint="eastAsia" w:ascii="仿宋_GB2312" w:hAnsi="仿宋_GB2312" w:eastAsia="仿宋_GB2312"/>
          <w:sz w:val="32"/>
          <w:szCs w:val="32"/>
        </w:rPr>
        <w:t>万元，主要用于区委统战部机关住房公积金缴纳。</w:t>
      </w:r>
    </w:p>
    <w:p>
      <w:pPr>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六、一般公共预算基本支出情况说明</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 w:eastAsia="仿宋_GB2312" w:cs="仿宋"/>
          <w:sz w:val="32"/>
          <w:szCs w:val="32"/>
        </w:rPr>
        <w:t>中国共产党德阳市罗江区委员会统一战线工作部</w:t>
      </w:r>
      <w:r>
        <w:rPr>
          <w:rFonts w:hint="eastAsia" w:ascii="仿宋_GB2312" w:hAnsi="仿宋_GB2312" w:eastAsia="仿宋_GB2312"/>
          <w:sz w:val="32"/>
          <w:szCs w:val="32"/>
        </w:rPr>
        <w:t>2023年一般公共预算基本支出</w:t>
      </w:r>
      <w:r>
        <w:rPr>
          <w:rFonts w:hint="eastAsia" w:ascii="仿宋_GB2312" w:hAnsi="仿宋_GB2312" w:eastAsia="仿宋_GB2312"/>
          <w:color w:val="000000" w:themeColor="text1"/>
          <w:sz w:val="32"/>
          <w:szCs w:val="32"/>
        </w:rPr>
        <w:t>235.00</w:t>
      </w:r>
      <w:r>
        <w:rPr>
          <w:rFonts w:hint="eastAsia" w:ascii="仿宋_GB2312" w:hAnsi="仿宋_GB2312" w:eastAsia="仿宋_GB2312"/>
          <w:sz w:val="32"/>
          <w:szCs w:val="32"/>
        </w:rPr>
        <w:t>万元，其中：</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人员经费</w:t>
      </w:r>
      <w:r>
        <w:rPr>
          <w:rFonts w:hint="eastAsia" w:ascii="仿宋_GB2312" w:hAnsi="仿宋_GB2312" w:eastAsia="仿宋_GB2312"/>
          <w:color w:val="000000" w:themeColor="text1"/>
          <w:sz w:val="32"/>
          <w:szCs w:val="32"/>
        </w:rPr>
        <w:t>208.67</w:t>
      </w:r>
      <w:r>
        <w:rPr>
          <w:rFonts w:hint="eastAsia" w:ascii="仿宋_GB2312" w:hAnsi="仿宋_GB2312" w:eastAsia="仿宋_GB2312"/>
          <w:sz w:val="32"/>
          <w:szCs w:val="32"/>
        </w:rPr>
        <w:t>万元，主要包括：基本工资、津贴补贴、奖金、社会保险缴费、绩效工资、机关事业单位基本养老保险缴费、职业年金缴费、住房公积金支出、离退休人员生活补助。</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公用经费</w:t>
      </w:r>
      <w:r>
        <w:rPr>
          <w:rFonts w:hint="eastAsia" w:ascii="仿宋_GB2312" w:hAnsi="仿宋_GB2312" w:eastAsia="仿宋_GB2312"/>
          <w:color w:val="000000" w:themeColor="text1"/>
          <w:sz w:val="32"/>
          <w:szCs w:val="32"/>
        </w:rPr>
        <w:t>26.33</w:t>
      </w:r>
      <w:r>
        <w:rPr>
          <w:rFonts w:hint="eastAsia" w:ascii="仿宋_GB2312" w:hAnsi="仿宋_GB2312" w:eastAsia="仿宋_GB2312"/>
          <w:sz w:val="32"/>
          <w:szCs w:val="32"/>
        </w:rPr>
        <w:t>元，主要包括：办公费、印刷费、水电费、邮电费、差旅费、维修（护）费、会议费、培训费、劳务费、工会经费、其他交通工具运行维护费、其他商品和服务支出。</w:t>
      </w:r>
    </w:p>
    <w:p>
      <w:pPr>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七、“三公”经费财政拨款预算安排情况说明</w:t>
      </w:r>
    </w:p>
    <w:p>
      <w:pPr>
        <w:adjustRightInd w:val="0"/>
        <w:snapToGrid w:val="0"/>
        <w:spacing w:line="560" w:lineRule="exact"/>
        <w:ind w:firstLine="560" w:firstLineChars="175"/>
        <w:rPr>
          <w:rFonts w:ascii="仿宋_GB2312" w:hAnsi="仿宋_GB2312" w:eastAsia="仿宋_GB2312"/>
          <w:sz w:val="32"/>
          <w:szCs w:val="32"/>
        </w:rPr>
      </w:pPr>
      <w:r>
        <w:rPr>
          <w:rFonts w:hint="eastAsia" w:ascii="仿宋_GB2312" w:hAnsi="仿宋" w:eastAsia="仿宋_GB2312" w:cs="仿宋"/>
          <w:sz w:val="32"/>
          <w:szCs w:val="32"/>
        </w:rPr>
        <w:t>中国共产党德阳市罗江区委员会统一战线工作部</w:t>
      </w:r>
      <w:r>
        <w:rPr>
          <w:rFonts w:hint="eastAsia" w:ascii="仿宋_GB2312" w:hAnsi="仿宋_GB2312" w:eastAsia="仿宋_GB2312"/>
          <w:sz w:val="32"/>
          <w:szCs w:val="32"/>
        </w:rPr>
        <w:t>2023年“三公”经费财政拨款预算数</w:t>
      </w:r>
      <w:r>
        <w:rPr>
          <w:rFonts w:hint="eastAsia" w:ascii="仿宋_GB2312" w:hAnsi="仿宋_GB2312" w:eastAsia="仿宋_GB2312"/>
          <w:color w:val="000000" w:themeColor="text1"/>
          <w:sz w:val="32"/>
          <w:szCs w:val="32"/>
        </w:rPr>
        <w:t>1.80</w:t>
      </w:r>
      <w:r>
        <w:rPr>
          <w:rFonts w:hint="eastAsia" w:ascii="仿宋_GB2312" w:hAnsi="仿宋_GB2312" w:eastAsia="仿宋_GB2312"/>
          <w:sz w:val="32"/>
          <w:szCs w:val="32"/>
        </w:rPr>
        <w:t>万元，其中：因公出国（境）经费0万元，公务接待费</w:t>
      </w:r>
      <w:r>
        <w:rPr>
          <w:rFonts w:hint="eastAsia" w:ascii="仿宋_GB2312" w:hAnsi="仿宋_GB2312" w:eastAsia="仿宋_GB2312"/>
          <w:color w:val="000000" w:themeColor="text1"/>
          <w:sz w:val="32"/>
          <w:szCs w:val="32"/>
        </w:rPr>
        <w:t>1.80</w:t>
      </w:r>
      <w:r>
        <w:rPr>
          <w:rFonts w:hint="eastAsia" w:ascii="仿宋_GB2312" w:hAnsi="仿宋_GB2312" w:eastAsia="仿宋_GB2312"/>
          <w:sz w:val="32"/>
          <w:szCs w:val="32"/>
        </w:rPr>
        <w:t>万元，公务用车购置及运行维护费0万元。</w:t>
      </w:r>
    </w:p>
    <w:p>
      <w:pPr>
        <w:spacing w:line="560" w:lineRule="exact"/>
        <w:ind w:firstLine="560" w:firstLineChars="175"/>
        <w:rPr>
          <w:rFonts w:ascii="仿宋_GB2312" w:hAnsi="仿宋_GB2312" w:eastAsia="仿宋_GB2312"/>
          <w:sz w:val="32"/>
          <w:szCs w:val="32"/>
        </w:rPr>
      </w:pPr>
      <w:r>
        <w:rPr>
          <w:rFonts w:hint="eastAsia" w:ascii="楷体_GB2312" w:eastAsia="楷体_GB2312"/>
          <w:bCs/>
          <w:sz w:val="32"/>
          <w:szCs w:val="32"/>
        </w:rPr>
        <w:t>（一）因公出国（境）经费与2022年预算持平。</w:t>
      </w:r>
      <w:r>
        <w:rPr>
          <w:rFonts w:hint="eastAsia" w:ascii="仿宋_GB2312" w:hAnsi="仿宋_GB2312" w:eastAsia="仿宋_GB2312"/>
          <w:sz w:val="32"/>
          <w:szCs w:val="32"/>
        </w:rPr>
        <w:t>主要原因是2023年未安排因公出国计划。</w:t>
      </w:r>
    </w:p>
    <w:p>
      <w:pPr>
        <w:adjustRightInd w:val="0"/>
        <w:snapToGrid w:val="0"/>
        <w:spacing w:line="560" w:lineRule="exact"/>
        <w:ind w:firstLine="560" w:firstLineChars="175"/>
        <w:rPr>
          <w:rFonts w:ascii="仿宋_GB2312" w:hAnsi="仿宋_GB2312" w:eastAsia="仿宋_GB2312"/>
          <w:sz w:val="32"/>
          <w:szCs w:val="32"/>
        </w:rPr>
      </w:pPr>
      <w:r>
        <w:rPr>
          <w:rFonts w:hint="eastAsia" w:ascii="楷体_GB2312" w:hAnsi="仿宋_GB2312" w:eastAsia="楷体_GB2312"/>
          <w:sz w:val="32"/>
          <w:szCs w:val="32"/>
        </w:rPr>
        <w:t>（二）</w:t>
      </w:r>
      <w:r>
        <w:rPr>
          <w:rFonts w:hint="eastAsia" w:ascii="楷体_GB2312" w:eastAsia="楷体_GB2312"/>
          <w:bCs/>
          <w:sz w:val="32"/>
          <w:szCs w:val="32"/>
        </w:rPr>
        <w:t>公务接待费与2022年预算相比减少</w:t>
      </w:r>
      <w:r>
        <w:rPr>
          <w:rFonts w:hint="eastAsia" w:ascii="楷体_GB2312" w:eastAsia="楷体_GB2312"/>
          <w:bCs/>
          <w:color w:val="000000" w:themeColor="text1"/>
          <w:sz w:val="32"/>
          <w:szCs w:val="32"/>
        </w:rPr>
        <w:t>5.26</w:t>
      </w:r>
      <w:r>
        <w:rPr>
          <w:rFonts w:hint="eastAsia" w:ascii="楷体_GB2312" w:eastAsia="楷体_GB2312"/>
          <w:bCs/>
          <w:sz w:val="32"/>
          <w:szCs w:val="32"/>
        </w:rPr>
        <w:t>%。</w:t>
      </w:r>
      <w:r>
        <w:rPr>
          <w:rFonts w:hint="eastAsia" w:ascii="仿宋_GB2312" w:hAnsi="仿宋_GB2312" w:eastAsia="仿宋_GB2312"/>
          <w:sz w:val="32"/>
          <w:szCs w:val="32"/>
        </w:rPr>
        <w:t>主要原因是公务接待经费方面在以前年度压缩后，本年按照压缩一般性支出要求再次压缩，2023年预计同上级统战部门对接时接待次数稍减少，导致减少</w:t>
      </w:r>
      <w:r>
        <w:rPr>
          <w:rFonts w:hint="eastAsia" w:ascii="仿宋_GB2312" w:hAnsi="仿宋_GB2312" w:eastAsia="仿宋_GB2312"/>
          <w:color w:val="000000" w:themeColor="text1"/>
          <w:sz w:val="32"/>
          <w:szCs w:val="32"/>
        </w:rPr>
        <w:t>0.10</w:t>
      </w:r>
      <w:r>
        <w:rPr>
          <w:rFonts w:hint="eastAsia" w:ascii="仿宋_GB2312" w:hAnsi="仿宋_GB2312" w:eastAsia="仿宋_GB2312"/>
          <w:sz w:val="32"/>
          <w:szCs w:val="32"/>
        </w:rPr>
        <w:t>万元经费。</w:t>
      </w:r>
    </w:p>
    <w:p>
      <w:pPr>
        <w:adjustRightInd w:val="0"/>
        <w:snapToGrid w:val="0"/>
        <w:spacing w:line="560" w:lineRule="exact"/>
        <w:ind w:firstLine="560" w:firstLineChars="175"/>
        <w:rPr>
          <w:rFonts w:ascii="仿宋_GB2312" w:hAnsi="仿宋_GB2312" w:eastAsia="仿宋_GB2312"/>
          <w:sz w:val="32"/>
          <w:szCs w:val="32"/>
        </w:rPr>
      </w:pPr>
      <w:r>
        <w:rPr>
          <w:rFonts w:hint="eastAsia" w:ascii="楷体_GB2312" w:hAnsi="仿宋_GB2312" w:eastAsia="楷体_GB2312"/>
          <w:sz w:val="32"/>
          <w:szCs w:val="32"/>
        </w:rPr>
        <w:t>（三）</w:t>
      </w:r>
      <w:r>
        <w:rPr>
          <w:rFonts w:hint="eastAsia" w:ascii="楷体_GB2312" w:eastAsia="楷体_GB2312"/>
          <w:bCs/>
          <w:sz w:val="32"/>
          <w:szCs w:val="32"/>
        </w:rPr>
        <w:t>公务用车购置及运行维护费与2022年预算持平。</w:t>
      </w:r>
      <w:r>
        <w:rPr>
          <w:rFonts w:hint="eastAsia" w:ascii="仿宋_GB2312" w:hAnsi="仿宋_GB2312" w:eastAsia="仿宋_GB2312"/>
          <w:sz w:val="32"/>
          <w:szCs w:val="32"/>
        </w:rPr>
        <w:t>主要原因是因公务用车改革，我单位现无公务用车。</w:t>
      </w:r>
    </w:p>
    <w:p>
      <w:pPr>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八、政府性基金预算收支情况说明</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无</w:t>
      </w:r>
    </w:p>
    <w:p>
      <w:pPr>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九、国有资本经营预算支出情况说明</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无</w:t>
      </w:r>
    </w:p>
    <w:p>
      <w:pPr>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十、其他重要事项的情况说明</w:t>
      </w:r>
    </w:p>
    <w:p>
      <w:pPr>
        <w:spacing w:line="560" w:lineRule="exact"/>
        <w:ind w:firstLine="560" w:firstLineChars="175"/>
        <w:rPr>
          <w:rFonts w:ascii="楷体_GB2312" w:hAnsi="楷体_GB2312" w:eastAsia="楷体_GB2312" w:cs="楷体_GB2312"/>
          <w:sz w:val="32"/>
          <w:szCs w:val="32"/>
        </w:rPr>
      </w:pPr>
      <w:r>
        <w:rPr>
          <w:rFonts w:hint="eastAsia" w:ascii="楷体_GB2312" w:hAnsi="楷体_GB2312" w:eastAsia="楷体_GB2312" w:cs="楷体_GB2312"/>
          <w:sz w:val="32"/>
          <w:szCs w:val="32"/>
        </w:rPr>
        <w:t>（一）机关运行经费</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2023年，</w:t>
      </w:r>
      <w:r>
        <w:rPr>
          <w:rFonts w:hint="eastAsia" w:ascii="仿宋_GB2312" w:hAnsi="仿宋" w:eastAsia="仿宋_GB2312" w:cs="仿宋"/>
          <w:sz w:val="32"/>
          <w:szCs w:val="32"/>
        </w:rPr>
        <w:t>中国共产党德阳市罗江区委员会统一战线工作部</w:t>
      </w:r>
      <w:r>
        <w:rPr>
          <w:rFonts w:hint="eastAsia" w:ascii="仿宋_GB2312" w:hAnsi="仿宋_GB2312" w:eastAsia="仿宋_GB2312"/>
          <w:sz w:val="32"/>
          <w:szCs w:val="32"/>
        </w:rPr>
        <w:t>的机关运行经费财政拨款预算为</w:t>
      </w:r>
      <w:r>
        <w:rPr>
          <w:rFonts w:hint="eastAsia" w:ascii="仿宋_GB2312" w:hAnsi="仿宋_GB2312" w:eastAsia="仿宋_GB2312"/>
          <w:color w:val="000000" w:themeColor="text1"/>
          <w:sz w:val="32"/>
          <w:szCs w:val="32"/>
        </w:rPr>
        <w:t>26.33</w:t>
      </w:r>
      <w:r>
        <w:rPr>
          <w:rFonts w:hint="eastAsia" w:ascii="仿宋_GB2312" w:hAnsi="仿宋_GB2312" w:eastAsia="仿宋_GB2312"/>
          <w:sz w:val="32"/>
          <w:szCs w:val="32"/>
        </w:rPr>
        <w:t>万元，比2022年预算增加</w:t>
      </w:r>
      <w:r>
        <w:rPr>
          <w:rFonts w:hint="eastAsia" w:ascii="仿宋_GB2312" w:hAnsi="仿宋_GB2312" w:eastAsia="仿宋_GB2312"/>
          <w:color w:val="000000" w:themeColor="text1"/>
          <w:sz w:val="32"/>
          <w:szCs w:val="32"/>
        </w:rPr>
        <w:t>0.02</w:t>
      </w:r>
      <w:r>
        <w:rPr>
          <w:rFonts w:hint="eastAsia" w:ascii="仿宋_GB2312" w:hAnsi="仿宋_GB2312" w:eastAsia="仿宋_GB2312"/>
          <w:sz w:val="32"/>
          <w:szCs w:val="32"/>
        </w:rPr>
        <w:t>万元，增加</w:t>
      </w:r>
      <w:r>
        <w:rPr>
          <w:rFonts w:hint="eastAsia" w:ascii="仿宋_GB2312" w:hAnsi="仿宋_GB2312" w:eastAsia="仿宋_GB2312"/>
          <w:color w:val="000000" w:themeColor="text1"/>
          <w:sz w:val="32"/>
          <w:szCs w:val="32"/>
        </w:rPr>
        <w:t>0.07</w:t>
      </w:r>
      <w:r>
        <w:rPr>
          <w:rFonts w:hint="eastAsia" w:ascii="仿宋_GB2312" w:hAnsi="仿宋_GB2312" w:eastAsia="仿宋_GB2312"/>
          <w:sz w:val="32"/>
          <w:szCs w:val="32"/>
        </w:rPr>
        <w:t>%，主要一是人员增加日常办公费用有所增长，二是压缩机关运行经费，品跌后减少。</w:t>
      </w:r>
    </w:p>
    <w:p>
      <w:pPr>
        <w:spacing w:line="560" w:lineRule="exact"/>
        <w:ind w:firstLine="560" w:firstLineChars="175"/>
        <w:rPr>
          <w:rFonts w:ascii="楷体_GB2312" w:hAnsi="楷体_GB2312" w:eastAsia="楷体_GB2312" w:cs="楷体_GB2312"/>
          <w:sz w:val="32"/>
          <w:szCs w:val="32"/>
        </w:rPr>
      </w:pPr>
      <w:r>
        <w:rPr>
          <w:rFonts w:hint="eastAsia" w:ascii="楷体_GB2312" w:hAnsi="楷体_GB2312" w:eastAsia="楷体_GB2312" w:cs="楷体_GB2312"/>
          <w:sz w:val="32"/>
          <w:szCs w:val="32"/>
        </w:rPr>
        <w:t>（二）政府采购情况</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2023年，</w:t>
      </w:r>
      <w:r>
        <w:rPr>
          <w:rFonts w:hint="eastAsia" w:ascii="仿宋_GB2312" w:hAnsi="仿宋" w:eastAsia="仿宋_GB2312" w:cs="仿宋"/>
          <w:sz w:val="32"/>
          <w:szCs w:val="32"/>
        </w:rPr>
        <w:t>中国共产党德阳市罗江区委员会统一战线工作部</w:t>
      </w:r>
      <w:r>
        <w:rPr>
          <w:rFonts w:hint="eastAsia" w:ascii="仿宋" w:hAnsi="仿宋" w:eastAsia="仿宋" w:cs="仿宋"/>
          <w:sz w:val="32"/>
          <w:szCs w:val="32"/>
        </w:rPr>
        <w:t>未</w:t>
      </w:r>
      <w:r>
        <w:rPr>
          <w:rFonts w:hint="eastAsia" w:ascii="仿宋_GB2312" w:hAnsi="仿宋_GB2312" w:eastAsia="仿宋_GB2312"/>
          <w:sz w:val="32"/>
          <w:szCs w:val="32"/>
        </w:rPr>
        <w:t>安排政府采购预算。</w:t>
      </w:r>
    </w:p>
    <w:p>
      <w:pPr>
        <w:spacing w:line="560" w:lineRule="exact"/>
        <w:ind w:firstLine="560" w:firstLineChars="175"/>
        <w:rPr>
          <w:rFonts w:ascii="楷体_GB2312" w:hAnsi="楷体_GB2312" w:eastAsia="楷体_GB2312" w:cs="楷体_GB2312"/>
          <w:sz w:val="32"/>
          <w:szCs w:val="32"/>
        </w:rPr>
      </w:pPr>
      <w:r>
        <w:rPr>
          <w:rFonts w:hint="eastAsia" w:ascii="楷体_GB2312" w:hAnsi="楷体_GB2312" w:eastAsia="楷体_GB2312" w:cs="楷体_GB2312"/>
          <w:sz w:val="32"/>
          <w:szCs w:val="32"/>
        </w:rPr>
        <w:t>（三）国有资产占有使用情况</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截至2022年底，</w:t>
      </w:r>
      <w:r>
        <w:rPr>
          <w:rFonts w:hint="eastAsia" w:ascii="仿宋_GB2312" w:hAnsi="仿宋" w:eastAsia="仿宋_GB2312" w:cs="仿宋"/>
          <w:sz w:val="32"/>
          <w:szCs w:val="32"/>
        </w:rPr>
        <w:t>中国共产党德阳市罗江区委员会统一战线工作部</w:t>
      </w:r>
      <w:r>
        <w:rPr>
          <w:rFonts w:hint="eastAsia" w:ascii="仿宋_GB2312" w:hAnsi="仿宋_GB2312" w:eastAsia="仿宋_GB2312"/>
          <w:sz w:val="32"/>
          <w:szCs w:val="32"/>
        </w:rPr>
        <w:t>共有固定资产总额</w:t>
      </w:r>
      <w:r>
        <w:rPr>
          <w:rFonts w:hint="eastAsia" w:ascii="仿宋_GB2312" w:hAnsi="仿宋_GB2312" w:eastAsia="仿宋_GB2312"/>
          <w:color w:val="000000" w:themeColor="text1"/>
          <w:sz w:val="32"/>
          <w:szCs w:val="32"/>
        </w:rPr>
        <w:t>10.64</w:t>
      </w:r>
      <w:r>
        <w:rPr>
          <w:rFonts w:hint="eastAsia" w:ascii="仿宋_GB2312" w:hAnsi="仿宋_GB2312" w:eastAsia="仿宋_GB2312"/>
          <w:sz w:val="32"/>
          <w:szCs w:val="32"/>
        </w:rPr>
        <w:t>万元，其中公务用车0辆，房屋价值0万元，其他固定资产</w:t>
      </w:r>
      <w:r>
        <w:rPr>
          <w:rFonts w:hint="eastAsia" w:ascii="仿宋_GB2312" w:hAnsi="仿宋_GB2312" w:eastAsia="仿宋_GB2312"/>
          <w:color w:val="000000" w:themeColor="text1"/>
          <w:sz w:val="32"/>
          <w:szCs w:val="32"/>
        </w:rPr>
        <w:t>10.64</w:t>
      </w:r>
      <w:r>
        <w:rPr>
          <w:rFonts w:hint="eastAsia" w:ascii="仿宋_GB2312" w:hAnsi="仿宋_GB2312" w:eastAsia="仿宋_GB2312"/>
          <w:sz w:val="32"/>
          <w:szCs w:val="32"/>
        </w:rPr>
        <w:t>万元。</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2023年部门预算未安排购置车辆及单位价值200万元以上大型设备。</w:t>
      </w:r>
    </w:p>
    <w:p>
      <w:pPr>
        <w:spacing w:line="560" w:lineRule="exact"/>
        <w:ind w:firstLine="560" w:firstLineChars="175"/>
        <w:rPr>
          <w:rFonts w:ascii="仿宋_GB2312" w:hAnsi="仿宋_GB2312" w:eastAsia="仿宋_GB2312"/>
          <w:sz w:val="32"/>
          <w:szCs w:val="32"/>
        </w:rPr>
      </w:pPr>
      <w:r>
        <w:rPr>
          <w:rFonts w:hint="eastAsia" w:ascii="楷体_GB2312" w:hAnsi="楷体_GB2312" w:eastAsia="楷体_GB2312" w:cs="楷体_GB2312"/>
          <w:sz w:val="32"/>
          <w:szCs w:val="32"/>
        </w:rPr>
        <w:t>（四）绩效目标设置情况</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2023年</w:t>
      </w:r>
      <w:r>
        <w:rPr>
          <w:rFonts w:hint="eastAsia" w:ascii="仿宋_GB2312" w:hAnsi="仿宋" w:eastAsia="仿宋_GB2312" w:cs="仿宋"/>
          <w:sz w:val="32"/>
          <w:szCs w:val="32"/>
        </w:rPr>
        <w:t>中国共产党德阳市罗江区委员会统一战线工作部</w:t>
      </w:r>
      <w:r>
        <w:rPr>
          <w:rFonts w:hint="eastAsia" w:ascii="仿宋_GB2312" w:hAnsi="仿宋_GB2312" w:eastAsia="仿宋_GB2312"/>
          <w:sz w:val="32"/>
          <w:szCs w:val="32"/>
        </w:rPr>
        <w:t>通用项目和专用项目均按要求实行绩效目标管理，涉及一般公共预算当年拨款</w:t>
      </w:r>
      <w:r>
        <w:rPr>
          <w:rFonts w:hint="eastAsia" w:ascii="仿宋_GB2312" w:hAnsi="仿宋_GB2312" w:eastAsia="仿宋_GB2312"/>
          <w:color w:val="000000" w:themeColor="text1"/>
          <w:sz w:val="32"/>
          <w:szCs w:val="32"/>
        </w:rPr>
        <w:t>50.12</w:t>
      </w:r>
      <w:r>
        <w:rPr>
          <w:rFonts w:hint="eastAsia" w:ascii="仿宋_GB2312" w:hAnsi="仿宋_GB2312" w:eastAsia="仿宋_GB2312"/>
          <w:sz w:val="32"/>
          <w:szCs w:val="32"/>
        </w:rPr>
        <w:t>万元。</w:t>
      </w:r>
    </w:p>
    <w:p>
      <w:pPr>
        <w:spacing w:line="560" w:lineRule="exact"/>
        <w:ind w:firstLine="560" w:firstLineChars="175"/>
        <w:rPr>
          <w:rFonts w:ascii="黑体" w:hAnsi="黑体" w:eastAsia="黑体" w:cs="黑体"/>
          <w:sz w:val="32"/>
          <w:szCs w:val="32"/>
        </w:rPr>
      </w:pPr>
      <w:r>
        <w:rPr>
          <w:rFonts w:hint="eastAsia" w:ascii="黑体" w:hAnsi="黑体" w:eastAsia="黑体" w:cs="黑体"/>
          <w:sz w:val="32"/>
          <w:szCs w:val="32"/>
        </w:rPr>
        <w:t>十、名词解释</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（一）一般公共预算拨款收入：指区级财政当年拨付的资金。</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（二）上年结转：指以前年度尚未完成、结转到本年仍按原规定用途继续使用的资金。</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（三）基本支出：指为保障机构正常运转、完成日常工作任务所必需的人员经费和日常公用经费。</w:t>
      </w:r>
    </w:p>
    <w:p>
      <w:pPr>
        <w:spacing w:line="560" w:lineRule="exact"/>
        <w:ind w:firstLine="560" w:firstLineChars="175"/>
        <w:rPr>
          <w:rFonts w:ascii="仿宋_GB2312" w:hAnsi="仿宋_GB2312" w:eastAsia="仿宋_GB2312"/>
          <w:sz w:val="32"/>
          <w:szCs w:val="32"/>
        </w:rPr>
      </w:pPr>
      <w:r>
        <w:rPr>
          <w:rFonts w:hint="eastAsia" w:ascii="仿宋_GB2312" w:hAnsi="仿宋_GB2312" w:eastAsia="仿宋_GB2312"/>
          <w:sz w:val="32"/>
          <w:szCs w:val="32"/>
        </w:rPr>
        <w:t>（四）项目支出：指在基本支出之外，为完成特定的行政工作任务或事业发展目标所发生的支出。</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五）“三公”经费：是指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（六）社会保障和就业支出—行政事业单位离退休—机关事业单位基本养老保险缴费支出：反映机关事业单位实施养老保险制度由单位缴纳的基本养老保险费支出。</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（七）社会保障和就业支出—其他社会保障和就业支出—其他社会保障和就业支出:反映除上述项目以外其他社会保障和就业方面的支出。</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（八）卫生健康支出—行政事业单位医疗—事业单位医疗:反映财政部门集中安排的事业单位基本医疗保险缴费经费，未参加医疗保险的事业单位的公费医疗经费，按国家规定享受离休人员待遇的医疗经费。</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（九）.住房保障支出—住房改革支出—住房公积金:反映行政事业单位按人力资源和社会保障部、财政部规定的基本工资和津补贴以及规定比例为职工缴纳的住房公积金。</w:t>
      </w:r>
    </w:p>
    <w:p>
      <w:pPr>
        <w:spacing w:line="62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十).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十一）.统战工作经费：开展多党合作、经济统战、党外代表人士、新的社会阶层人士、党外代表人士队伍建设、党外知识分子等统战各领域工作，推动全区统一战线事业蓬勃发展。组织民主党派基层组织领导班子成员集中开展政治学习教育（包括坚持和发展中国特色社会主义学习活动），提升我区党外代表人士思想政治素质和参政议政能力，夯实全区统一战线共同团结奋斗思想基础。</w:t>
      </w: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(十二)</w:t>
      </w:r>
      <w:r>
        <w:rPr>
          <w:rFonts w:hint="eastAsia" w:ascii="仿宋_GB2312" w:eastAsia="仿宋_GB2312"/>
          <w:sz w:val="32"/>
          <w:szCs w:val="32"/>
        </w:rPr>
        <w:t>一般公共服务-民族事务-民族工作专项：指用于民族事务管理方面的专项支出。</w:t>
      </w:r>
    </w:p>
    <w:p>
      <w:pPr>
        <w:spacing w:line="560" w:lineRule="exact"/>
        <w:ind w:firstLine="640" w:firstLineChars="200"/>
        <w:rPr>
          <w:rFonts w:ascii="仿宋_GB2312" w:hAnsi="仿宋_GB2312" w:eastAsia="仿宋_GB2312"/>
          <w:sz w:val="32"/>
          <w:szCs w:val="32"/>
        </w:rPr>
      </w:pPr>
    </w:p>
    <w:p>
      <w:pPr>
        <w:spacing w:line="560" w:lineRule="exact"/>
        <w:ind w:firstLine="640" w:firstLineChars="200"/>
        <w:rPr>
          <w:rFonts w:ascii="仿宋_GB2312" w:hAnsi="仿宋_GB2312" w:eastAsia="仿宋_GB2312"/>
          <w:sz w:val="32"/>
          <w:szCs w:val="32"/>
        </w:rPr>
      </w:pPr>
    </w:p>
    <w:p>
      <w:pPr>
        <w:spacing w:line="560" w:lineRule="exact"/>
        <w:ind w:firstLine="640" w:firstLineChars="200"/>
        <w:rPr>
          <w:rFonts w:ascii="仿宋_GB2312" w:hAnsi="仿宋_GB2312" w:eastAsia="仿宋_GB2312"/>
          <w:sz w:val="32"/>
          <w:szCs w:val="32"/>
        </w:rPr>
      </w:pPr>
    </w:p>
    <w:p>
      <w:pPr>
        <w:spacing w:line="560" w:lineRule="exact"/>
        <w:ind w:firstLine="640" w:firstLineChars="200"/>
        <w:rPr>
          <w:rFonts w:ascii="仿宋_GB2312" w:hAnsi="仿宋_GB2312" w:eastAsia="仿宋_GB2312"/>
          <w:sz w:val="32"/>
          <w:szCs w:val="32"/>
        </w:rPr>
      </w:pPr>
    </w:p>
    <w:p>
      <w:pPr>
        <w:spacing w:line="56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附件：1.中共德阳市罗江区委统战部2023年部门预算公开表（见附件目录）</w:t>
      </w:r>
    </w:p>
    <w:p>
      <w:pPr>
        <w:spacing w:line="560" w:lineRule="exact"/>
        <w:ind w:firstLine="1600" w:firstLineChars="500"/>
        <w:rPr>
          <w:rFonts w:ascii="仿宋_GB2312" w:hAnsi="仿宋_GB2312" w:eastAsia="仿宋_GB2312"/>
          <w:sz w:val="32"/>
          <w:szCs w:val="32"/>
        </w:rPr>
      </w:pPr>
      <w:r>
        <w:rPr>
          <w:rFonts w:hint="eastAsia" w:ascii="仿宋_GB2312" w:hAnsi="仿宋_GB2312" w:eastAsia="仿宋_GB2312"/>
          <w:sz w:val="32"/>
          <w:szCs w:val="32"/>
        </w:rPr>
        <w:t>2.部门整体支出绩效目标公开表</w:t>
      </w:r>
    </w:p>
    <w:p>
      <w:pPr>
        <w:spacing w:line="560" w:lineRule="exact"/>
        <w:ind w:firstLine="1600" w:firstLineChars="500"/>
        <w:rPr>
          <w:rFonts w:ascii="仿宋_GB2312" w:hAnsi="仿宋_GB2312" w:eastAsia="仿宋_GB2312"/>
          <w:sz w:val="32"/>
          <w:szCs w:val="32"/>
        </w:rPr>
      </w:pPr>
      <w:r>
        <w:rPr>
          <w:rFonts w:hint="eastAsia" w:ascii="仿宋_GB2312" w:hAnsi="仿宋_GB2312" w:eastAsia="仿宋_GB2312"/>
          <w:sz w:val="32"/>
          <w:szCs w:val="32"/>
        </w:rPr>
        <w:t>3.部门预算项目支出绩效目标公开表</w:t>
      </w:r>
    </w:p>
    <w:p>
      <w:pPr>
        <w:spacing w:line="560" w:lineRule="exact"/>
        <w:rPr>
          <w:rFonts w:ascii="黑体" w:hAnsi="黑体" w:eastAsia="黑体" w:cs="黑体"/>
          <w:sz w:val="32"/>
          <w:szCs w:val="32"/>
        </w:rPr>
        <w:sectPr>
          <w:footerReference r:id="rId4" w:type="default"/>
          <w:pgSz w:w="11906" w:h="16838"/>
          <w:pgMar w:top="1440" w:right="1800" w:bottom="1440" w:left="1800" w:header="851" w:footer="992" w:gutter="0"/>
          <w:pgNumType w:start="1"/>
          <w:cols w:space="425" w:num="1"/>
          <w:docGrid w:type="lines" w:linePitch="312" w:charSpace="0"/>
        </w:sectPr>
      </w:pPr>
    </w:p>
    <w:p>
      <w:pPr>
        <w:spacing w:line="560" w:lineRule="exact"/>
        <w:ind w:firstLine="2240" w:firstLineChars="700"/>
        <w:rPr>
          <w:rFonts w:ascii="黑体" w:hAnsi="黑体" w:eastAsia="黑体" w:cs="黑体"/>
          <w:sz w:val="32"/>
          <w:szCs w:val="32"/>
        </w:rPr>
      </w:pPr>
      <w:r>
        <w:rPr>
          <w:rFonts w:hint="eastAsia" w:ascii="黑体" w:hAnsi="黑体" w:eastAsia="黑体" w:cs="黑体"/>
          <w:sz w:val="32"/>
          <w:szCs w:val="32"/>
        </w:rPr>
        <w:t>2023年部门预算公开表目录</w:t>
      </w:r>
    </w:p>
    <w:p>
      <w:pPr>
        <w:pStyle w:val="11"/>
      </w:pPr>
    </w:p>
    <w:p>
      <w:pPr>
        <w:numPr>
          <w:ilvl w:val="0"/>
          <w:numId w:val="1"/>
        </w:numPr>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部门收支总表</w:t>
      </w:r>
    </w:p>
    <w:p>
      <w:pPr>
        <w:numPr>
          <w:ilvl w:val="1"/>
          <w:numId w:val="2"/>
        </w:numPr>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部门收入总表</w:t>
      </w:r>
    </w:p>
    <w:p>
      <w:pPr>
        <w:numPr>
          <w:ilvl w:val="1"/>
          <w:numId w:val="2"/>
        </w:numPr>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部门支出总表</w:t>
      </w:r>
    </w:p>
    <w:p>
      <w:pPr>
        <w:numPr>
          <w:ilvl w:val="0"/>
          <w:numId w:val="2"/>
        </w:numPr>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财政拨款收支预算总表</w:t>
      </w:r>
    </w:p>
    <w:p>
      <w:pPr>
        <w:numPr>
          <w:ilvl w:val="1"/>
          <w:numId w:val="2"/>
        </w:numPr>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财政拨款支出预算表（政府经济分类科目）</w:t>
      </w:r>
    </w:p>
    <w:p>
      <w:pPr>
        <w:numPr>
          <w:ilvl w:val="0"/>
          <w:numId w:val="2"/>
        </w:numPr>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一般公共预算支出预算表</w:t>
      </w:r>
    </w:p>
    <w:p>
      <w:pPr>
        <w:numPr>
          <w:ilvl w:val="1"/>
          <w:numId w:val="2"/>
        </w:numPr>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一般公共预算基本支出预算表</w:t>
      </w:r>
    </w:p>
    <w:p>
      <w:pPr>
        <w:numPr>
          <w:ilvl w:val="1"/>
          <w:numId w:val="2"/>
        </w:numPr>
        <w:spacing w:line="560" w:lineRule="exact"/>
        <w:ind w:firstLine="640" w:firstLineChars="200"/>
        <w:jc w:val="left"/>
        <w:rPr>
          <w:rFonts w:ascii="仿宋_GB2312" w:hAnsi="仿宋_GB2312" w:eastAsia="仿宋_GB2312"/>
          <w:sz w:val="32"/>
          <w:szCs w:val="32"/>
        </w:rPr>
      </w:pPr>
      <w:r>
        <w:rPr>
          <w:rFonts w:ascii="仿宋_GB2312" w:hAnsi="仿宋_GB2312" w:eastAsia="仿宋_GB2312"/>
          <w:sz w:val="32"/>
          <w:szCs w:val="32"/>
        </w:rPr>
        <w:t>一般公共预算项目支出预算表</w:t>
      </w:r>
    </w:p>
    <w:p>
      <w:pPr>
        <w:numPr>
          <w:ilvl w:val="1"/>
          <w:numId w:val="2"/>
        </w:numPr>
        <w:spacing w:line="560" w:lineRule="exact"/>
        <w:ind w:firstLine="640" w:firstLineChars="200"/>
        <w:jc w:val="left"/>
        <w:rPr>
          <w:rFonts w:ascii="仿宋_GB2312" w:hAnsi="仿宋_GB2312" w:eastAsia="仿宋_GB2312"/>
          <w:sz w:val="32"/>
          <w:szCs w:val="32"/>
        </w:rPr>
      </w:pPr>
      <w:r>
        <w:rPr>
          <w:rFonts w:ascii="仿宋_GB2312" w:hAnsi="仿宋_GB2312" w:eastAsia="仿宋_GB2312"/>
          <w:sz w:val="32"/>
          <w:szCs w:val="32"/>
        </w:rPr>
        <w:t>一般公共预算“三公”经费支出预算表</w:t>
      </w:r>
    </w:p>
    <w:p>
      <w:pPr>
        <w:numPr>
          <w:ilvl w:val="0"/>
          <w:numId w:val="2"/>
        </w:numPr>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政府性基金支出预算表</w:t>
      </w:r>
    </w:p>
    <w:p>
      <w:pPr>
        <w:numPr>
          <w:ilvl w:val="1"/>
          <w:numId w:val="2"/>
        </w:numPr>
        <w:spacing w:line="560" w:lineRule="exact"/>
        <w:ind w:firstLine="640" w:firstLineChars="200"/>
        <w:jc w:val="left"/>
        <w:rPr>
          <w:rFonts w:ascii="仿宋_GB2312" w:hAnsi="仿宋_GB2312" w:eastAsia="仿宋_GB2312"/>
          <w:sz w:val="32"/>
          <w:szCs w:val="32"/>
        </w:rPr>
      </w:pPr>
      <w:r>
        <w:rPr>
          <w:rFonts w:ascii="仿宋_GB2312" w:hAnsi="仿宋_GB2312" w:eastAsia="仿宋_GB2312"/>
          <w:sz w:val="32"/>
          <w:szCs w:val="32"/>
        </w:rPr>
        <w:t>政府性基金预算“三公”经费支出预算表</w:t>
      </w:r>
    </w:p>
    <w:p>
      <w:pPr>
        <w:numPr>
          <w:ilvl w:val="0"/>
          <w:numId w:val="2"/>
        </w:numPr>
        <w:spacing w:line="560" w:lineRule="exact"/>
        <w:ind w:firstLine="640" w:firstLineChars="200"/>
        <w:jc w:val="left"/>
        <w:rPr>
          <w:rFonts w:ascii="仿宋_GB2312" w:hAnsi="仿宋_GB2312" w:eastAsia="仿宋_GB2312"/>
          <w:sz w:val="32"/>
          <w:szCs w:val="32"/>
        </w:rPr>
      </w:pPr>
      <w:r>
        <w:rPr>
          <w:rFonts w:hint="eastAsia" w:ascii="仿宋_GB2312" w:hAnsi="仿宋_GB2312" w:eastAsia="仿宋_GB2312"/>
          <w:sz w:val="32"/>
          <w:szCs w:val="32"/>
        </w:rPr>
        <w:t>国有资本经营预算支出预算表</w:t>
      </w:r>
    </w:p>
    <w:p>
      <w:pPr>
        <w:pStyle w:val="11"/>
        <w:ind w:firstLine="640" w:firstLineChars="200"/>
        <w:rPr>
          <w:rFonts w:ascii="仿宋_GB2312" w:hAnsi="仿宋_GB2312" w:eastAsia="仿宋_GB2312"/>
          <w:sz w:val="32"/>
          <w:szCs w:val="32"/>
        </w:rPr>
      </w:pPr>
    </w:p>
    <w:p>
      <w:pPr>
        <w:spacing w:line="620" w:lineRule="exact"/>
        <w:ind w:firstLine="640" w:firstLineChars="200"/>
        <w:rPr>
          <w:rFonts w:ascii="仿宋_GB2312" w:hAnsi="仿宋_GB2312" w:eastAsia="仿宋_GB2312"/>
          <w:sz w:val="32"/>
          <w:szCs w:val="32"/>
        </w:rPr>
      </w:pPr>
    </w:p>
    <w:p>
      <w:pPr>
        <w:spacing w:line="560" w:lineRule="exact"/>
        <w:ind w:firstLine="560" w:firstLineChars="175"/>
        <w:rPr>
          <w:rFonts w:ascii="仿宋_GB2312" w:hAnsi="仿宋_GB2312" w:eastAsia="仿宋_GB2312"/>
          <w:sz w:val="32"/>
          <w:szCs w:val="32"/>
        </w:rPr>
      </w:pPr>
    </w:p>
    <w:p>
      <w:pPr>
        <w:spacing w:line="560" w:lineRule="exact"/>
        <w:rPr>
          <w:rFonts w:ascii="仿宋_GB2312" w:hAnsi="仿宋_GB2312" w:eastAsia="仿宋_GB2312"/>
          <w:sz w:val="32"/>
          <w:szCs w:val="32"/>
        </w:rPr>
      </w:pPr>
    </w:p>
    <w:p>
      <w:pPr>
        <w:spacing w:line="560" w:lineRule="exact"/>
        <w:ind w:firstLine="640" w:firstLineChars="200"/>
        <w:rPr>
          <w:rFonts w:ascii="仿宋_GB2312" w:hAnsi="仿宋_GB2312" w:eastAsia="仿宋_GB2312"/>
          <w:sz w:val="32"/>
          <w:szCs w:val="32"/>
        </w:rPr>
      </w:pPr>
    </w:p>
    <w:p>
      <w:pPr>
        <w:spacing w:line="560" w:lineRule="exact"/>
        <w:ind w:firstLine="1600" w:firstLineChars="500"/>
        <w:rPr>
          <w:rFonts w:ascii="仿宋_GB2312" w:hAnsi="仿宋_GB2312" w:eastAsia="仿宋_GB2312"/>
          <w:sz w:val="32"/>
          <w:szCs w:val="32"/>
        </w:rPr>
      </w:pPr>
      <w:r>
        <w:rPr>
          <w:rFonts w:hint="eastAsia" w:ascii="仿宋_GB2312" w:hAnsi="仿宋" w:eastAsia="仿宋_GB2312" w:cs="仿宋"/>
          <w:sz w:val="32"/>
          <w:szCs w:val="32"/>
        </w:rPr>
        <w:t>中国共产党德阳市罗江区委员会统一战线工作部</w:t>
      </w:r>
    </w:p>
    <w:p>
      <w:pPr>
        <w:spacing w:line="560" w:lineRule="exact"/>
        <w:ind w:firstLine="5760" w:firstLineChars="1800"/>
        <w:rPr>
          <w:rFonts w:ascii="仿宋_GB2312" w:hAnsi="仿宋_GB2312" w:eastAsia="仿宋_GB2312"/>
          <w:sz w:val="32"/>
          <w:szCs w:val="32"/>
        </w:rPr>
      </w:pPr>
      <w:r>
        <w:rPr>
          <w:rFonts w:hint="eastAsia" w:ascii="仿宋_GB2312" w:hAnsi="仿宋_GB2312" w:eastAsia="仿宋_GB2312"/>
          <w:sz w:val="32"/>
          <w:szCs w:val="32"/>
        </w:rPr>
        <w:t>2023年1月20日</w:t>
      </w:r>
    </w:p>
    <w:p/>
    <w:sectPr>
      <w:footerReference r:id="rId5" w:type="default"/>
      <w:pgSz w:w="11906" w:h="16838"/>
      <w:pgMar w:top="2098" w:right="1474" w:bottom="1440" w:left="1588" w:header="851" w:footer="992" w:gutter="0"/>
      <w:pgNumType w:fmt="numberInDash"/>
      <w:cols w:space="425" w:num="1"/>
      <w:docGrid w:type="lines" w:linePitch="65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82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5"/>
                </w:pPr>
                <w:r>
                  <w:rPr>
                    <w:rFonts w:ascii="Times New Roman"/>
                    <w:sz w:val="28"/>
                    <w:szCs w:val="28"/>
                  </w:rPr>
                  <w:fldChar w:fldCharType="begin"/>
                </w:r>
                <w:r>
                  <w:rPr>
                    <w:rFonts w:ascii="Times New Roman"/>
                    <w:sz w:val="28"/>
                    <w:szCs w:val="28"/>
                  </w:rPr>
                  <w:instrText xml:space="preserve"> PAGE  \* MERGEFORMAT </w:instrText>
                </w:r>
                <w:r>
                  <w:rPr>
                    <w:rFonts w:ascii="Times New Roman"/>
                    <w:sz w:val="28"/>
                    <w:szCs w:val="28"/>
                  </w:rPr>
                  <w:fldChar w:fldCharType="separate"/>
                </w:r>
                <w:r>
                  <w:rPr>
                    <w:rFonts w:ascii="Times New Roman"/>
                    <w:sz w:val="28"/>
                    <w:szCs w:val="28"/>
                  </w:rPr>
                  <w:t>- 17 -</w:t>
                </w:r>
                <w:r>
                  <w:rPr>
                    <w:rFonts w:ascii="Times New Roman"/>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7944F"/>
    <w:multiLevelType w:val="multilevel"/>
    <w:tmpl w:val="14A7944F"/>
    <w:lvl w:ilvl="0" w:tentative="0">
      <w:start w:val="1"/>
      <w:numFmt w:val="decimal"/>
      <w:lvlText w:val="%1."/>
      <w:lvlJc w:val="left"/>
      <w:pPr>
        <w:tabs>
          <w:tab w:val="left" w:pos="312"/>
        </w:tabs>
        <w:ind w:left="0" w:firstLine="0"/>
      </w:pPr>
      <w:rPr>
        <w:rFonts w:hint="default"/>
      </w:rPr>
    </w:lvl>
    <w:lvl w:ilvl="1" w:tentative="0">
      <w:start w:val="1"/>
      <w:numFmt w:val="decimal"/>
      <w:lvlText w:val="%1-%2."/>
      <w:lvlJc w:val="left"/>
      <w:pPr>
        <w:tabs>
          <w:tab w:val="left" w:pos="312"/>
        </w:tabs>
        <w:ind w:left="0" w:firstLine="0"/>
      </w:pPr>
      <w:rPr>
        <w:rFonts w:hint="default"/>
      </w:rPr>
    </w:lvl>
    <w:lvl w:ilvl="2" w:tentative="0">
      <w:start w:val="1"/>
      <w:numFmt w:val="decimal"/>
      <w:lvlText w:val="%1-%2.%3."/>
      <w:lvlJc w:val="left"/>
      <w:pPr>
        <w:tabs>
          <w:tab w:val="left" w:pos="312"/>
        </w:tabs>
        <w:ind w:left="0" w:firstLine="0"/>
      </w:pPr>
      <w:rPr>
        <w:rFonts w:hint="default"/>
      </w:rPr>
    </w:lvl>
    <w:lvl w:ilvl="3" w:tentative="0">
      <w:start w:val="1"/>
      <w:numFmt w:val="decimal"/>
      <w:lvlText w:val="%1-%2.%3.%4."/>
      <w:lvlJc w:val="left"/>
      <w:pPr>
        <w:tabs>
          <w:tab w:val="left" w:pos="312"/>
        </w:tabs>
        <w:ind w:left="0" w:firstLine="0"/>
      </w:pPr>
      <w:rPr>
        <w:rFonts w:hint="default"/>
      </w:rPr>
    </w:lvl>
    <w:lvl w:ilvl="4" w:tentative="0">
      <w:start w:val="1"/>
      <w:numFmt w:val="decimal"/>
      <w:lvlText w:val="%1-%2.%3.%4.%5."/>
      <w:lvlJc w:val="left"/>
      <w:pPr>
        <w:tabs>
          <w:tab w:val="left" w:pos="312"/>
        </w:tabs>
        <w:ind w:left="0" w:firstLine="0"/>
      </w:pPr>
      <w:rPr>
        <w:rFonts w:hint="default"/>
      </w:rPr>
    </w:lvl>
    <w:lvl w:ilvl="5" w:tentative="0">
      <w:start w:val="1"/>
      <w:numFmt w:val="decimal"/>
      <w:lvlText w:val="%1-%2.%3.%4.%5.%6."/>
      <w:lvlJc w:val="left"/>
      <w:pPr>
        <w:tabs>
          <w:tab w:val="left" w:pos="312"/>
        </w:tabs>
        <w:ind w:left="0" w:firstLine="0"/>
      </w:pPr>
      <w:rPr>
        <w:rFonts w:hint="default"/>
      </w:rPr>
    </w:lvl>
    <w:lvl w:ilvl="6" w:tentative="0">
      <w:start w:val="1"/>
      <w:numFmt w:val="decimal"/>
      <w:lvlText w:val="%1-%2.%3.%4.%5.%6.%7."/>
      <w:lvlJc w:val="left"/>
      <w:pPr>
        <w:tabs>
          <w:tab w:val="left" w:pos="312"/>
        </w:tabs>
        <w:ind w:left="0" w:firstLine="0"/>
      </w:pPr>
      <w:rPr>
        <w:rFonts w:hint="default"/>
      </w:rPr>
    </w:lvl>
    <w:lvl w:ilvl="7" w:tentative="0">
      <w:start w:val="1"/>
      <w:numFmt w:val="decimal"/>
      <w:lvlText w:val="%1-%2.%3.%4.%5.%6.%7.%8."/>
      <w:lvlJc w:val="left"/>
      <w:pPr>
        <w:tabs>
          <w:tab w:val="left" w:pos="312"/>
        </w:tabs>
        <w:ind w:left="0" w:firstLine="0"/>
      </w:pPr>
      <w:rPr>
        <w:rFonts w:hint="default"/>
      </w:rPr>
    </w:lvl>
    <w:lvl w:ilvl="8" w:tentative="0">
      <w:start w:val="1"/>
      <w:numFmt w:val="decimal"/>
      <w:lvlText w:val="%1-%2.%3.%4.%5.%6.%7.%8.%9."/>
      <w:lvlJc w:val="left"/>
      <w:pPr>
        <w:tabs>
          <w:tab w:val="left" w:pos="312"/>
        </w:tabs>
        <w:ind w:left="0" w:firstLine="0"/>
      </w:pPr>
      <w:rPr>
        <w:rFonts w:hint="default"/>
      </w:rPr>
    </w:lvl>
  </w:abstractNum>
  <w:abstractNum w:abstractNumId="1">
    <w:nsid w:val="44197BEA"/>
    <w:multiLevelType w:val="singleLevel"/>
    <w:tmpl w:val="44197BEA"/>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240"/>
  <w:drawingGridVerticalSpacing w:val="653"/>
  <w:displayHorizontalDrawingGridEvery w:val="0"/>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4E4A63"/>
    <w:rsid w:val="00075F03"/>
    <w:rsid w:val="0008175D"/>
    <w:rsid w:val="000D5695"/>
    <w:rsid w:val="00107AF7"/>
    <w:rsid w:val="00174C70"/>
    <w:rsid w:val="001A5E61"/>
    <w:rsid w:val="001B4FD1"/>
    <w:rsid w:val="001F59C4"/>
    <w:rsid w:val="00202A4E"/>
    <w:rsid w:val="0021288B"/>
    <w:rsid w:val="00245794"/>
    <w:rsid w:val="002655CE"/>
    <w:rsid w:val="002D17ED"/>
    <w:rsid w:val="002F6687"/>
    <w:rsid w:val="00325291"/>
    <w:rsid w:val="003348E6"/>
    <w:rsid w:val="00336B03"/>
    <w:rsid w:val="00346975"/>
    <w:rsid w:val="00350EFA"/>
    <w:rsid w:val="00363AC0"/>
    <w:rsid w:val="00366791"/>
    <w:rsid w:val="00371980"/>
    <w:rsid w:val="003A29B8"/>
    <w:rsid w:val="003B021E"/>
    <w:rsid w:val="003C3505"/>
    <w:rsid w:val="003D6A06"/>
    <w:rsid w:val="0041691A"/>
    <w:rsid w:val="00470A9D"/>
    <w:rsid w:val="004B1E5F"/>
    <w:rsid w:val="004B52FA"/>
    <w:rsid w:val="004C358B"/>
    <w:rsid w:val="004D53A9"/>
    <w:rsid w:val="004E4A63"/>
    <w:rsid w:val="00504316"/>
    <w:rsid w:val="00530995"/>
    <w:rsid w:val="00563314"/>
    <w:rsid w:val="005A0F05"/>
    <w:rsid w:val="005A2211"/>
    <w:rsid w:val="005E6F8E"/>
    <w:rsid w:val="00640CC1"/>
    <w:rsid w:val="006F4FAF"/>
    <w:rsid w:val="006F7621"/>
    <w:rsid w:val="007225E2"/>
    <w:rsid w:val="007365C4"/>
    <w:rsid w:val="00740884"/>
    <w:rsid w:val="007545C0"/>
    <w:rsid w:val="00790819"/>
    <w:rsid w:val="007C595E"/>
    <w:rsid w:val="007E1B2C"/>
    <w:rsid w:val="007E7E95"/>
    <w:rsid w:val="0088501B"/>
    <w:rsid w:val="00894F46"/>
    <w:rsid w:val="00897586"/>
    <w:rsid w:val="008A42CE"/>
    <w:rsid w:val="008F0830"/>
    <w:rsid w:val="008F70DC"/>
    <w:rsid w:val="009049CB"/>
    <w:rsid w:val="00933755"/>
    <w:rsid w:val="009954A3"/>
    <w:rsid w:val="009D268B"/>
    <w:rsid w:val="009D554C"/>
    <w:rsid w:val="009E7E2D"/>
    <w:rsid w:val="00A35F1B"/>
    <w:rsid w:val="00A46B69"/>
    <w:rsid w:val="00A51464"/>
    <w:rsid w:val="00A5551E"/>
    <w:rsid w:val="00A60A56"/>
    <w:rsid w:val="00AB41D3"/>
    <w:rsid w:val="00AF054B"/>
    <w:rsid w:val="00B14C47"/>
    <w:rsid w:val="00B857E4"/>
    <w:rsid w:val="00BD7C8D"/>
    <w:rsid w:val="00C04E77"/>
    <w:rsid w:val="00C279AD"/>
    <w:rsid w:val="00C44495"/>
    <w:rsid w:val="00C725ED"/>
    <w:rsid w:val="00C91149"/>
    <w:rsid w:val="00C96FDA"/>
    <w:rsid w:val="00D1359D"/>
    <w:rsid w:val="00D14665"/>
    <w:rsid w:val="00D317DC"/>
    <w:rsid w:val="00D74F2A"/>
    <w:rsid w:val="00D75462"/>
    <w:rsid w:val="00DB2ABB"/>
    <w:rsid w:val="00DB6870"/>
    <w:rsid w:val="00DC34F5"/>
    <w:rsid w:val="00DC72D9"/>
    <w:rsid w:val="00E37363"/>
    <w:rsid w:val="00E616A9"/>
    <w:rsid w:val="00E67A01"/>
    <w:rsid w:val="00EC589F"/>
    <w:rsid w:val="00EE23D3"/>
    <w:rsid w:val="00F13F93"/>
    <w:rsid w:val="00F5639B"/>
    <w:rsid w:val="00FD2791"/>
    <w:rsid w:val="00FD2F29"/>
    <w:rsid w:val="01931A7A"/>
    <w:rsid w:val="0263342B"/>
    <w:rsid w:val="03867C62"/>
    <w:rsid w:val="047B3974"/>
    <w:rsid w:val="06A554BA"/>
    <w:rsid w:val="06BE7809"/>
    <w:rsid w:val="0762768A"/>
    <w:rsid w:val="079B1979"/>
    <w:rsid w:val="0804563C"/>
    <w:rsid w:val="09466E0E"/>
    <w:rsid w:val="09C35DE9"/>
    <w:rsid w:val="0A70027D"/>
    <w:rsid w:val="0B6E5EF2"/>
    <w:rsid w:val="0B756AA3"/>
    <w:rsid w:val="0B962F36"/>
    <w:rsid w:val="0BD4479E"/>
    <w:rsid w:val="0C1C0FEB"/>
    <w:rsid w:val="0CBC3A4D"/>
    <w:rsid w:val="0CC27880"/>
    <w:rsid w:val="0E2374E7"/>
    <w:rsid w:val="0EBE6090"/>
    <w:rsid w:val="0F983184"/>
    <w:rsid w:val="11AE0861"/>
    <w:rsid w:val="11EE1019"/>
    <w:rsid w:val="127A11BD"/>
    <w:rsid w:val="12D8284A"/>
    <w:rsid w:val="13522181"/>
    <w:rsid w:val="1405445D"/>
    <w:rsid w:val="140C6563"/>
    <w:rsid w:val="141F4039"/>
    <w:rsid w:val="149124DE"/>
    <w:rsid w:val="15FE3425"/>
    <w:rsid w:val="16A31386"/>
    <w:rsid w:val="17C22D3B"/>
    <w:rsid w:val="181B1278"/>
    <w:rsid w:val="182A7AB8"/>
    <w:rsid w:val="18E6569C"/>
    <w:rsid w:val="19177058"/>
    <w:rsid w:val="1A5D504F"/>
    <w:rsid w:val="1A8B57AF"/>
    <w:rsid w:val="1ACC7235"/>
    <w:rsid w:val="1AFA1B0D"/>
    <w:rsid w:val="1B9B0D22"/>
    <w:rsid w:val="1C6B345E"/>
    <w:rsid w:val="1DB10615"/>
    <w:rsid w:val="1F8D7DE0"/>
    <w:rsid w:val="1FCE268A"/>
    <w:rsid w:val="20053D12"/>
    <w:rsid w:val="20AF5D09"/>
    <w:rsid w:val="20E43AE0"/>
    <w:rsid w:val="21FB537E"/>
    <w:rsid w:val="2308559B"/>
    <w:rsid w:val="243574A8"/>
    <w:rsid w:val="2594035B"/>
    <w:rsid w:val="25F5025E"/>
    <w:rsid w:val="276C32DC"/>
    <w:rsid w:val="278B6B19"/>
    <w:rsid w:val="279E3BC3"/>
    <w:rsid w:val="28B91A49"/>
    <w:rsid w:val="2A8B0F15"/>
    <w:rsid w:val="2AE766AE"/>
    <w:rsid w:val="2BA41123"/>
    <w:rsid w:val="2C6427D8"/>
    <w:rsid w:val="2C891547"/>
    <w:rsid w:val="2CBD626F"/>
    <w:rsid w:val="2CBD72B2"/>
    <w:rsid w:val="2CCF3B88"/>
    <w:rsid w:val="2CE21332"/>
    <w:rsid w:val="2D164231"/>
    <w:rsid w:val="2D6B2538"/>
    <w:rsid w:val="2E4A2493"/>
    <w:rsid w:val="2F562324"/>
    <w:rsid w:val="2F9E4863"/>
    <w:rsid w:val="2FA97282"/>
    <w:rsid w:val="30251F58"/>
    <w:rsid w:val="30FF3249"/>
    <w:rsid w:val="31833D18"/>
    <w:rsid w:val="322763FA"/>
    <w:rsid w:val="323973A4"/>
    <w:rsid w:val="33305B2F"/>
    <w:rsid w:val="33E91792"/>
    <w:rsid w:val="343B314A"/>
    <w:rsid w:val="345948B4"/>
    <w:rsid w:val="35EA0FB2"/>
    <w:rsid w:val="368308DE"/>
    <w:rsid w:val="37163762"/>
    <w:rsid w:val="37267BE9"/>
    <w:rsid w:val="375676F8"/>
    <w:rsid w:val="383F44DD"/>
    <w:rsid w:val="38D27C77"/>
    <w:rsid w:val="3A3609EE"/>
    <w:rsid w:val="3AAD4293"/>
    <w:rsid w:val="3D214A78"/>
    <w:rsid w:val="406E0230"/>
    <w:rsid w:val="419C13AD"/>
    <w:rsid w:val="42873275"/>
    <w:rsid w:val="42991D01"/>
    <w:rsid w:val="43CA799A"/>
    <w:rsid w:val="44664AEE"/>
    <w:rsid w:val="44E1584B"/>
    <w:rsid w:val="453963C7"/>
    <w:rsid w:val="45C55642"/>
    <w:rsid w:val="45F95CB8"/>
    <w:rsid w:val="463504A3"/>
    <w:rsid w:val="4710125C"/>
    <w:rsid w:val="4749326E"/>
    <w:rsid w:val="478268F7"/>
    <w:rsid w:val="489F6A9A"/>
    <w:rsid w:val="49A439AA"/>
    <w:rsid w:val="49AC7DB4"/>
    <w:rsid w:val="4A210407"/>
    <w:rsid w:val="4B7C7FB4"/>
    <w:rsid w:val="4BE707D1"/>
    <w:rsid w:val="4C3C493B"/>
    <w:rsid w:val="4C75436A"/>
    <w:rsid w:val="4D116521"/>
    <w:rsid w:val="4D4F2ADD"/>
    <w:rsid w:val="4D7B090A"/>
    <w:rsid w:val="4DA94944"/>
    <w:rsid w:val="4F392969"/>
    <w:rsid w:val="50B80CD3"/>
    <w:rsid w:val="51863E39"/>
    <w:rsid w:val="52C91BA2"/>
    <w:rsid w:val="54211CDD"/>
    <w:rsid w:val="54502E78"/>
    <w:rsid w:val="54727A54"/>
    <w:rsid w:val="55580CE4"/>
    <w:rsid w:val="55831F70"/>
    <w:rsid w:val="560D52F9"/>
    <w:rsid w:val="572C101E"/>
    <w:rsid w:val="58783366"/>
    <w:rsid w:val="589B15BC"/>
    <w:rsid w:val="58A8286D"/>
    <w:rsid w:val="5A62497B"/>
    <w:rsid w:val="5B1131A1"/>
    <w:rsid w:val="5B33550F"/>
    <w:rsid w:val="5B6A3767"/>
    <w:rsid w:val="5B7D7C80"/>
    <w:rsid w:val="5C340403"/>
    <w:rsid w:val="5CF5756E"/>
    <w:rsid w:val="5D0E652C"/>
    <w:rsid w:val="5D5C4696"/>
    <w:rsid w:val="5DCF7E02"/>
    <w:rsid w:val="5E567F17"/>
    <w:rsid w:val="60413BA2"/>
    <w:rsid w:val="6073016A"/>
    <w:rsid w:val="60F24756"/>
    <w:rsid w:val="61446A79"/>
    <w:rsid w:val="61526F41"/>
    <w:rsid w:val="62125B81"/>
    <w:rsid w:val="623018E7"/>
    <w:rsid w:val="62371616"/>
    <w:rsid w:val="6381756F"/>
    <w:rsid w:val="63885591"/>
    <w:rsid w:val="63957AA8"/>
    <w:rsid w:val="63CF648E"/>
    <w:rsid w:val="6445749F"/>
    <w:rsid w:val="64782CAC"/>
    <w:rsid w:val="64D56B9C"/>
    <w:rsid w:val="651C2BDB"/>
    <w:rsid w:val="655023FE"/>
    <w:rsid w:val="65E61F02"/>
    <w:rsid w:val="6683755F"/>
    <w:rsid w:val="66A4196D"/>
    <w:rsid w:val="66C1648E"/>
    <w:rsid w:val="671E6599"/>
    <w:rsid w:val="672018DC"/>
    <w:rsid w:val="67D6083C"/>
    <w:rsid w:val="68AF6725"/>
    <w:rsid w:val="69CC5BFE"/>
    <w:rsid w:val="6B3B529C"/>
    <w:rsid w:val="6B672895"/>
    <w:rsid w:val="6B8A763D"/>
    <w:rsid w:val="6C154E7A"/>
    <w:rsid w:val="6CBE72BE"/>
    <w:rsid w:val="6D3A2616"/>
    <w:rsid w:val="6EA6584B"/>
    <w:rsid w:val="6EB90FF7"/>
    <w:rsid w:val="6F0540AD"/>
    <w:rsid w:val="6F305B50"/>
    <w:rsid w:val="6F3B556D"/>
    <w:rsid w:val="6F452983"/>
    <w:rsid w:val="6F9D54EF"/>
    <w:rsid w:val="6FD103EA"/>
    <w:rsid w:val="6FF74ED4"/>
    <w:rsid w:val="700E4CC8"/>
    <w:rsid w:val="707B12DA"/>
    <w:rsid w:val="70A76566"/>
    <w:rsid w:val="70D73FBC"/>
    <w:rsid w:val="70F1703F"/>
    <w:rsid w:val="71671CC3"/>
    <w:rsid w:val="71DE0F56"/>
    <w:rsid w:val="72AA315A"/>
    <w:rsid w:val="740F384B"/>
    <w:rsid w:val="74275199"/>
    <w:rsid w:val="745D2E01"/>
    <w:rsid w:val="758263A8"/>
    <w:rsid w:val="75B63CC9"/>
    <w:rsid w:val="75E632D3"/>
    <w:rsid w:val="76CC4781"/>
    <w:rsid w:val="77103EEA"/>
    <w:rsid w:val="777B25CE"/>
    <w:rsid w:val="77EC09DF"/>
    <w:rsid w:val="788429CC"/>
    <w:rsid w:val="78C81DD1"/>
    <w:rsid w:val="79AA3594"/>
    <w:rsid w:val="7B0E5F2D"/>
    <w:rsid w:val="7C0D6E90"/>
    <w:rsid w:val="7E126F5E"/>
    <w:rsid w:val="7E2E3A00"/>
    <w:rsid w:val="7E3646C3"/>
    <w:rsid w:val="7E6B2833"/>
    <w:rsid w:val="7EB67EF6"/>
    <w:rsid w:val="7F3E0425"/>
    <w:rsid w:val="7F7D47B2"/>
    <w:rsid w:val="7FD019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kern w:val="2"/>
      <w:sz w:val="48"/>
      <w:szCs w:val="24"/>
      <w:lang w:val="en-US" w:eastAsia="zh-CN" w:bidi="ar-SA"/>
    </w:rPr>
  </w:style>
  <w:style w:type="character" w:default="1" w:styleId="8">
    <w:name w:val="Default Paragraph Font"/>
    <w:semiHidden/>
    <w:unhideWhenUsed/>
    <w:uiPriority w:val="1"/>
  </w:style>
  <w:style w:type="table" w:default="1" w:styleId="10">
    <w:name w:val="Normal Table"/>
    <w:semiHidden/>
    <w:unhideWhenUsed/>
    <w:qFormat/>
    <w:uiPriority w:val="99"/>
    <w:tblPr>
      <w:tblLayout w:type="fixed"/>
      <w:tblCellMar>
        <w:top w:w="0" w:type="dxa"/>
        <w:left w:w="108" w:type="dxa"/>
        <w:bottom w:w="0" w:type="dxa"/>
        <w:right w:w="108" w:type="dxa"/>
      </w:tblCellMar>
    </w:tblPr>
  </w:style>
  <w:style w:type="paragraph" w:styleId="2">
    <w:name w:val="Normal (Web)"/>
    <w:basedOn w:val="1"/>
    <w:qFormat/>
    <w:uiPriority w:val="0"/>
    <w:pPr>
      <w:spacing w:beforeAutospacing="1" w:afterAutospacing="1"/>
      <w:jc w:val="left"/>
    </w:pPr>
    <w:rPr>
      <w:kern w:val="0"/>
      <w:sz w:val="24"/>
    </w:rPr>
  </w:style>
  <w:style w:type="paragraph" w:styleId="3">
    <w:name w:val="Body Text"/>
    <w:basedOn w:val="1"/>
    <w:next w:val="1"/>
    <w:link w:val="16"/>
    <w:qFormat/>
    <w:uiPriority w:val="0"/>
    <w:pPr>
      <w:spacing w:beforeLines="30"/>
    </w:pPr>
    <w:rPr>
      <w:rFonts w:ascii="仿宋_GB2312" w:eastAsia="仿宋_GB2312"/>
      <w:sz w:val="30"/>
    </w:rPr>
  </w:style>
  <w:style w:type="paragraph" w:styleId="4">
    <w:name w:val="Body Text Indent"/>
    <w:basedOn w:val="1"/>
    <w:next w:val="1"/>
    <w:qFormat/>
    <w:uiPriority w:val="99"/>
    <w:pPr>
      <w:spacing w:line="540" w:lineRule="exact"/>
      <w:ind w:firstLine="5440" w:firstLineChars="1700"/>
    </w:pPr>
    <w:rPr>
      <w:sz w:val="32"/>
      <w:szCs w:val="32"/>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Body Text First Indent 2"/>
    <w:basedOn w:val="4"/>
    <w:qFormat/>
    <w:uiPriority w:val="99"/>
    <w:pPr>
      <w:ind w:firstLine="420" w:firstLineChars="200"/>
    </w:p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Emphasis"/>
    <w:basedOn w:val="8"/>
    <w:qFormat/>
    <w:uiPriority w:val="20"/>
  </w:style>
  <w:style w:type="paragraph" w:customStyle="1" w:styleId="11">
    <w:name w:val="正文2"/>
    <w:basedOn w:val="1"/>
    <w:next w:val="1"/>
    <w:qFormat/>
    <w:uiPriority w:val="0"/>
    <w:rPr>
      <w:szCs w:val="22"/>
    </w:rPr>
  </w:style>
  <w:style w:type="paragraph" w:customStyle="1" w:styleId="12">
    <w:name w:val="Default"/>
    <w:qFormat/>
    <w:uiPriority w:val="0"/>
    <w:pPr>
      <w:widowControl w:val="0"/>
      <w:autoSpaceDE w:val="0"/>
      <w:autoSpaceDN w:val="0"/>
      <w:adjustRightInd w:val="0"/>
    </w:pPr>
    <w:rPr>
      <w:rFonts w:ascii="方正仿宋_GBK" w:hAnsi="Times New Roman" w:eastAsia="方正仿宋_GBK" w:cs="Times New Roman"/>
      <w:color w:val="000000"/>
      <w:sz w:val="24"/>
      <w:szCs w:val="24"/>
      <w:lang w:val="en-US" w:eastAsia="zh-CN" w:bidi="ar-SA"/>
    </w:rPr>
  </w:style>
  <w:style w:type="paragraph" w:customStyle="1" w:styleId="13">
    <w:name w:val="列出段落1"/>
    <w:basedOn w:val="1"/>
    <w:qFormat/>
    <w:uiPriority w:val="34"/>
    <w:pPr>
      <w:ind w:firstLine="420" w:firstLineChars="200"/>
    </w:pPr>
  </w:style>
  <w:style w:type="character" w:customStyle="1" w:styleId="14">
    <w:name w:val="页眉 Char"/>
    <w:basedOn w:val="8"/>
    <w:link w:val="7"/>
    <w:qFormat/>
    <w:uiPriority w:val="99"/>
    <w:rPr>
      <w:rFonts w:ascii="宋体" w:hAnsi="Times New Roman" w:eastAsia="宋体" w:cs="Times New Roman"/>
      <w:sz w:val="18"/>
      <w:szCs w:val="18"/>
    </w:rPr>
  </w:style>
  <w:style w:type="character" w:customStyle="1" w:styleId="15">
    <w:name w:val="页脚 Char"/>
    <w:basedOn w:val="8"/>
    <w:link w:val="5"/>
    <w:qFormat/>
    <w:uiPriority w:val="99"/>
    <w:rPr>
      <w:rFonts w:ascii="宋体" w:hAnsi="Times New Roman" w:eastAsia="宋体" w:cs="Times New Roman"/>
      <w:sz w:val="18"/>
      <w:szCs w:val="18"/>
    </w:rPr>
  </w:style>
  <w:style w:type="character" w:customStyle="1" w:styleId="16">
    <w:name w:val="正文文本 Char"/>
    <w:basedOn w:val="8"/>
    <w:link w:val="3"/>
    <w:qFormat/>
    <w:uiPriority w:val="0"/>
    <w:rPr>
      <w:rFonts w:ascii="仿宋_GB2312" w:hAnsi="Times New Roman" w:eastAsia="仿宋_GB2312" w:cs="Times New Roman"/>
      <w:kern w:val="2"/>
      <w:sz w:val="30"/>
      <w:szCs w:val="24"/>
    </w:rPr>
  </w:style>
  <w:style w:type="paragraph" w:styleId="17">
    <w:name w:val="List Paragraph"/>
    <w:basedOn w:val="1"/>
    <w:qFormat/>
    <w:uiPriority w:val="34"/>
    <w:pPr>
      <w:ind w:firstLine="420" w:firstLineChars="200"/>
    </w:pPr>
  </w:style>
  <w:style w:type="paragraph" w:customStyle="1" w:styleId="18">
    <w:name w:val="WPSOffice手动目录 1"/>
    <w:qFormat/>
    <w:uiPriority w:val="0"/>
    <w:rPr>
      <w:rFonts w:ascii="Calibri" w:hAnsi="Calibri" w:eastAsia="宋体" w:cs="Times New Roman"/>
      <w:lang w:val="en-US" w:eastAsia="zh-CN" w:bidi="ar-SA"/>
    </w:rPr>
  </w:style>
  <w:style w:type="paragraph" w:customStyle="1" w:styleId="19">
    <w:name w:val="WPSOffice手动目录 2"/>
    <w:qFormat/>
    <w:uiPriority w:val="0"/>
    <w:pPr>
      <w:ind w:left="200" w:leftChars="200"/>
    </w:pPr>
    <w:rPr>
      <w:rFonts w:ascii="Calibri" w:hAnsi="Calibri"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19</Pages>
  <Words>1454</Words>
  <Characters>8288</Characters>
  <Lines>69</Lines>
  <Paragraphs>19</Paragraphs>
  <TotalTime>81</TotalTime>
  <ScaleCrop>false</ScaleCrop>
  <LinksUpToDate>false</LinksUpToDate>
  <CharactersWithSpaces>9723</CharactersWithSpaces>
  <Application>WPS Office_10.8.2.6949_F1E327BC-269C-435d-A152-05C5408002CA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2017-10-20T03:21:00Z</dcterms:created>
  <dc:creator>null,null,总收发</dc:creator>
  <cp:lastModifiedBy>Administrator</cp:lastModifiedBy>
  <dcterms:modified xsi:type="dcterms:W3CDTF">2023-02-21T07:28:11Z</dcterms:modified>
  <cp:revision>67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