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outlineLvl w:val="0"/>
        <w:rPr>
          <w:rFonts w:ascii="黑体" w:hAnsi="黑体" w:eastAsia="黑体"/>
          <w:color w:val="000000"/>
          <w:sz w:val="72"/>
          <w:szCs w:val="72"/>
        </w:rPr>
      </w:pPr>
      <w:bookmarkStart w:id="0" w:name="_Toc15378441"/>
      <w:bookmarkStart w:id="1" w:name="_Toc15377425"/>
      <w:bookmarkStart w:id="2" w:name="_Toc15377193"/>
      <w:bookmarkStart w:id="3" w:name="_Toc15396597"/>
      <w:bookmarkStart w:id="4" w:name="_Toc15396475"/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黑体" w:hAnsi="黑体" w:eastAsia="黑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ascii="黑体" w:hAnsi="黑体" w:eastAsia="黑体"/>
          <w:color w:val="000000"/>
          <w:sz w:val="72"/>
          <w:szCs w:val="72"/>
        </w:rPr>
        <w:t>20</w:t>
      </w:r>
      <w:r>
        <w:rPr>
          <w:rFonts w:hint="eastAsia" w:ascii="黑体" w:hAnsi="黑体" w:eastAsia="黑体"/>
          <w:color w:val="000000"/>
          <w:sz w:val="72"/>
          <w:szCs w:val="72"/>
        </w:rPr>
        <w:t>2</w:t>
      </w:r>
      <w:r>
        <w:rPr>
          <w:rFonts w:hint="eastAsia" w:ascii="黑体" w:hAnsi="黑体" w:eastAsia="黑体"/>
          <w:color w:val="000000"/>
          <w:sz w:val="72"/>
          <w:szCs w:val="72"/>
          <w:lang w:val="en-US" w:eastAsia="zh-CN"/>
        </w:rPr>
        <w:t>3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年度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48"/>
          <w:szCs w:val="48"/>
        </w:rPr>
      </w:pPr>
      <w:bookmarkStart w:id="5" w:name="_Toc15396598"/>
      <w:bookmarkStart w:id="6" w:name="_Toc15396476"/>
      <w:bookmarkStart w:id="7" w:name="_Toc15378442"/>
      <w:bookmarkStart w:id="8" w:name="_Toc15306268"/>
      <w:bookmarkStart w:id="9" w:name="_Toc15377194"/>
      <w:bookmarkStart w:id="10" w:name="_Toc15377426"/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中国人民政治协商会议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宋体" w:eastAsia="方正小标宋简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四川省德阳市罗江区委员会办公室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部门</w:t>
      </w:r>
      <w:r>
        <w:rPr>
          <w:rFonts w:hint="eastAsia" w:ascii="方正小标宋简体" w:hAnsi="宋体" w:eastAsia="方正小标宋简体"/>
          <w:color w:val="000000"/>
          <w:sz w:val="72"/>
          <w:szCs w:val="72"/>
          <w:lang w:val="en-US" w:eastAsia="zh-CN"/>
        </w:rPr>
        <w:t>预</w:t>
      </w: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算</w:t>
      </w:r>
      <w:bookmarkEnd w:id="5"/>
      <w:bookmarkEnd w:id="6"/>
      <w:bookmarkEnd w:id="7"/>
      <w:bookmarkEnd w:id="8"/>
      <w:bookmarkEnd w:id="9"/>
      <w:bookmarkEnd w:id="10"/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公开</w:t>
      </w: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>
      <w:pPr>
        <w:ind w:firstLine="412" w:firstLineChars="100"/>
        <w:jc w:val="center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p>
      <w:pPr>
        <w:jc w:val="both"/>
        <w:rPr>
          <w:rStyle w:val="9"/>
          <w:rFonts w:hint="eastAsia" w:ascii="ˎ̥" w:hAnsi="ˎ̥"/>
          <w:b/>
          <w:bCs/>
          <w:color w:val="000000"/>
          <w:sz w:val="41"/>
          <w:szCs w:val="41"/>
          <w:lang w:val="en-US" w:eastAsia="zh-CN"/>
        </w:rPr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1545"/>
        <w15:color w:val="DBDBDB"/>
      </w:sdtPr>
      <w:sdtEndPr>
        <w:rPr>
          <w:rFonts w:hint="eastAsia" w:ascii="ˎ̥" w:hAnsi="ˎ̥" w:eastAsia="宋体" w:cs="Times New Roman"/>
          <w:b/>
          <w:bCs/>
          <w:color w:val="000000"/>
          <w:kern w:val="2"/>
          <w:sz w:val="48"/>
          <w:szCs w:val="41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both"/>
            <w:rPr>
              <w:rFonts w:ascii="宋体" w:hAnsi="宋体" w:eastAsia="宋体" w:cs="Times New Roman"/>
              <w:kern w:val="2"/>
              <w:sz w:val="21"/>
              <w:szCs w:val="24"/>
              <w:lang w:val="en-US" w:eastAsia="zh-CN" w:bidi="ar-SA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5"/>
            <w:tabs>
              <w:tab w:val="right" w:leader="dot" w:pos="8845"/>
            </w:tabs>
            <w:rPr>
              <w:rFonts w:hint="eastAsia" w:ascii="ˎ̥" w:hAnsi="ˎ̥"/>
              <w:b/>
              <w:bCs/>
              <w:color w:val="000000"/>
              <w:szCs w:val="41"/>
            </w:rPr>
          </w:pP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begin"/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instrText xml:space="preserve">TOC \o "1-2" \h \u </w:instrText>
          </w:r>
          <w:r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  <w:fldChar w:fldCharType="separate"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_Toc28770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一、基本职能及主要工作</w:t>
          </w:r>
          <w:r>
            <w:rPr>
              <w:b/>
            </w:rPr>
            <w:tab/>
          </w:r>
          <w:r>
            <w:rPr>
              <w:rFonts w:hint="eastAsia"/>
              <w:b/>
              <w:lang w:val="en-US" w:eastAsia="zh-CN"/>
            </w:rPr>
            <w:t>1</w:t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_Toc21884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（一）机构设置及主要职责</w:t>
          </w:r>
          <w:r>
            <w:tab/>
          </w:r>
          <w:r>
            <w:fldChar w:fldCharType="begin"/>
          </w:r>
          <w:r>
            <w:instrText xml:space="preserve"> PAGEREF _Toc21884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</w:p>
        <w:p>
          <w:pPr>
            <w:pStyle w:val="15"/>
            <w:tabs>
              <w:tab w:val="right" w:leader="dot" w:pos="8845"/>
            </w:tabs>
            <w:ind w:firstLine="400" w:firstLineChars="200"/>
            <w:rPr>
              <w:rFonts w:hint="eastAsia" w:ascii="ˎ̥" w:hAnsi="ˎ̥" w:eastAsia="宋体"/>
              <w:bCs/>
              <w:color w:val="000000"/>
              <w:szCs w:val="41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_Toc818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（二）20</w:t>
          </w:r>
          <w:r>
            <w:rPr>
              <w:rFonts w:hint="eastAsia" w:ascii="楷体_GB2312" w:hAnsi="楷体_GB2312" w:eastAsia="楷体_GB2312" w:cs="楷体_GB2312"/>
              <w:bCs/>
              <w:szCs w:val="32"/>
              <w:lang w:val="en-US" w:eastAsia="zh-CN"/>
            </w:rPr>
            <w:t>23</w:t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年重点工作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2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_Toc27442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二、部门预算单位构成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5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_Toc1848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三、收支预算增减变化情况说明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5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_Toc193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（一）收入预算情况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_Toc3651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（二）支出预算情况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5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_Toc3738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四、财政拨款收支预算情况说明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6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_Toc3440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五、一般公共预算当年拨款情况说明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6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_Toc25098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（一）一般公共预算当年拨款规模变化情况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6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_Toc16092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Cs/>
              <w:szCs w:val="32"/>
            </w:rPr>
            <w:t>（二）一般公共预算当年拨款结构情况(按照功能科目类写)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6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_Toc28341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Cs w:val="32"/>
            </w:rPr>
            <w:t>（三）一般公共预算当年拨款具体使用情况（按功能科目类款项写）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7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_Toc18858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六、一般公共预算基本支出情况说明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8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_Toc256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七、“三公”经费财政拨款预算安排情况说明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8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_Toc11086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bCs w:val="0"/>
              <w:szCs w:val="32"/>
            </w:rPr>
            <w:t>八、政府性基金预算收支情况说明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_Toc165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九、国有资本经营预算支出情况说明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5"/>
            <w:tabs>
              <w:tab w:val="right" w:leader="dot" w:pos="8845"/>
            </w:tabs>
            <w:rPr>
              <w:rFonts w:hint="eastAsia" w:eastAsia="宋体"/>
              <w:b/>
              <w:lang w:val="en-US" w:eastAsia="zh-CN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/>
              <w:szCs w:val="41"/>
            </w:rPr>
            <w:instrText xml:space="preserve"> HYPERLINK \l _Toc29771 </w:instrText>
          </w:r>
          <w:r>
            <w:rPr>
              <w:rFonts w:hint="eastAsia" w:ascii="ˎ̥" w:hAnsi="ˎ̥"/>
              <w:b/>
              <w:bCs/>
              <w:szCs w:val="41"/>
            </w:rPr>
            <w:fldChar w:fldCharType="separate"/>
          </w:r>
          <w:r>
            <w:rPr>
              <w:rFonts w:hint="eastAsia" w:ascii="黑体" w:hAnsi="黑体" w:eastAsia="黑体" w:cs="黑体"/>
              <w:b/>
              <w:szCs w:val="32"/>
            </w:rPr>
            <w:t>十、其他重要事项的情况说明</w:t>
          </w:r>
          <w:r>
            <w:rPr>
              <w:b/>
            </w:rPr>
            <w:tab/>
          </w: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_Toc11525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（一）机关运行经费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_Toc15299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（二）政府采购情况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_Toc18679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（三）国有资产占有使用情况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6"/>
            <w:tabs>
              <w:tab w:val="right" w:leader="dot" w:pos="8845"/>
            </w:tabs>
            <w:ind w:left="0" w:leftChars="0" w:firstLine="400" w:firstLineChars="200"/>
            <w:rPr>
              <w:rFonts w:hint="eastAsia" w:eastAsia="宋体"/>
              <w:lang w:val="en-US" w:eastAsia="zh-CN"/>
            </w:rPr>
          </w:pPr>
          <w:r>
            <w:rPr>
              <w:rFonts w:hint="eastAsia" w:ascii="ˎ̥" w:hAnsi="ˎ̥"/>
              <w:bCs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Cs/>
              <w:szCs w:val="41"/>
            </w:rPr>
            <w:instrText xml:space="preserve"> HYPERLINK \l _Toc2176 </w:instrText>
          </w:r>
          <w:r>
            <w:rPr>
              <w:rFonts w:hint="eastAsia" w:ascii="ˎ̥" w:hAnsi="ˎ̥"/>
              <w:bCs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szCs w:val="32"/>
            </w:rPr>
            <w:t>（四）绩效目标设置情况</w:t>
          </w:r>
          <w:r>
            <w:tab/>
          </w:r>
          <w:r>
            <w:rPr>
              <w:rFonts w:hint="eastAsia" w:ascii="ˎ̥" w:hAnsi="ˎ̥"/>
              <w:bCs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Cs/>
              <w:color w:val="000000"/>
              <w:szCs w:val="41"/>
              <w:lang w:val="en-US" w:eastAsia="zh-CN"/>
            </w:rPr>
            <w:t>9</w:t>
          </w:r>
        </w:p>
        <w:p>
          <w:pPr>
            <w:pStyle w:val="15"/>
            <w:tabs>
              <w:tab w:val="right" w:leader="dot" w:pos="8845"/>
            </w:tabs>
            <w:rPr>
              <w:rFonts w:hint="default" w:eastAsia="宋体"/>
              <w:b/>
              <w:bCs w:val="0"/>
              <w:lang w:val="en-US" w:eastAsia="zh-CN"/>
            </w:rPr>
          </w:pPr>
          <w:r>
            <w:rPr>
              <w:rFonts w:hint="eastAsia" w:ascii="ˎ̥" w:hAnsi="ˎ̥"/>
              <w:b/>
              <w:bCs w:val="0"/>
              <w:color w:val="000000"/>
              <w:szCs w:val="41"/>
            </w:rPr>
            <w:fldChar w:fldCharType="begin"/>
          </w:r>
          <w:r>
            <w:rPr>
              <w:rFonts w:hint="eastAsia" w:ascii="ˎ̥" w:hAnsi="ˎ̥"/>
              <w:b/>
              <w:bCs w:val="0"/>
              <w:szCs w:val="41"/>
            </w:rPr>
            <w:instrText xml:space="preserve"> HYPERLINK \l _Toc6693 </w:instrText>
          </w:r>
          <w:r>
            <w:rPr>
              <w:rFonts w:hint="eastAsia" w:ascii="ˎ̥" w:hAnsi="ˎ̥"/>
              <w:b/>
              <w:bCs w:val="0"/>
              <w:szCs w:val="41"/>
            </w:rPr>
            <w:fldChar w:fldCharType="separate"/>
          </w:r>
          <w:r>
            <w:rPr>
              <w:rFonts w:hint="eastAsia" w:ascii="仿宋_GB2312" w:hAnsi="仿宋_GB2312" w:eastAsia="仿宋_GB2312"/>
              <w:b/>
              <w:bCs w:val="0"/>
              <w:szCs w:val="32"/>
              <w:lang w:val="en-US" w:eastAsia="zh-CN"/>
            </w:rPr>
            <w:t>十一</w:t>
          </w:r>
          <w:r>
            <w:rPr>
              <w:rFonts w:hint="eastAsia" w:ascii="仿宋_GB2312" w:hAnsi="仿宋_GB2312" w:eastAsia="仿宋_GB2312"/>
              <w:b/>
              <w:bCs w:val="0"/>
              <w:szCs w:val="32"/>
            </w:rPr>
            <w:t>、名词解释</w:t>
          </w:r>
          <w:r>
            <w:rPr>
              <w:b/>
              <w:bCs w:val="0"/>
            </w:rPr>
            <w:tab/>
          </w:r>
          <w:r>
            <w:rPr>
              <w:rFonts w:hint="eastAsia" w:ascii="ˎ̥" w:hAnsi="ˎ̥"/>
              <w:b/>
              <w:bCs w:val="0"/>
              <w:color w:val="000000"/>
              <w:szCs w:val="41"/>
            </w:rPr>
            <w:fldChar w:fldCharType="end"/>
          </w:r>
          <w:r>
            <w:rPr>
              <w:rFonts w:hint="eastAsia" w:ascii="ˎ̥" w:hAnsi="ˎ̥"/>
              <w:b/>
              <w:bCs w:val="0"/>
              <w:color w:val="000000"/>
              <w:szCs w:val="41"/>
              <w:lang w:val="en-US" w:eastAsia="zh-CN"/>
            </w:rPr>
            <w:t>10</w:t>
          </w:r>
        </w:p>
        <w:p>
          <w:pPr>
            <w:ind w:firstLine="482" w:firstLineChars="100"/>
            <w:jc w:val="center"/>
            <w:rPr>
              <w:rStyle w:val="9"/>
              <w:rFonts w:hint="eastAsia" w:ascii="ˎ̥" w:hAnsi="ˎ̥"/>
              <w:b/>
              <w:bCs/>
              <w:color w:val="000000"/>
              <w:sz w:val="41"/>
              <w:szCs w:val="41"/>
            </w:rPr>
          </w:pPr>
          <w:r>
            <w:rPr>
              <w:rFonts w:hint="eastAsia" w:ascii="ˎ̥" w:hAnsi="ˎ̥"/>
              <w:b/>
              <w:bCs/>
              <w:color w:val="000000"/>
              <w:szCs w:val="41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1" w:name="_Toc3604"/>
      <w:bookmarkStart w:id="12" w:name="_Toc287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bookmarkEnd w:id="11"/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4" w:leftChars="132" w:hanging="960" w:hangingChars="3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政协德阳市罗江区委员会办公室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批复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04" w:leftChars="330" w:hanging="320" w:hangingChars="1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2.部门项目支出绩效目标批复表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3.部门整体支出绩效目标批复表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批复</w:t>
      </w:r>
      <w:bookmarkStart w:id="13" w:name="_GoBack"/>
      <w:bookmarkEnd w:id="13"/>
      <w:r>
        <w:rPr>
          <w:rFonts w:hint="eastAsia" w:ascii="仿宋_GB2312" w:hAnsi="仿宋_GB2312" w:eastAsia="仿宋_GB2312"/>
          <w:sz w:val="32"/>
          <w:szCs w:val="32"/>
        </w:rPr>
        <w:t>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部门收支总表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部门收入总表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部门支出总表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财政拨款收支预算总表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财政拨款支出预算表（政府经济分类科目）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一般公共预算基本支出预算表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一般公共预算项目支出预算表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一般公共预算“三公”经费支出预算表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政府性基金支出预算表</w:t>
      </w:r>
    </w:p>
    <w:p>
      <w:pPr>
        <w:keepNext w:val="0"/>
        <w:keepLines w:val="0"/>
        <w:pageBreakBefore w:val="0"/>
        <w:widowControl w:val="0"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政府性基金预算“三公”经费支出预算表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国有资本经营预算支出预算表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2" w:firstLineChars="100"/>
        <w:jc w:val="center"/>
        <w:textAlignment w:val="auto"/>
        <w:rPr>
          <w:rStyle w:val="9"/>
          <w:rFonts w:hint="eastAsia" w:ascii="ˎ̥" w:hAnsi="ˎ̥"/>
          <w:b/>
          <w:bCs/>
          <w:color w:val="000000"/>
          <w:sz w:val="41"/>
          <w:szCs w:val="4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一、基本职能及主要工作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政协办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机构设置及主要职责。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1.负责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政协全委会议、常委会议、主席会议和其他重要会议及重大活动的会务、文秘和后期服务等工作。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2.负责与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人大办、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政府办、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级部门和镇的联系、配合、协调工作。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3.负责与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政协各专门委员会工作的协调、沟通、配合工作。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4.负责与市政协及兄弟县（市、区）政协办的联系工作；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政协的对内外宣传工作。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5.负责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政协开展活动的后勤保障、财务管理、基建维修及其他有关工作。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6.负责机关来往电处理、文书档案、机要保密、文印、通讯、信访、音像器材、安全保卫、接待及小车管理工作。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7.负责权限范围内的机构调整和人事工作；离退休人员管理服务工作。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8.承办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政协主席、副主席交办的其他工作。</w:t>
      </w:r>
    </w:p>
    <w:p>
      <w:pPr>
        <w:spacing w:line="600" w:lineRule="exact"/>
        <w:ind w:firstLine="643" w:firstLineChars="200"/>
        <w:rPr>
          <w:rFonts w:hint="eastAsia" w:ascii="仿宋_GB2312" w:hAnsi="新宋体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德阳市罗江区政协信息中心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及主要职责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新宋体" w:eastAsia="仿宋_GB2312"/>
          <w:sz w:val="32"/>
          <w:szCs w:val="32"/>
          <w:lang w:eastAsia="zh-CN"/>
        </w:rPr>
        <w:t>为区政协办所属公益一类事业单位，机构规格为正股级，核定事业编制1名，设主任1名（</w:t>
      </w:r>
      <w:r>
        <w:rPr>
          <w:rFonts w:hint="eastAsia" w:ascii="仿宋_GB2312" w:eastAsia="仿宋_GB2312"/>
          <w:sz w:val="32"/>
          <w:szCs w:val="32"/>
          <w:lang w:eastAsia="zh-CN"/>
        </w:rPr>
        <w:t>正股级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主要职责：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负责区政协信息网络规划、建设和日常管理维护；负责政协网络宣传工作及重大活动、重要会议的策划、宣传和相关会务工作；承担区政协委员提案的网络交办工作；负责政协信息编纂、委员联络服务等工作。</w:t>
      </w:r>
    </w:p>
    <w:p>
      <w:pPr>
        <w:widowControl/>
        <w:spacing w:line="540" w:lineRule="exact"/>
        <w:ind w:firstLine="643" w:firstLineChars="200"/>
        <w:jc w:val="left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20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年重点工作。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color w:val="auto"/>
          <w:sz w:val="32"/>
          <w:szCs w:val="32"/>
        </w:rPr>
        <w:t>1.学习贯彻各级重要会议精神。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把学习、宣传、贯彻中共二十大精神作为首要政治任务，深刻领悟“两个确立”的决定性意义，准确把握二十大报告深刻内涵，自觉用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习近平新时代中国特色社会主义思想武装头脑、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研判问题、指引工作。深入学习省委十二届二次全会、市委九届五次全会和区委二届四次全会精神，准确把握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新时代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四川现代化建设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“总牵引”“总抓手”“总思路”、市委“四五五六”发展总思路，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区委“加快推动‘两个融入’、深入实施‘四大战略’，着力打造全国乡村振兴和农文旅融合发展样板”等部署和目标，聚焦中心、聚力大事，找准政协担当作为的切入点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color w:val="auto"/>
          <w:sz w:val="32"/>
          <w:szCs w:val="32"/>
        </w:rPr>
        <w:t>着力点，胸怀全局、服务大局，把思想和行动统一到各级党委的决策部署上来，把准政协工作的正确方向。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2.着力强化思想政治引领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。自觉扛起筑同心、增信心、聚人心的政治责任，扎实做好意识形态、宣传思想工作，发挥好“重要阵地、重要平台、重要渠道”作用。坚持用党的创新理论教育引领委员，依托党组扩大会、中心组理论学习会、专题学习座谈会等思政平台，举办“政协讲堂”、深化读书活动，推动中共二十大、省委市委全会精神入脑入心、走深走实，在深刻领悟中找准定位、勇担使命，进一步坚定“四个自信”，增强“四个意识”、拥护“两个确立”、做到“两个维护”。把凝聚共识贯穿政协履职全过程，通过政协渠道，宣传党政主张、汇聚思想认同，把政协建设成为传播党的声音、汇聚发展正能量的可靠阵地，画出同心奋进的最大“同心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.深入调研，当好决策“智囊团”。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强化问题意识、结果导向，着眼事关全局和长远的要事、推动高质量发展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深层次问题，选题调研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广泛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会商，形成一批有分析研判有前瞻性、对策建议有操作性的高质量调研成果，为区委政府科学决策提供有用参考，当好决策“智囊团”。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鼓励和引导委员立足所在行业领域和岗位开展自主调研，积极通过参加决策咨询会、座谈会、反映社情民意信息、提交书面工作建议等方式出谋献智。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楷体_GB2312" w:hAnsi="Times New Roman" w:eastAsia="楷体_GB2312"/>
          <w:b w:val="0"/>
          <w:bCs w:val="0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.精心协商，多出发展“金点子”。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坚持以全体会议为龙头，专题议政性常委会会议、主席会议协商为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基础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，议政性综合协商、重点题目专题协商、界别协商、提案办理协商为重要载体的多层次协商体系。全年紧扣“拼经济搞建设抓发展”、区委发展战略、年度工作计划、目标任务开展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各类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协商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为建设高质量中国幸福家园、谱写罗江现代化建设新篇章精准建言。丰富形式、拓宽渠道、强化联动，促进协商成果转化运用，增强协商主体参与协商活动的获得感。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 xml:space="preserve">    </w:t>
      </w: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.善于监督，成为落实“好帮手”。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坚持协商式监督的定位，优化流程、丰富手段，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聚焦区委区政府年度重点任务和抓落实、提效能的重点领域（事项），务实开展监督。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.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增进团结和谐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。加强和改进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委员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联系界别群众工作，更好把界别群众团结凝聚起来。广泛收集民意、及时反映民愿，在履职为民中融合感情、拉近距离、增进团结，使政协成为在共同奋斗基础上化解矛盾纠纷、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弥合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分歧隔阂的重要渠道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坚持党的民族、宗教方针，充分发挥民族、宗教界等界别委员作用，不断促进民族团结、宗教和顺。加强与在外罗江籍成功人士、在罗“两新”组织代表人士的沟通联系联谊，积极为他们服务罗江发展、扶贫助困办实事创造条件、提供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.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倾力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为民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  <w:lang w:val="en-US" w:eastAsia="zh-CN"/>
        </w:rPr>
        <w:t>利</w:t>
      </w: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民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谋利民之策、献安民之计、办惠民之事，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努力把群众关心的事办好、牵挂的事办实、期望的事办成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推动解决群众急难愁盼问题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树立质量导向，加大民生提案提、办力度，力争“办成一件提案，解决一个问题”。发挥“直通车”优势，注重市、区政协联动，及时反映社情民意信息，争取关注和支持，推动从机制层面解决问题，提高民生福祉实现率。持续开展“‘双助’有我，委员在行动”“委员环保行”“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办实事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惠民生”等主题实践，为委员奉献社会、服务群众创造条件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紧盯基层和民生的焦点和痛点，指导各镇政协委员工作站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搞好有事来协商，让基层协商更有质效、履职为民更有成色。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加强履职能力建设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坚持以政协党建统领政协工作，持续推进政协工作制度化、规范化、程序化，建设“学习型、服务型、创新型、活力型”机关，强化服务保障水平。浓厚协商文化、健全协商规则、增强协商能力，提高深度协商互动、意见充分表达、凝聚广泛共识的水平。按市政协统一安排开展“找先进、学先进、赶先进”专题活动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推进“书香政协”建设，引导委员好学习多读书、勤思考常交流，把读书成果转化为思想上的深刻认识、协商中的资政良言、履职中的务实成果。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扎实做好年度政协文史工作。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9.营造良好履职环境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拓宽委员知情明政渠道，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做好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重大决策部署宣讲和重要情况通报，坚持邀请委员列席政协相关活动，推荐委员参加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区委政府及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职能部门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开展的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专项工作，让委员在协商议政前更熟悉情况、建言资政上更有针对性。加强规矩纪律教育和履职监督，强化身份意识、责任意识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引导委员重荣誉、强担当、知责思进，争做高质量发展的奋斗者和实干家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继续开展履职“明星委员”选树、宣传、表扬，强化示范带动，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引导委员干在实处、务求实效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晒出作为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加强新闻宣传、社情民意信息和理论研究工作，通过省市媒体平台及时反映政协工作、展示委员风采。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属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/>
          <w:sz w:val="32"/>
          <w:szCs w:val="32"/>
        </w:rPr>
        <w:t>级预算单位，其中行政单位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个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事业单位1个。</w:t>
      </w:r>
    </w:p>
    <w:p>
      <w:pPr>
        <w:pStyle w:val="4"/>
        <w:adjustRightInd w:val="0"/>
        <w:snapToGrid w:val="0"/>
        <w:spacing w:line="580" w:lineRule="exact"/>
        <w:ind w:firstLine="672" w:firstLineChars="210"/>
        <w:rPr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总编制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名，其中行政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名，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工勤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名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事业1人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。在职人员总数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人，其中：行政人员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事业人员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工勤人员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人；离退休人员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人，其中：退休人员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人。</w:t>
      </w:r>
      <w:r>
        <w:rPr>
          <w:rFonts w:hint="eastAsia"/>
          <w:sz w:val="32"/>
          <w:szCs w:val="32"/>
          <w:highlight w:val="none"/>
        </w:rPr>
        <w:t>本次公开数据包括所有下属二级单位数据。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三、收支预算增减变化情况说明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按照综合预算的原则，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所有收支均包含下属单位数据，全部纳入部门预算管理。收</w:t>
      </w:r>
      <w:r>
        <w:rPr>
          <w:rFonts w:hint="eastAsia" w:ascii="仿宋_GB2312" w:hAnsi="仿宋_GB2312" w:eastAsia="仿宋_GB2312"/>
          <w:sz w:val="32"/>
          <w:szCs w:val="32"/>
        </w:rPr>
        <w:t>入包括：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财政拨款收入684.78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/>
          <w:sz w:val="32"/>
          <w:szCs w:val="32"/>
        </w:rPr>
        <w:t>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194.1</w:t>
      </w:r>
      <w:r>
        <w:rPr>
          <w:rFonts w:hint="eastAsia" w:ascii="仿宋_GB2312" w:hAnsi="仿宋_GB2312" w:eastAsia="仿宋_GB2312"/>
          <w:sz w:val="32"/>
          <w:szCs w:val="32"/>
        </w:rPr>
        <w:t>万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元，主要是增加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经费指标及增加人员</w:t>
      </w:r>
      <w:r>
        <w:rPr>
          <w:rFonts w:hint="eastAsia" w:ascii="仿宋_GB2312" w:hAnsi="仿宋_GB2312" w:eastAsia="仿宋_GB2312"/>
          <w:sz w:val="32"/>
          <w:szCs w:val="32"/>
        </w:rPr>
        <w:t>；支出包括：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财政拨款支出684.78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/>
          <w:sz w:val="32"/>
          <w:szCs w:val="32"/>
        </w:rPr>
        <w:t>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194.1</w:t>
      </w:r>
      <w:r>
        <w:rPr>
          <w:rFonts w:hint="eastAsia" w:ascii="仿宋_GB2312" w:hAnsi="仿宋_GB2312" w:eastAsia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经费指标及增加人员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（一）收入预算情况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ascii="仿宋_GB2312" w:hAnsi="仿宋_GB2312" w:eastAsia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ascii="仿宋_GB2312" w:hAnsi="仿宋_GB2312" w:eastAsia="仿宋_GB2312"/>
          <w:sz w:val="32"/>
          <w:szCs w:val="32"/>
        </w:rPr>
        <w:t>万元，其中：一般公共预算拨款收入</w:t>
      </w:r>
      <w:r>
        <w:rPr>
          <w:rFonts w:hint="eastAsia" w:ascii="仿宋_GB2312" w:hAnsi="仿宋_GB2312" w:eastAsia="仿宋_GB2312"/>
          <w:sz w:val="32"/>
          <w:szCs w:val="32"/>
        </w:rPr>
        <w:t>684.78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100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（二）支出预算情况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ascii="仿宋_GB2312" w:hAnsi="仿宋_GB2312" w:eastAsia="仿宋_GB2312"/>
          <w:sz w:val="32"/>
          <w:szCs w:val="32"/>
        </w:rPr>
        <w:t>年支出预算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ascii="仿宋_GB2312" w:hAnsi="仿宋_GB2312" w:eastAsia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/>
          <w:sz w:val="32"/>
          <w:szCs w:val="32"/>
        </w:rPr>
        <w:t>574.78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83.94</w:t>
      </w:r>
      <w:r>
        <w:rPr>
          <w:rFonts w:ascii="仿宋_GB2312" w:hAnsi="仿宋_GB2312" w:eastAsia="仿宋_GB2312"/>
          <w:sz w:val="32"/>
          <w:szCs w:val="32"/>
        </w:rPr>
        <w:t>%；项目支出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110</w:t>
      </w:r>
      <w:r>
        <w:rPr>
          <w:rFonts w:ascii="仿宋_GB2312" w:hAnsi="仿宋_GB2312" w:eastAsia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16.06</w:t>
      </w:r>
      <w:r>
        <w:rPr>
          <w:rFonts w:ascii="仿宋_GB2312" w:hAns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四、财政拨款收支预算情况说明</w:t>
      </w:r>
    </w:p>
    <w:p>
      <w:pPr>
        <w:ind w:firstLine="645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</w:rPr>
        <w:t>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年财政拨款收支总预算增加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194.1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highlight w:val="none"/>
        </w:rPr>
        <w:t>主要是因为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经费指标及增加人员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>收入包括：本年一般公共预算拨款收入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</w:rPr>
        <w:t>支出包括：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530.88万元；社会保障和就业支出93.04万元；医疗卫生与计划生育支出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20.53万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元；住房保障支出40.33万元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五、一般公共预算当年拨款情况说明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（一）一般公共预算当年拨款规模变化情况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684.78</w:t>
      </w:r>
      <w:r>
        <w:rPr>
          <w:rFonts w:hint="eastAsia" w:ascii="仿宋_GB2312" w:hAnsi="仿宋_GB2312" w:eastAsia="仿宋_GB2312"/>
          <w:sz w:val="32"/>
          <w:szCs w:val="32"/>
        </w:rPr>
        <w:t>万元，比20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年预算数增加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194.1</w:t>
      </w:r>
      <w:r>
        <w:rPr>
          <w:rFonts w:hint="eastAsia" w:ascii="仿宋_GB2312" w:hAnsi="仿宋_GB2312" w:eastAsia="仿宋_GB2312"/>
          <w:sz w:val="32"/>
          <w:szCs w:val="32"/>
        </w:rPr>
        <w:t>万元，主要是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经费指标及增加人员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（二）一般公共预算当年拨款结构情况(按照功能科目类写)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530.88万元，占77.53%；社会保障和就业支出93.04万元，占13.59%；医疗卫生与计划生育支出20.53万元，占2.99%；住房保障支出40.33万元，占5.89%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（三）一般公共预算当年拨款具体使用情况（按功能科目类款项写）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行政运行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404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保障机构正常运转、完成日常工作任务而发生的人员支出和公用支出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参政议政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保障区政协委员参政议政、民主监督、政协会议、委员活动、培训视察等。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其他政协事务支出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保障政协综合管理服务工作正常开展。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一般公共服务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-政协事务-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事业运行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16.88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保障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完成日常工作任务而发生的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其他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人员支出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-行政事业单位离退休-机关事业单位基本养老保险缴费支出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49.41万元，</w:t>
      </w:r>
      <w:r>
        <w:rPr>
          <w:rFonts w:hint="eastAsia" w:ascii="仿宋_GB2312" w:hAnsi="仿宋_GB2312" w:eastAsia="仿宋_GB2312"/>
          <w:sz w:val="32"/>
          <w:szCs w:val="32"/>
        </w:rPr>
        <w:t>主要用于：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基本养老保险缴费。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-行政事业单位离退休-机关事业单位职业年金缴费支出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24.7万元，主要用于：职业年金缴费。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-行政事业单位离退休-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其他行政事业单位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18.22</w:t>
      </w:r>
      <w:r>
        <w:rPr>
          <w:rFonts w:hint="eastAsia" w:ascii="仿宋_GB2312" w:hAnsi="仿宋_GB2312" w:eastAsia="仿宋_GB2312"/>
          <w:sz w:val="32"/>
          <w:szCs w:val="32"/>
        </w:rPr>
        <w:t>万元，主要用于：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退休人员支出。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社会保障和就业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-其他社会保障和就业支出-其他社会保障和就业支出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0.71万元，主要用于：工伤保险、失业保险缴费。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-行政事业单位医疗-行政单位医疗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19.97万元，主要用于行政人员社会保险缴费。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-行政事业单位医疗-行政单位医疗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0.56万元，主要用于事业人员社会保险缴费。</w:t>
      </w:r>
    </w:p>
    <w:p>
      <w:pPr>
        <w:pStyle w:val="2"/>
        <w:ind w:left="0" w:leftChars="0"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-住房改革支出-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住房公积金支出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40.33万元，主要用于：缴纳职工住房公积金。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六、一般公共预算基本支出情况说明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574.78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人员经费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513.21</w:t>
      </w:r>
      <w:r>
        <w:rPr>
          <w:rFonts w:hint="eastAsia" w:ascii="仿宋_GB2312" w:hAnsi="仿宋_GB2312" w:eastAsia="仿宋_GB2312"/>
          <w:sz w:val="32"/>
          <w:szCs w:val="32"/>
        </w:rPr>
        <w:t>万元，主要包括：基本工资、津贴补贴、奖金、社会保险缴费、绩效工资、机关事业单位基本养老保险缴费、职业年金缴费、其他工资福利支出。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公用经费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61.57</w:t>
      </w:r>
      <w:r>
        <w:rPr>
          <w:rFonts w:hint="eastAsia" w:ascii="仿宋_GB2312" w:hAnsi="仿宋_GB2312" w:eastAsia="仿宋_GB2312"/>
          <w:sz w:val="32"/>
          <w:szCs w:val="32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七、“三公”经费财政拨款预算安排情况说明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年“三公”经费财政拨款预算数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万元，其中：因公出国（境）经费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万元，公务接待费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万元，公务用车购置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万元，公务用车运行维护费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（一）因公出国（境）经费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/>
          <w:sz w:val="32"/>
          <w:szCs w:val="32"/>
        </w:rPr>
        <w:t>与20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年预算持平。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无此预算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</w:t>
      </w:r>
      <w:r>
        <w:rPr>
          <w:rFonts w:hint="eastAsia" w:ascii="楷体_GB2312" w:eastAsia="楷体_GB2312"/>
          <w:bCs/>
          <w:sz w:val="32"/>
          <w:szCs w:val="32"/>
        </w:rPr>
        <w:t>公务接待费与20</w:t>
      </w:r>
      <w:r>
        <w:rPr>
          <w:rFonts w:hint="eastAsia" w:ascii="楷体_GB2312" w:eastAsia="楷体_GB2312"/>
          <w:bCs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/>
          <w:bCs/>
          <w:sz w:val="32"/>
          <w:szCs w:val="32"/>
        </w:rPr>
        <w:t>年预算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数</w:t>
      </w:r>
      <w:r>
        <w:rPr>
          <w:rFonts w:hint="eastAsia" w:ascii="楷体_GB2312" w:eastAsia="楷体_GB2312"/>
          <w:bCs/>
          <w:sz w:val="32"/>
          <w:szCs w:val="32"/>
        </w:rPr>
        <w:t>持平。</w:t>
      </w:r>
      <w:r>
        <w:rPr>
          <w:rFonts w:hint="eastAsia" w:ascii="楷体_GB2312" w:eastAsia="楷体_GB2312"/>
          <w:bCs/>
          <w:sz w:val="32"/>
          <w:szCs w:val="32"/>
          <w:lang w:eastAsia="zh-CN"/>
        </w:rPr>
        <w:t>主要原因是严格按照规定进行公务接待。</w:t>
      </w:r>
    </w:p>
    <w:p>
      <w:pPr>
        <w:ind w:firstLine="640"/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（三）公务用车购置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，与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。主要原因是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eastAsia="zh-CN"/>
        </w:rPr>
        <w:t>公车改革后无公务用车购置计划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。</w:t>
      </w:r>
    </w:p>
    <w:p>
      <w:pPr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单位现有公务用车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辆。</w:t>
      </w:r>
    </w:p>
    <w:p>
      <w:pPr>
        <w:rPr>
          <w:rFonts w:ascii="仿宋_GB2312" w:hAns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　　20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年安排公务用车运行维护费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八、政府性基金预算收支情况说明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2023年无</w:t>
      </w:r>
      <w:r>
        <w:rPr>
          <w:rFonts w:hint="eastAsia" w:ascii="仿宋_GB2312" w:hAnsi="仿宋_GB2312" w:eastAsia="仿宋_GB2312"/>
          <w:sz w:val="32"/>
          <w:szCs w:val="32"/>
        </w:rPr>
        <w:t>使用政府性基金预算拨款安排的支出。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九、国有资本经营预算支出情况说明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/>
          <w:sz w:val="32"/>
          <w:szCs w:val="32"/>
        </w:rPr>
        <w:t>使用国有资本经营预算拨款安排支出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（一）机关运行经费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机关运行经费财政拨款预算为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41.07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（二）政府采购情况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政协办未</w:t>
      </w:r>
      <w:r>
        <w:rPr>
          <w:rFonts w:hint="eastAsia" w:ascii="仿宋_GB2312" w:hAnsi="仿宋_GB2312" w:eastAsia="仿宋_GB2312"/>
          <w:sz w:val="32"/>
          <w:szCs w:val="32"/>
        </w:rPr>
        <w:t>安排政府采购预算。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（三）国有资产占有使用情况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截至20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年底，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共有</w:t>
      </w:r>
      <w:r>
        <w:rPr>
          <w:rFonts w:hint="eastAsia" w:ascii="仿宋_GB2312" w:eastAsia="仿宋_GB2312"/>
          <w:sz w:val="32"/>
          <w:szCs w:val="32"/>
          <w:highlight w:val="none"/>
        </w:rPr>
        <w:t>固定资产总额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34.77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年部门预算未安排购置车辆及单位价值200万元以上大型设备。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政协办</w:t>
      </w:r>
      <w:r>
        <w:rPr>
          <w:rFonts w:hint="eastAsia" w:ascii="仿宋_GB2312" w:hAnsi="仿宋_GB2312" w:eastAsia="仿宋_GB2312"/>
          <w:sz w:val="32"/>
          <w:szCs w:val="32"/>
        </w:rPr>
        <w:t>通用项目和专用项目均按要求实行绩效目标管理，涉及一般公共预算当年拨款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（一）一般公共预算拨款收入：指区级财政当年拨付的资金。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（二）上年结转：指以前年度尚未完成、结转到本年仍按原规定用途继续使用的资金。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（三）基本支出：指为保障机构正常运转、完成日常工作任务所必需的人员经费和日常公用经费。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　　（四）项目支出：指在基本支出之外，为完成特定的行政工作任务或事业发展目标所发生的支出。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“三公”经费：是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ind w:firstLine="640" w:firstLineChars="200"/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（六）</w:t>
      </w: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 - aixinjuel">
    <w:altName w:val="宋体"/>
    <w:panose1 w:val="0201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黑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7944F"/>
    <w:multiLevelType w:val="multilevel"/>
    <w:tmpl w:val="14A7944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-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-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-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-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-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-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-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-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1">
    <w:nsid w:val="44197BEA"/>
    <w:multiLevelType w:val="singleLevel"/>
    <w:tmpl w:val="44197B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6E1E68"/>
    <w:multiLevelType w:val="singleLevel"/>
    <w:tmpl w:val="5C6E1E68"/>
    <w:lvl w:ilvl="0" w:tentative="0">
      <w:start w:val="4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zFmNDRkOGIyOTljNmQ3MmY5NDIzNGI3OThhMzkifQ=="/>
  </w:docVars>
  <w:rsids>
    <w:rsidRoot w:val="004E4A63"/>
    <w:rsid w:val="00107AF7"/>
    <w:rsid w:val="001A5E61"/>
    <w:rsid w:val="001F59C4"/>
    <w:rsid w:val="00202A4E"/>
    <w:rsid w:val="00245794"/>
    <w:rsid w:val="002D17ED"/>
    <w:rsid w:val="002F6687"/>
    <w:rsid w:val="00325291"/>
    <w:rsid w:val="00336B03"/>
    <w:rsid w:val="00363AC0"/>
    <w:rsid w:val="003B021E"/>
    <w:rsid w:val="004B52FA"/>
    <w:rsid w:val="004D53A9"/>
    <w:rsid w:val="004E4A63"/>
    <w:rsid w:val="00504316"/>
    <w:rsid w:val="00563314"/>
    <w:rsid w:val="005A0F05"/>
    <w:rsid w:val="00640CC1"/>
    <w:rsid w:val="007225E2"/>
    <w:rsid w:val="007365C4"/>
    <w:rsid w:val="008F70DC"/>
    <w:rsid w:val="009049CB"/>
    <w:rsid w:val="00933755"/>
    <w:rsid w:val="009D554C"/>
    <w:rsid w:val="00A35F1B"/>
    <w:rsid w:val="00A46B69"/>
    <w:rsid w:val="00A5551E"/>
    <w:rsid w:val="00A60A56"/>
    <w:rsid w:val="00BD7C8D"/>
    <w:rsid w:val="00C96FDA"/>
    <w:rsid w:val="00D14665"/>
    <w:rsid w:val="00DC34F5"/>
    <w:rsid w:val="00EE23D3"/>
    <w:rsid w:val="00FD2791"/>
    <w:rsid w:val="00FD2F29"/>
    <w:rsid w:val="01931A7A"/>
    <w:rsid w:val="03F41285"/>
    <w:rsid w:val="0B682C10"/>
    <w:rsid w:val="0CBC3A4D"/>
    <w:rsid w:val="117C1E78"/>
    <w:rsid w:val="11E05CF7"/>
    <w:rsid w:val="11F503B0"/>
    <w:rsid w:val="12535319"/>
    <w:rsid w:val="13522181"/>
    <w:rsid w:val="147D4239"/>
    <w:rsid w:val="1A8B57AF"/>
    <w:rsid w:val="1B4B4C19"/>
    <w:rsid w:val="1BF418F8"/>
    <w:rsid w:val="1C437767"/>
    <w:rsid w:val="1F500E29"/>
    <w:rsid w:val="1FCE268A"/>
    <w:rsid w:val="2A0143FB"/>
    <w:rsid w:val="2B46035D"/>
    <w:rsid w:val="2B8A4C7C"/>
    <w:rsid w:val="2CBD72B2"/>
    <w:rsid w:val="382A0105"/>
    <w:rsid w:val="389B46A9"/>
    <w:rsid w:val="3AAA2FF5"/>
    <w:rsid w:val="42991D01"/>
    <w:rsid w:val="43074B98"/>
    <w:rsid w:val="44E1584B"/>
    <w:rsid w:val="47141954"/>
    <w:rsid w:val="47573FFC"/>
    <w:rsid w:val="47F20366"/>
    <w:rsid w:val="4A564538"/>
    <w:rsid w:val="550B1BA8"/>
    <w:rsid w:val="55EE2673"/>
    <w:rsid w:val="564D61BE"/>
    <w:rsid w:val="58B76DBF"/>
    <w:rsid w:val="5D6B62E5"/>
    <w:rsid w:val="5E6304D8"/>
    <w:rsid w:val="5EC8589C"/>
    <w:rsid w:val="5EEC05C1"/>
    <w:rsid w:val="65792927"/>
    <w:rsid w:val="6B9D5311"/>
    <w:rsid w:val="6C5B55F5"/>
    <w:rsid w:val="6D480389"/>
    <w:rsid w:val="6F9D54EF"/>
    <w:rsid w:val="70C05D4F"/>
    <w:rsid w:val="77103EEA"/>
    <w:rsid w:val="7B636E1D"/>
    <w:rsid w:val="7D9C25F6"/>
    <w:rsid w:val="7DD04F73"/>
    <w:rsid w:val="7E6D33AD"/>
    <w:rsid w:val="7F7D47B2"/>
    <w:rsid w:val="7FBC68D6"/>
    <w:rsid w:val="7FF7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/>
      <w:ind w:left="420" w:leftChars="200" w:firstLine="420" w:firstLineChars="200"/>
    </w:pPr>
    <w:rPr>
      <w:szCs w:val="32"/>
      <w:lang w:val="en-US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szCs w:val="30"/>
      <w:lang w:val="zh-CN"/>
    </w:rPr>
  </w:style>
  <w:style w:type="paragraph" w:styleId="4">
    <w:name w:val="Body Text"/>
    <w:basedOn w:val="1"/>
    <w:link w:val="13"/>
    <w:qFormat/>
    <w:uiPriority w:val="0"/>
    <w:pPr>
      <w:spacing w:before="93" w:beforeLines="30"/>
    </w:pPr>
    <w:rPr>
      <w:rFonts w:ascii="仿宋_GB2312" w:eastAsia="仿宋_GB2312"/>
      <w:sz w:val="3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正文文本 Char"/>
    <w:basedOn w:val="8"/>
    <w:link w:val="4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4">
    <w:name w:val="样式46"/>
    <w:basedOn w:val="1"/>
    <w:qFormat/>
    <w:uiPriority w:val="0"/>
    <w:pPr>
      <w:spacing w:line="594" w:lineRule="atLeast"/>
      <w:ind w:firstLine="640" w:firstLineChars="200"/>
    </w:pPr>
    <w:rPr>
      <w:rFonts w:ascii="华文楷体 - aixinjuel" w:hAnsi="华文楷体 - aixinjuel" w:eastAsia="华文楷体 - aixinjuel" w:cs="楷体_GB2312"/>
      <w:color w:val="000000"/>
      <w:spacing w:val="-8"/>
      <w:sz w:val="30"/>
      <w:szCs w:val="30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5561</Words>
  <Characters>5895</Characters>
  <Lines>17</Lines>
  <Paragraphs>4</Paragraphs>
  <TotalTime>17</TotalTime>
  <ScaleCrop>false</ScaleCrop>
  <LinksUpToDate>false</LinksUpToDate>
  <CharactersWithSpaces>8367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hp</cp:lastModifiedBy>
  <dcterms:modified xsi:type="dcterms:W3CDTF">2023-02-01T03:29:06Z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F61D011ED08C48A7BA8B07D997368523</vt:lpwstr>
  </property>
</Properties>
</file>