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12" w:firstLineChars="100"/>
        <w:jc w:val="center"/>
        <w:rPr>
          <w:rStyle w:val="8"/>
          <w:rFonts w:hint="default" w:hAnsi="宋体" w:eastAsiaTheme="minorEastAsia"/>
          <w:b/>
          <w:bCs/>
          <w:color w:val="000000"/>
          <w:sz w:val="41"/>
          <w:szCs w:val="41"/>
          <w:lang w:val="en-US" w:eastAsia="zh-CN"/>
        </w:rPr>
      </w:pPr>
      <w:r>
        <w:rPr>
          <w:rStyle w:val="8"/>
          <w:rFonts w:hint="eastAsia" w:hAnsi="宋体"/>
          <w:b/>
          <w:bCs/>
          <w:color w:val="000000"/>
          <w:sz w:val="41"/>
          <w:szCs w:val="41"/>
        </w:rPr>
        <w:t>德阳市罗江区</w:t>
      </w:r>
      <w:r>
        <w:rPr>
          <w:rStyle w:val="8"/>
          <w:rFonts w:hint="eastAsia" w:hAnsi="宋体"/>
          <w:b/>
          <w:bCs/>
          <w:color w:val="000000"/>
          <w:sz w:val="41"/>
          <w:szCs w:val="41"/>
          <w:lang w:val="en-US" w:eastAsia="zh-CN"/>
        </w:rPr>
        <w:t>机关事务服务中心</w:t>
      </w:r>
    </w:p>
    <w:p>
      <w:pPr>
        <w:adjustRightInd w:val="0"/>
        <w:snapToGrid w:val="0"/>
        <w:spacing w:line="360" w:lineRule="auto"/>
        <w:jc w:val="center"/>
        <w:outlineLvl w:val="0"/>
        <w:rPr>
          <w:rStyle w:val="8"/>
          <w:rFonts w:hint="eastAsia" w:hAnsi="宋体"/>
          <w:b/>
          <w:bCs/>
          <w:color w:val="000000"/>
          <w:sz w:val="41"/>
          <w:szCs w:val="41"/>
        </w:rPr>
      </w:pPr>
      <w:r>
        <w:rPr>
          <w:rStyle w:val="8"/>
          <w:rFonts w:hAnsi="宋体"/>
          <w:b/>
          <w:bCs/>
          <w:color w:val="000000"/>
          <w:sz w:val="41"/>
          <w:szCs w:val="41"/>
        </w:rPr>
        <w:t>20</w:t>
      </w:r>
      <w:r>
        <w:rPr>
          <w:rStyle w:val="8"/>
          <w:rFonts w:hint="eastAsia" w:hAnsi="宋体"/>
          <w:b/>
          <w:bCs/>
          <w:color w:val="000000"/>
          <w:sz w:val="41"/>
          <w:szCs w:val="41"/>
        </w:rPr>
        <w:t>2</w:t>
      </w:r>
      <w:r>
        <w:rPr>
          <w:rStyle w:val="8"/>
          <w:rFonts w:hint="eastAsia" w:hAnsi="宋体"/>
          <w:b/>
          <w:bCs/>
          <w:color w:val="000000"/>
          <w:sz w:val="41"/>
          <w:szCs w:val="41"/>
          <w:lang w:val="en-US" w:eastAsia="zh-CN"/>
        </w:rPr>
        <w:t>2</w:t>
      </w:r>
      <w:r>
        <w:rPr>
          <w:rStyle w:val="8"/>
          <w:rFonts w:hAnsi="宋体"/>
          <w:b/>
          <w:bCs/>
          <w:color w:val="000000"/>
          <w:sz w:val="41"/>
          <w:szCs w:val="41"/>
        </w:rPr>
        <w:t>年部门预算编制说明</w:t>
      </w:r>
    </w:p>
    <w:p>
      <w:pPr>
        <w:adjustRightInd w:val="0"/>
        <w:snapToGrid w:val="0"/>
        <w:spacing w:line="360" w:lineRule="auto"/>
        <w:jc w:val="center"/>
        <w:outlineLvl w:val="0"/>
        <w:rPr>
          <w:rFonts w:hint="eastAsia" w:hAnsi="宋体"/>
          <w:color w:val="000000"/>
          <w:sz w:val="32"/>
          <w:szCs w:val="32"/>
        </w:rPr>
      </w:pPr>
      <w:r>
        <w:rPr>
          <w:rStyle w:val="8"/>
          <w:rFonts w:hint="eastAsia" w:hAnsi="宋体"/>
          <w:b/>
          <w:bCs/>
          <w:color w:val="000000"/>
          <w:sz w:val="32"/>
          <w:szCs w:val="32"/>
        </w:rPr>
        <w:t>目</w:t>
      </w:r>
      <w:r>
        <w:rPr>
          <w:rFonts w:hint="eastAsia" w:hAnsi="宋体"/>
          <w:color w:val="000000"/>
          <w:sz w:val="32"/>
          <w:szCs w:val="32"/>
        </w:rPr>
        <w:t>录</w:t>
      </w:r>
    </w:p>
    <w:p>
      <w:pPr>
        <w:adjustRightInd w:val="0"/>
        <w:snapToGrid w:val="0"/>
        <w:spacing w:line="360" w:lineRule="auto"/>
        <w:jc w:val="center"/>
        <w:outlineLvl w:val="0"/>
        <w:rPr>
          <w:rFonts w:hint="eastAsia" w:ascii="宋体" w:hAnsi="宋体"/>
          <w:sz w:val="24"/>
        </w:rPr>
      </w:pPr>
      <w:r>
        <w:rPr>
          <w:rFonts w:hint="eastAsia" w:ascii="宋体" w:hAnsi="宋体"/>
          <w:sz w:val="24"/>
        </w:rPr>
        <w:t>一、基本职能及主要工作</w:t>
      </w:r>
      <w:r>
        <w:rPr>
          <w:rFonts w:ascii="宋体" w:hAnsi="宋体" w:cs="Arial"/>
          <w:sz w:val="24"/>
        </w:rPr>
        <w:t>……………………………………………………………</w:t>
      </w:r>
      <w:r>
        <w:rPr>
          <w:rFonts w:hint="eastAsia" w:ascii="宋体" w:hAnsi="宋体"/>
          <w:sz w:val="24"/>
        </w:rPr>
        <w:t>2</w:t>
      </w:r>
    </w:p>
    <w:p>
      <w:pPr>
        <w:spacing w:line="400" w:lineRule="exact"/>
        <w:ind w:firstLine="465"/>
        <w:outlineLvl w:val="0"/>
        <w:rPr>
          <w:rFonts w:hint="eastAsia" w:hAnsi="宋体" w:cs="Arial"/>
          <w:sz w:val="24"/>
        </w:rPr>
      </w:pPr>
      <w:r>
        <w:rPr>
          <w:rFonts w:hint="eastAsia"/>
          <w:sz w:val="24"/>
        </w:rPr>
        <w:t>（一）主要职能</w:t>
      </w:r>
      <w:r>
        <w:rPr>
          <w:rFonts w:hAnsi="宋体" w:cs="Arial"/>
          <w:sz w:val="24"/>
        </w:rPr>
        <w:t>…………………………………………………………………</w:t>
      </w:r>
      <w:r>
        <w:rPr>
          <w:rFonts w:hint="eastAsia" w:hAnsi="宋体" w:cs="Arial"/>
          <w:sz w:val="24"/>
        </w:rPr>
        <w:t>2</w:t>
      </w:r>
    </w:p>
    <w:p>
      <w:pPr>
        <w:spacing w:line="400" w:lineRule="exact"/>
        <w:ind w:firstLine="465"/>
        <w:outlineLvl w:val="0"/>
        <w:rPr>
          <w:rFonts w:hint="eastAsia" w:hAnsi="宋体" w:cs="Arial"/>
          <w:sz w:val="24"/>
        </w:rPr>
      </w:pPr>
      <w:r>
        <w:rPr>
          <w:rFonts w:hint="eastAsia" w:hAnsi="宋体" w:cs="Arial"/>
          <w:sz w:val="24"/>
        </w:rPr>
        <w:t>（二）主要</w:t>
      </w:r>
      <w:r>
        <w:rPr>
          <w:rFonts w:hint="eastAsia" w:hAnsi="宋体" w:cs="Arial"/>
          <w:sz w:val="24"/>
          <w:lang w:val="en-US" w:eastAsia="zh-CN"/>
        </w:rPr>
        <w:t>工作</w:t>
      </w:r>
      <w:r>
        <w:rPr>
          <w:rFonts w:hAnsi="宋体" w:cs="Arial"/>
          <w:sz w:val="24"/>
        </w:rPr>
        <w:t>…………………………………………………………………</w:t>
      </w:r>
      <w:r>
        <w:rPr>
          <w:rFonts w:hint="eastAsia" w:hAnsi="宋体" w:cs="Arial"/>
          <w:sz w:val="24"/>
        </w:rPr>
        <w:t>3</w:t>
      </w:r>
    </w:p>
    <w:p>
      <w:pPr>
        <w:pStyle w:val="4"/>
        <w:adjustRightInd w:val="0"/>
        <w:snapToGrid w:val="0"/>
        <w:spacing w:line="400" w:lineRule="exact"/>
        <w:ind w:left="0" w:leftChars="0"/>
        <w:jc w:val="left"/>
        <w:outlineLvl w:val="0"/>
        <w:rPr>
          <w:rFonts w:ascii="宋体" w:hAnsi="宋体" w:cstheme="minorBidi"/>
          <w:sz w:val="24"/>
        </w:rPr>
      </w:pPr>
      <w:r>
        <w:rPr>
          <w:rFonts w:hint="eastAsia" w:ascii="宋体" w:hAnsi="宋体"/>
          <w:sz w:val="24"/>
        </w:rPr>
        <w:t>二、部门预算单位构成</w:t>
      </w:r>
      <w:r>
        <w:rPr>
          <w:rFonts w:ascii="宋体" w:hAnsi="宋体" w:cs="Arial"/>
          <w:sz w:val="24"/>
        </w:rPr>
        <w:t>………………………………………………………………</w:t>
      </w:r>
      <w:r>
        <w:rPr>
          <w:rFonts w:hint="eastAsia" w:ascii="宋体" w:hAnsi="宋体"/>
          <w:sz w:val="24"/>
        </w:rPr>
        <w:t>6</w:t>
      </w:r>
    </w:p>
    <w:p>
      <w:pPr>
        <w:pStyle w:val="4"/>
        <w:adjustRightInd w:val="0"/>
        <w:snapToGrid w:val="0"/>
        <w:spacing w:line="400" w:lineRule="exact"/>
        <w:ind w:left="0" w:leftChars="0"/>
        <w:outlineLvl w:val="0"/>
        <w:rPr>
          <w:rFonts w:hint="eastAsia" w:ascii="宋体" w:hAnsi="宋体"/>
          <w:sz w:val="24"/>
        </w:rPr>
      </w:pPr>
      <w:r>
        <w:rPr>
          <w:rFonts w:hint="eastAsia" w:ascii="宋体" w:hAnsi="宋体"/>
          <w:sz w:val="24"/>
        </w:rPr>
        <w:t>三、收支预算增减变化情况说明</w:t>
      </w:r>
      <w:r>
        <w:rPr>
          <w:rFonts w:ascii="宋体" w:hAnsi="宋体" w:cs="Arial"/>
          <w:sz w:val="24"/>
        </w:rPr>
        <w:t>……………………………………………………</w:t>
      </w:r>
      <w:r>
        <w:rPr>
          <w:rFonts w:hint="eastAsia" w:ascii="宋体" w:hAnsi="宋体"/>
          <w:sz w:val="24"/>
        </w:rPr>
        <w:t>7</w:t>
      </w:r>
    </w:p>
    <w:p>
      <w:pPr>
        <w:spacing w:line="400" w:lineRule="exact"/>
        <w:ind w:firstLine="480" w:firstLineChars="200"/>
        <w:rPr>
          <w:rFonts w:hint="eastAsia" w:hAnsi="宋体" w:cs="Arial"/>
          <w:sz w:val="24"/>
        </w:rPr>
      </w:pPr>
      <w:r>
        <w:rPr>
          <w:rFonts w:hint="eastAsia" w:hAnsi="宋体" w:cs="Arial"/>
          <w:sz w:val="24"/>
        </w:rPr>
        <w:t>（一）收入预算情况</w:t>
      </w:r>
      <w:r>
        <w:rPr>
          <w:rFonts w:hAnsi="宋体" w:cs="Arial"/>
          <w:sz w:val="24"/>
        </w:rPr>
        <w:t>……………………………………………………………</w:t>
      </w:r>
      <w:r>
        <w:rPr>
          <w:rFonts w:hint="eastAsia" w:hAnsi="宋体" w:cs="Arial"/>
          <w:sz w:val="24"/>
        </w:rPr>
        <w:t>7</w:t>
      </w:r>
    </w:p>
    <w:p>
      <w:pPr>
        <w:spacing w:line="400" w:lineRule="exact"/>
        <w:ind w:firstLine="480" w:firstLineChars="200"/>
        <w:rPr>
          <w:rFonts w:hAnsi="宋体" w:cs="Arial"/>
          <w:sz w:val="24"/>
        </w:rPr>
      </w:pPr>
      <w:r>
        <w:rPr>
          <w:rFonts w:hint="eastAsia" w:hAnsi="宋体" w:cs="Arial"/>
          <w:sz w:val="24"/>
        </w:rPr>
        <w:t>（二）支出预算情况</w:t>
      </w:r>
      <w:r>
        <w:rPr>
          <w:rFonts w:hAnsi="宋体" w:cs="Arial"/>
          <w:sz w:val="24"/>
        </w:rPr>
        <w:t>……………………………………………………………</w:t>
      </w:r>
      <w:r>
        <w:rPr>
          <w:rFonts w:hint="eastAsia" w:hAnsi="宋体" w:cs="Arial"/>
          <w:sz w:val="24"/>
        </w:rPr>
        <w:t>7</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四、财政拨款收支预算情况说明</w:t>
      </w:r>
      <w:r>
        <w:rPr>
          <w:rFonts w:ascii="宋体" w:hAnsi="宋体" w:cs="Arial"/>
          <w:sz w:val="24"/>
        </w:rPr>
        <w:t>……………………………………………………</w:t>
      </w:r>
      <w:r>
        <w:rPr>
          <w:rFonts w:hint="eastAsia" w:ascii="宋体" w:hAnsi="宋体"/>
          <w:sz w:val="24"/>
        </w:rPr>
        <w:t>7</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五、一般公共预算当年拨款情况说明</w:t>
      </w:r>
      <w:r>
        <w:rPr>
          <w:rFonts w:ascii="宋体" w:hAnsi="宋体" w:cs="Arial"/>
          <w:sz w:val="24"/>
        </w:rPr>
        <w:t>………………………………………………</w:t>
      </w:r>
      <w:r>
        <w:rPr>
          <w:rFonts w:hint="eastAsia" w:ascii="宋体" w:hAnsi="宋体"/>
          <w:sz w:val="24"/>
        </w:rPr>
        <w:t>8</w:t>
      </w:r>
    </w:p>
    <w:p>
      <w:pPr>
        <w:pStyle w:val="4"/>
        <w:adjustRightInd w:val="0"/>
        <w:snapToGrid w:val="0"/>
        <w:spacing w:line="400" w:lineRule="exact"/>
        <w:ind w:left="0" w:leftChars="0" w:firstLine="480" w:firstLineChars="200"/>
        <w:outlineLvl w:val="0"/>
        <w:rPr>
          <w:rFonts w:hint="eastAsia" w:ascii="宋体" w:hAnsi="宋体"/>
          <w:sz w:val="24"/>
        </w:rPr>
      </w:pPr>
      <w:r>
        <w:rPr>
          <w:rFonts w:hint="eastAsia" w:ascii="宋体" w:hAnsi="宋体"/>
          <w:sz w:val="24"/>
        </w:rPr>
        <w:t>（一）一般公共预算当年拨款情况说明</w:t>
      </w:r>
      <w:r>
        <w:rPr>
          <w:rFonts w:ascii="宋体" w:hAnsi="宋体" w:cs="Arial"/>
          <w:sz w:val="24"/>
        </w:rPr>
        <w:t>………………………………………</w:t>
      </w:r>
      <w:r>
        <w:rPr>
          <w:rFonts w:hint="eastAsia" w:ascii="宋体" w:hAnsi="宋体" w:cs="Arial"/>
          <w:sz w:val="24"/>
        </w:rPr>
        <w:t>8</w:t>
      </w:r>
    </w:p>
    <w:p>
      <w:pPr>
        <w:spacing w:line="400" w:lineRule="exact"/>
        <w:ind w:firstLine="480" w:firstLineChars="200"/>
        <w:rPr>
          <w:rFonts w:hint="eastAsia" w:hAnsi="宋体"/>
          <w:sz w:val="24"/>
        </w:rPr>
      </w:pPr>
      <w:r>
        <w:rPr>
          <w:rFonts w:hint="eastAsia" w:hAnsi="宋体"/>
          <w:sz w:val="24"/>
        </w:rPr>
        <w:t>（二）一般公共预算当年拨款结构情况</w:t>
      </w:r>
      <w:r>
        <w:rPr>
          <w:rFonts w:hAnsi="宋体" w:cs="Arial"/>
          <w:sz w:val="24"/>
        </w:rPr>
        <w:t>………………………………………</w:t>
      </w:r>
      <w:r>
        <w:rPr>
          <w:rFonts w:hint="eastAsia" w:hAnsi="宋体" w:cs="Arial"/>
          <w:sz w:val="24"/>
        </w:rPr>
        <w:t>8</w:t>
      </w:r>
    </w:p>
    <w:p>
      <w:pPr>
        <w:spacing w:line="400" w:lineRule="exact"/>
        <w:ind w:firstLine="480" w:firstLineChars="200"/>
        <w:rPr>
          <w:rFonts w:hint="eastAsia"/>
        </w:rPr>
      </w:pPr>
      <w:r>
        <w:rPr>
          <w:rFonts w:hint="eastAsia" w:hAnsi="宋体"/>
          <w:sz w:val="24"/>
        </w:rPr>
        <w:t>（三）一般公共预算当年拨款具体使用情况</w:t>
      </w:r>
      <w:r>
        <w:rPr>
          <w:rFonts w:hAnsi="宋体" w:cs="Arial"/>
          <w:sz w:val="24"/>
        </w:rPr>
        <w:t>…………………………………</w:t>
      </w:r>
      <w:r>
        <w:rPr>
          <w:rFonts w:hint="eastAsia" w:hAnsi="宋体" w:cs="Arial"/>
          <w:sz w:val="24"/>
        </w:rPr>
        <w:t>8</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六、一般公共预算基本支出情况说明</w:t>
      </w:r>
      <w:r>
        <w:rPr>
          <w:rFonts w:ascii="宋体" w:hAnsi="宋体" w:cs="Arial"/>
          <w:sz w:val="24"/>
        </w:rPr>
        <w:t>………………………………………………</w:t>
      </w:r>
      <w:r>
        <w:rPr>
          <w:rFonts w:hint="eastAsia" w:ascii="宋体" w:hAnsi="宋体"/>
          <w:sz w:val="24"/>
        </w:rPr>
        <w:t>10</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七、“三公”经费财政拨款预算安排情况说明</w:t>
      </w:r>
      <w:r>
        <w:rPr>
          <w:rFonts w:ascii="宋体" w:hAnsi="宋体" w:cs="Arial"/>
          <w:sz w:val="24"/>
        </w:rPr>
        <w:t>……………………………………</w:t>
      </w:r>
      <w:r>
        <w:rPr>
          <w:rFonts w:hint="eastAsia" w:ascii="宋体" w:hAnsi="宋体"/>
          <w:sz w:val="24"/>
        </w:rPr>
        <w:t>10</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八、政府性基金预算收支情况说明</w:t>
      </w:r>
      <w:r>
        <w:rPr>
          <w:rFonts w:ascii="宋体" w:hAnsi="宋体" w:cs="Arial"/>
          <w:w w:val="99"/>
          <w:sz w:val="24"/>
        </w:rPr>
        <w:t>………………………</w:t>
      </w:r>
      <w:r>
        <w:rPr>
          <w:rFonts w:ascii="宋体" w:hAnsi="宋体" w:cs="Arial"/>
          <w:sz w:val="24"/>
        </w:rPr>
        <w:t>…………</w:t>
      </w:r>
      <w:r>
        <w:rPr>
          <w:rFonts w:ascii="宋体" w:hAnsi="宋体" w:cs="Arial"/>
          <w:w w:val="99"/>
          <w:sz w:val="24"/>
        </w:rPr>
        <w:t>………………</w:t>
      </w:r>
      <w:r>
        <w:rPr>
          <w:rFonts w:hint="eastAsia" w:ascii="宋体" w:hAnsi="宋体"/>
          <w:sz w:val="24"/>
        </w:rPr>
        <w:t>11</w:t>
      </w:r>
    </w:p>
    <w:p>
      <w:pPr>
        <w:pStyle w:val="4"/>
        <w:adjustRightInd w:val="0"/>
        <w:snapToGrid w:val="0"/>
        <w:spacing w:line="400" w:lineRule="exact"/>
        <w:ind w:left="0" w:leftChars="0"/>
        <w:outlineLvl w:val="0"/>
        <w:rPr>
          <w:rFonts w:ascii="宋体" w:hAnsi="宋体"/>
          <w:sz w:val="24"/>
        </w:rPr>
      </w:pPr>
      <w:r>
        <w:rPr>
          <w:rFonts w:hint="eastAsia" w:ascii="宋体" w:hAnsi="宋体"/>
          <w:sz w:val="24"/>
        </w:rPr>
        <w:t>九、国有资本经营预算支出情况说明</w:t>
      </w:r>
      <w:r>
        <w:rPr>
          <w:rFonts w:ascii="宋体" w:hAnsi="宋体" w:cs="Arial"/>
          <w:sz w:val="24"/>
        </w:rPr>
        <w:t>………………………………………………</w:t>
      </w:r>
      <w:r>
        <w:rPr>
          <w:rFonts w:hint="eastAsia" w:ascii="宋体" w:hAnsi="宋体"/>
          <w:sz w:val="24"/>
        </w:rPr>
        <w:t>11</w:t>
      </w:r>
    </w:p>
    <w:p>
      <w:pPr>
        <w:pStyle w:val="4"/>
        <w:adjustRightInd w:val="0"/>
        <w:snapToGrid w:val="0"/>
        <w:spacing w:line="400" w:lineRule="exact"/>
        <w:ind w:left="0" w:leftChars="0"/>
        <w:outlineLvl w:val="0"/>
        <w:rPr>
          <w:rFonts w:hint="eastAsia" w:ascii="宋体" w:hAnsi="宋体"/>
          <w:sz w:val="24"/>
        </w:rPr>
      </w:pPr>
      <w:r>
        <w:rPr>
          <w:rStyle w:val="9"/>
          <w:rFonts w:hint="eastAsia" w:ascii="宋体" w:hAnsi="宋体"/>
          <w:color w:val="000000" w:themeColor="text1"/>
          <w:sz w:val="24"/>
          <w:u w:val="none"/>
          <w14:textFill>
            <w14:solidFill>
              <w14:schemeClr w14:val="tx1"/>
            </w14:solidFill>
          </w14:textFill>
        </w:rPr>
        <w:t>十、</w:t>
      </w:r>
      <w:r>
        <w:rPr>
          <w:rFonts w:hint="eastAsia" w:ascii="宋体" w:hAnsi="宋体"/>
          <w:sz w:val="24"/>
        </w:rPr>
        <w:t>其他重要事项的情况说明</w:t>
      </w:r>
      <w:r>
        <w:rPr>
          <w:rFonts w:ascii="宋体" w:hAnsi="宋体" w:cs="Arial"/>
          <w:sz w:val="24"/>
        </w:rPr>
        <w:t>………………………………………………………</w:t>
      </w:r>
      <w:r>
        <w:rPr>
          <w:rFonts w:hint="eastAsia" w:ascii="宋体" w:hAnsi="宋体"/>
          <w:sz w:val="24"/>
        </w:rPr>
        <w:t>11</w:t>
      </w:r>
    </w:p>
    <w:p>
      <w:pPr>
        <w:spacing w:line="400" w:lineRule="exact"/>
        <w:ind w:firstLine="480" w:firstLineChars="200"/>
        <w:rPr>
          <w:rFonts w:hint="eastAsia" w:hAnsi="宋体"/>
          <w:sz w:val="24"/>
        </w:rPr>
      </w:pPr>
      <w:r>
        <w:rPr>
          <w:rFonts w:hint="eastAsia" w:hAnsi="宋体"/>
          <w:sz w:val="24"/>
        </w:rPr>
        <w:t>（一）机关运行经费</w:t>
      </w:r>
      <w:r>
        <w:rPr>
          <w:rFonts w:hAnsi="宋体" w:cs="Arial"/>
          <w:sz w:val="24"/>
        </w:rPr>
        <w:t>……………………………………………………………</w:t>
      </w:r>
      <w:r>
        <w:rPr>
          <w:rFonts w:hint="eastAsia" w:hAnsi="宋体" w:cs="Arial"/>
          <w:sz w:val="24"/>
        </w:rPr>
        <w:t>11</w:t>
      </w:r>
    </w:p>
    <w:p>
      <w:pPr>
        <w:spacing w:line="400" w:lineRule="exact"/>
        <w:ind w:firstLine="480" w:firstLineChars="200"/>
        <w:rPr>
          <w:rFonts w:hint="eastAsia" w:hAnsi="宋体"/>
          <w:sz w:val="24"/>
        </w:rPr>
      </w:pPr>
      <w:r>
        <w:rPr>
          <w:rFonts w:hint="eastAsia" w:hAnsi="宋体"/>
          <w:sz w:val="24"/>
        </w:rPr>
        <w:t>（二）政府采购情况</w:t>
      </w:r>
      <w:r>
        <w:rPr>
          <w:rFonts w:hAnsi="宋体" w:cs="Arial"/>
          <w:sz w:val="24"/>
        </w:rPr>
        <w:t>……………………………………………………………</w:t>
      </w:r>
      <w:r>
        <w:rPr>
          <w:rFonts w:hint="eastAsia" w:hAnsi="宋体" w:cs="Arial"/>
          <w:sz w:val="24"/>
        </w:rPr>
        <w:t>11</w:t>
      </w:r>
    </w:p>
    <w:p>
      <w:pPr>
        <w:spacing w:line="400" w:lineRule="exact"/>
        <w:ind w:firstLine="480" w:firstLineChars="200"/>
        <w:rPr>
          <w:rFonts w:hint="eastAsia" w:hAnsi="宋体"/>
          <w:sz w:val="24"/>
        </w:rPr>
      </w:pPr>
      <w:r>
        <w:rPr>
          <w:rFonts w:hint="eastAsia" w:hAnsi="宋体"/>
          <w:sz w:val="24"/>
        </w:rPr>
        <w:t>（三）国有资产占有使用情况</w:t>
      </w:r>
      <w:r>
        <w:rPr>
          <w:rFonts w:hAnsi="宋体" w:cs="Arial"/>
          <w:sz w:val="24"/>
        </w:rPr>
        <w:t>…………………………………………………</w:t>
      </w:r>
      <w:r>
        <w:rPr>
          <w:rFonts w:hint="eastAsia" w:hAnsi="宋体" w:cs="Arial"/>
          <w:sz w:val="24"/>
        </w:rPr>
        <w:t>11</w:t>
      </w:r>
    </w:p>
    <w:p>
      <w:pPr>
        <w:spacing w:line="400" w:lineRule="exact"/>
        <w:ind w:firstLine="480" w:firstLineChars="200"/>
        <w:rPr>
          <w:rFonts w:hAnsi="宋体"/>
          <w:sz w:val="24"/>
        </w:rPr>
      </w:pPr>
      <w:r>
        <w:rPr>
          <w:rFonts w:hint="eastAsia" w:hAnsi="宋体"/>
          <w:sz w:val="24"/>
        </w:rPr>
        <w:t>（四）绩效目标设置情况</w:t>
      </w:r>
      <w:r>
        <w:rPr>
          <w:rFonts w:hAnsi="宋体" w:cs="Arial"/>
          <w:sz w:val="24"/>
        </w:rPr>
        <w:t>………………………………………………………</w:t>
      </w:r>
      <w:r>
        <w:rPr>
          <w:rFonts w:hint="eastAsia" w:hAnsi="宋体" w:cs="Arial"/>
          <w:sz w:val="24"/>
        </w:rPr>
        <w:t>12</w:t>
      </w:r>
    </w:p>
    <w:p>
      <w:pPr>
        <w:pStyle w:val="4"/>
        <w:adjustRightInd w:val="0"/>
        <w:snapToGrid w:val="0"/>
        <w:spacing w:line="400" w:lineRule="exact"/>
        <w:ind w:left="0" w:leftChars="0"/>
        <w:outlineLvl w:val="0"/>
        <w:rPr>
          <w:rFonts w:ascii="宋体" w:hAnsi="宋体" w:cs="Arial"/>
          <w:sz w:val="24"/>
        </w:rPr>
      </w:pPr>
      <w:r>
        <w:rPr>
          <w:rStyle w:val="9"/>
          <w:rFonts w:hint="eastAsia" w:ascii="宋体" w:hAnsi="宋体"/>
          <w:color w:val="000000" w:themeColor="text1"/>
          <w:sz w:val="24"/>
          <w:u w:val="none"/>
          <w14:textFill>
            <w14:solidFill>
              <w14:schemeClr w14:val="tx1"/>
            </w14:solidFill>
          </w14:textFill>
        </w:rPr>
        <w:t>十一、</w:t>
      </w:r>
      <w:r>
        <w:rPr>
          <w:rFonts w:hint="eastAsia" w:ascii="宋体" w:hAnsi="宋体"/>
          <w:sz w:val="24"/>
        </w:rPr>
        <w:t>名词解释</w:t>
      </w:r>
      <w:r>
        <w:rPr>
          <w:rFonts w:ascii="宋体" w:hAnsi="宋体" w:cs="Arial"/>
          <w:sz w:val="24"/>
        </w:rPr>
        <w:t>………………………………………………………………………</w:t>
      </w:r>
      <w:r>
        <w:rPr>
          <w:rFonts w:hint="eastAsia" w:ascii="宋体" w:hAnsi="宋体" w:cs="Arial"/>
          <w:sz w:val="24"/>
        </w:rPr>
        <w:t>12</w:t>
      </w:r>
    </w:p>
    <w:p>
      <w:pPr>
        <w:ind w:firstLine="560" w:firstLineChars="200"/>
        <w:rPr>
          <w:rFonts w:ascii="仿宋_GB2312" w:hAnsi="仿宋_GB2312" w:eastAsia="仿宋_GB2312"/>
          <w:sz w:val="28"/>
          <w:szCs w:val="28"/>
        </w:rPr>
      </w:pPr>
      <w:r>
        <w:rPr>
          <w:rFonts w:hint="eastAsia" w:ascii="仿宋_GB2312" w:hAnsi="仿宋_GB2312" w:eastAsia="仿宋_GB2312"/>
          <w:sz w:val="28"/>
          <w:szCs w:val="28"/>
        </w:rPr>
        <w:t>附件：1、中共德阳市罗江区委办公室2021年部门预算公开表。</w:t>
      </w:r>
    </w:p>
    <w:p>
      <w:pPr>
        <w:ind w:firstLine="560" w:firstLineChars="200"/>
        <w:rPr>
          <w:rFonts w:ascii="仿宋_GB2312" w:hAnsi="仿宋_GB2312" w:eastAsia="仿宋_GB2312"/>
          <w:sz w:val="28"/>
          <w:szCs w:val="28"/>
        </w:rPr>
      </w:pPr>
      <w:r>
        <w:rPr>
          <w:rFonts w:hint="eastAsia" w:ascii="仿宋_GB2312" w:hAnsi="仿宋_GB2312" w:eastAsia="仿宋_GB2312"/>
          <w:sz w:val="28"/>
          <w:szCs w:val="28"/>
        </w:rPr>
        <w:t>2、中共德阳市罗江区委办公室2021年部门预算项目支出绩效目标公开表。</w:t>
      </w:r>
    </w:p>
    <w:p>
      <w:pPr>
        <w:ind w:firstLine="560" w:firstLineChars="200"/>
        <w:rPr>
          <w:rFonts w:ascii="仿宋_GB2312" w:hAnsi="仿宋_GB2312" w:eastAsia="仿宋_GB2312"/>
          <w:sz w:val="28"/>
          <w:szCs w:val="28"/>
        </w:rPr>
      </w:pPr>
      <w:r>
        <w:rPr>
          <w:rFonts w:hint="eastAsia" w:ascii="仿宋_GB2312" w:hAnsi="仿宋_GB2312" w:eastAsia="仿宋_GB2312"/>
          <w:sz w:val="28"/>
          <w:szCs w:val="28"/>
        </w:rPr>
        <w:t>3、中共德阳市罗江区委办公室2021年部门整体支出绩效目标公开表。</w:t>
      </w:r>
    </w:p>
    <w:p>
      <w:pPr>
        <w:spacing w:line="560" w:lineRule="exact"/>
        <w:ind w:firstLine="2560" w:firstLineChars="800"/>
        <w:jc w:val="both"/>
        <w:rPr>
          <w:rFonts w:ascii="仿宋_GB2312" w:hAnsi="仿宋_GB2312" w:eastAsia="仿宋_GB2312"/>
          <w:sz w:val="32"/>
          <w:szCs w:val="32"/>
        </w:rPr>
      </w:pPr>
      <w:r>
        <w:rPr>
          <w:rFonts w:hint="eastAsia" w:ascii="仿宋_GB2312" w:hAnsi="仿宋_GB2312" w:eastAsia="仿宋_GB2312"/>
          <w:sz w:val="32"/>
          <w:szCs w:val="32"/>
        </w:rPr>
        <w:t>2021年部门预算公开表目录</w:t>
      </w:r>
    </w:p>
    <w:p>
      <w:pPr>
        <w:numPr>
          <w:ilvl w:val="0"/>
          <w:numId w:val="1"/>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部门收支总表</w:t>
      </w:r>
    </w:p>
    <w:p>
      <w:pPr>
        <w:numPr>
          <w:ilvl w:val="1"/>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部门收入总表</w:t>
      </w:r>
    </w:p>
    <w:p>
      <w:pPr>
        <w:numPr>
          <w:ilvl w:val="1"/>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部门支出总表</w:t>
      </w:r>
    </w:p>
    <w:p>
      <w:pPr>
        <w:numPr>
          <w:ilvl w:val="0"/>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财政拨款收支预算总表</w:t>
      </w:r>
    </w:p>
    <w:p>
      <w:pPr>
        <w:numPr>
          <w:ilvl w:val="1"/>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财政拨款支出预算表（政府经济分类科目）</w:t>
      </w:r>
    </w:p>
    <w:p>
      <w:pPr>
        <w:numPr>
          <w:ilvl w:val="0"/>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一般公共预算支出预算表</w:t>
      </w:r>
    </w:p>
    <w:p>
      <w:pPr>
        <w:numPr>
          <w:ilvl w:val="1"/>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一般公共预算基本支出预算表</w:t>
      </w:r>
    </w:p>
    <w:p>
      <w:pPr>
        <w:numPr>
          <w:ilvl w:val="1"/>
          <w:numId w:val="2"/>
        </w:numPr>
        <w:spacing w:line="560" w:lineRule="exact"/>
        <w:jc w:val="left"/>
        <w:rPr>
          <w:rFonts w:ascii="仿宋_GB2312" w:hAnsi="仿宋_GB2312" w:eastAsia="仿宋_GB2312"/>
          <w:sz w:val="32"/>
          <w:szCs w:val="32"/>
        </w:rPr>
      </w:pPr>
      <w:r>
        <w:rPr>
          <w:rFonts w:ascii="仿宋_GB2312" w:hAnsi="仿宋_GB2312" w:eastAsia="仿宋_GB2312"/>
          <w:sz w:val="32"/>
          <w:szCs w:val="32"/>
        </w:rPr>
        <w:t>一般公共预算项目支出预算表</w:t>
      </w:r>
    </w:p>
    <w:p>
      <w:pPr>
        <w:numPr>
          <w:ilvl w:val="1"/>
          <w:numId w:val="2"/>
        </w:numPr>
        <w:spacing w:line="560" w:lineRule="exact"/>
        <w:jc w:val="left"/>
        <w:rPr>
          <w:rFonts w:ascii="仿宋_GB2312" w:hAnsi="仿宋_GB2312" w:eastAsia="仿宋_GB2312"/>
          <w:sz w:val="32"/>
          <w:szCs w:val="32"/>
        </w:rPr>
      </w:pPr>
      <w:r>
        <w:rPr>
          <w:rFonts w:ascii="仿宋_GB2312" w:hAnsi="仿宋_GB2312" w:eastAsia="仿宋_GB2312"/>
          <w:sz w:val="32"/>
          <w:szCs w:val="32"/>
        </w:rPr>
        <w:t>一般公共预算“三公”经费支出预算表</w:t>
      </w:r>
    </w:p>
    <w:p>
      <w:pPr>
        <w:numPr>
          <w:ilvl w:val="0"/>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政府性基金支出预算表</w:t>
      </w:r>
    </w:p>
    <w:p>
      <w:pPr>
        <w:numPr>
          <w:ilvl w:val="1"/>
          <w:numId w:val="2"/>
        </w:numPr>
        <w:spacing w:line="560" w:lineRule="exact"/>
        <w:jc w:val="left"/>
        <w:rPr>
          <w:rFonts w:ascii="仿宋_GB2312" w:hAnsi="仿宋_GB2312" w:eastAsia="仿宋_GB2312"/>
          <w:sz w:val="32"/>
          <w:szCs w:val="32"/>
        </w:rPr>
      </w:pPr>
      <w:r>
        <w:rPr>
          <w:rFonts w:ascii="仿宋_GB2312" w:hAnsi="仿宋_GB2312" w:eastAsia="仿宋_GB2312"/>
          <w:sz w:val="32"/>
          <w:szCs w:val="32"/>
        </w:rPr>
        <w:t>政府性基金预算“三公”经费支出预算表</w:t>
      </w:r>
    </w:p>
    <w:p>
      <w:pPr>
        <w:numPr>
          <w:ilvl w:val="0"/>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国有资本经营预算支出预算表</w:t>
      </w:r>
    </w:p>
    <w:p>
      <w:pPr>
        <w:numPr>
          <w:ilvl w:val="0"/>
          <w:numId w:val="2"/>
        </w:numPr>
        <w:spacing w:line="560" w:lineRule="exact"/>
        <w:jc w:val="left"/>
        <w:rPr>
          <w:rFonts w:ascii="仿宋_GB2312" w:hAnsi="仿宋_GB2312" w:eastAsia="仿宋_GB2312"/>
          <w:sz w:val="32"/>
          <w:szCs w:val="32"/>
        </w:rPr>
      </w:pPr>
      <w:r>
        <w:rPr>
          <w:rFonts w:ascii="仿宋_GB2312" w:hAnsi="仿宋_GB2312" w:eastAsia="仿宋_GB2312"/>
          <w:sz w:val="32"/>
          <w:szCs w:val="32"/>
        </w:rPr>
        <w:t>2021年部门预算项目绩效目标（部门预算）</w:t>
      </w:r>
    </w:p>
    <w:p>
      <w:pPr>
        <w:numPr>
          <w:ilvl w:val="1"/>
          <w:numId w:val="2"/>
        </w:numPr>
        <w:spacing w:line="560" w:lineRule="exact"/>
        <w:jc w:val="left"/>
        <w:rPr>
          <w:rFonts w:ascii="仿宋_GB2312" w:hAnsi="仿宋_GB2312" w:eastAsia="仿宋_GB2312"/>
          <w:sz w:val="32"/>
          <w:szCs w:val="32"/>
        </w:rPr>
      </w:pPr>
      <w:r>
        <w:rPr>
          <w:rFonts w:hint="eastAsia" w:ascii="仿宋_GB2312" w:hAnsi="仿宋_GB2312" w:eastAsia="仿宋_GB2312"/>
          <w:sz w:val="32"/>
          <w:szCs w:val="32"/>
        </w:rPr>
        <w:t>政府预算基本支出表</w:t>
      </w:r>
    </w:p>
    <w:p>
      <w:pPr>
        <w:numPr>
          <w:ilvl w:val="1"/>
          <w:numId w:val="2"/>
        </w:numPr>
        <w:spacing w:line="560" w:lineRule="exact"/>
        <w:jc w:val="left"/>
        <w:rPr>
          <w:rFonts w:ascii="仿宋_GB2312" w:hAnsi="仿宋_GB2312" w:eastAsia="仿宋_GB2312"/>
          <w:sz w:val="32"/>
          <w:szCs w:val="32"/>
        </w:rPr>
      </w:pPr>
      <w:r>
        <w:rPr>
          <w:rFonts w:ascii="仿宋_GB2312" w:hAnsi="仿宋_GB2312" w:eastAsia="仿宋_GB2312"/>
          <w:sz w:val="32"/>
          <w:szCs w:val="32"/>
        </w:rPr>
        <w:t>政府预算项目支出表</w:t>
      </w:r>
    </w:p>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eastAsia" w:ascii="宋体" w:hAnsi="宋体" w:eastAsia="宋体" w:cs="宋体"/>
          <w:i w:val="0"/>
          <w:iCs w:val="0"/>
          <w:caps w:val="0"/>
          <w:color w:val="333333"/>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eastAsia" w:ascii="宋体" w:hAnsi="宋体" w:eastAsia="宋体" w:cs="宋体"/>
          <w:i w:val="0"/>
          <w:iCs w:val="0"/>
          <w:caps w:val="0"/>
          <w:color w:val="333333"/>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eastAsia" w:ascii="宋体" w:hAnsi="宋体" w:eastAsia="宋体" w:cs="宋体"/>
          <w:i w:val="0"/>
          <w:iCs w:val="0"/>
          <w:caps w:val="0"/>
          <w:color w:val="333333"/>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eastAsia" w:ascii="宋体" w:hAnsi="宋体" w:eastAsia="宋体" w:cs="宋体"/>
          <w:i w:val="0"/>
          <w:iCs w:val="0"/>
          <w:caps w:val="0"/>
          <w:color w:val="333333"/>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eastAsia" w:ascii="宋体" w:hAnsi="宋体" w:eastAsia="宋体" w:cs="宋体"/>
          <w:i w:val="0"/>
          <w:iCs w:val="0"/>
          <w:caps w:val="0"/>
          <w:color w:val="333333"/>
          <w:spacing w:val="0"/>
          <w:kern w:val="0"/>
          <w:sz w:val="44"/>
          <w:szCs w:val="4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center"/>
        <w:rPr>
          <w:rFonts w:hint="default" w:ascii="微软雅黑" w:hAnsi="微软雅黑" w:eastAsia="微软雅黑" w:cs="微软雅黑"/>
          <w:i w:val="0"/>
          <w:iCs w:val="0"/>
          <w:caps w:val="0"/>
          <w:color w:val="333333"/>
          <w:spacing w:val="0"/>
          <w:kern w:val="0"/>
          <w:sz w:val="36"/>
          <w:szCs w:val="36"/>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黑体" w:hAnsi="黑体" w:eastAsia="黑体" w:cs="黑体"/>
          <w:i w:val="0"/>
          <w:iCs w:val="0"/>
          <w:caps w:val="0"/>
          <w:color w:val="333333"/>
          <w:spacing w:val="0"/>
          <w:kern w:val="0"/>
          <w:sz w:val="32"/>
          <w:szCs w:val="3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一、基本职能及主要工作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（一）机关事务服务中心机构设置及主要职责。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1.机关事务服务中心通过招标物业管理公司对政务服务大楼机关事务进行管理、保障、服务工作。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2.物管的内容包括：大楼房屋、公共设施设备的维修维护；大院绿化的养护；公共区域（含政务服务大厅）环境卫生、绿化保洁；区域内24小时安保；车辆停放的管理；区域内公共秩序的维护；会议室的保洁和会议服务；公共区域的植物摆放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3.机关事务服务中心负责制定针对物管公司的相应制度，对物管公司履约进行监管。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4.机关事务服务中心负责制定政务大楼管理和使用的各项制度。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5.机关事务服务中心负责会议中心的日常管理，协助有关部门做好所承办会议的服务工作。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6.机关事务服务中心负责食堂的管理工作。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7.机关事务服务中心负责大楼的水电气费的管理，负责审查批准区域的维修维护费用。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8.机关事务服务中心负责全区公务用车的管理。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9.机关事务服务中心负责协调做好社会治安综合治理、爱国卫生等工作；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10.机关事务服务中心负责四大班子办公区的保洁、安保、绿化等后勤管理服务。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11.完成区委办公室领导交办的其他事项。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（二）机关事务服务中心2022年重点工作。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lang w:val="en-US" w:eastAsia="zh-CN"/>
        </w:rPr>
      </w:pPr>
      <w:r>
        <w:rPr>
          <w:rFonts w:hint="eastAsia" w:ascii="仿宋" w:hAnsi="仿宋" w:eastAsia="仿宋" w:cs="仿宋"/>
          <w:i w:val="0"/>
          <w:iCs w:val="0"/>
          <w:caps w:val="0"/>
          <w:color w:val="333333"/>
          <w:spacing w:val="0"/>
          <w:sz w:val="30"/>
          <w:szCs w:val="30"/>
          <w:lang w:val="en-US" w:eastAsia="zh-CN"/>
        </w:rPr>
        <w:t>高举习近平新时代中国特色社会主义思想伟大旗帜，准确把握新发展阶段、新发展理念、新发展格局、高质量发展“三新一高”这一逻辑主线，聚焦“1+4+N”工作体系，即以“绿色机关建设”为统揽，以办公用房、公务用车、公共机构节能、事务服务多项重点工作为基础，以N项上级交办任务为抓手。超前谋划。主动作为，翻开机关事务高质量发展新篇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黑体" w:hAnsi="黑体" w:eastAsia="黑体" w:cs="黑体"/>
          <w:b w:val="0"/>
          <w:bCs w:val="0"/>
          <w:i w:val="0"/>
          <w:iCs w:val="0"/>
          <w:caps w:val="0"/>
          <w:color w:val="333333"/>
          <w:spacing w:val="0"/>
          <w:sz w:val="32"/>
          <w:szCs w:val="32"/>
        </w:rPr>
      </w:pPr>
      <w:r>
        <w:rPr>
          <w:rFonts w:hint="eastAsia" w:ascii="黑体" w:hAnsi="黑体" w:eastAsia="黑体" w:cs="黑体"/>
          <w:b w:val="0"/>
          <w:bCs w:val="0"/>
          <w:i w:val="0"/>
          <w:iCs w:val="0"/>
          <w:caps w:val="0"/>
          <w:color w:val="333333"/>
          <w:spacing w:val="0"/>
          <w:kern w:val="0"/>
          <w:sz w:val="32"/>
          <w:szCs w:val="32"/>
          <w:shd w:val="clear" w:fill="FFFFFF"/>
          <w:lang w:val="en-US" w:eastAsia="zh-CN" w:bidi="ar"/>
        </w:rPr>
        <w:t>二、部门预算单位构成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机关事务服务中心下属二级预算单位0个，其中行政单位0个，其他事业单位0个,参照公务员法管理的事业单位0个，其他事业单位0个。主要包括：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72"/>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机关事务服务中心</w:t>
      </w:r>
      <w:r>
        <w:rPr>
          <w:rFonts w:hint="eastAsia" w:ascii="仿宋" w:hAnsi="仿宋" w:eastAsia="仿宋" w:cs="仿宋"/>
          <w:i w:val="0"/>
          <w:iCs w:val="0"/>
          <w:caps w:val="0"/>
          <w:color w:val="333333"/>
          <w:spacing w:val="0"/>
          <w:sz w:val="30"/>
          <w:szCs w:val="30"/>
          <w:shd w:val="clear" w:fill="FFFFFF"/>
        </w:rPr>
        <w:t>总编制1</w:t>
      </w:r>
      <w:r>
        <w:rPr>
          <w:rFonts w:hint="eastAsia" w:ascii="仿宋" w:hAnsi="仿宋" w:eastAsia="仿宋" w:cs="仿宋"/>
          <w:i w:val="0"/>
          <w:iCs w:val="0"/>
          <w:caps w:val="0"/>
          <w:color w:val="333333"/>
          <w:spacing w:val="0"/>
          <w:sz w:val="30"/>
          <w:szCs w:val="30"/>
          <w:shd w:val="clear" w:fill="FFFFFF"/>
          <w:lang w:val="en-US" w:eastAsia="zh-CN"/>
        </w:rPr>
        <w:t>5</w:t>
      </w:r>
      <w:r>
        <w:rPr>
          <w:rFonts w:hint="eastAsia" w:ascii="仿宋" w:hAnsi="仿宋" w:eastAsia="仿宋" w:cs="仿宋"/>
          <w:i w:val="0"/>
          <w:iCs w:val="0"/>
          <w:caps w:val="0"/>
          <w:color w:val="333333"/>
          <w:spacing w:val="0"/>
          <w:sz w:val="30"/>
          <w:szCs w:val="30"/>
          <w:shd w:val="clear" w:fill="FFFFFF"/>
        </w:rPr>
        <w:t>名，其中行政编制0名，事业编制1</w:t>
      </w:r>
      <w:r>
        <w:rPr>
          <w:rFonts w:hint="eastAsia" w:ascii="仿宋" w:hAnsi="仿宋" w:eastAsia="仿宋" w:cs="仿宋"/>
          <w:i w:val="0"/>
          <w:iCs w:val="0"/>
          <w:caps w:val="0"/>
          <w:color w:val="333333"/>
          <w:spacing w:val="0"/>
          <w:sz w:val="30"/>
          <w:szCs w:val="30"/>
          <w:shd w:val="clear" w:fill="FFFFFF"/>
          <w:lang w:val="en-US" w:eastAsia="zh-CN"/>
        </w:rPr>
        <w:t>5</w:t>
      </w:r>
      <w:r>
        <w:rPr>
          <w:rFonts w:hint="eastAsia" w:ascii="仿宋" w:hAnsi="仿宋" w:eastAsia="仿宋" w:cs="仿宋"/>
          <w:i w:val="0"/>
          <w:iCs w:val="0"/>
          <w:caps w:val="0"/>
          <w:color w:val="333333"/>
          <w:spacing w:val="0"/>
          <w:sz w:val="30"/>
          <w:szCs w:val="30"/>
          <w:shd w:val="clear" w:fill="FFFFFF"/>
        </w:rPr>
        <w:t>名，工勤编制0名。在职人员总数</w:t>
      </w:r>
      <w:r>
        <w:rPr>
          <w:rFonts w:hint="eastAsia" w:ascii="仿宋" w:hAnsi="仿宋" w:eastAsia="仿宋" w:cs="仿宋"/>
          <w:i w:val="0"/>
          <w:iCs w:val="0"/>
          <w:caps w:val="0"/>
          <w:color w:val="333333"/>
          <w:spacing w:val="0"/>
          <w:sz w:val="30"/>
          <w:szCs w:val="30"/>
          <w:shd w:val="clear" w:fill="FFFFFF"/>
          <w:lang w:val="en-US" w:eastAsia="zh-CN"/>
        </w:rPr>
        <w:t>15</w:t>
      </w:r>
      <w:r>
        <w:rPr>
          <w:rFonts w:hint="eastAsia" w:ascii="仿宋" w:hAnsi="仿宋" w:eastAsia="仿宋" w:cs="仿宋"/>
          <w:i w:val="0"/>
          <w:iCs w:val="0"/>
          <w:caps w:val="0"/>
          <w:color w:val="333333"/>
          <w:spacing w:val="0"/>
          <w:sz w:val="30"/>
          <w:szCs w:val="30"/>
          <w:shd w:val="clear" w:fill="FFFFFF"/>
        </w:rPr>
        <w:t>人，其中：行政人员0人，事业人员</w:t>
      </w:r>
      <w:r>
        <w:rPr>
          <w:rFonts w:hint="eastAsia" w:ascii="仿宋" w:hAnsi="仿宋" w:eastAsia="仿宋" w:cs="仿宋"/>
          <w:i w:val="0"/>
          <w:iCs w:val="0"/>
          <w:caps w:val="0"/>
          <w:color w:val="333333"/>
          <w:spacing w:val="0"/>
          <w:sz w:val="30"/>
          <w:szCs w:val="30"/>
          <w:shd w:val="clear" w:fill="FFFFFF"/>
          <w:lang w:val="en-US" w:eastAsia="zh-CN"/>
        </w:rPr>
        <w:t>15</w:t>
      </w:r>
      <w:r>
        <w:rPr>
          <w:rFonts w:hint="eastAsia" w:ascii="仿宋" w:hAnsi="仿宋" w:eastAsia="仿宋" w:cs="仿宋"/>
          <w:i w:val="0"/>
          <w:iCs w:val="0"/>
          <w:caps w:val="0"/>
          <w:color w:val="333333"/>
          <w:spacing w:val="0"/>
          <w:sz w:val="30"/>
          <w:szCs w:val="30"/>
          <w:shd w:val="clear" w:fill="FFFFFF"/>
        </w:rPr>
        <w:t>人，工勤人员0人；离退休人员0  人，其中：退休人员0人。本次公开数据包括所有下属二级单位数据。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　　三、收支预算增减变化情况说明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按照综合预算的原则，机关事务服务中心所有收支均包含下属单位数据，全部纳入部门预算管理。收入包括：一般公共预算拨款收入，比2021年预算数增加585.12万元，主要是机关事务服务中心划转到区委办，增加项目支出，人员经费也增加，支出包括：基本支出和项目支出，比2021年预算数增加585.12万元。机关事务服务中心2022年收支总预算1759.82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（一）收入预算情况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2022年收入预算1759.82万元，其中：上年结转0万元，占0%；一般公共预算拨款收入1759.82万元，占100%；事业收入0万元，占0%；事业单位经营收0万元，占0%；其他收入0万元，占0%。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（二）支出预算情况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2022年支出预算1759.82万元，其中：基本支出890.69万元，占50.61%；项目支出869.13万元，占49.39%。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　　四、财政拨款收支预算情况说明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机关事务服务中心2022年财政拨款收支总预算1759.82万元。</w:t>
      </w:r>
      <w:r>
        <w:rPr>
          <w:rFonts w:hint="eastAsia" w:ascii="仿宋" w:hAnsi="仿宋" w:eastAsia="仿宋" w:cs="仿宋"/>
          <w:i w:val="0"/>
          <w:iCs w:val="0"/>
          <w:caps w:val="0"/>
          <w:color w:val="000000"/>
          <w:spacing w:val="0"/>
          <w:kern w:val="0"/>
          <w:sz w:val="30"/>
          <w:szCs w:val="30"/>
          <w:shd w:val="clear" w:fill="FFFFFF"/>
          <w:lang w:val="en-US" w:eastAsia="zh-CN" w:bidi="ar"/>
        </w:rPr>
        <w:t>比2021年财政拨款收支总预算</w:t>
      </w:r>
      <w:r>
        <w:rPr>
          <w:rFonts w:hint="eastAsia" w:ascii="仿宋" w:hAnsi="仿宋" w:eastAsia="仿宋" w:cs="仿宋"/>
          <w:i w:val="0"/>
          <w:iCs w:val="0"/>
          <w:caps w:val="0"/>
          <w:color w:val="333333"/>
          <w:spacing w:val="0"/>
          <w:kern w:val="0"/>
          <w:sz w:val="30"/>
          <w:szCs w:val="30"/>
          <w:shd w:val="clear" w:fill="FFFFFF"/>
          <w:lang w:val="en-US" w:eastAsia="zh-CN" w:bidi="ar"/>
        </w:rPr>
        <w:t>增加585.12万元，主要是机关事务服务中心划转到区委办，增加了项目及人员经费，收入包括：本年一般公共预算拨款收入1759.82万元、上年结转一般公共预算拨款收入0万元；支出包括：一般公共服务支出1710.27万元、社会保障和就业支出22.86万元、卫生健康支出6.64万元、住房保障支出20.06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w:t>
      </w:r>
      <w:r>
        <w:rPr>
          <w:rFonts w:hint="eastAsia" w:ascii="黑体" w:hAnsi="黑体" w:eastAsia="黑体" w:cs="黑体"/>
          <w:i w:val="0"/>
          <w:iCs w:val="0"/>
          <w:caps w:val="0"/>
          <w:color w:val="333333"/>
          <w:spacing w:val="0"/>
          <w:kern w:val="0"/>
          <w:sz w:val="32"/>
          <w:szCs w:val="32"/>
          <w:shd w:val="clear" w:fill="FFFFFF"/>
          <w:lang w:val="en-US" w:eastAsia="zh-CN" w:bidi="ar"/>
        </w:rPr>
        <w:t>　五、一般公共预算当年拨款情况说明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（一）一般公共预算当年拨款规模变化情况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机关事务服务中心2022年财政拨款收支总预算1759.82万元。</w:t>
      </w:r>
      <w:r>
        <w:rPr>
          <w:rFonts w:hint="eastAsia" w:ascii="仿宋" w:hAnsi="仿宋" w:eastAsia="仿宋" w:cs="仿宋"/>
          <w:i w:val="0"/>
          <w:iCs w:val="0"/>
          <w:caps w:val="0"/>
          <w:color w:val="000000"/>
          <w:spacing w:val="0"/>
          <w:kern w:val="0"/>
          <w:sz w:val="30"/>
          <w:szCs w:val="30"/>
          <w:shd w:val="clear" w:fill="FFFFFF"/>
          <w:lang w:val="en-US" w:eastAsia="zh-CN" w:bidi="ar"/>
        </w:rPr>
        <w:t>比2021年财政拨款收支总预算</w:t>
      </w:r>
      <w:r>
        <w:rPr>
          <w:rFonts w:hint="eastAsia" w:ascii="仿宋" w:hAnsi="仿宋" w:eastAsia="仿宋" w:cs="仿宋"/>
          <w:i w:val="0"/>
          <w:iCs w:val="0"/>
          <w:caps w:val="0"/>
          <w:color w:val="333333"/>
          <w:spacing w:val="0"/>
          <w:kern w:val="0"/>
          <w:sz w:val="30"/>
          <w:szCs w:val="30"/>
          <w:shd w:val="clear" w:fill="FFFFFF"/>
          <w:lang w:val="en-US" w:eastAsia="zh-CN" w:bidi="ar"/>
        </w:rPr>
        <w:t>增加585.12万元，主要是机关事务服务中心划转到区委办后，增加了项目及人员经费。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（二）一般公共预算当年拨款结构情况(按照功能科目类写)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一般公共服务支出1710.27万元，占97.18%；社会保障和就业支出22.86万元，占1.3%；卫生健康支出6.64万元，占0.38%；住房保障支出20.06万元，占1.14%。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（三）一般公共预算当年拨款具体使用情况（按功能科目类款项写）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1.一般公共服务2010303-机关服务2022年预算数为869.13万元，主要包括：县（处）级领导干部周转房经费、食堂运维费、公务服务费、集中办公区运行维护费、政务大楼运行维护费、后勤保障费等。2010350-事业运行2022年预算数为497.94万元，主要用于单位公用经费和正式、临聘人员工资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社会保障和就业支出2080505-机关事业单位基本养老保险缴费支出14.75万元，主要用于：缴纳职工机关事业单位基本养老保险；2080506-机关事业单位职业年金缴费支出7.37万元，主要用于：缴纳职工机关事业单位职业年金；2089901-其他社会保障和就业支出0.74万元，主要用于：缴纳职工其他社会保障缴费。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3.卫生健康支出2101102-事业单位医疗6.64万元，主要用于：缴纳职工医疗保险缴费。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4.住房保障支出2210201-住房公积金20.06万元，主要用于：缴纳职工住房公积金。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　　六、一般公共预算基本支出情况说明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机关事务服务中心2022年一般公共预算基本支出890.7万元，其中：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人员经费513.29万元，主要包括：基本工资、津贴补贴、奖金、社会保险缴费、绩效工资、机关事业单位基本养老保险缴费、职业年金缴费、其他工资福利支出、对个人和家庭的补助支出。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公用经费377.21万元，主要包括：办公费、印刷费、咨询费、手续费、水电费、邮电费、差旅费、维修（护）费、租赁费、会议费、培训费、劳务费、工会经费、福利费、其他交通工具运行维护费、其他商品和服务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七、“三公”经费财政拨款预算安排情况说明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机关事务服务中心2022年“三公”经费财政拨款预算数465.30万元，其中：因公出国（境）经费0万元，公务接待费100.30万元，公务用车购置0万元，公务用车运行维护费300.00万元。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（一）因公出国（境）经费与2021年预算持平。主要原因是均无因公出国（境）经费预算安排。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 w:hAnsi="仿宋" w:eastAsia="仿宋" w:cs="仿宋"/>
          <w:i w:val="0"/>
          <w:iCs w:val="0"/>
          <w:caps w:val="0"/>
          <w:color w:val="333333"/>
          <w:spacing w:val="0"/>
          <w:sz w:val="30"/>
          <w:szCs w:val="30"/>
          <w:lang w:val="en-US"/>
        </w:rPr>
      </w:pPr>
      <w:r>
        <w:rPr>
          <w:rFonts w:hint="eastAsia" w:ascii="仿宋" w:hAnsi="仿宋" w:eastAsia="仿宋" w:cs="仿宋"/>
          <w:i w:val="0"/>
          <w:iCs w:val="0"/>
          <w:caps w:val="0"/>
          <w:color w:val="333333"/>
          <w:spacing w:val="0"/>
          <w:kern w:val="0"/>
          <w:sz w:val="30"/>
          <w:szCs w:val="30"/>
          <w:shd w:val="clear" w:fill="FFFFFF"/>
          <w:lang w:val="en-US" w:eastAsia="zh-CN" w:bidi="ar"/>
        </w:rPr>
        <w:t>（二）公务接待费较2021年预算提升了55%，主要由于机构划分，职能增加，机关事务服务中心的负责全区所有的公务接待工作。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 w:hAnsi="仿宋" w:eastAsia="仿宋" w:cs="仿宋"/>
          <w:i w:val="0"/>
          <w:iCs w:val="0"/>
          <w:caps w:val="0"/>
          <w:color w:val="333333"/>
          <w:spacing w:val="0"/>
          <w:sz w:val="30"/>
          <w:szCs w:val="30"/>
        </w:rPr>
      </w:pPr>
      <w:bookmarkStart w:id="0" w:name="_GoBack"/>
      <w:bookmarkEnd w:id="0"/>
      <w:r>
        <w:rPr>
          <w:rFonts w:hint="eastAsia" w:ascii="仿宋" w:hAnsi="仿宋" w:eastAsia="仿宋" w:cs="仿宋"/>
          <w:i w:val="0"/>
          <w:iCs w:val="0"/>
          <w:caps w:val="0"/>
          <w:color w:val="333333"/>
          <w:spacing w:val="0"/>
          <w:kern w:val="0"/>
          <w:sz w:val="30"/>
          <w:szCs w:val="30"/>
          <w:shd w:val="clear" w:fill="FFFFFF"/>
          <w:lang w:val="en-US" w:eastAsia="zh-CN" w:bidi="ar"/>
        </w:rPr>
        <w:t>2022年安排公务用车运行维护费300.00万元，用于71辆公务用车燃油、维修、保险等方面支出，公务用车购置费65万元，用于购置公务用车。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八、政府性基金预算收支情况说明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机关事务服务中心2022年和2021年均无政府性基金预算收支。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（一）收入预算情况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（二）支出预算情况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九、国有资本经营预算支出情况说明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机关事务服务中心2022年使用国有资本经营预算拨款安排0万元，其中：基本支出0万元，项目支出0万元。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十、其他重要事项的情况说明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（一）机关运行经费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2022年，机关事务服务中心无下属机关、行政单位的机关运行经费财政拨款预算为0万元，</w:t>
      </w:r>
      <w:r>
        <w:rPr>
          <w:rFonts w:hint="eastAsia" w:ascii="仿宋" w:hAnsi="仿宋" w:eastAsia="仿宋" w:cs="仿宋"/>
          <w:i w:val="0"/>
          <w:iCs w:val="0"/>
          <w:caps w:val="0"/>
          <w:color w:val="000000"/>
          <w:spacing w:val="0"/>
          <w:kern w:val="0"/>
          <w:sz w:val="30"/>
          <w:szCs w:val="30"/>
          <w:shd w:val="clear" w:fill="FFFFFF"/>
          <w:lang w:val="en-US" w:eastAsia="zh-CN" w:bidi="ar"/>
        </w:rPr>
        <w:t>与2021年预算数持平</w:t>
      </w:r>
      <w:r>
        <w:rPr>
          <w:rFonts w:hint="eastAsia" w:ascii="仿宋" w:hAnsi="仿宋" w:eastAsia="仿宋" w:cs="仿宋"/>
          <w:i w:val="0"/>
          <w:iCs w:val="0"/>
          <w:caps w:val="0"/>
          <w:color w:val="333333"/>
          <w:spacing w:val="0"/>
          <w:kern w:val="0"/>
          <w:sz w:val="30"/>
          <w:szCs w:val="3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（二）政府采购情况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2022年，机关事务服务中心安排政府采购预算32万元，主要用于71辆公务用车车辆保险。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（三）国有资产占有使用情况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截至2021年底，机关事务服务中心所属各预算单位共有固定资产总额1514.15万元，其中公务用车70辆。其中：轿车52辆，客车2辆、商务车7辆、越野车9辆。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2022年部门预算未安排购置车辆及单位价值200万元以上大型设备。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（四）绩效目标设置情况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2022年机关事务服务中心部门通用项目和专用项目均按要求实行绩效目标管理，涉及一般公共预算当年拨款869.13万元。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黑体" w:hAnsi="黑体" w:eastAsia="黑体" w:cs="黑体"/>
          <w:i w:val="0"/>
          <w:iCs w:val="0"/>
          <w:caps w:val="0"/>
          <w:color w:val="333333"/>
          <w:spacing w:val="0"/>
          <w:sz w:val="32"/>
          <w:szCs w:val="32"/>
        </w:rPr>
      </w:pPr>
      <w:r>
        <w:rPr>
          <w:rFonts w:hint="eastAsia" w:ascii="黑体" w:hAnsi="黑体" w:eastAsia="黑体" w:cs="黑体"/>
          <w:i w:val="0"/>
          <w:iCs w:val="0"/>
          <w:caps w:val="0"/>
          <w:color w:val="333333"/>
          <w:spacing w:val="0"/>
          <w:kern w:val="0"/>
          <w:sz w:val="32"/>
          <w:szCs w:val="32"/>
          <w:shd w:val="clear" w:fill="FFFFFF"/>
          <w:lang w:val="en-US" w:eastAsia="zh-CN" w:bidi="ar"/>
        </w:rPr>
        <w:t>　　十、名词解释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（一）一般公共预算拨款收入：指区级财政当年拨付的资金。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（二）上年结转：指以前年度尚未完成、结转到本年仍按原规定用途继续使用的资金。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（三）基本支出：指为保障机构正常运转、完成日常工作任务所必需的人员经费和日常公用经费。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（四）项目支出：指在基本支出之外，为完成特定的行政工作任务或事业发展目标所发生的支出。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5"/>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五）“三公”经费：是指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仿宋" w:hAnsi="仿宋" w:eastAsia="仿宋" w:cs="仿宋"/>
          <w:i w:val="0"/>
          <w:iCs w:val="0"/>
          <w:caps w:val="0"/>
          <w:color w:val="333333"/>
          <w:spacing w:val="0"/>
          <w:sz w:val="30"/>
          <w:szCs w:val="30"/>
        </w:rPr>
      </w:pPr>
      <w:r>
        <w:rPr>
          <w:rFonts w:hint="eastAsia" w:ascii="仿宋" w:hAnsi="仿宋" w:eastAsia="仿宋" w:cs="仿宋"/>
          <w:i w:val="0"/>
          <w:iCs w:val="0"/>
          <w:caps w:val="0"/>
          <w:color w:val="333333"/>
          <w:spacing w:val="0"/>
          <w:kern w:val="0"/>
          <w:sz w:val="30"/>
          <w:szCs w:val="30"/>
          <w:shd w:val="clear" w:fill="FFFFFF"/>
          <w:lang w:val="en-US" w:eastAsia="zh-CN" w:bidi="ar"/>
        </w:rPr>
        <w:t> </w:t>
      </w:r>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A7944F"/>
    <w:multiLevelType w:val="multilevel"/>
    <w:tmpl w:val="14A7944F"/>
    <w:lvl w:ilvl="0" w:tentative="0">
      <w:start w:val="1"/>
      <w:numFmt w:val="decimal"/>
      <w:lvlText w:val="%1."/>
      <w:lvlJc w:val="left"/>
      <w:pPr>
        <w:tabs>
          <w:tab w:val="left" w:pos="312"/>
        </w:tabs>
        <w:ind w:left="0" w:firstLine="0"/>
      </w:pPr>
      <w:rPr>
        <w:rFonts w:hint="default"/>
      </w:rPr>
    </w:lvl>
    <w:lvl w:ilvl="1" w:tentative="0">
      <w:start w:val="1"/>
      <w:numFmt w:val="decimal"/>
      <w:lvlText w:val="%1-%2."/>
      <w:lvlJc w:val="left"/>
      <w:pPr>
        <w:tabs>
          <w:tab w:val="left" w:pos="312"/>
        </w:tabs>
        <w:ind w:left="0" w:firstLine="0"/>
      </w:pPr>
      <w:rPr>
        <w:rFonts w:hint="default"/>
      </w:rPr>
    </w:lvl>
    <w:lvl w:ilvl="2" w:tentative="0">
      <w:start w:val="1"/>
      <w:numFmt w:val="decimal"/>
      <w:lvlText w:val="%1-%2.%3."/>
      <w:lvlJc w:val="left"/>
      <w:pPr>
        <w:tabs>
          <w:tab w:val="left" w:pos="312"/>
        </w:tabs>
        <w:ind w:left="0" w:firstLine="0"/>
      </w:pPr>
      <w:rPr>
        <w:rFonts w:hint="default"/>
      </w:rPr>
    </w:lvl>
    <w:lvl w:ilvl="3" w:tentative="0">
      <w:start w:val="1"/>
      <w:numFmt w:val="decimal"/>
      <w:lvlText w:val="%1-%2.%3.%4."/>
      <w:lvlJc w:val="left"/>
      <w:pPr>
        <w:tabs>
          <w:tab w:val="left" w:pos="312"/>
        </w:tabs>
        <w:ind w:left="0" w:firstLine="0"/>
      </w:pPr>
      <w:rPr>
        <w:rFonts w:hint="default"/>
      </w:rPr>
    </w:lvl>
    <w:lvl w:ilvl="4" w:tentative="0">
      <w:start w:val="1"/>
      <w:numFmt w:val="decimal"/>
      <w:lvlText w:val="%1-%2.%3.%4.%5."/>
      <w:lvlJc w:val="left"/>
      <w:pPr>
        <w:tabs>
          <w:tab w:val="left" w:pos="312"/>
        </w:tabs>
        <w:ind w:left="0" w:firstLine="0"/>
      </w:pPr>
      <w:rPr>
        <w:rFonts w:hint="default"/>
      </w:rPr>
    </w:lvl>
    <w:lvl w:ilvl="5" w:tentative="0">
      <w:start w:val="1"/>
      <w:numFmt w:val="decimal"/>
      <w:lvlText w:val="%1-%2.%3.%4.%5.%6."/>
      <w:lvlJc w:val="left"/>
      <w:pPr>
        <w:tabs>
          <w:tab w:val="left" w:pos="312"/>
        </w:tabs>
        <w:ind w:left="0" w:firstLine="0"/>
      </w:pPr>
      <w:rPr>
        <w:rFonts w:hint="default"/>
      </w:rPr>
    </w:lvl>
    <w:lvl w:ilvl="6" w:tentative="0">
      <w:start w:val="1"/>
      <w:numFmt w:val="decimal"/>
      <w:lvlText w:val="%1-%2.%3.%4.%5.%6.%7."/>
      <w:lvlJc w:val="left"/>
      <w:pPr>
        <w:tabs>
          <w:tab w:val="left" w:pos="312"/>
        </w:tabs>
        <w:ind w:left="0" w:firstLine="0"/>
      </w:pPr>
      <w:rPr>
        <w:rFonts w:hint="default"/>
      </w:rPr>
    </w:lvl>
    <w:lvl w:ilvl="7" w:tentative="0">
      <w:start w:val="1"/>
      <w:numFmt w:val="decimal"/>
      <w:lvlText w:val="%1-%2.%3.%4.%5.%6.%7.%8."/>
      <w:lvlJc w:val="left"/>
      <w:pPr>
        <w:tabs>
          <w:tab w:val="left" w:pos="312"/>
        </w:tabs>
        <w:ind w:left="0" w:firstLine="0"/>
      </w:pPr>
      <w:rPr>
        <w:rFonts w:hint="default"/>
      </w:rPr>
    </w:lvl>
    <w:lvl w:ilvl="8" w:tentative="0">
      <w:start w:val="1"/>
      <w:numFmt w:val="decimal"/>
      <w:lvlText w:val="%1-%2.%3.%4.%5.%6.%7.%8.%9."/>
      <w:lvlJc w:val="left"/>
      <w:pPr>
        <w:tabs>
          <w:tab w:val="left" w:pos="312"/>
        </w:tabs>
        <w:ind w:left="0" w:firstLine="0"/>
      </w:pPr>
      <w:rPr>
        <w:rFonts w:hint="default"/>
      </w:rPr>
    </w:lvl>
  </w:abstractNum>
  <w:abstractNum w:abstractNumId="1">
    <w:nsid w:val="44197BEA"/>
    <w:multiLevelType w:val="singleLevel"/>
    <w:tmpl w:val="44197BE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wMTk1M2Q4NTZmNzFmYmFhYmQ3OTAwYTI2M2QxNzQifQ=="/>
  </w:docVars>
  <w:rsids>
    <w:rsidRoot w:val="00000000"/>
    <w:rsid w:val="06A13D52"/>
    <w:rsid w:val="749F41CA"/>
    <w:rsid w:val="75CA0409"/>
    <w:rsid w:val="76856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2"/>
    <w:basedOn w:val="1"/>
    <w:next w:val="1"/>
    <w:unhideWhenUsed/>
    <w:qFormat/>
    <w:uiPriority w:val="39"/>
    <w:pPr>
      <w:tabs>
        <w:tab w:val="right" w:leader="dot" w:pos="8296"/>
      </w:tabs>
      <w:ind w:left="420" w:leftChars="200"/>
    </w:pPr>
    <w:rPr>
      <w:rFonts w:ascii="Times New Roman"/>
      <w:sz w:val="21"/>
    </w:rPr>
  </w:style>
  <w:style w:type="paragraph" w:styleId="5">
    <w:name w:val="Normal (Web)"/>
    <w:basedOn w:val="1"/>
    <w:uiPriority w:val="0"/>
    <w:rPr>
      <w:sz w:val="24"/>
    </w:rPr>
  </w:style>
  <w:style w:type="character" w:styleId="8">
    <w:name w:val="Emphasis"/>
    <w:basedOn w:val="7"/>
    <w:qFormat/>
    <w:uiPriority w:val="20"/>
  </w:style>
  <w:style w:type="character" w:styleId="9">
    <w:name w:val="Hyperlink"/>
    <w:basedOn w:val="7"/>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4198</Words>
  <Characters>4614</Characters>
  <Lines>0</Lines>
  <Paragraphs>0</Paragraphs>
  <TotalTime>3</TotalTime>
  <ScaleCrop>false</ScaleCrop>
  <LinksUpToDate>false</LinksUpToDate>
  <CharactersWithSpaces>4693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2022-02-14T07:27:00Z</dcterms:created>
  <dc:creator>Administrator</dc:creator>
  <cp:lastModifiedBy>我不爱高跟鞋</cp:lastModifiedBy>
  <dcterms:modified xsi:type="dcterms:W3CDTF">2022-10-14T12:05:37Z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093EA43696CD4A53B850E76314C58531</vt:lpwstr>
  </property>
</Properties>
</file>