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240" w:lineRule="auto"/>
        <w:textAlignment w:val="center"/>
        <w:rPr>
          <w:rFonts w:hint="eastAsia" w:hAnsi="黑体" w:cs="黑体"/>
          <w:color w:val="auto"/>
          <w:sz w:val="32"/>
          <w:szCs w:val="32"/>
        </w:rPr>
      </w:pPr>
      <w:r>
        <w:rPr>
          <w:rFonts w:hint="eastAsia" w:hAnsi="黑体" w:cs="黑体"/>
          <w:color w:val="auto"/>
          <w:sz w:val="32"/>
          <w:szCs w:val="32"/>
          <w:lang w:val="en-US" w:eastAsia="zh-CN"/>
        </w:rPr>
        <w:t>德阳市罗江区消防水带</w:t>
      </w:r>
      <w:r>
        <w:rPr>
          <w:rFonts w:hint="eastAsia" w:hAnsi="黑体" w:cs="黑体"/>
          <w:color w:val="auto"/>
          <w:sz w:val="32"/>
          <w:szCs w:val="32"/>
        </w:rPr>
        <w:t>产品质量监督抽查实施细则</w:t>
      </w:r>
    </w:p>
    <w:p>
      <w:pPr>
        <w:pStyle w:val="11"/>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240" w:lineRule="auto"/>
        <w:textAlignment w:val="center"/>
        <w:rPr>
          <w:rFonts w:hint="default" w:hAnsi="黑体" w:eastAsia="黑体" w:cs="黑体"/>
          <w:color w:val="auto"/>
          <w:sz w:val="32"/>
          <w:szCs w:val="32"/>
          <w:lang w:val="en-US" w:eastAsia="zh-CN"/>
        </w:rPr>
      </w:pPr>
      <w:r>
        <w:rPr>
          <w:rFonts w:hint="eastAsia" w:hAnsi="黑体" w:cs="黑体"/>
          <w:color w:val="auto"/>
          <w:sz w:val="32"/>
          <w:szCs w:val="32"/>
        </w:rPr>
        <w:t>(2025年版)</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auto"/>
          <w:szCs w:val="21"/>
        </w:rPr>
      </w:pPr>
      <w:r>
        <w:rPr>
          <w:rFonts w:eastAsia="黑体"/>
          <w:color w:val="auto"/>
          <w:szCs w:val="21"/>
        </w:rPr>
        <w:t>1  抽样方法</w:t>
      </w:r>
      <w:bookmarkStart w:id="2" w:name="_GoBack"/>
      <w:bookmarkEnd w:id="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随机数一般可使用随机数表、骰子或扑克牌等方法产生。</w:t>
      </w:r>
    </w:p>
    <w:p>
      <w:pPr>
        <w:snapToGrid w:val="0"/>
        <w:spacing w:line="440" w:lineRule="exact"/>
        <w:ind w:firstLine="420" w:firstLineChars="200"/>
        <w:rPr>
          <w:rFonts w:hint="eastAsia" w:ascii="宋体" w:hAnsi="宋体"/>
          <w:color w:val="auto"/>
          <w:szCs w:val="21"/>
        </w:rPr>
      </w:pPr>
      <w:r>
        <w:rPr>
          <w:rFonts w:hint="eastAsia" w:ascii="宋体" w:hAnsi="宋体"/>
          <w:color w:val="auto"/>
          <w:szCs w:val="21"/>
        </w:rPr>
        <w:t>每批次抽样数量为同一生产者按照同一标准生产的同一商标、同一规格型号、同一批次的产品4盘，其中2盘作为检验样品，2盘作为备用样品。</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auto"/>
          <w:szCs w:val="21"/>
        </w:rPr>
      </w:pPr>
      <w:r>
        <w:rPr>
          <w:rFonts w:eastAsia="黑体"/>
          <w:color w:val="auto"/>
          <w:szCs w:val="21"/>
        </w:rPr>
        <w:t>2  检验依据</w:t>
      </w:r>
    </w:p>
    <w:p>
      <w:pPr>
        <w:pStyle w:val="12"/>
        <w:spacing w:before="156" w:after="156"/>
        <w:rPr>
          <w:rFonts w:ascii="Times New Roman"/>
          <w:color w:val="auto"/>
          <w:kern w:val="2"/>
          <w:szCs w:val="21"/>
        </w:rPr>
      </w:pPr>
      <w:r>
        <w:rPr>
          <w:rFonts w:ascii="Times New Roman"/>
          <w:color w:val="auto"/>
          <w:kern w:val="2"/>
          <w:szCs w:val="21"/>
        </w:rPr>
        <w:t xml:space="preserve">表1  </w:t>
      </w:r>
      <w:r>
        <w:rPr>
          <w:rFonts w:hint="eastAsia" w:ascii="Times New Roman"/>
          <w:color w:val="auto"/>
          <w:kern w:val="2"/>
          <w:szCs w:val="21"/>
          <w:lang w:val="en-US" w:eastAsia="zh-CN"/>
        </w:rPr>
        <w:t>消防水带</w:t>
      </w:r>
      <w:r>
        <w:rPr>
          <w:rFonts w:ascii="Times New Roman"/>
          <w:color w:val="auto"/>
          <w:kern w:val="2"/>
          <w:szCs w:val="21"/>
        </w:rPr>
        <w:t>检验项目</w:t>
      </w:r>
    </w:p>
    <w:tbl>
      <w:tblPr>
        <w:tblStyle w:val="4"/>
        <w:tblW w:w="47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3821"/>
        <w:gridCol w:w="3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spacing w:line="360" w:lineRule="auto"/>
              <w:jc w:val="center"/>
              <w:rPr>
                <w:rFonts w:eastAsia="黑体"/>
                <w:color w:val="auto"/>
                <w:szCs w:val="21"/>
              </w:rPr>
            </w:pPr>
            <w:r>
              <w:rPr>
                <w:rFonts w:eastAsia="黑体"/>
                <w:color w:val="auto"/>
                <w:szCs w:val="21"/>
              </w:rPr>
              <w:t>序号</w:t>
            </w:r>
          </w:p>
        </w:tc>
        <w:tc>
          <w:tcPr>
            <w:tcW w:w="2293" w:type="pct"/>
            <w:tcBorders>
              <w:bottom w:val="single" w:color="auto" w:sz="4" w:space="0"/>
            </w:tcBorders>
            <w:vAlign w:val="center"/>
          </w:tcPr>
          <w:p>
            <w:pPr>
              <w:spacing w:line="360" w:lineRule="auto"/>
              <w:jc w:val="center"/>
              <w:rPr>
                <w:rFonts w:eastAsia="黑体"/>
                <w:color w:val="auto"/>
                <w:szCs w:val="21"/>
              </w:rPr>
            </w:pPr>
            <w:r>
              <w:rPr>
                <w:rFonts w:eastAsia="黑体"/>
                <w:color w:val="auto"/>
                <w:szCs w:val="21"/>
              </w:rPr>
              <w:t>检验项目</w:t>
            </w:r>
          </w:p>
        </w:tc>
        <w:tc>
          <w:tcPr>
            <w:tcW w:w="1961" w:type="pct"/>
            <w:tcBorders>
              <w:bottom w:val="single" w:color="auto" w:sz="4" w:space="0"/>
            </w:tcBorders>
            <w:vAlign w:val="center"/>
          </w:tcPr>
          <w:p>
            <w:pPr>
              <w:spacing w:line="360" w:lineRule="auto"/>
              <w:jc w:val="center"/>
              <w:rPr>
                <w:rFonts w:eastAsia="黑体"/>
                <w:color w:val="auto"/>
                <w:szCs w:val="21"/>
              </w:rPr>
            </w:pPr>
            <w:r>
              <w:rPr>
                <w:rFonts w:eastAsia="黑体"/>
                <w:color w:val="auto"/>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jc w:val="center"/>
              <w:rPr>
                <w:color w:val="auto"/>
                <w:szCs w:val="21"/>
              </w:rPr>
            </w:pPr>
            <w:r>
              <w:rPr>
                <w:color w:val="auto"/>
                <w:szCs w:val="21"/>
              </w:rPr>
              <w:t>1</w:t>
            </w:r>
          </w:p>
        </w:tc>
        <w:tc>
          <w:tcPr>
            <w:tcW w:w="3821" w:type="dxa"/>
            <w:tcBorders>
              <w:bottom w:val="single" w:color="auto" w:sz="4" w:space="0"/>
            </w:tcBorders>
            <w:vAlign w:val="center"/>
          </w:tcPr>
          <w:p>
            <w:pPr>
              <w:snapToGrid w:val="0"/>
              <w:spacing w:line="440" w:lineRule="exact"/>
              <w:jc w:val="center"/>
              <w:rPr>
                <w:color w:val="auto"/>
                <w:szCs w:val="21"/>
              </w:rPr>
            </w:pPr>
            <w:r>
              <w:rPr>
                <w:rFonts w:hint="eastAsia" w:ascii="宋体" w:hAnsi="宋体"/>
                <w:color w:val="auto"/>
                <w:szCs w:val="21"/>
              </w:rPr>
              <w:t>延伸率和膨胀率及扭转方向</w:t>
            </w:r>
          </w:p>
        </w:tc>
        <w:tc>
          <w:tcPr>
            <w:tcW w:w="3268" w:type="dxa"/>
            <w:tcBorders>
              <w:bottom w:val="single" w:color="auto" w:sz="4" w:space="0"/>
            </w:tcBorders>
            <w:vAlign w:val="center"/>
          </w:tcPr>
          <w:p>
            <w:pPr>
              <w:snapToGrid w:val="0"/>
              <w:spacing w:line="440" w:lineRule="exact"/>
              <w:jc w:val="center"/>
              <w:rPr>
                <w:rFonts w:hint="eastAsia" w:eastAsia="宋体"/>
                <w:color w:val="auto"/>
                <w:szCs w:val="21"/>
                <w:lang w:eastAsia="zh-CN"/>
              </w:rPr>
            </w:pPr>
            <w:bookmarkStart w:id="0" w:name="OLE_LINK1"/>
            <w:bookmarkStart w:id="1" w:name="OLE_LINK2"/>
            <w:r>
              <w:rPr>
                <w:rFonts w:hint="eastAsia" w:ascii="宋体" w:hAnsi="宋体"/>
                <w:color w:val="auto"/>
                <w:szCs w:val="21"/>
              </w:rPr>
              <w:t>GB 6246-2011</w:t>
            </w:r>
            <w:bookmarkEnd w:id="0"/>
            <w:r>
              <w:rPr>
                <w:rFonts w:hint="eastAsia" w:ascii="宋体" w:hAnsi="宋体"/>
                <w:color w:val="auto"/>
                <w:szCs w:val="21"/>
              </w:rPr>
              <w:t xml:space="preserve"> </w:t>
            </w:r>
            <w:bookmarkEnd w:id="1"/>
            <w:r>
              <w:rPr>
                <w:rFonts w:hint="eastAsia" w:ascii="宋体" w:hAnsi="宋体"/>
                <w:color w:val="auto"/>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color w:val="auto"/>
                <w:szCs w:val="21"/>
              </w:rPr>
              <w:t>2</w:t>
            </w:r>
          </w:p>
        </w:tc>
        <w:tc>
          <w:tcPr>
            <w:tcW w:w="2293" w:type="pct"/>
            <w:vAlign w:val="center"/>
          </w:tcPr>
          <w:p>
            <w:pPr>
              <w:jc w:val="center"/>
              <w:rPr>
                <w:rFonts w:hint="default" w:eastAsia="宋体"/>
                <w:color w:val="auto"/>
                <w:szCs w:val="21"/>
                <w:lang w:val="en-US" w:eastAsia="zh-CN"/>
              </w:rPr>
            </w:pPr>
            <w:r>
              <w:rPr>
                <w:rFonts w:hint="eastAsia"/>
                <w:color w:val="auto"/>
                <w:szCs w:val="21"/>
                <w:lang w:val="en-US" w:eastAsia="zh-CN"/>
              </w:rPr>
              <w:t>水压试验</w:t>
            </w:r>
          </w:p>
        </w:tc>
        <w:tc>
          <w:tcPr>
            <w:tcW w:w="1961" w:type="pct"/>
            <w:vAlign w:val="center"/>
          </w:tcPr>
          <w:p>
            <w:pPr>
              <w:jc w:val="center"/>
              <w:rPr>
                <w:color w:val="auto"/>
                <w:szCs w:val="21"/>
              </w:rPr>
            </w:pPr>
            <w:r>
              <w:rPr>
                <w:rFonts w:hint="eastAsia" w:ascii="宋体" w:hAnsi="宋体"/>
                <w:color w:val="auto"/>
                <w:szCs w:val="21"/>
              </w:rPr>
              <w:t xml:space="preserve">GB 6246-2011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color w:val="auto"/>
                <w:szCs w:val="21"/>
              </w:rPr>
              <w:t>3</w:t>
            </w:r>
          </w:p>
        </w:tc>
        <w:tc>
          <w:tcPr>
            <w:tcW w:w="2293" w:type="pct"/>
            <w:vAlign w:val="center"/>
          </w:tcPr>
          <w:p>
            <w:pPr>
              <w:jc w:val="center"/>
              <w:rPr>
                <w:rFonts w:hint="default" w:eastAsia="宋体"/>
                <w:color w:val="auto"/>
                <w:szCs w:val="21"/>
                <w:lang w:val="en-US" w:eastAsia="zh-CN"/>
              </w:rPr>
            </w:pPr>
            <w:r>
              <w:rPr>
                <w:rFonts w:hint="eastAsia"/>
                <w:color w:val="auto"/>
                <w:szCs w:val="21"/>
                <w:lang w:val="en-US" w:eastAsia="zh-CN"/>
              </w:rPr>
              <w:t>爆破试验（最小爆破压力）</w:t>
            </w:r>
          </w:p>
        </w:tc>
        <w:tc>
          <w:tcPr>
            <w:tcW w:w="1961" w:type="pct"/>
            <w:vAlign w:val="center"/>
          </w:tcPr>
          <w:p>
            <w:pPr>
              <w:jc w:val="center"/>
              <w:rPr>
                <w:rFonts w:hint="eastAsia" w:eastAsia="宋体"/>
                <w:color w:val="auto"/>
                <w:szCs w:val="21"/>
                <w:lang w:eastAsia="zh-CN"/>
              </w:rPr>
            </w:pPr>
            <w:r>
              <w:rPr>
                <w:rFonts w:hint="eastAsia" w:ascii="宋体" w:hAnsi="宋体"/>
                <w:color w:val="auto"/>
                <w:szCs w:val="21"/>
              </w:rPr>
              <w:t xml:space="preserve">GB 6246-2011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color w:val="auto"/>
                <w:szCs w:val="21"/>
              </w:rPr>
              <w:t>4</w:t>
            </w:r>
          </w:p>
        </w:tc>
        <w:tc>
          <w:tcPr>
            <w:tcW w:w="3821" w:type="dxa"/>
            <w:vAlign w:val="center"/>
          </w:tcPr>
          <w:p>
            <w:pPr>
              <w:snapToGrid w:val="0"/>
              <w:spacing w:line="440" w:lineRule="exact"/>
              <w:jc w:val="center"/>
              <w:rPr>
                <w:color w:val="auto"/>
                <w:szCs w:val="21"/>
              </w:rPr>
            </w:pPr>
            <w:r>
              <w:rPr>
                <w:rFonts w:hint="eastAsia" w:ascii="宋体" w:hAnsi="宋体"/>
                <w:color w:val="auto"/>
                <w:szCs w:val="21"/>
              </w:rPr>
              <w:t>黏附性</w:t>
            </w:r>
          </w:p>
        </w:tc>
        <w:tc>
          <w:tcPr>
            <w:tcW w:w="3268" w:type="dxa"/>
            <w:vAlign w:val="center"/>
          </w:tcPr>
          <w:p>
            <w:pPr>
              <w:snapToGrid w:val="0"/>
              <w:spacing w:line="440" w:lineRule="exact"/>
              <w:jc w:val="center"/>
              <w:rPr>
                <w:color w:val="auto"/>
                <w:szCs w:val="21"/>
              </w:rPr>
            </w:pPr>
            <w:r>
              <w:rPr>
                <w:rFonts w:hint="eastAsia" w:ascii="宋体" w:hAnsi="宋体"/>
                <w:color w:val="auto"/>
                <w:szCs w:val="21"/>
              </w:rPr>
              <w:t xml:space="preserve">GB 6246-2011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auto"/>
                <w:szCs w:val="21"/>
              </w:rPr>
            </w:pPr>
            <w:r>
              <w:rPr>
                <w:rFonts w:hint="eastAsia"/>
                <w:color w:val="auto"/>
                <w:szCs w:val="21"/>
              </w:rPr>
              <w:t>5</w:t>
            </w:r>
          </w:p>
        </w:tc>
        <w:tc>
          <w:tcPr>
            <w:tcW w:w="2293" w:type="pct"/>
            <w:vAlign w:val="center"/>
          </w:tcPr>
          <w:p>
            <w:pPr>
              <w:jc w:val="center"/>
              <w:rPr>
                <w:rFonts w:hint="default" w:eastAsia="宋体"/>
                <w:color w:val="auto"/>
                <w:szCs w:val="21"/>
                <w:lang w:val="en-US" w:eastAsia="zh-CN"/>
              </w:rPr>
            </w:pPr>
            <w:r>
              <w:rPr>
                <w:rFonts w:hint="eastAsia"/>
                <w:color w:val="auto"/>
                <w:szCs w:val="21"/>
                <w:lang w:val="en-US" w:eastAsia="zh-CN"/>
              </w:rPr>
              <w:t>附着强度</w:t>
            </w:r>
          </w:p>
        </w:tc>
        <w:tc>
          <w:tcPr>
            <w:tcW w:w="1961" w:type="pct"/>
            <w:vAlign w:val="center"/>
          </w:tcPr>
          <w:p>
            <w:pPr>
              <w:jc w:val="center"/>
              <w:rPr>
                <w:color w:val="auto"/>
                <w:szCs w:val="21"/>
              </w:rPr>
            </w:pPr>
            <w:r>
              <w:rPr>
                <w:rFonts w:hint="eastAsia" w:ascii="宋体" w:hAnsi="宋体"/>
                <w:color w:val="auto"/>
                <w:szCs w:val="21"/>
              </w:rPr>
              <w:t xml:space="preserve">GB 6246-2011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rFonts w:hint="eastAsia" w:eastAsia="宋体"/>
                <w:color w:val="auto"/>
                <w:szCs w:val="21"/>
                <w:lang w:val="en-US" w:eastAsia="zh-CN"/>
              </w:rPr>
            </w:pPr>
            <w:r>
              <w:rPr>
                <w:rFonts w:hint="eastAsia"/>
                <w:color w:val="auto"/>
                <w:szCs w:val="21"/>
                <w:lang w:val="en-US" w:eastAsia="zh-CN"/>
              </w:rPr>
              <w:t>6</w:t>
            </w:r>
          </w:p>
        </w:tc>
        <w:tc>
          <w:tcPr>
            <w:tcW w:w="2293" w:type="pct"/>
            <w:vAlign w:val="center"/>
          </w:tcPr>
          <w:p>
            <w:pPr>
              <w:jc w:val="center"/>
              <w:rPr>
                <w:rFonts w:hint="eastAsia"/>
                <w:color w:val="auto"/>
                <w:szCs w:val="21"/>
              </w:rPr>
            </w:pPr>
            <w:r>
              <w:rPr>
                <w:rFonts w:hint="eastAsia" w:ascii="宋体" w:hAnsi="宋体"/>
                <w:color w:val="auto"/>
                <w:szCs w:val="21"/>
              </w:rPr>
              <w:t>热空气老化性能</w:t>
            </w:r>
          </w:p>
        </w:tc>
        <w:tc>
          <w:tcPr>
            <w:tcW w:w="1961" w:type="pct"/>
            <w:vAlign w:val="center"/>
          </w:tcPr>
          <w:p>
            <w:pPr>
              <w:jc w:val="center"/>
              <w:rPr>
                <w:color w:val="auto"/>
                <w:szCs w:val="21"/>
              </w:rPr>
            </w:pPr>
            <w:r>
              <w:rPr>
                <w:rFonts w:hint="eastAsia" w:ascii="宋体" w:hAnsi="宋体"/>
                <w:color w:val="auto"/>
                <w:szCs w:val="21"/>
              </w:rPr>
              <w:t xml:space="preserve">GB 6246-2011 </w:t>
            </w:r>
          </w:p>
        </w:tc>
      </w:tr>
    </w:tbl>
    <w:p>
      <w:pPr>
        <w:rPr>
          <w:color w:val="auto"/>
          <w:sz w:val="18"/>
          <w:szCs w:val="18"/>
        </w:rPr>
      </w:pPr>
      <w:r>
        <w:rPr>
          <w:color w:val="auto"/>
          <w:sz w:val="18"/>
          <w:szCs w:val="18"/>
        </w:rPr>
        <w:t>注：1.上表所列检验项目是有关法律法规、标准等规定的，重点涉及健康、安全、节能、环保以及消费者、</w:t>
      </w:r>
    </w:p>
    <w:p>
      <w:pPr>
        <w:ind w:firstLine="540" w:firstLineChars="300"/>
        <w:rPr>
          <w:color w:val="auto"/>
          <w:sz w:val="18"/>
          <w:szCs w:val="18"/>
        </w:rPr>
      </w:pPr>
      <w:r>
        <w:rPr>
          <w:color w:val="auto"/>
          <w:sz w:val="18"/>
          <w:szCs w:val="18"/>
        </w:rPr>
        <w:t>有关组织反映有质量问题的重要项目。</w:t>
      </w:r>
    </w:p>
    <w:p>
      <w:pPr>
        <w:ind w:firstLine="360" w:firstLineChars="200"/>
        <w:rPr>
          <w:color w:val="auto"/>
          <w:sz w:val="18"/>
          <w:szCs w:val="18"/>
        </w:rPr>
      </w:pPr>
      <w:r>
        <w:rPr>
          <w:color w:val="auto"/>
          <w:sz w:val="18"/>
          <w:szCs w:val="18"/>
        </w:rPr>
        <w:t>2.检验方法包括相关产品标准及试验方法标准。</w:t>
      </w:r>
    </w:p>
    <w:p>
      <w:pPr>
        <w:ind w:firstLine="360" w:firstLineChars="200"/>
        <w:rPr>
          <w:color w:val="auto"/>
          <w:sz w:val="18"/>
          <w:szCs w:val="18"/>
        </w:rPr>
      </w:pPr>
      <w:r>
        <w:rPr>
          <w:color w:val="auto"/>
          <w:sz w:val="18"/>
          <w:szCs w:val="18"/>
        </w:rPr>
        <w:t>3.凡是注日期的文件，其随后所有的修改单（不包括勘误的内容）或修订版不适用于本细则；凡是不注</w:t>
      </w:r>
    </w:p>
    <w:p>
      <w:pPr>
        <w:ind w:firstLine="540" w:firstLineChars="300"/>
        <w:rPr>
          <w:color w:val="auto"/>
          <w:sz w:val="18"/>
          <w:szCs w:val="18"/>
        </w:rPr>
      </w:pPr>
      <w:r>
        <w:rPr>
          <w:color w:val="auto"/>
          <w:sz w:val="18"/>
          <w:szCs w:val="18"/>
        </w:rPr>
        <w:t>日期的文件，其最新版本适用于本细则。</w:t>
      </w:r>
    </w:p>
    <w:p>
      <w:pPr>
        <w:ind w:firstLine="360" w:firstLineChars="200"/>
        <w:rPr>
          <w:color w:val="auto"/>
          <w:sz w:val="18"/>
          <w:szCs w:val="18"/>
        </w:rPr>
      </w:pPr>
      <w:r>
        <w:rPr>
          <w:color w:val="auto"/>
          <w:sz w:val="18"/>
          <w:szCs w:val="18"/>
        </w:rPr>
        <w:t>4.执行企业标准、团体标准、地方标准的产品，检验项目参照上述内容执行。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auto"/>
          <w:szCs w:val="21"/>
        </w:rPr>
      </w:pPr>
      <w:r>
        <w:rPr>
          <w:rFonts w:eastAsia="黑体"/>
          <w:color w:val="auto"/>
          <w:szCs w:val="21"/>
        </w:rPr>
        <w:t>3  判定规则</w:t>
      </w:r>
    </w:p>
    <w:p>
      <w:pPr>
        <w:keepNext w:val="0"/>
        <w:keepLines w:val="0"/>
        <w:pageBreakBefore w:val="0"/>
        <w:widowControl w:val="0"/>
        <w:kinsoku/>
        <w:wordWrap/>
        <w:overflowPunct/>
        <w:topLinePunct w:val="0"/>
        <w:autoSpaceDE/>
        <w:autoSpaceDN/>
        <w:bidi w:val="0"/>
        <w:adjustRightInd/>
        <w:snapToGrid w:val="0"/>
        <w:spacing w:before="374" w:after="374"/>
        <w:textAlignment w:val="auto"/>
        <w:rPr>
          <w:rFonts w:eastAsia="黑体"/>
          <w:color w:val="auto"/>
          <w:szCs w:val="21"/>
        </w:rPr>
      </w:pPr>
      <w:r>
        <w:rPr>
          <w:rFonts w:eastAsia="黑体"/>
          <w:color w:val="auto"/>
          <w:szCs w:val="21"/>
        </w:rPr>
        <w:t>3.1  依据标准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eastAsia="宋体"/>
          <w:color w:val="auto"/>
          <w:szCs w:val="21"/>
          <w:lang w:val="en-US" w:eastAsia="zh-CN"/>
        </w:rPr>
      </w:pPr>
      <w:r>
        <w:rPr>
          <w:rFonts w:hint="eastAsia" w:ascii="宋体" w:hAnsi="宋体"/>
          <w:color w:val="auto"/>
          <w:szCs w:val="21"/>
        </w:rPr>
        <w:t>GB 6246-2011</w:t>
      </w:r>
      <w:r>
        <w:rPr>
          <w:color w:val="auto"/>
          <w:szCs w:val="21"/>
        </w:rPr>
        <w:t xml:space="preserve">  </w:t>
      </w:r>
      <w:r>
        <w:rPr>
          <w:rFonts w:hint="eastAsia"/>
          <w:color w:val="auto"/>
          <w:szCs w:val="21"/>
          <w:lang w:val="en-US" w:eastAsia="zh-CN"/>
        </w:rPr>
        <w:t>消防水带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before="374" w:after="374" w:line="440" w:lineRule="exact"/>
        <w:textAlignment w:val="auto"/>
        <w:rPr>
          <w:rFonts w:eastAsia="黑体"/>
          <w:color w:val="auto"/>
          <w:szCs w:val="21"/>
        </w:rPr>
      </w:pPr>
      <w:r>
        <w:rPr>
          <w:rFonts w:eastAsia="黑体"/>
          <w:color w:val="auto"/>
          <w:szCs w:val="21"/>
        </w:rPr>
        <w:t>3.2  判定原则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若被检产品明示的质量要求低于或包含本细则中检验项目依据的推荐性标准要求时，应以被检产品明示的质量要求判定，但应在检验报告备注中进行说明。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color w:val="auto"/>
          <w:szCs w:val="21"/>
        </w:rPr>
        <w:t>若被检产品明示的质量要求缺少本细则中检验项目依据的推荐性标准要求时，该项目不参与判定，但应在检验报告备注中进行说明。</w:t>
      </w:r>
    </w:p>
    <w:p>
      <w:pPr>
        <w:keepNext w:val="0"/>
        <w:keepLines w:val="0"/>
        <w:widowControl/>
        <w:suppressLineNumbers w:val="0"/>
        <w:ind w:firstLine="420" w:firstLineChars="200"/>
        <w:jc w:val="left"/>
        <w:rPr>
          <w:rFonts w:hint="default" w:ascii="宋体" w:hAnsi="宋体" w:cs="宋体"/>
          <w:color w:val="auto"/>
          <w:kern w:val="0"/>
          <w:sz w:val="21"/>
          <w:szCs w:val="21"/>
          <w:lang w:val="en-US" w:eastAsia="zh-CN" w:bidi="ar"/>
        </w:rPr>
      </w:pPr>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00001B36"/>
    <w:rsid w:val="000157FB"/>
    <w:rsid w:val="00044171"/>
    <w:rsid w:val="00046CF3"/>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631377F"/>
    <w:rsid w:val="07AE561F"/>
    <w:rsid w:val="086023E2"/>
    <w:rsid w:val="09537255"/>
    <w:rsid w:val="0A0D21AC"/>
    <w:rsid w:val="0BF93D84"/>
    <w:rsid w:val="0EC74310"/>
    <w:rsid w:val="0F9D4A1B"/>
    <w:rsid w:val="101822F4"/>
    <w:rsid w:val="13C702B9"/>
    <w:rsid w:val="1461461C"/>
    <w:rsid w:val="18D1213A"/>
    <w:rsid w:val="18E92B27"/>
    <w:rsid w:val="19C40264"/>
    <w:rsid w:val="1CDC4DD5"/>
    <w:rsid w:val="22777D4F"/>
    <w:rsid w:val="26D4272A"/>
    <w:rsid w:val="289072E9"/>
    <w:rsid w:val="28FB4E1C"/>
    <w:rsid w:val="292673D8"/>
    <w:rsid w:val="2AFC3929"/>
    <w:rsid w:val="2C586B6F"/>
    <w:rsid w:val="2ECA33AD"/>
    <w:rsid w:val="2EF34FA7"/>
    <w:rsid w:val="2FF8154F"/>
    <w:rsid w:val="393A4F06"/>
    <w:rsid w:val="3A1F4B4C"/>
    <w:rsid w:val="3A3E7700"/>
    <w:rsid w:val="3B25120A"/>
    <w:rsid w:val="3C5C5193"/>
    <w:rsid w:val="3CAF1767"/>
    <w:rsid w:val="3DFFC314"/>
    <w:rsid w:val="412C6D5A"/>
    <w:rsid w:val="424C018D"/>
    <w:rsid w:val="45165AF6"/>
    <w:rsid w:val="45D71D2E"/>
    <w:rsid w:val="52714A03"/>
    <w:rsid w:val="52E02222"/>
    <w:rsid w:val="56B23ED5"/>
    <w:rsid w:val="57CFE9A3"/>
    <w:rsid w:val="5A81010C"/>
    <w:rsid w:val="5B7D07A5"/>
    <w:rsid w:val="6374103A"/>
    <w:rsid w:val="64C567B7"/>
    <w:rsid w:val="653A45AA"/>
    <w:rsid w:val="691E18AB"/>
    <w:rsid w:val="69C03747"/>
    <w:rsid w:val="69EC02EE"/>
    <w:rsid w:val="69F30183"/>
    <w:rsid w:val="6B990590"/>
    <w:rsid w:val="6DD903DC"/>
    <w:rsid w:val="6EA57BA9"/>
    <w:rsid w:val="6FF5676E"/>
    <w:rsid w:val="6FFE0008"/>
    <w:rsid w:val="6FFFAA25"/>
    <w:rsid w:val="71D7E072"/>
    <w:rsid w:val="73F6944E"/>
    <w:rsid w:val="74CA4688"/>
    <w:rsid w:val="756BA9E7"/>
    <w:rsid w:val="77F9775E"/>
    <w:rsid w:val="7A8E5F9E"/>
    <w:rsid w:val="7BE8E84D"/>
    <w:rsid w:val="7DB55A75"/>
    <w:rsid w:val="7DDD2619"/>
    <w:rsid w:val="7ECF0DA1"/>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link w:val="3"/>
    <w:qFormat/>
    <w:uiPriority w:val="99"/>
    <w:rPr>
      <w:sz w:val="18"/>
      <w:szCs w:val="18"/>
    </w:rPr>
  </w:style>
  <w:style w:type="character" w:customStyle="1" w:styleId="8">
    <w:name w:val="页脚 Char"/>
    <w:link w:val="2"/>
    <w:qFormat/>
    <w:uiPriority w:val="99"/>
    <w:rPr>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character" w:customStyle="1" w:styleId="10">
    <w:name w:val="页眉 Char1"/>
    <w:basedOn w:val="5"/>
    <w:semiHidden/>
    <w:qFormat/>
    <w:uiPriority w:val="99"/>
    <w:rPr>
      <w:rFonts w:ascii="Times New Roman" w:hAnsi="Times New Roman" w:eastAsia="宋体" w:cs="Times New Roman"/>
      <w:sz w:val="18"/>
      <w:szCs w:val="18"/>
    </w:rPr>
  </w:style>
  <w:style w:type="paragraph" w:customStyle="1" w:styleId="1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790</Words>
  <Characters>865</Characters>
  <Lines>6</Lines>
  <Paragraphs>1</Paragraphs>
  <TotalTime>0</TotalTime>
  <ScaleCrop>false</ScaleCrop>
  <LinksUpToDate>false</LinksUpToDate>
  <CharactersWithSpaces>893</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2021-12-14T15:22:00Z</dcterms:created>
  <dc:creator>杜林</dc:creator>
  <cp:lastModifiedBy>ASUS</cp:lastModifiedBy>
  <dcterms:modified xsi:type="dcterms:W3CDTF">2025-04-09T08:37:19Z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CD8E337319164D89B856F331E6664BAA</vt:lpwstr>
  </property>
  <property fmtid="{D5CDD505-2E9C-101B-9397-08002B2CF9AE}" pid="4" name="KSOTemplateDocerSaveRecord">
    <vt:lpwstr>eyJoZGlkIjoiOTI5OGU4NGM0N2VhNDI3ZTQyYTE0ZTMzYTI1NTJjNmEiLCJ1c2VySWQiOiIzNDM5Nzk1ODkifQ==</vt:lpwstr>
  </property>
</Properties>
</file>