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framePr w:w="0" w:hRule="auto" w:wrap="auto" w:vAnchor="margin" w:hAnchor="text" w:xAlign="left" w:yAlign="inline"/>
        <w:spacing w:line="240" w:lineRule="auto"/>
        <w:rPr>
          <w:rFonts w:hint="eastAsia" w:hAnsi="黑体" w:cs="黑体"/>
          <w:color w:val="000000"/>
          <w:sz w:val="32"/>
          <w:szCs w:val="32"/>
        </w:rPr>
      </w:pPr>
      <w:r>
        <w:rPr>
          <w:rFonts w:hint="eastAsia" w:hAnsi="黑体" w:cs="黑体"/>
          <w:color w:val="000000" w:themeColor="text1"/>
          <w:sz w:val="32"/>
          <w:szCs w:val="32"/>
        </w:rPr>
        <w:t>德阳市罗</w:t>
      </w:r>
      <w:r>
        <w:rPr>
          <w:rFonts w:hint="eastAsia" w:hAnsi="黑体" w:cs="黑体"/>
          <w:color w:val="000000"/>
          <w:sz w:val="32"/>
          <w:szCs w:val="32"/>
        </w:rPr>
        <w:t>江区</w:t>
      </w:r>
      <w:bookmarkStart w:id="0" w:name="OLE_LINK1"/>
      <w:bookmarkStart w:id="1" w:name="OLE_LINK2"/>
      <w:bookmarkStart w:id="2" w:name="OLE_LINK4"/>
      <w:bookmarkStart w:id="3" w:name="OLE_LINK3"/>
      <w:r>
        <w:rPr>
          <w:rFonts w:hint="eastAsia" w:hAnsi="黑体" w:cs="黑体"/>
          <w:color w:val="000000"/>
          <w:sz w:val="32"/>
          <w:szCs w:val="32"/>
        </w:rPr>
        <w:t>电动自行车用锂离子蓄</w:t>
      </w:r>
      <w:bookmarkEnd w:id="0"/>
      <w:bookmarkEnd w:id="1"/>
      <w:r>
        <w:rPr>
          <w:rFonts w:hint="eastAsia" w:hAnsi="黑体" w:cs="黑体"/>
          <w:color w:val="000000"/>
          <w:sz w:val="32"/>
          <w:szCs w:val="32"/>
        </w:rPr>
        <w:t>电池</w:t>
      </w:r>
      <w:bookmarkEnd w:id="2"/>
      <w:bookmarkEnd w:id="3"/>
      <w:r>
        <w:rPr>
          <w:rFonts w:hint="eastAsia" w:hAnsi="黑体" w:cs="黑体"/>
          <w:color w:val="000000"/>
          <w:sz w:val="32"/>
          <w:szCs w:val="32"/>
        </w:rPr>
        <w:t>产品质量监督</w:t>
      </w:r>
    </w:p>
    <w:p>
      <w:pPr>
        <w:pStyle w:val="13"/>
        <w:framePr w:w="0" w:hRule="auto" w:wrap="auto" w:vAnchor="margin" w:hAnchor="text" w:xAlign="left" w:yAlign="inline"/>
        <w:spacing w:line="240" w:lineRule="auto"/>
        <w:rPr>
          <w:rFonts w:hAnsi="黑体" w:cs="黑体"/>
          <w:color w:val="000000"/>
          <w:sz w:val="32"/>
          <w:szCs w:val="32"/>
        </w:rPr>
      </w:pPr>
      <w:r>
        <w:rPr>
          <w:rFonts w:hint="eastAsia" w:hAnsi="黑体" w:cs="黑体"/>
          <w:color w:val="000000"/>
          <w:sz w:val="32"/>
          <w:szCs w:val="32"/>
        </w:rPr>
        <w:t>抽查实施细则</w:t>
      </w:r>
    </w:p>
    <w:p>
      <w:pPr>
        <w:pStyle w:val="13"/>
        <w:framePr w:w="0" w:hRule="auto" w:wrap="auto" w:vAnchor="margin" w:hAnchor="text" w:xAlign="left" w:yAlign="inline"/>
        <w:spacing w:line="240" w:lineRule="auto"/>
        <w:rPr>
          <w:rFonts w:hAnsi="黑体" w:cs="黑体"/>
          <w:color w:val="000000"/>
          <w:sz w:val="32"/>
          <w:szCs w:val="32"/>
        </w:rPr>
      </w:pPr>
      <w:r>
        <w:rPr>
          <w:rFonts w:hint="eastAsia" w:hAnsi="黑体" w:cs="黑体"/>
          <w:color w:val="000000"/>
          <w:sz w:val="32"/>
          <w:szCs w:val="32"/>
        </w:rPr>
        <w:t>(</w:t>
      </w:r>
      <w:r>
        <w:rPr>
          <w:rFonts w:hint="eastAsia" w:hAnsi="黑体" w:cs="黑体"/>
          <w:sz w:val="32"/>
          <w:szCs w:val="32"/>
        </w:rPr>
        <w:t>2025</w:t>
      </w:r>
      <w:r>
        <w:rPr>
          <w:rFonts w:hint="eastAsia" w:hAnsi="黑体" w:cs="黑体"/>
          <w:color w:val="000000"/>
          <w:sz w:val="32"/>
          <w:szCs w:val="32"/>
        </w:rPr>
        <w:t>年版)</w:t>
      </w:r>
    </w:p>
    <w:p>
      <w:pPr>
        <w:snapToGrid w:val="0"/>
        <w:spacing w:before="374" w:after="374"/>
        <w:rPr>
          <w:rFonts w:eastAsia="黑体"/>
          <w:color w:val="000000"/>
          <w:szCs w:val="21"/>
        </w:rPr>
      </w:pPr>
      <w:r>
        <w:rPr>
          <w:rFonts w:eastAsia="黑体"/>
          <w:color w:val="000000"/>
          <w:szCs w:val="21"/>
        </w:rPr>
        <w:t>1  抽样方法</w:t>
      </w:r>
    </w:p>
    <w:p>
      <w:pPr>
        <w:pStyle w:val="2"/>
        <w:spacing w:before="265" w:line="271" w:lineRule="exact"/>
        <w:ind w:left="465"/>
        <w:rPr>
          <w:lang w:eastAsia="zh-CN"/>
        </w:rPr>
      </w:pPr>
      <w:r>
        <w:rPr>
          <w:spacing w:val="8"/>
          <w:position w:val="4"/>
          <w:lang w:eastAsia="zh-CN"/>
        </w:rPr>
        <w:t>以随机抽样的方式在被抽样生产者、销售者的待销产品中抽取。</w:t>
      </w:r>
    </w:p>
    <w:p>
      <w:pPr>
        <w:pStyle w:val="2"/>
        <w:spacing w:line="227" w:lineRule="auto"/>
        <w:ind w:left="453"/>
        <w:rPr>
          <w:spacing w:val="8"/>
          <w:lang w:eastAsia="zh-CN"/>
        </w:rPr>
      </w:pPr>
      <w:r>
        <w:rPr>
          <w:lang w:eastAsia="zh-CN"/>
        </w:rPr>
        <w:t>随机数一般可使用随机数表、骰子或扑克牌等方法产生</w:t>
      </w:r>
      <w:r>
        <w:rPr>
          <w:spacing w:val="8"/>
          <w:lang w:eastAsia="zh-CN"/>
        </w:rPr>
        <w:t>。</w:t>
      </w:r>
    </w:p>
    <w:p>
      <w:pPr>
        <w:pStyle w:val="2"/>
        <w:spacing w:before="27" w:line="239" w:lineRule="auto"/>
        <w:ind w:left="443" w:right="138" w:hanging="2"/>
        <w:rPr>
          <w:lang w:eastAsia="zh-CN"/>
        </w:rPr>
      </w:pPr>
      <w:r>
        <w:rPr>
          <w:spacing w:val="6"/>
          <w:lang w:eastAsia="zh-CN"/>
        </w:rPr>
        <w:t>每批次产品抽取样品</w:t>
      </w:r>
      <w:r>
        <w:rPr>
          <w:rFonts w:hint="eastAsia"/>
          <w:spacing w:val="-24"/>
          <w:lang w:eastAsia="zh-CN"/>
        </w:rPr>
        <w:t>6只</w:t>
      </w:r>
      <w:r>
        <w:rPr>
          <w:spacing w:val="6"/>
          <w:lang w:eastAsia="zh-CN"/>
        </w:rPr>
        <w:t>，其中</w:t>
      </w:r>
      <w:r>
        <w:rPr>
          <w:rFonts w:hint="eastAsia"/>
          <w:spacing w:val="-35"/>
          <w:lang w:eastAsia="zh-CN"/>
        </w:rPr>
        <w:t>3只</w:t>
      </w:r>
      <w:r>
        <w:rPr>
          <w:spacing w:val="6"/>
          <w:lang w:eastAsia="zh-CN"/>
        </w:rPr>
        <w:t>作为检验样品，</w:t>
      </w:r>
      <w:r>
        <w:rPr>
          <w:rFonts w:hint="eastAsia"/>
          <w:spacing w:val="-35"/>
          <w:lang w:eastAsia="zh-CN"/>
        </w:rPr>
        <w:t>3只</w:t>
      </w:r>
      <w:r>
        <w:rPr>
          <w:spacing w:val="-40"/>
          <w:lang w:eastAsia="zh-CN"/>
        </w:rPr>
        <w:t xml:space="preserve"> </w:t>
      </w:r>
      <w:r>
        <w:rPr>
          <w:spacing w:val="6"/>
          <w:lang w:eastAsia="zh-CN"/>
        </w:rPr>
        <w:t>作为备用样</w:t>
      </w:r>
      <w:r>
        <w:rPr>
          <w:rFonts w:hint="eastAsia"/>
          <w:spacing w:val="6"/>
          <w:lang w:eastAsia="zh-CN"/>
        </w:rPr>
        <w:t>品</w:t>
      </w:r>
      <w:r>
        <w:rPr>
          <w:spacing w:val="6"/>
          <w:lang w:eastAsia="zh-CN"/>
        </w:rPr>
        <w:t>。</w:t>
      </w:r>
      <w:r>
        <w:rPr>
          <w:lang w:eastAsia="zh-CN"/>
        </w:rPr>
        <w:t xml:space="preserve"> </w:t>
      </w:r>
    </w:p>
    <w:p>
      <w:pPr>
        <w:ind w:firstLine="452" w:firstLineChars="200"/>
        <w:rPr>
          <w:szCs w:val="21"/>
        </w:rPr>
      </w:pPr>
      <w:r>
        <w:rPr>
          <w:spacing w:val="8"/>
        </w:rPr>
        <w:t>备用样品封存于受检单位。</w:t>
      </w:r>
    </w:p>
    <w:p>
      <w:pPr>
        <w:snapToGrid w:val="0"/>
        <w:spacing w:before="374" w:after="374"/>
        <w:rPr>
          <w:rFonts w:eastAsia="黑体"/>
          <w:color w:val="000000"/>
          <w:szCs w:val="21"/>
        </w:rPr>
      </w:pPr>
      <w:r>
        <w:rPr>
          <w:rFonts w:eastAsia="黑体"/>
          <w:color w:val="000000"/>
          <w:szCs w:val="21"/>
        </w:rPr>
        <w:t>2  检验依据</w:t>
      </w:r>
    </w:p>
    <w:p>
      <w:pPr>
        <w:pStyle w:val="14"/>
        <w:spacing w:before="156" w:after="156"/>
        <w:rPr>
          <w:rFonts w:ascii="Times New Roman"/>
          <w:color w:val="000000" w:themeColor="text1"/>
          <w:kern w:val="2"/>
          <w:szCs w:val="21"/>
        </w:rPr>
      </w:pPr>
      <w:r>
        <w:rPr>
          <w:rFonts w:ascii="Times New Roman"/>
          <w:color w:val="000000"/>
          <w:kern w:val="2"/>
          <w:szCs w:val="21"/>
        </w:rPr>
        <w:t>表</w:t>
      </w:r>
      <w:r>
        <w:rPr>
          <w:rFonts w:ascii="Times New Roman"/>
          <w:color w:val="000000" w:themeColor="text1"/>
          <w:kern w:val="2"/>
          <w:szCs w:val="21"/>
        </w:rPr>
        <w:t xml:space="preserve">1 </w:t>
      </w:r>
      <w:r>
        <w:rPr>
          <w:rFonts w:hint="eastAsia" w:ascii="Times New Roman"/>
          <w:color w:val="000000" w:themeColor="text1"/>
          <w:kern w:val="2"/>
          <w:szCs w:val="21"/>
        </w:rPr>
        <w:t>电动自行车用锂离子蓄电池</w:t>
      </w:r>
      <w:r>
        <w:rPr>
          <w:rFonts w:ascii="Times New Roman"/>
          <w:color w:val="000000" w:themeColor="text1"/>
          <w:kern w:val="2"/>
          <w:szCs w:val="21"/>
        </w:rPr>
        <w:t>检验项目</w:t>
      </w:r>
    </w:p>
    <w:tbl>
      <w:tblPr>
        <w:tblStyle w:val="6"/>
        <w:tblW w:w="8050" w:type="dxa"/>
        <w:tblInd w:w="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1"/>
        <w:gridCol w:w="2564"/>
        <w:gridCol w:w="43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5" w:hRule="atLeast"/>
        </w:trPr>
        <w:tc>
          <w:tcPr>
            <w:tcW w:w="1091" w:type="dxa"/>
            <w:vAlign w:val="center"/>
          </w:tcPr>
          <w:p>
            <w:pPr>
              <w:spacing w:before="112" w:line="231" w:lineRule="auto"/>
              <w:jc w:val="center"/>
              <w:rPr>
                <w:rFonts w:ascii="宋体" w:hAnsi="宋体" w:cs="黑体"/>
              </w:rPr>
            </w:pPr>
            <w:r>
              <w:rPr>
                <w:rFonts w:ascii="宋体" w:hAnsi="宋体" w:cs="黑体"/>
                <w:spacing w:val="4"/>
              </w:rPr>
              <w:t>序号</w:t>
            </w:r>
          </w:p>
        </w:tc>
        <w:tc>
          <w:tcPr>
            <w:tcW w:w="2564" w:type="dxa"/>
            <w:vAlign w:val="center"/>
          </w:tcPr>
          <w:p>
            <w:pPr>
              <w:spacing w:before="111" w:line="230" w:lineRule="auto"/>
              <w:jc w:val="center"/>
              <w:rPr>
                <w:rFonts w:ascii="宋体" w:hAnsi="宋体" w:cs="黑体"/>
              </w:rPr>
            </w:pPr>
            <w:r>
              <w:rPr>
                <w:rFonts w:ascii="宋体" w:hAnsi="宋体" w:cs="黑体"/>
                <w:spacing w:val="8"/>
              </w:rPr>
              <w:t>检验项目</w:t>
            </w:r>
          </w:p>
        </w:tc>
        <w:tc>
          <w:tcPr>
            <w:tcW w:w="4395" w:type="dxa"/>
            <w:tcBorders>
              <w:right w:val="single" w:color="auto" w:sz="4" w:space="0"/>
            </w:tcBorders>
            <w:vAlign w:val="center"/>
          </w:tcPr>
          <w:p>
            <w:pPr>
              <w:spacing w:before="111" w:line="229" w:lineRule="auto"/>
              <w:jc w:val="center"/>
              <w:rPr>
                <w:rFonts w:ascii="宋体" w:hAnsi="宋体" w:cs="黑体"/>
              </w:rPr>
            </w:pPr>
            <w:r>
              <w:rPr>
                <w:rFonts w:ascii="宋体" w:hAnsi="宋体" w:cs="黑体"/>
                <w:spacing w:val="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091" w:type="dxa"/>
            <w:vAlign w:val="center"/>
          </w:tcPr>
          <w:p>
            <w:pPr>
              <w:pStyle w:val="19"/>
              <w:spacing w:before="201" w:line="189" w:lineRule="auto"/>
              <w:jc w:val="center"/>
              <w:rPr>
                <w:sz w:val="21"/>
                <w:szCs w:val="21"/>
              </w:rPr>
            </w:pPr>
            <w:r>
              <w:rPr>
                <w:sz w:val="21"/>
                <w:szCs w:val="21"/>
              </w:rPr>
              <w:t>1</w:t>
            </w:r>
          </w:p>
        </w:tc>
        <w:tc>
          <w:tcPr>
            <w:tcW w:w="2564" w:type="dxa"/>
            <w:vAlign w:val="center"/>
          </w:tcPr>
          <w:p>
            <w:pPr>
              <w:pStyle w:val="19"/>
              <w:spacing w:before="168" w:line="223" w:lineRule="auto"/>
              <w:jc w:val="center"/>
              <w:rPr>
                <w:sz w:val="21"/>
                <w:szCs w:val="21"/>
              </w:rPr>
            </w:pPr>
            <w:r>
              <w:rPr>
                <w:sz w:val="21"/>
                <w:szCs w:val="21"/>
                <w:lang w:eastAsia="zh-CN"/>
              </w:rPr>
              <w:t>I2 放电</w:t>
            </w:r>
          </w:p>
        </w:tc>
        <w:tc>
          <w:tcPr>
            <w:tcW w:w="4395" w:type="dxa"/>
            <w:tcBorders>
              <w:right w:val="single" w:color="auto" w:sz="4" w:space="0"/>
            </w:tcBorders>
            <w:vAlign w:val="center"/>
          </w:tcPr>
          <w:p>
            <w:pPr>
              <w:pStyle w:val="19"/>
              <w:spacing w:line="215" w:lineRule="auto"/>
              <w:jc w:val="center"/>
              <w:rPr>
                <w:sz w:val="21"/>
                <w:szCs w:val="21"/>
                <w:lang w:eastAsia="zh-CN"/>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091" w:type="dxa"/>
            <w:vAlign w:val="center"/>
          </w:tcPr>
          <w:p>
            <w:pPr>
              <w:pStyle w:val="19"/>
              <w:spacing w:before="134" w:line="187" w:lineRule="auto"/>
              <w:jc w:val="center"/>
              <w:rPr>
                <w:sz w:val="21"/>
                <w:szCs w:val="21"/>
                <w:lang w:eastAsia="zh-CN"/>
              </w:rPr>
            </w:pPr>
            <w:r>
              <w:rPr>
                <w:rFonts w:hint="eastAsia"/>
                <w:sz w:val="21"/>
                <w:szCs w:val="21"/>
                <w:lang w:eastAsia="zh-CN"/>
              </w:rPr>
              <w:t>2</w:t>
            </w:r>
          </w:p>
        </w:tc>
        <w:tc>
          <w:tcPr>
            <w:tcW w:w="2564" w:type="dxa"/>
            <w:vAlign w:val="center"/>
          </w:tcPr>
          <w:p>
            <w:pPr>
              <w:pStyle w:val="19"/>
              <w:spacing w:before="99" w:line="230" w:lineRule="auto"/>
              <w:jc w:val="center"/>
              <w:rPr>
                <w:sz w:val="21"/>
                <w:szCs w:val="21"/>
              </w:rPr>
            </w:pPr>
            <w:r>
              <w:rPr>
                <w:sz w:val="21"/>
                <w:szCs w:val="21"/>
                <w:lang w:eastAsia="zh-CN"/>
              </w:rPr>
              <w:t>低温放电</w:t>
            </w:r>
          </w:p>
        </w:tc>
        <w:tc>
          <w:tcPr>
            <w:tcW w:w="4395" w:type="dxa"/>
            <w:tcBorders>
              <w:right w:val="single" w:color="auto" w:sz="4" w:space="0"/>
            </w:tcBorders>
            <w:vAlign w:val="center"/>
          </w:tcPr>
          <w:p>
            <w:pPr>
              <w:pStyle w:val="19"/>
              <w:spacing w:before="100" w:line="233" w:lineRule="auto"/>
              <w:jc w:val="center"/>
              <w:rPr>
                <w:sz w:val="21"/>
                <w:szCs w:val="21"/>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091" w:type="dxa"/>
            <w:vAlign w:val="center"/>
          </w:tcPr>
          <w:p>
            <w:pPr>
              <w:pStyle w:val="19"/>
              <w:spacing w:before="141" w:line="189" w:lineRule="auto"/>
              <w:jc w:val="center"/>
              <w:rPr>
                <w:sz w:val="21"/>
                <w:szCs w:val="21"/>
                <w:lang w:eastAsia="zh-CN"/>
              </w:rPr>
            </w:pPr>
            <w:r>
              <w:rPr>
                <w:rFonts w:hint="eastAsia"/>
                <w:sz w:val="21"/>
                <w:szCs w:val="21"/>
                <w:lang w:eastAsia="zh-CN"/>
              </w:rPr>
              <w:t>3</w:t>
            </w:r>
          </w:p>
        </w:tc>
        <w:tc>
          <w:tcPr>
            <w:tcW w:w="2564" w:type="dxa"/>
            <w:vAlign w:val="center"/>
          </w:tcPr>
          <w:p>
            <w:pPr>
              <w:pStyle w:val="19"/>
              <w:spacing w:before="108" w:line="231" w:lineRule="auto"/>
              <w:jc w:val="center"/>
              <w:rPr>
                <w:sz w:val="21"/>
                <w:szCs w:val="21"/>
              </w:rPr>
            </w:pPr>
            <w:r>
              <w:rPr>
                <w:sz w:val="21"/>
                <w:szCs w:val="21"/>
                <w:lang w:eastAsia="zh-CN"/>
              </w:rPr>
              <w:t>过充电</w:t>
            </w:r>
          </w:p>
        </w:tc>
        <w:tc>
          <w:tcPr>
            <w:tcW w:w="4395" w:type="dxa"/>
            <w:tcBorders>
              <w:right w:val="single" w:color="auto" w:sz="4" w:space="0"/>
            </w:tcBorders>
            <w:vAlign w:val="center"/>
          </w:tcPr>
          <w:p>
            <w:pPr>
              <w:pStyle w:val="19"/>
              <w:spacing w:before="108" w:line="233" w:lineRule="auto"/>
              <w:jc w:val="center"/>
              <w:rPr>
                <w:sz w:val="21"/>
                <w:szCs w:val="21"/>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091" w:type="dxa"/>
            <w:vAlign w:val="center"/>
          </w:tcPr>
          <w:p>
            <w:pPr>
              <w:pStyle w:val="19"/>
              <w:spacing w:before="142" w:line="189" w:lineRule="auto"/>
              <w:jc w:val="center"/>
              <w:rPr>
                <w:sz w:val="21"/>
                <w:szCs w:val="21"/>
                <w:lang w:eastAsia="zh-CN"/>
              </w:rPr>
            </w:pPr>
            <w:r>
              <w:rPr>
                <w:rFonts w:hint="eastAsia"/>
                <w:sz w:val="21"/>
                <w:szCs w:val="21"/>
                <w:lang w:eastAsia="zh-CN"/>
              </w:rPr>
              <w:t>4</w:t>
            </w:r>
          </w:p>
        </w:tc>
        <w:tc>
          <w:tcPr>
            <w:tcW w:w="2564" w:type="dxa"/>
            <w:vAlign w:val="center"/>
          </w:tcPr>
          <w:p>
            <w:pPr>
              <w:pStyle w:val="19"/>
              <w:spacing w:before="109" w:line="229" w:lineRule="auto"/>
              <w:jc w:val="center"/>
              <w:rPr>
                <w:sz w:val="21"/>
                <w:szCs w:val="21"/>
              </w:rPr>
            </w:pPr>
            <w:r>
              <w:rPr>
                <w:sz w:val="21"/>
                <w:szCs w:val="21"/>
                <w:lang w:eastAsia="zh-CN"/>
              </w:rPr>
              <w:t>过充电保护</w:t>
            </w:r>
          </w:p>
        </w:tc>
        <w:tc>
          <w:tcPr>
            <w:tcW w:w="4395" w:type="dxa"/>
            <w:tcBorders>
              <w:right w:val="single" w:color="auto" w:sz="4" w:space="0"/>
            </w:tcBorders>
            <w:vAlign w:val="center"/>
          </w:tcPr>
          <w:p>
            <w:pPr>
              <w:pStyle w:val="19"/>
              <w:spacing w:before="109" w:line="233" w:lineRule="auto"/>
              <w:jc w:val="center"/>
              <w:rPr>
                <w:sz w:val="21"/>
                <w:szCs w:val="21"/>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1091" w:type="dxa"/>
            <w:vAlign w:val="center"/>
          </w:tcPr>
          <w:p>
            <w:pPr>
              <w:pStyle w:val="19"/>
              <w:spacing w:before="201" w:line="189" w:lineRule="auto"/>
              <w:jc w:val="center"/>
              <w:rPr>
                <w:sz w:val="21"/>
                <w:szCs w:val="21"/>
                <w:lang w:eastAsia="zh-CN"/>
              </w:rPr>
            </w:pPr>
            <w:r>
              <w:rPr>
                <w:rFonts w:hint="eastAsia"/>
                <w:sz w:val="21"/>
                <w:szCs w:val="21"/>
                <w:lang w:eastAsia="zh-CN"/>
              </w:rPr>
              <w:t>5</w:t>
            </w:r>
          </w:p>
        </w:tc>
        <w:tc>
          <w:tcPr>
            <w:tcW w:w="2564" w:type="dxa"/>
            <w:vAlign w:val="center"/>
          </w:tcPr>
          <w:p>
            <w:pPr>
              <w:pStyle w:val="19"/>
              <w:spacing w:before="168" w:line="228" w:lineRule="auto"/>
              <w:jc w:val="center"/>
              <w:rPr>
                <w:sz w:val="21"/>
                <w:szCs w:val="21"/>
              </w:rPr>
            </w:pPr>
            <w:r>
              <w:rPr>
                <w:sz w:val="21"/>
                <w:szCs w:val="21"/>
                <w:lang w:eastAsia="zh-CN"/>
              </w:rPr>
              <w:t>过放电保护</w:t>
            </w:r>
          </w:p>
        </w:tc>
        <w:tc>
          <w:tcPr>
            <w:tcW w:w="4395" w:type="dxa"/>
            <w:tcBorders>
              <w:right w:val="single" w:color="auto" w:sz="4" w:space="0"/>
            </w:tcBorders>
            <w:vAlign w:val="center"/>
          </w:tcPr>
          <w:p>
            <w:pPr>
              <w:pStyle w:val="19"/>
              <w:spacing w:line="214" w:lineRule="auto"/>
              <w:jc w:val="center"/>
              <w:rPr>
                <w:sz w:val="21"/>
                <w:szCs w:val="21"/>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091" w:type="dxa"/>
            <w:vAlign w:val="center"/>
          </w:tcPr>
          <w:p>
            <w:pPr>
              <w:pStyle w:val="19"/>
              <w:spacing w:before="144" w:line="189" w:lineRule="auto"/>
              <w:jc w:val="center"/>
              <w:rPr>
                <w:sz w:val="21"/>
                <w:szCs w:val="21"/>
                <w:lang w:eastAsia="zh-CN"/>
              </w:rPr>
            </w:pPr>
            <w:r>
              <w:rPr>
                <w:rFonts w:hint="eastAsia"/>
                <w:sz w:val="21"/>
                <w:szCs w:val="21"/>
                <w:lang w:eastAsia="zh-CN"/>
              </w:rPr>
              <w:t>6</w:t>
            </w:r>
          </w:p>
        </w:tc>
        <w:tc>
          <w:tcPr>
            <w:tcW w:w="2564" w:type="dxa"/>
            <w:vAlign w:val="center"/>
          </w:tcPr>
          <w:p>
            <w:pPr>
              <w:pStyle w:val="19"/>
              <w:spacing w:before="112" w:line="229" w:lineRule="auto"/>
              <w:jc w:val="center"/>
              <w:rPr>
                <w:sz w:val="21"/>
                <w:szCs w:val="21"/>
              </w:rPr>
            </w:pPr>
            <w:r>
              <w:rPr>
                <w:sz w:val="21"/>
                <w:szCs w:val="21"/>
                <w:lang w:eastAsia="zh-CN"/>
              </w:rPr>
              <w:t>短路保护</w:t>
            </w:r>
          </w:p>
        </w:tc>
        <w:tc>
          <w:tcPr>
            <w:tcW w:w="4395" w:type="dxa"/>
            <w:tcBorders>
              <w:right w:val="single" w:color="auto" w:sz="4" w:space="0"/>
            </w:tcBorders>
            <w:vAlign w:val="center"/>
          </w:tcPr>
          <w:p>
            <w:pPr>
              <w:pStyle w:val="19"/>
              <w:spacing w:before="112" w:line="233" w:lineRule="auto"/>
              <w:jc w:val="center"/>
              <w:rPr>
                <w:sz w:val="21"/>
                <w:szCs w:val="21"/>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091" w:type="dxa"/>
            <w:vAlign w:val="center"/>
          </w:tcPr>
          <w:p>
            <w:pPr>
              <w:pStyle w:val="19"/>
              <w:spacing w:before="144" w:line="189" w:lineRule="auto"/>
              <w:jc w:val="center"/>
              <w:rPr>
                <w:sz w:val="21"/>
                <w:szCs w:val="21"/>
                <w:lang w:eastAsia="zh-CN"/>
              </w:rPr>
            </w:pPr>
            <w:r>
              <w:rPr>
                <w:rFonts w:hint="eastAsia"/>
                <w:sz w:val="21"/>
                <w:szCs w:val="21"/>
                <w:lang w:eastAsia="zh-CN"/>
              </w:rPr>
              <w:t>7</w:t>
            </w:r>
          </w:p>
        </w:tc>
        <w:tc>
          <w:tcPr>
            <w:tcW w:w="2564" w:type="dxa"/>
            <w:vAlign w:val="center"/>
          </w:tcPr>
          <w:p>
            <w:pPr>
              <w:pStyle w:val="19"/>
              <w:spacing w:before="144" w:line="189" w:lineRule="auto"/>
              <w:jc w:val="center"/>
              <w:rPr>
                <w:sz w:val="21"/>
                <w:szCs w:val="21"/>
                <w:lang w:eastAsia="zh-CN"/>
              </w:rPr>
            </w:pPr>
            <w:r>
              <w:rPr>
                <w:sz w:val="21"/>
                <w:szCs w:val="21"/>
                <w:lang w:eastAsia="zh-CN"/>
              </w:rPr>
              <w:t>放电过流保护</w:t>
            </w:r>
          </w:p>
        </w:tc>
        <w:tc>
          <w:tcPr>
            <w:tcW w:w="4395" w:type="dxa"/>
            <w:tcBorders>
              <w:right w:val="single" w:color="auto" w:sz="4" w:space="0"/>
            </w:tcBorders>
            <w:vAlign w:val="center"/>
          </w:tcPr>
          <w:p>
            <w:pPr>
              <w:pStyle w:val="19"/>
              <w:spacing w:before="144" w:line="189" w:lineRule="auto"/>
              <w:jc w:val="center"/>
              <w:rPr>
                <w:sz w:val="21"/>
                <w:szCs w:val="21"/>
                <w:lang w:eastAsia="zh-CN"/>
              </w:rPr>
            </w:pPr>
            <w:r>
              <w:rPr>
                <w:rFonts w:hint="eastAsia"/>
                <w:sz w:val="21"/>
                <w:szCs w:val="21"/>
                <w:lang w:eastAsia="zh-CN"/>
              </w:rPr>
              <w:t>GB</w:t>
            </w:r>
            <w:r>
              <w:rPr>
                <w:sz w:val="21"/>
                <w:szCs w:val="21"/>
                <w:lang w:eastAsia="zh-CN"/>
              </w:rPr>
              <w:t>/T 36972-2018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1" w:hRule="atLeast"/>
        </w:trPr>
        <w:tc>
          <w:tcPr>
            <w:tcW w:w="1091" w:type="dxa"/>
            <w:vAlign w:val="center"/>
          </w:tcPr>
          <w:p>
            <w:pPr>
              <w:pStyle w:val="19"/>
              <w:spacing w:before="144" w:line="189" w:lineRule="auto"/>
              <w:jc w:val="center"/>
              <w:rPr>
                <w:sz w:val="21"/>
                <w:szCs w:val="21"/>
                <w:lang w:eastAsia="zh-CN"/>
              </w:rPr>
            </w:pPr>
            <w:r>
              <w:rPr>
                <w:sz w:val="21"/>
                <w:szCs w:val="21"/>
                <w:lang w:eastAsia="zh-CN"/>
              </w:rPr>
              <w:t>8</w:t>
            </w:r>
          </w:p>
        </w:tc>
        <w:tc>
          <w:tcPr>
            <w:tcW w:w="2564" w:type="dxa"/>
            <w:vAlign w:val="center"/>
          </w:tcPr>
          <w:p>
            <w:pPr>
              <w:pStyle w:val="19"/>
              <w:spacing w:before="144" w:line="189" w:lineRule="auto"/>
              <w:jc w:val="center"/>
              <w:rPr>
                <w:sz w:val="21"/>
                <w:szCs w:val="21"/>
                <w:lang w:eastAsia="zh-CN"/>
              </w:rPr>
            </w:pPr>
            <w:r>
              <w:rPr>
                <w:sz w:val="21"/>
                <w:szCs w:val="21"/>
                <w:lang w:eastAsia="zh-CN"/>
              </w:rPr>
              <w:t>壳体阻燃性</w:t>
            </w:r>
          </w:p>
        </w:tc>
        <w:tc>
          <w:tcPr>
            <w:tcW w:w="4395" w:type="dxa"/>
            <w:tcBorders>
              <w:right w:val="single" w:color="auto" w:sz="4" w:space="0"/>
            </w:tcBorders>
            <w:vAlign w:val="center"/>
          </w:tcPr>
          <w:p>
            <w:pPr>
              <w:pStyle w:val="19"/>
              <w:spacing w:before="144" w:line="189" w:lineRule="auto"/>
              <w:jc w:val="center"/>
              <w:rPr>
                <w:sz w:val="21"/>
                <w:szCs w:val="21"/>
                <w:lang w:eastAsia="zh-CN"/>
              </w:rPr>
            </w:pPr>
            <w:r>
              <w:rPr>
                <w:rFonts w:hint="eastAsia"/>
                <w:sz w:val="21"/>
                <w:szCs w:val="21"/>
                <w:lang w:eastAsia="zh-CN"/>
              </w:rPr>
              <w:t>GB</w:t>
            </w:r>
            <w:r>
              <w:rPr>
                <w:sz w:val="21"/>
                <w:szCs w:val="21"/>
                <w:lang w:eastAsia="zh-CN"/>
              </w:rPr>
              <w:t>/T 36972-2018</w:t>
            </w:r>
          </w:p>
        </w:tc>
      </w:tr>
    </w:tbl>
    <w:p/>
    <w:p>
      <w:pPr>
        <w:rPr>
          <w:color w:val="000000" w:themeColor="text1"/>
          <w:sz w:val="18"/>
          <w:szCs w:val="18"/>
        </w:rPr>
      </w:pPr>
      <w:r>
        <w:rPr>
          <w:color w:val="000000" w:themeColor="text1"/>
          <w:sz w:val="18"/>
          <w:szCs w:val="18"/>
        </w:rPr>
        <w:t>注：1.上表所列检验项目是有关法律法规、标准等规定的，重点涉及健康、安全、节能、环保以及消费者、</w:t>
      </w:r>
    </w:p>
    <w:p>
      <w:pPr>
        <w:ind w:firstLine="540" w:firstLineChars="300"/>
        <w:rPr>
          <w:color w:val="000000" w:themeColor="text1"/>
          <w:sz w:val="18"/>
          <w:szCs w:val="18"/>
        </w:rPr>
      </w:pPr>
      <w:r>
        <w:rPr>
          <w:color w:val="000000" w:themeColor="text1"/>
          <w:sz w:val="18"/>
          <w:szCs w:val="18"/>
        </w:rPr>
        <w:t>有关组织反映有质量问题的重要项目。</w:t>
      </w:r>
    </w:p>
    <w:p>
      <w:pPr>
        <w:ind w:firstLine="360" w:firstLineChars="200"/>
        <w:rPr>
          <w:color w:val="000000" w:themeColor="text1"/>
          <w:sz w:val="18"/>
          <w:szCs w:val="18"/>
        </w:rPr>
      </w:pPr>
      <w:r>
        <w:rPr>
          <w:color w:val="000000" w:themeColor="text1"/>
          <w:sz w:val="18"/>
          <w:szCs w:val="18"/>
        </w:rPr>
        <w:t>2.检验方法包括相关产品标准及试验方法标准。</w:t>
      </w:r>
    </w:p>
    <w:p>
      <w:pPr>
        <w:ind w:firstLine="360" w:firstLineChars="200"/>
        <w:rPr>
          <w:color w:val="000000"/>
          <w:sz w:val="18"/>
          <w:szCs w:val="18"/>
        </w:rPr>
      </w:pPr>
      <w:r>
        <w:rPr>
          <w:color w:val="000000"/>
          <w:sz w:val="18"/>
          <w:szCs w:val="18"/>
        </w:rPr>
        <w:t>3.凡是注日期的文件，其随后所有的修改单（不包括勘误的内容）或修订版不适用于本细则；凡是不注</w:t>
      </w:r>
    </w:p>
    <w:p>
      <w:pPr>
        <w:ind w:firstLine="540" w:firstLineChars="300"/>
        <w:rPr>
          <w:color w:val="000000"/>
          <w:sz w:val="18"/>
          <w:szCs w:val="18"/>
        </w:rPr>
      </w:pPr>
      <w:r>
        <w:rPr>
          <w:color w:val="000000"/>
          <w:sz w:val="18"/>
          <w:szCs w:val="18"/>
        </w:rPr>
        <w:t>日期的文件，其最新版本适用于本细则。</w:t>
      </w:r>
    </w:p>
    <w:p>
      <w:pPr>
        <w:ind w:firstLine="360" w:firstLineChars="200"/>
        <w:rPr>
          <w:color w:val="000000"/>
          <w:sz w:val="18"/>
          <w:szCs w:val="18"/>
        </w:rPr>
      </w:pPr>
      <w:r>
        <w:rPr>
          <w:color w:val="000000"/>
          <w:sz w:val="18"/>
          <w:szCs w:val="18"/>
        </w:rPr>
        <w:t>4.执行企业标准、团体标准、地方标准的产品，检验项目参照上述内容执行。</w:t>
      </w:r>
    </w:p>
    <w:p>
      <w:pPr>
        <w:snapToGrid w:val="0"/>
        <w:spacing w:before="374" w:after="374"/>
        <w:rPr>
          <w:rFonts w:eastAsia="黑体"/>
          <w:color w:val="000000"/>
          <w:szCs w:val="21"/>
        </w:rPr>
      </w:pPr>
      <w:r>
        <w:rPr>
          <w:rFonts w:eastAsia="黑体"/>
          <w:color w:val="000000"/>
          <w:szCs w:val="21"/>
        </w:rPr>
        <w:t>3  判定规则</w:t>
      </w:r>
    </w:p>
    <w:p>
      <w:pPr>
        <w:snapToGrid w:val="0"/>
        <w:spacing w:before="374" w:after="374"/>
        <w:rPr>
          <w:rFonts w:eastAsia="黑体"/>
          <w:color w:val="000000"/>
          <w:szCs w:val="21"/>
        </w:rPr>
      </w:pPr>
      <w:r>
        <w:rPr>
          <w:rFonts w:eastAsia="黑体"/>
          <w:color w:val="000000"/>
          <w:szCs w:val="21"/>
        </w:rPr>
        <w:t>3.1  依据标准</w:t>
      </w:r>
    </w:p>
    <w:p>
      <w:pPr>
        <w:ind w:firstLine="420" w:firstLineChars="200"/>
        <w:rPr>
          <w:rFonts w:ascii="宋体" w:hAnsi="宋体"/>
          <w:color w:val="000000"/>
          <w:sz w:val="22"/>
        </w:rPr>
      </w:pPr>
      <w:r>
        <w:rPr>
          <w:rFonts w:hint="eastAsia"/>
        </w:rPr>
        <w:t>GB</w:t>
      </w:r>
      <w:r>
        <w:t>/T 36972-2018</w:t>
      </w:r>
      <w:r>
        <w:rPr>
          <w:spacing w:val="4"/>
        </w:rPr>
        <w:t xml:space="preserve">  </w:t>
      </w:r>
      <w:r>
        <w:t>电动自行车用锂离子蓄电池</w:t>
      </w:r>
    </w:p>
    <w:p>
      <w:pPr>
        <w:ind w:firstLine="420" w:firstLineChars="200"/>
        <w:rPr>
          <w:color w:val="000000"/>
          <w:szCs w:val="21"/>
        </w:rPr>
      </w:pPr>
      <w:r>
        <w:rPr>
          <w:color w:val="000000"/>
          <w:szCs w:val="21"/>
        </w:rPr>
        <w:t>现行有效的企业标准、团体标准、地方标准及产品明示质量要求。</w:t>
      </w:r>
    </w:p>
    <w:p>
      <w:pPr>
        <w:snapToGrid w:val="0"/>
        <w:spacing w:before="374" w:after="374"/>
        <w:rPr>
          <w:rFonts w:eastAsia="黑体"/>
          <w:color w:val="000000"/>
          <w:szCs w:val="21"/>
        </w:rPr>
      </w:pPr>
      <w:r>
        <w:rPr>
          <w:rFonts w:eastAsia="黑体"/>
          <w:color w:val="000000"/>
          <w:szCs w:val="21"/>
        </w:rPr>
        <w:t>3.2  判定原则</w:t>
      </w:r>
      <w:bookmarkStart w:id="4" w:name="_GoBack"/>
      <w:bookmarkEnd w:id="4"/>
    </w:p>
    <w:p>
      <w:pPr>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ind w:firstLine="420" w:firstLineChars="200"/>
        <w:rPr>
          <w:color w:val="000000"/>
          <w:szCs w:val="21"/>
        </w:rPr>
      </w:pPr>
      <w:r>
        <w:rPr>
          <w:color w:val="000000"/>
          <w:szCs w:val="21"/>
        </w:rPr>
        <w:t>若被检产品明示的质量要求高于本细则中检验项目依据的标准要求时，应按被检产品明示的质量要求判定。</w:t>
      </w:r>
    </w:p>
    <w:p>
      <w:pPr>
        <w:ind w:firstLine="420" w:firstLineChars="200"/>
        <w:rPr>
          <w:color w:val="000000"/>
          <w:szCs w:val="21"/>
        </w:rPr>
      </w:pPr>
      <w:r>
        <w:rPr>
          <w:color w:val="000000"/>
          <w:szCs w:val="21"/>
        </w:rPr>
        <w:t>若被检产品明示的质量要求低于本细则中检验项目依据的强制性标准要求时，应按照强制性标准要求判定。</w:t>
      </w:r>
    </w:p>
    <w:p>
      <w:pPr>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ind w:firstLine="420" w:firstLineChars="200"/>
        <w:rPr>
          <w:color w:val="000000"/>
          <w:szCs w:val="21"/>
        </w:rPr>
      </w:pPr>
      <w:r>
        <w:rPr>
          <w:color w:val="000000"/>
          <w:szCs w:val="21"/>
        </w:rPr>
        <w:t>若被检产品明示的质量要求缺少本细则中检验项目依据的强制性标准要求时，应按照强制性标准要求判定。</w:t>
      </w:r>
    </w:p>
    <w:p>
      <w:pPr>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pPr>
        <w:widowControl/>
        <w:ind w:firstLine="420" w:firstLineChars="200"/>
        <w:jc w:val="left"/>
        <w:rPr>
          <w:rFonts w:ascii="宋体" w:hAnsi="宋体" w:cs="宋体"/>
          <w:color w:val="FF0000"/>
          <w:kern w:val="0"/>
          <w:szCs w:val="21"/>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03751"/>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1E558B"/>
    <w:rsid w:val="00225068"/>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318B0"/>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53E22"/>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82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989"/>
    <w:rsid w:val="007D2F1D"/>
    <w:rsid w:val="007E7007"/>
    <w:rsid w:val="007F603E"/>
    <w:rsid w:val="0080742F"/>
    <w:rsid w:val="00836371"/>
    <w:rsid w:val="00837341"/>
    <w:rsid w:val="008420F2"/>
    <w:rsid w:val="008932E9"/>
    <w:rsid w:val="008C09C0"/>
    <w:rsid w:val="008C5740"/>
    <w:rsid w:val="008F0096"/>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835D6"/>
    <w:rsid w:val="00CB44FC"/>
    <w:rsid w:val="00CC4BC8"/>
    <w:rsid w:val="00CC6CD0"/>
    <w:rsid w:val="00CD705B"/>
    <w:rsid w:val="00D337CB"/>
    <w:rsid w:val="00D3561C"/>
    <w:rsid w:val="00D46D04"/>
    <w:rsid w:val="00D7395D"/>
    <w:rsid w:val="00DB1880"/>
    <w:rsid w:val="00DB7D4D"/>
    <w:rsid w:val="00DC0561"/>
    <w:rsid w:val="00DC372D"/>
    <w:rsid w:val="00DD389F"/>
    <w:rsid w:val="00DD57C8"/>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AE561F"/>
    <w:rsid w:val="086023E2"/>
    <w:rsid w:val="09537255"/>
    <w:rsid w:val="0BF93D84"/>
    <w:rsid w:val="0D6B5F73"/>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4C567B7"/>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8"/>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0"/>
      <w:szCs w:val="20"/>
      <w:lang w:eastAsia="en-US"/>
    </w:rPr>
  </w:style>
  <w:style w:type="paragraph" w:styleId="3">
    <w:name w:val="Balloon Text"/>
    <w:basedOn w:val="1"/>
    <w:link w:val="17"/>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page number"/>
    <w:basedOn w:val="7"/>
    <w:qFormat/>
    <w:uiPriority w:val="0"/>
  </w:style>
  <w:style w:type="character" w:customStyle="1" w:styleId="9">
    <w:name w:val="页眉 Char"/>
    <w:link w:val="5"/>
    <w:qFormat/>
    <w:uiPriority w:val="99"/>
    <w:rPr>
      <w:sz w:val="18"/>
      <w:szCs w:val="18"/>
    </w:rPr>
  </w:style>
  <w:style w:type="character" w:customStyle="1" w:styleId="10">
    <w:name w:val="页脚 Char"/>
    <w:link w:val="4"/>
    <w:qFormat/>
    <w:uiPriority w:val="99"/>
    <w:rPr>
      <w:sz w:val="18"/>
      <w:szCs w:val="18"/>
    </w:rPr>
  </w:style>
  <w:style w:type="character" w:customStyle="1" w:styleId="11">
    <w:name w:val="页脚 Char1"/>
    <w:basedOn w:val="7"/>
    <w:semiHidden/>
    <w:qFormat/>
    <w:uiPriority w:val="99"/>
    <w:rPr>
      <w:rFonts w:ascii="Times New Roman" w:hAnsi="Times New Roman" w:eastAsia="宋体" w:cs="Times New Roman"/>
      <w:sz w:val="18"/>
      <w:szCs w:val="18"/>
    </w:rPr>
  </w:style>
  <w:style w:type="character" w:customStyle="1" w:styleId="12">
    <w:name w:val="页眉 Char1"/>
    <w:basedOn w:val="7"/>
    <w:semiHidden/>
    <w:qFormat/>
    <w:uiPriority w:val="99"/>
    <w:rPr>
      <w:rFonts w:ascii="Times New Roman" w:hAnsi="Times New Roman" w:eastAsia="宋体" w:cs="Times New Roman"/>
      <w:sz w:val="18"/>
      <w:szCs w:val="18"/>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16">
    <w:name w:val="fontstyle01"/>
    <w:basedOn w:val="7"/>
    <w:qFormat/>
    <w:uiPriority w:val="0"/>
    <w:rPr>
      <w:rFonts w:hint="default" w:ascii="FZSSK--GBK1-0" w:hAnsi="FZSSK--GBK1-0"/>
      <w:color w:val="000000"/>
      <w:sz w:val="22"/>
      <w:szCs w:val="22"/>
    </w:rPr>
  </w:style>
  <w:style w:type="character" w:customStyle="1" w:styleId="17">
    <w:name w:val="批注框文本 Char"/>
    <w:basedOn w:val="7"/>
    <w:link w:val="3"/>
    <w:semiHidden/>
    <w:qFormat/>
    <w:uiPriority w:val="99"/>
    <w:rPr>
      <w:kern w:val="2"/>
      <w:sz w:val="18"/>
      <w:szCs w:val="18"/>
    </w:rPr>
  </w:style>
  <w:style w:type="character" w:customStyle="1" w:styleId="18">
    <w:name w:val="正文文本 Char"/>
    <w:basedOn w:val="7"/>
    <w:link w:val="2"/>
    <w:semiHidden/>
    <w:qFormat/>
    <w:uiPriority w:val="0"/>
    <w:rPr>
      <w:rFonts w:ascii="宋体" w:hAnsi="宋体" w:cs="宋体"/>
      <w:snapToGrid w:val="0"/>
      <w:color w:val="000000"/>
      <w:lang w:eastAsia="en-US"/>
    </w:rPr>
  </w:style>
  <w:style w:type="paragraph" w:customStyle="1" w:styleId="19">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150</Words>
  <Characters>856</Characters>
  <Lines>7</Lines>
  <Paragraphs>2</Paragraphs>
  <TotalTime>7</TotalTime>
  <ScaleCrop>false</ScaleCrop>
  <LinksUpToDate>false</LinksUpToDate>
  <CharactersWithSpaces>1004</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2025-04-07T03:56:00Z</dcterms:created>
  <dc:creator>杜林</dc:creator>
  <cp:lastModifiedBy>ASUS</cp:lastModifiedBy>
  <dcterms:modified xsi:type="dcterms:W3CDTF">2025-04-08T02:15:00Z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