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6DC3C">
      <w:pPr>
        <w:adjustRightInd w:val="0"/>
        <w:snapToGrid w:val="0"/>
        <w:spacing w:line="440" w:lineRule="exact"/>
        <w:jc w:val="center"/>
        <w:rPr>
          <w:rFonts w:eastAsia="方正小标宋简体"/>
          <w:color w:val="000000"/>
          <w:sz w:val="32"/>
          <w:szCs w:val="32"/>
        </w:rPr>
      </w:pPr>
      <w:bookmarkStart w:id="0" w:name="OLE_LINK28"/>
      <w:bookmarkStart w:id="1" w:name="OLE_LINK29"/>
      <w:r>
        <w:rPr>
          <w:rFonts w:eastAsia="方正小标宋简体"/>
          <w:color w:val="000000"/>
          <w:sz w:val="32"/>
          <w:szCs w:val="32"/>
        </w:rPr>
        <w:t>德阳市</w:t>
      </w:r>
      <w:r>
        <w:rPr>
          <w:rFonts w:hint="eastAsia" w:eastAsia="方正小标宋简体"/>
          <w:color w:val="000000"/>
          <w:sz w:val="32"/>
          <w:szCs w:val="32"/>
          <w:lang w:val="en-US" w:eastAsia="zh-CN"/>
        </w:rPr>
        <w:t>罗江区</w:t>
      </w:r>
      <w:r>
        <w:rPr>
          <w:rFonts w:eastAsia="方正小标宋简体"/>
          <w:color w:val="000000"/>
          <w:sz w:val="32"/>
          <w:szCs w:val="32"/>
        </w:rPr>
        <w:t>钢丝绳产品质量监督抽查实施细则</w:t>
      </w:r>
    </w:p>
    <w:p w14:paraId="57D5A1BD">
      <w:pPr>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rPr>
        <w:t>5</w:t>
      </w:r>
      <w:r>
        <w:rPr>
          <w:rFonts w:eastAsia="方正小标宋简体"/>
          <w:color w:val="000000"/>
          <w:sz w:val="32"/>
          <w:szCs w:val="32"/>
        </w:rPr>
        <w:t>年版）</w:t>
      </w:r>
    </w:p>
    <w:bookmarkEnd w:id="0"/>
    <w:bookmarkEnd w:id="1"/>
    <w:p w14:paraId="461FA310">
      <w:pPr>
        <w:spacing w:line="440" w:lineRule="exact"/>
        <w:jc w:val="center"/>
        <w:rPr>
          <w:rFonts w:eastAsia="方正小标宋简体"/>
          <w:color w:val="000000"/>
          <w:sz w:val="32"/>
          <w:szCs w:val="32"/>
        </w:rPr>
      </w:pPr>
    </w:p>
    <w:p w14:paraId="1560165B">
      <w:pPr>
        <w:snapToGrid w:val="0"/>
        <w:spacing w:line="440" w:lineRule="exact"/>
        <w:rPr>
          <w:rFonts w:eastAsia="黑体"/>
          <w:b/>
          <w:szCs w:val="21"/>
        </w:rPr>
      </w:pPr>
      <w:r>
        <w:rPr>
          <w:rFonts w:eastAsia="黑体"/>
          <w:b/>
          <w:szCs w:val="21"/>
        </w:rPr>
        <w:t>1 抽样方法</w:t>
      </w:r>
    </w:p>
    <w:p w14:paraId="1C48A92F">
      <w:pPr>
        <w:snapToGrid w:val="0"/>
        <w:spacing w:line="440" w:lineRule="exact"/>
        <w:ind w:firstLine="420" w:firstLineChars="200"/>
        <w:rPr>
          <w:szCs w:val="21"/>
        </w:rPr>
      </w:pPr>
      <w:r>
        <w:rPr>
          <w:szCs w:val="21"/>
        </w:rPr>
        <w:t>以随机抽样的方式在被抽样生产者、销售者的待销产品中抽取。</w:t>
      </w:r>
    </w:p>
    <w:p w14:paraId="2F951416">
      <w:pPr>
        <w:snapToGrid w:val="0"/>
        <w:spacing w:line="440" w:lineRule="exact"/>
        <w:ind w:firstLine="420" w:firstLineChars="200"/>
        <w:rPr>
          <w:szCs w:val="21"/>
        </w:rPr>
      </w:pPr>
      <w:r>
        <w:rPr>
          <w:szCs w:val="21"/>
        </w:rPr>
        <w:t>随机数一般可使用随机数表等方法产生。</w:t>
      </w:r>
    </w:p>
    <w:p w14:paraId="1FE1CF0A">
      <w:pPr>
        <w:adjustRightInd w:val="0"/>
        <w:snapToGrid w:val="0"/>
        <w:spacing w:line="440" w:lineRule="exact"/>
        <w:ind w:firstLine="420" w:firstLineChars="200"/>
        <w:rPr>
          <w:szCs w:val="21"/>
        </w:rPr>
      </w:pPr>
      <w:bookmarkStart w:id="2" w:name="OLE_LINK24"/>
      <w:bookmarkStart w:id="3" w:name="OLE_LINK22"/>
      <w:bookmarkStart w:id="4" w:name="OLE_LINK23"/>
      <w:r>
        <w:rPr>
          <w:szCs w:val="21"/>
        </w:rPr>
        <w:t>每批次产品抽取样品1盘10米，截成2根，其中6.5米1根作为检验样品，3.5米1根作为备用样品。</w:t>
      </w:r>
    </w:p>
    <w:bookmarkEnd w:id="2"/>
    <w:bookmarkEnd w:id="3"/>
    <w:bookmarkEnd w:id="4"/>
    <w:p w14:paraId="43511989">
      <w:pPr>
        <w:pStyle w:val="19"/>
        <w:snapToGrid w:val="0"/>
        <w:spacing w:before="374" w:after="374"/>
        <w:ind w:firstLine="0" w:firstLineChars="0"/>
        <w:jc w:val="left"/>
        <w:rPr>
          <w:rFonts w:ascii="黑体" w:hAnsi="黑体" w:eastAsia="黑体" w:cs="方正仿宋简体"/>
          <w:b/>
          <w:color w:val="000000"/>
          <w:sz w:val="22"/>
          <w:szCs w:val="22"/>
        </w:rPr>
      </w:pPr>
      <w:r>
        <w:rPr>
          <w:rFonts w:hint="eastAsia" w:ascii="黑体" w:hAnsi="黑体" w:eastAsia="黑体" w:cs="方正仿宋简体"/>
          <w:b/>
          <w:color w:val="000000"/>
          <w:sz w:val="22"/>
          <w:szCs w:val="22"/>
        </w:rPr>
        <w:t>2  检验依据</w:t>
      </w:r>
    </w:p>
    <w:p w14:paraId="3E9FD726">
      <w:pPr>
        <w:snapToGrid w:val="0"/>
        <w:spacing w:line="440" w:lineRule="exact"/>
        <w:ind w:firstLine="359" w:firstLineChars="171"/>
        <w:jc w:val="center"/>
        <w:rPr>
          <w:szCs w:val="21"/>
        </w:rPr>
      </w:pPr>
      <w:r>
        <w:rPr>
          <w:szCs w:val="21"/>
        </w:rPr>
        <w:t>表</w:t>
      </w:r>
      <w:r>
        <w:rPr>
          <w:rFonts w:hint="eastAsia"/>
          <w:szCs w:val="21"/>
        </w:rPr>
        <w:t>1</w:t>
      </w:r>
      <w:r>
        <w:rPr>
          <w:szCs w:val="21"/>
        </w:rPr>
        <w:t xml:space="preserve"> 钢丝绳检验项目</w:t>
      </w:r>
    </w:p>
    <w:tbl>
      <w:tblPr>
        <w:tblStyle w:val="8"/>
        <w:tblW w:w="36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3530"/>
        <w:gridCol w:w="2476"/>
      </w:tblGrid>
      <w:tr w14:paraId="0D06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3" w:type="pct"/>
            <w:tcBorders>
              <w:left w:val="single" w:color="auto" w:sz="4" w:space="0"/>
              <w:bottom w:val="single" w:color="auto" w:sz="4" w:space="0"/>
              <w:right w:val="single" w:color="auto" w:sz="4" w:space="0"/>
            </w:tcBorders>
            <w:vAlign w:val="center"/>
          </w:tcPr>
          <w:p w14:paraId="1B550503">
            <w:pPr>
              <w:snapToGrid w:val="0"/>
              <w:jc w:val="center"/>
              <w:rPr>
                <w:szCs w:val="21"/>
              </w:rPr>
            </w:pPr>
            <w:r>
              <w:rPr>
                <w:szCs w:val="21"/>
              </w:rPr>
              <w:t>序号</w:t>
            </w:r>
          </w:p>
        </w:tc>
        <w:tc>
          <w:tcPr>
            <w:tcW w:w="2636" w:type="pct"/>
            <w:tcBorders>
              <w:left w:val="single" w:color="auto" w:sz="4" w:space="0"/>
              <w:bottom w:val="single" w:color="auto" w:sz="4" w:space="0"/>
              <w:right w:val="single" w:color="auto" w:sz="4" w:space="0"/>
            </w:tcBorders>
            <w:vAlign w:val="center"/>
          </w:tcPr>
          <w:p w14:paraId="0F715563">
            <w:pPr>
              <w:snapToGrid w:val="0"/>
              <w:jc w:val="center"/>
              <w:rPr>
                <w:szCs w:val="21"/>
              </w:rPr>
            </w:pPr>
            <w:r>
              <w:rPr>
                <w:szCs w:val="21"/>
              </w:rPr>
              <w:t>检验项目</w:t>
            </w:r>
          </w:p>
        </w:tc>
        <w:tc>
          <w:tcPr>
            <w:tcW w:w="1849" w:type="pct"/>
            <w:tcBorders>
              <w:left w:val="single" w:color="auto" w:sz="4" w:space="0"/>
              <w:bottom w:val="single" w:color="auto" w:sz="4" w:space="0"/>
              <w:right w:val="single" w:color="auto" w:sz="4" w:space="0"/>
            </w:tcBorders>
            <w:vAlign w:val="center"/>
          </w:tcPr>
          <w:p w14:paraId="4562DC96">
            <w:pPr>
              <w:snapToGrid w:val="0"/>
              <w:jc w:val="center"/>
              <w:rPr>
                <w:szCs w:val="21"/>
              </w:rPr>
            </w:pPr>
            <w:r>
              <w:rPr>
                <w:szCs w:val="21"/>
              </w:rPr>
              <w:t>检验方法</w:t>
            </w:r>
          </w:p>
        </w:tc>
      </w:tr>
      <w:tr w14:paraId="5CCF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3" w:type="pct"/>
            <w:tcBorders>
              <w:top w:val="single" w:color="auto" w:sz="4" w:space="0"/>
              <w:left w:val="single" w:color="auto" w:sz="4" w:space="0"/>
              <w:bottom w:val="single" w:color="auto" w:sz="4" w:space="0"/>
              <w:right w:val="single" w:color="auto" w:sz="4" w:space="0"/>
            </w:tcBorders>
            <w:vAlign w:val="center"/>
          </w:tcPr>
          <w:p w14:paraId="074F67A0">
            <w:pPr>
              <w:snapToGrid w:val="0"/>
              <w:jc w:val="center"/>
              <w:rPr>
                <w:color w:val="auto"/>
                <w:szCs w:val="21"/>
              </w:rPr>
            </w:pPr>
            <w:r>
              <w:rPr>
                <w:color w:val="auto"/>
                <w:szCs w:val="21"/>
              </w:rPr>
              <w:t>1</w:t>
            </w:r>
          </w:p>
        </w:tc>
        <w:tc>
          <w:tcPr>
            <w:tcW w:w="2636" w:type="pct"/>
            <w:tcBorders>
              <w:top w:val="single" w:color="auto" w:sz="4" w:space="0"/>
              <w:left w:val="single" w:color="auto" w:sz="4" w:space="0"/>
              <w:bottom w:val="single" w:color="auto" w:sz="4" w:space="0"/>
              <w:right w:val="single" w:color="auto" w:sz="4" w:space="0"/>
            </w:tcBorders>
            <w:vAlign w:val="center"/>
          </w:tcPr>
          <w:p w14:paraId="5B8309BB">
            <w:pPr>
              <w:snapToGrid w:val="0"/>
              <w:jc w:val="center"/>
              <w:rPr>
                <w:szCs w:val="21"/>
              </w:rPr>
            </w:pPr>
            <w:bookmarkStart w:id="5" w:name="OLE_LINK2"/>
            <w:bookmarkStart w:id="6" w:name="OLE_LINK1"/>
            <w:r>
              <w:rPr>
                <w:szCs w:val="21"/>
              </w:rPr>
              <w:t>钢丝绳直径</w:t>
            </w:r>
            <w:bookmarkEnd w:id="5"/>
            <w:bookmarkEnd w:id="6"/>
          </w:p>
        </w:tc>
        <w:tc>
          <w:tcPr>
            <w:tcW w:w="1849" w:type="pct"/>
            <w:tcBorders>
              <w:top w:val="single" w:color="auto" w:sz="4" w:space="0"/>
              <w:left w:val="single" w:color="auto" w:sz="4" w:space="0"/>
              <w:right w:val="single" w:color="auto" w:sz="4" w:space="0"/>
            </w:tcBorders>
            <w:vAlign w:val="center"/>
          </w:tcPr>
          <w:p w14:paraId="1B4BAA60">
            <w:pPr>
              <w:snapToGrid w:val="0"/>
              <w:jc w:val="center"/>
              <w:rPr>
                <w:szCs w:val="21"/>
              </w:rPr>
            </w:pPr>
            <w:bookmarkStart w:id="7" w:name="OLE_LINK5"/>
            <w:bookmarkStart w:id="8" w:name="OLE_LINK6"/>
            <w:r>
              <w:rPr>
                <w:szCs w:val="21"/>
              </w:rPr>
              <w:t>GB/T 20118</w:t>
            </w:r>
            <w:r>
              <w:rPr>
                <w:rFonts w:hint="eastAsia"/>
                <w:szCs w:val="21"/>
              </w:rPr>
              <w:t>-</w:t>
            </w:r>
            <w:r>
              <w:rPr>
                <w:szCs w:val="21"/>
              </w:rPr>
              <w:t>2017</w:t>
            </w:r>
            <w:bookmarkEnd w:id="7"/>
            <w:bookmarkEnd w:id="8"/>
          </w:p>
        </w:tc>
      </w:tr>
      <w:tr w14:paraId="419B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3" w:type="pct"/>
            <w:tcBorders>
              <w:top w:val="single" w:color="auto" w:sz="4" w:space="0"/>
              <w:left w:val="single" w:color="auto" w:sz="4" w:space="0"/>
              <w:bottom w:val="single" w:color="auto" w:sz="4" w:space="0"/>
              <w:right w:val="single" w:color="auto" w:sz="4" w:space="0"/>
            </w:tcBorders>
            <w:vAlign w:val="center"/>
          </w:tcPr>
          <w:p w14:paraId="1DAC3F00">
            <w:pPr>
              <w:snapToGrid w:val="0"/>
              <w:jc w:val="center"/>
              <w:rPr>
                <w:color w:val="auto"/>
                <w:szCs w:val="21"/>
              </w:rPr>
            </w:pPr>
            <w:r>
              <w:rPr>
                <w:color w:val="auto"/>
                <w:szCs w:val="21"/>
              </w:rPr>
              <w:t>2</w:t>
            </w:r>
          </w:p>
        </w:tc>
        <w:tc>
          <w:tcPr>
            <w:tcW w:w="2636" w:type="pct"/>
            <w:tcBorders>
              <w:top w:val="single" w:color="auto" w:sz="4" w:space="0"/>
              <w:left w:val="single" w:color="auto" w:sz="4" w:space="0"/>
              <w:bottom w:val="single" w:color="auto" w:sz="4" w:space="0"/>
              <w:right w:val="single" w:color="auto" w:sz="4" w:space="0"/>
            </w:tcBorders>
            <w:vAlign w:val="center"/>
          </w:tcPr>
          <w:p w14:paraId="724E56E6">
            <w:pPr>
              <w:snapToGrid w:val="0"/>
              <w:jc w:val="center"/>
              <w:rPr>
                <w:szCs w:val="21"/>
              </w:rPr>
            </w:pPr>
            <w:r>
              <w:rPr>
                <w:szCs w:val="21"/>
              </w:rPr>
              <w:t>钢丝绳不圆度</w:t>
            </w:r>
          </w:p>
        </w:tc>
        <w:tc>
          <w:tcPr>
            <w:tcW w:w="1849" w:type="pct"/>
            <w:tcBorders>
              <w:left w:val="single" w:color="auto" w:sz="4" w:space="0"/>
              <w:right w:val="single" w:color="auto" w:sz="4" w:space="0"/>
            </w:tcBorders>
            <w:vAlign w:val="center"/>
          </w:tcPr>
          <w:p w14:paraId="20024EBC">
            <w:pPr>
              <w:snapToGrid w:val="0"/>
              <w:jc w:val="center"/>
              <w:rPr>
                <w:szCs w:val="21"/>
              </w:rPr>
            </w:pPr>
            <w:r>
              <w:rPr>
                <w:szCs w:val="21"/>
              </w:rPr>
              <w:t>GB/T 20118</w:t>
            </w:r>
            <w:r>
              <w:rPr>
                <w:rFonts w:hint="eastAsia"/>
                <w:szCs w:val="21"/>
              </w:rPr>
              <w:t>-</w:t>
            </w:r>
            <w:r>
              <w:rPr>
                <w:szCs w:val="21"/>
              </w:rPr>
              <w:t>2017</w:t>
            </w:r>
          </w:p>
        </w:tc>
      </w:tr>
      <w:tr w14:paraId="5F8EB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3" w:type="pct"/>
            <w:tcBorders>
              <w:top w:val="single" w:color="auto" w:sz="4" w:space="0"/>
              <w:left w:val="single" w:color="auto" w:sz="4" w:space="0"/>
              <w:bottom w:val="single" w:color="auto" w:sz="4" w:space="0"/>
              <w:right w:val="single" w:color="auto" w:sz="4" w:space="0"/>
            </w:tcBorders>
            <w:vAlign w:val="center"/>
          </w:tcPr>
          <w:p w14:paraId="732941E7">
            <w:pPr>
              <w:snapToGrid w:val="0"/>
              <w:jc w:val="center"/>
              <w:rPr>
                <w:szCs w:val="21"/>
              </w:rPr>
            </w:pPr>
            <w:r>
              <w:rPr>
                <w:rFonts w:hint="eastAsia"/>
                <w:szCs w:val="21"/>
              </w:rPr>
              <w:t>3</w:t>
            </w:r>
          </w:p>
        </w:tc>
        <w:tc>
          <w:tcPr>
            <w:tcW w:w="2636" w:type="pct"/>
            <w:tcBorders>
              <w:top w:val="single" w:color="auto" w:sz="4" w:space="0"/>
              <w:left w:val="single" w:color="auto" w:sz="4" w:space="0"/>
              <w:bottom w:val="single" w:color="auto" w:sz="4" w:space="0"/>
              <w:right w:val="single" w:color="auto" w:sz="4" w:space="0"/>
            </w:tcBorders>
            <w:vAlign w:val="center"/>
          </w:tcPr>
          <w:p w14:paraId="2B4715A3">
            <w:pPr>
              <w:snapToGrid w:val="0"/>
              <w:jc w:val="center"/>
              <w:rPr>
                <w:szCs w:val="21"/>
              </w:rPr>
            </w:pPr>
            <w:r>
              <w:rPr>
                <w:rFonts w:hint="eastAsia"/>
                <w:szCs w:val="21"/>
              </w:rPr>
              <w:t>拆股</w:t>
            </w:r>
            <w:r>
              <w:rPr>
                <w:szCs w:val="21"/>
              </w:rPr>
              <w:t>钢丝直径</w:t>
            </w:r>
          </w:p>
        </w:tc>
        <w:tc>
          <w:tcPr>
            <w:tcW w:w="1849" w:type="pct"/>
            <w:tcBorders>
              <w:left w:val="single" w:color="auto" w:sz="4" w:space="0"/>
              <w:right w:val="single" w:color="auto" w:sz="4" w:space="0"/>
            </w:tcBorders>
            <w:vAlign w:val="center"/>
          </w:tcPr>
          <w:p w14:paraId="09427A55">
            <w:pPr>
              <w:snapToGrid w:val="0"/>
              <w:jc w:val="center"/>
              <w:rPr>
                <w:szCs w:val="21"/>
              </w:rPr>
            </w:pPr>
            <w:r>
              <w:rPr>
                <w:szCs w:val="21"/>
              </w:rPr>
              <w:t>GB/T 20118</w:t>
            </w:r>
            <w:r>
              <w:rPr>
                <w:rFonts w:hint="eastAsia"/>
                <w:szCs w:val="21"/>
              </w:rPr>
              <w:t>-</w:t>
            </w:r>
            <w:r>
              <w:rPr>
                <w:szCs w:val="21"/>
              </w:rPr>
              <w:t>2017</w:t>
            </w:r>
          </w:p>
        </w:tc>
      </w:tr>
      <w:tr w14:paraId="4E78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3" w:type="pct"/>
            <w:tcBorders>
              <w:top w:val="single" w:color="auto" w:sz="4" w:space="0"/>
              <w:left w:val="single" w:color="auto" w:sz="4" w:space="0"/>
              <w:bottom w:val="single" w:color="auto" w:sz="4" w:space="0"/>
              <w:right w:val="single" w:color="auto" w:sz="4" w:space="0"/>
            </w:tcBorders>
            <w:vAlign w:val="center"/>
          </w:tcPr>
          <w:p w14:paraId="7CC4CFD4">
            <w:pPr>
              <w:snapToGrid w:val="0"/>
              <w:jc w:val="center"/>
              <w:rPr>
                <w:szCs w:val="21"/>
              </w:rPr>
            </w:pPr>
            <w:r>
              <w:rPr>
                <w:rFonts w:hint="eastAsia"/>
                <w:szCs w:val="21"/>
              </w:rPr>
              <w:t>4</w:t>
            </w:r>
          </w:p>
        </w:tc>
        <w:tc>
          <w:tcPr>
            <w:tcW w:w="2636" w:type="pct"/>
            <w:tcBorders>
              <w:top w:val="single" w:color="auto" w:sz="4" w:space="0"/>
              <w:left w:val="single" w:color="auto" w:sz="4" w:space="0"/>
              <w:bottom w:val="single" w:color="auto" w:sz="4" w:space="0"/>
              <w:right w:val="single" w:color="auto" w:sz="4" w:space="0"/>
            </w:tcBorders>
            <w:vAlign w:val="center"/>
          </w:tcPr>
          <w:p w14:paraId="64592BDF">
            <w:pPr>
              <w:snapToGrid w:val="0"/>
              <w:jc w:val="center"/>
              <w:rPr>
                <w:szCs w:val="21"/>
              </w:rPr>
            </w:pPr>
            <w:r>
              <w:rPr>
                <w:szCs w:val="21"/>
              </w:rPr>
              <w:t>拆股钢丝抗拉强度</w:t>
            </w:r>
          </w:p>
        </w:tc>
        <w:tc>
          <w:tcPr>
            <w:tcW w:w="1849" w:type="pct"/>
            <w:tcBorders>
              <w:left w:val="single" w:color="auto" w:sz="4" w:space="0"/>
              <w:right w:val="single" w:color="auto" w:sz="4" w:space="0"/>
            </w:tcBorders>
            <w:vAlign w:val="center"/>
          </w:tcPr>
          <w:p w14:paraId="6FBBFE4A">
            <w:pPr>
              <w:snapToGrid w:val="0"/>
              <w:jc w:val="center"/>
              <w:rPr>
                <w:szCs w:val="21"/>
              </w:rPr>
            </w:pPr>
            <w:r>
              <w:rPr>
                <w:szCs w:val="21"/>
              </w:rPr>
              <w:t>GB/T 228.1</w:t>
            </w:r>
            <w:r>
              <w:rPr>
                <w:rFonts w:hint="eastAsia"/>
                <w:szCs w:val="21"/>
              </w:rPr>
              <w:t>-</w:t>
            </w:r>
            <w:r>
              <w:rPr>
                <w:szCs w:val="21"/>
              </w:rPr>
              <w:t>2021</w:t>
            </w:r>
          </w:p>
        </w:tc>
      </w:tr>
    </w:tbl>
    <w:p w14:paraId="0B058B20">
      <w:pPr>
        <w:ind w:firstLine="270" w:firstLineChars="150"/>
        <w:rPr>
          <w:rFonts w:ascii="宋体" w:hAnsi="宋体" w:cs="方正仿宋简体"/>
          <w:color w:val="000000"/>
          <w:sz w:val="18"/>
          <w:szCs w:val="18"/>
        </w:rPr>
      </w:pPr>
      <w:r>
        <w:rPr>
          <w:rFonts w:hint="eastAsia" w:ascii="宋体" w:hAnsi="宋体" w:cs="方正仿宋简体"/>
          <w:color w:val="000000"/>
          <w:sz w:val="18"/>
          <w:szCs w:val="18"/>
        </w:rPr>
        <w:t>注：1.上表所列检验项目是有关法律法规、标准等规定的，重点涉及健康、安全、节能、环保以及消费者、有关组织反映有质量问题的重要项目。</w:t>
      </w:r>
    </w:p>
    <w:p w14:paraId="61642139">
      <w:pPr>
        <w:ind w:firstLine="540" w:firstLineChars="300"/>
        <w:rPr>
          <w:rFonts w:ascii="宋体" w:hAnsi="宋体" w:cs="方正仿宋简体"/>
          <w:color w:val="000000"/>
          <w:sz w:val="18"/>
          <w:szCs w:val="18"/>
        </w:rPr>
      </w:pPr>
      <w:r>
        <w:rPr>
          <w:rFonts w:hint="eastAsia" w:ascii="宋体" w:hAnsi="宋体" w:cs="方正仿宋简体"/>
          <w:color w:val="000000"/>
          <w:sz w:val="18"/>
          <w:szCs w:val="18"/>
        </w:rPr>
        <w:t>2.检验方法包括相关产品标准及试验方法标准。</w:t>
      </w:r>
    </w:p>
    <w:p w14:paraId="234CDDB6">
      <w:pPr>
        <w:ind w:firstLine="540" w:firstLineChars="300"/>
        <w:rPr>
          <w:rFonts w:ascii="宋体" w:hAnsi="宋体" w:cs="方正仿宋简体"/>
          <w:color w:val="000000"/>
          <w:sz w:val="18"/>
          <w:szCs w:val="18"/>
        </w:rPr>
      </w:pPr>
      <w:r>
        <w:rPr>
          <w:rFonts w:hint="eastAsia" w:ascii="宋体" w:hAnsi="宋体" w:cs="方正仿宋简体"/>
          <w:color w:val="000000"/>
          <w:sz w:val="18"/>
          <w:szCs w:val="18"/>
        </w:rPr>
        <w:t>3.凡是注日期的文件，其随后所有的修改单（不包括勘误的内容）或修订版不适用于本细则。凡是不注日期的文件，其最新版本适用于本细则。</w:t>
      </w:r>
    </w:p>
    <w:p w14:paraId="1A1E5190">
      <w:pPr>
        <w:snapToGrid w:val="0"/>
        <w:spacing w:line="440" w:lineRule="exact"/>
        <w:ind w:firstLine="450" w:firstLineChars="250"/>
        <w:rPr>
          <w:szCs w:val="21"/>
        </w:rPr>
      </w:pPr>
      <w:r>
        <w:rPr>
          <w:rFonts w:hint="eastAsia" w:ascii="宋体" w:hAnsi="宋体" w:cs="方正仿宋简体"/>
          <w:sz w:val="18"/>
          <w:szCs w:val="18"/>
        </w:rPr>
        <w:t>4.执行企业标准、团体标准、地方标准的产品，检验项目参照上述内容执行。</w:t>
      </w:r>
    </w:p>
    <w:p w14:paraId="379997C5">
      <w:pPr>
        <w:snapToGrid w:val="0"/>
        <w:spacing w:line="440" w:lineRule="exact"/>
        <w:ind w:firstLine="359" w:firstLineChars="171"/>
        <w:rPr>
          <w:szCs w:val="21"/>
        </w:rPr>
      </w:pPr>
    </w:p>
    <w:p w14:paraId="114C4CBC">
      <w:pPr>
        <w:snapToGrid w:val="0"/>
        <w:spacing w:line="440" w:lineRule="exact"/>
        <w:rPr>
          <w:rFonts w:eastAsia="黑体"/>
          <w:b/>
          <w:szCs w:val="21"/>
        </w:rPr>
      </w:pPr>
      <w:r>
        <w:rPr>
          <w:rFonts w:eastAsia="黑体"/>
          <w:b/>
          <w:szCs w:val="21"/>
        </w:rPr>
        <w:t>3 判定规则</w:t>
      </w:r>
    </w:p>
    <w:p w14:paraId="4354F4BD">
      <w:pPr>
        <w:snapToGrid w:val="0"/>
        <w:spacing w:line="440" w:lineRule="exact"/>
        <w:rPr>
          <w:szCs w:val="21"/>
        </w:rPr>
      </w:pPr>
      <w:r>
        <w:rPr>
          <w:szCs w:val="21"/>
        </w:rPr>
        <w:t>3.1依据标准</w:t>
      </w:r>
    </w:p>
    <w:p w14:paraId="01E4FDBE">
      <w:pPr>
        <w:snapToGrid w:val="0"/>
        <w:spacing w:line="440" w:lineRule="exact"/>
        <w:ind w:firstLine="420" w:firstLineChars="200"/>
        <w:rPr>
          <w:szCs w:val="21"/>
        </w:rPr>
      </w:pPr>
      <w:bookmarkStart w:id="9" w:name="OLE_LINK8"/>
      <w:bookmarkStart w:id="10" w:name="OLE_LINK7"/>
      <w:r>
        <w:rPr>
          <w:szCs w:val="21"/>
        </w:rPr>
        <w:t>GB/T 20118</w:t>
      </w:r>
      <w:r>
        <w:rPr>
          <w:rFonts w:hint="eastAsia"/>
          <w:szCs w:val="21"/>
        </w:rPr>
        <w:t>-</w:t>
      </w:r>
      <w:r>
        <w:rPr>
          <w:szCs w:val="21"/>
        </w:rPr>
        <w:t>2017 钢丝绳通用技术条件</w:t>
      </w:r>
    </w:p>
    <w:bookmarkEnd w:id="9"/>
    <w:bookmarkEnd w:id="10"/>
    <w:p w14:paraId="6876175A">
      <w:pPr>
        <w:snapToGrid w:val="0"/>
        <w:spacing w:line="440" w:lineRule="exact"/>
        <w:ind w:firstLine="420" w:firstLineChars="200"/>
        <w:rPr>
          <w:szCs w:val="21"/>
        </w:rPr>
      </w:pPr>
      <w:bookmarkStart w:id="11" w:name="_Hlk32567754"/>
      <w:r>
        <w:rPr>
          <w:szCs w:val="21"/>
        </w:rPr>
        <w:t>现行有效的企业标准、团体标准、地方标准及产品明示质量要求。</w:t>
      </w:r>
    </w:p>
    <w:bookmarkEnd w:id="11"/>
    <w:p w14:paraId="153EAFF2">
      <w:pPr>
        <w:snapToGrid w:val="0"/>
        <w:spacing w:line="440" w:lineRule="exact"/>
        <w:rPr>
          <w:szCs w:val="21"/>
        </w:rPr>
      </w:pPr>
      <w:r>
        <w:rPr>
          <w:szCs w:val="21"/>
        </w:rPr>
        <w:t>3.2判定原则</w:t>
      </w:r>
    </w:p>
    <w:p w14:paraId="6B0E49DE">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785E273A">
      <w:pPr>
        <w:autoSpaceDE w:val="0"/>
        <w:autoSpaceDN w:val="0"/>
        <w:adjustRightInd w:val="0"/>
        <w:snapToGrid w:val="0"/>
        <w:spacing w:line="440" w:lineRule="exact"/>
        <w:ind w:firstLine="420" w:firstLineChars="200"/>
        <w:jc w:val="left"/>
        <w:rPr>
          <w:szCs w:val="21"/>
        </w:rPr>
      </w:pPr>
      <w:r>
        <w:rPr>
          <w:szCs w:val="21"/>
        </w:rPr>
        <w:t>若被检产品明示的质量要求高于本细则中检验项目依据的标准要求时，应按被检产品明示的质量要求判定。</w:t>
      </w:r>
    </w:p>
    <w:p w14:paraId="4C395790">
      <w:pPr>
        <w:autoSpaceDE w:val="0"/>
        <w:autoSpaceDN w:val="0"/>
        <w:adjustRightInd w:val="0"/>
        <w:snapToGrid w:val="0"/>
        <w:spacing w:line="440" w:lineRule="exact"/>
        <w:ind w:firstLine="420" w:firstLineChars="200"/>
        <w:jc w:val="left"/>
        <w:rPr>
          <w:szCs w:val="21"/>
        </w:rPr>
      </w:pPr>
      <w:r>
        <w:rPr>
          <w:szCs w:val="21"/>
        </w:rPr>
        <w:t>若被检产品明示的质量要求低于本细则中检验项目依据的强制性标准要求时，应按照强制性标准要求判定。</w:t>
      </w:r>
    </w:p>
    <w:p w14:paraId="5E73FF11">
      <w:pPr>
        <w:autoSpaceDE w:val="0"/>
        <w:autoSpaceDN w:val="0"/>
        <w:adjustRightInd w:val="0"/>
        <w:snapToGrid w:val="0"/>
        <w:spacing w:line="440" w:lineRule="exact"/>
        <w:ind w:firstLine="420" w:firstLineChars="200"/>
        <w:jc w:val="left"/>
        <w:rPr>
          <w:szCs w:val="21"/>
        </w:rPr>
      </w:pPr>
      <w:r>
        <w:rPr>
          <w:szCs w:val="21"/>
        </w:rPr>
        <w:t>若被检产品明示的质量要求低于或包含细则中检验项目依据的推荐性标准要求时，应以被检产品明示的质量要求判定。</w:t>
      </w:r>
    </w:p>
    <w:p w14:paraId="219EEBDC">
      <w:pPr>
        <w:autoSpaceDE w:val="0"/>
        <w:autoSpaceDN w:val="0"/>
        <w:adjustRightInd w:val="0"/>
        <w:snapToGrid w:val="0"/>
        <w:spacing w:line="440" w:lineRule="exact"/>
        <w:ind w:firstLine="420" w:firstLineChars="200"/>
        <w:jc w:val="left"/>
        <w:rPr>
          <w:szCs w:val="21"/>
        </w:rPr>
      </w:pPr>
      <w:r>
        <w:rPr>
          <w:szCs w:val="21"/>
        </w:rPr>
        <w:t>若被检产品明示的质量要求缺少本细则中检验项目依据的强制性标准要求时，应按照强制性标准要求判定。</w:t>
      </w:r>
    </w:p>
    <w:p w14:paraId="76A88C9A">
      <w:pPr>
        <w:autoSpaceDE w:val="0"/>
        <w:autoSpaceDN w:val="0"/>
        <w:adjustRightInd w:val="0"/>
        <w:snapToGrid w:val="0"/>
        <w:spacing w:line="440" w:lineRule="exact"/>
        <w:ind w:firstLine="420" w:firstLineChars="200"/>
        <w:jc w:val="left"/>
        <w:rPr>
          <w:szCs w:val="21"/>
        </w:rPr>
      </w:pPr>
      <w:r>
        <w:rPr>
          <w:szCs w:val="21"/>
        </w:rPr>
        <w:t>若被检产品明示的质量要求缺少本细则中检验项目依据的推荐性标准要求时，该项目不参与判定。</w:t>
      </w:r>
    </w:p>
    <w:p w14:paraId="4B246871">
      <w:pPr>
        <w:spacing w:line="440" w:lineRule="exact"/>
        <w:rPr>
          <w:rFonts w:eastAsia="黑体"/>
          <w:color w:val="000000"/>
          <w:szCs w:val="21"/>
        </w:rPr>
      </w:pPr>
    </w:p>
    <w:p w14:paraId="7DBE59E1">
      <w:bookmarkStart w:id="12" w:name="_GoBack"/>
      <w:bookmarkEnd w:id="12"/>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6EABF">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1C61BF9F">
    <w:pPr>
      <w:pStyle w:val="4"/>
      <w:ind w:right="360"/>
    </w:pPr>
  </w:p>
  <w:p w14:paraId="648A18CE"/>
  <w:p w14:paraId="068C7D66"/>
  <w:p w14:paraId="6E2B235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11B31">
    <w:pPr>
      <w:pStyle w:val="4"/>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7ABA99C9">
    <w:pPr>
      <w:pStyle w:val="4"/>
      <w:ind w:right="360"/>
    </w:pPr>
  </w:p>
  <w:p w14:paraId="0847FC8D"/>
  <w:p w14:paraId="13A336EC"/>
  <w:p w14:paraId="71E95E2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43EAA">
    <w:pPr>
      <w:pStyle w:val="5"/>
      <w:pBdr>
        <w:bottom w:val="none" w:color="auto" w:sz="0" w:space="0"/>
      </w:pBdr>
    </w:pPr>
  </w:p>
  <w:p w14:paraId="1BE957A4"/>
  <w:p w14:paraId="2464C86A"/>
  <w:p w14:paraId="44AD0AF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E5NmE0OTNiMjE1ZTg2OGJjZjliNTIxNzYzZmVhNmEifQ=="/>
  </w:docVars>
  <w:rsids>
    <w:rsidRoot w:val="00172A27"/>
    <w:rsid w:val="00007EE8"/>
    <w:rsid w:val="000515FF"/>
    <w:rsid w:val="00051A44"/>
    <w:rsid w:val="00064C66"/>
    <w:rsid w:val="00070614"/>
    <w:rsid w:val="0007757A"/>
    <w:rsid w:val="00080739"/>
    <w:rsid w:val="0008099D"/>
    <w:rsid w:val="00081CBD"/>
    <w:rsid w:val="00081DCE"/>
    <w:rsid w:val="000949BA"/>
    <w:rsid w:val="000976DE"/>
    <w:rsid w:val="000A5F22"/>
    <w:rsid w:val="000A6D95"/>
    <w:rsid w:val="000A781F"/>
    <w:rsid w:val="000B5F1F"/>
    <w:rsid w:val="000D7B46"/>
    <w:rsid w:val="000E77EA"/>
    <w:rsid w:val="000F566F"/>
    <w:rsid w:val="0013409C"/>
    <w:rsid w:val="00140516"/>
    <w:rsid w:val="00142B71"/>
    <w:rsid w:val="001458AF"/>
    <w:rsid w:val="001650A2"/>
    <w:rsid w:val="00171854"/>
    <w:rsid w:val="00172A27"/>
    <w:rsid w:val="00175C58"/>
    <w:rsid w:val="001809DD"/>
    <w:rsid w:val="00181732"/>
    <w:rsid w:val="00181F2E"/>
    <w:rsid w:val="00191159"/>
    <w:rsid w:val="001923B3"/>
    <w:rsid w:val="0019744D"/>
    <w:rsid w:val="001A72DD"/>
    <w:rsid w:val="001B2BD8"/>
    <w:rsid w:val="001C767E"/>
    <w:rsid w:val="001D7328"/>
    <w:rsid w:val="001D7B93"/>
    <w:rsid w:val="001E3F0B"/>
    <w:rsid w:val="001F02D1"/>
    <w:rsid w:val="001F403D"/>
    <w:rsid w:val="00225439"/>
    <w:rsid w:val="00226EFD"/>
    <w:rsid w:val="00247201"/>
    <w:rsid w:val="00253624"/>
    <w:rsid w:val="00253CC9"/>
    <w:rsid w:val="002569F9"/>
    <w:rsid w:val="00256F67"/>
    <w:rsid w:val="0026627B"/>
    <w:rsid w:val="00287D18"/>
    <w:rsid w:val="00287F93"/>
    <w:rsid w:val="002D7F8A"/>
    <w:rsid w:val="002E0574"/>
    <w:rsid w:val="002E0D1D"/>
    <w:rsid w:val="002F363F"/>
    <w:rsid w:val="002F5609"/>
    <w:rsid w:val="002F5658"/>
    <w:rsid w:val="002F5914"/>
    <w:rsid w:val="00300C72"/>
    <w:rsid w:val="003203A3"/>
    <w:rsid w:val="00326F18"/>
    <w:rsid w:val="00332C63"/>
    <w:rsid w:val="003358F7"/>
    <w:rsid w:val="003438D8"/>
    <w:rsid w:val="00367C64"/>
    <w:rsid w:val="00370606"/>
    <w:rsid w:val="00374B61"/>
    <w:rsid w:val="00392836"/>
    <w:rsid w:val="003A7C60"/>
    <w:rsid w:val="003B2FE0"/>
    <w:rsid w:val="003B4F32"/>
    <w:rsid w:val="003C388C"/>
    <w:rsid w:val="003E61BF"/>
    <w:rsid w:val="004002A8"/>
    <w:rsid w:val="00406488"/>
    <w:rsid w:val="004110E1"/>
    <w:rsid w:val="00413924"/>
    <w:rsid w:val="004178E2"/>
    <w:rsid w:val="00420B96"/>
    <w:rsid w:val="00433AB6"/>
    <w:rsid w:val="00440BB4"/>
    <w:rsid w:val="00445E86"/>
    <w:rsid w:val="00447ABB"/>
    <w:rsid w:val="00452463"/>
    <w:rsid w:val="00474E04"/>
    <w:rsid w:val="00475C6D"/>
    <w:rsid w:val="004A6376"/>
    <w:rsid w:val="004B3F8F"/>
    <w:rsid w:val="004C5CBC"/>
    <w:rsid w:val="004D0C5A"/>
    <w:rsid w:val="004D5BFB"/>
    <w:rsid w:val="004E0460"/>
    <w:rsid w:val="004E1396"/>
    <w:rsid w:val="004E7D3A"/>
    <w:rsid w:val="004F1495"/>
    <w:rsid w:val="005029C8"/>
    <w:rsid w:val="00532383"/>
    <w:rsid w:val="00532437"/>
    <w:rsid w:val="00532F89"/>
    <w:rsid w:val="0053555E"/>
    <w:rsid w:val="00552121"/>
    <w:rsid w:val="00556E60"/>
    <w:rsid w:val="00563EBC"/>
    <w:rsid w:val="00570ADE"/>
    <w:rsid w:val="00591906"/>
    <w:rsid w:val="0059572E"/>
    <w:rsid w:val="0059732D"/>
    <w:rsid w:val="005B5A8F"/>
    <w:rsid w:val="005C37A2"/>
    <w:rsid w:val="005C4A05"/>
    <w:rsid w:val="005C6B58"/>
    <w:rsid w:val="005D4DFC"/>
    <w:rsid w:val="005E1645"/>
    <w:rsid w:val="005E1DAC"/>
    <w:rsid w:val="00610158"/>
    <w:rsid w:val="00617EEB"/>
    <w:rsid w:val="006276A2"/>
    <w:rsid w:val="0063117D"/>
    <w:rsid w:val="006326AA"/>
    <w:rsid w:val="00633CA6"/>
    <w:rsid w:val="00684E79"/>
    <w:rsid w:val="006A73D9"/>
    <w:rsid w:val="006C0978"/>
    <w:rsid w:val="006C1091"/>
    <w:rsid w:val="006E1171"/>
    <w:rsid w:val="006F0971"/>
    <w:rsid w:val="006F159D"/>
    <w:rsid w:val="006F5628"/>
    <w:rsid w:val="00702D2B"/>
    <w:rsid w:val="007137E0"/>
    <w:rsid w:val="0072334C"/>
    <w:rsid w:val="00745B7B"/>
    <w:rsid w:val="00760E9F"/>
    <w:rsid w:val="00774005"/>
    <w:rsid w:val="00780D49"/>
    <w:rsid w:val="007A029D"/>
    <w:rsid w:val="007A4304"/>
    <w:rsid w:val="007B45E4"/>
    <w:rsid w:val="007B5D24"/>
    <w:rsid w:val="007D2246"/>
    <w:rsid w:val="007D7027"/>
    <w:rsid w:val="00815FD6"/>
    <w:rsid w:val="00827825"/>
    <w:rsid w:val="00832952"/>
    <w:rsid w:val="00842DE0"/>
    <w:rsid w:val="008442E6"/>
    <w:rsid w:val="008454C0"/>
    <w:rsid w:val="00853AA0"/>
    <w:rsid w:val="00853B1C"/>
    <w:rsid w:val="0085789E"/>
    <w:rsid w:val="00863AC0"/>
    <w:rsid w:val="008676A3"/>
    <w:rsid w:val="00873B1E"/>
    <w:rsid w:val="00882CAC"/>
    <w:rsid w:val="00886B77"/>
    <w:rsid w:val="00887152"/>
    <w:rsid w:val="00895BEA"/>
    <w:rsid w:val="008A3497"/>
    <w:rsid w:val="008C20FA"/>
    <w:rsid w:val="008D6FA1"/>
    <w:rsid w:val="009001E6"/>
    <w:rsid w:val="00917A54"/>
    <w:rsid w:val="009228FE"/>
    <w:rsid w:val="009312C6"/>
    <w:rsid w:val="00951066"/>
    <w:rsid w:val="0095769F"/>
    <w:rsid w:val="0096024D"/>
    <w:rsid w:val="00962D11"/>
    <w:rsid w:val="00966A36"/>
    <w:rsid w:val="00980080"/>
    <w:rsid w:val="00982841"/>
    <w:rsid w:val="0098353F"/>
    <w:rsid w:val="00983D08"/>
    <w:rsid w:val="00995125"/>
    <w:rsid w:val="009955AE"/>
    <w:rsid w:val="009A44FB"/>
    <w:rsid w:val="009B19EA"/>
    <w:rsid w:val="009B549E"/>
    <w:rsid w:val="009D4137"/>
    <w:rsid w:val="009E7BBA"/>
    <w:rsid w:val="009F0B23"/>
    <w:rsid w:val="009F32E1"/>
    <w:rsid w:val="009F5319"/>
    <w:rsid w:val="00A01CA1"/>
    <w:rsid w:val="00A02BDD"/>
    <w:rsid w:val="00A11432"/>
    <w:rsid w:val="00A16D36"/>
    <w:rsid w:val="00A25C6F"/>
    <w:rsid w:val="00A30F2D"/>
    <w:rsid w:val="00A335C7"/>
    <w:rsid w:val="00A37AD3"/>
    <w:rsid w:val="00A43553"/>
    <w:rsid w:val="00A4441E"/>
    <w:rsid w:val="00A53E5B"/>
    <w:rsid w:val="00A66193"/>
    <w:rsid w:val="00A872A1"/>
    <w:rsid w:val="00AA0D47"/>
    <w:rsid w:val="00AB52F6"/>
    <w:rsid w:val="00AB5908"/>
    <w:rsid w:val="00AB6B07"/>
    <w:rsid w:val="00AC383B"/>
    <w:rsid w:val="00AF1773"/>
    <w:rsid w:val="00B02932"/>
    <w:rsid w:val="00B16556"/>
    <w:rsid w:val="00B35B98"/>
    <w:rsid w:val="00B362C0"/>
    <w:rsid w:val="00B43B4F"/>
    <w:rsid w:val="00B468C1"/>
    <w:rsid w:val="00B65210"/>
    <w:rsid w:val="00B661C1"/>
    <w:rsid w:val="00B731FB"/>
    <w:rsid w:val="00B801B2"/>
    <w:rsid w:val="00BA2455"/>
    <w:rsid w:val="00BA5329"/>
    <w:rsid w:val="00BA7BA7"/>
    <w:rsid w:val="00BB1B03"/>
    <w:rsid w:val="00BC4FA6"/>
    <w:rsid w:val="00BD14CB"/>
    <w:rsid w:val="00BF2B8C"/>
    <w:rsid w:val="00C05E7D"/>
    <w:rsid w:val="00C13E0A"/>
    <w:rsid w:val="00C175DD"/>
    <w:rsid w:val="00C252DA"/>
    <w:rsid w:val="00C25728"/>
    <w:rsid w:val="00C26074"/>
    <w:rsid w:val="00C3268B"/>
    <w:rsid w:val="00C36542"/>
    <w:rsid w:val="00C43B29"/>
    <w:rsid w:val="00C445D3"/>
    <w:rsid w:val="00C4556C"/>
    <w:rsid w:val="00C63130"/>
    <w:rsid w:val="00C660AE"/>
    <w:rsid w:val="00C83B0A"/>
    <w:rsid w:val="00CB17FD"/>
    <w:rsid w:val="00CC69E4"/>
    <w:rsid w:val="00CD60A5"/>
    <w:rsid w:val="00CE1E0C"/>
    <w:rsid w:val="00CE277E"/>
    <w:rsid w:val="00CE553E"/>
    <w:rsid w:val="00CF0E09"/>
    <w:rsid w:val="00CF2810"/>
    <w:rsid w:val="00D07DDA"/>
    <w:rsid w:val="00D219DE"/>
    <w:rsid w:val="00D21C7D"/>
    <w:rsid w:val="00D27020"/>
    <w:rsid w:val="00D35A3F"/>
    <w:rsid w:val="00D35B0F"/>
    <w:rsid w:val="00D44273"/>
    <w:rsid w:val="00D56867"/>
    <w:rsid w:val="00D739CF"/>
    <w:rsid w:val="00D73F28"/>
    <w:rsid w:val="00D7768B"/>
    <w:rsid w:val="00D81051"/>
    <w:rsid w:val="00DB7C57"/>
    <w:rsid w:val="00DD033B"/>
    <w:rsid w:val="00DD363B"/>
    <w:rsid w:val="00DD43A8"/>
    <w:rsid w:val="00DF3F2A"/>
    <w:rsid w:val="00E02A7F"/>
    <w:rsid w:val="00E057AE"/>
    <w:rsid w:val="00E0777D"/>
    <w:rsid w:val="00E07880"/>
    <w:rsid w:val="00E1688B"/>
    <w:rsid w:val="00E426BC"/>
    <w:rsid w:val="00E63F0C"/>
    <w:rsid w:val="00E734CF"/>
    <w:rsid w:val="00E82621"/>
    <w:rsid w:val="00E87FAC"/>
    <w:rsid w:val="00EA634B"/>
    <w:rsid w:val="00EA7B42"/>
    <w:rsid w:val="00EB0128"/>
    <w:rsid w:val="00EB0855"/>
    <w:rsid w:val="00ED6A5E"/>
    <w:rsid w:val="00EE12EE"/>
    <w:rsid w:val="00EF0881"/>
    <w:rsid w:val="00EF2395"/>
    <w:rsid w:val="00F0081A"/>
    <w:rsid w:val="00F13EDF"/>
    <w:rsid w:val="00F14804"/>
    <w:rsid w:val="00F16684"/>
    <w:rsid w:val="00F23B23"/>
    <w:rsid w:val="00F25736"/>
    <w:rsid w:val="00F42B8E"/>
    <w:rsid w:val="00F625CC"/>
    <w:rsid w:val="00F638B9"/>
    <w:rsid w:val="00F6789F"/>
    <w:rsid w:val="00F71902"/>
    <w:rsid w:val="00F734BC"/>
    <w:rsid w:val="00F75368"/>
    <w:rsid w:val="00F77C9A"/>
    <w:rsid w:val="00F9194C"/>
    <w:rsid w:val="00F94869"/>
    <w:rsid w:val="00FB576C"/>
    <w:rsid w:val="00FD0C52"/>
    <w:rsid w:val="00FD23EF"/>
    <w:rsid w:val="00FD2AA6"/>
    <w:rsid w:val="00FE2B3A"/>
    <w:rsid w:val="00FE4400"/>
    <w:rsid w:val="00FE7E8A"/>
    <w:rsid w:val="01F176F8"/>
    <w:rsid w:val="021F4B7D"/>
    <w:rsid w:val="02C57AAC"/>
    <w:rsid w:val="03D4217E"/>
    <w:rsid w:val="03E16723"/>
    <w:rsid w:val="0598112A"/>
    <w:rsid w:val="061F2463"/>
    <w:rsid w:val="06321FC9"/>
    <w:rsid w:val="076D159F"/>
    <w:rsid w:val="093F1D3F"/>
    <w:rsid w:val="093F7F3A"/>
    <w:rsid w:val="094B09DE"/>
    <w:rsid w:val="0956439C"/>
    <w:rsid w:val="09CA4820"/>
    <w:rsid w:val="09EE3DA5"/>
    <w:rsid w:val="0BD77303"/>
    <w:rsid w:val="0CF261EC"/>
    <w:rsid w:val="0D164945"/>
    <w:rsid w:val="0D3E1957"/>
    <w:rsid w:val="101C2E6C"/>
    <w:rsid w:val="10DF3AC6"/>
    <w:rsid w:val="14551569"/>
    <w:rsid w:val="14880B56"/>
    <w:rsid w:val="150F455E"/>
    <w:rsid w:val="1591179D"/>
    <w:rsid w:val="166E7EB1"/>
    <w:rsid w:val="167D7355"/>
    <w:rsid w:val="17790E67"/>
    <w:rsid w:val="17840BF8"/>
    <w:rsid w:val="18AE7C99"/>
    <w:rsid w:val="18ED431E"/>
    <w:rsid w:val="19B61F3D"/>
    <w:rsid w:val="19FB6F0E"/>
    <w:rsid w:val="1AAF471B"/>
    <w:rsid w:val="1B161688"/>
    <w:rsid w:val="1B29286C"/>
    <w:rsid w:val="1BCF7740"/>
    <w:rsid w:val="1C752FA8"/>
    <w:rsid w:val="1CCC0279"/>
    <w:rsid w:val="1D183933"/>
    <w:rsid w:val="1DA0597E"/>
    <w:rsid w:val="1E164317"/>
    <w:rsid w:val="1EFA0155"/>
    <w:rsid w:val="1F263478"/>
    <w:rsid w:val="1F78690B"/>
    <w:rsid w:val="1FAD2E67"/>
    <w:rsid w:val="1FD10569"/>
    <w:rsid w:val="1FD46237"/>
    <w:rsid w:val="1FFC12EA"/>
    <w:rsid w:val="20E25908"/>
    <w:rsid w:val="21434DC5"/>
    <w:rsid w:val="22642D77"/>
    <w:rsid w:val="22D55D47"/>
    <w:rsid w:val="22F325FF"/>
    <w:rsid w:val="234C289F"/>
    <w:rsid w:val="23D06B49"/>
    <w:rsid w:val="240F6E02"/>
    <w:rsid w:val="25284504"/>
    <w:rsid w:val="252E63EA"/>
    <w:rsid w:val="25B6539E"/>
    <w:rsid w:val="26450A00"/>
    <w:rsid w:val="27991D17"/>
    <w:rsid w:val="27BD74E0"/>
    <w:rsid w:val="29895CC5"/>
    <w:rsid w:val="2BCB1070"/>
    <w:rsid w:val="2BE50ACC"/>
    <w:rsid w:val="2C642E4F"/>
    <w:rsid w:val="2D907BB8"/>
    <w:rsid w:val="2DB72CF5"/>
    <w:rsid w:val="2E4C0996"/>
    <w:rsid w:val="2E9D013C"/>
    <w:rsid w:val="2EAA2A2C"/>
    <w:rsid w:val="2EE61ABC"/>
    <w:rsid w:val="2F212FBC"/>
    <w:rsid w:val="2F6918B3"/>
    <w:rsid w:val="2FC35981"/>
    <w:rsid w:val="30D564DF"/>
    <w:rsid w:val="322C339F"/>
    <w:rsid w:val="327C3567"/>
    <w:rsid w:val="32E05C26"/>
    <w:rsid w:val="39C54CB1"/>
    <w:rsid w:val="3ABE1B66"/>
    <w:rsid w:val="3ACE2ECE"/>
    <w:rsid w:val="3B6C5DEA"/>
    <w:rsid w:val="3BBC3D07"/>
    <w:rsid w:val="3BD52DD3"/>
    <w:rsid w:val="3D045DF9"/>
    <w:rsid w:val="3D6826C0"/>
    <w:rsid w:val="3DD1593D"/>
    <w:rsid w:val="3F3915B6"/>
    <w:rsid w:val="3F900920"/>
    <w:rsid w:val="3FC71180"/>
    <w:rsid w:val="405B6B92"/>
    <w:rsid w:val="40F52682"/>
    <w:rsid w:val="42E32467"/>
    <w:rsid w:val="439749C8"/>
    <w:rsid w:val="43AF64F0"/>
    <w:rsid w:val="43F6324B"/>
    <w:rsid w:val="46366A55"/>
    <w:rsid w:val="464D121A"/>
    <w:rsid w:val="46E75105"/>
    <w:rsid w:val="47524FC4"/>
    <w:rsid w:val="485276B7"/>
    <w:rsid w:val="485412AB"/>
    <w:rsid w:val="48F43AEA"/>
    <w:rsid w:val="4A8E4CD1"/>
    <w:rsid w:val="4B223A4B"/>
    <w:rsid w:val="4C2C0FEF"/>
    <w:rsid w:val="4CE4545C"/>
    <w:rsid w:val="4D6765C3"/>
    <w:rsid w:val="4DBB0EBD"/>
    <w:rsid w:val="4E39088F"/>
    <w:rsid w:val="505E3B9F"/>
    <w:rsid w:val="51AD28F5"/>
    <w:rsid w:val="51FB3BAB"/>
    <w:rsid w:val="529C2335"/>
    <w:rsid w:val="532D4830"/>
    <w:rsid w:val="534864B6"/>
    <w:rsid w:val="539D4E42"/>
    <w:rsid w:val="53F6109D"/>
    <w:rsid w:val="5541237F"/>
    <w:rsid w:val="562E27D9"/>
    <w:rsid w:val="56753F50"/>
    <w:rsid w:val="56A513F6"/>
    <w:rsid w:val="57403D42"/>
    <w:rsid w:val="57FE3E75"/>
    <w:rsid w:val="58205680"/>
    <w:rsid w:val="58337DA2"/>
    <w:rsid w:val="59271254"/>
    <w:rsid w:val="597809BE"/>
    <w:rsid w:val="59AA358A"/>
    <w:rsid w:val="5A581304"/>
    <w:rsid w:val="5B09168A"/>
    <w:rsid w:val="5B647768"/>
    <w:rsid w:val="5C2C413D"/>
    <w:rsid w:val="5C944D94"/>
    <w:rsid w:val="5E477C71"/>
    <w:rsid w:val="603574D7"/>
    <w:rsid w:val="60471B32"/>
    <w:rsid w:val="604F68AB"/>
    <w:rsid w:val="60B54A74"/>
    <w:rsid w:val="61BC1924"/>
    <w:rsid w:val="61DA1F93"/>
    <w:rsid w:val="62B5104D"/>
    <w:rsid w:val="62B51AEF"/>
    <w:rsid w:val="64D83107"/>
    <w:rsid w:val="65054096"/>
    <w:rsid w:val="659B2671"/>
    <w:rsid w:val="65C85932"/>
    <w:rsid w:val="65D702A8"/>
    <w:rsid w:val="65FE2E4E"/>
    <w:rsid w:val="66B91E54"/>
    <w:rsid w:val="66EA3BA7"/>
    <w:rsid w:val="67955879"/>
    <w:rsid w:val="681C2384"/>
    <w:rsid w:val="68A57937"/>
    <w:rsid w:val="69C60488"/>
    <w:rsid w:val="6B2D2F9F"/>
    <w:rsid w:val="6B8517E0"/>
    <w:rsid w:val="6C0A4CD0"/>
    <w:rsid w:val="6CBA6490"/>
    <w:rsid w:val="6CFE0FFC"/>
    <w:rsid w:val="6D99175C"/>
    <w:rsid w:val="6E7F2DDF"/>
    <w:rsid w:val="6F084B83"/>
    <w:rsid w:val="70577A75"/>
    <w:rsid w:val="71EE0428"/>
    <w:rsid w:val="72237F96"/>
    <w:rsid w:val="726447C6"/>
    <w:rsid w:val="72A9667D"/>
    <w:rsid w:val="72E446BE"/>
    <w:rsid w:val="74122324"/>
    <w:rsid w:val="74306FC0"/>
    <w:rsid w:val="749B4984"/>
    <w:rsid w:val="76383BC4"/>
    <w:rsid w:val="771F5C32"/>
    <w:rsid w:val="782D2DCE"/>
    <w:rsid w:val="79925A53"/>
    <w:rsid w:val="79C2046E"/>
    <w:rsid w:val="7AA27D34"/>
    <w:rsid w:val="7D3A01A3"/>
    <w:rsid w:val="7D4C7E4F"/>
    <w:rsid w:val="7D7D673C"/>
    <w:rsid w:val="7E462A4D"/>
    <w:rsid w:val="7E4950DA"/>
    <w:rsid w:val="7E9E2E0E"/>
    <w:rsid w:val="7ED56104"/>
    <w:rsid w:val="7FCE1A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4"/>
    <w:autoRedefine/>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100" w:beforeAutospacing="1" w:after="100" w:afterAutospacing="1"/>
      <w:jc w:val="left"/>
    </w:pPr>
    <w:rPr>
      <w:rFonts w:ascii="Calibri" w:hAnsi="Calibri"/>
      <w:kern w:val="0"/>
      <w:sz w:val="24"/>
      <w:szCs w:val="22"/>
    </w:rPr>
  </w:style>
  <w:style w:type="paragraph" w:styleId="7">
    <w:name w:val="annotation subject"/>
    <w:basedOn w:val="2"/>
    <w:next w:val="2"/>
    <w:link w:val="18"/>
    <w:semiHidden/>
    <w:unhideWhenUsed/>
    <w:qFormat/>
    <w:uiPriority w:val="99"/>
    <w:rPr>
      <w:b/>
      <w:bCs/>
    </w:rPr>
  </w:style>
  <w:style w:type="character" w:styleId="10">
    <w:name w:val="Strong"/>
    <w:basedOn w:val="9"/>
    <w:autoRedefine/>
    <w:qFormat/>
    <w:uiPriority w:val="22"/>
    <w:rPr>
      <w:b/>
    </w:rPr>
  </w:style>
  <w:style w:type="character" w:styleId="11">
    <w:name w:val="page number"/>
    <w:basedOn w:val="9"/>
    <w:autoRedefine/>
    <w:qFormat/>
    <w:uiPriority w:val="0"/>
  </w:style>
  <w:style w:type="character" w:styleId="12">
    <w:name w:val="annotation reference"/>
    <w:semiHidden/>
    <w:unhideWhenUsed/>
    <w:qFormat/>
    <w:uiPriority w:val="99"/>
    <w:rPr>
      <w:sz w:val="21"/>
      <w:szCs w:val="21"/>
    </w:rPr>
  </w:style>
  <w:style w:type="character" w:customStyle="1" w:styleId="13">
    <w:name w:val="页脚 Char"/>
    <w:link w:val="4"/>
    <w:qFormat/>
    <w:uiPriority w:val="99"/>
    <w:rPr>
      <w:kern w:val="2"/>
      <w:sz w:val="18"/>
      <w:szCs w:val="18"/>
    </w:rPr>
  </w:style>
  <w:style w:type="character" w:customStyle="1" w:styleId="14">
    <w:name w:val="批注框文本 Char"/>
    <w:link w:val="3"/>
    <w:semiHidden/>
    <w:qFormat/>
    <w:uiPriority w:val="99"/>
    <w:rPr>
      <w:kern w:val="2"/>
      <w:sz w:val="18"/>
      <w:szCs w:val="18"/>
    </w:rPr>
  </w:style>
  <w:style w:type="character" w:customStyle="1" w:styleId="15">
    <w:name w:val="页眉 Char"/>
    <w:link w:val="5"/>
    <w:semiHidden/>
    <w:qFormat/>
    <w:uiPriority w:val="99"/>
    <w:rPr>
      <w:kern w:val="2"/>
      <w:sz w:val="18"/>
      <w:szCs w:val="18"/>
    </w:rPr>
  </w:style>
  <w:style w:type="paragraph" w:customStyle="1" w:styleId="16">
    <w:name w:val="列出段落1"/>
    <w:basedOn w:val="1"/>
    <w:qFormat/>
    <w:uiPriority w:val="34"/>
    <w:pPr>
      <w:ind w:firstLine="420" w:firstLineChars="200"/>
    </w:pPr>
    <w:rPr>
      <w:rFonts w:ascii="Calibri" w:hAnsi="Calibri"/>
      <w:szCs w:val="22"/>
    </w:rPr>
  </w:style>
  <w:style w:type="character" w:customStyle="1" w:styleId="17">
    <w:name w:val="批注文字 Char"/>
    <w:link w:val="2"/>
    <w:semiHidden/>
    <w:qFormat/>
    <w:uiPriority w:val="99"/>
    <w:rPr>
      <w:kern w:val="2"/>
      <w:sz w:val="21"/>
      <w:szCs w:val="24"/>
    </w:rPr>
  </w:style>
  <w:style w:type="character" w:customStyle="1" w:styleId="18">
    <w:name w:val="批注主题 Char"/>
    <w:link w:val="7"/>
    <w:semiHidden/>
    <w:qFormat/>
    <w:uiPriority w:val="99"/>
    <w:rPr>
      <w:b/>
      <w:bCs/>
      <w:kern w:val="2"/>
      <w:sz w:val="21"/>
      <w:szCs w:val="24"/>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736</Words>
  <Characters>860</Characters>
  <Lines>6</Lines>
  <Paragraphs>1</Paragraphs>
  <TotalTime>48</TotalTime>
  <ScaleCrop>false</ScaleCrop>
  <LinksUpToDate>false</LinksUpToDate>
  <CharactersWithSpaces>876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2025-03-20T00:50:00Z</dcterms:created>
  <dc:creator>Legend User</dc:creator>
  <cp:lastModifiedBy>半</cp:lastModifiedBy>
  <cp:lastPrinted>2022-05-26T07:42:00Z</cp:lastPrinted>
  <dcterms:modified xsi:type="dcterms:W3CDTF">2025-03-31T02:54:47Z</dcterms:modified>
  <dc:title>××产品质量监督抽查实施细则</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C4D3C1521F1B479BB76B2D6F46340624</vt:lpwstr>
  </property>
  <property fmtid="{D5CDD505-2E9C-101B-9397-08002B2CF9AE}" pid="4" name="KSOTemplateDocerSaveRecord">
    <vt:lpwstr>eyJoZGlkIjoiNTdmOWYwYzkyOTVkMGEwM2Q1NjBhMWI2ZDYxOTYwNDAiLCJ1c2VySWQiOiI0MjE5NjExNTEifQ==</vt:lpwstr>
  </property>
</Properties>
</file>