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framePr w:w="0" w:hRule="auto" w:wrap="auto" w:vAnchor="margin" w:hAnchor="text" w:xAlign="left" w:yAlign="inline"/>
        <w:spacing w:line="240" w:lineRule="auto"/>
        <w:rPr>
          <w:rFonts w:hAnsi="黑体" w:cs="黑体"/>
          <w:sz w:val="32"/>
          <w:szCs w:val="32"/>
        </w:rPr>
      </w:pPr>
      <w:r>
        <w:rPr>
          <w:rFonts w:hint="eastAsia" w:hAnsi="黑体" w:cs="黑体"/>
          <w:color w:val="000000"/>
          <w:sz w:val="32"/>
          <w:szCs w:val="32"/>
        </w:rPr>
        <w:t>德阳市罗江区</w:t>
      </w:r>
      <w:r>
        <w:rPr>
          <w:rFonts w:hint="eastAsia" w:hAnsi="黑体"/>
          <w:color w:val="000000"/>
          <w:sz w:val="32"/>
          <w:szCs w:val="32"/>
        </w:rPr>
        <w:t>食品接触用</w:t>
      </w:r>
      <w:r>
        <w:rPr>
          <w:rFonts w:hint="eastAsia" w:hAnsi="黑体" w:cs="黑体"/>
          <w:color w:val="000000"/>
          <w:sz w:val="32"/>
          <w:szCs w:val="32"/>
        </w:rPr>
        <w:t>相关</w:t>
      </w:r>
      <w:r>
        <w:rPr>
          <w:rFonts w:hint="eastAsia" w:hAnsi="黑体" w:cs="黑体"/>
          <w:sz w:val="32"/>
          <w:szCs w:val="32"/>
        </w:rPr>
        <w:t>产品产品质量监督抽查实施细则(2025年版)</w:t>
      </w:r>
    </w:p>
    <w:p>
      <w:pPr>
        <w:snapToGrid w:val="0"/>
        <w:spacing w:before="374" w:after="374"/>
        <w:rPr>
          <w:rFonts w:eastAsia="黑体"/>
          <w:color w:val="000000"/>
          <w:szCs w:val="21"/>
        </w:rPr>
      </w:pPr>
      <w:r>
        <w:rPr>
          <w:rFonts w:eastAsia="黑体"/>
          <w:color w:val="000000"/>
          <w:szCs w:val="21"/>
        </w:rPr>
        <w:t>1  抽样方法</w:t>
      </w:r>
    </w:p>
    <w:p>
      <w:pPr>
        <w:ind w:firstLine="420" w:firstLineChars="200"/>
        <w:rPr>
          <w:szCs w:val="21"/>
        </w:rPr>
      </w:pPr>
      <w:r>
        <w:rPr>
          <w:szCs w:val="21"/>
        </w:rPr>
        <w:t>以随机抽样的方式在被抽样生产者、销售者的待销产品中抽取。</w:t>
      </w:r>
    </w:p>
    <w:p>
      <w:pPr>
        <w:ind w:firstLine="420" w:firstLineChars="200"/>
        <w:rPr>
          <w:szCs w:val="21"/>
        </w:rPr>
      </w:pPr>
      <w:r>
        <w:rPr>
          <w:szCs w:val="21"/>
        </w:rPr>
        <w:t>随机数一般可使用随机数表、骰子或扑克牌等方法产生。</w:t>
      </w:r>
    </w:p>
    <w:p>
      <w:pPr>
        <w:ind w:firstLine="420" w:firstLineChars="200"/>
        <w:rPr>
          <w:szCs w:val="21"/>
        </w:rPr>
      </w:pPr>
      <w:r>
        <w:rPr>
          <w:rFonts w:hint="eastAsia"/>
          <w:szCs w:val="21"/>
        </w:rPr>
        <w:t>纸杯产品：</w:t>
      </w:r>
      <w:r>
        <w:rPr>
          <w:szCs w:val="21"/>
        </w:rPr>
        <w:t>每批次抽取样品</w:t>
      </w:r>
      <w:r>
        <w:rPr>
          <w:rFonts w:hint="eastAsia"/>
          <w:szCs w:val="21"/>
        </w:rPr>
        <w:t>200只</w:t>
      </w:r>
      <w:r>
        <w:rPr>
          <w:szCs w:val="21"/>
        </w:rPr>
        <w:t>，其中</w:t>
      </w:r>
      <w:r>
        <w:rPr>
          <w:rFonts w:hint="eastAsia"/>
          <w:szCs w:val="21"/>
        </w:rPr>
        <w:t>150只</w:t>
      </w:r>
      <w:r>
        <w:rPr>
          <w:szCs w:val="21"/>
        </w:rPr>
        <w:t>作为检验样品，</w:t>
      </w:r>
      <w:r>
        <w:rPr>
          <w:rFonts w:hint="eastAsia"/>
          <w:szCs w:val="21"/>
        </w:rPr>
        <w:t>50只</w:t>
      </w:r>
      <w:r>
        <w:rPr>
          <w:szCs w:val="21"/>
        </w:rPr>
        <w:t>作为备用样品。</w:t>
      </w:r>
    </w:p>
    <w:p>
      <w:pPr>
        <w:ind w:firstLine="420" w:firstLineChars="200"/>
        <w:rPr>
          <w:szCs w:val="21"/>
        </w:rPr>
      </w:pPr>
      <w:r>
        <w:rPr>
          <w:rFonts w:hint="eastAsia"/>
          <w:szCs w:val="21"/>
        </w:rPr>
        <w:t>复合膜袋类产品：复合膜：每批次产品抽取样品3卷，将每卷膜外层除去2m，每卷膜各抽取2.5m</w:t>
      </w:r>
      <w:r>
        <w:rPr>
          <w:rFonts w:hint="eastAsia"/>
          <w:szCs w:val="21"/>
          <w:vertAlign w:val="superscript"/>
        </w:rPr>
        <w:t>2</w:t>
      </w:r>
      <w:r>
        <w:rPr>
          <w:rFonts w:hint="eastAsia"/>
          <w:szCs w:val="21"/>
        </w:rPr>
        <w:t>×2，平均分为2份，其中1份作为检验样品，1份作为备用样品。复合袋：每批次产品抽取从3箱中分别抽取30个×2（袋规格应不小于15cm×15cm），平均分为2份，其中30个×3作为检验样品，30个×3作为备用样品。</w:t>
      </w:r>
    </w:p>
    <w:p>
      <w:pPr>
        <w:ind w:firstLine="420" w:firstLineChars="200"/>
        <w:rPr>
          <w:szCs w:val="21"/>
        </w:rPr>
      </w:pPr>
      <w:r>
        <w:rPr>
          <w:rFonts w:hint="eastAsia"/>
          <w:szCs w:val="21"/>
        </w:rPr>
        <w:t>塑料编织袋产品：</w:t>
      </w:r>
      <w:r>
        <w:rPr>
          <w:rFonts w:hint="eastAsia" w:ascii="宋体" w:hAnsi="宋体" w:cs="宋体"/>
          <w:color w:val="000000"/>
          <w:kern w:val="0"/>
          <w:szCs w:val="21"/>
        </w:rPr>
        <w:t>抽</w:t>
      </w:r>
      <w:r>
        <w:rPr>
          <w:rFonts w:hint="eastAsia"/>
          <w:szCs w:val="21"/>
        </w:rPr>
        <w:t>取</w:t>
      </w:r>
      <w:r>
        <w:rPr>
          <w:rFonts w:hint="eastAsia" w:ascii="宋体" w:hAnsi="宋体" w:cs="宋体"/>
          <w:color w:val="000000"/>
          <w:kern w:val="0"/>
          <w:szCs w:val="21"/>
        </w:rPr>
        <w:t>20条，其中10条作为检验样品，10条作为备用样品。</w:t>
      </w:r>
    </w:p>
    <w:p>
      <w:pPr>
        <w:ind w:firstLine="420" w:firstLineChars="200"/>
        <w:rPr>
          <w:szCs w:val="21"/>
        </w:rPr>
      </w:pPr>
      <w:r>
        <w:rPr>
          <w:rFonts w:hint="eastAsia" w:hAnsi="黑体" w:cs="黑体"/>
          <w:color w:val="000000"/>
          <w:szCs w:val="21"/>
        </w:rPr>
        <w:t>食品接触用塑料包装容器工具等制品（PET片材、托盘）等产品：</w:t>
      </w:r>
      <w:r>
        <w:rPr>
          <w:rFonts w:hint="eastAsia" w:ascii="宋体" w:hAnsi="宋体" w:cs="宋体"/>
          <w:color w:val="000000"/>
          <w:kern w:val="0"/>
          <w:szCs w:val="21"/>
        </w:rPr>
        <w:t xml:space="preserve"> PET片材：</w:t>
      </w:r>
      <w:r>
        <w:rPr>
          <w:rFonts w:hint="eastAsia"/>
          <w:szCs w:val="21"/>
        </w:rPr>
        <w:t>将外层除去1m后抽取2.5m</w:t>
      </w:r>
      <w:r>
        <w:rPr>
          <w:rFonts w:hint="eastAsia"/>
          <w:szCs w:val="21"/>
          <w:vertAlign w:val="superscript"/>
        </w:rPr>
        <w:t>2</w:t>
      </w:r>
      <w:r>
        <w:rPr>
          <w:rFonts w:hint="eastAsia"/>
          <w:szCs w:val="21"/>
        </w:rPr>
        <w:t>×2，其中1×2.5m</w:t>
      </w:r>
      <w:r>
        <w:rPr>
          <w:rFonts w:hint="eastAsia"/>
          <w:szCs w:val="21"/>
          <w:vertAlign w:val="superscript"/>
        </w:rPr>
        <w:t>2</w:t>
      </w:r>
      <w:r>
        <w:rPr>
          <w:rFonts w:hint="eastAsia"/>
          <w:szCs w:val="21"/>
        </w:rPr>
        <w:t>份作为检验样品，1×2.5m</w:t>
      </w:r>
      <w:r>
        <w:rPr>
          <w:rFonts w:hint="eastAsia"/>
          <w:szCs w:val="21"/>
          <w:vertAlign w:val="superscript"/>
        </w:rPr>
        <w:t>2</w:t>
      </w:r>
      <w:r>
        <w:rPr>
          <w:rFonts w:hint="eastAsia"/>
          <w:szCs w:val="21"/>
        </w:rPr>
        <w:t>份作为备用样品。托盘：</w:t>
      </w:r>
      <w:r>
        <w:rPr>
          <w:rFonts w:hint="eastAsia" w:ascii="宋体" w:hAnsi="宋体" w:cs="宋体"/>
          <w:color w:val="000000"/>
          <w:kern w:val="0"/>
          <w:szCs w:val="21"/>
        </w:rPr>
        <w:t>抽</w:t>
      </w:r>
      <w:r>
        <w:rPr>
          <w:rFonts w:hint="eastAsia"/>
          <w:szCs w:val="21"/>
        </w:rPr>
        <w:t>取</w:t>
      </w:r>
      <w:r>
        <w:rPr>
          <w:rFonts w:hint="eastAsia" w:ascii="宋体" w:hAnsi="宋体" w:cs="宋体"/>
          <w:color w:val="000000"/>
          <w:kern w:val="0"/>
          <w:szCs w:val="21"/>
        </w:rPr>
        <w:t>100个，其中50个作为检验样品，50个作为备用样品。</w:t>
      </w:r>
    </w:p>
    <w:p>
      <w:pPr>
        <w:ind w:firstLine="420" w:firstLineChars="200"/>
        <w:rPr>
          <w:szCs w:val="21"/>
        </w:rPr>
      </w:pPr>
      <w:r>
        <w:rPr>
          <w:rFonts w:hint="eastAsia"/>
          <w:szCs w:val="21"/>
        </w:rPr>
        <w:t>塑料一次性餐饮具产品：每批次产品抽取不少于2份最小销售独立包装，其中1份作为检验样品，1份作为备用样品，每批次样品抽样数量不少于80只（个）。每份样品质量应不少于100g且与食品接触面的最小表面积应不小于10dm</w:t>
      </w:r>
      <w:r>
        <w:rPr>
          <w:rFonts w:hint="eastAsia"/>
          <w:szCs w:val="21"/>
          <w:vertAlign w:val="superscript"/>
        </w:rPr>
        <w:t>2</w:t>
      </w:r>
      <w:r>
        <w:rPr>
          <w:rFonts w:hint="eastAsia"/>
          <w:szCs w:val="21"/>
        </w:rPr>
        <w:t>（若最小销售包装不是40只（个）的整数倍，需按采样数折算，保证检样不少于40只（个），备样不少于40只（个），避免损坏原包装）。</w:t>
      </w:r>
    </w:p>
    <w:p>
      <w:pPr>
        <w:ind w:firstLine="420" w:firstLineChars="200"/>
        <w:rPr>
          <w:szCs w:val="21"/>
        </w:rPr>
      </w:pPr>
      <w:r>
        <w:rPr>
          <w:rFonts w:hint="eastAsia" w:eastAsiaTheme="minorEastAsia"/>
          <w:szCs w:val="21"/>
        </w:rPr>
        <w:t>备样封存于受检单位，由其妥善保存。</w:t>
      </w:r>
    </w:p>
    <w:p>
      <w:pPr>
        <w:snapToGrid w:val="0"/>
        <w:spacing w:before="374" w:after="374"/>
        <w:rPr>
          <w:rFonts w:eastAsia="黑体"/>
          <w:color w:val="000000"/>
          <w:szCs w:val="21"/>
        </w:rPr>
      </w:pPr>
      <w:r>
        <w:rPr>
          <w:rFonts w:eastAsia="黑体"/>
          <w:color w:val="000000"/>
          <w:szCs w:val="21"/>
        </w:rPr>
        <w:t>2  检验依据</w:t>
      </w:r>
    </w:p>
    <w:p>
      <w:pPr>
        <w:pStyle w:val="14"/>
        <w:spacing w:before="156" w:after="156"/>
        <w:rPr>
          <w:rFonts w:ascii="Times New Roman"/>
          <w:color w:val="000000"/>
          <w:kern w:val="2"/>
          <w:szCs w:val="21"/>
        </w:rPr>
      </w:pPr>
      <w:r>
        <w:rPr>
          <w:rFonts w:ascii="Times New Roman"/>
          <w:color w:val="000000"/>
          <w:kern w:val="2"/>
          <w:szCs w:val="21"/>
        </w:rPr>
        <w:t xml:space="preserve">表1  </w:t>
      </w:r>
      <w:r>
        <w:rPr>
          <w:rFonts w:hint="eastAsia" w:hAnsi="黑体" w:cs="黑体"/>
          <w:color w:val="000000"/>
          <w:kern w:val="2"/>
          <w:szCs w:val="21"/>
        </w:rPr>
        <w:t>纸杯检验项目</w:t>
      </w:r>
    </w:p>
    <w:tbl>
      <w:tblPr>
        <w:tblStyle w:val="5"/>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3820"/>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240" w:type="dxa"/>
            <w:tcBorders>
              <w:bottom w:val="single" w:color="auto" w:sz="4" w:space="0"/>
            </w:tcBorders>
            <w:vAlign w:val="center"/>
          </w:tcPr>
          <w:p>
            <w:pPr>
              <w:spacing w:line="360" w:lineRule="auto"/>
              <w:jc w:val="center"/>
              <w:rPr>
                <w:rFonts w:eastAsia="黑体"/>
                <w:color w:val="000000"/>
                <w:szCs w:val="21"/>
              </w:rPr>
            </w:pPr>
            <w:r>
              <w:rPr>
                <w:rFonts w:hint="eastAsia" w:ascii="黑体" w:hAnsi="黑体" w:eastAsia="黑体" w:cs="黑体"/>
                <w:color w:val="000000"/>
                <w:szCs w:val="21"/>
              </w:rPr>
              <w:t>序号</w:t>
            </w:r>
          </w:p>
        </w:tc>
        <w:tc>
          <w:tcPr>
            <w:tcW w:w="3821" w:type="dxa"/>
            <w:tcBorders>
              <w:bottom w:val="single" w:color="auto" w:sz="4" w:space="0"/>
            </w:tcBorders>
            <w:vAlign w:val="center"/>
          </w:tcPr>
          <w:p>
            <w:pPr>
              <w:spacing w:line="360" w:lineRule="auto"/>
              <w:jc w:val="center"/>
              <w:rPr>
                <w:rFonts w:eastAsia="黑体"/>
                <w:color w:val="000000"/>
                <w:szCs w:val="21"/>
              </w:rPr>
            </w:pPr>
            <w:r>
              <w:rPr>
                <w:rFonts w:hint="eastAsia" w:ascii="黑体" w:hAnsi="黑体" w:eastAsia="黑体" w:cs="黑体"/>
                <w:color w:val="000000"/>
                <w:szCs w:val="21"/>
              </w:rPr>
              <w:t>检验项目</w:t>
            </w:r>
          </w:p>
        </w:tc>
        <w:tc>
          <w:tcPr>
            <w:tcW w:w="3268" w:type="dxa"/>
            <w:tcBorders>
              <w:bottom w:val="single" w:color="auto" w:sz="4" w:space="0"/>
            </w:tcBorders>
            <w:vAlign w:val="center"/>
          </w:tcPr>
          <w:p>
            <w:pPr>
              <w:spacing w:line="360" w:lineRule="auto"/>
              <w:jc w:val="center"/>
              <w:rPr>
                <w:rFonts w:eastAsia="黑体"/>
                <w:color w:val="000000"/>
                <w:szCs w:val="21"/>
              </w:rPr>
            </w:pPr>
            <w:r>
              <w:rPr>
                <w:rFonts w:hint="eastAsia" w:ascii="黑体" w:hAnsi="黑体" w:eastAsia="黑体" w:cs="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tcBorders>
              <w:bottom w:val="single" w:color="auto" w:sz="4" w:space="0"/>
            </w:tcBorders>
            <w:vAlign w:val="center"/>
          </w:tcPr>
          <w:p>
            <w:pPr>
              <w:spacing w:line="360" w:lineRule="auto"/>
              <w:jc w:val="center"/>
              <w:rPr>
                <w:szCs w:val="21"/>
              </w:rPr>
            </w:pPr>
            <w:r>
              <w:rPr>
                <w:rFonts w:hint="eastAsia"/>
                <w:szCs w:val="21"/>
              </w:rPr>
              <w:t>1</w:t>
            </w:r>
          </w:p>
        </w:tc>
        <w:tc>
          <w:tcPr>
            <w:tcW w:w="3821" w:type="dxa"/>
            <w:tcBorders>
              <w:bottom w:val="single" w:color="auto" w:sz="4" w:space="0"/>
            </w:tcBorders>
            <w:vAlign w:val="center"/>
          </w:tcPr>
          <w:p>
            <w:pPr>
              <w:spacing w:line="360" w:lineRule="auto"/>
              <w:jc w:val="center"/>
              <w:rPr>
                <w:color w:val="000000" w:themeColor="text1"/>
                <w:szCs w:val="21"/>
              </w:rPr>
            </w:pPr>
            <w:r>
              <w:rPr>
                <w:rFonts w:hint="eastAsia"/>
                <w:color w:val="000000" w:themeColor="text1"/>
                <w:szCs w:val="21"/>
              </w:rPr>
              <w:t>感官要求</w:t>
            </w:r>
          </w:p>
        </w:tc>
        <w:tc>
          <w:tcPr>
            <w:tcW w:w="3268" w:type="dxa"/>
            <w:tcBorders>
              <w:bottom w:val="single" w:color="auto" w:sz="4" w:space="0"/>
            </w:tcBorders>
            <w:vAlign w:val="center"/>
          </w:tcPr>
          <w:p>
            <w:pPr>
              <w:spacing w:line="360" w:lineRule="auto"/>
              <w:jc w:val="center"/>
              <w:rPr>
                <w:szCs w:val="21"/>
              </w:rPr>
            </w:pPr>
            <w:r>
              <w:rPr>
                <w:rFonts w:hint="eastAsia"/>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240" w:type="dxa"/>
            <w:vAlign w:val="center"/>
          </w:tcPr>
          <w:p>
            <w:pPr>
              <w:spacing w:line="360" w:lineRule="auto"/>
              <w:jc w:val="center"/>
              <w:rPr>
                <w:szCs w:val="21"/>
              </w:rPr>
            </w:pPr>
            <w:r>
              <w:rPr>
                <w:rFonts w:hint="eastAsia"/>
                <w:szCs w:val="21"/>
              </w:rPr>
              <w:t>2</w:t>
            </w:r>
          </w:p>
        </w:tc>
        <w:tc>
          <w:tcPr>
            <w:tcW w:w="3821" w:type="dxa"/>
            <w:vAlign w:val="center"/>
          </w:tcPr>
          <w:p>
            <w:pPr>
              <w:spacing w:line="360" w:lineRule="auto"/>
              <w:jc w:val="center"/>
              <w:rPr>
                <w:color w:val="000000" w:themeColor="text1"/>
                <w:szCs w:val="21"/>
              </w:rPr>
            </w:pPr>
            <w:r>
              <w:rPr>
                <w:rFonts w:hint="eastAsia"/>
                <w:color w:val="000000" w:themeColor="text1"/>
                <w:szCs w:val="21"/>
              </w:rPr>
              <w:t>铅（Pb）</w:t>
            </w:r>
          </w:p>
        </w:tc>
        <w:tc>
          <w:tcPr>
            <w:tcW w:w="3268" w:type="dxa"/>
            <w:vAlign w:val="center"/>
          </w:tcPr>
          <w:p>
            <w:pPr>
              <w:spacing w:line="360" w:lineRule="auto"/>
              <w:jc w:val="center"/>
              <w:rPr>
                <w:szCs w:val="21"/>
              </w:rPr>
            </w:pPr>
            <w:r>
              <w:rPr>
                <w:rFonts w:hint="eastAsia"/>
                <w:szCs w:val="21"/>
              </w:rPr>
              <w:t>GB 31604.34-2016 第一部分</w:t>
            </w:r>
          </w:p>
          <w:p>
            <w:pPr>
              <w:spacing w:line="360" w:lineRule="auto"/>
              <w:jc w:val="center"/>
              <w:rPr>
                <w:szCs w:val="21"/>
              </w:rPr>
            </w:pPr>
            <w:r>
              <w:rPr>
                <w:rFonts w:hint="eastAsia"/>
                <w:szCs w:val="21"/>
              </w:rPr>
              <w:t>或 GB 31604.49 -2023第一部分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3</w:t>
            </w:r>
          </w:p>
        </w:tc>
        <w:tc>
          <w:tcPr>
            <w:tcW w:w="3821" w:type="dxa"/>
            <w:vAlign w:val="center"/>
          </w:tcPr>
          <w:p>
            <w:pPr>
              <w:spacing w:line="360" w:lineRule="auto"/>
              <w:jc w:val="center"/>
              <w:rPr>
                <w:color w:val="000000" w:themeColor="text1"/>
                <w:szCs w:val="21"/>
              </w:rPr>
            </w:pPr>
            <w:r>
              <w:rPr>
                <w:rFonts w:hint="eastAsia"/>
                <w:color w:val="000000" w:themeColor="text1"/>
                <w:szCs w:val="21"/>
              </w:rPr>
              <w:t>砷（As）</w:t>
            </w:r>
          </w:p>
        </w:tc>
        <w:tc>
          <w:tcPr>
            <w:tcW w:w="3268" w:type="dxa"/>
            <w:vAlign w:val="center"/>
          </w:tcPr>
          <w:p>
            <w:pPr>
              <w:spacing w:line="360" w:lineRule="auto"/>
              <w:jc w:val="center"/>
              <w:rPr>
                <w:szCs w:val="21"/>
              </w:rPr>
            </w:pPr>
            <w:r>
              <w:rPr>
                <w:rFonts w:hint="eastAsia"/>
                <w:szCs w:val="21"/>
              </w:rPr>
              <w:t>GB 31604.38-2016 第一部分</w:t>
            </w:r>
          </w:p>
          <w:p>
            <w:pPr>
              <w:spacing w:line="360" w:lineRule="auto"/>
              <w:jc w:val="center"/>
              <w:rPr>
                <w:szCs w:val="21"/>
              </w:rPr>
            </w:pPr>
            <w:r>
              <w:rPr>
                <w:rFonts w:hint="eastAsia"/>
                <w:szCs w:val="21"/>
              </w:rPr>
              <w:t>或 GB 31604.49 -2023第一部分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4</w:t>
            </w:r>
          </w:p>
        </w:tc>
        <w:tc>
          <w:tcPr>
            <w:tcW w:w="3821" w:type="dxa"/>
            <w:vAlign w:val="center"/>
          </w:tcPr>
          <w:p>
            <w:pPr>
              <w:spacing w:line="360" w:lineRule="auto"/>
              <w:jc w:val="center"/>
              <w:rPr>
                <w:color w:val="000000" w:themeColor="text1"/>
                <w:szCs w:val="21"/>
              </w:rPr>
            </w:pPr>
            <w:r>
              <w:rPr>
                <w:rFonts w:hint="eastAsia"/>
                <w:color w:val="000000" w:themeColor="text1"/>
                <w:szCs w:val="21"/>
              </w:rPr>
              <w:t>甲醛</w:t>
            </w:r>
          </w:p>
        </w:tc>
        <w:tc>
          <w:tcPr>
            <w:tcW w:w="3268" w:type="dxa"/>
            <w:vAlign w:val="center"/>
          </w:tcPr>
          <w:p>
            <w:pPr>
              <w:spacing w:line="360" w:lineRule="auto"/>
              <w:jc w:val="center"/>
              <w:rPr>
                <w:szCs w:val="21"/>
              </w:rPr>
            </w:pPr>
            <w:r>
              <w:rPr>
                <w:rFonts w:hint="eastAsia"/>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5</w:t>
            </w:r>
          </w:p>
        </w:tc>
        <w:tc>
          <w:tcPr>
            <w:tcW w:w="3821" w:type="dxa"/>
            <w:vAlign w:val="center"/>
          </w:tcPr>
          <w:p>
            <w:pPr>
              <w:spacing w:line="360" w:lineRule="auto"/>
              <w:jc w:val="center"/>
              <w:rPr>
                <w:color w:val="000000" w:themeColor="text1"/>
                <w:szCs w:val="21"/>
              </w:rPr>
            </w:pPr>
            <w:r>
              <w:rPr>
                <w:rFonts w:hint="eastAsia"/>
                <w:color w:val="000000" w:themeColor="text1"/>
                <w:szCs w:val="21"/>
              </w:rPr>
              <w:t>荧光性物质</w:t>
            </w:r>
          </w:p>
        </w:tc>
        <w:tc>
          <w:tcPr>
            <w:tcW w:w="3268" w:type="dxa"/>
            <w:vAlign w:val="center"/>
          </w:tcPr>
          <w:p>
            <w:pPr>
              <w:spacing w:line="360" w:lineRule="auto"/>
              <w:jc w:val="center"/>
              <w:rPr>
                <w:szCs w:val="21"/>
              </w:rPr>
            </w:pPr>
            <w:r>
              <w:rPr>
                <w:rFonts w:hint="eastAsia"/>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6</w:t>
            </w:r>
          </w:p>
        </w:tc>
        <w:tc>
          <w:tcPr>
            <w:tcW w:w="3821" w:type="dxa"/>
            <w:vAlign w:val="center"/>
          </w:tcPr>
          <w:p>
            <w:pPr>
              <w:spacing w:line="360" w:lineRule="auto"/>
              <w:jc w:val="center"/>
              <w:rPr>
                <w:color w:val="000000" w:themeColor="text1"/>
                <w:szCs w:val="21"/>
              </w:rPr>
            </w:pPr>
            <w:r>
              <w:rPr>
                <w:rFonts w:hint="eastAsia"/>
                <w:color w:val="000000" w:themeColor="text1"/>
                <w:szCs w:val="21"/>
              </w:rPr>
              <w:t>总迁移量</w:t>
            </w:r>
          </w:p>
        </w:tc>
        <w:tc>
          <w:tcPr>
            <w:tcW w:w="3268" w:type="dxa"/>
            <w:vAlign w:val="center"/>
          </w:tcPr>
          <w:p>
            <w:pPr>
              <w:spacing w:line="360" w:lineRule="auto"/>
              <w:jc w:val="center"/>
              <w:rPr>
                <w:szCs w:val="21"/>
              </w:rPr>
            </w:pPr>
            <w:r>
              <w:rPr>
                <w:rFonts w:hint="eastAsia"/>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7</w:t>
            </w:r>
          </w:p>
        </w:tc>
        <w:tc>
          <w:tcPr>
            <w:tcW w:w="3821" w:type="dxa"/>
            <w:vAlign w:val="center"/>
          </w:tcPr>
          <w:p>
            <w:pPr>
              <w:spacing w:line="360" w:lineRule="auto"/>
              <w:jc w:val="center"/>
              <w:rPr>
                <w:color w:val="000000" w:themeColor="text1"/>
                <w:szCs w:val="21"/>
              </w:rPr>
            </w:pPr>
            <w:r>
              <w:rPr>
                <w:rFonts w:hint="eastAsia"/>
                <w:color w:val="000000" w:themeColor="text1"/>
                <w:szCs w:val="21"/>
              </w:rPr>
              <w:t>高锰酸钾消耗量</w:t>
            </w:r>
            <w:r>
              <w:rPr>
                <w:rFonts w:hint="eastAsia"/>
                <w:color w:val="000000" w:themeColor="text1"/>
                <w:sz w:val="24"/>
                <w:vertAlign w:val="superscript"/>
              </w:rPr>
              <w:t>a</w:t>
            </w:r>
          </w:p>
        </w:tc>
        <w:tc>
          <w:tcPr>
            <w:tcW w:w="3268" w:type="dxa"/>
            <w:vAlign w:val="center"/>
          </w:tcPr>
          <w:p>
            <w:pPr>
              <w:spacing w:line="360" w:lineRule="auto"/>
              <w:jc w:val="center"/>
              <w:rPr>
                <w:szCs w:val="21"/>
              </w:rPr>
            </w:pPr>
            <w:r>
              <w:rPr>
                <w:rFonts w:hint="eastAsia"/>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8</w:t>
            </w:r>
          </w:p>
        </w:tc>
        <w:tc>
          <w:tcPr>
            <w:tcW w:w="3821" w:type="dxa"/>
            <w:vAlign w:val="center"/>
          </w:tcPr>
          <w:p>
            <w:pPr>
              <w:spacing w:line="360" w:lineRule="auto"/>
              <w:jc w:val="center"/>
              <w:rPr>
                <w:color w:val="000000" w:themeColor="text1"/>
                <w:szCs w:val="21"/>
              </w:rPr>
            </w:pPr>
            <w:r>
              <w:rPr>
                <w:rFonts w:hint="eastAsia"/>
                <w:color w:val="000000" w:themeColor="text1"/>
                <w:szCs w:val="21"/>
              </w:rPr>
              <w:t>重金属（以Pb计）</w:t>
            </w:r>
            <w:r>
              <w:rPr>
                <w:rFonts w:hint="eastAsia"/>
                <w:color w:val="000000" w:themeColor="text1"/>
                <w:szCs w:val="21"/>
                <w:vertAlign w:val="superscript"/>
              </w:rPr>
              <w:t>b</w:t>
            </w:r>
          </w:p>
        </w:tc>
        <w:tc>
          <w:tcPr>
            <w:tcW w:w="3268" w:type="dxa"/>
            <w:vAlign w:val="center"/>
          </w:tcPr>
          <w:p>
            <w:pPr>
              <w:spacing w:line="360" w:lineRule="auto"/>
              <w:jc w:val="center"/>
              <w:rPr>
                <w:szCs w:val="21"/>
              </w:rPr>
            </w:pPr>
            <w:r>
              <w:rPr>
                <w:rFonts w:hint="eastAsia"/>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9</w:t>
            </w:r>
          </w:p>
        </w:tc>
        <w:tc>
          <w:tcPr>
            <w:tcW w:w="3821" w:type="dxa"/>
            <w:vAlign w:val="center"/>
          </w:tcPr>
          <w:p>
            <w:pPr>
              <w:spacing w:line="360" w:lineRule="auto"/>
              <w:jc w:val="center"/>
              <w:rPr>
                <w:color w:val="000000" w:themeColor="text1"/>
                <w:szCs w:val="21"/>
              </w:rPr>
            </w:pPr>
            <w:r>
              <w:rPr>
                <w:rFonts w:hint="eastAsia"/>
                <w:color w:val="000000" w:themeColor="text1"/>
                <w:szCs w:val="21"/>
              </w:rPr>
              <w:t>感官指标</w:t>
            </w:r>
          </w:p>
        </w:tc>
        <w:tc>
          <w:tcPr>
            <w:tcW w:w="3268" w:type="dxa"/>
            <w:vAlign w:val="center"/>
          </w:tcPr>
          <w:p>
            <w:pPr>
              <w:spacing w:line="360" w:lineRule="auto"/>
              <w:jc w:val="center"/>
              <w:rPr>
                <w:szCs w:val="21"/>
              </w:rPr>
            </w:pPr>
            <w:r>
              <w:rPr>
                <w:rFonts w:hint="eastAsia"/>
                <w:szCs w:val="21"/>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0" w:type="dxa"/>
            <w:vAlign w:val="center"/>
          </w:tcPr>
          <w:p>
            <w:pPr>
              <w:spacing w:line="360" w:lineRule="auto"/>
              <w:jc w:val="center"/>
              <w:rPr>
                <w:szCs w:val="21"/>
              </w:rPr>
            </w:pPr>
            <w:r>
              <w:rPr>
                <w:rFonts w:hint="eastAsia"/>
                <w:szCs w:val="21"/>
              </w:rPr>
              <w:t>10</w:t>
            </w:r>
          </w:p>
        </w:tc>
        <w:tc>
          <w:tcPr>
            <w:tcW w:w="3821" w:type="dxa"/>
            <w:vAlign w:val="center"/>
          </w:tcPr>
          <w:p>
            <w:pPr>
              <w:spacing w:line="360" w:lineRule="auto"/>
              <w:jc w:val="center"/>
              <w:rPr>
                <w:color w:val="000000" w:themeColor="text1"/>
                <w:szCs w:val="21"/>
              </w:rPr>
            </w:pPr>
            <w:r>
              <w:rPr>
                <w:rFonts w:hint="eastAsia"/>
                <w:color w:val="000000" w:themeColor="text1"/>
                <w:szCs w:val="21"/>
              </w:rPr>
              <w:t>杯身挺度</w:t>
            </w:r>
          </w:p>
        </w:tc>
        <w:tc>
          <w:tcPr>
            <w:tcW w:w="3268" w:type="dxa"/>
            <w:vAlign w:val="center"/>
          </w:tcPr>
          <w:p>
            <w:pPr>
              <w:spacing w:line="360" w:lineRule="auto"/>
              <w:jc w:val="center"/>
              <w:rPr>
                <w:szCs w:val="21"/>
              </w:rPr>
            </w:pPr>
            <w:r>
              <w:rPr>
                <w:rFonts w:hint="eastAsia"/>
                <w:szCs w:val="21"/>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9" w:type="dxa"/>
            <w:gridSpan w:val="3"/>
            <w:vAlign w:val="center"/>
          </w:tcPr>
          <w:p>
            <w:pPr>
              <w:spacing w:line="360" w:lineRule="auto"/>
              <w:jc w:val="left"/>
              <w:rPr>
                <w:szCs w:val="21"/>
              </w:rPr>
            </w:pPr>
            <w:r>
              <w:rPr>
                <w:rFonts w:hint="eastAsia"/>
                <w:szCs w:val="21"/>
              </w:rPr>
              <w:t>备注：a适用于淋（覆）膜产品；</w:t>
            </w:r>
          </w:p>
          <w:p>
            <w:pPr>
              <w:spacing w:line="360" w:lineRule="auto"/>
              <w:ind w:firstLine="630" w:firstLineChars="300"/>
              <w:jc w:val="left"/>
              <w:rPr>
                <w:szCs w:val="21"/>
              </w:rPr>
            </w:pPr>
            <w:r>
              <w:rPr>
                <w:rFonts w:hint="eastAsia"/>
                <w:szCs w:val="21"/>
              </w:rPr>
              <w:t>b适用于预期接触水性食品或表面有游离水食品的产品。</w:t>
            </w:r>
          </w:p>
        </w:tc>
      </w:tr>
    </w:tbl>
    <w:p>
      <w:pPr>
        <w:snapToGrid w:val="0"/>
        <w:spacing w:before="374" w:after="374"/>
        <w:ind w:firstLine="2835" w:firstLineChars="1350"/>
        <w:rPr>
          <w:rFonts w:eastAsia="黑体"/>
          <w:color w:val="000000"/>
          <w:szCs w:val="21"/>
        </w:rPr>
      </w:pPr>
      <w:r>
        <w:rPr>
          <w:rFonts w:hint="eastAsia" w:eastAsia="黑体"/>
          <w:color w:val="000000"/>
          <w:szCs w:val="21"/>
        </w:rPr>
        <w:t>表2</w:t>
      </w:r>
      <w:r>
        <w:rPr>
          <w:rFonts w:hint="eastAsia" w:hAnsi="黑体" w:cs="黑体"/>
          <w:color w:val="000000"/>
          <w:szCs w:val="21"/>
        </w:rPr>
        <w:t>复合膜袋检验项目</w:t>
      </w:r>
    </w:p>
    <w:tbl>
      <w:tblPr>
        <w:tblStyle w:val="5"/>
        <w:tblW w:w="49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2"/>
        <w:gridCol w:w="4793"/>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23"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809" w:type="pct"/>
            <w:gridSpan w:val="2"/>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668"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color w:val="FF0000"/>
                <w:szCs w:val="21"/>
              </w:rPr>
            </w:pPr>
            <w:r>
              <w:rPr>
                <w:rFonts w:hint="eastAsia" w:ascii="宋体" w:hAnsi="宋体"/>
                <w:szCs w:val="21"/>
              </w:rPr>
              <w:t>1</w:t>
            </w:r>
          </w:p>
        </w:tc>
        <w:tc>
          <w:tcPr>
            <w:tcW w:w="2809" w:type="pct"/>
            <w:gridSpan w:val="2"/>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感官要求</w:t>
            </w:r>
          </w:p>
        </w:tc>
        <w:tc>
          <w:tcPr>
            <w:tcW w:w="1668"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 xml:space="preserve">GB 4806.7-2023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2</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总迁移量</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3</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高锰酸钾消耗量</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4</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重金属（以Pb计）</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5</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溶剂残留量总量</w:t>
            </w:r>
          </w:p>
        </w:tc>
        <w:tc>
          <w:tcPr>
            <w:tcW w:w="1668" w:type="pct"/>
            <w:vAlign w:val="center"/>
          </w:tcPr>
          <w:p>
            <w:pPr>
              <w:spacing w:line="360" w:lineRule="auto"/>
              <w:ind w:left="525" w:hanging="525"/>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GB/T 10004-2008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0" w:type="pct"/>
            <w:gridSpan w:val="2"/>
            <w:vAlign w:val="center"/>
          </w:tcPr>
          <w:p>
            <w:pPr>
              <w:ind w:left="525" w:hanging="525"/>
              <w:jc w:val="center"/>
              <w:rPr>
                <w:color w:val="FF0000"/>
                <w:szCs w:val="21"/>
              </w:rPr>
            </w:pPr>
            <w:r>
              <w:rPr>
                <w:rFonts w:hint="eastAsia" w:ascii="宋体" w:hAnsi="宋体"/>
                <w:szCs w:val="21"/>
              </w:rPr>
              <w:t>6</w:t>
            </w:r>
          </w:p>
        </w:tc>
        <w:tc>
          <w:tcPr>
            <w:tcW w:w="2802" w:type="pct"/>
            <w:vAlign w:val="center"/>
          </w:tcPr>
          <w:p>
            <w:pPr>
              <w:spacing w:line="360" w:lineRule="auto"/>
              <w:ind w:left="525" w:hanging="525"/>
              <w:jc w:val="center"/>
              <w:rPr>
                <w:color w:val="FF0000"/>
                <w:szCs w:val="21"/>
              </w:rPr>
            </w:pPr>
            <w:r>
              <w:rPr>
                <w:rFonts w:hint="eastAsia" w:ascii="宋体" w:hAnsi="宋体" w:cstheme="minorEastAsia"/>
                <w:color w:val="000000"/>
                <w:szCs w:val="21"/>
              </w:rPr>
              <w:t>苯类溶剂</w:t>
            </w:r>
          </w:p>
        </w:tc>
        <w:tc>
          <w:tcPr>
            <w:tcW w:w="1668" w:type="pct"/>
            <w:vAlign w:val="center"/>
          </w:tcPr>
          <w:p>
            <w:pPr>
              <w:spacing w:line="360" w:lineRule="auto"/>
              <w:ind w:left="525" w:hanging="525"/>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GB/T 10004-2008</w:t>
            </w:r>
          </w:p>
        </w:tc>
      </w:tr>
    </w:tbl>
    <w:p>
      <w:pPr>
        <w:pStyle w:val="14"/>
        <w:spacing w:before="156" w:after="156"/>
        <w:rPr>
          <w:rFonts w:hAnsi="黑体" w:cs="黑体"/>
          <w:color w:val="000000"/>
          <w:kern w:val="2"/>
          <w:szCs w:val="21"/>
        </w:rPr>
      </w:pPr>
      <w:r>
        <w:rPr>
          <w:rFonts w:ascii="Times New Roman"/>
          <w:color w:val="000000"/>
          <w:kern w:val="2"/>
          <w:szCs w:val="21"/>
        </w:rPr>
        <w:t>表</w:t>
      </w:r>
      <w:r>
        <w:rPr>
          <w:rFonts w:hint="eastAsia" w:ascii="Times New Roman"/>
          <w:color w:val="000000"/>
          <w:kern w:val="2"/>
          <w:szCs w:val="21"/>
        </w:rPr>
        <w:t>3</w:t>
      </w:r>
      <w:r>
        <w:rPr>
          <w:rFonts w:ascii="Times New Roman"/>
          <w:color w:val="000000"/>
          <w:kern w:val="2"/>
          <w:szCs w:val="21"/>
        </w:rPr>
        <w:t xml:space="preserve">  </w:t>
      </w:r>
      <w:r>
        <w:rPr>
          <w:rFonts w:hint="eastAsia" w:hAnsi="黑体" w:cs="黑体"/>
          <w:color w:val="000000"/>
          <w:kern w:val="2"/>
          <w:szCs w:val="21"/>
        </w:rPr>
        <w:t>塑料编织袋检验项目</w:t>
      </w:r>
    </w:p>
    <w:tbl>
      <w:tblPr>
        <w:tblStyle w:val="5"/>
        <w:tblW w:w="49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4805"/>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809"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668"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color w:val="FF0000"/>
                <w:szCs w:val="21"/>
              </w:rPr>
            </w:pPr>
            <w:r>
              <w:rPr>
                <w:rFonts w:hint="eastAsia" w:ascii="宋体" w:hAnsi="宋体"/>
                <w:szCs w:val="21"/>
              </w:rPr>
              <w:t>1</w:t>
            </w:r>
          </w:p>
        </w:tc>
        <w:tc>
          <w:tcPr>
            <w:tcW w:w="2809"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感官要求</w:t>
            </w:r>
          </w:p>
        </w:tc>
        <w:tc>
          <w:tcPr>
            <w:tcW w:w="1668"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rFonts w:ascii="宋体" w:hAnsi="宋体"/>
                <w:szCs w:val="21"/>
              </w:rPr>
            </w:pPr>
            <w:r>
              <w:rPr>
                <w:rFonts w:hint="eastAsia" w:ascii="宋体" w:hAnsi="宋体"/>
                <w:szCs w:val="21"/>
              </w:rPr>
              <w:t>2</w:t>
            </w:r>
          </w:p>
        </w:tc>
        <w:tc>
          <w:tcPr>
            <w:tcW w:w="2809"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总迁移量</w:t>
            </w:r>
          </w:p>
        </w:tc>
        <w:tc>
          <w:tcPr>
            <w:tcW w:w="1668"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3</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高锰酸钾消耗量</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rFonts w:ascii="宋体" w:hAnsi="宋体"/>
                <w:szCs w:val="21"/>
              </w:rPr>
            </w:pPr>
            <w:r>
              <w:rPr>
                <w:rFonts w:hint="eastAsia" w:ascii="宋体" w:hAnsi="宋体"/>
                <w:szCs w:val="21"/>
              </w:rPr>
              <w:t>4</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重金属（以Pb计）</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5</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脱色试验（限添加了着色剂的产品）</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31604.7-2023</w:t>
            </w:r>
          </w:p>
        </w:tc>
      </w:tr>
    </w:tbl>
    <w:p>
      <w:pPr>
        <w:rPr>
          <w:b/>
        </w:rPr>
      </w:pPr>
    </w:p>
    <w:p/>
    <w:p/>
    <w:p>
      <w:pPr>
        <w:pStyle w:val="14"/>
        <w:spacing w:before="156" w:after="156"/>
        <w:rPr>
          <w:rFonts w:ascii="Times New Roman"/>
          <w:color w:val="000000"/>
          <w:kern w:val="2"/>
          <w:szCs w:val="21"/>
        </w:rPr>
      </w:pPr>
    </w:p>
    <w:p>
      <w:pPr>
        <w:pStyle w:val="14"/>
        <w:spacing w:before="156" w:after="156"/>
        <w:rPr>
          <w:rFonts w:ascii="Times New Roman"/>
          <w:color w:val="000000"/>
          <w:kern w:val="2"/>
          <w:szCs w:val="21"/>
        </w:rPr>
      </w:pPr>
      <w:bookmarkStart w:id="0" w:name="_GoBack"/>
      <w:bookmarkEnd w:id="0"/>
      <w:r>
        <w:rPr>
          <w:rFonts w:ascii="Times New Roman"/>
          <w:color w:val="000000"/>
          <w:kern w:val="2"/>
          <w:szCs w:val="21"/>
        </w:rPr>
        <w:t>表</w:t>
      </w:r>
      <w:r>
        <w:rPr>
          <w:rFonts w:hint="eastAsia" w:ascii="Times New Roman"/>
          <w:color w:val="000000"/>
          <w:kern w:val="2"/>
          <w:szCs w:val="21"/>
        </w:rPr>
        <w:t>4</w:t>
      </w:r>
      <w:r>
        <w:rPr>
          <w:rFonts w:ascii="Times New Roman"/>
          <w:color w:val="000000"/>
          <w:kern w:val="2"/>
          <w:szCs w:val="21"/>
        </w:rPr>
        <w:t xml:space="preserve">  </w:t>
      </w:r>
      <w:r>
        <w:rPr>
          <w:rFonts w:hint="eastAsia" w:hAnsi="黑体" w:cs="黑体"/>
          <w:color w:val="000000"/>
          <w:kern w:val="2"/>
          <w:szCs w:val="21"/>
        </w:rPr>
        <w:t>食品接触用塑料包装容器工具检验项目</w:t>
      </w:r>
    </w:p>
    <w:tbl>
      <w:tblPr>
        <w:tblStyle w:val="5"/>
        <w:tblW w:w="49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4805"/>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809"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668"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color w:val="FF0000"/>
                <w:szCs w:val="21"/>
              </w:rPr>
            </w:pPr>
            <w:r>
              <w:rPr>
                <w:rFonts w:hint="eastAsia" w:ascii="宋体" w:hAnsi="宋体"/>
                <w:szCs w:val="21"/>
              </w:rPr>
              <w:t>1</w:t>
            </w:r>
          </w:p>
        </w:tc>
        <w:tc>
          <w:tcPr>
            <w:tcW w:w="2809"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感官要求</w:t>
            </w:r>
          </w:p>
        </w:tc>
        <w:tc>
          <w:tcPr>
            <w:tcW w:w="1668"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rFonts w:ascii="宋体" w:hAnsi="宋体"/>
                <w:szCs w:val="21"/>
              </w:rPr>
            </w:pPr>
            <w:r>
              <w:rPr>
                <w:rFonts w:hint="eastAsia" w:ascii="宋体" w:hAnsi="宋体"/>
                <w:szCs w:val="21"/>
              </w:rPr>
              <w:t>2</w:t>
            </w:r>
          </w:p>
        </w:tc>
        <w:tc>
          <w:tcPr>
            <w:tcW w:w="2809"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总迁移量</w:t>
            </w:r>
          </w:p>
        </w:tc>
        <w:tc>
          <w:tcPr>
            <w:tcW w:w="1668"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3</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高锰酸钾消耗量</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rFonts w:ascii="宋体" w:hAnsi="宋体"/>
                <w:szCs w:val="21"/>
              </w:rPr>
            </w:pPr>
            <w:r>
              <w:rPr>
                <w:rFonts w:hint="eastAsia" w:ascii="宋体" w:hAnsi="宋体"/>
                <w:szCs w:val="21"/>
              </w:rPr>
              <w:t>4</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重金属（以Pb计）</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5</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脱色试验（限添加了着色剂的产品）</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6</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特定迁移量（以锑计）（限PET材质）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31604.41</w:t>
            </w:r>
            <w:r>
              <w:rPr>
                <w:rFonts w:hint="eastAsia" w:asciiTheme="minorEastAsia" w:hAnsiTheme="minorEastAsia" w:eastAsiaTheme="minorEastAsia" w:cstheme="minorEastAsia"/>
                <w:color w:val="00000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7</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特定迁移总量（以对苯二甲酸计）（限PET材质）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31604.21-2016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8</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特定迁移总量（以乙二醇计）（限PET材质）</w:t>
            </w:r>
          </w:p>
        </w:tc>
        <w:tc>
          <w:tcPr>
            <w:tcW w:w="1668" w:type="pct"/>
            <w:vAlign w:val="center"/>
          </w:tcPr>
          <w:p>
            <w:pPr>
              <w:spacing w:line="360" w:lineRule="auto"/>
              <w:ind w:left="525" w:hanging="525"/>
              <w:jc w:val="center"/>
              <w:rPr>
                <w:color w:val="FF0000"/>
                <w:szCs w:val="21"/>
              </w:rPr>
            </w:pPr>
            <w:r>
              <w:rPr>
                <w:rFonts w:hint="eastAsia" w:asciiTheme="minorEastAsia" w:hAnsiTheme="minorEastAsia" w:eastAsiaTheme="minorEastAsia" w:cstheme="minorEastAsia"/>
                <w:color w:val="000000"/>
                <w:szCs w:val="21"/>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9</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游离酚特定迁移量（限PC材质）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31604.16-2016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23" w:type="pct"/>
            <w:vAlign w:val="center"/>
          </w:tcPr>
          <w:p>
            <w:pPr>
              <w:ind w:left="525" w:hanging="525"/>
              <w:jc w:val="center"/>
              <w:rPr>
                <w:color w:val="FF0000"/>
                <w:szCs w:val="21"/>
              </w:rPr>
            </w:pPr>
            <w:r>
              <w:rPr>
                <w:rFonts w:hint="eastAsia" w:ascii="宋体" w:hAnsi="宋体"/>
                <w:szCs w:val="21"/>
              </w:rPr>
              <w:t>10</w:t>
            </w:r>
          </w:p>
        </w:tc>
        <w:tc>
          <w:tcPr>
            <w:tcW w:w="2809" w:type="pct"/>
            <w:vAlign w:val="center"/>
          </w:tcPr>
          <w:p>
            <w:pPr>
              <w:spacing w:line="360" w:lineRule="auto"/>
              <w:ind w:left="525" w:hanging="525"/>
              <w:jc w:val="center"/>
              <w:rPr>
                <w:color w:val="FF0000"/>
                <w:szCs w:val="21"/>
              </w:rPr>
            </w:pPr>
            <w:r>
              <w:rPr>
                <w:rFonts w:hint="eastAsia" w:ascii="宋体" w:hAnsi="宋体" w:cstheme="minorEastAsia"/>
                <w:color w:val="000000"/>
                <w:szCs w:val="21"/>
              </w:rPr>
              <w:t>双酚A迁移量（限PC材质）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vAlign w:val="center"/>
          </w:tcPr>
          <w:p>
            <w:pPr>
              <w:ind w:left="450" w:hanging="450" w:hangingChars="250"/>
              <w:jc w:val="left"/>
              <w:rPr>
                <w:color w:val="FF0000"/>
                <w:szCs w:val="21"/>
              </w:rPr>
            </w:pPr>
            <w:r>
              <w:rPr>
                <w:rFonts w:hint="eastAsia" w:ascii="宋体" w:hAnsi="宋体" w:cstheme="minorEastAsia"/>
                <w:color w:val="000000"/>
                <w:sz w:val="18"/>
                <w:szCs w:val="18"/>
              </w:rPr>
              <w:t>备注：本表中特定物质迁移限量或残留量项目应根据所抽查产品的具体材质品种在GB 4806.7-2023标准及相关公告中的具体要求进行，如针对具体材质品种无该项要求，则不需要检验。</w:t>
            </w:r>
          </w:p>
        </w:tc>
      </w:tr>
    </w:tbl>
    <w:p>
      <w:pPr>
        <w:pStyle w:val="14"/>
        <w:spacing w:before="156" w:after="156"/>
        <w:ind w:firstLine="2520" w:firstLineChars="1200"/>
        <w:jc w:val="both"/>
        <w:rPr>
          <w:rFonts w:ascii="Times New Roman"/>
          <w:color w:val="000000"/>
          <w:kern w:val="2"/>
          <w:szCs w:val="21"/>
        </w:rPr>
      </w:pPr>
      <w:r>
        <w:rPr>
          <w:rFonts w:ascii="Times New Roman"/>
          <w:color w:val="000000"/>
          <w:kern w:val="2"/>
          <w:szCs w:val="21"/>
        </w:rPr>
        <w:t>表</w:t>
      </w:r>
      <w:r>
        <w:rPr>
          <w:rFonts w:hint="eastAsia" w:ascii="Times New Roman"/>
          <w:color w:val="000000"/>
          <w:kern w:val="2"/>
          <w:szCs w:val="21"/>
        </w:rPr>
        <w:t>5</w:t>
      </w:r>
      <w:r>
        <w:rPr>
          <w:rFonts w:ascii="Times New Roman"/>
          <w:color w:val="000000"/>
          <w:kern w:val="2"/>
          <w:szCs w:val="21"/>
        </w:rPr>
        <w:t xml:space="preserve">  </w:t>
      </w:r>
      <w:r>
        <w:rPr>
          <w:rFonts w:hint="eastAsia" w:hAnsi="黑体" w:cs="黑体"/>
          <w:color w:val="000000"/>
          <w:kern w:val="2"/>
          <w:szCs w:val="21"/>
        </w:rPr>
        <w:t>塑料一次性餐饮具检验项目</w:t>
      </w:r>
    </w:p>
    <w:tbl>
      <w:tblPr>
        <w:tblStyle w:val="5"/>
        <w:tblW w:w="49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2"/>
        <w:gridCol w:w="4793"/>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809" w:type="pct"/>
            <w:gridSpan w:val="2"/>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668"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color w:val="FF0000"/>
                <w:szCs w:val="21"/>
              </w:rPr>
            </w:pPr>
            <w:r>
              <w:rPr>
                <w:rFonts w:hint="eastAsia" w:ascii="宋体" w:hAnsi="宋体"/>
                <w:szCs w:val="21"/>
              </w:rPr>
              <w:t>1</w:t>
            </w:r>
          </w:p>
        </w:tc>
        <w:tc>
          <w:tcPr>
            <w:tcW w:w="2809" w:type="pct"/>
            <w:gridSpan w:val="2"/>
            <w:tcBorders>
              <w:bottom w:val="single" w:color="auto" w:sz="4" w:space="0"/>
            </w:tcBorders>
            <w:vAlign w:val="center"/>
          </w:tcPr>
          <w:p>
            <w:pPr>
              <w:spacing w:line="360" w:lineRule="auto"/>
              <w:ind w:left="525" w:hanging="525"/>
              <w:jc w:val="center"/>
              <w:rPr>
                <w:color w:val="000000" w:themeColor="text1"/>
                <w:szCs w:val="21"/>
              </w:rPr>
            </w:pPr>
            <w:r>
              <w:rPr>
                <w:rFonts w:hint="eastAsia" w:ascii="宋体" w:hAnsi="宋体" w:cstheme="minorEastAsia"/>
                <w:color w:val="000000" w:themeColor="text1"/>
                <w:szCs w:val="21"/>
              </w:rPr>
              <w:t>感官要求</w:t>
            </w:r>
          </w:p>
        </w:tc>
        <w:tc>
          <w:tcPr>
            <w:tcW w:w="1668" w:type="pct"/>
            <w:tcBorders>
              <w:bottom w:val="single" w:color="auto" w:sz="4" w:space="0"/>
            </w:tcBorders>
            <w:vAlign w:val="center"/>
          </w:tcPr>
          <w:p>
            <w:pPr>
              <w:spacing w:line="360" w:lineRule="auto"/>
              <w:ind w:left="525" w:hanging="525"/>
              <w:jc w:val="center"/>
              <w:rPr>
                <w:color w:val="FF0000"/>
                <w:szCs w:val="21"/>
              </w:rPr>
            </w:pPr>
            <w:r>
              <w:rPr>
                <w:rFonts w:hint="eastAsia" w:ascii="宋体" w:hAnsi="宋体" w:cstheme="minorEastAsia"/>
                <w:color w:val="000000"/>
                <w:szCs w:val="21"/>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tcBorders>
              <w:bottom w:val="single" w:color="auto" w:sz="4" w:space="0"/>
            </w:tcBorders>
            <w:vAlign w:val="center"/>
          </w:tcPr>
          <w:p>
            <w:pPr>
              <w:ind w:left="525" w:hanging="525"/>
              <w:jc w:val="center"/>
              <w:rPr>
                <w:rFonts w:ascii="宋体" w:hAnsi="宋体"/>
                <w:szCs w:val="21"/>
              </w:rPr>
            </w:pPr>
            <w:r>
              <w:rPr>
                <w:rFonts w:hint="eastAsia" w:ascii="宋体" w:hAnsi="宋体"/>
                <w:szCs w:val="21"/>
              </w:rPr>
              <w:t>2</w:t>
            </w:r>
          </w:p>
        </w:tc>
        <w:tc>
          <w:tcPr>
            <w:tcW w:w="2809" w:type="pct"/>
            <w:gridSpan w:val="2"/>
            <w:tcBorders>
              <w:bottom w:val="single" w:color="auto" w:sz="4" w:space="0"/>
            </w:tcBorders>
            <w:vAlign w:val="center"/>
          </w:tcPr>
          <w:p>
            <w:pPr>
              <w:spacing w:line="360" w:lineRule="auto"/>
              <w:ind w:left="525" w:hanging="525"/>
              <w:jc w:val="center"/>
              <w:rPr>
                <w:rFonts w:ascii="宋体" w:hAnsi="宋体" w:cstheme="minorEastAsia"/>
                <w:color w:val="000000" w:themeColor="text1"/>
                <w:szCs w:val="21"/>
              </w:rPr>
            </w:pPr>
            <w:r>
              <w:rPr>
                <w:rFonts w:hint="eastAsia" w:ascii="宋体" w:hAnsi="宋体" w:cstheme="minorEastAsia"/>
                <w:color w:val="000000" w:themeColor="text1"/>
                <w:szCs w:val="21"/>
              </w:rPr>
              <w:t>总迁移量</w:t>
            </w:r>
          </w:p>
        </w:tc>
        <w:tc>
          <w:tcPr>
            <w:tcW w:w="1668" w:type="pct"/>
            <w:tcBorders>
              <w:bottom w:val="single" w:color="auto" w:sz="4" w:space="0"/>
            </w:tcBorders>
            <w:vAlign w:val="center"/>
          </w:tcPr>
          <w:p>
            <w:pPr>
              <w:spacing w:line="360" w:lineRule="auto"/>
              <w:ind w:left="525" w:hanging="525"/>
              <w:jc w:val="center"/>
              <w:rPr>
                <w:rFonts w:ascii="宋体" w:hAnsi="宋体" w:cstheme="minorEastAsia"/>
                <w:color w:val="000000"/>
                <w:szCs w:val="21"/>
              </w:rPr>
            </w:pPr>
            <w:r>
              <w:rPr>
                <w:rFonts w:hint="eastAsia" w:ascii="宋体" w:hAnsi="宋体" w:cstheme="minorEastAsia"/>
                <w:color w:val="000000"/>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3</w:t>
            </w:r>
          </w:p>
        </w:tc>
        <w:tc>
          <w:tcPr>
            <w:tcW w:w="2809" w:type="pct"/>
            <w:gridSpan w:val="2"/>
            <w:vAlign w:val="center"/>
          </w:tcPr>
          <w:p>
            <w:pPr>
              <w:spacing w:line="360" w:lineRule="auto"/>
              <w:ind w:left="525" w:hanging="525"/>
              <w:jc w:val="center"/>
              <w:rPr>
                <w:color w:val="000000" w:themeColor="text1"/>
                <w:szCs w:val="21"/>
              </w:rPr>
            </w:pPr>
            <w:r>
              <w:rPr>
                <w:rFonts w:hint="eastAsia" w:ascii="宋体" w:hAnsi="宋体" w:cstheme="minorEastAsia"/>
                <w:color w:val="000000" w:themeColor="text1"/>
                <w:szCs w:val="21"/>
              </w:rPr>
              <w:t>高锰酸钾消耗量</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rFonts w:ascii="宋体" w:hAnsi="宋体"/>
                <w:szCs w:val="21"/>
              </w:rPr>
            </w:pPr>
            <w:r>
              <w:rPr>
                <w:rFonts w:hint="eastAsia" w:ascii="宋体" w:hAnsi="宋体"/>
                <w:szCs w:val="21"/>
              </w:rPr>
              <w:t>4</w:t>
            </w:r>
          </w:p>
        </w:tc>
        <w:tc>
          <w:tcPr>
            <w:tcW w:w="2809" w:type="pct"/>
            <w:gridSpan w:val="2"/>
            <w:vAlign w:val="center"/>
          </w:tcPr>
          <w:p>
            <w:pPr>
              <w:spacing w:line="360" w:lineRule="auto"/>
              <w:ind w:left="525" w:hanging="525"/>
              <w:jc w:val="center"/>
              <w:rPr>
                <w:color w:val="000000" w:themeColor="text1"/>
                <w:szCs w:val="21"/>
              </w:rPr>
            </w:pPr>
            <w:r>
              <w:rPr>
                <w:rFonts w:hint="eastAsia" w:ascii="宋体" w:hAnsi="宋体" w:cstheme="minorEastAsia"/>
                <w:color w:val="000000" w:themeColor="text1"/>
                <w:szCs w:val="21"/>
              </w:rPr>
              <w:t>重金属（以Pb计）</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5</w:t>
            </w:r>
          </w:p>
        </w:tc>
        <w:tc>
          <w:tcPr>
            <w:tcW w:w="2809" w:type="pct"/>
            <w:gridSpan w:val="2"/>
            <w:vAlign w:val="center"/>
          </w:tcPr>
          <w:p>
            <w:pPr>
              <w:spacing w:line="360" w:lineRule="auto"/>
              <w:ind w:left="525" w:hanging="525"/>
              <w:jc w:val="center"/>
              <w:rPr>
                <w:color w:val="000000" w:themeColor="text1"/>
                <w:szCs w:val="21"/>
              </w:rPr>
            </w:pPr>
            <w:r>
              <w:rPr>
                <w:rFonts w:hint="eastAsia" w:ascii="宋体" w:hAnsi="宋体" w:cstheme="minorEastAsia"/>
                <w:color w:val="000000" w:themeColor="text1"/>
                <w:szCs w:val="21"/>
              </w:rPr>
              <w:t>脱色试验（限添加了着色剂的产品）</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6</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1,3-丁二烯特定迁移量（限有丁二烯单体的聚合物）</w:t>
            </w:r>
          </w:p>
        </w:tc>
        <w:tc>
          <w:tcPr>
            <w:tcW w:w="1668" w:type="pct"/>
            <w:vAlign w:val="center"/>
          </w:tcPr>
          <w:p>
            <w:pPr>
              <w:spacing w:line="360" w:lineRule="auto"/>
              <w:ind w:left="525" w:hanging="525"/>
              <w:jc w:val="center"/>
              <w:rPr>
                <w:color w:val="FF0000"/>
                <w:szCs w:val="21"/>
              </w:rPr>
            </w:pPr>
            <w:r>
              <w:rPr>
                <w:rFonts w:hint="eastAsia" w:asciiTheme="minorEastAsia" w:hAnsiTheme="minorEastAsia" w:eastAsiaTheme="minorEastAsia" w:cstheme="minorEastAsia"/>
                <w:color w:val="000000"/>
                <w:szCs w:val="21"/>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pct"/>
            <w:vAlign w:val="center"/>
          </w:tcPr>
          <w:p>
            <w:pPr>
              <w:ind w:left="525" w:hanging="525"/>
              <w:jc w:val="center"/>
              <w:rPr>
                <w:color w:val="FF0000"/>
                <w:szCs w:val="21"/>
              </w:rPr>
            </w:pPr>
            <w:r>
              <w:rPr>
                <w:rFonts w:hint="eastAsia" w:ascii="宋体" w:hAnsi="宋体"/>
                <w:szCs w:val="21"/>
              </w:rPr>
              <w:t>7</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苯乙烯和乙苯残留量（限PS材质)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31604.16-2016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23" w:type="pct"/>
            <w:vAlign w:val="center"/>
          </w:tcPr>
          <w:p>
            <w:pPr>
              <w:ind w:left="525" w:hanging="525"/>
              <w:jc w:val="center"/>
              <w:rPr>
                <w:color w:val="FF0000"/>
                <w:szCs w:val="21"/>
              </w:rPr>
            </w:pPr>
            <w:r>
              <w:rPr>
                <w:rFonts w:hint="eastAsia" w:ascii="宋体" w:hAnsi="宋体"/>
                <w:szCs w:val="21"/>
              </w:rPr>
              <w:t>8</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特定迁移总量（以己内酰胺计）（限PA材质）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23" w:type="pct"/>
            <w:vAlign w:val="center"/>
          </w:tcPr>
          <w:p>
            <w:pPr>
              <w:ind w:left="525" w:hanging="525"/>
              <w:jc w:val="center"/>
              <w:rPr>
                <w:color w:val="FF0000"/>
                <w:szCs w:val="21"/>
              </w:rPr>
            </w:pPr>
            <w:r>
              <w:rPr>
                <w:rFonts w:hint="eastAsia" w:ascii="宋体" w:hAnsi="宋体"/>
                <w:szCs w:val="21"/>
              </w:rPr>
              <w:t>9</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特定迁移总量（以对苯二甲酸计）（限PET材质）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31604.21-2016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23" w:type="pct"/>
            <w:vAlign w:val="center"/>
          </w:tcPr>
          <w:p>
            <w:pPr>
              <w:ind w:left="525" w:hanging="525"/>
              <w:jc w:val="center"/>
              <w:rPr>
                <w:color w:val="FF0000"/>
                <w:szCs w:val="21"/>
              </w:rPr>
            </w:pPr>
            <w:r>
              <w:rPr>
                <w:rFonts w:hint="eastAsia" w:ascii="宋体" w:hAnsi="宋体"/>
                <w:szCs w:val="21"/>
              </w:rPr>
              <w:t>10</w:t>
            </w:r>
          </w:p>
        </w:tc>
        <w:tc>
          <w:tcPr>
            <w:tcW w:w="2809" w:type="pct"/>
            <w:gridSpan w:val="2"/>
            <w:vAlign w:val="center"/>
          </w:tcPr>
          <w:p>
            <w:pPr>
              <w:spacing w:line="360" w:lineRule="auto"/>
              <w:ind w:left="525" w:hanging="525"/>
              <w:jc w:val="center"/>
              <w:rPr>
                <w:color w:val="FF0000"/>
                <w:szCs w:val="21"/>
              </w:rPr>
            </w:pPr>
            <w:r>
              <w:rPr>
                <w:rFonts w:hint="eastAsia" w:ascii="宋体" w:hAnsi="宋体" w:cstheme="minorEastAsia"/>
                <w:color w:val="000000"/>
                <w:szCs w:val="21"/>
              </w:rPr>
              <w:t>邻苯类增塑剂特定迁移量（限PVC材质）</w:t>
            </w:r>
          </w:p>
        </w:tc>
        <w:tc>
          <w:tcPr>
            <w:tcW w:w="1668" w:type="pct"/>
            <w:vAlign w:val="center"/>
          </w:tcPr>
          <w:p>
            <w:pPr>
              <w:spacing w:line="360" w:lineRule="auto"/>
              <w:ind w:left="525" w:hanging="525"/>
              <w:jc w:val="center"/>
              <w:rPr>
                <w:color w:val="FF0000"/>
                <w:szCs w:val="21"/>
              </w:rPr>
            </w:pPr>
            <w:r>
              <w:rPr>
                <w:rFonts w:hint="eastAsia" w:asciiTheme="minorEastAsia" w:hAnsiTheme="minorEastAsia" w:eastAsiaTheme="minorEastAsia" w:cstheme="minorEastAsia"/>
                <w:color w:val="000000"/>
                <w:szCs w:val="21"/>
              </w:rPr>
              <w:t>GB 31604.30-2016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23" w:type="pct"/>
            <w:vAlign w:val="center"/>
          </w:tcPr>
          <w:p>
            <w:pPr>
              <w:ind w:left="525" w:hanging="525"/>
              <w:jc w:val="center"/>
              <w:rPr>
                <w:rFonts w:ascii="宋体" w:hAnsi="宋体"/>
                <w:szCs w:val="21"/>
              </w:rPr>
            </w:pPr>
            <w:r>
              <w:rPr>
                <w:rFonts w:hint="eastAsia" w:ascii="宋体" w:hAnsi="宋体"/>
                <w:szCs w:val="21"/>
              </w:rPr>
              <w:t>11</w:t>
            </w:r>
          </w:p>
        </w:tc>
        <w:tc>
          <w:tcPr>
            <w:tcW w:w="2809" w:type="pct"/>
            <w:gridSpan w:val="2"/>
            <w:vAlign w:val="center"/>
          </w:tcPr>
          <w:p>
            <w:pPr>
              <w:spacing w:line="360" w:lineRule="auto"/>
              <w:ind w:left="525" w:hanging="525"/>
              <w:jc w:val="center"/>
              <w:rPr>
                <w:rFonts w:ascii="宋体" w:hAnsi="宋体" w:cstheme="minorEastAsia"/>
                <w:color w:val="000000"/>
                <w:szCs w:val="21"/>
              </w:rPr>
            </w:pPr>
            <w:r>
              <w:rPr>
                <w:rFonts w:hint="eastAsia" w:ascii="宋体" w:hAnsi="宋体" w:cstheme="minorEastAsia"/>
                <w:color w:val="000000"/>
                <w:szCs w:val="21"/>
              </w:rPr>
              <w:t>氯乙烯特定迁移量（限PVC材质）</w:t>
            </w:r>
          </w:p>
        </w:tc>
        <w:tc>
          <w:tcPr>
            <w:tcW w:w="1668" w:type="pct"/>
            <w:vAlign w:val="center"/>
          </w:tcPr>
          <w:p>
            <w:pPr>
              <w:spacing w:line="360" w:lineRule="auto"/>
              <w:ind w:left="525" w:hanging="525"/>
              <w:jc w:val="center"/>
              <w:rPr>
                <w:rFonts w:asciiTheme="minorEastAsia" w:hAnsiTheme="minorEastAsia" w:eastAsiaTheme="minorEastAsia" w:cstheme="minorEastAsia"/>
                <w:color w:val="000000"/>
                <w:szCs w:val="21"/>
              </w:rPr>
            </w:pPr>
            <w:r>
              <w:rPr>
                <w:rFonts w:hint="eastAsia" w:ascii="宋体" w:hAnsi="宋体" w:cstheme="minorEastAsia"/>
                <w:color w:val="000000"/>
                <w:szCs w:val="21"/>
              </w:rPr>
              <w:t>GB 31604.31</w:t>
            </w:r>
            <w:r>
              <w:rPr>
                <w:rFonts w:hint="eastAsia" w:asciiTheme="minorEastAsia" w:hAnsiTheme="minorEastAsia" w:eastAsiaTheme="minorEastAsia" w:cstheme="minorEastAsia"/>
                <w:color w:val="00000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0" w:type="pct"/>
            <w:gridSpan w:val="2"/>
            <w:vAlign w:val="center"/>
          </w:tcPr>
          <w:p>
            <w:pPr>
              <w:ind w:left="525" w:hanging="525"/>
              <w:jc w:val="center"/>
              <w:rPr>
                <w:color w:val="FF0000"/>
                <w:szCs w:val="21"/>
              </w:rPr>
            </w:pPr>
            <w:r>
              <w:rPr>
                <w:rFonts w:hint="eastAsia" w:ascii="宋体" w:hAnsi="宋体"/>
                <w:szCs w:val="21"/>
              </w:rPr>
              <w:t>12</w:t>
            </w:r>
          </w:p>
        </w:tc>
        <w:tc>
          <w:tcPr>
            <w:tcW w:w="2802" w:type="pct"/>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特定迁移量（以锑计）（限PET材质）</w:t>
            </w:r>
          </w:p>
        </w:tc>
        <w:tc>
          <w:tcPr>
            <w:tcW w:w="1668" w:type="pct"/>
            <w:vAlign w:val="center"/>
          </w:tcPr>
          <w:p>
            <w:pPr>
              <w:spacing w:line="360" w:lineRule="auto"/>
              <w:ind w:left="525" w:hanging="525"/>
              <w:jc w:val="center"/>
              <w:rPr>
                <w:color w:val="FF0000"/>
                <w:szCs w:val="21"/>
              </w:rPr>
            </w:pPr>
            <w:r>
              <w:rPr>
                <w:rFonts w:hint="eastAsia" w:ascii="宋体" w:hAnsi="宋体" w:cstheme="minorEastAsia"/>
                <w:color w:val="000000"/>
                <w:szCs w:val="21"/>
              </w:rPr>
              <w:t>GB 31604.41</w:t>
            </w:r>
            <w:r>
              <w:rPr>
                <w:rFonts w:hint="eastAsia" w:asciiTheme="minorEastAsia" w:hAnsiTheme="minorEastAsia" w:eastAsiaTheme="minorEastAsia" w:cstheme="minorEastAsia"/>
                <w:color w:val="00000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0" w:type="pct"/>
            <w:gridSpan w:val="2"/>
            <w:vAlign w:val="center"/>
          </w:tcPr>
          <w:p>
            <w:pPr>
              <w:ind w:left="525" w:hanging="525"/>
              <w:jc w:val="center"/>
              <w:rPr>
                <w:color w:val="FF0000"/>
                <w:szCs w:val="21"/>
              </w:rPr>
            </w:pPr>
            <w:r>
              <w:rPr>
                <w:rFonts w:hint="eastAsia" w:ascii="宋体" w:hAnsi="宋体"/>
                <w:szCs w:val="21"/>
              </w:rPr>
              <w:t>13</w:t>
            </w:r>
          </w:p>
        </w:tc>
        <w:tc>
          <w:tcPr>
            <w:tcW w:w="2802" w:type="pct"/>
            <w:vAlign w:val="center"/>
          </w:tcPr>
          <w:p>
            <w:pPr>
              <w:spacing w:line="360" w:lineRule="auto"/>
              <w:ind w:left="525" w:hanging="525"/>
              <w:jc w:val="center"/>
              <w:rPr>
                <w:color w:val="FF0000"/>
                <w:szCs w:val="21"/>
              </w:rPr>
            </w:pPr>
            <w:r>
              <w:rPr>
                <w:rFonts w:hint="eastAsia" w:ascii="宋体" w:hAnsi="宋体" w:cstheme="minorEastAsia"/>
                <w:color w:val="000000"/>
                <w:szCs w:val="21"/>
              </w:rPr>
              <w:t>特定迁移总量（以乙二醇计）（限 PET 材质）</w:t>
            </w:r>
          </w:p>
        </w:tc>
        <w:tc>
          <w:tcPr>
            <w:tcW w:w="1668" w:type="pct"/>
            <w:vAlign w:val="center"/>
          </w:tcPr>
          <w:p>
            <w:pPr>
              <w:spacing w:line="360" w:lineRule="auto"/>
              <w:ind w:left="525" w:hanging="525"/>
              <w:jc w:val="center"/>
              <w:rPr>
                <w:color w:val="FF0000"/>
                <w:szCs w:val="21"/>
              </w:rPr>
            </w:pPr>
            <w:r>
              <w:rPr>
                <w:rFonts w:hint="eastAsia" w:asciiTheme="minorEastAsia" w:hAnsiTheme="minorEastAsia" w:eastAsiaTheme="minorEastAsia" w:cstheme="minorEastAsia"/>
                <w:color w:val="000000"/>
                <w:szCs w:val="21"/>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4"/>
            <w:vAlign w:val="center"/>
          </w:tcPr>
          <w:p>
            <w:pPr>
              <w:ind w:left="450" w:hanging="450" w:hangingChars="250"/>
              <w:jc w:val="left"/>
              <w:rPr>
                <w:color w:val="FF0000"/>
                <w:szCs w:val="21"/>
              </w:rPr>
            </w:pPr>
            <w:r>
              <w:rPr>
                <w:rFonts w:hint="eastAsia" w:ascii="宋体" w:hAnsi="宋体" w:cstheme="minorEastAsia"/>
                <w:color w:val="000000"/>
                <w:sz w:val="18"/>
                <w:szCs w:val="18"/>
              </w:rPr>
              <w:t>备注：本表中特定物质迁移限量或残留量项目应根据所抽查产品的具体材质品种在GB 4806.7-2023标准及相关公告中的具体要求进行，如针对具体材质品种无该项要求，则不需要检验。</w:t>
            </w:r>
          </w:p>
        </w:tc>
      </w:tr>
    </w:tbl>
    <w:p>
      <w:pPr>
        <w:rPr>
          <w:color w:val="000000"/>
          <w:sz w:val="18"/>
          <w:szCs w:val="18"/>
        </w:rPr>
      </w:pPr>
      <w:r>
        <w:rPr>
          <w:color w:val="000000"/>
          <w:sz w:val="18"/>
          <w:szCs w:val="18"/>
        </w:rPr>
        <w:t>注：1.上表所列检验项目是有关法律法规、标准等规定的，重点涉及健康、安全、节能、环保以及消费者、</w:t>
      </w:r>
    </w:p>
    <w:p>
      <w:pPr>
        <w:ind w:firstLine="540" w:firstLineChars="300"/>
        <w:rPr>
          <w:color w:val="000000"/>
          <w:sz w:val="18"/>
          <w:szCs w:val="18"/>
        </w:rPr>
      </w:pPr>
      <w:r>
        <w:rPr>
          <w:color w:val="000000"/>
          <w:sz w:val="18"/>
          <w:szCs w:val="18"/>
        </w:rPr>
        <w:t>有关组织反映有质量问题的重要项目。</w:t>
      </w:r>
    </w:p>
    <w:p>
      <w:pPr>
        <w:ind w:firstLine="360" w:firstLineChars="200"/>
        <w:rPr>
          <w:color w:val="000000"/>
          <w:sz w:val="18"/>
          <w:szCs w:val="18"/>
        </w:rPr>
      </w:pPr>
      <w:r>
        <w:rPr>
          <w:color w:val="000000"/>
          <w:sz w:val="18"/>
          <w:szCs w:val="18"/>
        </w:rPr>
        <w:t>2.检验方法包括相关产品标准及试验方法标准。</w:t>
      </w:r>
    </w:p>
    <w:p>
      <w:pPr>
        <w:ind w:firstLine="360" w:firstLineChars="200"/>
        <w:rPr>
          <w:color w:val="000000"/>
          <w:sz w:val="18"/>
          <w:szCs w:val="18"/>
        </w:rPr>
      </w:pPr>
      <w:r>
        <w:rPr>
          <w:color w:val="000000"/>
          <w:sz w:val="18"/>
          <w:szCs w:val="18"/>
        </w:rPr>
        <w:t>3.凡是注日期的文件，其随后所有的修改单（不包括勘误的内容）或修订版不适用于本细则；凡是不注</w:t>
      </w:r>
    </w:p>
    <w:p>
      <w:pPr>
        <w:ind w:firstLine="540" w:firstLineChars="300"/>
        <w:rPr>
          <w:color w:val="000000"/>
          <w:sz w:val="18"/>
          <w:szCs w:val="18"/>
        </w:rPr>
      </w:pPr>
      <w:r>
        <w:rPr>
          <w:color w:val="000000"/>
          <w:sz w:val="18"/>
          <w:szCs w:val="18"/>
        </w:rPr>
        <w:t>日期的文件，其最新版本适用于本细则。</w:t>
      </w:r>
    </w:p>
    <w:p>
      <w:pPr>
        <w:ind w:firstLine="360" w:firstLineChars="200"/>
        <w:rPr>
          <w:color w:val="000000"/>
          <w:sz w:val="18"/>
          <w:szCs w:val="18"/>
        </w:rPr>
      </w:pPr>
      <w:r>
        <w:rPr>
          <w:color w:val="000000"/>
          <w:sz w:val="18"/>
          <w:szCs w:val="18"/>
        </w:rPr>
        <w:t>4.执行企业标准、团体标准、地方标准的产品，检验项目参照上述内容执行。</w:t>
      </w:r>
    </w:p>
    <w:p>
      <w:pPr>
        <w:snapToGrid w:val="0"/>
        <w:spacing w:before="374" w:after="374"/>
        <w:rPr>
          <w:rFonts w:eastAsia="黑体"/>
          <w:color w:val="000000"/>
          <w:szCs w:val="21"/>
        </w:rPr>
      </w:pPr>
      <w:r>
        <w:rPr>
          <w:rFonts w:eastAsia="黑体"/>
          <w:color w:val="000000"/>
          <w:szCs w:val="21"/>
        </w:rPr>
        <w:t>3  判定规则</w:t>
      </w:r>
    </w:p>
    <w:p>
      <w:pPr>
        <w:snapToGrid w:val="0"/>
        <w:spacing w:before="374" w:after="374"/>
        <w:rPr>
          <w:rFonts w:eastAsia="黑体"/>
          <w:color w:val="000000"/>
          <w:szCs w:val="21"/>
        </w:rPr>
      </w:pPr>
      <w:r>
        <w:rPr>
          <w:rFonts w:eastAsia="黑体"/>
          <w:color w:val="000000"/>
          <w:szCs w:val="21"/>
        </w:rPr>
        <w:t>3.1  依据标准</w:t>
      </w:r>
    </w:p>
    <w:p>
      <w:pPr>
        <w:ind w:firstLine="420" w:firstLineChars="200"/>
        <w:rPr>
          <w:rFonts w:ascii="宋体" w:hAnsi="宋体" w:cs="方正仿宋简体"/>
          <w:b/>
          <w:bCs/>
          <w:color w:val="000000" w:themeColor="text1"/>
          <w:szCs w:val="21"/>
        </w:rPr>
      </w:pPr>
      <w:r>
        <w:rPr>
          <w:rFonts w:hint="eastAsia" w:ascii="宋体" w:hAnsi="宋体" w:cs="方正仿宋简体"/>
          <w:color w:val="000000" w:themeColor="text1"/>
          <w:szCs w:val="21"/>
        </w:rPr>
        <w:t>GB 4806.7-2023</w:t>
      </w:r>
      <w:r>
        <w:rPr>
          <w:rFonts w:hint="eastAsia" w:ascii="宋体" w:hAnsi="宋体" w:cs="方正仿宋简体"/>
          <w:bCs/>
          <w:color w:val="000000" w:themeColor="text1"/>
          <w:szCs w:val="21"/>
        </w:rPr>
        <w:t>食品安全国家标准 食品接触用塑料材料及制品</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GB 4806.8-2022食品安全国家标准  食品接触用纸和纸板材料及制品</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GB/T 27590-2022纸杯</w:t>
      </w:r>
    </w:p>
    <w:p>
      <w:pPr>
        <w:ind w:firstLine="420" w:firstLineChars="200"/>
        <w:rPr>
          <w:rFonts w:ascii="宋体" w:hAnsi="宋体" w:cs="方正仿宋简体"/>
          <w:bCs/>
          <w:color w:val="000000" w:themeColor="text1"/>
          <w:szCs w:val="21"/>
        </w:rPr>
      </w:pPr>
      <w:r>
        <w:rPr>
          <w:rFonts w:hint="eastAsia" w:ascii="宋体" w:hAnsi="宋体" w:cs="方正仿宋简体"/>
          <w:bCs/>
          <w:color w:val="000000" w:themeColor="text1"/>
          <w:szCs w:val="21"/>
        </w:rPr>
        <w:t>GB/T 10004-2008 包装用塑料复合膜、袋 干法复合、挤出复合</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QB/T 1871-1993 双向拉伸尼龙（BOPA）/低密度聚乙烯（LDPE）复合膜、袋</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T/BZ 1331-2020多层复合塑料膜、袋</w:t>
      </w:r>
    </w:p>
    <w:p>
      <w:pPr>
        <w:ind w:firstLine="420" w:firstLineChars="200"/>
        <w:rPr>
          <w:rFonts w:ascii="宋体" w:hAnsi="宋体" w:cs="方正仿宋简体"/>
          <w:bCs/>
          <w:color w:val="000000" w:themeColor="text1"/>
          <w:szCs w:val="21"/>
        </w:rPr>
      </w:pPr>
      <w:r>
        <w:rPr>
          <w:rFonts w:hint="eastAsia" w:ascii="宋体" w:hAnsi="宋体" w:cs="方正仿宋简体"/>
          <w:color w:val="000000" w:themeColor="text1"/>
          <w:szCs w:val="21"/>
        </w:rPr>
        <w:t>GB 4806.13-2023</w:t>
      </w:r>
      <w:r>
        <w:rPr>
          <w:rFonts w:hint="eastAsia" w:ascii="宋体" w:hAnsi="宋体" w:cs="方正仿宋简体"/>
          <w:bCs/>
          <w:color w:val="000000" w:themeColor="text1"/>
          <w:szCs w:val="21"/>
        </w:rPr>
        <w:t>食品安全国家标准 食品接触用复合材料及制品</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GB/T 8946-2013 塑料编织袋通用技术要求</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GB 14934-2016食品安全国家标准 消毒餐(饮)具</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GB/T 18006.1-2009 塑料一次性餐饮具通用技术要求</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GB/T 24693-2009聚丙烯饮用吸管</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食品相关产品生产许可实施细则（一）食品用塑料包装容器工具等制品部分</w:t>
      </w:r>
    </w:p>
    <w:p>
      <w:pPr>
        <w:ind w:firstLine="420" w:firstLineChars="200"/>
        <w:rPr>
          <w:rFonts w:ascii="宋体" w:hAnsi="宋体" w:cs="方正仿宋简体"/>
          <w:color w:val="000000" w:themeColor="text1"/>
          <w:szCs w:val="21"/>
        </w:rPr>
      </w:pPr>
      <w:r>
        <w:rPr>
          <w:rFonts w:hint="eastAsia" w:ascii="宋体" w:hAnsi="宋体" w:cs="方正仿宋简体"/>
          <w:color w:val="000000" w:themeColor="text1"/>
          <w:szCs w:val="21"/>
        </w:rPr>
        <w:t>现行有效的企业标准、团体标准、地方标准及产品明示质量要求</w:t>
      </w:r>
    </w:p>
    <w:p>
      <w:pPr>
        <w:snapToGrid w:val="0"/>
        <w:spacing w:before="374" w:after="374"/>
        <w:rPr>
          <w:rFonts w:eastAsia="黑体"/>
          <w:color w:val="000000" w:themeColor="text1"/>
          <w:szCs w:val="21"/>
        </w:rPr>
      </w:pPr>
      <w:r>
        <w:rPr>
          <w:rFonts w:eastAsia="黑体"/>
          <w:color w:val="000000" w:themeColor="text1"/>
          <w:szCs w:val="21"/>
        </w:rPr>
        <w:t>3.2  判定原则</w:t>
      </w:r>
    </w:p>
    <w:p>
      <w:pPr>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ind w:firstLine="420" w:firstLineChars="200"/>
        <w:rPr>
          <w:color w:val="000000"/>
          <w:szCs w:val="21"/>
        </w:rPr>
      </w:pPr>
      <w:r>
        <w:rPr>
          <w:color w:val="000000"/>
          <w:szCs w:val="21"/>
        </w:rPr>
        <w:t>若被检产品明示的质量要求高于本细则中检验项目依据的标准要求时，应按被检产品明示的质量要求判定。</w:t>
      </w:r>
    </w:p>
    <w:p>
      <w:pPr>
        <w:ind w:firstLine="420" w:firstLineChars="200"/>
        <w:rPr>
          <w:color w:val="000000"/>
          <w:szCs w:val="21"/>
        </w:rPr>
      </w:pPr>
      <w:r>
        <w:rPr>
          <w:color w:val="000000"/>
          <w:szCs w:val="21"/>
        </w:rPr>
        <w:t>若被检产品明示的质量要求低于本细则中检验项目依据的强制性标准要求时，应按照强制性标准要求判定。</w:t>
      </w:r>
    </w:p>
    <w:p>
      <w:pPr>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szCs w:val="21"/>
        </w:rPr>
      </w:pPr>
      <w:r>
        <w:rPr>
          <w:color w:val="000000"/>
          <w:szCs w:val="21"/>
        </w:rPr>
        <w:t>若被检产品明示的质量要求缺少本细则中检验项目依据的强制性标准要求时，应按照强制性标准要求判定。</w:t>
      </w:r>
    </w:p>
    <w:p>
      <w:pPr>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pPr>
        <w:widowControl/>
        <w:ind w:firstLine="420" w:firstLineChars="200"/>
        <w:jc w:val="left"/>
        <w:rPr>
          <w:rFonts w:ascii="宋体" w:hAnsi="宋体" w:cs="宋体"/>
          <w:color w:val="FF0000"/>
          <w:kern w:val="0"/>
          <w:szCs w:val="21"/>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E72794-E0E4-4EC0-80DE-A3266E50F8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0000000000000000000"/>
    <w:charset w:val="86"/>
    <w:family w:val="script"/>
    <w:pitch w:val="default"/>
    <w:sig w:usb0="00000000" w:usb1="00000000" w:usb2="00000012" w:usb3="00000000" w:csb0="00040001" w:csb1="00000000"/>
    <w:embedRegular r:id="rId2" w:fontKey="{E7B4AC79-8B95-423B-8640-F47B9F6EE14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2ODJiODEwM2FkOTE1NWE5MjU4NjM2ZDNiZDU5Y2MifQ=="/>
  </w:docVars>
  <w:rsids>
    <w:rsidRoot w:val="00527366"/>
    <w:rsid w:val="00001B36"/>
    <w:rsid w:val="000157FB"/>
    <w:rsid w:val="00023EFC"/>
    <w:rsid w:val="00044171"/>
    <w:rsid w:val="00046CF3"/>
    <w:rsid w:val="00090582"/>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D0824"/>
    <w:rsid w:val="001E2CB2"/>
    <w:rsid w:val="00244DCD"/>
    <w:rsid w:val="00245797"/>
    <w:rsid w:val="00245A9B"/>
    <w:rsid w:val="00247DE1"/>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40C2B"/>
    <w:rsid w:val="003965DB"/>
    <w:rsid w:val="00396933"/>
    <w:rsid w:val="003A4009"/>
    <w:rsid w:val="003A6C9F"/>
    <w:rsid w:val="003C39E1"/>
    <w:rsid w:val="003D4119"/>
    <w:rsid w:val="003E2500"/>
    <w:rsid w:val="00424DAA"/>
    <w:rsid w:val="00425DAE"/>
    <w:rsid w:val="00441F46"/>
    <w:rsid w:val="004431B5"/>
    <w:rsid w:val="004465E1"/>
    <w:rsid w:val="00454F05"/>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14A"/>
    <w:rsid w:val="006117CE"/>
    <w:rsid w:val="0062186A"/>
    <w:rsid w:val="00627133"/>
    <w:rsid w:val="006334AE"/>
    <w:rsid w:val="006356C4"/>
    <w:rsid w:val="00662008"/>
    <w:rsid w:val="006662C4"/>
    <w:rsid w:val="006664FB"/>
    <w:rsid w:val="00674173"/>
    <w:rsid w:val="00692228"/>
    <w:rsid w:val="006B1A1B"/>
    <w:rsid w:val="006B3D6C"/>
    <w:rsid w:val="006C61A4"/>
    <w:rsid w:val="006D59CA"/>
    <w:rsid w:val="006E745C"/>
    <w:rsid w:val="00710BA5"/>
    <w:rsid w:val="00711DB8"/>
    <w:rsid w:val="0074153E"/>
    <w:rsid w:val="007479A7"/>
    <w:rsid w:val="00773D14"/>
    <w:rsid w:val="00776123"/>
    <w:rsid w:val="00795B47"/>
    <w:rsid w:val="00795CE0"/>
    <w:rsid w:val="00797C4F"/>
    <w:rsid w:val="007A768D"/>
    <w:rsid w:val="007B1421"/>
    <w:rsid w:val="007C5BD1"/>
    <w:rsid w:val="007C5C9F"/>
    <w:rsid w:val="007C6CD2"/>
    <w:rsid w:val="007D2F1D"/>
    <w:rsid w:val="007E7007"/>
    <w:rsid w:val="007F603E"/>
    <w:rsid w:val="0080742F"/>
    <w:rsid w:val="00836371"/>
    <w:rsid w:val="00837341"/>
    <w:rsid w:val="008C09C0"/>
    <w:rsid w:val="008C46D9"/>
    <w:rsid w:val="008C5740"/>
    <w:rsid w:val="008D6EBB"/>
    <w:rsid w:val="00900BFB"/>
    <w:rsid w:val="0093063F"/>
    <w:rsid w:val="00933AE6"/>
    <w:rsid w:val="00937926"/>
    <w:rsid w:val="00942E63"/>
    <w:rsid w:val="009434F3"/>
    <w:rsid w:val="009543A8"/>
    <w:rsid w:val="00981CFF"/>
    <w:rsid w:val="00993C9B"/>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D3CD3"/>
    <w:rsid w:val="00BF0AB0"/>
    <w:rsid w:val="00C0438D"/>
    <w:rsid w:val="00C06404"/>
    <w:rsid w:val="00C213EE"/>
    <w:rsid w:val="00C22D2D"/>
    <w:rsid w:val="00C44D16"/>
    <w:rsid w:val="00C45CC7"/>
    <w:rsid w:val="00C52F99"/>
    <w:rsid w:val="00C62570"/>
    <w:rsid w:val="00C6271B"/>
    <w:rsid w:val="00C64C96"/>
    <w:rsid w:val="00C6697B"/>
    <w:rsid w:val="00C676F7"/>
    <w:rsid w:val="00C70F80"/>
    <w:rsid w:val="00C82C2E"/>
    <w:rsid w:val="00C93161"/>
    <w:rsid w:val="00CB44FC"/>
    <w:rsid w:val="00CC4BC8"/>
    <w:rsid w:val="00CC6CD0"/>
    <w:rsid w:val="00CD705B"/>
    <w:rsid w:val="00D2669C"/>
    <w:rsid w:val="00D337CB"/>
    <w:rsid w:val="00D3561C"/>
    <w:rsid w:val="00D46D04"/>
    <w:rsid w:val="00D7395D"/>
    <w:rsid w:val="00DB1880"/>
    <w:rsid w:val="00DB7D4D"/>
    <w:rsid w:val="00DC0561"/>
    <w:rsid w:val="00DC372D"/>
    <w:rsid w:val="00DD389F"/>
    <w:rsid w:val="00DE72FA"/>
    <w:rsid w:val="00E0216E"/>
    <w:rsid w:val="00E07E6C"/>
    <w:rsid w:val="00E12806"/>
    <w:rsid w:val="00E21028"/>
    <w:rsid w:val="00E27D77"/>
    <w:rsid w:val="00E3709F"/>
    <w:rsid w:val="00E465C7"/>
    <w:rsid w:val="00E542A8"/>
    <w:rsid w:val="00E611B2"/>
    <w:rsid w:val="00E8331D"/>
    <w:rsid w:val="00E868E6"/>
    <w:rsid w:val="00E87B51"/>
    <w:rsid w:val="00E94515"/>
    <w:rsid w:val="00EA2FFE"/>
    <w:rsid w:val="00EA3FBF"/>
    <w:rsid w:val="00EB4809"/>
    <w:rsid w:val="00EB6D81"/>
    <w:rsid w:val="00EC5E63"/>
    <w:rsid w:val="00ED0098"/>
    <w:rsid w:val="00ED07BE"/>
    <w:rsid w:val="00F02D2C"/>
    <w:rsid w:val="00F105BE"/>
    <w:rsid w:val="00F47AFD"/>
    <w:rsid w:val="00F51B27"/>
    <w:rsid w:val="00F82BF6"/>
    <w:rsid w:val="00FA057D"/>
    <w:rsid w:val="00FC0BD6"/>
    <w:rsid w:val="00FF50C5"/>
    <w:rsid w:val="01D17528"/>
    <w:rsid w:val="0631377F"/>
    <w:rsid w:val="07AE561F"/>
    <w:rsid w:val="086023E2"/>
    <w:rsid w:val="09537255"/>
    <w:rsid w:val="0BF93D84"/>
    <w:rsid w:val="0EC74310"/>
    <w:rsid w:val="0F9D4A1B"/>
    <w:rsid w:val="101822F4"/>
    <w:rsid w:val="125160C1"/>
    <w:rsid w:val="13C702B9"/>
    <w:rsid w:val="1461461C"/>
    <w:rsid w:val="18E92B27"/>
    <w:rsid w:val="19C40264"/>
    <w:rsid w:val="1CDC4DD5"/>
    <w:rsid w:val="22777D4F"/>
    <w:rsid w:val="26D4272A"/>
    <w:rsid w:val="279664C8"/>
    <w:rsid w:val="289072E9"/>
    <w:rsid w:val="28FB4E1C"/>
    <w:rsid w:val="292673D8"/>
    <w:rsid w:val="2CD57758"/>
    <w:rsid w:val="2ECA33AD"/>
    <w:rsid w:val="2EF34FA7"/>
    <w:rsid w:val="2FF8154F"/>
    <w:rsid w:val="33C75478"/>
    <w:rsid w:val="393A4F06"/>
    <w:rsid w:val="3A3E7700"/>
    <w:rsid w:val="3B25120A"/>
    <w:rsid w:val="3C5C5193"/>
    <w:rsid w:val="3CAF1767"/>
    <w:rsid w:val="3DFFC314"/>
    <w:rsid w:val="424C018D"/>
    <w:rsid w:val="45165AF6"/>
    <w:rsid w:val="45D71D2E"/>
    <w:rsid w:val="48951C95"/>
    <w:rsid w:val="52E02222"/>
    <w:rsid w:val="56B23ED5"/>
    <w:rsid w:val="57CFE9A3"/>
    <w:rsid w:val="590F1AB3"/>
    <w:rsid w:val="5A81010C"/>
    <w:rsid w:val="6374103A"/>
    <w:rsid w:val="67550FD9"/>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link w:val="4"/>
    <w:qFormat/>
    <w:uiPriority w:val="99"/>
    <w:rPr>
      <w:sz w:val="18"/>
      <w:szCs w:val="18"/>
    </w:rPr>
  </w:style>
  <w:style w:type="character" w:customStyle="1" w:styleId="10">
    <w:name w:val="页脚 Char"/>
    <w:link w:val="3"/>
    <w:qFormat/>
    <w:uiPriority w:val="99"/>
    <w:rPr>
      <w:sz w:val="18"/>
      <w:szCs w:val="18"/>
    </w:rPr>
  </w:style>
  <w:style w:type="character" w:customStyle="1" w:styleId="11">
    <w:name w:val="页脚 Char1"/>
    <w:basedOn w:val="7"/>
    <w:semiHidden/>
    <w:qFormat/>
    <w:uiPriority w:val="99"/>
    <w:rPr>
      <w:rFonts w:ascii="Times New Roman" w:hAnsi="Times New Roman" w:eastAsia="宋体" w:cs="Times New Roman"/>
      <w:sz w:val="18"/>
      <w:szCs w:val="18"/>
    </w:rPr>
  </w:style>
  <w:style w:type="character" w:customStyle="1" w:styleId="12">
    <w:name w:val="页眉 Char1"/>
    <w:basedOn w:val="7"/>
    <w:semiHidden/>
    <w:qFormat/>
    <w:uiPriority w:val="99"/>
    <w:rPr>
      <w:rFonts w:ascii="Times New Roman" w:hAnsi="Times New Roman" w:eastAsia="宋体" w:cs="Times New Roman"/>
      <w:sz w:val="18"/>
      <w:szCs w:val="18"/>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6">
    <w:name w:val="标题 3 Char"/>
    <w:basedOn w:val="7"/>
    <w:link w:val="2"/>
    <w:semiHidden/>
    <w:qFormat/>
    <w:uiPriority w:val="9"/>
    <w:rPr>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4369A-CD23-4FE8-B3B6-F0D0E7413AA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507</Words>
  <Characters>2894</Characters>
  <Lines>24</Lines>
  <Paragraphs>6</Paragraphs>
  <TotalTime>28</TotalTime>
  <ScaleCrop>false</ScaleCrop>
  <LinksUpToDate>false</LinksUpToDate>
  <CharactersWithSpaces>3395</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2025-03-31T09:33:00Z</dcterms:created>
  <dc:creator>杜林</dc:creator>
  <cp:lastModifiedBy>ASUS</cp:lastModifiedBy>
  <dcterms:modified xsi:type="dcterms:W3CDTF">2025-04-03T04:57:35Z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