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373D86">
      <w:pPr>
        <w:spacing w:before="114"/>
        <w:ind w:right="154"/>
        <w:jc w:val="center"/>
        <w:rPr>
          <w:rFonts w:eastAsia="FZXiaoBiaoSong-B05S"/>
          <w:sz w:val="36"/>
          <w:szCs w:val="36"/>
        </w:rPr>
      </w:pPr>
      <w:r>
        <w:rPr>
          <w:rFonts w:eastAsia="FZXiaoBiaoSong-B05S"/>
          <w:sz w:val="36"/>
          <w:szCs w:val="36"/>
        </w:rPr>
        <w:t>德阳市罗江区“十四五”中医药高质量发展规划</w:t>
      </w:r>
    </w:p>
    <w:p w14:paraId="038E7D32">
      <w:pPr>
        <w:pStyle w:val="6"/>
        <w:ind w:left="420" w:firstLine="0" w:firstLineChars="0"/>
        <w:jc w:val="center"/>
        <w:rPr>
          <w:rFonts w:eastAsia="FZXiaoBiaoSong-B05S"/>
          <w:sz w:val="36"/>
          <w:szCs w:val="36"/>
        </w:rPr>
      </w:pPr>
      <w:r>
        <w:rPr>
          <w:rFonts w:eastAsia="FZXiaoBiaoSong-B05S"/>
          <w:sz w:val="36"/>
          <w:szCs w:val="36"/>
        </w:rPr>
        <w:t>（2022-2025）</w:t>
      </w:r>
    </w:p>
    <w:p w14:paraId="08AA17BF">
      <w:pPr>
        <w:pStyle w:val="3"/>
        <w:tabs>
          <w:tab w:val="left" w:pos="1100"/>
        </w:tabs>
        <w:spacing w:line="752" w:lineRule="exact"/>
        <w:ind w:firstLine="3975" w:firstLineChars="1100"/>
        <w:jc w:val="both"/>
        <w:rPr>
          <w:rFonts w:hint="default" w:ascii="Times New Roman" w:hAnsi="Times New Roman"/>
          <w:sz w:val="36"/>
          <w:szCs w:val="36"/>
        </w:rPr>
      </w:pPr>
      <w:r>
        <w:rPr>
          <w:rFonts w:hint="default" w:ascii="Times New Roman" w:hAnsi="Times New Roman"/>
          <w:sz w:val="36"/>
          <w:szCs w:val="36"/>
        </w:rPr>
        <w:t>目</w:t>
      </w:r>
      <w:r>
        <w:rPr>
          <w:rFonts w:hint="default" w:ascii="Times New Roman" w:hAnsi="Times New Roman"/>
          <w:sz w:val="36"/>
          <w:szCs w:val="36"/>
        </w:rPr>
        <w:tab/>
      </w:r>
      <w:r>
        <w:rPr>
          <w:rFonts w:hint="default" w:ascii="Times New Roman" w:hAnsi="Times New Roman"/>
          <w:sz w:val="36"/>
          <w:szCs w:val="36"/>
        </w:rPr>
        <w:t>录</w:t>
      </w:r>
    </w:p>
    <w:p w14:paraId="7AF6D492">
      <w:pPr>
        <w:tabs>
          <w:tab w:val="left" w:pos="1119"/>
          <w:tab w:val="left" w:leader="dot" w:pos="8705"/>
        </w:tabs>
        <w:spacing w:before="221"/>
        <w:ind w:right="285"/>
        <w:jc w:val="right"/>
        <w:rPr>
          <w:rFonts w:eastAsia="SimHei"/>
          <w:b/>
          <w:bCs/>
          <w:sz w:val="28"/>
        </w:rPr>
      </w:pPr>
      <w:r>
        <w:rPr>
          <w:rFonts w:eastAsia="SimHei"/>
          <w:b/>
          <w:bCs/>
          <w:sz w:val="28"/>
        </w:rPr>
        <w:t>第一章</w:t>
      </w:r>
      <w:r>
        <w:rPr>
          <w:rFonts w:eastAsia="SimHei"/>
          <w:b/>
          <w:bCs/>
          <w:sz w:val="28"/>
        </w:rPr>
        <w:tab/>
      </w:r>
      <w:r>
        <w:rPr>
          <w:rFonts w:eastAsia="SimHei"/>
          <w:b/>
          <w:bCs/>
          <w:sz w:val="28"/>
        </w:rPr>
        <w:t>规划背景</w:t>
      </w:r>
      <w:r>
        <w:rPr>
          <w:rFonts w:eastAsia="SimHei"/>
          <w:b/>
          <w:bCs/>
          <w:sz w:val="28"/>
        </w:rPr>
        <w:tab/>
      </w:r>
      <w:r>
        <w:rPr>
          <w:b/>
          <w:bCs/>
          <w:w w:val="95"/>
          <w:sz w:val="28"/>
        </w:rPr>
        <w:t>4</w:t>
      </w:r>
    </w:p>
    <w:p w14:paraId="6002A540">
      <w:pPr>
        <w:tabs>
          <w:tab w:val="left" w:pos="1670"/>
          <w:tab w:val="right" w:leader="dot" w:pos="8976"/>
        </w:tabs>
        <w:spacing w:before="220"/>
        <w:ind w:left="551"/>
        <w:jc w:val="left"/>
      </w:pPr>
      <w:r>
        <w:rPr>
          <w:rFonts w:eastAsia="KaiTi_GB2312"/>
          <w:sz w:val="28"/>
        </w:rPr>
        <w:t>第一节</w:t>
      </w:r>
      <w:r>
        <w:rPr>
          <w:rFonts w:eastAsia="KaiTi_GB2312"/>
          <w:spacing w:val="-2"/>
          <w:sz w:val="28"/>
        </w:rPr>
        <w:t xml:space="preserve">  </w:t>
      </w:r>
      <w:r>
        <w:rPr>
          <w:rFonts w:eastAsia="KaiTi_GB2312"/>
          <w:sz w:val="28"/>
        </w:rPr>
        <w:t>发展基础</w:t>
      </w:r>
      <w:r>
        <w:rPr>
          <w:rFonts w:eastAsia="KaiTi_GB2312"/>
          <w:sz w:val="28"/>
        </w:rPr>
        <w:tab/>
      </w:r>
      <w:r>
        <w:rPr>
          <w:sz w:val="28"/>
        </w:rPr>
        <w:t>4</w:t>
      </w:r>
    </w:p>
    <w:p w14:paraId="27F81A47">
      <w:pPr>
        <w:tabs>
          <w:tab w:val="left" w:pos="1670"/>
          <w:tab w:val="right" w:leader="dot" w:pos="8976"/>
        </w:tabs>
        <w:spacing w:before="222"/>
        <w:ind w:left="551"/>
        <w:jc w:val="left"/>
        <w:rPr>
          <w:rFonts w:eastAsia="KaiTi_GB2312"/>
          <w:sz w:val="28"/>
          <w:lang w:val="zh-CN" w:bidi="zh-CN"/>
        </w:rPr>
      </w:pPr>
      <w:r>
        <w:rPr>
          <w:rFonts w:eastAsia="KaiTi_GB2312"/>
          <w:sz w:val="28"/>
          <w:lang w:val="zh-CN" w:bidi="zh-CN"/>
        </w:rPr>
        <w:t>第二节</w:t>
      </w:r>
      <w:r>
        <w:rPr>
          <w:rFonts w:eastAsia="KaiTi_GB2312"/>
          <w:sz w:val="28"/>
          <w:lang w:bidi="zh-CN"/>
        </w:rPr>
        <w:t xml:space="preserve">  </w:t>
      </w:r>
      <w:r>
        <w:rPr>
          <w:rFonts w:eastAsia="KaiTi_GB2312"/>
          <w:sz w:val="28"/>
          <w:lang w:val="zh-CN" w:bidi="zh-CN"/>
        </w:rPr>
        <w:t>机遇与挑战</w:t>
      </w:r>
      <w:r>
        <w:rPr>
          <w:rFonts w:eastAsia="KaiTi_GB2312"/>
          <w:sz w:val="28"/>
        </w:rPr>
        <w:tab/>
      </w:r>
      <w:r>
        <w:rPr>
          <w:sz w:val="28"/>
        </w:rPr>
        <w:t>7</w:t>
      </w:r>
      <w:r>
        <w:rPr>
          <w:sz w:val="28"/>
        </w:rPr>
        <w:tab/>
      </w:r>
    </w:p>
    <w:p w14:paraId="0EF85A8C">
      <w:pPr>
        <w:tabs>
          <w:tab w:val="left" w:pos="1119"/>
          <w:tab w:val="left" w:leader="dot" w:pos="8705"/>
        </w:tabs>
        <w:spacing w:before="221"/>
        <w:ind w:right="285"/>
        <w:jc w:val="right"/>
        <w:rPr>
          <w:rFonts w:eastAsia="Times New Roman"/>
          <w:b/>
          <w:bCs/>
          <w:sz w:val="28"/>
        </w:rPr>
      </w:pPr>
      <w:r>
        <w:rPr>
          <w:rFonts w:eastAsia="SimHei"/>
          <w:b/>
          <w:bCs/>
          <w:sz w:val="28"/>
        </w:rPr>
        <w:t>第二章</w:t>
      </w:r>
      <w:r>
        <w:rPr>
          <w:rFonts w:eastAsia="SimHei"/>
          <w:b/>
          <w:bCs/>
          <w:sz w:val="28"/>
        </w:rPr>
        <w:tab/>
      </w:r>
      <w:r>
        <w:rPr>
          <w:rFonts w:eastAsia="SimHei"/>
          <w:b/>
          <w:bCs/>
          <w:sz w:val="28"/>
        </w:rPr>
        <w:t>总体要求</w:t>
      </w:r>
      <w:r>
        <w:rPr>
          <w:rFonts w:eastAsia="SimHei"/>
          <w:b/>
          <w:bCs/>
          <w:sz w:val="28"/>
        </w:rPr>
        <w:tab/>
      </w:r>
      <w:r>
        <w:rPr>
          <w:rFonts w:eastAsia="Times New Roman"/>
          <w:b/>
          <w:bCs/>
          <w:w w:val="95"/>
          <w:sz w:val="28"/>
        </w:rPr>
        <w:t>9</w:t>
      </w:r>
    </w:p>
    <w:p w14:paraId="0558714C">
      <w:pPr>
        <w:tabs>
          <w:tab w:val="left" w:pos="1119"/>
          <w:tab w:val="left" w:leader="dot" w:pos="8705"/>
        </w:tabs>
        <w:spacing w:before="221"/>
        <w:ind w:right="285"/>
        <w:jc w:val="right"/>
        <w:rPr>
          <w:rFonts w:eastAsia="Times New Roman"/>
          <w:sz w:val="28"/>
        </w:rPr>
      </w:pPr>
      <w:r>
        <w:rPr>
          <w:rFonts w:eastAsia="KaiTi_GB2312"/>
          <w:sz w:val="28"/>
        </w:rPr>
        <w:t xml:space="preserve">    第一节  指导思想</w:t>
      </w:r>
      <w:r>
        <w:rPr>
          <w:rFonts w:eastAsia="SimHei"/>
          <w:sz w:val="28"/>
        </w:rPr>
        <w:tab/>
      </w:r>
      <w:r>
        <w:rPr>
          <w:rFonts w:eastAsia="Times New Roman"/>
          <w:w w:val="95"/>
          <w:sz w:val="28"/>
        </w:rPr>
        <w:t>9</w:t>
      </w:r>
    </w:p>
    <w:p w14:paraId="139E6D3B">
      <w:pPr>
        <w:tabs>
          <w:tab w:val="left" w:pos="1119"/>
          <w:tab w:val="left" w:leader="dot" w:pos="8705"/>
        </w:tabs>
        <w:spacing w:before="221"/>
        <w:ind w:right="285"/>
        <w:jc w:val="right"/>
        <w:rPr>
          <w:rFonts w:eastAsia="Times New Roman"/>
          <w:sz w:val="28"/>
        </w:rPr>
      </w:pPr>
      <w:r>
        <w:rPr>
          <w:rFonts w:eastAsia="KaiTi_GB2312"/>
          <w:sz w:val="28"/>
        </w:rPr>
        <w:t xml:space="preserve">    第二节  基本原则</w:t>
      </w:r>
      <w:r>
        <w:rPr>
          <w:rFonts w:eastAsia="SimHei"/>
          <w:sz w:val="28"/>
        </w:rPr>
        <w:tab/>
      </w:r>
      <w:r>
        <w:rPr>
          <w:rFonts w:eastAsia="Times New Roman"/>
          <w:w w:val="95"/>
          <w:sz w:val="28"/>
        </w:rPr>
        <w:t>9</w:t>
      </w:r>
    </w:p>
    <w:p w14:paraId="2E012030">
      <w:pPr>
        <w:tabs>
          <w:tab w:val="left" w:pos="1119"/>
          <w:tab w:val="left" w:leader="dot" w:pos="8705"/>
        </w:tabs>
        <w:spacing w:before="221"/>
        <w:ind w:right="285"/>
        <w:jc w:val="right"/>
        <w:rPr>
          <w:rFonts w:eastAsia="KaiTi_GB2312"/>
          <w:sz w:val="28"/>
        </w:rPr>
      </w:pPr>
      <w:r>
        <w:rPr>
          <w:rFonts w:eastAsia="KaiTi_GB2312"/>
          <w:sz w:val="28"/>
        </w:rPr>
        <w:t xml:space="preserve">    第三节  发展目标</w:t>
      </w:r>
      <w:r>
        <w:rPr>
          <w:rFonts w:eastAsia="SimHei"/>
          <w:sz w:val="28"/>
        </w:rPr>
        <w:tab/>
      </w:r>
      <w:r>
        <w:rPr>
          <w:w w:val="95"/>
          <w:sz w:val="28"/>
        </w:rPr>
        <w:t>10</w:t>
      </w:r>
    </w:p>
    <w:p w14:paraId="6B3F4BFA">
      <w:pPr>
        <w:tabs>
          <w:tab w:val="left" w:pos="1119"/>
          <w:tab w:val="left" w:leader="dot" w:pos="8705"/>
        </w:tabs>
        <w:spacing w:before="221"/>
        <w:ind w:right="285"/>
        <w:jc w:val="right"/>
        <w:rPr>
          <w:rFonts w:eastAsia="SimHei"/>
          <w:b/>
          <w:bCs/>
          <w:sz w:val="28"/>
        </w:rPr>
      </w:pPr>
      <w:r>
        <w:rPr>
          <w:rFonts w:eastAsia="SimHei"/>
          <w:b/>
          <w:bCs/>
          <w:sz w:val="28"/>
        </w:rPr>
        <w:t>第三章</w:t>
      </w:r>
      <w:r>
        <w:rPr>
          <w:rFonts w:eastAsia="SimHei"/>
          <w:sz w:val="28"/>
        </w:rPr>
        <w:tab/>
      </w:r>
      <w:r>
        <w:rPr>
          <w:rFonts w:eastAsia="SimHei"/>
          <w:b/>
          <w:bCs/>
          <w:color w:val="000000" w:themeColor="text1"/>
          <w:kern w:val="0"/>
          <w:sz w:val="32"/>
          <w14:textFill>
            <w14:solidFill>
              <w14:schemeClr w14:val="tx1"/>
            </w14:solidFill>
          </w14:textFill>
        </w:rPr>
        <w:t>构建高质量中医健康服务体系</w:t>
      </w:r>
      <w:r>
        <w:rPr>
          <w:rFonts w:eastAsia="SimHei"/>
          <w:b/>
          <w:bCs/>
          <w:sz w:val="28"/>
        </w:rPr>
        <w:tab/>
      </w:r>
      <w:r>
        <w:rPr>
          <w:b/>
          <w:bCs/>
          <w:w w:val="95"/>
          <w:sz w:val="28"/>
        </w:rPr>
        <w:t>13</w:t>
      </w:r>
    </w:p>
    <w:p w14:paraId="1EC17E19">
      <w:pPr>
        <w:tabs>
          <w:tab w:val="left" w:pos="1670"/>
          <w:tab w:val="right" w:leader="dot" w:pos="8976"/>
        </w:tabs>
        <w:spacing w:before="220"/>
        <w:ind w:left="551"/>
        <w:jc w:val="left"/>
        <w:rPr>
          <w:sz w:val="28"/>
        </w:rPr>
      </w:pPr>
      <w:r>
        <w:rPr>
          <w:rFonts w:eastAsia="KaiTi_GB2312"/>
          <w:sz w:val="28"/>
        </w:rPr>
        <w:t>第一节  构建优质高效中医医疗服务体系</w:t>
      </w:r>
      <w:r>
        <w:rPr>
          <w:rFonts w:eastAsia="KaiTi_GB2312"/>
          <w:sz w:val="28"/>
        </w:rPr>
        <w:tab/>
      </w:r>
      <w:r>
        <w:rPr>
          <w:rFonts w:eastAsia="Times New Roman"/>
          <w:sz w:val="28"/>
        </w:rPr>
        <w:t>1</w:t>
      </w:r>
      <w:r>
        <w:rPr>
          <w:sz w:val="28"/>
        </w:rPr>
        <w:t>3</w:t>
      </w:r>
    </w:p>
    <w:p w14:paraId="08510DAA">
      <w:pPr>
        <w:tabs>
          <w:tab w:val="left" w:pos="1670"/>
          <w:tab w:val="right" w:leader="dot" w:pos="8976"/>
        </w:tabs>
        <w:spacing w:before="220"/>
        <w:ind w:left="551"/>
        <w:jc w:val="left"/>
        <w:rPr>
          <w:rFonts w:eastAsia="Times New Roman"/>
          <w:sz w:val="28"/>
        </w:rPr>
      </w:pPr>
      <w:r>
        <w:rPr>
          <w:rFonts w:eastAsia="KaiTi_GB2312"/>
          <w:sz w:val="28"/>
        </w:rPr>
        <w:t>第二节  增强中医药公共卫生服务本领</w:t>
      </w:r>
      <w:r>
        <w:rPr>
          <w:rFonts w:eastAsia="KaiTi_GB2312"/>
          <w:sz w:val="28"/>
        </w:rPr>
        <w:tab/>
      </w:r>
      <w:r>
        <w:rPr>
          <w:rFonts w:eastAsia="Times New Roman"/>
          <w:sz w:val="28"/>
        </w:rPr>
        <w:t>1</w:t>
      </w:r>
      <w:r>
        <w:rPr>
          <w:sz w:val="28"/>
        </w:rPr>
        <w:t>4</w:t>
      </w:r>
    </w:p>
    <w:p w14:paraId="33706E3F">
      <w:pPr>
        <w:tabs>
          <w:tab w:val="left" w:pos="1119"/>
          <w:tab w:val="left" w:leader="dot" w:pos="8705"/>
        </w:tabs>
        <w:spacing w:before="221"/>
        <w:ind w:right="285"/>
        <w:jc w:val="right"/>
        <w:rPr>
          <w:rFonts w:eastAsia="SimHei"/>
          <w:b/>
          <w:bCs/>
          <w:sz w:val="28"/>
        </w:rPr>
      </w:pPr>
      <w:r>
        <w:rPr>
          <w:rFonts w:eastAsia="SimHei"/>
          <w:b/>
          <w:bCs/>
          <w:sz w:val="28"/>
        </w:rPr>
        <w:t>第四章</w:t>
      </w:r>
      <w:r>
        <w:rPr>
          <w:rFonts w:eastAsia="SimHei"/>
          <w:sz w:val="28"/>
        </w:rPr>
        <w:tab/>
      </w:r>
      <w:r>
        <w:rPr>
          <w:rFonts w:eastAsia="SimHei"/>
          <w:b/>
          <w:kern w:val="0"/>
          <w:sz w:val="32"/>
          <w:szCs w:val="32"/>
          <w:lang w:bidi="zh-CN"/>
        </w:rPr>
        <w:t>强化特色中医药内涵建设</w:t>
      </w:r>
      <w:r>
        <w:rPr>
          <w:rFonts w:eastAsia="SimHei"/>
          <w:b/>
          <w:bCs/>
          <w:sz w:val="28"/>
        </w:rPr>
        <w:tab/>
      </w:r>
      <w:r>
        <w:rPr>
          <w:b/>
          <w:bCs/>
          <w:w w:val="95"/>
          <w:sz w:val="28"/>
        </w:rPr>
        <w:t>15</w:t>
      </w:r>
    </w:p>
    <w:p w14:paraId="3F154126">
      <w:pPr>
        <w:tabs>
          <w:tab w:val="left" w:pos="1670"/>
          <w:tab w:val="right" w:leader="dot" w:pos="8975"/>
        </w:tabs>
        <w:spacing w:before="221"/>
        <w:ind w:left="551"/>
        <w:jc w:val="left"/>
        <w:rPr>
          <w:rFonts w:eastAsia="KaiTi_GB2312"/>
          <w:sz w:val="28"/>
        </w:rPr>
      </w:pPr>
      <w:r>
        <w:rPr>
          <w:rFonts w:eastAsia="KaiTi_GB2312"/>
          <w:sz w:val="28"/>
        </w:rPr>
        <w:t>第一节</w:t>
      </w:r>
      <w:r>
        <w:rPr>
          <w:rFonts w:eastAsia="KaiTi_GB2312"/>
          <w:sz w:val="28"/>
        </w:rPr>
        <w:tab/>
      </w:r>
      <w:r>
        <w:rPr>
          <w:rFonts w:eastAsia="KaiTi_GB2312"/>
          <w:sz w:val="28"/>
        </w:rPr>
        <w:t>充分发挥中医药特色优势</w:t>
      </w:r>
      <w:r>
        <w:rPr>
          <w:rFonts w:eastAsia="KaiTi_GB2312"/>
          <w:sz w:val="28"/>
        </w:rPr>
        <w:tab/>
      </w:r>
      <w:r>
        <w:rPr>
          <w:rFonts w:eastAsia="KaiTi_GB2312"/>
          <w:sz w:val="28"/>
        </w:rPr>
        <w:t xml:space="preserve">15 </w:t>
      </w:r>
    </w:p>
    <w:p w14:paraId="73DD970B">
      <w:pPr>
        <w:tabs>
          <w:tab w:val="left" w:pos="1670"/>
          <w:tab w:val="right" w:leader="dot" w:pos="8975"/>
        </w:tabs>
        <w:spacing w:before="221"/>
        <w:ind w:left="551"/>
        <w:jc w:val="left"/>
        <w:rPr>
          <w:rFonts w:eastAsia="KaiTi_GB2312"/>
          <w:sz w:val="28"/>
        </w:rPr>
      </w:pPr>
      <w:r>
        <w:rPr>
          <w:rFonts w:eastAsia="KaiTi_GB2312"/>
          <w:sz w:val="28"/>
        </w:rPr>
        <w:t>第二节</w:t>
      </w:r>
      <w:r>
        <w:rPr>
          <w:rFonts w:eastAsia="KaiTi_GB2312"/>
          <w:sz w:val="28"/>
        </w:rPr>
        <w:tab/>
      </w:r>
      <w:r>
        <w:rPr>
          <w:rFonts w:eastAsia="KaiTi_GB2312"/>
          <w:sz w:val="28"/>
        </w:rPr>
        <w:t>深化特色中医药体制机制改革</w:t>
      </w:r>
      <w:r>
        <w:rPr>
          <w:rFonts w:eastAsia="KaiTi_GB2312"/>
          <w:sz w:val="28"/>
        </w:rPr>
        <w:tab/>
      </w:r>
      <w:r>
        <w:rPr>
          <w:rFonts w:eastAsia="KaiTi_GB2312"/>
          <w:sz w:val="28"/>
        </w:rPr>
        <w:t>16</w:t>
      </w:r>
    </w:p>
    <w:p w14:paraId="03C6CFDC">
      <w:pPr>
        <w:tabs>
          <w:tab w:val="left" w:pos="1119"/>
          <w:tab w:val="left" w:leader="dot" w:pos="8705"/>
        </w:tabs>
        <w:spacing w:before="221"/>
        <w:ind w:right="285"/>
        <w:jc w:val="right"/>
        <w:rPr>
          <w:rFonts w:eastAsia="SimHei"/>
          <w:b/>
          <w:bCs/>
          <w:sz w:val="28"/>
        </w:rPr>
      </w:pPr>
      <w:r>
        <w:rPr>
          <w:rFonts w:eastAsia="SimHei"/>
          <w:b/>
          <w:bCs/>
          <w:sz w:val="28"/>
        </w:rPr>
        <w:t>第五章</w:t>
      </w:r>
      <w:r>
        <w:rPr>
          <w:rFonts w:eastAsia="SimHei"/>
          <w:b/>
          <w:bCs/>
          <w:sz w:val="28"/>
        </w:rPr>
        <w:tab/>
      </w:r>
      <w:r>
        <w:rPr>
          <w:rFonts w:eastAsia="SimHei"/>
          <w:b/>
          <w:color w:val="000000" w:themeColor="text1"/>
          <w:kern w:val="0"/>
          <w:sz w:val="32"/>
          <w:szCs w:val="32"/>
          <w14:textFill>
            <w14:solidFill>
              <w14:schemeClr w14:val="tx1"/>
            </w14:solidFill>
          </w14:textFill>
        </w:rPr>
        <w:t>推进中医药全产业链发展</w:t>
      </w:r>
      <w:r>
        <w:rPr>
          <w:rFonts w:eastAsia="SimHei"/>
          <w:b/>
          <w:bCs/>
          <w:sz w:val="28"/>
        </w:rPr>
        <w:tab/>
      </w:r>
      <w:r>
        <w:rPr>
          <w:b/>
          <w:bCs/>
          <w:w w:val="95"/>
          <w:sz w:val="28"/>
        </w:rPr>
        <w:t>18</w:t>
      </w:r>
    </w:p>
    <w:p w14:paraId="2D9EAC08">
      <w:pPr>
        <w:tabs>
          <w:tab w:val="left" w:pos="1670"/>
          <w:tab w:val="right" w:leader="dot" w:pos="8975"/>
        </w:tabs>
        <w:spacing w:before="221"/>
        <w:ind w:firstLine="560" w:firstLineChars="200"/>
        <w:jc w:val="left"/>
        <w:rPr>
          <w:rFonts w:eastAsia="Times New Roman"/>
          <w:sz w:val="28"/>
        </w:rPr>
      </w:pPr>
      <w:r>
        <w:rPr>
          <w:rFonts w:eastAsia="KaiTi_GB2312"/>
          <w:sz w:val="28"/>
          <w:lang w:bidi="zh-CN"/>
        </w:rPr>
        <w:t>第一节  推动中药材产业发展</w:t>
      </w:r>
      <w:r>
        <w:rPr>
          <w:rFonts w:eastAsia="KaiTi_GB2312"/>
          <w:sz w:val="28"/>
        </w:rPr>
        <w:tab/>
      </w:r>
      <w:r>
        <w:rPr>
          <w:sz w:val="28"/>
        </w:rPr>
        <w:t>18</w:t>
      </w:r>
    </w:p>
    <w:p w14:paraId="002F940C">
      <w:pPr>
        <w:tabs>
          <w:tab w:val="left" w:pos="1670"/>
          <w:tab w:val="right" w:leader="dot" w:pos="8975"/>
        </w:tabs>
        <w:spacing w:before="221"/>
        <w:ind w:left="551"/>
        <w:jc w:val="left"/>
        <w:rPr>
          <w:sz w:val="28"/>
        </w:rPr>
      </w:pPr>
      <w:r>
        <w:rPr>
          <w:rFonts w:eastAsia="KaiTi_GB2312"/>
          <w:sz w:val="28"/>
        </w:rPr>
        <w:t>第二节</w:t>
      </w:r>
      <w:r>
        <w:rPr>
          <w:rFonts w:eastAsia="KaiTi_GB2312"/>
          <w:sz w:val="28"/>
        </w:rPr>
        <w:tab/>
      </w:r>
      <w:r>
        <w:rPr>
          <w:rFonts w:eastAsia="KaiTi_GB2312"/>
          <w:sz w:val="28"/>
          <w:lang w:bidi="zh-CN"/>
        </w:rPr>
        <w:t>全面</w:t>
      </w:r>
      <w:r>
        <w:rPr>
          <w:rFonts w:eastAsia="KaiTi_GB2312"/>
          <w:sz w:val="28"/>
          <w:lang w:val="zh-CN" w:bidi="zh-CN"/>
        </w:rPr>
        <w:t>发展中医药健康服务</w:t>
      </w:r>
      <w:r>
        <w:rPr>
          <w:rFonts w:eastAsia="KaiTi_GB2312"/>
          <w:sz w:val="28"/>
        </w:rPr>
        <w:tab/>
      </w:r>
      <w:r>
        <w:rPr>
          <w:sz w:val="28"/>
        </w:rPr>
        <w:t>19</w:t>
      </w:r>
    </w:p>
    <w:p w14:paraId="7DC455E9">
      <w:pPr>
        <w:tabs>
          <w:tab w:val="left" w:pos="1119"/>
          <w:tab w:val="left" w:leader="dot" w:pos="8705"/>
        </w:tabs>
        <w:spacing w:before="221"/>
        <w:ind w:right="285"/>
        <w:jc w:val="right"/>
        <w:rPr>
          <w:rFonts w:eastAsia="SimHei"/>
          <w:b/>
          <w:bCs/>
          <w:sz w:val="28"/>
        </w:rPr>
      </w:pPr>
      <w:r>
        <w:rPr>
          <w:rFonts w:eastAsia="SimHei"/>
          <w:b/>
          <w:bCs/>
          <w:sz w:val="28"/>
        </w:rPr>
        <w:t>第六章</w:t>
      </w:r>
      <w:r>
        <w:rPr>
          <w:rFonts w:eastAsia="SimHei"/>
          <w:b/>
          <w:bCs/>
          <w:sz w:val="28"/>
        </w:rPr>
        <w:tab/>
      </w:r>
      <w:r>
        <w:rPr>
          <w:rFonts w:eastAsia="SimHei"/>
          <w:b/>
          <w:color w:val="000000" w:themeColor="text1"/>
          <w:kern w:val="0"/>
          <w:sz w:val="32"/>
          <w:szCs w:val="32"/>
          <w14:textFill>
            <w14:solidFill>
              <w14:schemeClr w14:val="tx1"/>
            </w14:solidFill>
          </w14:textFill>
        </w:rPr>
        <w:t>推进</w:t>
      </w:r>
      <w:r>
        <w:rPr>
          <w:rFonts w:eastAsia="SimHei"/>
          <w:b/>
          <w:color w:val="000000" w:themeColor="text1"/>
          <w:kern w:val="0"/>
          <w:sz w:val="32"/>
          <w:szCs w:val="32"/>
          <w:lang w:val="zh-CN"/>
          <w14:textFill>
            <w14:solidFill>
              <w14:schemeClr w14:val="tx1"/>
            </w14:solidFill>
          </w14:textFill>
        </w:rPr>
        <w:t>中医药文化传承和</w:t>
      </w:r>
      <w:r>
        <w:rPr>
          <w:rFonts w:eastAsia="SimHei"/>
          <w:b/>
          <w:color w:val="000000" w:themeColor="text1"/>
          <w:kern w:val="0"/>
          <w:sz w:val="32"/>
          <w:szCs w:val="32"/>
          <w14:textFill>
            <w14:solidFill>
              <w14:schemeClr w14:val="tx1"/>
            </w14:solidFill>
          </w14:textFill>
        </w:rPr>
        <w:t>开放发展</w:t>
      </w:r>
      <w:r>
        <w:rPr>
          <w:rFonts w:eastAsia="SimHei"/>
          <w:b/>
          <w:bCs/>
          <w:sz w:val="28"/>
        </w:rPr>
        <w:tab/>
      </w:r>
      <w:r>
        <w:rPr>
          <w:b/>
          <w:bCs/>
          <w:w w:val="95"/>
          <w:sz w:val="28"/>
        </w:rPr>
        <w:t>20</w:t>
      </w:r>
    </w:p>
    <w:p w14:paraId="4C1ECF34">
      <w:pPr>
        <w:tabs>
          <w:tab w:val="left" w:pos="1670"/>
          <w:tab w:val="right" w:leader="dot" w:pos="8975"/>
        </w:tabs>
        <w:spacing w:before="221"/>
        <w:ind w:firstLine="560" w:firstLineChars="200"/>
        <w:jc w:val="left"/>
        <w:rPr>
          <w:rFonts w:eastAsia="Times New Roman"/>
          <w:sz w:val="28"/>
        </w:rPr>
      </w:pPr>
      <w:r>
        <w:rPr>
          <w:rFonts w:eastAsia="KaiTi_GB2312"/>
          <w:sz w:val="28"/>
          <w:lang w:bidi="zh-CN"/>
        </w:rPr>
        <w:t xml:space="preserve">第一节  </w:t>
      </w:r>
      <w:r>
        <w:rPr>
          <w:rFonts w:eastAsia="KaiTi_GB2312"/>
          <w:sz w:val="28"/>
        </w:rPr>
        <w:t>加强中医药文化传承保护与创新</w:t>
      </w:r>
      <w:r>
        <w:rPr>
          <w:rFonts w:eastAsia="KaiTi_GB2312"/>
          <w:sz w:val="28"/>
        </w:rPr>
        <w:tab/>
      </w:r>
      <w:r>
        <w:rPr>
          <w:sz w:val="28"/>
        </w:rPr>
        <w:t>20</w:t>
      </w:r>
    </w:p>
    <w:p w14:paraId="23DD5934">
      <w:pPr>
        <w:tabs>
          <w:tab w:val="left" w:pos="1670"/>
          <w:tab w:val="right" w:leader="dot" w:pos="8975"/>
        </w:tabs>
        <w:spacing w:before="221"/>
        <w:ind w:left="551"/>
        <w:jc w:val="left"/>
        <w:rPr>
          <w:sz w:val="28"/>
        </w:rPr>
      </w:pPr>
      <w:r>
        <w:rPr>
          <w:rFonts w:eastAsia="KaiTi_GB2312"/>
          <w:sz w:val="28"/>
        </w:rPr>
        <w:t>第二节</w:t>
      </w:r>
      <w:r>
        <w:rPr>
          <w:rFonts w:eastAsia="KaiTi_GB2312"/>
          <w:sz w:val="28"/>
        </w:rPr>
        <w:tab/>
      </w:r>
      <w:r>
        <w:rPr>
          <w:rFonts w:eastAsia="KaiTi_GB2312"/>
          <w:sz w:val="28"/>
        </w:rPr>
        <w:t>宣传和普及中医药文化</w:t>
      </w:r>
      <w:r>
        <w:rPr>
          <w:rFonts w:eastAsia="KaiTi_GB2312"/>
          <w:sz w:val="28"/>
        </w:rPr>
        <w:tab/>
      </w:r>
      <w:r>
        <w:rPr>
          <w:sz w:val="28"/>
        </w:rPr>
        <w:t>20</w:t>
      </w:r>
    </w:p>
    <w:p w14:paraId="08A7E285">
      <w:pPr>
        <w:tabs>
          <w:tab w:val="left" w:pos="1671"/>
          <w:tab w:val="right" w:leader="dot" w:pos="8976"/>
        </w:tabs>
        <w:spacing w:before="221"/>
        <w:ind w:left="551"/>
        <w:jc w:val="left"/>
        <w:rPr>
          <w:sz w:val="28"/>
        </w:rPr>
      </w:pPr>
      <w:r>
        <w:rPr>
          <w:rFonts w:eastAsia="KaiTi_GB2312"/>
          <w:sz w:val="28"/>
        </w:rPr>
        <w:t>第三节  推动中医药开发发展</w:t>
      </w:r>
      <w:r>
        <w:rPr>
          <w:rFonts w:eastAsia="KaiTi_GB2312"/>
          <w:sz w:val="28"/>
        </w:rPr>
        <w:tab/>
      </w:r>
      <w:r>
        <w:rPr>
          <w:sz w:val="28"/>
        </w:rPr>
        <w:t>21</w:t>
      </w:r>
    </w:p>
    <w:p w14:paraId="1453E5AD">
      <w:pPr>
        <w:tabs>
          <w:tab w:val="left" w:pos="1119"/>
          <w:tab w:val="left" w:leader="dot" w:pos="8705"/>
        </w:tabs>
        <w:spacing w:before="221"/>
        <w:ind w:right="285"/>
        <w:jc w:val="right"/>
        <w:rPr>
          <w:rFonts w:eastAsia="SimHei"/>
          <w:b/>
          <w:bCs/>
          <w:sz w:val="28"/>
        </w:rPr>
      </w:pPr>
      <w:r>
        <w:rPr>
          <w:rFonts w:eastAsia="SimHei"/>
          <w:b/>
          <w:bCs/>
          <w:sz w:val="28"/>
        </w:rPr>
        <w:t>第七章</w:t>
      </w:r>
      <w:r>
        <w:rPr>
          <w:rFonts w:eastAsia="SimHei"/>
          <w:b/>
          <w:bCs/>
          <w:sz w:val="28"/>
        </w:rPr>
        <w:tab/>
      </w:r>
      <w:r>
        <w:rPr>
          <w:rFonts w:eastAsia="SimHei"/>
          <w:b/>
          <w:bCs/>
          <w:sz w:val="28"/>
        </w:rPr>
        <w:t>充实中医药发展支撑</w:t>
      </w:r>
      <w:r>
        <w:rPr>
          <w:rFonts w:eastAsia="SimHei"/>
          <w:b/>
          <w:bCs/>
          <w:sz w:val="28"/>
        </w:rPr>
        <w:tab/>
      </w:r>
      <w:r>
        <w:rPr>
          <w:b/>
          <w:bCs/>
          <w:w w:val="95"/>
          <w:sz w:val="28"/>
        </w:rPr>
        <w:t>22</w:t>
      </w:r>
    </w:p>
    <w:p w14:paraId="6C0108D9">
      <w:pPr>
        <w:tabs>
          <w:tab w:val="left" w:pos="1670"/>
          <w:tab w:val="right" w:leader="dot" w:pos="8975"/>
        </w:tabs>
        <w:spacing w:before="221"/>
        <w:ind w:firstLine="560" w:firstLineChars="200"/>
        <w:jc w:val="left"/>
        <w:rPr>
          <w:rFonts w:eastAsia="Times New Roman"/>
          <w:sz w:val="28"/>
        </w:rPr>
      </w:pPr>
      <w:r>
        <w:rPr>
          <w:rFonts w:eastAsia="KaiTi_GB2312"/>
          <w:sz w:val="28"/>
          <w:lang w:bidi="zh-CN"/>
        </w:rPr>
        <w:t>第一节  加强中医药人才队伍建设</w:t>
      </w:r>
      <w:r>
        <w:rPr>
          <w:rFonts w:eastAsia="KaiTi_GB2312"/>
          <w:sz w:val="28"/>
        </w:rPr>
        <w:tab/>
      </w:r>
      <w:r>
        <w:rPr>
          <w:sz w:val="28"/>
        </w:rPr>
        <w:t>22</w:t>
      </w:r>
    </w:p>
    <w:p w14:paraId="4C74177A">
      <w:pPr>
        <w:tabs>
          <w:tab w:val="left" w:pos="1670"/>
          <w:tab w:val="right" w:leader="dot" w:pos="8975"/>
        </w:tabs>
        <w:spacing w:before="221"/>
        <w:ind w:left="551"/>
        <w:jc w:val="left"/>
        <w:rPr>
          <w:sz w:val="28"/>
        </w:rPr>
      </w:pPr>
      <w:r>
        <w:rPr>
          <w:rFonts w:eastAsia="KaiTi_GB2312"/>
          <w:sz w:val="28"/>
        </w:rPr>
        <w:t>第二节</w:t>
      </w:r>
      <w:r>
        <w:rPr>
          <w:rFonts w:eastAsia="KaiTi_GB2312"/>
          <w:sz w:val="28"/>
        </w:rPr>
        <w:tab/>
      </w:r>
      <w:r>
        <w:rPr>
          <w:rFonts w:eastAsia="KaiTi_GB2312"/>
          <w:sz w:val="28"/>
        </w:rPr>
        <w:t>推动中医药科技创新发展</w:t>
      </w:r>
      <w:r>
        <w:rPr>
          <w:rFonts w:eastAsia="KaiTi_GB2312"/>
          <w:sz w:val="28"/>
        </w:rPr>
        <w:tab/>
      </w:r>
      <w:r>
        <w:rPr>
          <w:sz w:val="28"/>
        </w:rPr>
        <w:t>23</w:t>
      </w:r>
    </w:p>
    <w:p w14:paraId="567D2E22">
      <w:pPr>
        <w:tabs>
          <w:tab w:val="left" w:pos="1671"/>
          <w:tab w:val="right" w:leader="dot" w:pos="8976"/>
        </w:tabs>
        <w:spacing w:before="221"/>
        <w:ind w:left="551"/>
        <w:jc w:val="left"/>
      </w:pPr>
      <w:r>
        <w:rPr>
          <w:rFonts w:eastAsia="KaiTi_GB2312"/>
          <w:sz w:val="28"/>
        </w:rPr>
        <w:t>第三节  推进中医药信息化建设</w:t>
      </w:r>
      <w:r>
        <w:rPr>
          <w:rFonts w:eastAsia="KaiTi_GB2312"/>
          <w:sz w:val="28"/>
        </w:rPr>
        <w:tab/>
      </w:r>
      <w:r>
        <w:rPr>
          <w:sz w:val="28"/>
        </w:rPr>
        <w:t>23</w:t>
      </w:r>
    </w:p>
    <w:p w14:paraId="67DE6172">
      <w:pPr>
        <w:tabs>
          <w:tab w:val="left" w:pos="1671"/>
          <w:tab w:val="right" w:leader="dot" w:pos="8976"/>
        </w:tabs>
        <w:spacing w:before="221"/>
        <w:ind w:left="551"/>
        <w:jc w:val="left"/>
        <w:rPr>
          <w:sz w:val="28"/>
        </w:rPr>
      </w:pPr>
      <w:r>
        <w:rPr>
          <w:rFonts w:eastAsia="KaiTi_GB2312"/>
          <w:sz w:val="28"/>
        </w:rPr>
        <w:t xml:space="preserve">第四节  </w:t>
      </w:r>
      <w:r>
        <w:rPr>
          <w:sz w:val="28"/>
        </w:rPr>
        <w:t>营造良好中医药发展环境</w:t>
      </w:r>
      <w:r>
        <w:rPr>
          <w:rFonts w:eastAsia="KaiTi_GB2312"/>
          <w:sz w:val="28"/>
        </w:rPr>
        <w:tab/>
      </w:r>
      <w:r>
        <w:rPr>
          <w:sz w:val="28"/>
        </w:rPr>
        <w:t>24</w:t>
      </w:r>
    </w:p>
    <w:p w14:paraId="65761DC1">
      <w:pPr>
        <w:tabs>
          <w:tab w:val="left" w:pos="1250"/>
          <w:tab w:val="right" w:leader="dot" w:pos="8975"/>
        </w:tabs>
        <w:spacing w:before="221"/>
        <w:ind w:left="131"/>
        <w:jc w:val="left"/>
        <w:rPr>
          <w:rFonts w:eastAsia="SimHei"/>
          <w:b/>
          <w:bCs/>
          <w:sz w:val="28"/>
        </w:rPr>
      </w:pPr>
      <w:r>
        <w:rPr>
          <w:rFonts w:eastAsia="SimHei"/>
          <w:b/>
          <w:bCs/>
          <w:sz w:val="28"/>
        </w:rPr>
        <w:t>第八章</w:t>
      </w:r>
      <w:r>
        <w:rPr>
          <w:rFonts w:eastAsia="SimHei"/>
          <w:b/>
          <w:bCs/>
          <w:sz w:val="28"/>
        </w:rPr>
        <w:tab/>
      </w:r>
      <w:r>
        <w:rPr>
          <w:rFonts w:eastAsia="SimHei"/>
          <w:b/>
          <w:bCs/>
          <w:sz w:val="28"/>
        </w:rPr>
        <w:t>保障措施</w:t>
      </w:r>
      <w:r>
        <w:rPr>
          <w:rFonts w:eastAsia="SimHei"/>
          <w:b/>
          <w:bCs/>
          <w:sz w:val="28"/>
        </w:rPr>
        <w:tab/>
      </w:r>
      <w:r>
        <w:rPr>
          <w:b/>
          <w:bCs/>
          <w:sz w:val="28"/>
        </w:rPr>
        <w:t>25</w:t>
      </w:r>
    </w:p>
    <w:p w14:paraId="0B36B802">
      <w:pPr>
        <w:tabs>
          <w:tab w:val="left" w:pos="1670"/>
          <w:tab w:val="right" w:leader="dot" w:pos="8975"/>
        </w:tabs>
        <w:spacing w:before="221"/>
        <w:ind w:left="551"/>
        <w:jc w:val="left"/>
        <w:rPr>
          <w:rFonts w:eastAsia="KaiTi_GB2312"/>
          <w:sz w:val="28"/>
        </w:rPr>
      </w:pPr>
      <w:r>
        <w:rPr>
          <w:rFonts w:eastAsia="KaiTi_GB2312"/>
          <w:sz w:val="28"/>
        </w:rPr>
        <w:t>第一节</w:t>
      </w:r>
      <w:r>
        <w:rPr>
          <w:rFonts w:eastAsia="KaiTi_GB2312"/>
          <w:sz w:val="28"/>
        </w:rPr>
        <w:tab/>
      </w:r>
      <w:r>
        <w:rPr>
          <w:rFonts w:eastAsia="KaiTi_GB2312"/>
          <w:sz w:val="28"/>
        </w:rPr>
        <w:t>加强组织领导</w:t>
      </w:r>
      <w:r>
        <w:rPr>
          <w:rFonts w:eastAsia="KaiTi_GB2312"/>
          <w:sz w:val="28"/>
        </w:rPr>
        <w:tab/>
      </w:r>
      <w:r>
        <w:rPr>
          <w:sz w:val="28"/>
        </w:rPr>
        <w:t>25</w:t>
      </w:r>
    </w:p>
    <w:p w14:paraId="43E3360D">
      <w:pPr>
        <w:tabs>
          <w:tab w:val="left" w:pos="1670"/>
          <w:tab w:val="right" w:leader="dot" w:pos="8975"/>
        </w:tabs>
        <w:spacing w:before="222"/>
        <w:ind w:left="551"/>
        <w:jc w:val="left"/>
        <w:rPr>
          <w:rFonts w:eastAsia="KaiTi_GB2312"/>
          <w:sz w:val="28"/>
        </w:rPr>
      </w:pPr>
      <w:r>
        <w:rPr>
          <w:rFonts w:eastAsia="KaiTi_GB2312"/>
          <w:sz w:val="28"/>
        </w:rPr>
        <w:t>第二节</w:t>
      </w:r>
      <w:r>
        <w:rPr>
          <w:rFonts w:eastAsia="KaiTi_GB2312"/>
          <w:sz w:val="28"/>
        </w:rPr>
        <w:tab/>
      </w:r>
      <w:r>
        <w:rPr>
          <w:rFonts w:eastAsia="KaiTi_GB2312"/>
          <w:sz w:val="28"/>
        </w:rPr>
        <w:t>加强宣传引导</w:t>
      </w:r>
      <w:r>
        <w:rPr>
          <w:rFonts w:eastAsia="KaiTi_GB2312"/>
          <w:sz w:val="28"/>
        </w:rPr>
        <w:tab/>
      </w:r>
      <w:r>
        <w:rPr>
          <w:sz w:val="28"/>
        </w:rPr>
        <w:t>25</w:t>
      </w:r>
    </w:p>
    <w:p w14:paraId="0D00BBA1">
      <w:pPr>
        <w:tabs>
          <w:tab w:val="left" w:pos="1670"/>
          <w:tab w:val="right" w:leader="dot" w:pos="8975"/>
        </w:tabs>
        <w:spacing w:before="221"/>
        <w:ind w:left="551"/>
        <w:jc w:val="left"/>
        <w:rPr>
          <w:rFonts w:eastAsia="KaiTi_GB2312"/>
          <w:sz w:val="28"/>
        </w:rPr>
      </w:pPr>
      <w:r>
        <w:rPr>
          <w:rFonts w:eastAsia="KaiTi_GB2312"/>
          <w:sz w:val="28"/>
        </w:rPr>
        <w:t>第三节</w:t>
      </w:r>
      <w:r>
        <w:rPr>
          <w:rFonts w:eastAsia="KaiTi_GB2312"/>
          <w:sz w:val="28"/>
        </w:rPr>
        <w:tab/>
      </w:r>
      <w:r>
        <w:rPr>
          <w:rFonts w:eastAsia="KaiTi_GB2312"/>
          <w:sz w:val="28"/>
        </w:rPr>
        <w:t>加强监测考核</w:t>
      </w:r>
      <w:r>
        <w:rPr>
          <w:rFonts w:eastAsia="KaiTi_GB2312"/>
          <w:sz w:val="28"/>
        </w:rPr>
        <w:tab/>
      </w:r>
      <w:r>
        <w:rPr>
          <w:sz w:val="28"/>
        </w:rPr>
        <w:t>26</w:t>
      </w:r>
    </w:p>
    <w:p w14:paraId="0069F89B">
      <w:pPr>
        <w:tabs>
          <w:tab w:val="left" w:pos="1670"/>
          <w:tab w:val="right" w:leader="dot" w:pos="8975"/>
        </w:tabs>
        <w:spacing w:before="220"/>
        <w:ind w:left="551"/>
        <w:jc w:val="left"/>
      </w:pPr>
    </w:p>
    <w:p w14:paraId="2231B094">
      <w:pPr>
        <w:numPr>
          <w:ilvl w:val="0"/>
          <w:numId w:val="1"/>
        </w:numPr>
        <w:spacing w:after="120" w:afterLines="50"/>
        <w:ind w:left="0" w:firstLine="420" w:firstLineChars="200"/>
        <w:jc w:val="center"/>
        <w:sectPr>
          <w:headerReference r:id="rId3" w:type="default"/>
          <w:footerReference r:id="rId5" w:type="default"/>
          <w:headerReference r:id="rId4" w:type="even"/>
          <w:footerReference r:id="rId6" w:type="even"/>
          <w:pgSz w:w="11910" w:h="16840"/>
          <w:pgMar w:top="2098" w:right="1474" w:bottom="1985" w:left="1588" w:header="851" w:footer="851" w:gutter="0"/>
          <w:cols w:space="0" w:num="1"/>
        </w:sectPr>
      </w:pPr>
    </w:p>
    <w:p w14:paraId="096DD178">
      <w:pPr>
        <w:pStyle w:val="4"/>
        <w:spacing w:line="560" w:lineRule="exact"/>
        <w:ind w:firstLine="640" w:firstLineChars="200"/>
        <w:rPr>
          <w:rFonts w:ascii="Times New Roman" w:hAnsi="Times New Roman" w:cs="Times New Roman"/>
          <w:color w:val="000000" w:themeColor="text1"/>
          <w:kern w:val="0"/>
          <w14:textFill>
            <w14:solidFill>
              <w14:schemeClr w14:val="tx1"/>
            </w14:solidFill>
          </w14:textFill>
        </w:rPr>
      </w:pPr>
      <w:r>
        <w:rPr>
          <w:rFonts w:ascii="Times New Roman" w:hAnsi="Times New Roman" w:cs="Times New Roman"/>
          <w:bCs/>
        </w:rPr>
        <w:t>为全面贯彻落实中省市中医药传承创新发展大会精神，推动我区中医药高质量发展，</w:t>
      </w:r>
      <w:r>
        <w:rPr>
          <w:rFonts w:ascii="Times New Roman" w:hAnsi="Times New Roman" w:cs="Times New Roman"/>
          <w:color w:val="000000" w:themeColor="text1"/>
          <w:kern w:val="0"/>
          <w14:textFill>
            <w14:solidFill>
              <w14:schemeClr w14:val="tx1"/>
            </w14:solidFill>
          </w14:textFill>
        </w:rPr>
        <w:t>不断满足人民群众对中医药的服务需求，维护人民生命安全和身体健康，根据</w:t>
      </w:r>
      <w:r>
        <w:rPr>
          <w:color w:val="000000" w:themeColor="text1"/>
          <w14:textFill>
            <w14:solidFill>
              <w14:schemeClr w14:val="tx1"/>
            </w14:solidFill>
          </w14:textFill>
        </w:rPr>
        <w:t>《四川省“十四五”中医药高质量发展规划》《德阳市“十四五”中医药高质量发展规划》</w:t>
      </w:r>
      <w:r>
        <w:rPr>
          <w:rFonts w:ascii="Times New Roman" w:hAnsi="Times New Roman" w:cs="Times New Roman"/>
          <w:color w:val="000000" w:themeColor="text1"/>
          <w:kern w:val="0"/>
          <w14:textFill>
            <w14:solidFill>
              <w14:schemeClr w14:val="tx1"/>
            </w14:solidFill>
          </w14:textFill>
        </w:rPr>
        <w:t>《德阳市罗江区贯彻中医药发展战略规划纲要（2019—2030 年） 实施方案》等，结合我区中医药工作实际，制定本规划。</w:t>
      </w:r>
    </w:p>
    <w:p w14:paraId="4535E43C">
      <w:pPr>
        <w:pStyle w:val="4"/>
        <w:spacing w:line="560" w:lineRule="exact"/>
        <w:ind w:firstLine="640" w:firstLineChars="200"/>
        <w:rPr>
          <w:rFonts w:ascii="Times New Roman" w:hAnsi="Times New Roman" w:cs="Times New Roman"/>
          <w:color w:val="000000" w:themeColor="text1"/>
          <w:kern w:val="0"/>
          <w14:textFill>
            <w14:solidFill>
              <w14:schemeClr w14:val="tx1"/>
            </w14:solidFill>
          </w14:textFill>
        </w:rPr>
      </w:pPr>
    </w:p>
    <w:p w14:paraId="0B29E9E9">
      <w:pPr>
        <w:pStyle w:val="4"/>
        <w:numPr>
          <w:ilvl w:val="0"/>
          <w:numId w:val="2"/>
        </w:numPr>
        <w:tabs>
          <w:tab w:val="left" w:pos="1280"/>
        </w:tabs>
        <w:spacing w:line="560" w:lineRule="exact"/>
        <w:jc w:val="center"/>
        <w:rPr>
          <w:rFonts w:ascii="Times New Roman" w:hAnsi="Times New Roman" w:eastAsia="SimHei" w:cs="Times New Roman"/>
          <w:b/>
          <w:bCs/>
          <w:color w:val="000000" w:themeColor="text1"/>
          <w:kern w:val="0"/>
          <w14:textFill>
            <w14:solidFill>
              <w14:schemeClr w14:val="tx1"/>
            </w14:solidFill>
          </w14:textFill>
        </w:rPr>
      </w:pPr>
      <w:r>
        <w:rPr>
          <w:rFonts w:ascii="Times New Roman" w:hAnsi="Times New Roman" w:eastAsia="SimHei" w:cs="Times New Roman"/>
          <w:b/>
          <w:bCs/>
          <w:color w:val="000000" w:themeColor="text1"/>
          <w:kern w:val="0"/>
          <w14:textFill>
            <w14:solidFill>
              <w14:schemeClr w14:val="tx1"/>
            </w14:solidFill>
          </w14:textFill>
        </w:rPr>
        <w:t>规划背景</w:t>
      </w:r>
    </w:p>
    <w:p w14:paraId="75EDB171">
      <w:pPr>
        <w:pStyle w:val="4"/>
        <w:numPr>
          <w:ilvl w:val="0"/>
          <w:numId w:val="3"/>
        </w:numPr>
        <w:tabs>
          <w:tab w:val="left" w:pos="1280"/>
        </w:tabs>
        <w:spacing w:line="560" w:lineRule="exact"/>
        <w:ind w:left="0"/>
        <w:jc w:val="center"/>
        <w:rPr>
          <w:rFonts w:ascii="Times New Roman" w:hAnsi="Times New Roman" w:eastAsia="KaiTi_GB2312" w:cs="Times New Roman"/>
          <w:b/>
          <w:bCs/>
          <w:color w:val="000000" w:themeColor="text1"/>
          <w:kern w:val="0"/>
          <w:lang w:val="en-US"/>
          <w14:textFill>
            <w14:solidFill>
              <w14:schemeClr w14:val="tx1"/>
            </w14:solidFill>
          </w14:textFill>
        </w:rPr>
      </w:pPr>
      <w:r>
        <w:rPr>
          <w:rFonts w:ascii="Times New Roman" w:hAnsi="Times New Roman" w:eastAsia="KaiTi_GB2312" w:cs="Times New Roman"/>
          <w:b/>
          <w:bCs/>
          <w:color w:val="000000" w:themeColor="text1"/>
          <w:kern w:val="0"/>
          <w:lang w:val="en-US"/>
          <w14:textFill>
            <w14:solidFill>
              <w14:schemeClr w14:val="tx1"/>
            </w14:solidFill>
          </w14:textFill>
        </w:rPr>
        <w:t>发展基础</w:t>
      </w:r>
    </w:p>
    <w:p w14:paraId="11778579">
      <w:pPr>
        <w:pStyle w:val="4"/>
        <w:spacing w:line="560" w:lineRule="exact"/>
        <w:ind w:firstLine="640" w:firstLineChars="200"/>
        <w:rPr>
          <w:rFonts w:ascii="Times New Roman" w:hAnsi="Times New Roman" w:cs="Times New Roman"/>
          <w:color w:val="000000" w:themeColor="text1"/>
          <w:kern w:val="0"/>
          <w14:textFill>
            <w14:solidFill>
              <w14:schemeClr w14:val="tx1"/>
            </w14:solidFill>
          </w14:textFill>
        </w:rPr>
      </w:pPr>
      <w:r>
        <w:rPr>
          <w:rFonts w:ascii="Times New Roman" w:hAnsi="Times New Roman" w:cs="Times New Roman"/>
          <w:color w:val="000000" w:themeColor="text1"/>
          <w:kern w:val="0"/>
          <w14:textFill>
            <w14:solidFill>
              <w14:schemeClr w14:val="tx1"/>
            </w14:solidFill>
          </w14:textFill>
        </w:rPr>
        <w:t>“十三五”期间，我区中医药发展政策和支撑体系进一步完善，中医药在国民经济发展和健康罗江建设中的重要地位得以体现，惠及广大人民群众的中医药服务网络更加健全，医疗机构中医药服务能力进一步提升，中医药“简、便、廉、验”的优势得到充分发挥，在解决人民群众“看病难、看病贵”问题上取得明显成效。中医药事业、产业、文化“三位一体”得以全面推进。</w:t>
      </w:r>
    </w:p>
    <w:p w14:paraId="6063DEFE">
      <w:pPr>
        <w:pStyle w:val="4"/>
        <w:spacing w:line="560" w:lineRule="exact"/>
        <w:ind w:firstLine="640" w:firstLineChars="200"/>
        <w:rPr>
          <w:rFonts w:ascii="Times New Roman" w:hAnsi="Times New Roman" w:cs="Times New Roman"/>
          <w:color w:val="000000" w:themeColor="text1"/>
          <w:kern w:val="0"/>
          <w14:textFill>
            <w14:solidFill>
              <w14:schemeClr w14:val="tx1"/>
            </w14:solidFill>
          </w14:textFill>
        </w:rPr>
      </w:pPr>
      <w:r>
        <w:rPr>
          <w:rFonts w:ascii="Times New Roman" w:hAnsi="Times New Roman" w:cs="Times New Roman"/>
          <w:b/>
          <w:color w:val="000000" w:themeColor="text1"/>
          <w:kern w:val="0"/>
          <w14:textFill>
            <w14:solidFill>
              <w14:schemeClr w14:val="tx1"/>
            </w14:solidFill>
          </w14:textFill>
        </w:rPr>
        <w:t>中医药服务体系逐步健全。</w:t>
      </w:r>
      <w:r>
        <w:rPr>
          <w:rFonts w:ascii="Times New Roman" w:hAnsi="Times New Roman" w:cs="Times New Roman"/>
          <w:color w:val="000000" w:themeColor="text1"/>
          <w:kern w:val="0"/>
          <w14:textFill>
            <w14:solidFill>
              <w14:schemeClr w14:val="tx1"/>
            </w14:solidFill>
          </w14:textFill>
        </w:rPr>
        <w:t>通过开展</w:t>
      </w:r>
      <w:r>
        <w:rPr>
          <w:rFonts w:ascii="Times New Roman" w:hAnsi="Times New Roman" w:cs="Times New Roman"/>
          <w:kern w:val="0"/>
        </w:rPr>
        <w:t>中医联盟</w:t>
      </w:r>
      <w:r>
        <w:rPr>
          <w:rFonts w:ascii="Times New Roman" w:hAnsi="Times New Roman" w:cs="Times New Roman"/>
          <w:color w:val="000000" w:themeColor="text1"/>
          <w:kern w:val="0"/>
          <w14:textFill>
            <w14:solidFill>
              <w14:schemeClr w14:val="tx1"/>
            </w14:solidFill>
          </w14:textFill>
        </w:rPr>
        <w:t xml:space="preserve">建设，积极提升基层中医药服务能力，基本建成以区中医医院为龙头，各镇卫生院、社区卫生服务中心为枢纽，村卫生站为网底，区人民医院、区妇幼保健院以及民营医疗机构、中医诊所为支撑的中医药服务网络体系。截至 2020 年底，中医类医疗卫生机构 </w:t>
      </w:r>
      <w:r>
        <w:rPr>
          <w:rFonts w:ascii="Times New Roman" w:hAnsi="Times New Roman" w:cs="Times New Roman"/>
          <w:color w:val="000000" w:themeColor="text1"/>
          <w:kern w:val="0"/>
          <w:lang w:val="en-US"/>
          <w14:textFill>
            <w14:solidFill>
              <w14:schemeClr w14:val="tx1"/>
            </w14:solidFill>
          </w14:textFill>
        </w:rPr>
        <w:t>27</w:t>
      </w:r>
      <w:r>
        <w:rPr>
          <w:rFonts w:ascii="Times New Roman" w:hAnsi="Times New Roman" w:cs="Times New Roman"/>
          <w:color w:val="000000" w:themeColor="text1"/>
          <w:kern w:val="0"/>
          <w14:textFill>
            <w14:solidFill>
              <w14:schemeClr w14:val="tx1"/>
            </w14:solidFill>
          </w14:textFill>
        </w:rPr>
        <w:t xml:space="preserve">家，其中中医医院 1 家，中医诊所 </w:t>
      </w:r>
      <w:r>
        <w:rPr>
          <w:rFonts w:ascii="Times New Roman" w:hAnsi="Times New Roman" w:cs="Times New Roman"/>
          <w:color w:val="000000" w:themeColor="text1"/>
          <w:kern w:val="0"/>
          <w:lang w:val="en-US"/>
          <w14:textFill>
            <w14:solidFill>
              <w14:schemeClr w14:val="tx1"/>
            </w14:solidFill>
          </w14:textFill>
        </w:rPr>
        <w:t>26</w:t>
      </w:r>
      <w:r>
        <w:rPr>
          <w:rFonts w:ascii="Times New Roman" w:hAnsi="Times New Roman" w:cs="Times New Roman"/>
          <w:color w:val="000000" w:themeColor="text1"/>
          <w:kern w:val="0"/>
          <w14:textFill>
            <w14:solidFill>
              <w14:schemeClr w14:val="tx1"/>
            </w14:solidFill>
          </w14:textFill>
        </w:rPr>
        <w:t xml:space="preserve">家。能够提供中医药服务的医院 </w:t>
      </w:r>
      <w:r>
        <w:rPr>
          <w:rFonts w:ascii="Times New Roman" w:hAnsi="Times New Roman" w:cs="Times New Roman"/>
          <w:color w:val="000000" w:themeColor="text1"/>
          <w:kern w:val="0"/>
          <w:lang w:val="en-US"/>
          <w14:textFill>
            <w14:solidFill>
              <w14:schemeClr w14:val="tx1"/>
            </w14:solidFill>
          </w14:textFill>
        </w:rPr>
        <w:t>12</w:t>
      </w:r>
      <w:r>
        <w:rPr>
          <w:rFonts w:ascii="Times New Roman" w:hAnsi="Times New Roman" w:cs="Times New Roman"/>
          <w:color w:val="000000" w:themeColor="text1"/>
          <w:kern w:val="0"/>
          <w14:textFill>
            <w14:solidFill>
              <w14:schemeClr w14:val="tx1"/>
            </w14:solidFill>
          </w14:textFill>
        </w:rPr>
        <w:t xml:space="preserve"> 家，能够提供中医药服务的基层医疗卫生机构</w:t>
      </w:r>
      <w:r>
        <w:rPr>
          <w:rFonts w:ascii="Times New Roman" w:hAnsi="Times New Roman" w:cs="Times New Roman"/>
          <w:kern w:val="0"/>
          <w:lang w:val="en-US"/>
        </w:rPr>
        <w:t>10</w:t>
      </w:r>
      <w:r>
        <w:rPr>
          <w:rFonts w:ascii="Times New Roman" w:hAnsi="Times New Roman" w:cs="Times New Roman"/>
          <w:color w:val="0000FF"/>
          <w:kern w:val="0"/>
        </w:rPr>
        <w:t xml:space="preserve"> </w:t>
      </w:r>
      <w:r>
        <w:rPr>
          <w:rFonts w:ascii="Times New Roman" w:hAnsi="Times New Roman" w:cs="Times New Roman"/>
          <w:color w:val="000000" w:themeColor="text1"/>
          <w:kern w:val="0"/>
          <w14:textFill>
            <w14:solidFill>
              <w14:schemeClr w14:val="tx1"/>
            </w14:solidFill>
          </w14:textFill>
        </w:rPr>
        <w:t xml:space="preserve">家。村卫生室和社区卫生服务站 </w:t>
      </w:r>
      <w:r>
        <w:rPr>
          <w:rFonts w:ascii="Times New Roman" w:hAnsi="Times New Roman" w:cs="Times New Roman"/>
          <w:kern w:val="0"/>
          <w:lang w:val="en-US"/>
        </w:rPr>
        <w:t>112</w:t>
      </w:r>
      <w:r>
        <w:rPr>
          <w:rFonts w:ascii="Times New Roman" w:hAnsi="Times New Roman" w:cs="Times New Roman"/>
          <w:kern w:val="0"/>
        </w:rPr>
        <w:t xml:space="preserve"> </w:t>
      </w:r>
      <w:r>
        <w:rPr>
          <w:rFonts w:ascii="Times New Roman" w:hAnsi="Times New Roman" w:cs="Times New Roman"/>
          <w:color w:val="000000" w:themeColor="text1"/>
          <w:kern w:val="0"/>
          <w14:textFill>
            <w14:solidFill>
              <w14:schemeClr w14:val="tx1"/>
            </w14:solidFill>
          </w14:textFill>
        </w:rPr>
        <w:t xml:space="preserve">家，能够规范开展 4 类中医适宜技术的机构 </w:t>
      </w:r>
      <w:r>
        <w:rPr>
          <w:rFonts w:ascii="Times New Roman" w:hAnsi="Times New Roman" w:cs="Times New Roman"/>
          <w:color w:val="000000" w:themeColor="text1"/>
          <w:kern w:val="0"/>
          <w:lang w:val="en-US"/>
          <w14:textFill>
            <w14:solidFill>
              <w14:schemeClr w14:val="tx1"/>
            </w14:solidFill>
          </w14:textFill>
        </w:rPr>
        <w:t>93</w:t>
      </w:r>
      <w:r>
        <w:rPr>
          <w:rFonts w:ascii="Times New Roman" w:hAnsi="Times New Roman" w:cs="Times New Roman"/>
          <w:color w:val="000000" w:themeColor="text1"/>
          <w:kern w:val="0"/>
          <w14:textFill>
            <w14:solidFill>
              <w14:schemeClr w14:val="tx1"/>
            </w14:solidFill>
          </w14:textFill>
        </w:rPr>
        <w:t xml:space="preserve"> 家。</w:t>
      </w:r>
    </w:p>
    <w:p w14:paraId="3C08CD0B">
      <w:pPr>
        <w:spacing w:line="560" w:lineRule="exact"/>
        <w:ind w:firstLine="640" w:firstLineChars="200"/>
        <w:rPr>
          <w:rFonts w:eastAsia="FangSong_GB2312"/>
          <w:color w:val="000000" w:themeColor="text1"/>
          <w:kern w:val="0"/>
          <w:sz w:val="32"/>
          <w:szCs w:val="32"/>
          <w:lang w:val="zh-CN" w:bidi="zh-CN"/>
          <w14:textFill>
            <w14:solidFill>
              <w14:schemeClr w14:val="tx1"/>
            </w14:solidFill>
          </w14:textFill>
        </w:rPr>
      </w:pPr>
      <w:r>
        <w:rPr>
          <w:rFonts w:eastAsia="FangSong_GB2312"/>
          <w:b/>
          <w:color w:val="000000" w:themeColor="text1"/>
          <w:kern w:val="0"/>
          <w:sz w:val="32"/>
          <w:szCs w:val="32"/>
          <w14:textFill>
            <w14:solidFill>
              <w14:schemeClr w14:val="tx1"/>
            </w14:solidFill>
          </w14:textFill>
        </w:rPr>
        <w:t>中医药服务能力明显提升。</w:t>
      </w:r>
      <w:r>
        <w:rPr>
          <w:rFonts w:eastAsia="FangSong_GB2312"/>
          <w:color w:val="000000" w:themeColor="text1"/>
          <w:kern w:val="0"/>
          <w:sz w:val="32"/>
          <w:szCs w:val="32"/>
          <w:lang w:val="zh-CN" w:bidi="zh-CN"/>
          <w14:textFill>
            <w14:solidFill>
              <w14:schemeClr w14:val="tx1"/>
            </w14:solidFill>
          </w14:textFill>
        </w:rPr>
        <w:t>持续加强中医医疗机构建设，坚持以中医药服务为主的办院模式和服务功能，中医药特色更加明显，优势更加突出，</w:t>
      </w:r>
      <w:r>
        <w:rPr>
          <w:rFonts w:eastAsia="FangSong_GB2312"/>
          <w:color w:val="000000" w:themeColor="text1"/>
          <w:kern w:val="0"/>
          <w:sz w:val="32"/>
          <w:szCs w:val="32"/>
          <w:lang w:bidi="zh-CN"/>
          <w14:textFill>
            <w14:solidFill>
              <w14:schemeClr w14:val="tx1"/>
            </w14:solidFill>
          </w14:textFill>
        </w:rPr>
        <w:t>2020年中医诊疗量达67164人次，占总诊疗人次的65%。</w:t>
      </w:r>
      <w:r>
        <w:rPr>
          <w:rFonts w:eastAsia="FangSong_GB2312"/>
          <w:color w:val="000000" w:themeColor="text1"/>
          <w:kern w:val="0"/>
          <w:sz w:val="32"/>
          <w:szCs w:val="32"/>
          <w:lang w:val="zh-CN" w:bidi="zh-CN"/>
          <w14:textFill>
            <w14:solidFill>
              <w14:schemeClr w14:val="tx1"/>
            </w14:solidFill>
          </w14:textFill>
        </w:rPr>
        <w:t>区人民医院设置有中医科、区妇幼保健院将中医药适宜技术广泛用于妇女儿童保健及康复需求。全区100%乡镇卫生院和社区卫生服务中心建有中医馆，设置中医科、中药房，能够提供6类以上中医药技术方法</w:t>
      </w:r>
      <w:r>
        <w:rPr>
          <w:color w:val="000000" w:themeColor="text1"/>
          <w:kern w:val="0"/>
          <w:sz w:val="32"/>
          <w:szCs w:val="32"/>
          <w:lang w:val="zh-CN" w:bidi="zh-CN"/>
          <w14:textFill>
            <w14:solidFill>
              <w14:schemeClr w14:val="tx1"/>
            </w14:solidFill>
          </w14:textFill>
        </w:rPr>
        <w:t>。</w:t>
      </w:r>
      <w:r>
        <w:rPr>
          <w:rFonts w:eastAsia="FangSong_GB2312"/>
          <w:color w:val="000000" w:themeColor="text1"/>
          <w:kern w:val="0"/>
          <w:sz w:val="32"/>
          <w:szCs w:val="32"/>
          <w:lang w:val="zh-CN" w:bidi="zh-CN"/>
          <w14:textFill>
            <w14:solidFill>
              <w14:schemeClr w14:val="tx1"/>
            </w14:solidFill>
          </w14:textFill>
        </w:rPr>
        <w:t>100%的村卫生室、社区卫生服务站均配备有电针仪、针灸针、火罐、TDP神灯、灸盒等至少5种以上基本中医诊疗设备；</w:t>
      </w:r>
      <w:r>
        <w:rPr>
          <w:rFonts w:eastAsia="FangSong_GB2312"/>
          <w:color w:val="000000" w:themeColor="text1"/>
          <w:kern w:val="0"/>
          <w:sz w:val="32"/>
          <w:szCs w:val="32"/>
          <w:lang w:bidi="zh-CN"/>
          <w14:textFill>
            <w14:solidFill>
              <w14:schemeClr w14:val="tx1"/>
            </w14:solidFill>
          </w14:textFill>
        </w:rPr>
        <w:t>100%的社区卫生服务站、91%的村卫生室能够提供中医药服务。</w:t>
      </w:r>
      <w:r>
        <w:rPr>
          <w:rFonts w:eastAsia="FangSong_GB2312"/>
          <w:color w:val="000000" w:themeColor="text1"/>
          <w:kern w:val="0"/>
          <w:sz w:val="32"/>
          <w:szCs w:val="32"/>
          <w:lang w:val="zh-CN" w:bidi="zh-CN"/>
          <w14:textFill>
            <w14:solidFill>
              <w14:schemeClr w14:val="tx1"/>
            </w14:solidFill>
          </w14:textFill>
        </w:rPr>
        <w:t>基层中</w:t>
      </w:r>
      <w:r>
        <w:rPr>
          <w:color w:val="000000" w:themeColor="text1"/>
          <w:kern w:val="0"/>
          <w:sz w:val="32"/>
          <w:szCs w:val="32"/>
          <w:lang w:val="zh-CN" w:bidi="zh-CN"/>
          <w14:textFill>
            <w14:solidFill>
              <w14:schemeClr w14:val="tx1"/>
            </w14:solidFill>
          </w14:textFill>
        </w:rPr>
        <w:t>医</w:t>
      </w:r>
      <w:r>
        <w:rPr>
          <w:rFonts w:eastAsia="FangSong_GB2312"/>
          <w:color w:val="000000" w:themeColor="text1"/>
          <w:kern w:val="0"/>
          <w:sz w:val="32"/>
          <w:szCs w:val="32"/>
          <w:lang w:val="zh-CN" w:bidi="zh-CN"/>
          <w14:textFill>
            <w14:solidFill>
              <w14:schemeClr w14:val="tx1"/>
            </w14:solidFill>
          </w14:textFill>
        </w:rPr>
        <w:t>药服务量达45%以上。</w:t>
      </w:r>
    </w:p>
    <w:p w14:paraId="42C9CC10">
      <w:pPr>
        <w:spacing w:line="560" w:lineRule="exact"/>
        <w:ind w:firstLine="640" w:firstLineChars="200"/>
        <w:rPr>
          <w:rFonts w:eastAsia="FangSong_GB2312"/>
          <w:color w:val="000000" w:themeColor="text1"/>
          <w:kern w:val="0"/>
          <w:sz w:val="32"/>
          <w:szCs w:val="32"/>
          <w14:textFill>
            <w14:solidFill>
              <w14:schemeClr w14:val="tx1"/>
            </w14:solidFill>
          </w14:textFill>
        </w:rPr>
      </w:pPr>
      <w:r>
        <w:rPr>
          <w:rFonts w:eastAsia="FangSong_GB2312"/>
          <w:b/>
          <w:color w:val="000000" w:themeColor="text1"/>
          <w:kern w:val="0"/>
          <w:sz w:val="32"/>
          <w14:textFill>
            <w14:solidFill>
              <w14:schemeClr w14:val="tx1"/>
            </w14:solidFill>
          </w14:textFill>
        </w:rPr>
        <w:t>中医药人才</w:t>
      </w:r>
      <w:r>
        <w:rPr>
          <w:b/>
          <w:color w:val="000000" w:themeColor="text1"/>
          <w:kern w:val="0"/>
          <w:sz w:val="32"/>
          <w14:textFill>
            <w14:solidFill>
              <w14:schemeClr w14:val="tx1"/>
            </w14:solidFill>
          </w14:textFill>
        </w:rPr>
        <w:t>队伍不断壮大</w:t>
      </w:r>
      <w:r>
        <w:rPr>
          <w:rFonts w:eastAsia="FangSong_GB2312"/>
          <w:b/>
          <w:color w:val="000000" w:themeColor="text1"/>
          <w:kern w:val="0"/>
          <w:sz w:val="32"/>
          <w14:textFill>
            <w14:solidFill>
              <w14:schemeClr w14:val="tx1"/>
            </w14:solidFill>
          </w14:textFill>
        </w:rPr>
        <w:t>。</w:t>
      </w:r>
      <w:r>
        <w:rPr>
          <w:rFonts w:eastAsia="FangSong_GB2312"/>
          <w:color w:val="000000" w:themeColor="text1"/>
          <w:kern w:val="0"/>
          <w:sz w:val="32"/>
          <w:szCs w:val="32"/>
          <w14:textFill>
            <w14:solidFill>
              <w14:schemeClr w14:val="tx1"/>
            </w14:solidFill>
          </w14:textFill>
        </w:rPr>
        <w:t>2020年底，全区医疗机构中医药人员共110人，中医师95名、中药</w:t>
      </w:r>
      <w:r>
        <w:rPr>
          <w:color w:val="000000" w:themeColor="text1"/>
          <w:kern w:val="0"/>
          <w:sz w:val="32"/>
          <w:szCs w:val="32"/>
          <w14:textFill>
            <w14:solidFill>
              <w14:schemeClr w14:val="tx1"/>
            </w14:solidFill>
          </w14:textFill>
        </w:rPr>
        <w:t>师</w:t>
      </w:r>
      <w:r>
        <w:rPr>
          <w:rFonts w:eastAsia="FangSong_GB2312"/>
          <w:color w:val="000000" w:themeColor="text1"/>
          <w:kern w:val="0"/>
          <w:sz w:val="32"/>
          <w:szCs w:val="32"/>
          <w14:textFill>
            <w14:solidFill>
              <w14:schemeClr w14:val="tx1"/>
            </w14:solidFill>
          </w14:textFill>
        </w:rPr>
        <w:t>15名；有中医药高级职称13人，四川省名中医1人，德阳市名中医3人，市优秀中青年中医师1人</w:t>
      </w:r>
      <w:r>
        <w:rPr>
          <w:color w:val="000000" w:themeColor="text1"/>
          <w:kern w:val="0"/>
          <w:sz w:val="32"/>
          <w:szCs w:val="32"/>
          <w14:textFill>
            <w14:solidFill>
              <w14:schemeClr w14:val="tx1"/>
            </w14:solidFill>
          </w14:textFill>
        </w:rPr>
        <w:t>，</w:t>
      </w:r>
      <w:r>
        <w:rPr>
          <w:rFonts w:eastAsia="FangSong_GB2312"/>
          <w:color w:val="000000" w:themeColor="text1"/>
          <w:kern w:val="0"/>
          <w:sz w:val="32"/>
          <w:szCs w:val="32"/>
          <w14:textFill>
            <w14:solidFill>
              <w14:schemeClr w14:val="tx1"/>
            </w14:solidFill>
          </w14:textFill>
        </w:rPr>
        <w:t>区级名中医6人，获得全国中药特色技术传承培养1人。区中医医院基层指导科每年持续开展全县基层中医药适宜技术推广指导工作，同时各镇卫生院、社区卫生服务中心也开展中医适宜技术培训每年至少4期以上。100%镇卫生院和社区卫生服务中心中医类别医师占本机构医师总数的比例达20%以上，100%的社区卫生服务站、93%的村卫生室配备有能提供中医药服务医生。在全区组织中医适宜技术竞赛、中医经典竞赛等活动，形成浓郁的“赛中医、用中医”的氛围，并在省、市竞赛活动中取得优异成绩</w:t>
      </w:r>
      <w:r>
        <w:rPr>
          <w:color w:val="000000" w:themeColor="text1"/>
          <w:kern w:val="0"/>
          <w:sz w:val="32"/>
          <w:szCs w:val="32"/>
          <w14:textFill>
            <w14:solidFill>
              <w14:schemeClr w14:val="tx1"/>
            </w14:solidFill>
          </w14:textFill>
        </w:rPr>
        <w:t>，</w:t>
      </w:r>
      <w:r>
        <w:rPr>
          <w:rFonts w:eastAsia="FangSong_GB2312"/>
          <w:color w:val="000000" w:themeColor="text1"/>
          <w:kern w:val="0"/>
          <w:sz w:val="32"/>
          <w:szCs w:val="32"/>
          <w14:textFill>
            <w14:solidFill>
              <w14:schemeClr w14:val="tx1"/>
            </w14:solidFill>
          </w14:textFill>
        </w:rPr>
        <w:t>不断提升中医药服务技能和水平。</w:t>
      </w:r>
    </w:p>
    <w:p w14:paraId="4C412C26">
      <w:pPr>
        <w:pStyle w:val="6"/>
        <w:spacing w:line="560" w:lineRule="exact"/>
        <w:ind w:left="0" w:leftChars="0" w:firstLine="640" w:firstLineChars="200"/>
        <w:rPr>
          <w:rFonts w:eastAsia="FangSong_GB2312"/>
          <w:color w:val="000000" w:themeColor="text1"/>
          <w:kern w:val="0"/>
          <w:sz w:val="32"/>
          <w:szCs w:val="32"/>
          <w:lang w:val="zh-CN" w:bidi="zh-CN"/>
          <w14:textFill>
            <w14:solidFill>
              <w14:schemeClr w14:val="tx1"/>
            </w14:solidFill>
          </w14:textFill>
        </w:rPr>
      </w:pPr>
      <w:r>
        <w:rPr>
          <w:rFonts w:eastAsia="FangSong_GB2312"/>
          <w:b/>
          <w:color w:val="000000" w:themeColor="text1"/>
          <w:kern w:val="0"/>
          <w:sz w:val="32"/>
          <w:szCs w:val="32"/>
          <w14:textFill>
            <w14:solidFill>
              <w14:schemeClr w14:val="tx1"/>
            </w14:solidFill>
          </w14:textFill>
        </w:rPr>
        <w:t>中医药学科建设蓬勃发展。</w:t>
      </w:r>
      <w:r>
        <w:rPr>
          <w:rFonts w:eastAsia="FangSong_GB2312"/>
          <w:color w:val="000000" w:themeColor="text1"/>
          <w:kern w:val="0"/>
          <w:sz w:val="32"/>
          <w:szCs w:val="32"/>
          <w:lang w:val="zh-CN" w:bidi="zh-CN"/>
          <w14:textFill>
            <w14:solidFill>
              <w14:schemeClr w14:val="tx1"/>
            </w14:solidFill>
          </w14:textFill>
        </w:rPr>
        <w:t>全区有全国基层名老中医学术经验传承工作室１个，省级重点中医专科1个（区中医医院儿科），市级重点中医专科2个（区中医医院针灸康复科、骨伤科），2019年上述两个市级重点专科启动了省级重点专科的创建工作；区中医医院肺病科为德阳市重点中医专科建设科室。区级重点中医专科2个。</w:t>
      </w:r>
    </w:p>
    <w:p w14:paraId="47C704FA">
      <w:pPr>
        <w:pStyle w:val="7"/>
        <w:spacing w:before="0" w:beforeAutospacing="0" w:after="0" w:afterAutospacing="0" w:line="560" w:lineRule="exact"/>
        <w:ind w:firstLine="640" w:firstLineChars="200"/>
        <w:jc w:val="both"/>
        <w:rPr>
          <w:rFonts w:eastAsia="FangSong_GB2312"/>
          <w:color w:val="000000" w:themeColor="text1"/>
          <w:sz w:val="32"/>
          <w:szCs w:val="32"/>
          <w:lang w:val="zh-CN" w:bidi="zh-CN"/>
          <w14:textFill>
            <w14:solidFill>
              <w14:schemeClr w14:val="tx1"/>
            </w14:solidFill>
          </w14:textFill>
        </w:rPr>
      </w:pPr>
      <w:r>
        <w:rPr>
          <w:rFonts w:eastAsia="FangSong_GB2312"/>
          <w:b/>
          <w:bCs/>
          <w:color w:val="000000" w:themeColor="text1"/>
          <w:sz w:val="32"/>
          <w:szCs w:val="32"/>
          <w14:textFill>
            <w14:solidFill>
              <w14:schemeClr w14:val="tx1"/>
            </w14:solidFill>
          </w14:textFill>
        </w:rPr>
        <w:t>中医药产业发展持续推进。</w:t>
      </w:r>
      <w:r>
        <w:rPr>
          <w:rFonts w:eastAsia="FangSong_GB2312"/>
          <w:color w:val="000000" w:themeColor="text1"/>
          <w:sz w:val="32"/>
          <w:szCs w:val="32"/>
          <w:lang w:val="zh-CN" w:bidi="zh-CN"/>
          <w14:textFill>
            <w14:solidFill>
              <w14:schemeClr w14:val="tx1"/>
            </w14:solidFill>
          </w14:textFill>
        </w:rPr>
        <w:t>近年来我区种植的中药材不断地增量扩面，万亩贵妃枣、万亩青花椒、金花梨、数十里荷花、成片金花梨、千亩香柚、丹参与淫羊藿等中医药产业，年产值达2.5亿元。全面完成我区全国第四次中药资源普查工作，并努力促进成果转化，力争加快我区道地和特色优势药材新品种选育与推广应用。根据罗江区食药同源植物量多、面广的特色，推动小叶本草有限公司等企业加强对药品及植物提取物的研发、生产及销售，带动罗江区中医药工业产业的发展。</w:t>
      </w:r>
    </w:p>
    <w:p w14:paraId="1A1B8AC8">
      <w:pPr>
        <w:pStyle w:val="11"/>
        <w:tabs>
          <w:tab w:val="left" w:pos="1013"/>
        </w:tabs>
        <w:spacing w:before="0" w:line="560" w:lineRule="exact"/>
        <w:ind w:left="0" w:firstLine="640" w:firstLineChars="200"/>
        <w:rPr>
          <w:rFonts w:ascii="Times New Roman" w:hAnsi="Times New Roman" w:cs="Times New Roman"/>
          <w:color w:val="000000" w:themeColor="text1"/>
          <w:kern w:val="0"/>
          <w:sz w:val="32"/>
          <w:szCs w:val="32"/>
          <w14:textFill>
            <w14:solidFill>
              <w14:schemeClr w14:val="tx1"/>
            </w14:solidFill>
          </w14:textFill>
        </w:rPr>
      </w:pPr>
      <w:r>
        <w:rPr>
          <w:rFonts w:ascii="Times New Roman" w:hAnsi="Times New Roman" w:cs="Times New Roman"/>
          <w:b/>
          <w:bCs/>
          <w:color w:val="000000" w:themeColor="text1"/>
          <w:kern w:val="0"/>
          <w:sz w:val="32"/>
          <w14:textFill>
            <w14:solidFill>
              <w14:schemeClr w14:val="tx1"/>
            </w14:solidFill>
          </w14:textFill>
        </w:rPr>
        <w:t>中医药文化传承弘扬力度加大。</w:t>
      </w:r>
      <w:r>
        <w:rPr>
          <w:rFonts w:ascii="Times New Roman" w:hAnsi="Times New Roman" w:cs="Times New Roman"/>
          <w:color w:val="000000" w:themeColor="text1"/>
          <w:kern w:val="0"/>
          <w:sz w:val="32"/>
          <w:szCs w:val="32"/>
          <w14:textFill>
            <w14:solidFill>
              <w14:schemeClr w14:val="tx1"/>
            </w14:solidFill>
          </w14:textFill>
        </w:rPr>
        <w:t>通过中医药文化“六进”活动，《中医药法》实施周年宣传活动，“服务百姓健康行动”义诊义检活动等，面向全社会大力宣传国家中医药工作方针政策、中医药防病治病基本知识及中医特色特点，针对老年人、儿童、高血压、糖尿病等重点人群进行中医药健康管理，有效调动了人民群众的参与热情，为中医药的发展营造了良好的氛围。</w:t>
      </w:r>
    </w:p>
    <w:p w14:paraId="265ADA9F">
      <w:pPr>
        <w:pStyle w:val="7"/>
        <w:spacing w:before="0" w:beforeAutospacing="0" w:after="0" w:afterAutospacing="0" w:line="560" w:lineRule="exact"/>
        <w:ind w:firstLine="643" w:firstLineChars="200"/>
        <w:jc w:val="both"/>
        <w:rPr>
          <w:rFonts w:eastAsia="FangSong_GB2312"/>
          <w:color w:val="000000" w:themeColor="text1"/>
          <w:sz w:val="32"/>
          <w:szCs w:val="32"/>
          <w:lang w:val="zh-CN" w:bidi="zh-CN"/>
          <w14:textFill>
            <w14:solidFill>
              <w14:schemeClr w14:val="tx1"/>
            </w14:solidFill>
          </w14:textFill>
        </w:rPr>
      </w:pPr>
      <w:r>
        <w:rPr>
          <w:b/>
          <w:color w:val="000000" w:themeColor="text1"/>
          <w:sz w:val="32"/>
          <w:szCs w:val="32"/>
          <w14:textFill>
            <w14:solidFill>
              <w14:schemeClr w14:val="tx1"/>
            </w14:solidFill>
          </w14:textFill>
        </w:rPr>
        <w:t>充分</w:t>
      </w:r>
      <w:r>
        <w:rPr>
          <w:rFonts w:eastAsia="FangSong_GB2312"/>
          <w:b/>
          <w:color w:val="000000" w:themeColor="text1"/>
          <w:sz w:val="32"/>
          <w:szCs w:val="32"/>
          <w14:textFill>
            <w14:solidFill>
              <w14:schemeClr w14:val="tx1"/>
            </w14:solidFill>
          </w14:textFill>
        </w:rPr>
        <w:t>发挥中医药在新冠肺炎疫情防治</w:t>
      </w:r>
      <w:r>
        <w:rPr>
          <w:b/>
          <w:color w:val="000000" w:themeColor="text1"/>
          <w:sz w:val="32"/>
          <w:szCs w:val="32"/>
          <w14:textFill>
            <w14:solidFill>
              <w14:schemeClr w14:val="tx1"/>
            </w14:solidFill>
          </w14:textFill>
        </w:rPr>
        <w:t>中的</w:t>
      </w:r>
      <w:r>
        <w:rPr>
          <w:rFonts w:eastAsia="FangSong_GB2312"/>
          <w:b/>
          <w:color w:val="000000" w:themeColor="text1"/>
          <w:sz w:val="32"/>
          <w:szCs w:val="32"/>
          <w14:textFill>
            <w14:solidFill>
              <w14:schemeClr w14:val="tx1"/>
            </w14:solidFill>
          </w14:textFill>
        </w:rPr>
        <w:t>作用</w:t>
      </w:r>
      <w:r>
        <w:rPr>
          <w:b/>
          <w:color w:val="000000" w:themeColor="text1"/>
          <w:sz w:val="32"/>
          <w:szCs w:val="32"/>
          <w14:textFill>
            <w14:solidFill>
              <w14:schemeClr w14:val="tx1"/>
            </w14:solidFill>
          </w14:textFill>
        </w:rPr>
        <w:t>。</w:t>
      </w:r>
      <w:r>
        <w:rPr>
          <w:rFonts w:eastAsia="FangSong_GB2312"/>
          <w:color w:val="000000" w:themeColor="text1"/>
          <w:sz w:val="32"/>
          <w:szCs w:val="32"/>
          <w:lang w:val="zh-CN" w:bidi="zh-CN"/>
          <w14:textFill>
            <w14:solidFill>
              <w14:schemeClr w14:val="tx1"/>
            </w14:solidFill>
          </w14:textFill>
        </w:rPr>
        <w:t>在新冠肺炎疫情发生后，迅速成立了罗江区中医药疫情防控工作领导小组，组建罗江区中医药疫情防控专家组，负责指导各医疗机构利用中医药疗法开展病患的医疗救治和防疫工作，落实“中西医结合”防控机制，通过发挥市、镇、村三级中医药服务网络作用，</w:t>
      </w:r>
      <w:r>
        <w:rPr>
          <w:rFonts w:eastAsia="FangSong_GB2312"/>
          <w:color w:val="000000" w:themeColor="text1"/>
          <w:sz w:val="32"/>
          <w:szCs w:val="32"/>
          <w:lang w:bidi="zh-CN"/>
          <w14:textFill>
            <w14:solidFill>
              <w14:schemeClr w14:val="tx1"/>
            </w14:solidFill>
          </w14:textFill>
        </w:rPr>
        <w:t>2020年</w:t>
      </w:r>
      <w:r>
        <w:rPr>
          <w:rFonts w:eastAsia="FangSong_GB2312"/>
          <w:color w:val="000000" w:themeColor="text1"/>
          <w:sz w:val="32"/>
          <w:szCs w:val="32"/>
          <w:lang w:val="zh-CN" w:bidi="zh-CN"/>
          <w14:textFill>
            <w14:solidFill>
              <w14:schemeClr w14:val="tx1"/>
            </w14:solidFill>
          </w14:textFill>
        </w:rPr>
        <w:t>累计中药大锅汤服用达</w:t>
      </w:r>
      <w:r>
        <w:rPr>
          <w:rFonts w:eastAsia="FangSong_GB2312"/>
          <w:color w:val="000000" w:themeColor="text1"/>
          <w:sz w:val="32"/>
          <w:szCs w:val="32"/>
          <w:lang w:bidi="zh-CN"/>
          <w14:textFill>
            <w14:solidFill>
              <w14:schemeClr w14:val="tx1"/>
            </w14:solidFill>
          </w14:textFill>
        </w:rPr>
        <w:t>3</w:t>
      </w:r>
      <w:r>
        <w:rPr>
          <w:rFonts w:eastAsia="FangSong_GB2312"/>
          <w:color w:val="000000" w:themeColor="text1"/>
          <w:sz w:val="32"/>
          <w:szCs w:val="32"/>
          <w:lang w:val="zh-CN" w:bidi="zh-CN"/>
          <w14:textFill>
            <w14:solidFill>
              <w14:schemeClr w14:val="tx1"/>
            </w14:solidFill>
          </w14:textFill>
        </w:rPr>
        <w:t>万5千余人份，城市社区服用覆盖率达90%，乡村服用覆盖率达76%。</w:t>
      </w:r>
    </w:p>
    <w:p w14:paraId="2FE6F866">
      <w:pPr>
        <w:pStyle w:val="11"/>
        <w:tabs>
          <w:tab w:val="left" w:pos="1013"/>
        </w:tabs>
        <w:spacing w:before="0" w:line="560" w:lineRule="exact"/>
        <w:ind w:left="0" w:firstLine="640" w:firstLineChars="200"/>
        <w:rPr>
          <w:rFonts w:ascii="Times New Roman" w:hAnsi="Times New Roman" w:cs="Times New Roman"/>
          <w:color w:val="000000" w:themeColor="text1"/>
          <w:kern w:val="0"/>
          <w:sz w:val="32"/>
          <w:szCs w:val="32"/>
          <w14:textFill>
            <w14:solidFill>
              <w14:schemeClr w14:val="tx1"/>
            </w14:solidFill>
          </w14:textFill>
        </w:rPr>
      </w:pPr>
    </w:p>
    <w:p w14:paraId="3E03B7E9">
      <w:pPr>
        <w:pStyle w:val="4"/>
        <w:numPr>
          <w:ilvl w:val="0"/>
          <w:numId w:val="3"/>
        </w:numPr>
        <w:tabs>
          <w:tab w:val="left" w:pos="1279"/>
        </w:tabs>
        <w:spacing w:line="560" w:lineRule="exact"/>
        <w:ind w:left="0"/>
        <w:jc w:val="center"/>
        <w:rPr>
          <w:rFonts w:ascii="Times New Roman" w:hAnsi="Times New Roman" w:eastAsia="KaiTi_GB2312" w:cs="Times New Roman"/>
          <w:b/>
          <w:bCs/>
          <w:color w:val="000000" w:themeColor="text1"/>
          <w:kern w:val="0"/>
          <w14:textFill>
            <w14:solidFill>
              <w14:schemeClr w14:val="tx1"/>
            </w14:solidFill>
          </w14:textFill>
        </w:rPr>
      </w:pPr>
      <w:r>
        <w:rPr>
          <w:rFonts w:ascii="Times New Roman" w:hAnsi="Times New Roman" w:eastAsia="KaiTi_GB2312" w:cs="Times New Roman"/>
          <w:b/>
          <w:bCs/>
          <w:color w:val="000000" w:themeColor="text1"/>
          <w:kern w:val="0"/>
          <w14:textFill>
            <w14:solidFill>
              <w14:schemeClr w14:val="tx1"/>
            </w14:solidFill>
          </w14:textFill>
        </w:rPr>
        <w:t>机遇与挑战</w:t>
      </w:r>
    </w:p>
    <w:p w14:paraId="2B40CD52">
      <w:pPr>
        <w:pStyle w:val="4"/>
        <w:spacing w:line="560" w:lineRule="exact"/>
        <w:ind w:firstLine="640" w:firstLineChars="200"/>
        <w:rPr>
          <w:rFonts w:ascii="Times New Roman" w:hAnsi="Times New Roman" w:cs="Times New Roman"/>
          <w:color w:val="000000" w:themeColor="text1"/>
          <w:kern w:val="0"/>
          <w:lang w:val="en-US"/>
          <w14:textFill>
            <w14:solidFill>
              <w14:schemeClr w14:val="tx1"/>
            </w14:solidFill>
          </w14:textFill>
        </w:rPr>
      </w:pPr>
      <w:r>
        <w:rPr>
          <w:rFonts w:ascii="Times New Roman" w:hAnsi="Times New Roman" w:cs="Times New Roman"/>
          <w:color w:val="000000" w:themeColor="text1"/>
          <w:kern w:val="0"/>
          <w:lang w:val="en-US"/>
          <w14:textFill>
            <w14:solidFill>
              <w14:schemeClr w14:val="tx1"/>
            </w14:solidFill>
          </w14:textFill>
        </w:rPr>
        <w:t>中医药既是中华文明的重要载体，又在人民健康事业中发挥独特作用。习近平总书记强调要把老祖宗留给我们的中医药宝库保护好、传承好、发展好、推动中医药事业和产业高质量发展，为建设健康中国、实现中华民族伟大复兴的中国梦贡献力量。从国际国内形势看，“十四五”中医药发展面临前所未有的机遇和挑战。</w:t>
      </w:r>
    </w:p>
    <w:p w14:paraId="296D52F0">
      <w:pPr>
        <w:pStyle w:val="4"/>
        <w:numPr>
          <w:ilvl w:val="0"/>
          <w:numId w:val="4"/>
        </w:numPr>
        <w:tabs>
          <w:tab w:val="left" w:pos="1279"/>
        </w:tabs>
        <w:spacing w:line="560" w:lineRule="exact"/>
        <w:ind w:firstLine="640" w:firstLineChars="200"/>
        <w:rPr>
          <w:rFonts w:ascii="SimHei" w:hAnsi="SimHei" w:eastAsia="SimHei" w:cs="Times New Roman"/>
          <w:bCs/>
          <w:color w:val="000000" w:themeColor="text1"/>
          <w:kern w:val="0"/>
          <w:lang w:val="en-US"/>
          <w14:textFill>
            <w14:solidFill>
              <w14:schemeClr w14:val="tx1"/>
            </w14:solidFill>
          </w14:textFill>
        </w:rPr>
      </w:pPr>
      <w:r>
        <w:rPr>
          <w:rFonts w:ascii="SimHei" w:hAnsi="SimHei" w:eastAsia="SimHei" w:cs="Times New Roman"/>
          <w:bCs/>
          <w:color w:val="000000" w:themeColor="text1"/>
          <w:kern w:val="0"/>
          <w:lang w:val="en-US"/>
          <w14:textFill>
            <w14:solidFill>
              <w14:schemeClr w14:val="tx1"/>
            </w14:solidFill>
          </w14:textFill>
        </w:rPr>
        <w:t>面临的机遇</w:t>
      </w:r>
    </w:p>
    <w:p w14:paraId="1DE4FF84">
      <w:pPr>
        <w:pStyle w:val="4"/>
        <w:tabs>
          <w:tab w:val="left" w:pos="1279"/>
        </w:tabs>
        <w:spacing w:line="560" w:lineRule="exact"/>
        <w:ind w:firstLine="640" w:firstLineChars="200"/>
        <w:rPr>
          <w:rFonts w:ascii="Times New Roman" w:hAnsi="Times New Roman" w:cs="Times New Roman"/>
          <w:color w:val="000000" w:themeColor="text1"/>
          <w:kern w:val="0"/>
          <w:lang w:val="en-US"/>
          <w14:textFill>
            <w14:solidFill>
              <w14:schemeClr w14:val="tx1"/>
            </w14:solidFill>
          </w14:textFill>
        </w:rPr>
      </w:pPr>
      <w:r>
        <w:rPr>
          <w:rFonts w:ascii="Times New Roman" w:hAnsi="Times New Roman" w:cs="Times New Roman"/>
          <w:b/>
          <w:bCs/>
          <w:color w:val="000000" w:themeColor="text1"/>
          <w:kern w:val="0"/>
          <w:lang w:val="en-US"/>
          <w14:textFill>
            <w14:solidFill>
              <w14:schemeClr w14:val="tx1"/>
            </w14:solidFill>
          </w14:textFill>
        </w:rPr>
        <w:t>政策叠加机遇。</w:t>
      </w:r>
      <w:r>
        <w:rPr>
          <w:rFonts w:ascii="Times New Roman" w:hAnsi="Times New Roman" w:cs="Times New Roman"/>
          <w:color w:val="000000" w:themeColor="text1"/>
          <w:kern w:val="0"/>
          <w:lang w:val="en-US"/>
          <w14:textFill>
            <w14:solidFill>
              <w14:schemeClr w14:val="tx1"/>
            </w14:solidFill>
          </w14:textFill>
        </w:rPr>
        <w:t>中医药被纳入国家卫生健康发展战略，国家密集出台《关于加强中医药特色发展的若干政策措施》《关于医保支付中医药传承创新发展的指导意见》《关于进一步加强综合医院中医药工作推动中西医协同发展的意见》等利好政策，充分体现国家大力支持中医药发展。省委省政府、市委市政府亦非常重视，认真贯彻落实国家文件精神，积极出台相关配套政策，从政策、监管、资金、要素等方面持续增强了对中医药事业发展的推动力度。我区也出台了《关于印发德阳市罗江区贯彻中医药发展战略规划纲要（2019-2030年）实施方案的通知》（德市罗府发</w:t>
      </w:r>
      <w:r>
        <w:rPr>
          <w:rFonts w:hint="eastAsia" w:hAnsi="Times New Roman" w:cs="Times New Roman"/>
          <w:color w:val="000000" w:themeColor="text1"/>
          <w:kern w:val="0"/>
          <w:lang w:val="en-US"/>
          <w14:textFill>
            <w14:solidFill>
              <w14:schemeClr w14:val="tx1"/>
            </w14:solidFill>
          </w14:textFill>
        </w:rPr>
        <w:t>〔</w:t>
      </w:r>
      <w:r>
        <w:rPr>
          <w:rFonts w:ascii="Times New Roman" w:hAnsi="Times New Roman" w:cs="Times New Roman"/>
          <w:color w:val="000000" w:themeColor="text1"/>
          <w:kern w:val="0"/>
          <w:lang w:val="en-US"/>
          <w14:textFill>
            <w14:solidFill>
              <w14:schemeClr w14:val="tx1"/>
            </w14:solidFill>
          </w14:textFill>
        </w:rPr>
        <w:t>2019</w:t>
      </w:r>
      <w:r>
        <w:rPr>
          <w:rFonts w:hint="eastAsia" w:hAnsi="Times New Roman" w:cs="Times New Roman"/>
          <w:color w:val="000000" w:themeColor="text1"/>
          <w:kern w:val="0"/>
          <w:lang w:val="en-US"/>
          <w14:textFill>
            <w14:solidFill>
              <w14:schemeClr w14:val="tx1"/>
            </w14:solidFill>
          </w14:textFill>
        </w:rPr>
        <w:t>〕</w:t>
      </w:r>
      <w:r>
        <w:rPr>
          <w:rFonts w:ascii="Times New Roman" w:hAnsi="Times New Roman" w:cs="Times New Roman"/>
          <w:color w:val="000000" w:themeColor="text1"/>
          <w:kern w:val="0"/>
          <w:lang w:val="en-US"/>
          <w14:textFill>
            <w14:solidFill>
              <w14:schemeClr w14:val="tx1"/>
            </w14:solidFill>
          </w14:textFill>
        </w:rPr>
        <w:t>4号）、《关于促进中医药传承创新发展的实施方案》（德市罗委发〔2021〕21）等文件，深入落实中医药高质量发展要求。</w:t>
      </w:r>
    </w:p>
    <w:p w14:paraId="052B9B89">
      <w:pPr>
        <w:pStyle w:val="4"/>
        <w:tabs>
          <w:tab w:val="left" w:pos="1279"/>
        </w:tabs>
        <w:spacing w:line="560" w:lineRule="exact"/>
        <w:ind w:firstLine="640" w:firstLineChars="200"/>
        <w:rPr>
          <w:rFonts w:ascii="Times New Roman" w:hAnsi="Times New Roman" w:cs="Times New Roman"/>
          <w:color w:val="000000" w:themeColor="text1"/>
          <w:kern w:val="0"/>
          <w:lang w:val="en-US"/>
          <w14:textFill>
            <w14:solidFill>
              <w14:schemeClr w14:val="tx1"/>
            </w14:solidFill>
          </w14:textFill>
        </w:rPr>
      </w:pPr>
      <w:r>
        <w:rPr>
          <w:rFonts w:ascii="Times New Roman" w:hAnsi="Times New Roman" w:cs="Times New Roman"/>
          <w:b/>
          <w:bCs/>
          <w:color w:val="000000" w:themeColor="text1"/>
          <w:kern w:val="0"/>
          <w:lang w:val="en-US"/>
          <w14:textFill>
            <w14:solidFill>
              <w14:schemeClr w14:val="tx1"/>
            </w14:solidFill>
          </w14:textFill>
        </w:rPr>
        <w:t>内生蝶变机遇。</w:t>
      </w:r>
      <w:r>
        <w:rPr>
          <w:rFonts w:ascii="Times New Roman" w:hAnsi="Times New Roman" w:cs="Times New Roman"/>
          <w:color w:val="000000" w:themeColor="text1"/>
          <w:kern w:val="0"/>
          <w:lang w:val="en-US"/>
          <w14:textFill>
            <w14:solidFill>
              <w14:schemeClr w14:val="tx1"/>
            </w14:solidFill>
          </w14:textFill>
        </w:rPr>
        <w:t>大数据、云计算、人工智能、区块链、5G通信等信息技术加速推进中医药服务领域拓展和产业转型升级。城镇化建设带动了资源集聚，中西医结合发展、重大疾病及疫情防控需要加速中医医疗服务模式的创新。此外，基于人工智能的中医药疾病诊治、养生保健、临床决策的知识图谱构建与应用、重要智能化辅助诊疗（健康决策）技术等，是未来技术推动中医药特色优势发挥与传承模式创新的必然要求。</w:t>
      </w:r>
    </w:p>
    <w:p w14:paraId="11329FE2">
      <w:pPr>
        <w:pStyle w:val="4"/>
        <w:tabs>
          <w:tab w:val="left" w:pos="1279"/>
        </w:tabs>
        <w:spacing w:line="560" w:lineRule="exact"/>
        <w:ind w:firstLine="640" w:firstLineChars="200"/>
        <w:rPr>
          <w:rFonts w:ascii="Times New Roman" w:hAnsi="Times New Roman" w:cs="Times New Roman"/>
          <w:color w:val="000000" w:themeColor="text1"/>
          <w:kern w:val="0"/>
          <w:lang w:val="en-US"/>
          <w14:textFill>
            <w14:solidFill>
              <w14:schemeClr w14:val="tx1"/>
            </w14:solidFill>
          </w14:textFill>
        </w:rPr>
      </w:pPr>
      <w:r>
        <w:rPr>
          <w:rFonts w:ascii="Times New Roman" w:hAnsi="Times New Roman" w:cs="Times New Roman"/>
          <w:b/>
          <w:bCs/>
          <w:color w:val="000000" w:themeColor="text1"/>
          <w:kern w:val="0"/>
          <w:lang w:val="en-US"/>
          <w14:textFill>
            <w14:solidFill>
              <w14:schemeClr w14:val="tx1"/>
            </w14:solidFill>
          </w14:textFill>
        </w:rPr>
        <w:t>需求拓展机遇。</w:t>
      </w:r>
      <w:r>
        <w:rPr>
          <w:rFonts w:ascii="Times New Roman" w:hAnsi="Times New Roman" w:cs="Times New Roman"/>
          <w:color w:val="000000" w:themeColor="text1"/>
          <w:kern w:val="0"/>
          <w:lang w:val="en-US"/>
          <w14:textFill>
            <w14:solidFill>
              <w14:schemeClr w14:val="tx1"/>
            </w14:solidFill>
          </w14:textFill>
        </w:rPr>
        <w:t>随着经济社会发展和人民生活水平提高，人民群众对健康事业的期盼从疾病治疗为中心逐步转向健康管理为中心，从“能够早治愈”向“尽量少生病”转变，对中医诊疗、治未病、养生保健等的需求不断增加，为中医药事业发展提供了广阔的需方市场。此外，中西医药互相补充，协调发展优势不断彰显，中医药在新冠疫情防控中显现不可或缺的作用。</w:t>
      </w:r>
    </w:p>
    <w:p w14:paraId="6590D8B9">
      <w:pPr>
        <w:pStyle w:val="6"/>
        <w:spacing w:line="560" w:lineRule="exact"/>
        <w:ind w:left="0" w:leftChars="0" w:firstLine="640" w:firstLineChars="200"/>
        <w:rPr>
          <w:rFonts w:eastAsia="SimHei"/>
          <w:bCs/>
          <w:color w:val="000000" w:themeColor="text1"/>
          <w:kern w:val="0"/>
          <w:sz w:val="32"/>
          <w14:textFill>
            <w14:solidFill>
              <w14:schemeClr w14:val="tx1"/>
            </w14:solidFill>
          </w14:textFill>
        </w:rPr>
      </w:pPr>
      <w:r>
        <w:rPr>
          <w:rFonts w:eastAsia="SimHei"/>
          <w:bCs/>
          <w:color w:val="000000" w:themeColor="text1"/>
          <w:kern w:val="0"/>
          <w:sz w:val="32"/>
          <w:szCs w:val="32"/>
          <w14:textFill>
            <w14:solidFill>
              <w14:schemeClr w14:val="tx1"/>
            </w14:solidFill>
          </w14:textFill>
        </w:rPr>
        <w:t>二、面临的挑战</w:t>
      </w:r>
    </w:p>
    <w:p w14:paraId="0FA07117">
      <w:pPr>
        <w:pStyle w:val="4"/>
        <w:spacing w:line="560" w:lineRule="exact"/>
        <w:ind w:firstLine="640" w:firstLineChars="200"/>
        <w:rPr>
          <w:rFonts w:ascii="Times New Roman" w:hAnsi="Times New Roman" w:cs="Times New Roman"/>
          <w:color w:val="000000" w:themeColor="text1"/>
          <w:kern w:val="0"/>
          <w:lang w:val="en-US"/>
          <w14:textFill>
            <w14:solidFill>
              <w14:schemeClr w14:val="tx1"/>
            </w14:solidFill>
          </w14:textFill>
        </w:rPr>
      </w:pPr>
      <w:r>
        <w:rPr>
          <w:rFonts w:ascii="Times New Roman" w:hAnsi="Times New Roman" w:cs="Times New Roman"/>
          <w:color w:val="000000" w:themeColor="text1"/>
          <w:kern w:val="0"/>
          <w:lang w:val="en-US"/>
          <w14:textFill>
            <w14:solidFill>
              <w14:schemeClr w14:val="tx1"/>
            </w14:solidFill>
          </w14:textFill>
        </w:rPr>
        <w:t>我区中医药发展与人民群众健康需要、四川独特资源禀赋和经济社会发展要求相比，还存在一些问题和短板。</w:t>
      </w:r>
    </w:p>
    <w:p w14:paraId="0015E571">
      <w:pPr>
        <w:pStyle w:val="4"/>
        <w:spacing w:line="560" w:lineRule="exact"/>
        <w:ind w:firstLine="640" w:firstLineChars="200"/>
        <w:rPr>
          <w:rFonts w:ascii="Times New Roman" w:hAnsi="Times New Roman" w:cs="Times New Roman"/>
          <w:color w:val="000000" w:themeColor="text1"/>
          <w:kern w:val="0"/>
          <w:lang w:val="en-US"/>
          <w14:textFill>
            <w14:solidFill>
              <w14:schemeClr w14:val="tx1"/>
            </w14:solidFill>
          </w14:textFill>
        </w:rPr>
      </w:pPr>
      <w:r>
        <w:rPr>
          <w:rFonts w:ascii="Times New Roman" w:hAnsi="Times New Roman" w:cs="Times New Roman"/>
          <w:b/>
          <w:bCs/>
          <w:color w:val="000000" w:themeColor="text1"/>
          <w:kern w:val="0"/>
          <w:lang w:val="en-US"/>
          <w14:textFill>
            <w14:solidFill>
              <w14:schemeClr w14:val="tx1"/>
            </w14:solidFill>
          </w14:textFill>
        </w:rPr>
        <w:t>中医药服务能力不足。</w:t>
      </w:r>
      <w:r>
        <w:rPr>
          <w:rFonts w:ascii="Times New Roman" w:hAnsi="Times New Roman" w:cs="Times New Roman"/>
          <w:color w:val="000000" w:themeColor="text1"/>
          <w:kern w:val="0"/>
          <w:lang w:val="en-US"/>
          <w14:textFill>
            <w14:solidFill>
              <w14:schemeClr w14:val="tx1"/>
            </w14:solidFill>
          </w14:textFill>
        </w:rPr>
        <w:t>区中医医院目前为二级中医医院，临床科室设置不完善，设备陈旧老化，特色科室不强，龙头地位不够凸显。各镇卫生院（社区卫生服务中心）中医药发展不均衡，服务能力还不能很好地满足全区人民健康需求。</w:t>
      </w:r>
    </w:p>
    <w:p w14:paraId="54E8E4C7">
      <w:pPr>
        <w:pStyle w:val="4"/>
        <w:spacing w:line="560" w:lineRule="exact"/>
        <w:ind w:firstLine="640" w:firstLineChars="200"/>
        <w:rPr>
          <w:rFonts w:ascii="Times New Roman" w:hAnsi="Times New Roman" w:cs="Times New Roman"/>
          <w:color w:val="000000" w:themeColor="text1"/>
          <w:kern w:val="0"/>
          <w:lang w:val="en-US"/>
          <w14:textFill>
            <w14:solidFill>
              <w14:schemeClr w14:val="tx1"/>
            </w14:solidFill>
          </w14:textFill>
        </w:rPr>
      </w:pPr>
      <w:r>
        <w:rPr>
          <w:rFonts w:ascii="Times New Roman" w:hAnsi="Times New Roman" w:cs="Times New Roman"/>
          <w:b/>
          <w:bCs/>
          <w:color w:val="000000" w:themeColor="text1"/>
          <w:kern w:val="0"/>
          <w:lang w:val="en-US"/>
          <w14:textFill>
            <w14:solidFill>
              <w14:schemeClr w14:val="tx1"/>
            </w14:solidFill>
          </w14:textFill>
        </w:rPr>
        <w:t>中医药人才队伍紧缺。</w:t>
      </w:r>
      <w:r>
        <w:rPr>
          <w:rFonts w:ascii="Times New Roman" w:hAnsi="Times New Roman" w:cs="Times New Roman"/>
          <w:color w:val="000000" w:themeColor="text1"/>
          <w:kern w:val="0"/>
          <w:lang w:val="en-US"/>
          <w14:textFill>
            <w14:solidFill>
              <w14:schemeClr w14:val="tx1"/>
            </w14:solidFill>
          </w14:textFill>
        </w:rPr>
        <w:t>中医药人才“招不进、留不住”的现象比较突出，中医药从业人员总量不足，区级医疗卫生机构高层次学术带头人和优秀中医药人才匮乏，基层医疗卫生机构中医药人员结构不合理、后备人才不足，中医药事业的可持续发展面临很大压力。</w:t>
      </w:r>
    </w:p>
    <w:p w14:paraId="6E29A7F6">
      <w:pPr>
        <w:pStyle w:val="4"/>
        <w:spacing w:line="560" w:lineRule="exact"/>
        <w:ind w:firstLine="640" w:firstLineChars="200"/>
        <w:rPr>
          <w:rFonts w:ascii="Times New Roman" w:hAnsi="Times New Roman" w:cs="Times New Roman"/>
          <w:color w:val="000000" w:themeColor="text1"/>
          <w:kern w:val="0"/>
          <w:lang w:val="en-US"/>
          <w14:textFill>
            <w14:solidFill>
              <w14:schemeClr w14:val="tx1"/>
            </w14:solidFill>
          </w14:textFill>
        </w:rPr>
      </w:pPr>
      <w:r>
        <w:rPr>
          <w:rFonts w:ascii="Times New Roman" w:hAnsi="Times New Roman" w:cs="Times New Roman"/>
          <w:b/>
          <w:bCs/>
          <w:color w:val="000000" w:themeColor="text1"/>
          <w:kern w:val="0"/>
          <w14:textFill>
            <w14:solidFill>
              <w14:schemeClr w14:val="tx1"/>
            </w14:solidFill>
          </w14:textFill>
        </w:rPr>
        <w:t>中医药保障</w:t>
      </w:r>
      <w:r>
        <w:rPr>
          <w:rFonts w:ascii="Times New Roman" w:hAnsi="Times New Roman" w:cs="Times New Roman"/>
          <w:b/>
          <w:bCs/>
          <w:color w:val="000000" w:themeColor="text1"/>
          <w:kern w:val="0"/>
          <w:lang w:val="en-US"/>
          <w14:textFill>
            <w14:solidFill>
              <w14:schemeClr w14:val="tx1"/>
            </w14:solidFill>
          </w14:textFill>
        </w:rPr>
        <w:t>有待</w:t>
      </w:r>
      <w:r>
        <w:rPr>
          <w:rFonts w:ascii="Times New Roman" w:hAnsi="Times New Roman" w:cs="Times New Roman"/>
          <w:b/>
          <w:bCs/>
          <w:color w:val="000000" w:themeColor="text1"/>
          <w:kern w:val="0"/>
          <w14:textFill>
            <w14:solidFill>
              <w14:schemeClr w14:val="tx1"/>
            </w14:solidFill>
          </w14:textFill>
        </w:rPr>
        <w:t>加强。</w:t>
      </w:r>
      <w:r>
        <w:rPr>
          <w:rFonts w:ascii="Times New Roman" w:hAnsi="Times New Roman" w:cs="Times New Roman"/>
          <w:color w:val="000000" w:themeColor="text1"/>
          <w:kern w:val="0"/>
          <w14:textFill>
            <w14:solidFill>
              <w14:schemeClr w14:val="tx1"/>
            </w14:solidFill>
          </w14:textFill>
        </w:rPr>
        <w:t>全区中医药工作议事协调机制不健全，中医药管理机构不完善，力量不匹配，各部门履行中医药管理职责力量分散。未建立中医药发展投入机制，在总体规模、人才引进、专科专病建设等方面还没有形成足够的竞争优势，财务投入方面明显不足。我区</w:t>
      </w:r>
      <w:r>
        <w:rPr>
          <w:rFonts w:ascii="Times New Roman" w:hAnsi="Times New Roman" w:cs="Times New Roman"/>
          <w:color w:val="000000" w:themeColor="text1"/>
          <w:kern w:val="0"/>
          <w:lang w:val="en-US"/>
          <w14:textFill>
            <w14:solidFill>
              <w14:schemeClr w14:val="tx1"/>
            </w14:solidFill>
          </w14:textFill>
        </w:rPr>
        <w:t>中医药科技创新机制不够完善，信息化支撑作用发挥不足。</w:t>
      </w:r>
    </w:p>
    <w:p w14:paraId="40EC47C5">
      <w:pPr>
        <w:pStyle w:val="4"/>
        <w:spacing w:line="560" w:lineRule="exact"/>
        <w:ind w:firstLine="640" w:firstLineChars="200"/>
        <w:rPr>
          <w:rFonts w:ascii="Times New Roman" w:hAnsi="Times New Roman" w:cs="Times New Roman"/>
          <w:color w:val="000000" w:themeColor="text1"/>
          <w:kern w:val="0"/>
          <w14:textFill>
            <w14:solidFill>
              <w14:schemeClr w14:val="tx1"/>
            </w14:solidFill>
          </w14:textFill>
        </w:rPr>
      </w:pPr>
      <w:r>
        <w:rPr>
          <w:rFonts w:ascii="Times New Roman" w:hAnsi="Times New Roman" w:cs="Times New Roman"/>
          <w:b/>
          <w:bCs/>
          <w:color w:val="000000" w:themeColor="text1"/>
          <w:kern w:val="0"/>
          <w14:textFill>
            <w14:solidFill>
              <w14:schemeClr w14:val="tx1"/>
            </w14:solidFill>
          </w14:textFill>
        </w:rPr>
        <w:t>中医药产业亟待发展。</w:t>
      </w:r>
      <w:r>
        <w:rPr>
          <w:rFonts w:ascii="Times New Roman" w:hAnsi="Times New Roman" w:cs="Times New Roman"/>
          <w:color w:val="000000" w:themeColor="text1"/>
          <w:kern w:val="0"/>
          <w14:textFill>
            <w14:solidFill>
              <w14:schemeClr w14:val="tx1"/>
            </w14:solidFill>
          </w14:textFill>
        </w:rPr>
        <w:t>我区中医药企业少，且规模小，产业链不长、特色优势不显著。中医药产业尚处于起步阶段，中医药产业的发展面临巨大的挑战。</w:t>
      </w:r>
    </w:p>
    <w:p w14:paraId="49F165B5">
      <w:pPr>
        <w:pStyle w:val="4"/>
        <w:spacing w:line="560" w:lineRule="exact"/>
        <w:ind w:firstLine="640" w:firstLineChars="200"/>
        <w:rPr>
          <w:rFonts w:ascii="Times New Roman" w:hAnsi="Times New Roman" w:cs="Times New Roman"/>
          <w:color w:val="000000" w:themeColor="text1"/>
          <w:kern w:val="0"/>
          <w14:textFill>
            <w14:solidFill>
              <w14:schemeClr w14:val="tx1"/>
            </w14:solidFill>
          </w14:textFill>
        </w:rPr>
      </w:pPr>
    </w:p>
    <w:p w14:paraId="7250EC58">
      <w:pPr>
        <w:pStyle w:val="4"/>
        <w:numPr>
          <w:ilvl w:val="0"/>
          <w:numId w:val="2"/>
        </w:numPr>
        <w:tabs>
          <w:tab w:val="left" w:pos="1280"/>
        </w:tabs>
        <w:spacing w:line="560" w:lineRule="exact"/>
        <w:jc w:val="center"/>
        <w:rPr>
          <w:rFonts w:ascii="Times New Roman" w:hAnsi="Times New Roman" w:eastAsia="SimHei" w:cs="Times New Roman"/>
          <w:b/>
          <w:bCs/>
          <w:color w:val="000000" w:themeColor="text1"/>
          <w:kern w:val="0"/>
          <w14:textFill>
            <w14:solidFill>
              <w14:schemeClr w14:val="tx1"/>
            </w14:solidFill>
          </w14:textFill>
        </w:rPr>
      </w:pPr>
      <w:r>
        <w:rPr>
          <w:rFonts w:ascii="Times New Roman" w:hAnsi="Times New Roman" w:eastAsia="SimHei" w:cs="Times New Roman"/>
          <w:b/>
          <w:bCs/>
          <w:color w:val="000000" w:themeColor="text1"/>
          <w:kern w:val="0"/>
          <w14:textFill>
            <w14:solidFill>
              <w14:schemeClr w14:val="tx1"/>
            </w14:solidFill>
          </w14:textFill>
        </w:rPr>
        <w:t>总体要求</w:t>
      </w:r>
    </w:p>
    <w:p w14:paraId="20EA4804">
      <w:pPr>
        <w:pStyle w:val="4"/>
        <w:numPr>
          <w:ilvl w:val="0"/>
          <w:numId w:val="5"/>
        </w:numPr>
        <w:tabs>
          <w:tab w:val="left" w:pos="1279"/>
        </w:tabs>
        <w:spacing w:line="560" w:lineRule="exact"/>
        <w:jc w:val="center"/>
        <w:rPr>
          <w:rFonts w:ascii="Times New Roman" w:hAnsi="Times New Roman" w:eastAsia="KaiTi_GB2312" w:cs="Times New Roman"/>
          <w:b/>
          <w:bCs/>
          <w:color w:val="000000" w:themeColor="text1"/>
          <w:kern w:val="0"/>
          <w14:textFill>
            <w14:solidFill>
              <w14:schemeClr w14:val="tx1"/>
            </w14:solidFill>
          </w14:textFill>
        </w:rPr>
      </w:pPr>
      <w:r>
        <w:rPr>
          <w:rFonts w:ascii="Times New Roman" w:hAnsi="Times New Roman" w:eastAsia="KaiTi_GB2312" w:cs="Times New Roman"/>
          <w:b/>
          <w:bCs/>
          <w:color w:val="000000" w:themeColor="text1"/>
          <w:kern w:val="0"/>
          <w14:textFill>
            <w14:solidFill>
              <w14:schemeClr w14:val="tx1"/>
            </w14:solidFill>
          </w14:textFill>
        </w:rPr>
        <w:t>指导思想</w:t>
      </w:r>
    </w:p>
    <w:p w14:paraId="35D48470">
      <w:pPr>
        <w:pStyle w:val="4"/>
        <w:spacing w:line="560" w:lineRule="exact"/>
        <w:ind w:firstLine="640" w:firstLineChars="200"/>
        <w:rPr>
          <w:rFonts w:ascii="Times New Roman" w:hAnsi="Times New Roman" w:cs="Times New Roman"/>
          <w:color w:val="000000" w:themeColor="text1"/>
          <w:kern w:val="0"/>
          <w14:textFill>
            <w14:solidFill>
              <w14:schemeClr w14:val="tx1"/>
            </w14:solidFill>
          </w14:textFill>
        </w:rPr>
      </w:pPr>
      <w:r>
        <w:rPr>
          <w:rFonts w:ascii="Times New Roman" w:hAnsi="Times New Roman" w:cs="Times New Roman"/>
          <w:color w:val="000000" w:themeColor="text1"/>
          <w:kern w:val="0"/>
          <w14:textFill>
            <w14:solidFill>
              <w14:schemeClr w14:val="tx1"/>
            </w14:solidFill>
          </w14:textFill>
        </w:rPr>
        <w:t>以习近平新时代中国特色社会主义思想为指导，深入贯彻党的十九大和十九届历次全会精神，全面贯彻落实习近平总书记关于中医药工作的重要论述和党中央国务院促进中医药传承创新发展的决策部署，坚持以人民健康为中心，立足新发展阶段，贯彻新发展理念，融入新发展格局，充分遵循中医药自身发展规律，实现中医药“全生命周期、全人群、全方位”服务，有效发挥中医药在治未病的主导作用、在重大疾病治疗中的协同作用、在疾病康复中的核心作用。完善中医药高质量发展体制机制，传承精华，守正创新，全面推进我区中医药事业、产业、文化“三位一体”高质量发展，为健康罗江建设和经济社会高质量发展作出新的贡献。</w:t>
      </w:r>
    </w:p>
    <w:p w14:paraId="4DC222A9">
      <w:pPr>
        <w:pStyle w:val="4"/>
        <w:numPr>
          <w:ilvl w:val="0"/>
          <w:numId w:val="5"/>
        </w:numPr>
        <w:tabs>
          <w:tab w:val="left" w:pos="1279"/>
        </w:tabs>
        <w:spacing w:line="560" w:lineRule="exact"/>
        <w:jc w:val="center"/>
        <w:rPr>
          <w:rFonts w:ascii="Times New Roman" w:hAnsi="Times New Roman" w:eastAsia="KaiTi_GB2312" w:cs="Times New Roman"/>
          <w:b/>
          <w:bCs/>
          <w:color w:val="000000" w:themeColor="text1"/>
          <w:kern w:val="0"/>
          <w14:textFill>
            <w14:solidFill>
              <w14:schemeClr w14:val="tx1"/>
            </w14:solidFill>
          </w14:textFill>
        </w:rPr>
      </w:pPr>
      <w:r>
        <w:rPr>
          <w:rFonts w:ascii="Times New Roman" w:hAnsi="Times New Roman" w:eastAsia="KaiTi_GB2312" w:cs="Times New Roman"/>
          <w:b/>
          <w:bCs/>
          <w:color w:val="000000" w:themeColor="text1"/>
          <w:kern w:val="0"/>
          <w14:textFill>
            <w14:solidFill>
              <w14:schemeClr w14:val="tx1"/>
            </w14:solidFill>
          </w14:textFill>
        </w:rPr>
        <w:t>基本原则</w:t>
      </w:r>
    </w:p>
    <w:p w14:paraId="3D469A1D">
      <w:pPr>
        <w:pStyle w:val="4"/>
        <w:spacing w:line="560" w:lineRule="exact"/>
        <w:ind w:firstLine="640" w:firstLineChars="200"/>
        <w:rPr>
          <w:rFonts w:ascii="Times New Roman" w:hAnsi="Times New Roman" w:cs="Times New Roman"/>
          <w:color w:val="000000" w:themeColor="text1"/>
          <w:kern w:val="0"/>
          <w14:textFill>
            <w14:solidFill>
              <w14:schemeClr w14:val="tx1"/>
            </w14:solidFill>
          </w14:textFill>
        </w:rPr>
      </w:pPr>
      <w:r>
        <w:rPr>
          <w:rFonts w:ascii="Times New Roman" w:hAnsi="Times New Roman" w:cs="Times New Roman"/>
          <w:b/>
          <w:bCs/>
          <w:color w:val="000000" w:themeColor="text1"/>
          <w:kern w:val="0"/>
          <w14:textFill>
            <w14:solidFill>
              <w14:schemeClr w14:val="tx1"/>
            </w14:solidFill>
          </w14:textFill>
        </w:rPr>
        <w:t>坚持党的领导。</w:t>
      </w:r>
      <w:r>
        <w:rPr>
          <w:rFonts w:ascii="Times New Roman" w:hAnsi="Times New Roman" w:cs="Times New Roman"/>
          <w:color w:val="000000" w:themeColor="text1"/>
          <w:kern w:val="0"/>
          <w14:textFill>
            <w14:solidFill>
              <w14:schemeClr w14:val="tx1"/>
            </w14:solidFill>
          </w14:textFill>
        </w:rPr>
        <w:t>坚持党对中医药工作的全面领导，把政治建设摆在首位，深入贯彻新时代党的建设总要求，扎实推进全面从严治党，强化中医医疗机构的主体责任意识，为中医药高质量发展提供坚强政治保障。</w:t>
      </w:r>
    </w:p>
    <w:p w14:paraId="1C81857B">
      <w:pPr>
        <w:pStyle w:val="4"/>
        <w:spacing w:line="560" w:lineRule="exact"/>
        <w:ind w:firstLine="640" w:firstLineChars="200"/>
        <w:rPr>
          <w:rFonts w:ascii="Times New Roman" w:hAnsi="Times New Roman" w:cs="Times New Roman"/>
          <w:color w:val="000000" w:themeColor="text1"/>
          <w:kern w:val="0"/>
          <w14:textFill>
            <w14:solidFill>
              <w14:schemeClr w14:val="tx1"/>
            </w14:solidFill>
          </w14:textFill>
        </w:rPr>
      </w:pPr>
      <w:r>
        <w:rPr>
          <w:rFonts w:ascii="Times New Roman" w:hAnsi="Times New Roman" w:cs="Times New Roman"/>
          <w:b/>
          <w:bCs/>
          <w:color w:val="000000" w:themeColor="text1"/>
          <w:kern w:val="0"/>
          <w14:textFill>
            <w14:solidFill>
              <w14:schemeClr w14:val="tx1"/>
            </w14:solidFill>
          </w14:textFill>
        </w:rPr>
        <w:t>坚持以人为本。</w:t>
      </w:r>
      <w:r>
        <w:rPr>
          <w:rFonts w:ascii="Times New Roman" w:hAnsi="Times New Roman" w:cs="Times New Roman"/>
          <w:color w:val="000000" w:themeColor="text1"/>
          <w:kern w:val="0"/>
          <w14:textFill>
            <w14:solidFill>
              <w14:schemeClr w14:val="tx1"/>
            </w14:solidFill>
          </w14:textFill>
        </w:rPr>
        <w:t>坚持以人民健康为中心的发展理念，围绕人民群众健康需求，加快补短板强弱项，优化中医药资源配置，提高优质中医药服务的系统性、多样性、可及性，人人都能享有高品质中医药服务。</w:t>
      </w:r>
    </w:p>
    <w:p w14:paraId="07E0B4EB">
      <w:pPr>
        <w:pStyle w:val="4"/>
        <w:spacing w:line="560" w:lineRule="exact"/>
        <w:ind w:firstLine="640" w:firstLineChars="200"/>
        <w:rPr>
          <w:rFonts w:ascii="Times New Roman" w:hAnsi="Times New Roman" w:cs="Times New Roman"/>
          <w:color w:val="000000" w:themeColor="text1"/>
          <w:kern w:val="0"/>
          <w14:textFill>
            <w14:solidFill>
              <w14:schemeClr w14:val="tx1"/>
            </w14:solidFill>
          </w14:textFill>
        </w:rPr>
      </w:pPr>
      <w:r>
        <w:rPr>
          <w:rFonts w:ascii="Times New Roman" w:hAnsi="Times New Roman" w:cs="Times New Roman"/>
          <w:b/>
          <w:bCs/>
          <w:color w:val="000000" w:themeColor="text1"/>
          <w:kern w:val="0"/>
          <w14:textFill>
            <w14:solidFill>
              <w14:schemeClr w14:val="tx1"/>
            </w14:solidFill>
          </w14:textFill>
        </w:rPr>
        <w:t>坚持守正创新。</w:t>
      </w:r>
      <w:r>
        <w:rPr>
          <w:rFonts w:ascii="Times New Roman" w:hAnsi="Times New Roman" w:cs="Times New Roman"/>
          <w:color w:val="000000" w:themeColor="text1"/>
          <w:kern w:val="0"/>
          <w14:textFill>
            <w14:solidFill>
              <w14:schemeClr w14:val="tx1"/>
            </w14:solidFill>
          </w14:textFill>
        </w:rPr>
        <w:t>聚焦中医药传承发展核心问题、关键环节，运用现代科学与技术，推动中医药理论创新、医疗服务模式创新、中医药产品和技术创新，推进中医药产学研医政紧密结合，助推中医药事业高质量、可持续发展。</w:t>
      </w:r>
    </w:p>
    <w:p w14:paraId="1FEC12A1">
      <w:pPr>
        <w:pStyle w:val="4"/>
        <w:spacing w:line="560" w:lineRule="exact"/>
        <w:ind w:firstLine="640" w:firstLineChars="200"/>
        <w:rPr>
          <w:rFonts w:ascii="Times New Roman" w:hAnsi="Times New Roman" w:cs="Times New Roman"/>
          <w:color w:val="000000" w:themeColor="text1"/>
          <w:kern w:val="0"/>
          <w14:textFill>
            <w14:solidFill>
              <w14:schemeClr w14:val="tx1"/>
            </w14:solidFill>
          </w14:textFill>
        </w:rPr>
      </w:pPr>
      <w:r>
        <w:rPr>
          <w:rFonts w:ascii="Times New Roman" w:hAnsi="Times New Roman" w:cs="Times New Roman"/>
          <w:b/>
          <w:bCs/>
          <w:color w:val="000000" w:themeColor="text1"/>
          <w:kern w:val="0"/>
          <w14:textFill>
            <w14:solidFill>
              <w14:schemeClr w14:val="tx1"/>
            </w14:solidFill>
          </w14:textFill>
        </w:rPr>
        <w:t>坚持改革协同。</w:t>
      </w:r>
      <w:r>
        <w:rPr>
          <w:rFonts w:ascii="Times New Roman" w:hAnsi="Times New Roman" w:cs="Times New Roman"/>
          <w:color w:val="000000" w:themeColor="text1"/>
          <w:kern w:val="0"/>
          <w14:textFill>
            <w14:solidFill>
              <w14:schemeClr w14:val="tx1"/>
            </w14:solidFill>
          </w14:textFill>
        </w:rPr>
        <w:t>坚持市场导向，深化医药卫生体制改革，健全中医药管理体制，拓展中医药服务新领域，培育中医药产业发展新动能。积极融入区域健康产业体系，推进中医药开放合作与产业协同，推动中医药与科技、文化、社会、贸易等领域的协同发展，促进中医药整体性、系统性发展。</w:t>
      </w:r>
    </w:p>
    <w:p w14:paraId="47BF547C">
      <w:pPr>
        <w:pStyle w:val="4"/>
        <w:spacing w:line="560" w:lineRule="exact"/>
        <w:ind w:firstLine="640" w:firstLineChars="200"/>
        <w:rPr>
          <w:rFonts w:ascii="Times New Roman" w:hAnsi="Times New Roman" w:eastAsia="KaiTi_GB2312" w:cs="Times New Roman"/>
          <w:b/>
          <w:bCs/>
          <w:color w:val="000000" w:themeColor="text1"/>
          <w:kern w:val="0"/>
          <w14:textFill>
            <w14:solidFill>
              <w14:schemeClr w14:val="tx1"/>
            </w14:solidFill>
          </w14:textFill>
        </w:rPr>
      </w:pPr>
    </w:p>
    <w:p w14:paraId="4BF04A81">
      <w:pPr>
        <w:pStyle w:val="4"/>
        <w:numPr>
          <w:ilvl w:val="0"/>
          <w:numId w:val="5"/>
        </w:numPr>
        <w:tabs>
          <w:tab w:val="left" w:pos="1279"/>
        </w:tabs>
        <w:spacing w:line="560" w:lineRule="exact"/>
        <w:jc w:val="center"/>
        <w:rPr>
          <w:rFonts w:ascii="Times New Roman" w:hAnsi="Times New Roman" w:eastAsia="KaiTi_GB2312" w:cs="Times New Roman"/>
          <w:b/>
          <w:bCs/>
          <w:color w:val="000000" w:themeColor="text1"/>
          <w:kern w:val="0"/>
          <w14:textFill>
            <w14:solidFill>
              <w14:schemeClr w14:val="tx1"/>
            </w14:solidFill>
          </w14:textFill>
        </w:rPr>
      </w:pPr>
      <w:r>
        <w:rPr>
          <w:rFonts w:ascii="Times New Roman" w:hAnsi="Times New Roman" w:eastAsia="KaiTi_GB2312" w:cs="Times New Roman"/>
          <w:b/>
          <w:bCs/>
          <w:color w:val="000000" w:themeColor="text1"/>
          <w:kern w:val="0"/>
          <w14:textFill>
            <w14:solidFill>
              <w14:schemeClr w14:val="tx1"/>
            </w14:solidFill>
          </w14:textFill>
        </w:rPr>
        <w:t>发展目标</w:t>
      </w:r>
    </w:p>
    <w:p w14:paraId="53A25472">
      <w:pPr>
        <w:pStyle w:val="4"/>
        <w:spacing w:line="560" w:lineRule="exact"/>
        <w:ind w:firstLine="640" w:firstLineChars="200"/>
        <w:rPr>
          <w:rFonts w:ascii="Times New Roman" w:hAnsi="Times New Roman" w:cs="Times New Roman"/>
          <w:color w:val="000000" w:themeColor="text1"/>
          <w:kern w:val="0"/>
          <w14:textFill>
            <w14:solidFill>
              <w14:schemeClr w14:val="tx1"/>
            </w14:solidFill>
          </w14:textFill>
        </w:rPr>
      </w:pPr>
      <w:r>
        <w:rPr>
          <w:rFonts w:ascii="Times New Roman" w:hAnsi="Times New Roman" w:cs="Times New Roman"/>
          <w:color w:val="000000" w:themeColor="text1"/>
          <w:kern w:val="0"/>
          <w14:textFill>
            <w14:solidFill>
              <w14:schemeClr w14:val="tx1"/>
            </w14:solidFill>
          </w14:textFill>
        </w:rPr>
        <w:t>以推进中医药强区建设为统领，创建全国基层中医药工作示范县为契机，创新推进中医药产学研医政联合攻关和中西医结合发展，形成中医药事业、产业、文化“三位一体”高质量发展新局面。</w:t>
      </w:r>
    </w:p>
    <w:p w14:paraId="121D41FA">
      <w:pPr>
        <w:pStyle w:val="4"/>
        <w:spacing w:line="560" w:lineRule="exact"/>
        <w:ind w:firstLine="640" w:firstLineChars="200"/>
        <w:rPr>
          <w:rFonts w:ascii="Times New Roman" w:hAnsi="Times New Roman" w:cs="Times New Roman"/>
          <w:color w:val="000000" w:themeColor="text1"/>
          <w:kern w:val="0"/>
          <w14:textFill>
            <w14:solidFill>
              <w14:schemeClr w14:val="tx1"/>
            </w14:solidFill>
          </w14:textFill>
        </w:rPr>
      </w:pPr>
      <w:r>
        <w:rPr>
          <w:rFonts w:ascii="Times New Roman" w:hAnsi="Times New Roman" w:cs="Times New Roman"/>
          <w:color w:val="000000" w:themeColor="text1"/>
          <w:kern w:val="0"/>
          <w14:textFill>
            <w14:solidFill>
              <w14:schemeClr w14:val="tx1"/>
            </w14:solidFill>
          </w14:textFill>
        </w:rPr>
        <w:t>——中医药体系建设更加完善。充分发挥中医药整体医学优势，全程、深度参与突发公共卫生事件，提升中西医结合发展水平和影响力，基本建成融预防保健、疾病治疗和康复于一体的中医药服务体系。提升优质中医药服务资源覆盖面，基本实现人人享有优质中医药服务。</w:t>
      </w:r>
    </w:p>
    <w:p w14:paraId="303B61F9">
      <w:pPr>
        <w:pStyle w:val="4"/>
        <w:spacing w:line="560" w:lineRule="exact"/>
        <w:ind w:firstLine="640" w:firstLineChars="200"/>
        <w:rPr>
          <w:rFonts w:ascii="Times New Roman" w:hAnsi="Times New Roman" w:eastAsia="KaiTi_GB2312" w:cs="Times New Roman"/>
          <w:color w:val="000000" w:themeColor="text1"/>
          <w14:textFill>
            <w14:solidFill>
              <w14:schemeClr w14:val="tx1"/>
            </w14:solidFill>
          </w14:textFill>
        </w:rPr>
      </w:pPr>
      <w:r>
        <w:rPr>
          <w:rFonts w:ascii="Times New Roman" w:hAnsi="Times New Roman" w:cs="Times New Roman"/>
          <w:color w:val="000000" w:themeColor="text1"/>
          <w:kern w:val="0"/>
          <w14:textFill>
            <w14:solidFill>
              <w14:schemeClr w14:val="tx1"/>
            </w14:solidFill>
          </w14:textFill>
        </w:rPr>
        <w:t>——中医药服务能力提质增效。</w:t>
      </w:r>
      <w:r>
        <w:rPr>
          <w:rFonts w:ascii="Times New Roman" w:hAnsi="Times New Roman" w:cs="Times New Roman"/>
          <w:color w:val="000000" w:themeColor="text1"/>
          <w14:textFill>
            <w14:solidFill>
              <w14:schemeClr w14:val="tx1"/>
            </w14:solidFill>
          </w14:textFill>
        </w:rPr>
        <w:t>巩固省、市重点专科成果，做强优势专科，争创省、市级中医优势重点专科。区中医医院绩效和质量管理水平明显提升。不断拓展中医治疗优势病种、治疗方案和适宜技术，</w:t>
      </w:r>
      <w:r>
        <w:rPr>
          <w:rFonts w:ascii="Times New Roman" w:hAnsi="Times New Roman" w:eastAsia="KaiTi_GB2312" w:cs="Times New Roman"/>
          <w:color w:val="000000" w:themeColor="text1"/>
          <w14:textFill>
            <w14:solidFill>
              <w14:schemeClr w14:val="tx1"/>
            </w14:solidFill>
          </w14:textFill>
        </w:rPr>
        <w:t>提升中医药服务能力。</w:t>
      </w:r>
    </w:p>
    <w:p w14:paraId="7B297CA6">
      <w:pPr>
        <w:pStyle w:val="4"/>
        <w:spacing w:line="560" w:lineRule="exact"/>
        <w:ind w:firstLine="640" w:firstLineChars="200"/>
        <w:rPr>
          <w:rFonts w:ascii="Times New Roman" w:hAnsi="Times New Roman" w:cs="Times New Roman"/>
          <w:bCs/>
          <w:color w:val="000000" w:themeColor="text1"/>
          <w14:textFill>
            <w14:solidFill>
              <w14:schemeClr w14:val="tx1"/>
            </w14:solidFill>
          </w14:textFill>
        </w:rPr>
      </w:pPr>
      <w:r>
        <w:rPr>
          <w:rFonts w:ascii="Times New Roman" w:hAnsi="Times New Roman" w:eastAsia="KaiTi_GB2312" w:cs="Times New Roman"/>
          <w:color w:val="000000" w:themeColor="text1"/>
          <w14:textFill>
            <w14:solidFill>
              <w14:schemeClr w14:val="tx1"/>
            </w14:solidFill>
          </w14:textFill>
        </w:rPr>
        <w:t>——中医药人才队伍建设优质高效。</w:t>
      </w:r>
      <w:r>
        <w:rPr>
          <w:rFonts w:ascii="Times New Roman" w:hAnsi="Times New Roman" w:cs="Times New Roman"/>
          <w:color w:val="000000" w:themeColor="text1"/>
          <w14:textFill>
            <w14:solidFill>
              <w14:schemeClr w14:val="tx1"/>
            </w14:solidFill>
          </w14:textFill>
        </w:rPr>
        <w:t>加强中医药高层次人才引进和培养力度，持续实施“三名战略”，新增一批省、市级名中医、中医特色专科（学科）带头人等高层次中医药人才。</w:t>
      </w:r>
      <w:r>
        <w:rPr>
          <w:rFonts w:ascii="Times New Roman" w:hAnsi="Times New Roman" w:cs="Times New Roman"/>
          <w:bCs/>
          <w:color w:val="000000" w:themeColor="text1"/>
          <w14:textFill>
            <w14:solidFill>
              <w14:schemeClr w14:val="tx1"/>
            </w14:solidFill>
          </w14:textFill>
        </w:rPr>
        <w:t>开展中医药师承教育和省、市级名老中医药专家学术经验继承工作，增加中青年中医药人才梯度厚度。</w:t>
      </w:r>
    </w:p>
    <w:p w14:paraId="2183EA2B">
      <w:pPr>
        <w:pStyle w:val="4"/>
        <w:spacing w:line="560" w:lineRule="exact"/>
        <w:ind w:firstLine="640" w:firstLineChars="200"/>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——中医药科技和产业全面发展。</w:t>
      </w:r>
      <w:r>
        <w:rPr>
          <w:rFonts w:ascii="Times New Roman" w:hAnsi="Times New Roman" w:cs="Times New Roman"/>
          <w:color w:val="000000" w:themeColor="text1"/>
          <w:kern w:val="0"/>
          <w14:textFill>
            <w14:solidFill>
              <w14:schemeClr w14:val="tx1"/>
            </w14:solidFill>
          </w14:textFill>
        </w:rPr>
        <w:t>大力发展中药材种植加工和医药物流，在规范化、规模化、标准化种植和加工上下功夫，</w:t>
      </w:r>
      <w:r>
        <w:rPr>
          <w:rFonts w:ascii="Times New Roman" w:hAnsi="Times New Roman" w:cs="Times New Roman"/>
          <w:bCs/>
          <w:color w:val="000000" w:themeColor="text1"/>
          <w14:textFill>
            <w14:solidFill>
              <w14:schemeClr w14:val="tx1"/>
            </w14:solidFill>
          </w14:textFill>
        </w:rPr>
        <w:t>初步形成中医药全产业链协同发展的局面。</w:t>
      </w:r>
    </w:p>
    <w:p w14:paraId="59F114B0">
      <w:pPr>
        <w:pStyle w:val="4"/>
        <w:spacing w:line="560" w:lineRule="exact"/>
        <w:ind w:firstLine="6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——中医药文化传播和开放发展增添活力。中医药健康文化全面融入居民生活，居民中医药健康文化素养持续提升</w:t>
      </w:r>
      <w:r>
        <w:rPr>
          <w:rFonts w:ascii="Times New Roman" w:hAnsi="Times New Roman" w:cs="Times New Roman"/>
          <w:color w:val="000000" w:themeColor="text1"/>
          <w14:textFill>
            <w14:solidFill>
              <w14:schemeClr w14:val="tx1"/>
            </w14:solidFill>
          </w14:textFill>
        </w:rPr>
        <w:t>。聚焦成德同城化、聚焦成渝地区双城经济圈建设，深化与上级医疗机构的交流合作，吸引更多中医优秀人才和优质资源向我区汇集。</w:t>
      </w:r>
    </w:p>
    <w:p w14:paraId="4E4A42D0">
      <w:pPr>
        <w:pStyle w:val="4"/>
        <w:spacing w:line="560" w:lineRule="exact"/>
        <w:ind w:firstLine="640" w:firstLineChars="200"/>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color w:val="000000" w:themeColor="text1"/>
          <w:kern w:val="0"/>
          <w:lang w:val="en-US"/>
          <w14:textFill>
            <w14:solidFill>
              <w14:schemeClr w14:val="tx1"/>
            </w14:solidFill>
          </w14:textFill>
        </w:rPr>
        <w:t xml:space="preserve"> </w:t>
      </w:r>
      <w:r>
        <w:rPr>
          <w:rFonts w:ascii="Times New Roman" w:hAnsi="Times New Roman" w:cs="Times New Roman"/>
          <w:bCs/>
          <w:color w:val="000000" w:themeColor="text1"/>
          <w14:textFill>
            <w14:solidFill>
              <w14:schemeClr w14:val="tx1"/>
            </w14:solidFill>
          </w14:textFill>
        </w:rPr>
        <w:t>——中医药治理能力全面提升。贯彻实施《中华人民共和国中医药法》《四川省中医药条例》等法律法规，以中医药强区建设为抓手，创新中医药领导和管理机制，完善中医药发展的政策和支撑体系，全面提升中医药治理体系和治理能力。</w:t>
      </w:r>
    </w:p>
    <w:p w14:paraId="619B73FC">
      <w:pPr>
        <w:spacing w:line="560" w:lineRule="exact"/>
        <w:jc w:val="center"/>
        <w:rPr>
          <w:rFonts w:eastAsia="FangSong_GB2312"/>
          <w:b/>
          <w:bCs/>
          <w:color w:val="000000" w:themeColor="text1"/>
          <w:kern w:val="0"/>
          <w:sz w:val="32"/>
          <w14:textFill>
            <w14:solidFill>
              <w14:schemeClr w14:val="tx1"/>
            </w14:solidFill>
          </w14:textFill>
        </w:rPr>
      </w:pPr>
      <w:r>
        <w:rPr>
          <w:rFonts w:eastAsia="FangSong_GB2312"/>
          <w:b/>
          <w:bCs/>
          <w:color w:val="000000" w:themeColor="text1"/>
          <w:kern w:val="0"/>
          <w:sz w:val="32"/>
          <w14:textFill>
            <w14:solidFill>
              <w14:schemeClr w14:val="tx1"/>
            </w14:solidFill>
          </w14:textFill>
        </w:rPr>
        <w:t>“十四五”发展规划主要指标</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4467"/>
        <w:gridCol w:w="1350"/>
        <w:gridCol w:w="1335"/>
        <w:gridCol w:w="1170"/>
      </w:tblGrid>
      <w:tr w14:paraId="6B0A0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964" w:type="dxa"/>
            <w:vAlign w:val="center"/>
          </w:tcPr>
          <w:p w14:paraId="6E71E15D">
            <w:pPr>
              <w:pStyle w:val="6"/>
              <w:widowControl w:val="0"/>
              <w:spacing w:line="240" w:lineRule="exact"/>
              <w:ind w:left="0" w:leftChars="0" w:firstLine="211" w:firstLineChars="100"/>
              <w:rPr>
                <w:rFonts w:eastAsia="FangSong_GB2312"/>
                <w:b/>
                <w:bCs/>
                <w:color w:val="000000" w:themeColor="text1"/>
                <w14:textFill>
                  <w14:solidFill>
                    <w14:schemeClr w14:val="tx1"/>
                  </w14:solidFill>
                </w14:textFill>
              </w:rPr>
            </w:pPr>
            <w:r>
              <w:rPr>
                <w:b/>
                <w:bCs/>
                <w:color w:val="000000" w:themeColor="text1"/>
                <w14:textFill>
                  <w14:solidFill>
                    <w14:schemeClr w14:val="tx1"/>
                  </w14:solidFill>
                </w14:textFill>
              </w:rPr>
              <w:t>类别</w:t>
            </w:r>
          </w:p>
        </w:tc>
        <w:tc>
          <w:tcPr>
            <w:tcW w:w="4467" w:type="dxa"/>
            <w:vAlign w:val="center"/>
          </w:tcPr>
          <w:p w14:paraId="43C7283D">
            <w:pPr>
              <w:pStyle w:val="6"/>
              <w:widowControl w:val="0"/>
              <w:spacing w:line="240" w:lineRule="exact"/>
              <w:ind w:left="840" w:leftChars="400" w:firstLine="422" w:firstLineChars="200"/>
              <w:rPr>
                <w:rFonts w:eastAsia="FangSong_GB2312"/>
                <w:b/>
                <w:bCs/>
                <w:color w:val="000000" w:themeColor="text1"/>
                <w14:textFill>
                  <w14:solidFill>
                    <w14:schemeClr w14:val="tx1"/>
                  </w14:solidFill>
                </w14:textFill>
              </w:rPr>
            </w:pPr>
            <w:r>
              <w:rPr>
                <w:b/>
                <w:bCs/>
                <w:color w:val="000000" w:themeColor="text1"/>
                <w14:textFill>
                  <w14:solidFill>
                    <w14:schemeClr w14:val="tx1"/>
                  </w14:solidFill>
                </w14:textFill>
              </w:rPr>
              <w:t>主要指标</w:t>
            </w:r>
          </w:p>
        </w:tc>
        <w:tc>
          <w:tcPr>
            <w:tcW w:w="1350" w:type="dxa"/>
            <w:vAlign w:val="center"/>
          </w:tcPr>
          <w:p w14:paraId="31104B3A">
            <w:pPr>
              <w:pStyle w:val="6"/>
              <w:widowControl w:val="0"/>
              <w:spacing w:line="240" w:lineRule="exact"/>
              <w:ind w:left="0" w:leftChars="0" w:firstLine="211" w:firstLineChars="100"/>
              <w:rPr>
                <w:rFonts w:eastAsia="FangSong_GB2312"/>
                <w:b/>
                <w:bCs/>
                <w:color w:val="000000" w:themeColor="text1"/>
                <w14:textFill>
                  <w14:solidFill>
                    <w14:schemeClr w14:val="tx1"/>
                  </w14:solidFill>
                </w14:textFill>
              </w:rPr>
            </w:pPr>
            <w:r>
              <w:rPr>
                <w:b/>
                <w:bCs/>
                <w:color w:val="000000" w:themeColor="text1"/>
                <w14:textFill>
                  <w14:solidFill>
                    <w14:schemeClr w14:val="tx1"/>
                  </w14:solidFill>
                </w14:textFill>
              </w:rPr>
              <w:t>2021年</w:t>
            </w:r>
          </w:p>
        </w:tc>
        <w:tc>
          <w:tcPr>
            <w:tcW w:w="1335" w:type="dxa"/>
            <w:vAlign w:val="center"/>
          </w:tcPr>
          <w:p w14:paraId="100DE5AB">
            <w:pPr>
              <w:pStyle w:val="6"/>
              <w:widowControl w:val="0"/>
              <w:spacing w:line="240" w:lineRule="exact"/>
              <w:ind w:left="0" w:leftChars="0" w:firstLine="211" w:firstLineChars="100"/>
              <w:rPr>
                <w:rFonts w:eastAsia="FangSong_GB2312"/>
                <w:b/>
                <w:bCs/>
                <w:color w:val="000000" w:themeColor="text1"/>
                <w14:textFill>
                  <w14:solidFill>
                    <w14:schemeClr w14:val="tx1"/>
                  </w14:solidFill>
                </w14:textFill>
              </w:rPr>
            </w:pPr>
            <w:r>
              <w:rPr>
                <w:b/>
                <w:bCs/>
                <w:color w:val="000000" w:themeColor="text1"/>
                <w14:textFill>
                  <w14:solidFill>
                    <w14:schemeClr w14:val="tx1"/>
                  </w14:solidFill>
                </w14:textFill>
              </w:rPr>
              <w:t>2025年</w:t>
            </w:r>
          </w:p>
        </w:tc>
        <w:tc>
          <w:tcPr>
            <w:tcW w:w="1170" w:type="dxa"/>
            <w:vAlign w:val="center"/>
          </w:tcPr>
          <w:p w14:paraId="6D2C84EC">
            <w:pPr>
              <w:pStyle w:val="6"/>
              <w:widowControl w:val="0"/>
              <w:spacing w:line="240" w:lineRule="exact"/>
              <w:ind w:left="0" w:leftChars="0" w:firstLine="211" w:firstLineChars="100"/>
              <w:rPr>
                <w:rFonts w:eastAsia="FangSong_GB2312"/>
                <w:b/>
                <w:bCs/>
                <w:color w:val="000000" w:themeColor="text1"/>
                <w14:textFill>
                  <w14:solidFill>
                    <w14:schemeClr w14:val="tx1"/>
                  </w14:solidFill>
                </w14:textFill>
              </w:rPr>
            </w:pPr>
            <w:r>
              <w:rPr>
                <w:b/>
                <w:bCs/>
                <w:color w:val="000000" w:themeColor="text1"/>
                <w14:textFill>
                  <w14:solidFill>
                    <w14:schemeClr w14:val="tx1"/>
                  </w14:solidFill>
                </w14:textFill>
              </w:rPr>
              <w:t>属性</w:t>
            </w:r>
          </w:p>
        </w:tc>
      </w:tr>
      <w:tr w14:paraId="3EA70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964" w:type="dxa"/>
            <w:vMerge w:val="restart"/>
            <w:vAlign w:val="center"/>
          </w:tcPr>
          <w:p w14:paraId="4A817DD5">
            <w:pPr>
              <w:pStyle w:val="6"/>
              <w:widowControl w:val="0"/>
              <w:spacing w:line="240" w:lineRule="exact"/>
              <w:ind w:left="0" w:leftChars="0" w:firstLine="0" w:firstLineChars="0"/>
              <w:rPr>
                <w:rFonts w:eastAsia="FangSong_GB2312"/>
                <w:color w:val="000000" w:themeColor="text1"/>
                <w:sz w:val="22"/>
                <w14:textFill>
                  <w14:solidFill>
                    <w14:schemeClr w14:val="tx1"/>
                  </w14:solidFill>
                </w14:textFill>
              </w:rPr>
            </w:pPr>
            <w:r>
              <w:rPr>
                <w:color w:val="000000" w:themeColor="text1"/>
                <w:sz w:val="22"/>
                <w14:textFill>
                  <w14:solidFill>
                    <w14:schemeClr w14:val="tx1"/>
                  </w14:solidFill>
                </w14:textFill>
              </w:rPr>
              <w:t>中医医疗资源</w:t>
            </w:r>
          </w:p>
        </w:tc>
        <w:tc>
          <w:tcPr>
            <w:tcW w:w="4467" w:type="dxa"/>
            <w:vAlign w:val="center"/>
          </w:tcPr>
          <w:p w14:paraId="47809850">
            <w:pPr>
              <w:pStyle w:val="6"/>
              <w:widowControl w:val="0"/>
              <w:spacing w:line="240" w:lineRule="exact"/>
              <w:ind w:left="0" w:leftChars="0" w:firstLine="0" w:firstLineChars="0"/>
              <w:jc w:val="center"/>
              <w:rPr>
                <w:color w:val="000000" w:themeColor="text1"/>
                <w:sz w:val="22"/>
                <w14:textFill>
                  <w14:solidFill>
                    <w14:schemeClr w14:val="tx1"/>
                  </w14:solidFill>
                </w14:textFill>
              </w:rPr>
            </w:pPr>
            <w:r>
              <w:rPr>
                <w:rFonts w:eastAsia="FangSong_GB2312"/>
                <w:color w:val="000000" w:themeColor="text1"/>
                <w:kern w:val="0"/>
                <w:sz w:val="22"/>
                <w:lang w:val="zh-CN" w:bidi="zh-CN"/>
                <w14:textFill>
                  <w14:solidFill>
                    <w14:schemeClr w14:val="tx1"/>
                  </w14:solidFill>
                </w14:textFill>
              </w:rPr>
              <w:t>每千常住人口中医医院床位数</w:t>
            </w:r>
            <w:r>
              <w:rPr>
                <w:color w:val="000000" w:themeColor="text1"/>
                <w:kern w:val="0"/>
                <w:sz w:val="22"/>
                <w:lang w:val="zh-CN" w:bidi="zh-CN"/>
                <w14:textFill>
                  <w14:solidFill>
                    <w14:schemeClr w14:val="tx1"/>
                  </w14:solidFill>
                </w14:textFill>
              </w:rPr>
              <w:t>（张）</w:t>
            </w:r>
          </w:p>
        </w:tc>
        <w:tc>
          <w:tcPr>
            <w:tcW w:w="1350" w:type="dxa"/>
            <w:vAlign w:val="center"/>
          </w:tcPr>
          <w:p w14:paraId="79057426">
            <w:pPr>
              <w:pStyle w:val="6"/>
              <w:widowControl w:val="0"/>
              <w:spacing w:line="240" w:lineRule="exact"/>
              <w:ind w:left="860" w:hanging="440"/>
              <w:rPr>
                <w:rFonts w:eastAsia="FangSong_GB2312"/>
                <w:color w:val="000000" w:themeColor="text1"/>
                <w:sz w:val="22"/>
                <w14:textFill>
                  <w14:solidFill>
                    <w14:schemeClr w14:val="tx1"/>
                  </w14:solidFill>
                </w14:textFill>
              </w:rPr>
            </w:pPr>
            <w:r>
              <w:rPr>
                <w:color w:val="000000" w:themeColor="text1"/>
                <w:sz w:val="22"/>
                <w14:textFill>
                  <w14:solidFill>
                    <w14:schemeClr w14:val="tx1"/>
                  </w14:solidFill>
                </w14:textFill>
              </w:rPr>
              <w:t>0.86</w:t>
            </w:r>
          </w:p>
        </w:tc>
        <w:tc>
          <w:tcPr>
            <w:tcW w:w="1335" w:type="dxa"/>
            <w:vAlign w:val="center"/>
          </w:tcPr>
          <w:p w14:paraId="574EF993">
            <w:pPr>
              <w:pStyle w:val="6"/>
              <w:widowControl w:val="0"/>
              <w:spacing w:line="240" w:lineRule="exact"/>
              <w:ind w:left="860" w:hanging="440"/>
              <w:rPr>
                <w:rFonts w:eastAsia="FangSong_GB2312"/>
                <w:color w:val="000000" w:themeColor="text1"/>
                <w:sz w:val="22"/>
                <w14:textFill>
                  <w14:solidFill>
                    <w14:schemeClr w14:val="tx1"/>
                  </w14:solidFill>
                </w14:textFill>
              </w:rPr>
            </w:pPr>
            <w:r>
              <w:rPr>
                <w:color w:val="000000" w:themeColor="text1"/>
                <w:sz w:val="22"/>
                <w14:textFill>
                  <w14:solidFill>
                    <w14:schemeClr w14:val="tx1"/>
                  </w14:solidFill>
                </w14:textFill>
              </w:rPr>
              <w:t>0.98</w:t>
            </w:r>
          </w:p>
        </w:tc>
        <w:tc>
          <w:tcPr>
            <w:tcW w:w="1170" w:type="dxa"/>
            <w:vAlign w:val="center"/>
          </w:tcPr>
          <w:p w14:paraId="25DD10BB">
            <w:pPr>
              <w:pStyle w:val="6"/>
              <w:widowControl w:val="0"/>
              <w:spacing w:line="240" w:lineRule="exact"/>
              <w:ind w:left="0" w:leftChars="0" w:firstLine="220" w:firstLineChars="100"/>
              <w:rPr>
                <w:rFonts w:eastAsia="FangSong_GB2312"/>
                <w:color w:val="000000" w:themeColor="text1"/>
                <w:sz w:val="22"/>
                <w14:textFill>
                  <w14:solidFill>
                    <w14:schemeClr w14:val="tx1"/>
                  </w14:solidFill>
                </w14:textFill>
              </w:rPr>
            </w:pPr>
            <w:r>
              <w:rPr>
                <w:color w:val="000000" w:themeColor="text1"/>
                <w:sz w:val="22"/>
                <w14:textFill>
                  <w14:solidFill>
                    <w14:schemeClr w14:val="tx1"/>
                  </w14:solidFill>
                </w14:textFill>
              </w:rPr>
              <w:t>预期性</w:t>
            </w:r>
          </w:p>
        </w:tc>
      </w:tr>
      <w:tr w14:paraId="6F420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964" w:type="dxa"/>
            <w:vMerge w:val="continue"/>
            <w:vAlign w:val="center"/>
          </w:tcPr>
          <w:p w14:paraId="78F54412">
            <w:pPr>
              <w:pStyle w:val="6"/>
              <w:widowControl w:val="0"/>
              <w:spacing w:line="240" w:lineRule="exact"/>
              <w:ind w:left="860" w:hanging="440"/>
              <w:rPr>
                <w:color w:val="000000" w:themeColor="text1"/>
                <w:sz w:val="22"/>
                <w14:textFill>
                  <w14:solidFill>
                    <w14:schemeClr w14:val="tx1"/>
                  </w14:solidFill>
                </w14:textFill>
              </w:rPr>
            </w:pPr>
          </w:p>
        </w:tc>
        <w:tc>
          <w:tcPr>
            <w:tcW w:w="4467" w:type="dxa"/>
            <w:vAlign w:val="center"/>
          </w:tcPr>
          <w:p w14:paraId="573B933C">
            <w:pPr>
              <w:pStyle w:val="6"/>
              <w:widowControl w:val="0"/>
              <w:spacing w:line="240" w:lineRule="exact"/>
              <w:ind w:left="0" w:leftChars="0" w:firstLine="0" w:firstLineChars="0"/>
              <w:jc w:val="center"/>
              <w:rPr>
                <w:color w:val="000000" w:themeColor="text1"/>
                <w:sz w:val="22"/>
                <w14:textFill>
                  <w14:solidFill>
                    <w14:schemeClr w14:val="tx1"/>
                  </w14:solidFill>
                </w14:textFill>
              </w:rPr>
            </w:pPr>
            <w:r>
              <w:rPr>
                <w:rFonts w:eastAsia="FangSong_GB2312"/>
                <w:color w:val="000000" w:themeColor="text1"/>
                <w:kern w:val="0"/>
                <w:sz w:val="22"/>
                <w:lang w:val="zh-CN" w:bidi="zh-CN"/>
                <w14:textFill>
                  <w14:solidFill>
                    <w14:schemeClr w14:val="tx1"/>
                  </w14:solidFill>
                </w14:textFill>
              </w:rPr>
              <w:t>每千常住人口中医类执业（助理）医师</w:t>
            </w:r>
            <w:r>
              <w:rPr>
                <w:color w:val="000000" w:themeColor="text1"/>
                <w:kern w:val="0"/>
                <w:sz w:val="22"/>
                <w:lang w:val="zh-CN" w:bidi="zh-CN"/>
                <w14:textFill>
                  <w14:solidFill>
                    <w14:schemeClr w14:val="tx1"/>
                  </w14:solidFill>
                </w14:textFill>
              </w:rPr>
              <w:t>数（人）</w:t>
            </w:r>
          </w:p>
        </w:tc>
        <w:tc>
          <w:tcPr>
            <w:tcW w:w="1350" w:type="dxa"/>
            <w:vAlign w:val="center"/>
          </w:tcPr>
          <w:p w14:paraId="34E0B8BC">
            <w:pPr>
              <w:pStyle w:val="6"/>
              <w:widowControl w:val="0"/>
              <w:spacing w:line="240" w:lineRule="exact"/>
              <w:ind w:left="860" w:hanging="440"/>
              <w:rPr>
                <w:rFonts w:eastAsia="FangSong_GB2312"/>
                <w:color w:val="000000" w:themeColor="text1"/>
                <w:sz w:val="22"/>
                <w14:textFill>
                  <w14:solidFill>
                    <w14:schemeClr w14:val="tx1"/>
                  </w14:solidFill>
                </w14:textFill>
              </w:rPr>
            </w:pPr>
            <w:r>
              <w:rPr>
                <w:color w:val="000000" w:themeColor="text1"/>
                <w:sz w:val="22"/>
                <w14:textFill>
                  <w14:solidFill>
                    <w14:schemeClr w14:val="tx1"/>
                  </w14:solidFill>
                </w14:textFill>
              </w:rPr>
              <w:t>0.75</w:t>
            </w:r>
          </w:p>
        </w:tc>
        <w:tc>
          <w:tcPr>
            <w:tcW w:w="1335" w:type="dxa"/>
            <w:vAlign w:val="center"/>
          </w:tcPr>
          <w:p w14:paraId="0265FA6C">
            <w:pPr>
              <w:pStyle w:val="6"/>
              <w:widowControl w:val="0"/>
              <w:spacing w:line="240" w:lineRule="exact"/>
              <w:ind w:left="860" w:hanging="440"/>
              <w:rPr>
                <w:rFonts w:eastAsia="FangSong_GB2312"/>
                <w:color w:val="000000" w:themeColor="text1"/>
                <w:sz w:val="22"/>
                <w14:textFill>
                  <w14:solidFill>
                    <w14:schemeClr w14:val="tx1"/>
                  </w14:solidFill>
                </w14:textFill>
              </w:rPr>
            </w:pPr>
            <w:r>
              <w:rPr>
                <w:color w:val="000000" w:themeColor="text1"/>
                <w:sz w:val="22"/>
                <w14:textFill>
                  <w14:solidFill>
                    <w14:schemeClr w14:val="tx1"/>
                  </w14:solidFill>
                </w14:textFill>
              </w:rPr>
              <w:t>0.92</w:t>
            </w:r>
          </w:p>
        </w:tc>
        <w:tc>
          <w:tcPr>
            <w:tcW w:w="1170" w:type="dxa"/>
            <w:vAlign w:val="center"/>
          </w:tcPr>
          <w:p w14:paraId="2E2AE343">
            <w:pPr>
              <w:pStyle w:val="6"/>
              <w:widowControl w:val="0"/>
              <w:spacing w:line="240" w:lineRule="exact"/>
              <w:ind w:left="0" w:leftChars="0" w:firstLine="220" w:firstLineChars="100"/>
              <w:rPr>
                <w:color w:val="000000" w:themeColor="text1"/>
                <w:sz w:val="22"/>
                <w14:textFill>
                  <w14:solidFill>
                    <w14:schemeClr w14:val="tx1"/>
                  </w14:solidFill>
                </w14:textFill>
              </w:rPr>
            </w:pPr>
            <w:r>
              <w:rPr>
                <w:color w:val="000000" w:themeColor="text1"/>
                <w:sz w:val="22"/>
                <w14:textFill>
                  <w14:solidFill>
                    <w14:schemeClr w14:val="tx1"/>
                  </w14:solidFill>
                </w14:textFill>
              </w:rPr>
              <w:t>预期性</w:t>
            </w:r>
          </w:p>
        </w:tc>
      </w:tr>
      <w:tr w14:paraId="5340C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964" w:type="dxa"/>
            <w:vMerge w:val="continue"/>
            <w:vAlign w:val="center"/>
          </w:tcPr>
          <w:p w14:paraId="1882D004">
            <w:pPr>
              <w:pStyle w:val="6"/>
              <w:widowControl w:val="0"/>
              <w:spacing w:line="240" w:lineRule="exact"/>
              <w:ind w:left="860" w:hanging="440"/>
              <w:rPr>
                <w:color w:val="000000" w:themeColor="text1"/>
                <w:sz w:val="22"/>
                <w14:textFill>
                  <w14:solidFill>
                    <w14:schemeClr w14:val="tx1"/>
                  </w14:solidFill>
                </w14:textFill>
              </w:rPr>
            </w:pPr>
          </w:p>
        </w:tc>
        <w:tc>
          <w:tcPr>
            <w:tcW w:w="4467" w:type="dxa"/>
            <w:vAlign w:val="center"/>
          </w:tcPr>
          <w:p w14:paraId="77073CA6">
            <w:pPr>
              <w:pStyle w:val="6"/>
              <w:widowControl w:val="0"/>
              <w:spacing w:line="240" w:lineRule="exact"/>
              <w:ind w:left="0" w:leftChars="0" w:firstLine="0" w:firstLineChars="0"/>
              <w:jc w:val="center"/>
              <w:rPr>
                <w:color w:val="000000" w:themeColor="text1"/>
                <w:sz w:val="22"/>
                <w14:textFill>
                  <w14:solidFill>
                    <w14:schemeClr w14:val="tx1"/>
                  </w14:solidFill>
                </w14:textFill>
              </w:rPr>
            </w:pPr>
            <w:r>
              <w:rPr>
                <w:rFonts w:eastAsia="FangSong_GB2312"/>
                <w:color w:val="000000" w:themeColor="text1"/>
                <w:kern w:val="0"/>
                <w:sz w:val="22"/>
                <w:lang w:val="zh-CN" w:bidi="zh-CN"/>
                <w14:textFill>
                  <w14:solidFill>
                    <w14:schemeClr w14:val="tx1"/>
                  </w14:solidFill>
                </w14:textFill>
              </w:rPr>
              <w:t>每万名常住人口中医类别全科医生</w:t>
            </w:r>
            <w:r>
              <w:rPr>
                <w:color w:val="000000" w:themeColor="text1"/>
                <w:kern w:val="0"/>
                <w:sz w:val="22"/>
                <w:lang w:val="zh-CN" w:bidi="zh-CN"/>
                <w14:textFill>
                  <w14:solidFill>
                    <w14:schemeClr w14:val="tx1"/>
                  </w14:solidFill>
                </w14:textFill>
              </w:rPr>
              <w:t>数（人）</w:t>
            </w:r>
          </w:p>
        </w:tc>
        <w:tc>
          <w:tcPr>
            <w:tcW w:w="1350" w:type="dxa"/>
            <w:vAlign w:val="center"/>
          </w:tcPr>
          <w:p w14:paraId="448C8C5B">
            <w:pPr>
              <w:pStyle w:val="6"/>
              <w:widowControl w:val="0"/>
              <w:spacing w:line="240" w:lineRule="exact"/>
              <w:ind w:left="860" w:hanging="440"/>
              <w:rPr>
                <w:rFonts w:eastAsia="FangSong_GB2312"/>
                <w:color w:val="000000" w:themeColor="text1"/>
                <w:sz w:val="22"/>
                <w14:textFill>
                  <w14:solidFill>
                    <w14:schemeClr w14:val="tx1"/>
                  </w14:solidFill>
                </w14:textFill>
              </w:rPr>
            </w:pPr>
            <w:r>
              <w:rPr>
                <w:color w:val="000000" w:themeColor="text1"/>
                <w:sz w:val="22"/>
                <w14:textFill>
                  <w14:solidFill>
                    <w14:schemeClr w14:val="tx1"/>
                  </w14:solidFill>
                </w14:textFill>
              </w:rPr>
              <w:t>1.8</w:t>
            </w:r>
          </w:p>
        </w:tc>
        <w:tc>
          <w:tcPr>
            <w:tcW w:w="1335" w:type="dxa"/>
            <w:vAlign w:val="center"/>
          </w:tcPr>
          <w:p w14:paraId="15758C0C">
            <w:pPr>
              <w:pStyle w:val="6"/>
              <w:widowControl w:val="0"/>
              <w:spacing w:line="240" w:lineRule="exact"/>
              <w:ind w:left="860" w:hanging="440"/>
              <w:rPr>
                <w:rFonts w:eastAsia="FangSong_GB2312"/>
                <w:color w:val="000000" w:themeColor="text1"/>
                <w:sz w:val="22"/>
                <w14:textFill>
                  <w14:solidFill>
                    <w14:schemeClr w14:val="tx1"/>
                  </w14:solidFill>
                </w14:textFill>
              </w:rPr>
            </w:pPr>
            <w:r>
              <w:rPr>
                <w:color w:val="000000" w:themeColor="text1"/>
                <w:sz w:val="22"/>
                <w14:textFill>
                  <w14:solidFill>
                    <w14:schemeClr w14:val="tx1"/>
                  </w14:solidFill>
                </w14:textFill>
              </w:rPr>
              <w:t>2</w:t>
            </w:r>
          </w:p>
        </w:tc>
        <w:tc>
          <w:tcPr>
            <w:tcW w:w="1170" w:type="dxa"/>
            <w:vAlign w:val="center"/>
          </w:tcPr>
          <w:p w14:paraId="490D437C">
            <w:pPr>
              <w:pStyle w:val="6"/>
              <w:widowControl w:val="0"/>
              <w:spacing w:line="240" w:lineRule="exact"/>
              <w:ind w:left="0" w:leftChars="0" w:firstLine="220" w:firstLineChars="100"/>
              <w:rPr>
                <w:color w:val="000000" w:themeColor="text1"/>
                <w:sz w:val="22"/>
                <w14:textFill>
                  <w14:solidFill>
                    <w14:schemeClr w14:val="tx1"/>
                  </w14:solidFill>
                </w14:textFill>
              </w:rPr>
            </w:pPr>
            <w:r>
              <w:rPr>
                <w:color w:val="000000" w:themeColor="text1"/>
                <w:sz w:val="22"/>
                <w14:textFill>
                  <w14:solidFill>
                    <w14:schemeClr w14:val="tx1"/>
                  </w14:solidFill>
                </w14:textFill>
              </w:rPr>
              <w:t>预期性</w:t>
            </w:r>
          </w:p>
        </w:tc>
      </w:tr>
      <w:tr w14:paraId="02C16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964" w:type="dxa"/>
            <w:vMerge w:val="continue"/>
            <w:vAlign w:val="center"/>
          </w:tcPr>
          <w:p w14:paraId="382AFE96">
            <w:pPr>
              <w:pStyle w:val="6"/>
              <w:widowControl w:val="0"/>
              <w:spacing w:line="240" w:lineRule="exact"/>
              <w:ind w:left="860" w:hanging="440"/>
              <w:rPr>
                <w:color w:val="000000" w:themeColor="text1"/>
                <w:sz w:val="22"/>
                <w14:textFill>
                  <w14:solidFill>
                    <w14:schemeClr w14:val="tx1"/>
                  </w14:solidFill>
                </w14:textFill>
              </w:rPr>
            </w:pPr>
          </w:p>
        </w:tc>
        <w:tc>
          <w:tcPr>
            <w:tcW w:w="4467" w:type="dxa"/>
            <w:vAlign w:val="center"/>
          </w:tcPr>
          <w:p w14:paraId="326ABF37">
            <w:pPr>
              <w:pStyle w:val="6"/>
              <w:widowControl w:val="0"/>
              <w:spacing w:line="240" w:lineRule="exact"/>
              <w:ind w:left="0" w:leftChars="0" w:firstLine="0" w:firstLineChars="0"/>
              <w:jc w:val="center"/>
              <w:rPr>
                <w:color w:val="000000" w:themeColor="text1"/>
                <w:sz w:val="22"/>
                <w14:textFill>
                  <w14:solidFill>
                    <w14:schemeClr w14:val="tx1"/>
                  </w14:solidFill>
                </w14:textFill>
              </w:rPr>
            </w:pPr>
            <w:r>
              <w:rPr>
                <w:color w:val="000000" w:themeColor="text1"/>
                <w:kern w:val="0"/>
                <w:sz w:val="22"/>
                <w:lang w:val="zh-CN" w:bidi="zh-CN"/>
                <w14:textFill>
                  <w14:solidFill>
                    <w14:schemeClr w14:val="tx1"/>
                  </w14:solidFill>
                </w14:textFill>
              </w:rPr>
              <w:t>二级以上</w:t>
            </w:r>
            <w:r>
              <w:rPr>
                <w:rFonts w:eastAsia="FangSong_GB2312"/>
                <w:color w:val="000000" w:themeColor="text1"/>
                <w:kern w:val="0"/>
                <w:sz w:val="22"/>
                <w:lang w:val="zh-CN" w:bidi="zh-CN"/>
                <w14:textFill>
                  <w14:solidFill>
                    <w14:schemeClr w14:val="tx1"/>
                  </w14:solidFill>
                </w14:textFill>
              </w:rPr>
              <w:t>中医医院中医类别执业（助理）医师比例</w:t>
            </w:r>
            <w:r>
              <w:rPr>
                <w:color w:val="000000" w:themeColor="text1"/>
                <w:kern w:val="0"/>
                <w:sz w:val="22"/>
                <w:lang w:val="zh-CN" w:bidi="zh-CN"/>
                <w14:textFill>
                  <w14:solidFill>
                    <w14:schemeClr w14:val="tx1"/>
                  </w14:solidFill>
                </w14:textFill>
              </w:rPr>
              <w:t>（</w:t>
            </w:r>
            <w:r>
              <w:rPr>
                <w:color w:val="000000" w:themeColor="text1"/>
                <w:kern w:val="0"/>
                <w:sz w:val="22"/>
                <w:lang w:bidi="zh-CN"/>
                <w14:textFill>
                  <w14:solidFill>
                    <w14:schemeClr w14:val="tx1"/>
                  </w14:solidFill>
                </w14:textFill>
              </w:rPr>
              <w:t>%</w:t>
            </w:r>
            <w:r>
              <w:rPr>
                <w:color w:val="000000" w:themeColor="text1"/>
                <w:kern w:val="0"/>
                <w:sz w:val="22"/>
                <w:lang w:val="zh-CN" w:bidi="zh-CN"/>
                <w14:textFill>
                  <w14:solidFill>
                    <w14:schemeClr w14:val="tx1"/>
                  </w14:solidFill>
                </w14:textFill>
              </w:rPr>
              <w:t>）</w:t>
            </w:r>
          </w:p>
        </w:tc>
        <w:tc>
          <w:tcPr>
            <w:tcW w:w="1350" w:type="dxa"/>
            <w:vAlign w:val="center"/>
          </w:tcPr>
          <w:p w14:paraId="5891E2A8">
            <w:pPr>
              <w:pStyle w:val="6"/>
              <w:widowControl w:val="0"/>
              <w:spacing w:line="240" w:lineRule="exact"/>
              <w:ind w:left="860" w:hanging="440"/>
              <w:rPr>
                <w:rFonts w:eastAsia="FangSong_GB2312"/>
                <w:color w:val="000000" w:themeColor="text1"/>
                <w:sz w:val="22"/>
                <w14:textFill>
                  <w14:solidFill>
                    <w14:schemeClr w14:val="tx1"/>
                  </w14:solidFill>
                </w14:textFill>
              </w:rPr>
            </w:pPr>
            <w:r>
              <w:rPr>
                <w:color w:val="000000" w:themeColor="text1"/>
                <w:sz w:val="22"/>
                <w14:textFill>
                  <w14:solidFill>
                    <w14:schemeClr w14:val="tx1"/>
                  </w14:solidFill>
                </w14:textFill>
              </w:rPr>
              <w:t>42</w:t>
            </w:r>
          </w:p>
        </w:tc>
        <w:tc>
          <w:tcPr>
            <w:tcW w:w="1335" w:type="dxa"/>
            <w:vAlign w:val="center"/>
          </w:tcPr>
          <w:p w14:paraId="13ED8C47">
            <w:pPr>
              <w:pStyle w:val="6"/>
              <w:widowControl w:val="0"/>
              <w:spacing w:line="240" w:lineRule="exact"/>
              <w:ind w:left="860" w:hanging="440"/>
              <w:rPr>
                <w:rFonts w:eastAsia="FangSong_GB2312"/>
                <w:color w:val="000000" w:themeColor="text1"/>
                <w:sz w:val="22"/>
                <w14:textFill>
                  <w14:solidFill>
                    <w14:schemeClr w14:val="tx1"/>
                  </w14:solidFill>
                </w14:textFill>
              </w:rPr>
            </w:pPr>
            <w:r>
              <w:rPr>
                <w:color w:val="000000" w:themeColor="text1"/>
                <w:sz w:val="22"/>
                <w14:textFill>
                  <w14:solidFill>
                    <w14:schemeClr w14:val="tx1"/>
                  </w14:solidFill>
                </w14:textFill>
              </w:rPr>
              <w:t>60</w:t>
            </w:r>
          </w:p>
        </w:tc>
        <w:tc>
          <w:tcPr>
            <w:tcW w:w="1170" w:type="dxa"/>
            <w:vAlign w:val="center"/>
          </w:tcPr>
          <w:p w14:paraId="703E24F9">
            <w:pPr>
              <w:pStyle w:val="6"/>
              <w:widowControl w:val="0"/>
              <w:spacing w:line="240" w:lineRule="exact"/>
              <w:ind w:left="0" w:leftChars="0" w:firstLine="220" w:firstLineChars="100"/>
              <w:rPr>
                <w:color w:val="000000" w:themeColor="text1"/>
                <w:sz w:val="22"/>
                <w14:textFill>
                  <w14:solidFill>
                    <w14:schemeClr w14:val="tx1"/>
                  </w14:solidFill>
                </w14:textFill>
              </w:rPr>
            </w:pPr>
            <w:r>
              <w:rPr>
                <w:color w:val="000000" w:themeColor="text1"/>
                <w:sz w:val="22"/>
                <w14:textFill>
                  <w14:solidFill>
                    <w14:schemeClr w14:val="tx1"/>
                  </w14:solidFill>
                </w14:textFill>
              </w:rPr>
              <w:t>约束性</w:t>
            </w:r>
          </w:p>
        </w:tc>
      </w:tr>
      <w:tr w14:paraId="31ED5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4" w:type="dxa"/>
            <w:vMerge w:val="continue"/>
            <w:vAlign w:val="center"/>
          </w:tcPr>
          <w:p w14:paraId="6FFCBF85">
            <w:pPr>
              <w:pStyle w:val="6"/>
              <w:widowControl w:val="0"/>
              <w:spacing w:line="240" w:lineRule="exact"/>
              <w:ind w:left="860" w:hanging="440"/>
              <w:rPr>
                <w:color w:val="000000" w:themeColor="text1"/>
                <w:sz w:val="22"/>
                <w14:textFill>
                  <w14:solidFill>
                    <w14:schemeClr w14:val="tx1"/>
                  </w14:solidFill>
                </w14:textFill>
              </w:rPr>
            </w:pPr>
          </w:p>
        </w:tc>
        <w:tc>
          <w:tcPr>
            <w:tcW w:w="4467" w:type="dxa"/>
            <w:vAlign w:val="center"/>
          </w:tcPr>
          <w:p w14:paraId="7AEEBEB3">
            <w:pPr>
              <w:pStyle w:val="6"/>
              <w:widowControl w:val="0"/>
              <w:spacing w:line="240" w:lineRule="exact"/>
              <w:ind w:left="860" w:hanging="440"/>
              <w:rPr>
                <w:rFonts w:eastAsia="FangSong_GB2312"/>
                <w:color w:val="000000" w:themeColor="text1"/>
                <w:sz w:val="22"/>
                <w14:textFill>
                  <w14:solidFill>
                    <w14:schemeClr w14:val="tx1"/>
                  </w14:solidFill>
                </w14:textFill>
              </w:rPr>
            </w:pPr>
            <w:r>
              <w:rPr>
                <w:color w:val="000000" w:themeColor="text1"/>
                <w:sz w:val="22"/>
                <w14:textFill>
                  <w14:solidFill>
                    <w14:schemeClr w14:val="tx1"/>
                  </w14:solidFill>
                </w14:textFill>
              </w:rPr>
              <w:t>二级以上公立综合医院中医临床科室设置率（%）</w:t>
            </w:r>
          </w:p>
        </w:tc>
        <w:tc>
          <w:tcPr>
            <w:tcW w:w="1350" w:type="dxa"/>
            <w:vAlign w:val="center"/>
          </w:tcPr>
          <w:p w14:paraId="6AF41172">
            <w:pPr>
              <w:pStyle w:val="6"/>
              <w:widowControl w:val="0"/>
              <w:spacing w:line="240" w:lineRule="exact"/>
              <w:ind w:left="860" w:hanging="440"/>
              <w:rPr>
                <w:rFonts w:eastAsia="FangSong_GB2312"/>
                <w:color w:val="000000" w:themeColor="text1"/>
                <w:sz w:val="22"/>
                <w14:textFill>
                  <w14:solidFill>
                    <w14:schemeClr w14:val="tx1"/>
                  </w14:solidFill>
                </w14:textFill>
              </w:rPr>
            </w:pPr>
            <w:r>
              <w:rPr>
                <w:color w:val="000000" w:themeColor="text1"/>
                <w:sz w:val="22"/>
                <w14:textFill>
                  <w14:solidFill>
                    <w14:schemeClr w14:val="tx1"/>
                  </w14:solidFill>
                </w14:textFill>
              </w:rPr>
              <w:t>100</w:t>
            </w:r>
          </w:p>
        </w:tc>
        <w:tc>
          <w:tcPr>
            <w:tcW w:w="1335" w:type="dxa"/>
            <w:vAlign w:val="center"/>
          </w:tcPr>
          <w:p w14:paraId="718C0BD5">
            <w:pPr>
              <w:pStyle w:val="6"/>
              <w:widowControl w:val="0"/>
              <w:spacing w:line="240" w:lineRule="exact"/>
              <w:ind w:left="860" w:hanging="440"/>
              <w:rPr>
                <w:rFonts w:eastAsia="FangSong_GB2312"/>
                <w:color w:val="000000" w:themeColor="text1"/>
                <w:sz w:val="22"/>
                <w14:textFill>
                  <w14:solidFill>
                    <w14:schemeClr w14:val="tx1"/>
                  </w14:solidFill>
                </w14:textFill>
              </w:rPr>
            </w:pPr>
            <w:r>
              <w:rPr>
                <w:color w:val="000000" w:themeColor="text1"/>
                <w:sz w:val="22"/>
                <w14:textFill>
                  <w14:solidFill>
                    <w14:schemeClr w14:val="tx1"/>
                  </w14:solidFill>
                </w14:textFill>
              </w:rPr>
              <w:t>100</w:t>
            </w:r>
          </w:p>
        </w:tc>
        <w:tc>
          <w:tcPr>
            <w:tcW w:w="1170" w:type="dxa"/>
            <w:vAlign w:val="center"/>
          </w:tcPr>
          <w:p w14:paraId="248A3BC8">
            <w:pPr>
              <w:pStyle w:val="6"/>
              <w:widowControl w:val="0"/>
              <w:spacing w:line="240" w:lineRule="exact"/>
              <w:ind w:left="0" w:leftChars="0" w:firstLine="220" w:firstLineChars="100"/>
              <w:rPr>
                <w:color w:val="000000" w:themeColor="text1"/>
                <w:sz w:val="22"/>
                <w14:textFill>
                  <w14:solidFill>
                    <w14:schemeClr w14:val="tx1"/>
                  </w14:solidFill>
                </w14:textFill>
              </w:rPr>
            </w:pPr>
            <w:r>
              <w:rPr>
                <w:color w:val="000000" w:themeColor="text1"/>
                <w:sz w:val="22"/>
                <w14:textFill>
                  <w14:solidFill>
                    <w14:schemeClr w14:val="tx1"/>
                  </w14:solidFill>
                </w14:textFill>
              </w:rPr>
              <w:t>约束性</w:t>
            </w:r>
          </w:p>
        </w:tc>
      </w:tr>
      <w:tr w14:paraId="67B21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964" w:type="dxa"/>
            <w:vMerge w:val="restart"/>
            <w:vAlign w:val="center"/>
          </w:tcPr>
          <w:p w14:paraId="14DE0865">
            <w:pPr>
              <w:pStyle w:val="6"/>
              <w:widowControl w:val="0"/>
              <w:spacing w:line="240" w:lineRule="exact"/>
              <w:ind w:left="0" w:leftChars="0" w:firstLine="0" w:firstLineChars="0"/>
              <w:rPr>
                <w:rFonts w:eastAsia="FangSong_GB2312"/>
                <w:color w:val="000000" w:themeColor="text1"/>
                <w:sz w:val="22"/>
                <w14:textFill>
                  <w14:solidFill>
                    <w14:schemeClr w14:val="tx1"/>
                  </w14:solidFill>
                </w14:textFill>
              </w:rPr>
            </w:pPr>
            <w:r>
              <w:rPr>
                <w:color w:val="000000" w:themeColor="text1"/>
                <w:sz w:val="22"/>
                <w14:textFill>
                  <w14:solidFill>
                    <w14:schemeClr w14:val="tx1"/>
                  </w14:solidFill>
                </w14:textFill>
              </w:rPr>
              <w:t>中医药服务</w:t>
            </w:r>
          </w:p>
        </w:tc>
        <w:tc>
          <w:tcPr>
            <w:tcW w:w="4467" w:type="dxa"/>
            <w:vAlign w:val="center"/>
          </w:tcPr>
          <w:p w14:paraId="4680542F">
            <w:pPr>
              <w:pStyle w:val="6"/>
              <w:widowControl w:val="0"/>
              <w:spacing w:line="240" w:lineRule="exact"/>
              <w:ind w:left="860" w:hanging="440"/>
              <w:rPr>
                <w:rFonts w:eastAsia="FangSong_GB2312"/>
                <w:color w:val="000000" w:themeColor="text1"/>
                <w:sz w:val="22"/>
                <w14:textFill>
                  <w14:solidFill>
                    <w14:schemeClr w14:val="tx1"/>
                  </w14:solidFill>
                </w14:textFill>
              </w:rPr>
            </w:pPr>
            <w:r>
              <w:rPr>
                <w:color w:val="000000" w:themeColor="text1"/>
                <w:sz w:val="22"/>
                <w14:textFill>
                  <w14:solidFill>
                    <w14:schemeClr w14:val="tx1"/>
                  </w14:solidFill>
                </w14:textFill>
              </w:rPr>
              <w:t>中医诊疗人次占总诊疗人次比重（%）</w:t>
            </w:r>
          </w:p>
        </w:tc>
        <w:tc>
          <w:tcPr>
            <w:tcW w:w="1350" w:type="dxa"/>
            <w:vAlign w:val="center"/>
          </w:tcPr>
          <w:p w14:paraId="3B205C20">
            <w:pPr>
              <w:pStyle w:val="6"/>
              <w:widowControl w:val="0"/>
              <w:spacing w:line="240" w:lineRule="exact"/>
              <w:ind w:left="860" w:hanging="440"/>
              <w:rPr>
                <w:rFonts w:eastAsia="FangSong_GB2312"/>
                <w:color w:val="000000" w:themeColor="text1"/>
                <w:sz w:val="22"/>
                <w14:textFill>
                  <w14:solidFill>
                    <w14:schemeClr w14:val="tx1"/>
                  </w14:solidFill>
                </w14:textFill>
              </w:rPr>
            </w:pPr>
            <w:r>
              <w:rPr>
                <w:color w:val="000000" w:themeColor="text1"/>
                <w:sz w:val="22"/>
                <w14:textFill>
                  <w14:solidFill>
                    <w14:schemeClr w14:val="tx1"/>
                  </w14:solidFill>
                </w14:textFill>
              </w:rPr>
              <w:t>19</w:t>
            </w:r>
          </w:p>
        </w:tc>
        <w:tc>
          <w:tcPr>
            <w:tcW w:w="1335" w:type="dxa"/>
            <w:vAlign w:val="center"/>
          </w:tcPr>
          <w:p w14:paraId="6BDF4222">
            <w:pPr>
              <w:pStyle w:val="6"/>
              <w:widowControl w:val="0"/>
              <w:spacing w:line="240" w:lineRule="exact"/>
              <w:ind w:left="860" w:hanging="440"/>
              <w:rPr>
                <w:rFonts w:eastAsia="FangSong_GB2312"/>
                <w:color w:val="000000" w:themeColor="text1"/>
                <w:sz w:val="22"/>
                <w14:textFill>
                  <w14:solidFill>
                    <w14:schemeClr w14:val="tx1"/>
                  </w14:solidFill>
                </w14:textFill>
              </w:rPr>
            </w:pPr>
            <w:r>
              <w:rPr>
                <w:color w:val="000000" w:themeColor="text1"/>
                <w:sz w:val="22"/>
                <w14:textFill>
                  <w14:solidFill>
                    <w14:schemeClr w14:val="tx1"/>
                  </w14:solidFill>
                </w14:textFill>
              </w:rPr>
              <w:t>20</w:t>
            </w:r>
          </w:p>
        </w:tc>
        <w:tc>
          <w:tcPr>
            <w:tcW w:w="1170" w:type="dxa"/>
            <w:vAlign w:val="center"/>
          </w:tcPr>
          <w:p w14:paraId="508DB374">
            <w:pPr>
              <w:pStyle w:val="6"/>
              <w:widowControl w:val="0"/>
              <w:spacing w:line="240" w:lineRule="exact"/>
              <w:ind w:left="0" w:leftChars="0" w:firstLine="220" w:firstLineChars="100"/>
              <w:rPr>
                <w:rFonts w:eastAsia="FangSong_GB2312"/>
                <w:color w:val="000000" w:themeColor="text1"/>
                <w:sz w:val="22"/>
                <w:lang w:val="zh-CN" w:bidi="zh-CN"/>
                <w14:textFill>
                  <w14:solidFill>
                    <w14:schemeClr w14:val="tx1"/>
                  </w14:solidFill>
                </w14:textFill>
              </w:rPr>
            </w:pPr>
            <w:r>
              <w:rPr>
                <w:color w:val="000000" w:themeColor="text1"/>
                <w:sz w:val="22"/>
                <w14:textFill>
                  <w14:solidFill>
                    <w14:schemeClr w14:val="tx1"/>
                  </w14:solidFill>
                </w14:textFill>
              </w:rPr>
              <w:t>预期性</w:t>
            </w:r>
          </w:p>
        </w:tc>
      </w:tr>
      <w:tr w14:paraId="27539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964" w:type="dxa"/>
            <w:vMerge w:val="continue"/>
            <w:vAlign w:val="center"/>
          </w:tcPr>
          <w:p w14:paraId="75C8F3B1">
            <w:pPr>
              <w:pStyle w:val="6"/>
              <w:widowControl w:val="0"/>
              <w:spacing w:line="240" w:lineRule="exact"/>
              <w:ind w:left="860" w:hanging="440"/>
              <w:rPr>
                <w:color w:val="000000" w:themeColor="text1"/>
                <w:sz w:val="22"/>
                <w14:textFill>
                  <w14:solidFill>
                    <w14:schemeClr w14:val="tx1"/>
                  </w14:solidFill>
                </w14:textFill>
              </w:rPr>
            </w:pPr>
          </w:p>
        </w:tc>
        <w:tc>
          <w:tcPr>
            <w:tcW w:w="4467" w:type="dxa"/>
            <w:vAlign w:val="center"/>
          </w:tcPr>
          <w:p w14:paraId="33B63BAC">
            <w:pPr>
              <w:pStyle w:val="6"/>
              <w:widowControl w:val="0"/>
              <w:spacing w:line="240" w:lineRule="exact"/>
              <w:ind w:left="860" w:hanging="440"/>
              <w:rPr>
                <w:rFonts w:eastAsia="FangSong_GB2312"/>
                <w:color w:val="000000" w:themeColor="text1"/>
                <w:sz w:val="22"/>
                <w14:textFill>
                  <w14:solidFill>
                    <w14:schemeClr w14:val="tx1"/>
                  </w14:solidFill>
                </w14:textFill>
              </w:rPr>
            </w:pPr>
            <w:r>
              <w:rPr>
                <w:color w:val="000000" w:themeColor="text1"/>
                <w:sz w:val="22"/>
                <w14:textFill>
                  <w14:solidFill>
                    <w14:schemeClr w14:val="tx1"/>
                  </w14:solidFill>
                </w14:textFill>
              </w:rPr>
              <w:t>中医医院出院人数占医院出院人数比重（%）</w:t>
            </w:r>
          </w:p>
        </w:tc>
        <w:tc>
          <w:tcPr>
            <w:tcW w:w="1350" w:type="dxa"/>
            <w:vAlign w:val="center"/>
          </w:tcPr>
          <w:p w14:paraId="53223BAD">
            <w:pPr>
              <w:pStyle w:val="6"/>
              <w:widowControl w:val="0"/>
              <w:spacing w:line="240" w:lineRule="exact"/>
              <w:ind w:left="860" w:hanging="440"/>
              <w:rPr>
                <w:rFonts w:eastAsia="FangSong_GB2312"/>
                <w:color w:val="000000" w:themeColor="text1"/>
                <w:sz w:val="22"/>
                <w14:textFill>
                  <w14:solidFill>
                    <w14:schemeClr w14:val="tx1"/>
                  </w14:solidFill>
                </w14:textFill>
              </w:rPr>
            </w:pPr>
            <w:r>
              <w:rPr>
                <w:color w:val="000000" w:themeColor="text1"/>
                <w:sz w:val="22"/>
                <w14:textFill>
                  <w14:solidFill>
                    <w14:schemeClr w14:val="tx1"/>
                  </w14:solidFill>
                </w14:textFill>
              </w:rPr>
              <w:t>13</w:t>
            </w:r>
          </w:p>
        </w:tc>
        <w:tc>
          <w:tcPr>
            <w:tcW w:w="1335" w:type="dxa"/>
            <w:vAlign w:val="center"/>
          </w:tcPr>
          <w:p w14:paraId="5D5E035A">
            <w:pPr>
              <w:pStyle w:val="6"/>
              <w:widowControl w:val="0"/>
              <w:spacing w:line="240" w:lineRule="exact"/>
              <w:ind w:left="860" w:hanging="440"/>
              <w:rPr>
                <w:rFonts w:eastAsia="FangSong_GB2312"/>
                <w:color w:val="000000" w:themeColor="text1"/>
                <w:sz w:val="22"/>
                <w14:textFill>
                  <w14:solidFill>
                    <w14:schemeClr w14:val="tx1"/>
                  </w14:solidFill>
                </w14:textFill>
              </w:rPr>
            </w:pPr>
            <w:r>
              <w:rPr>
                <w:color w:val="000000" w:themeColor="text1"/>
                <w:sz w:val="22"/>
                <w14:textFill>
                  <w14:solidFill>
                    <w14:schemeClr w14:val="tx1"/>
                  </w14:solidFill>
                </w14:textFill>
              </w:rPr>
              <w:t>18</w:t>
            </w:r>
          </w:p>
        </w:tc>
        <w:tc>
          <w:tcPr>
            <w:tcW w:w="1170" w:type="dxa"/>
            <w:vAlign w:val="center"/>
          </w:tcPr>
          <w:p w14:paraId="203DC5C1">
            <w:pPr>
              <w:pStyle w:val="6"/>
              <w:widowControl w:val="0"/>
              <w:spacing w:line="240" w:lineRule="exact"/>
              <w:ind w:left="0" w:leftChars="0" w:firstLine="220" w:firstLineChars="100"/>
              <w:rPr>
                <w:rFonts w:eastAsia="FangSong_GB2312"/>
                <w:color w:val="000000" w:themeColor="text1"/>
                <w:sz w:val="22"/>
                <w:lang w:val="zh-CN" w:bidi="zh-CN"/>
                <w14:textFill>
                  <w14:solidFill>
                    <w14:schemeClr w14:val="tx1"/>
                  </w14:solidFill>
                </w14:textFill>
              </w:rPr>
            </w:pPr>
            <w:r>
              <w:rPr>
                <w:color w:val="000000" w:themeColor="text1"/>
                <w:sz w:val="22"/>
                <w14:textFill>
                  <w14:solidFill>
                    <w14:schemeClr w14:val="tx1"/>
                  </w14:solidFill>
                </w14:textFill>
              </w:rPr>
              <w:t>预期性</w:t>
            </w:r>
          </w:p>
        </w:tc>
      </w:tr>
      <w:tr w14:paraId="7062C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964" w:type="dxa"/>
            <w:vMerge w:val="continue"/>
            <w:vAlign w:val="center"/>
          </w:tcPr>
          <w:p w14:paraId="29BC355D">
            <w:pPr>
              <w:pStyle w:val="6"/>
              <w:widowControl w:val="0"/>
              <w:spacing w:line="240" w:lineRule="exact"/>
              <w:ind w:left="860" w:hanging="440"/>
              <w:rPr>
                <w:color w:val="000000" w:themeColor="text1"/>
                <w:sz w:val="22"/>
                <w14:textFill>
                  <w14:solidFill>
                    <w14:schemeClr w14:val="tx1"/>
                  </w14:solidFill>
                </w14:textFill>
              </w:rPr>
            </w:pPr>
          </w:p>
        </w:tc>
        <w:tc>
          <w:tcPr>
            <w:tcW w:w="4467" w:type="dxa"/>
            <w:vAlign w:val="center"/>
          </w:tcPr>
          <w:p w14:paraId="367E5311">
            <w:pPr>
              <w:pStyle w:val="6"/>
              <w:widowControl w:val="0"/>
              <w:spacing w:line="240" w:lineRule="exact"/>
              <w:ind w:left="860" w:hanging="440"/>
              <w:rPr>
                <w:rFonts w:eastAsia="FangSong_GB2312"/>
                <w:color w:val="000000" w:themeColor="text1"/>
                <w:sz w:val="22"/>
                <w14:textFill>
                  <w14:solidFill>
                    <w14:schemeClr w14:val="tx1"/>
                  </w14:solidFill>
                </w14:textFill>
              </w:rPr>
            </w:pPr>
            <w:r>
              <w:rPr>
                <w:color w:val="000000" w:themeColor="text1"/>
                <w:sz w:val="22"/>
                <w14:textFill>
                  <w14:solidFill>
                    <w14:schemeClr w14:val="tx1"/>
                  </w14:solidFill>
                </w14:textFill>
              </w:rPr>
              <w:t>0-3岁儿童中医药健康管理服务率（%）</w:t>
            </w:r>
          </w:p>
        </w:tc>
        <w:tc>
          <w:tcPr>
            <w:tcW w:w="1350" w:type="dxa"/>
            <w:vAlign w:val="center"/>
          </w:tcPr>
          <w:p w14:paraId="78AD348E">
            <w:pPr>
              <w:pStyle w:val="6"/>
              <w:widowControl w:val="0"/>
              <w:spacing w:line="240" w:lineRule="exact"/>
              <w:ind w:left="860" w:hanging="440"/>
              <w:rPr>
                <w:rFonts w:eastAsia="FangSong_GB2312"/>
                <w:color w:val="000000" w:themeColor="text1"/>
                <w:sz w:val="22"/>
                <w14:textFill>
                  <w14:solidFill>
                    <w14:schemeClr w14:val="tx1"/>
                  </w14:solidFill>
                </w14:textFill>
              </w:rPr>
            </w:pPr>
            <w:r>
              <w:rPr>
                <w:color w:val="000000" w:themeColor="text1"/>
                <w:sz w:val="22"/>
                <w14:textFill>
                  <w14:solidFill>
                    <w14:schemeClr w14:val="tx1"/>
                  </w14:solidFill>
                </w14:textFill>
              </w:rPr>
              <w:t>75</w:t>
            </w:r>
          </w:p>
        </w:tc>
        <w:tc>
          <w:tcPr>
            <w:tcW w:w="1335" w:type="dxa"/>
            <w:vAlign w:val="center"/>
          </w:tcPr>
          <w:p w14:paraId="310429C3">
            <w:pPr>
              <w:pStyle w:val="6"/>
              <w:widowControl w:val="0"/>
              <w:spacing w:line="240" w:lineRule="exact"/>
              <w:ind w:left="860" w:hanging="440"/>
              <w:rPr>
                <w:rFonts w:eastAsia="FangSong_GB2312"/>
                <w:color w:val="000000" w:themeColor="text1"/>
                <w:sz w:val="22"/>
                <w14:textFill>
                  <w14:solidFill>
                    <w14:schemeClr w14:val="tx1"/>
                  </w14:solidFill>
                </w14:textFill>
              </w:rPr>
            </w:pPr>
            <w:r>
              <w:rPr>
                <w:color w:val="000000" w:themeColor="text1"/>
                <w:sz w:val="22"/>
                <w14:textFill>
                  <w14:solidFill>
                    <w14:schemeClr w14:val="tx1"/>
                  </w14:solidFill>
                </w14:textFill>
              </w:rPr>
              <w:t>90</w:t>
            </w:r>
          </w:p>
        </w:tc>
        <w:tc>
          <w:tcPr>
            <w:tcW w:w="1170" w:type="dxa"/>
            <w:vAlign w:val="center"/>
          </w:tcPr>
          <w:p w14:paraId="6527399F">
            <w:pPr>
              <w:pStyle w:val="6"/>
              <w:widowControl w:val="0"/>
              <w:spacing w:line="240" w:lineRule="exact"/>
              <w:ind w:left="0" w:leftChars="0" w:firstLine="220" w:firstLineChars="100"/>
              <w:rPr>
                <w:rFonts w:eastAsia="FangSong_GB2312"/>
                <w:color w:val="000000" w:themeColor="text1"/>
                <w:sz w:val="22"/>
                <w:lang w:val="zh-CN" w:bidi="zh-CN"/>
                <w14:textFill>
                  <w14:solidFill>
                    <w14:schemeClr w14:val="tx1"/>
                  </w14:solidFill>
                </w14:textFill>
              </w:rPr>
            </w:pPr>
            <w:r>
              <w:rPr>
                <w:color w:val="000000" w:themeColor="text1"/>
                <w:sz w:val="22"/>
                <w14:textFill>
                  <w14:solidFill>
                    <w14:schemeClr w14:val="tx1"/>
                  </w14:solidFill>
                </w14:textFill>
              </w:rPr>
              <w:t>预期性</w:t>
            </w:r>
          </w:p>
        </w:tc>
      </w:tr>
      <w:tr w14:paraId="72B25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964" w:type="dxa"/>
            <w:vMerge w:val="continue"/>
            <w:vAlign w:val="center"/>
          </w:tcPr>
          <w:p w14:paraId="3EF78B67">
            <w:pPr>
              <w:pStyle w:val="6"/>
              <w:widowControl w:val="0"/>
              <w:spacing w:line="240" w:lineRule="exact"/>
              <w:ind w:left="860" w:hanging="440"/>
              <w:rPr>
                <w:color w:val="000000" w:themeColor="text1"/>
                <w:sz w:val="22"/>
                <w14:textFill>
                  <w14:solidFill>
                    <w14:schemeClr w14:val="tx1"/>
                  </w14:solidFill>
                </w14:textFill>
              </w:rPr>
            </w:pPr>
          </w:p>
        </w:tc>
        <w:tc>
          <w:tcPr>
            <w:tcW w:w="4467" w:type="dxa"/>
            <w:vAlign w:val="center"/>
          </w:tcPr>
          <w:p w14:paraId="412BAB68">
            <w:pPr>
              <w:pStyle w:val="6"/>
              <w:widowControl w:val="0"/>
              <w:spacing w:line="240" w:lineRule="exact"/>
              <w:ind w:left="860" w:hanging="440"/>
              <w:rPr>
                <w:rFonts w:eastAsia="FangSong_GB2312"/>
                <w:color w:val="000000" w:themeColor="text1"/>
                <w:sz w:val="22"/>
                <w14:textFill>
                  <w14:solidFill>
                    <w14:schemeClr w14:val="tx1"/>
                  </w14:solidFill>
                </w14:textFill>
              </w:rPr>
            </w:pPr>
            <w:r>
              <w:rPr>
                <w:color w:val="000000" w:themeColor="text1"/>
                <w:sz w:val="22"/>
                <w14:textFill>
                  <w14:solidFill>
                    <w14:schemeClr w14:val="tx1"/>
                  </w14:solidFill>
                </w14:textFill>
              </w:rPr>
              <w:t>65岁老年人中医药健康管理服务率（%）</w:t>
            </w:r>
          </w:p>
        </w:tc>
        <w:tc>
          <w:tcPr>
            <w:tcW w:w="1350" w:type="dxa"/>
            <w:vAlign w:val="center"/>
          </w:tcPr>
          <w:p w14:paraId="796D3514">
            <w:pPr>
              <w:pStyle w:val="6"/>
              <w:widowControl w:val="0"/>
              <w:spacing w:line="240" w:lineRule="exact"/>
              <w:ind w:left="860" w:hanging="440"/>
              <w:rPr>
                <w:rFonts w:eastAsia="FangSong_GB2312"/>
                <w:color w:val="000000" w:themeColor="text1"/>
                <w:sz w:val="22"/>
                <w14:textFill>
                  <w14:solidFill>
                    <w14:schemeClr w14:val="tx1"/>
                  </w14:solidFill>
                </w14:textFill>
              </w:rPr>
            </w:pPr>
            <w:r>
              <w:rPr>
                <w:color w:val="000000" w:themeColor="text1"/>
                <w:sz w:val="22"/>
                <w14:textFill>
                  <w14:solidFill>
                    <w14:schemeClr w14:val="tx1"/>
                  </w14:solidFill>
                </w14:textFill>
              </w:rPr>
              <w:t>76</w:t>
            </w:r>
          </w:p>
        </w:tc>
        <w:tc>
          <w:tcPr>
            <w:tcW w:w="1335" w:type="dxa"/>
            <w:vAlign w:val="center"/>
          </w:tcPr>
          <w:p w14:paraId="22B3AF36">
            <w:pPr>
              <w:pStyle w:val="6"/>
              <w:widowControl w:val="0"/>
              <w:spacing w:line="240" w:lineRule="exact"/>
              <w:ind w:left="860" w:hanging="440"/>
              <w:rPr>
                <w:rFonts w:eastAsia="FangSong_GB2312"/>
                <w:color w:val="000000" w:themeColor="text1"/>
                <w:sz w:val="22"/>
                <w14:textFill>
                  <w14:solidFill>
                    <w14:schemeClr w14:val="tx1"/>
                  </w14:solidFill>
                </w14:textFill>
              </w:rPr>
            </w:pPr>
            <w:r>
              <w:rPr>
                <w:color w:val="000000" w:themeColor="text1"/>
                <w:sz w:val="22"/>
                <w14:textFill>
                  <w14:solidFill>
                    <w14:schemeClr w14:val="tx1"/>
                  </w14:solidFill>
                </w14:textFill>
              </w:rPr>
              <w:t>80</w:t>
            </w:r>
          </w:p>
        </w:tc>
        <w:tc>
          <w:tcPr>
            <w:tcW w:w="1170" w:type="dxa"/>
            <w:vAlign w:val="center"/>
          </w:tcPr>
          <w:p w14:paraId="5D7A7E33">
            <w:pPr>
              <w:pStyle w:val="6"/>
              <w:widowControl w:val="0"/>
              <w:spacing w:line="240" w:lineRule="exact"/>
              <w:ind w:left="0" w:leftChars="0" w:firstLine="220" w:firstLineChars="100"/>
              <w:rPr>
                <w:rFonts w:eastAsia="FangSong_GB2312"/>
                <w:color w:val="000000" w:themeColor="text1"/>
                <w:sz w:val="22"/>
                <w:lang w:val="zh-CN" w:bidi="zh-CN"/>
                <w14:textFill>
                  <w14:solidFill>
                    <w14:schemeClr w14:val="tx1"/>
                  </w14:solidFill>
                </w14:textFill>
              </w:rPr>
            </w:pPr>
            <w:r>
              <w:rPr>
                <w:color w:val="000000" w:themeColor="text1"/>
                <w:sz w:val="22"/>
                <w14:textFill>
                  <w14:solidFill>
                    <w14:schemeClr w14:val="tx1"/>
                  </w14:solidFill>
                </w14:textFill>
              </w:rPr>
              <w:t>预期性</w:t>
            </w:r>
          </w:p>
        </w:tc>
      </w:tr>
      <w:tr w14:paraId="16B57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964" w:type="dxa"/>
            <w:vMerge w:val="continue"/>
            <w:vAlign w:val="center"/>
          </w:tcPr>
          <w:p w14:paraId="43411639">
            <w:pPr>
              <w:pStyle w:val="6"/>
              <w:widowControl w:val="0"/>
              <w:spacing w:line="240" w:lineRule="exact"/>
              <w:ind w:left="860" w:hanging="440"/>
              <w:rPr>
                <w:color w:val="000000" w:themeColor="text1"/>
                <w:sz w:val="22"/>
                <w14:textFill>
                  <w14:solidFill>
                    <w14:schemeClr w14:val="tx1"/>
                  </w14:solidFill>
                </w14:textFill>
              </w:rPr>
            </w:pPr>
          </w:p>
        </w:tc>
        <w:tc>
          <w:tcPr>
            <w:tcW w:w="4467" w:type="dxa"/>
            <w:vAlign w:val="center"/>
          </w:tcPr>
          <w:p w14:paraId="356ABD28">
            <w:pPr>
              <w:pStyle w:val="6"/>
              <w:widowControl w:val="0"/>
              <w:spacing w:line="240" w:lineRule="exact"/>
              <w:ind w:left="860" w:hanging="440"/>
              <w:rPr>
                <w:rFonts w:eastAsia="FangSong_GB2312"/>
                <w:color w:val="000000" w:themeColor="text1"/>
                <w:sz w:val="22"/>
                <w14:textFill>
                  <w14:solidFill>
                    <w14:schemeClr w14:val="tx1"/>
                  </w14:solidFill>
                </w14:textFill>
              </w:rPr>
            </w:pPr>
            <w:r>
              <w:rPr>
                <w:color w:val="000000" w:themeColor="text1"/>
                <w:sz w:val="22"/>
                <w14:textFill>
                  <w14:solidFill>
                    <w14:schemeClr w14:val="tx1"/>
                  </w14:solidFill>
                </w14:textFill>
              </w:rPr>
              <w:t>基层中医药服务量（%）</w:t>
            </w:r>
          </w:p>
        </w:tc>
        <w:tc>
          <w:tcPr>
            <w:tcW w:w="1350" w:type="dxa"/>
            <w:vAlign w:val="center"/>
          </w:tcPr>
          <w:p w14:paraId="280E990A">
            <w:pPr>
              <w:pStyle w:val="6"/>
              <w:widowControl w:val="0"/>
              <w:spacing w:line="240" w:lineRule="exact"/>
              <w:ind w:left="860" w:hanging="440"/>
              <w:rPr>
                <w:rFonts w:eastAsia="FangSong_GB2312"/>
                <w:color w:val="000000" w:themeColor="text1"/>
                <w:sz w:val="22"/>
                <w14:textFill>
                  <w14:solidFill>
                    <w14:schemeClr w14:val="tx1"/>
                  </w14:solidFill>
                </w14:textFill>
              </w:rPr>
            </w:pPr>
            <w:r>
              <w:rPr>
                <w:color w:val="000000" w:themeColor="text1"/>
                <w:sz w:val="22"/>
                <w14:textFill>
                  <w14:solidFill>
                    <w14:schemeClr w14:val="tx1"/>
                  </w14:solidFill>
                </w14:textFill>
              </w:rPr>
              <w:t>48.6</w:t>
            </w:r>
          </w:p>
        </w:tc>
        <w:tc>
          <w:tcPr>
            <w:tcW w:w="1335" w:type="dxa"/>
            <w:vAlign w:val="center"/>
          </w:tcPr>
          <w:p w14:paraId="6D2CB915">
            <w:pPr>
              <w:pStyle w:val="6"/>
              <w:widowControl w:val="0"/>
              <w:spacing w:line="240" w:lineRule="exact"/>
              <w:ind w:left="860" w:hanging="440"/>
              <w:rPr>
                <w:rFonts w:eastAsia="FangSong_GB2312"/>
                <w:color w:val="000000" w:themeColor="text1"/>
                <w:sz w:val="22"/>
                <w14:textFill>
                  <w14:solidFill>
                    <w14:schemeClr w14:val="tx1"/>
                  </w14:solidFill>
                </w14:textFill>
              </w:rPr>
            </w:pPr>
            <w:r>
              <w:rPr>
                <w:color w:val="000000" w:themeColor="text1"/>
                <w:sz w:val="22"/>
                <w14:textFill>
                  <w14:solidFill>
                    <w14:schemeClr w14:val="tx1"/>
                  </w14:solidFill>
                </w14:textFill>
              </w:rPr>
              <w:t>50</w:t>
            </w:r>
          </w:p>
        </w:tc>
        <w:tc>
          <w:tcPr>
            <w:tcW w:w="1170" w:type="dxa"/>
            <w:vAlign w:val="center"/>
          </w:tcPr>
          <w:p w14:paraId="7A0AD88B">
            <w:pPr>
              <w:pStyle w:val="6"/>
              <w:widowControl w:val="0"/>
              <w:spacing w:line="240" w:lineRule="exact"/>
              <w:ind w:left="0" w:leftChars="0" w:firstLine="220" w:firstLineChars="100"/>
              <w:rPr>
                <w:rFonts w:eastAsia="FangSong_GB2312"/>
                <w:color w:val="000000" w:themeColor="text1"/>
                <w:sz w:val="22"/>
                <w:lang w:val="zh-CN" w:bidi="zh-CN"/>
                <w14:textFill>
                  <w14:solidFill>
                    <w14:schemeClr w14:val="tx1"/>
                  </w14:solidFill>
                </w14:textFill>
              </w:rPr>
            </w:pPr>
            <w:r>
              <w:rPr>
                <w:color w:val="000000" w:themeColor="text1"/>
                <w:sz w:val="22"/>
                <w14:textFill>
                  <w14:solidFill>
                    <w14:schemeClr w14:val="tx1"/>
                  </w14:solidFill>
                </w14:textFill>
              </w:rPr>
              <w:t>预期性</w:t>
            </w:r>
          </w:p>
        </w:tc>
      </w:tr>
      <w:tr w14:paraId="2603B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964" w:type="dxa"/>
            <w:vMerge w:val="restart"/>
            <w:vAlign w:val="center"/>
          </w:tcPr>
          <w:p w14:paraId="1D3B53FA">
            <w:pPr>
              <w:pStyle w:val="6"/>
              <w:widowControl w:val="0"/>
              <w:spacing w:line="240" w:lineRule="exact"/>
              <w:ind w:left="0" w:leftChars="0" w:firstLine="0" w:firstLineChars="0"/>
              <w:rPr>
                <w:rFonts w:eastAsia="FangSong_GB2312"/>
                <w:color w:val="000000" w:themeColor="text1"/>
                <w:sz w:val="22"/>
                <w14:textFill>
                  <w14:solidFill>
                    <w14:schemeClr w14:val="tx1"/>
                  </w14:solidFill>
                </w14:textFill>
              </w:rPr>
            </w:pPr>
            <w:r>
              <w:rPr>
                <w:color w:val="000000" w:themeColor="text1"/>
                <w:sz w:val="22"/>
                <w14:textFill>
                  <w14:solidFill>
                    <w14:schemeClr w14:val="tx1"/>
                  </w14:solidFill>
                </w14:textFill>
              </w:rPr>
              <w:t>中医药产业</w:t>
            </w:r>
          </w:p>
        </w:tc>
        <w:tc>
          <w:tcPr>
            <w:tcW w:w="4467" w:type="dxa"/>
            <w:vAlign w:val="center"/>
          </w:tcPr>
          <w:p w14:paraId="3E16F12E">
            <w:pPr>
              <w:pStyle w:val="6"/>
              <w:widowControl w:val="0"/>
              <w:spacing w:line="240" w:lineRule="exact"/>
              <w:ind w:left="860" w:hanging="440"/>
              <w:rPr>
                <w:rFonts w:eastAsia="FangSong_GB2312"/>
                <w:color w:val="000000" w:themeColor="text1"/>
                <w:sz w:val="22"/>
                <w14:textFill>
                  <w14:solidFill>
                    <w14:schemeClr w14:val="tx1"/>
                  </w14:solidFill>
                </w14:textFill>
              </w:rPr>
            </w:pPr>
            <w:r>
              <w:rPr>
                <w:color w:val="000000" w:themeColor="text1"/>
                <w:sz w:val="22"/>
                <w14:textFill>
                  <w14:solidFill>
                    <w14:schemeClr w14:val="tx1"/>
                  </w14:solidFill>
                </w14:textFill>
              </w:rPr>
              <w:t>中药材种植面积（亩）</w:t>
            </w:r>
          </w:p>
        </w:tc>
        <w:tc>
          <w:tcPr>
            <w:tcW w:w="1350" w:type="dxa"/>
            <w:vAlign w:val="center"/>
          </w:tcPr>
          <w:p w14:paraId="42FADD73">
            <w:pPr>
              <w:pStyle w:val="6"/>
              <w:widowControl w:val="0"/>
              <w:spacing w:line="240" w:lineRule="exact"/>
              <w:ind w:left="860" w:hanging="440"/>
              <w:rPr>
                <w:rFonts w:eastAsia="FangSong_GB2312"/>
                <w:color w:val="000000" w:themeColor="text1"/>
                <w:sz w:val="22"/>
                <w14:textFill>
                  <w14:solidFill>
                    <w14:schemeClr w14:val="tx1"/>
                  </w14:solidFill>
                </w14:textFill>
              </w:rPr>
            </w:pPr>
            <w:r>
              <w:rPr>
                <w:color w:val="000000" w:themeColor="text1"/>
                <w:sz w:val="22"/>
                <w14:textFill>
                  <w14:solidFill>
                    <w14:schemeClr w14:val="tx1"/>
                  </w14:solidFill>
                </w14:textFill>
              </w:rPr>
              <w:t>400</w:t>
            </w:r>
          </w:p>
        </w:tc>
        <w:tc>
          <w:tcPr>
            <w:tcW w:w="1335" w:type="dxa"/>
            <w:vAlign w:val="center"/>
          </w:tcPr>
          <w:p w14:paraId="2FB259C1">
            <w:pPr>
              <w:pStyle w:val="6"/>
              <w:widowControl w:val="0"/>
              <w:spacing w:line="240" w:lineRule="exact"/>
              <w:ind w:left="860" w:hanging="440"/>
              <w:rPr>
                <w:rFonts w:eastAsia="FangSong_GB2312"/>
                <w:color w:val="000000" w:themeColor="text1"/>
                <w:sz w:val="22"/>
                <w14:textFill>
                  <w14:solidFill>
                    <w14:schemeClr w14:val="tx1"/>
                  </w14:solidFill>
                </w14:textFill>
              </w:rPr>
            </w:pPr>
            <w:r>
              <w:rPr>
                <w:color w:val="000000" w:themeColor="text1"/>
                <w:sz w:val="22"/>
                <w14:textFill>
                  <w14:solidFill>
                    <w14:schemeClr w14:val="tx1"/>
                  </w14:solidFill>
                </w14:textFill>
              </w:rPr>
              <w:t>600</w:t>
            </w:r>
          </w:p>
        </w:tc>
        <w:tc>
          <w:tcPr>
            <w:tcW w:w="1170" w:type="dxa"/>
            <w:vAlign w:val="center"/>
          </w:tcPr>
          <w:p w14:paraId="009FF41D">
            <w:pPr>
              <w:pStyle w:val="6"/>
              <w:widowControl w:val="0"/>
              <w:spacing w:line="240" w:lineRule="exact"/>
              <w:ind w:left="0" w:leftChars="0" w:firstLine="220" w:firstLineChars="100"/>
              <w:rPr>
                <w:rFonts w:eastAsia="FangSong_GB2312"/>
                <w:color w:val="000000" w:themeColor="text1"/>
                <w:sz w:val="22"/>
                <w:lang w:val="zh-CN" w:bidi="zh-CN"/>
                <w14:textFill>
                  <w14:solidFill>
                    <w14:schemeClr w14:val="tx1"/>
                  </w14:solidFill>
                </w14:textFill>
              </w:rPr>
            </w:pPr>
            <w:r>
              <w:rPr>
                <w:color w:val="000000" w:themeColor="text1"/>
                <w:sz w:val="22"/>
                <w14:textFill>
                  <w14:solidFill>
                    <w14:schemeClr w14:val="tx1"/>
                  </w14:solidFill>
                </w14:textFill>
              </w:rPr>
              <w:t>预期性</w:t>
            </w:r>
          </w:p>
        </w:tc>
      </w:tr>
      <w:tr w14:paraId="011E3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964" w:type="dxa"/>
            <w:vMerge w:val="continue"/>
            <w:vAlign w:val="center"/>
          </w:tcPr>
          <w:p w14:paraId="0F429B1B">
            <w:pPr>
              <w:pStyle w:val="6"/>
              <w:widowControl w:val="0"/>
              <w:spacing w:line="240" w:lineRule="exact"/>
              <w:ind w:left="860" w:hanging="440"/>
              <w:rPr>
                <w:color w:val="000000" w:themeColor="text1"/>
                <w:sz w:val="22"/>
                <w14:textFill>
                  <w14:solidFill>
                    <w14:schemeClr w14:val="tx1"/>
                  </w14:solidFill>
                </w14:textFill>
              </w:rPr>
            </w:pPr>
          </w:p>
        </w:tc>
        <w:tc>
          <w:tcPr>
            <w:tcW w:w="4467" w:type="dxa"/>
            <w:vAlign w:val="center"/>
          </w:tcPr>
          <w:p w14:paraId="6063C5F8">
            <w:pPr>
              <w:pStyle w:val="6"/>
              <w:widowControl w:val="0"/>
              <w:spacing w:line="240" w:lineRule="exact"/>
              <w:ind w:left="860" w:hanging="440"/>
              <w:rPr>
                <w:rFonts w:eastAsia="FangSong_GB2312"/>
                <w:color w:val="000000" w:themeColor="text1"/>
                <w:sz w:val="22"/>
                <w14:textFill>
                  <w14:solidFill>
                    <w14:schemeClr w14:val="tx1"/>
                  </w14:solidFill>
                </w14:textFill>
              </w:rPr>
            </w:pPr>
            <w:r>
              <w:rPr>
                <w:color w:val="000000" w:themeColor="text1"/>
                <w:sz w:val="22"/>
                <w14:textFill>
                  <w14:solidFill>
                    <w14:schemeClr w14:val="tx1"/>
                  </w14:solidFill>
                </w14:textFill>
              </w:rPr>
              <w:t>产业链综合产值年均增速（%）</w:t>
            </w:r>
          </w:p>
        </w:tc>
        <w:tc>
          <w:tcPr>
            <w:tcW w:w="1350" w:type="dxa"/>
            <w:vAlign w:val="center"/>
          </w:tcPr>
          <w:p w14:paraId="5DC67372">
            <w:pPr>
              <w:pStyle w:val="6"/>
              <w:widowControl w:val="0"/>
              <w:spacing w:line="240" w:lineRule="exact"/>
              <w:ind w:left="860" w:hanging="440"/>
              <w:rPr>
                <w:rFonts w:eastAsia="FangSong_GB2312"/>
                <w:color w:val="000000" w:themeColor="text1"/>
                <w:sz w:val="22"/>
                <w14:textFill>
                  <w14:solidFill>
                    <w14:schemeClr w14:val="tx1"/>
                  </w14:solidFill>
                </w14:textFill>
              </w:rPr>
            </w:pPr>
            <w:r>
              <w:rPr>
                <w:color w:val="000000" w:themeColor="text1"/>
                <w:sz w:val="22"/>
                <w14:textFill>
                  <w14:solidFill>
                    <w14:schemeClr w14:val="tx1"/>
                  </w14:solidFill>
                </w14:textFill>
              </w:rPr>
              <w:t>-</w:t>
            </w:r>
          </w:p>
        </w:tc>
        <w:tc>
          <w:tcPr>
            <w:tcW w:w="1335" w:type="dxa"/>
            <w:vAlign w:val="center"/>
          </w:tcPr>
          <w:p w14:paraId="5C893D1D">
            <w:pPr>
              <w:pStyle w:val="6"/>
              <w:widowControl w:val="0"/>
              <w:spacing w:line="240" w:lineRule="exact"/>
              <w:ind w:left="860" w:hanging="440"/>
              <w:rPr>
                <w:rFonts w:eastAsia="FangSong_GB2312"/>
                <w:color w:val="000000" w:themeColor="text1"/>
                <w:sz w:val="22"/>
                <w14:textFill>
                  <w14:solidFill>
                    <w14:schemeClr w14:val="tx1"/>
                  </w14:solidFill>
                </w14:textFill>
              </w:rPr>
            </w:pPr>
            <w:r>
              <w:rPr>
                <w:color w:val="000000" w:themeColor="text1"/>
                <w:sz w:val="22"/>
                <w14:textFill>
                  <w14:solidFill>
                    <w14:schemeClr w14:val="tx1"/>
                  </w14:solidFill>
                </w14:textFill>
              </w:rPr>
              <w:t>11.5</w:t>
            </w:r>
          </w:p>
        </w:tc>
        <w:tc>
          <w:tcPr>
            <w:tcW w:w="1170" w:type="dxa"/>
            <w:vAlign w:val="center"/>
          </w:tcPr>
          <w:p w14:paraId="0A10CD1D">
            <w:pPr>
              <w:pStyle w:val="6"/>
              <w:widowControl w:val="0"/>
              <w:spacing w:line="240" w:lineRule="exact"/>
              <w:ind w:left="0" w:leftChars="0" w:firstLine="220" w:firstLineChars="100"/>
              <w:rPr>
                <w:rFonts w:eastAsia="FangSong_GB2312"/>
                <w:color w:val="000000" w:themeColor="text1"/>
                <w:sz w:val="22"/>
                <w:lang w:val="zh-CN" w:bidi="zh-CN"/>
                <w14:textFill>
                  <w14:solidFill>
                    <w14:schemeClr w14:val="tx1"/>
                  </w14:solidFill>
                </w14:textFill>
              </w:rPr>
            </w:pPr>
            <w:r>
              <w:rPr>
                <w:color w:val="000000" w:themeColor="text1"/>
                <w:sz w:val="22"/>
                <w14:textFill>
                  <w14:solidFill>
                    <w14:schemeClr w14:val="tx1"/>
                  </w14:solidFill>
                </w14:textFill>
              </w:rPr>
              <w:t>预期性</w:t>
            </w:r>
          </w:p>
        </w:tc>
      </w:tr>
      <w:tr w14:paraId="43B90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exact"/>
          <w:jc w:val="center"/>
        </w:trPr>
        <w:tc>
          <w:tcPr>
            <w:tcW w:w="964" w:type="dxa"/>
            <w:vAlign w:val="center"/>
          </w:tcPr>
          <w:p w14:paraId="1A4B4BFD">
            <w:pPr>
              <w:pStyle w:val="6"/>
              <w:widowControl w:val="0"/>
              <w:spacing w:line="240" w:lineRule="exact"/>
              <w:ind w:left="0" w:leftChars="0" w:firstLine="0" w:firstLineChars="0"/>
              <w:rPr>
                <w:rFonts w:eastAsia="FangSong_GB2312"/>
                <w:color w:val="000000" w:themeColor="text1"/>
                <w14:textFill>
                  <w14:solidFill>
                    <w14:schemeClr w14:val="tx1"/>
                  </w14:solidFill>
                </w14:textFill>
              </w:rPr>
            </w:pPr>
            <w:r>
              <w:rPr>
                <w:color w:val="000000" w:themeColor="text1"/>
                <w14:textFill>
                  <w14:solidFill>
                    <w14:schemeClr w14:val="tx1"/>
                  </w14:solidFill>
                </w14:textFill>
              </w:rPr>
              <w:t>中医药文化</w:t>
            </w:r>
          </w:p>
        </w:tc>
        <w:tc>
          <w:tcPr>
            <w:tcW w:w="4467" w:type="dxa"/>
            <w:vAlign w:val="center"/>
          </w:tcPr>
          <w:p w14:paraId="261F4261">
            <w:pPr>
              <w:pStyle w:val="6"/>
              <w:widowControl w:val="0"/>
              <w:spacing w:line="240" w:lineRule="exact"/>
              <w:ind w:left="840" w:hanging="420"/>
              <w:rPr>
                <w:rFonts w:eastAsia="FangSong_GB2312"/>
                <w:color w:val="000000" w:themeColor="text1"/>
                <w14:textFill>
                  <w14:solidFill>
                    <w14:schemeClr w14:val="tx1"/>
                  </w14:solidFill>
                </w14:textFill>
              </w:rPr>
            </w:pPr>
            <w:r>
              <w:rPr>
                <w:color w:val="000000" w:themeColor="text1"/>
                <w14:textFill>
                  <w14:solidFill>
                    <w14:schemeClr w14:val="tx1"/>
                  </w14:solidFill>
                </w14:textFill>
              </w:rPr>
              <w:t>中医药健康文化素养水平（%）</w:t>
            </w:r>
          </w:p>
        </w:tc>
        <w:tc>
          <w:tcPr>
            <w:tcW w:w="1350" w:type="dxa"/>
            <w:vAlign w:val="center"/>
          </w:tcPr>
          <w:p w14:paraId="276A4309">
            <w:pPr>
              <w:pStyle w:val="6"/>
              <w:widowControl w:val="0"/>
              <w:spacing w:line="240" w:lineRule="exact"/>
              <w:ind w:left="840" w:hanging="420"/>
              <w:rPr>
                <w:rFonts w:eastAsia="FangSong_GB2312"/>
                <w:color w:val="000000" w:themeColor="text1"/>
                <w14:textFill>
                  <w14:solidFill>
                    <w14:schemeClr w14:val="tx1"/>
                  </w14:solidFill>
                </w14:textFill>
              </w:rPr>
            </w:pPr>
            <w:r>
              <w:rPr>
                <w:color w:val="000000" w:themeColor="text1"/>
                <w14:textFill>
                  <w14:solidFill>
                    <w14:schemeClr w14:val="tx1"/>
                  </w14:solidFill>
                </w14:textFill>
              </w:rPr>
              <w:t>-</w:t>
            </w:r>
          </w:p>
        </w:tc>
        <w:tc>
          <w:tcPr>
            <w:tcW w:w="1335" w:type="dxa"/>
            <w:vAlign w:val="center"/>
          </w:tcPr>
          <w:p w14:paraId="265E6EB4">
            <w:pPr>
              <w:pStyle w:val="6"/>
              <w:widowControl w:val="0"/>
              <w:spacing w:line="240" w:lineRule="exact"/>
              <w:ind w:left="840" w:hanging="420"/>
              <w:rPr>
                <w:rFonts w:eastAsia="FangSong_GB2312"/>
                <w:color w:val="000000" w:themeColor="text1"/>
                <w14:textFill>
                  <w14:solidFill>
                    <w14:schemeClr w14:val="tx1"/>
                  </w14:solidFill>
                </w14:textFill>
              </w:rPr>
            </w:pPr>
            <w:r>
              <w:rPr>
                <w:color w:val="000000" w:themeColor="text1"/>
                <w14:textFill>
                  <w14:solidFill>
                    <w14:schemeClr w14:val="tx1"/>
                  </w14:solidFill>
                </w14:textFill>
              </w:rPr>
              <w:t>27</w:t>
            </w:r>
          </w:p>
        </w:tc>
        <w:tc>
          <w:tcPr>
            <w:tcW w:w="1170" w:type="dxa"/>
            <w:vAlign w:val="center"/>
          </w:tcPr>
          <w:p w14:paraId="0B920DA4">
            <w:pPr>
              <w:pStyle w:val="6"/>
              <w:widowControl w:val="0"/>
              <w:spacing w:line="240" w:lineRule="exact"/>
              <w:ind w:left="0" w:leftChars="0" w:firstLine="220" w:firstLineChars="100"/>
              <w:rPr>
                <w:rFonts w:eastAsia="FangSong_GB2312"/>
                <w:color w:val="000000" w:themeColor="text1"/>
                <w:sz w:val="22"/>
                <w:lang w:val="zh-CN" w:bidi="zh-CN"/>
                <w14:textFill>
                  <w14:solidFill>
                    <w14:schemeClr w14:val="tx1"/>
                  </w14:solidFill>
                </w14:textFill>
              </w:rPr>
            </w:pPr>
            <w:r>
              <w:rPr>
                <w:color w:val="000000" w:themeColor="text1"/>
                <w:sz w:val="22"/>
                <w14:textFill>
                  <w14:solidFill>
                    <w14:schemeClr w14:val="tx1"/>
                  </w14:solidFill>
                </w14:textFill>
              </w:rPr>
              <w:t>预期性</w:t>
            </w:r>
          </w:p>
        </w:tc>
      </w:tr>
    </w:tbl>
    <w:p w14:paraId="5313367D">
      <w:pPr>
        <w:pStyle w:val="4"/>
        <w:tabs>
          <w:tab w:val="left" w:pos="1279"/>
        </w:tabs>
        <w:spacing w:line="560" w:lineRule="exact"/>
        <w:ind w:right="153" w:firstLine="1600" w:firstLineChars="500"/>
        <w:jc w:val="left"/>
        <w:rPr>
          <w:rFonts w:ascii="Times New Roman" w:hAnsi="Times New Roman" w:eastAsia="SimHei" w:cs="Times New Roman"/>
          <w:bCs/>
          <w:color w:val="000000" w:themeColor="text1"/>
          <w:kern w:val="0"/>
          <w14:textFill>
            <w14:solidFill>
              <w14:schemeClr w14:val="tx1"/>
            </w14:solidFill>
          </w14:textFill>
        </w:rPr>
      </w:pPr>
    </w:p>
    <w:p w14:paraId="077C7702">
      <w:pPr>
        <w:pStyle w:val="4"/>
        <w:widowControl w:val="0"/>
        <w:tabs>
          <w:tab w:val="left" w:pos="1279"/>
        </w:tabs>
        <w:spacing w:line="560" w:lineRule="exact"/>
        <w:ind w:firstLine="1600" w:firstLineChars="500"/>
        <w:jc w:val="left"/>
        <w:rPr>
          <w:rFonts w:ascii="Times New Roman" w:hAnsi="Times New Roman" w:eastAsia="SimHei" w:cs="Times New Roman"/>
          <w:bCs/>
          <w:color w:val="000000" w:themeColor="text1"/>
          <w:kern w:val="0"/>
          <w14:textFill>
            <w14:solidFill>
              <w14:schemeClr w14:val="tx1"/>
            </w14:solidFill>
          </w14:textFill>
        </w:rPr>
      </w:pPr>
      <w:r>
        <w:rPr>
          <w:rFonts w:ascii="Times New Roman" w:hAnsi="Times New Roman" w:eastAsia="SimHei" w:cs="Times New Roman"/>
          <w:bCs/>
          <w:color w:val="000000" w:themeColor="text1"/>
          <w:kern w:val="0"/>
          <w14:textFill>
            <w14:solidFill>
              <w14:schemeClr w14:val="tx1"/>
            </w14:solidFill>
          </w14:textFill>
        </w:rPr>
        <w:t>第三章</w:t>
      </w:r>
      <w:r>
        <w:rPr>
          <w:rFonts w:ascii="Times New Roman" w:hAnsi="Times New Roman" w:eastAsia="SimHei" w:cs="Times New Roman"/>
          <w:bCs/>
          <w:color w:val="000000" w:themeColor="text1"/>
          <w:kern w:val="0"/>
          <w:lang w:val="en-US"/>
          <w14:textFill>
            <w14:solidFill>
              <w14:schemeClr w14:val="tx1"/>
            </w14:solidFill>
          </w14:textFill>
        </w:rPr>
        <w:t xml:space="preserve">  </w:t>
      </w:r>
      <w:r>
        <w:rPr>
          <w:rFonts w:ascii="Times New Roman" w:hAnsi="Times New Roman" w:eastAsia="SimHei" w:cs="Times New Roman"/>
          <w:bCs/>
          <w:color w:val="000000" w:themeColor="text1"/>
          <w:kern w:val="0"/>
          <w14:textFill>
            <w14:solidFill>
              <w14:schemeClr w14:val="tx1"/>
            </w14:solidFill>
          </w14:textFill>
        </w:rPr>
        <w:t>构建高质量中医健康服务体系</w:t>
      </w:r>
    </w:p>
    <w:p w14:paraId="55990D88">
      <w:pPr>
        <w:pStyle w:val="4"/>
        <w:widowControl w:val="0"/>
        <w:tabs>
          <w:tab w:val="left" w:pos="1470"/>
        </w:tabs>
        <w:spacing w:line="560" w:lineRule="exact"/>
        <w:ind w:left="1470" w:leftChars="700"/>
        <w:jc w:val="left"/>
        <w:rPr>
          <w:rFonts w:ascii="Times New Roman" w:hAnsi="Times New Roman" w:eastAsia="KaiTi_GB2312" w:cs="Times New Roman"/>
          <w:b/>
          <w:bCs/>
          <w:color w:val="000000" w:themeColor="text1"/>
          <w:kern w:val="0"/>
          <w14:textFill>
            <w14:solidFill>
              <w14:schemeClr w14:val="tx1"/>
            </w14:solidFill>
          </w14:textFill>
        </w:rPr>
      </w:pPr>
      <w:r>
        <w:rPr>
          <w:rFonts w:ascii="Times New Roman" w:hAnsi="Times New Roman" w:eastAsia="KaiTi_GB2312" w:cs="Times New Roman"/>
          <w:b/>
          <w:bCs/>
          <w:color w:val="000000" w:themeColor="text1"/>
          <w:kern w:val="0"/>
          <w14:textFill>
            <w14:solidFill>
              <w14:schemeClr w14:val="tx1"/>
            </w14:solidFill>
          </w14:textFill>
        </w:rPr>
        <w:t>第一节</w:t>
      </w:r>
      <w:r>
        <w:rPr>
          <w:rFonts w:ascii="Times New Roman" w:hAnsi="Times New Roman" w:eastAsia="KaiTi_GB2312" w:cs="Times New Roman"/>
          <w:b/>
          <w:bCs/>
          <w:color w:val="000000" w:themeColor="text1"/>
          <w:kern w:val="0"/>
          <w:lang w:val="en-US"/>
          <w14:textFill>
            <w14:solidFill>
              <w14:schemeClr w14:val="tx1"/>
            </w14:solidFill>
          </w14:textFill>
        </w:rPr>
        <w:t xml:space="preserve">  </w:t>
      </w:r>
      <w:r>
        <w:rPr>
          <w:rFonts w:ascii="Times New Roman" w:hAnsi="Times New Roman" w:eastAsia="KaiTi_GB2312" w:cs="Times New Roman"/>
          <w:b/>
          <w:bCs/>
          <w:color w:val="000000" w:themeColor="text1"/>
          <w:kern w:val="0"/>
          <w14:textFill>
            <w14:solidFill>
              <w14:schemeClr w14:val="tx1"/>
            </w14:solidFill>
          </w14:textFill>
        </w:rPr>
        <w:t>构建优质高效中医医疗服务体系</w:t>
      </w:r>
    </w:p>
    <w:p w14:paraId="74E1BCEE">
      <w:pPr>
        <w:pStyle w:val="11"/>
        <w:widowControl w:val="0"/>
        <w:tabs>
          <w:tab w:val="left" w:pos="1013"/>
        </w:tabs>
        <w:spacing w:before="0" w:line="560" w:lineRule="exact"/>
        <w:ind w:left="0" w:firstLine="640" w:firstLineChars="200"/>
        <w:jc w:val="left"/>
        <w:rPr>
          <w:rFonts w:ascii="SimHei" w:hAnsi="SimHei" w:eastAsia="SimHei" w:cs="Times New Roman"/>
          <w:bCs/>
          <w:color w:val="000000" w:themeColor="text1"/>
          <w:kern w:val="0"/>
          <w:sz w:val="32"/>
          <w:szCs w:val="32"/>
          <w14:textFill>
            <w14:solidFill>
              <w14:schemeClr w14:val="tx1"/>
            </w14:solidFill>
          </w14:textFill>
        </w:rPr>
      </w:pPr>
      <w:r>
        <w:rPr>
          <w:rFonts w:ascii="SimHei" w:hAnsi="SimHei" w:eastAsia="SimHei" w:cs="Times New Roman"/>
          <w:bCs/>
          <w:color w:val="000000" w:themeColor="text1"/>
          <w:kern w:val="0"/>
          <w:sz w:val="32"/>
          <w:szCs w:val="32"/>
          <w14:textFill>
            <w14:solidFill>
              <w14:schemeClr w14:val="tx1"/>
            </w14:solidFill>
          </w14:textFill>
        </w:rPr>
        <w:t>一、加快中医医疗资源扩容</w:t>
      </w:r>
    </w:p>
    <w:p w14:paraId="6A563AF9">
      <w:pPr>
        <w:pStyle w:val="11"/>
        <w:widowControl w:val="0"/>
        <w:tabs>
          <w:tab w:val="left" w:pos="1013"/>
        </w:tabs>
        <w:spacing w:before="0" w:line="560" w:lineRule="exact"/>
        <w:ind w:left="0" w:firstLine="640" w:firstLineChars="200"/>
        <w:jc w:val="left"/>
        <w:rPr>
          <w:rFonts w:ascii="Times New Roman" w:hAnsi="Times New Roman" w:cs="Times New Roman"/>
          <w:color w:val="000000" w:themeColor="text1"/>
          <w:kern w:val="0"/>
          <w:sz w:val="32"/>
          <w:szCs w:val="32"/>
          <w:lang w:val="en-US"/>
          <w14:textFill>
            <w14:solidFill>
              <w14:schemeClr w14:val="tx1"/>
            </w14:solidFill>
          </w14:textFill>
        </w:rPr>
      </w:pPr>
      <w:r>
        <w:rPr>
          <w:rFonts w:ascii="Times New Roman" w:hAnsi="Times New Roman" w:cs="Times New Roman"/>
          <w:b/>
          <w:bCs/>
          <w:color w:val="000000" w:themeColor="text1"/>
          <w:kern w:val="0"/>
          <w:sz w:val="32"/>
          <w:szCs w:val="32"/>
          <w14:textFill>
            <w14:solidFill>
              <w14:schemeClr w14:val="tx1"/>
            </w14:solidFill>
          </w14:textFill>
        </w:rPr>
        <w:t>加强公立中医医院建设。</w:t>
      </w:r>
      <w:r>
        <w:rPr>
          <w:rFonts w:ascii="Times New Roman" w:hAnsi="Times New Roman" w:cs="Times New Roman"/>
          <w:color w:val="000000" w:themeColor="text1"/>
          <w:kern w:val="0"/>
          <w:sz w:val="32"/>
          <w:szCs w:val="32"/>
          <w14:textFill>
            <w14:solidFill>
              <w14:schemeClr w14:val="tx1"/>
            </w14:solidFill>
          </w14:textFill>
        </w:rPr>
        <w:t>推进德阳市罗江区中医医院分院项目建设，加快补齐短板，提升核心专科，夯实支撑专科，打造优势专科，全面提升综合服务能力，积极申报三级中医医院等级创建达标评审。到</w:t>
      </w:r>
      <w:r>
        <w:rPr>
          <w:rFonts w:ascii="Times New Roman" w:hAnsi="Times New Roman" w:cs="Times New Roman"/>
          <w:color w:val="000000" w:themeColor="text1"/>
          <w:kern w:val="0"/>
          <w:sz w:val="32"/>
          <w:szCs w:val="32"/>
          <w:lang w:val="en-US"/>
          <w14:textFill>
            <w14:solidFill>
              <w14:schemeClr w14:val="tx1"/>
            </w14:solidFill>
          </w14:textFill>
        </w:rPr>
        <w:t>2025年至少建成2个中医特色优势专科，力争建成全国基层中医药工作示范县。</w:t>
      </w:r>
    </w:p>
    <w:p w14:paraId="25111AEE">
      <w:pPr>
        <w:pStyle w:val="11"/>
        <w:widowControl w:val="0"/>
        <w:tabs>
          <w:tab w:val="left" w:pos="1013"/>
        </w:tabs>
        <w:spacing w:before="0" w:line="560" w:lineRule="exact"/>
        <w:ind w:left="0" w:firstLine="640" w:firstLineChars="200"/>
        <w:jc w:val="left"/>
        <w:rPr>
          <w:rFonts w:ascii="Times New Roman" w:hAnsi="Times New Roman" w:cs="Times New Roman"/>
          <w:color w:val="000000" w:themeColor="text1"/>
          <w:kern w:val="0"/>
          <w:sz w:val="32"/>
          <w:szCs w:val="32"/>
          <w:lang w:val="en-US"/>
          <w14:textFill>
            <w14:solidFill>
              <w14:schemeClr w14:val="tx1"/>
            </w14:solidFill>
          </w14:textFill>
        </w:rPr>
      </w:pPr>
      <w:r>
        <w:rPr>
          <w:rFonts w:ascii="Times New Roman" w:hAnsi="Times New Roman" w:cs="Times New Roman"/>
          <w:b/>
          <w:bCs/>
          <w:color w:val="000000" w:themeColor="text1"/>
          <w:kern w:val="0"/>
          <w:sz w:val="32"/>
          <w:szCs w:val="32"/>
          <w14:textFill>
            <w14:solidFill>
              <w14:schemeClr w14:val="tx1"/>
            </w14:solidFill>
          </w14:textFill>
        </w:rPr>
        <w:t>推动中医医疗服务扩容</w:t>
      </w:r>
      <w:r>
        <w:rPr>
          <w:rFonts w:ascii="Times New Roman" w:hAnsi="Times New Roman" w:cs="Times New Roman"/>
          <w:color w:val="000000" w:themeColor="text1"/>
          <w:kern w:val="0"/>
          <w:sz w:val="32"/>
          <w:szCs w:val="32"/>
          <w14:textFill>
            <w14:solidFill>
              <w14:schemeClr w14:val="tx1"/>
            </w14:solidFill>
          </w14:textFill>
        </w:rPr>
        <w:t>。提升区中医医院、综合医院、妇幼保健机构中医药服务设施配置，综合医院按照标准床位</w:t>
      </w:r>
      <w:r>
        <w:rPr>
          <w:rFonts w:ascii="Times New Roman" w:hAnsi="Times New Roman" w:cs="Times New Roman"/>
          <w:color w:val="000000" w:themeColor="text1"/>
          <w:kern w:val="0"/>
          <w:sz w:val="32"/>
          <w:szCs w:val="32"/>
          <w:lang w:val="en-US"/>
          <w14:textFill>
            <w14:solidFill>
              <w14:schemeClr w14:val="tx1"/>
            </w14:solidFill>
          </w14:textFill>
        </w:rPr>
        <w:t>5%设置中医床位。中医临床科室、中药房、煎药室设置要达到国家相关标准。提高妇幼保健机构的中医药服务能力和范围，推动妇幼保健机构全面开展中医药服务。</w:t>
      </w:r>
    </w:p>
    <w:p w14:paraId="6D6657DE">
      <w:pPr>
        <w:pStyle w:val="11"/>
        <w:widowControl w:val="0"/>
        <w:tabs>
          <w:tab w:val="left" w:pos="1013"/>
        </w:tabs>
        <w:spacing w:before="0" w:line="560" w:lineRule="exact"/>
        <w:ind w:left="0" w:firstLine="640"/>
        <w:jc w:val="left"/>
        <w:rPr>
          <w:rFonts w:ascii="Times New Roman" w:hAnsi="Times New Roman" w:cs="Times New Roman"/>
          <w:color w:val="000000" w:themeColor="text1"/>
          <w:kern w:val="0"/>
          <w:sz w:val="32"/>
          <w:szCs w:val="32"/>
          <w:lang w:val="en-US"/>
          <w14:textFill>
            <w14:solidFill>
              <w14:schemeClr w14:val="tx1"/>
            </w14:solidFill>
          </w14:textFill>
        </w:rPr>
      </w:pPr>
      <w:r>
        <w:rPr>
          <w:rFonts w:ascii="Times New Roman" w:hAnsi="Times New Roman" w:cs="Times New Roman"/>
          <w:b/>
          <w:bCs/>
          <w:color w:val="000000" w:themeColor="text1"/>
          <w:kern w:val="0"/>
          <w:sz w:val="32"/>
          <w:szCs w:val="32"/>
          <w:lang w:val="en-US"/>
          <w14:textFill>
            <w14:solidFill>
              <w14:schemeClr w14:val="tx1"/>
            </w14:solidFill>
          </w14:textFill>
        </w:rPr>
        <w:t>加强中医医疗资源交互协同。</w:t>
      </w:r>
      <w:r>
        <w:rPr>
          <w:rFonts w:ascii="Times New Roman" w:hAnsi="Times New Roman" w:cs="Times New Roman"/>
          <w:color w:val="000000" w:themeColor="text1"/>
          <w:kern w:val="0"/>
          <w:sz w:val="32"/>
          <w:szCs w:val="32"/>
          <w:lang w:val="en-US"/>
          <w14:textFill>
            <w14:solidFill>
              <w14:schemeClr w14:val="tx1"/>
            </w14:solidFill>
          </w14:textFill>
        </w:rPr>
        <w:t>鼓励区中医医院与综合医院、妇幼保健机构开展横向技术联合、技术转化合作，推动“高水平医疗机构+中医药”模式形成。</w:t>
      </w:r>
    </w:p>
    <w:p w14:paraId="146B0519">
      <w:pPr>
        <w:pStyle w:val="11"/>
        <w:widowControl w:val="0"/>
        <w:tabs>
          <w:tab w:val="left" w:pos="1013"/>
        </w:tabs>
        <w:spacing w:before="0" w:line="560" w:lineRule="exact"/>
        <w:ind w:left="0" w:firstLine="640"/>
        <w:jc w:val="left"/>
        <w:rPr>
          <w:rFonts w:ascii="SimHei" w:hAnsi="SimHei" w:eastAsia="SimHei" w:cs="Times New Roman"/>
          <w:bCs/>
          <w:color w:val="000000" w:themeColor="text1"/>
          <w:kern w:val="0"/>
          <w:sz w:val="32"/>
          <w:szCs w:val="32"/>
          <w:lang w:val="en-US"/>
          <w14:textFill>
            <w14:solidFill>
              <w14:schemeClr w14:val="tx1"/>
            </w14:solidFill>
          </w14:textFill>
        </w:rPr>
      </w:pPr>
      <w:r>
        <w:rPr>
          <w:rFonts w:ascii="SimHei" w:hAnsi="SimHei" w:eastAsia="SimHei" w:cs="Times New Roman"/>
          <w:bCs/>
          <w:color w:val="000000" w:themeColor="text1"/>
          <w:kern w:val="0"/>
          <w:sz w:val="32"/>
          <w:szCs w:val="32"/>
          <w:lang w:val="en-US"/>
          <w14:textFill>
            <w14:solidFill>
              <w14:schemeClr w14:val="tx1"/>
            </w14:solidFill>
          </w14:textFill>
        </w:rPr>
        <w:t>二、提升基层中医药服务能级</w:t>
      </w:r>
    </w:p>
    <w:p w14:paraId="24A59B86">
      <w:pPr>
        <w:pStyle w:val="4"/>
        <w:widowControl w:val="0"/>
        <w:spacing w:line="560" w:lineRule="exact"/>
        <w:ind w:firstLine="640" w:firstLineChars="200"/>
        <w:jc w:val="left"/>
        <w:rPr>
          <w:rFonts w:ascii="Times New Roman" w:hAnsi="Times New Roman" w:cs="Times New Roman"/>
          <w:color w:val="000000" w:themeColor="text1"/>
          <w:kern w:val="0"/>
          <w14:textFill>
            <w14:solidFill>
              <w14:schemeClr w14:val="tx1"/>
            </w14:solidFill>
          </w14:textFill>
        </w:rPr>
      </w:pPr>
      <w:r>
        <w:rPr>
          <w:rFonts w:ascii="Times New Roman" w:hAnsi="Times New Roman" w:cs="Times New Roman"/>
          <w:b/>
          <w:color w:val="000000" w:themeColor="text1"/>
          <w:kern w:val="0"/>
          <w14:textFill>
            <w14:solidFill>
              <w14:schemeClr w14:val="tx1"/>
            </w14:solidFill>
          </w14:textFill>
        </w:rPr>
        <w:t>提升基层中医药诊疗服务能力。</w:t>
      </w:r>
      <w:r>
        <w:rPr>
          <w:rFonts w:ascii="Times New Roman" w:hAnsi="Times New Roman" w:cs="Times New Roman"/>
          <w:bCs/>
          <w:color w:val="000000" w:themeColor="text1"/>
          <w:kern w:val="0"/>
          <w14:textFill>
            <w14:solidFill>
              <w14:schemeClr w14:val="tx1"/>
            </w14:solidFill>
          </w14:textFill>
        </w:rPr>
        <w:t>到</w:t>
      </w:r>
      <w:r>
        <w:rPr>
          <w:rFonts w:ascii="Times New Roman" w:hAnsi="Times New Roman" w:cs="Times New Roman"/>
          <w:bCs/>
          <w:color w:val="000000" w:themeColor="text1"/>
          <w:kern w:val="0"/>
          <w:lang w:val="en-US"/>
          <w14:textFill>
            <w14:solidFill>
              <w14:schemeClr w14:val="tx1"/>
            </w14:solidFill>
          </w14:textFill>
        </w:rPr>
        <w:t>2025年实现建制乡镇卫生院和社区卫生服务中心中医馆100%提档升级，村卫生室和社区卫生服务站中医阁全覆盖。</w:t>
      </w:r>
      <w:r>
        <w:rPr>
          <w:rFonts w:ascii="Times New Roman" w:hAnsi="Times New Roman" w:cs="Times New Roman"/>
          <w:color w:val="000000" w:themeColor="text1"/>
          <w:kern w:val="0"/>
          <w14:textFill>
            <w14:solidFill>
              <w14:schemeClr w14:val="tx1"/>
            </w14:solidFill>
          </w14:textFill>
        </w:rPr>
        <w:t>支持基础好、服务量大的乡镇卫生院中医馆提升服务内涵，建设“旗舰”中医馆。支持区级优质中医资源下沉乡镇和社区，形成中医医疗资源协同、双向转诊顺畅、优势互补的立体化区域中医药服务网络。</w:t>
      </w:r>
    </w:p>
    <w:p w14:paraId="17023B36">
      <w:pPr>
        <w:pStyle w:val="4"/>
        <w:widowControl w:val="0"/>
        <w:spacing w:line="560" w:lineRule="exact"/>
        <w:ind w:firstLine="640" w:firstLineChars="200"/>
        <w:jc w:val="left"/>
        <w:rPr>
          <w:rFonts w:ascii="Times New Roman" w:hAnsi="Times New Roman" w:cs="Times New Roman"/>
          <w:color w:val="000000" w:themeColor="text1"/>
          <w:kern w:val="0"/>
          <w14:textFill>
            <w14:solidFill>
              <w14:schemeClr w14:val="tx1"/>
            </w14:solidFill>
          </w14:textFill>
        </w:rPr>
      </w:pPr>
      <w:r>
        <w:rPr>
          <w:rFonts w:ascii="Times New Roman" w:hAnsi="Times New Roman" w:cs="Times New Roman"/>
          <w:b/>
          <w:bCs/>
          <w:color w:val="000000" w:themeColor="text1"/>
          <w:kern w:val="0"/>
          <w14:textFill>
            <w14:solidFill>
              <w14:schemeClr w14:val="tx1"/>
            </w14:solidFill>
          </w14:textFill>
        </w:rPr>
        <w:t>加强基层中医药适宜技术规范应用</w:t>
      </w:r>
      <w:r>
        <w:rPr>
          <w:rFonts w:ascii="Times New Roman" w:hAnsi="Times New Roman" w:cs="Times New Roman"/>
          <w:color w:val="000000" w:themeColor="text1"/>
          <w:kern w:val="0"/>
          <w14:textFill>
            <w14:solidFill>
              <w14:schemeClr w14:val="tx1"/>
            </w14:solidFill>
          </w14:textFill>
        </w:rPr>
        <w:t>。加强中医药适宜技术推广基地建设，</w:t>
      </w:r>
      <w:r>
        <w:rPr>
          <w:rFonts w:ascii="Times New Roman" w:hAnsi="Times New Roman" w:cs="Times New Roman"/>
          <w:color w:val="000000" w:themeColor="text1"/>
          <w:kern w:val="0"/>
          <w:lang w:val="en-US"/>
          <w14:textFill>
            <w14:solidFill>
              <w14:schemeClr w14:val="tx1"/>
            </w14:solidFill>
          </w14:textFill>
        </w:rPr>
        <w:t>5年内向基层医疗卫生机构推广10类40项以上中医药适宜技术，每个</w:t>
      </w:r>
      <w:r>
        <w:rPr>
          <w:rFonts w:ascii="Times New Roman" w:hAnsi="Times New Roman" w:cs="Times New Roman"/>
          <w:color w:val="000000" w:themeColor="text1"/>
          <w:kern w:val="0"/>
          <w14:textFill>
            <w14:solidFill>
              <w14:schemeClr w14:val="tx1"/>
            </w14:solidFill>
          </w14:textFill>
        </w:rPr>
        <w:t>乡镇卫生院、社区卫生服务中心能够规范开展</w:t>
      </w:r>
      <w:r>
        <w:rPr>
          <w:rFonts w:ascii="Times New Roman" w:hAnsi="Times New Roman" w:cs="Times New Roman"/>
          <w:color w:val="000000" w:themeColor="text1"/>
          <w:kern w:val="0"/>
          <w:lang w:val="en-US"/>
          <w14:textFill>
            <w14:solidFill>
              <w14:schemeClr w14:val="tx1"/>
            </w14:solidFill>
          </w14:textFill>
        </w:rPr>
        <w:t>6</w:t>
      </w:r>
      <w:r>
        <w:rPr>
          <w:rFonts w:ascii="Times New Roman" w:hAnsi="Times New Roman" w:cs="Times New Roman"/>
          <w:color w:val="000000" w:themeColor="text1"/>
          <w:kern w:val="0"/>
          <w14:textFill>
            <w14:solidFill>
              <w14:schemeClr w14:val="tx1"/>
            </w14:solidFill>
          </w14:textFill>
        </w:rPr>
        <w:t>类</w:t>
      </w:r>
      <w:r>
        <w:rPr>
          <w:rFonts w:ascii="Times New Roman" w:hAnsi="Times New Roman" w:cs="Times New Roman"/>
          <w:color w:val="000000" w:themeColor="text1"/>
          <w:kern w:val="0"/>
          <w:lang w:val="en-US"/>
          <w14:textFill>
            <w14:solidFill>
              <w14:schemeClr w14:val="tx1"/>
            </w14:solidFill>
          </w14:textFill>
        </w:rPr>
        <w:t>10</w:t>
      </w:r>
      <w:r>
        <w:rPr>
          <w:rFonts w:ascii="Times New Roman" w:hAnsi="Times New Roman" w:cs="Times New Roman"/>
          <w:color w:val="000000" w:themeColor="text1"/>
          <w:kern w:val="0"/>
          <w14:textFill>
            <w14:solidFill>
              <w14:schemeClr w14:val="tx1"/>
            </w14:solidFill>
          </w14:textFill>
        </w:rPr>
        <w:t>项以上中医药适宜技术，每个社区卫生服务站、</w:t>
      </w:r>
      <w:r>
        <w:rPr>
          <w:rFonts w:ascii="Times New Roman" w:hAnsi="Times New Roman" w:cs="Times New Roman"/>
          <w:color w:val="000000" w:themeColor="text1"/>
          <w:kern w:val="0"/>
          <w:lang w:val="en-US"/>
          <w14:textFill>
            <w14:solidFill>
              <w14:schemeClr w14:val="tx1"/>
            </w14:solidFill>
          </w14:textFill>
        </w:rPr>
        <w:t>80%</w:t>
      </w:r>
      <w:r>
        <w:rPr>
          <w:rFonts w:ascii="Times New Roman" w:hAnsi="Times New Roman" w:cs="Times New Roman"/>
          <w:color w:val="000000" w:themeColor="text1"/>
          <w:kern w:val="0"/>
          <w14:textFill>
            <w14:solidFill>
              <w14:schemeClr w14:val="tx1"/>
            </w14:solidFill>
          </w14:textFill>
        </w:rPr>
        <w:t>村卫生室能够规范开展</w:t>
      </w:r>
      <w:r>
        <w:rPr>
          <w:rFonts w:ascii="Times New Roman" w:hAnsi="Times New Roman" w:cs="Times New Roman"/>
          <w:color w:val="000000" w:themeColor="text1"/>
          <w:kern w:val="0"/>
          <w:lang w:val="en-US"/>
          <w14:textFill>
            <w14:solidFill>
              <w14:schemeClr w14:val="tx1"/>
            </w14:solidFill>
          </w14:textFill>
        </w:rPr>
        <w:t>4</w:t>
      </w:r>
      <w:r>
        <w:rPr>
          <w:rFonts w:ascii="Times New Roman" w:hAnsi="Times New Roman" w:cs="Times New Roman"/>
          <w:color w:val="000000" w:themeColor="text1"/>
          <w:kern w:val="0"/>
          <w14:textFill>
            <w14:solidFill>
              <w14:schemeClr w14:val="tx1"/>
            </w14:solidFill>
          </w14:textFill>
        </w:rPr>
        <w:t>类</w:t>
      </w:r>
      <w:r>
        <w:rPr>
          <w:rFonts w:ascii="Times New Roman" w:hAnsi="Times New Roman" w:cs="Times New Roman"/>
          <w:color w:val="000000" w:themeColor="text1"/>
          <w:kern w:val="0"/>
          <w:lang w:val="en-US"/>
          <w14:textFill>
            <w14:solidFill>
              <w14:schemeClr w14:val="tx1"/>
            </w14:solidFill>
          </w14:textFill>
        </w:rPr>
        <w:t>6</w:t>
      </w:r>
      <w:r>
        <w:rPr>
          <w:rFonts w:ascii="Times New Roman" w:hAnsi="Times New Roman" w:cs="Times New Roman"/>
          <w:color w:val="000000" w:themeColor="text1"/>
          <w:kern w:val="0"/>
          <w14:textFill>
            <w14:solidFill>
              <w14:schemeClr w14:val="tx1"/>
            </w14:solidFill>
          </w14:textFill>
        </w:rPr>
        <w:t>项以上中医药适宜技术。</w:t>
      </w:r>
    </w:p>
    <w:p w14:paraId="7755A1F6">
      <w:pPr>
        <w:pStyle w:val="4"/>
        <w:widowControl w:val="0"/>
        <w:spacing w:line="560" w:lineRule="exact"/>
        <w:ind w:firstLine="640" w:firstLineChars="200"/>
        <w:jc w:val="left"/>
        <w:rPr>
          <w:rFonts w:ascii="Times New Roman" w:hAnsi="Times New Roman" w:cs="Times New Roman"/>
          <w:color w:val="000000" w:themeColor="text1"/>
          <w:kern w:val="0"/>
          <w14:textFill>
            <w14:solidFill>
              <w14:schemeClr w14:val="tx1"/>
            </w14:solidFill>
          </w14:textFill>
        </w:rPr>
      </w:pPr>
      <w:r>
        <w:rPr>
          <w:rFonts w:ascii="Times New Roman" w:hAnsi="Times New Roman" w:cs="Times New Roman"/>
          <w:b/>
          <w:bCs/>
          <w:color w:val="000000" w:themeColor="text1"/>
          <w:kern w:val="0"/>
          <w14:textFill>
            <w14:solidFill>
              <w14:schemeClr w14:val="tx1"/>
            </w14:solidFill>
          </w14:textFill>
        </w:rPr>
        <w:t>加强基层中医药人才保障。</w:t>
      </w:r>
      <w:r>
        <w:rPr>
          <w:rFonts w:ascii="Times New Roman" w:hAnsi="Times New Roman" w:cs="Times New Roman"/>
          <w:color w:val="000000" w:themeColor="text1"/>
          <w:kern w:val="0"/>
          <w14:textFill>
            <w14:solidFill>
              <w14:schemeClr w14:val="tx1"/>
            </w14:solidFill>
          </w14:textFill>
        </w:rPr>
        <w:t>持续开展中医订单定向免费医学生培养，中医全科医师规范化培训、转岗培训。鼓励中医药人才通过师带徒等方式，培养基层中医药骨干人才和后备人才。到</w:t>
      </w:r>
      <w:r>
        <w:rPr>
          <w:rFonts w:ascii="Times New Roman" w:hAnsi="Times New Roman" w:cs="Times New Roman"/>
          <w:color w:val="000000" w:themeColor="text1"/>
          <w:kern w:val="0"/>
          <w:lang w:val="en-US"/>
          <w14:textFill>
            <w14:solidFill>
              <w14:schemeClr w14:val="tx1"/>
            </w14:solidFill>
          </w14:textFill>
        </w:rPr>
        <w:t>2025年基本实现城乡每万居民有0.6-0.8名合格的中医类别全科医生，</w:t>
      </w:r>
      <w:r>
        <w:rPr>
          <w:rFonts w:ascii="Times New Roman" w:hAnsi="Times New Roman" w:cs="Times New Roman"/>
          <w:color w:val="000000" w:themeColor="text1"/>
          <w:kern w:val="0"/>
          <w14:textFill>
            <w14:solidFill>
              <w14:schemeClr w14:val="tx1"/>
            </w14:solidFill>
          </w14:textFill>
        </w:rPr>
        <w:t>乡镇卫生院和社区卫生服务中心中医类别医师占本机构医师总数比例不低于25% ，每个社区卫生服务站至少配备 1 名中医类别医师或能提供中医药服务的临床类别医师，</w:t>
      </w:r>
      <w:r>
        <w:rPr>
          <w:rFonts w:ascii="Times New Roman" w:hAnsi="Times New Roman" w:cs="Times New Roman"/>
          <w:color w:val="000000" w:themeColor="text1"/>
          <w:kern w:val="0"/>
          <w:lang w:val="en-US"/>
          <w14:textFill>
            <w14:solidFill>
              <w14:schemeClr w14:val="tx1"/>
            </w14:solidFill>
          </w14:textFill>
        </w:rPr>
        <w:t>80%以上的村卫生室至少配备1名能够提供中医药服务的医务人员</w:t>
      </w:r>
      <w:r>
        <w:rPr>
          <w:rFonts w:ascii="Times New Roman" w:hAnsi="Times New Roman" w:cs="Times New Roman"/>
          <w:color w:val="000000" w:themeColor="text1"/>
          <w:kern w:val="0"/>
          <w14:textFill>
            <w14:solidFill>
              <w14:schemeClr w14:val="tx1"/>
            </w14:solidFill>
          </w14:textFill>
        </w:rPr>
        <w:t>。</w:t>
      </w:r>
    </w:p>
    <w:p w14:paraId="153535DC">
      <w:pPr>
        <w:pStyle w:val="4"/>
        <w:widowControl w:val="0"/>
        <w:spacing w:line="560" w:lineRule="exact"/>
        <w:jc w:val="left"/>
        <w:rPr>
          <w:rFonts w:ascii="SimHei" w:hAnsi="SimHei" w:eastAsia="SimHei" w:cs="Times New Roman"/>
          <w:bCs/>
          <w:color w:val="000000" w:themeColor="text1"/>
          <w:kern w:val="0"/>
          <w14:textFill>
            <w14:solidFill>
              <w14:schemeClr w14:val="tx1"/>
            </w14:solidFill>
          </w14:textFill>
        </w:rPr>
      </w:pPr>
      <w:r>
        <w:rPr>
          <w:rFonts w:hint="eastAsia" w:ascii="SimHei" w:hAnsi="SimHei" w:eastAsia="SimHei" w:cs="Times New Roman"/>
          <w:color w:val="000000" w:themeColor="text1"/>
          <w:kern w:val="0"/>
          <w14:textFill>
            <w14:solidFill>
              <w14:schemeClr w14:val="tx1"/>
            </w14:solidFill>
          </w14:textFill>
        </w:rPr>
        <w:t>三</w:t>
      </w:r>
      <w:r>
        <w:rPr>
          <w:rFonts w:ascii="SimHei" w:hAnsi="SimHei" w:eastAsia="SimHei" w:cs="Times New Roman"/>
          <w:color w:val="000000" w:themeColor="text1"/>
          <w:kern w:val="0"/>
          <w14:textFill>
            <w14:solidFill>
              <w14:schemeClr w14:val="tx1"/>
            </w14:solidFill>
          </w14:textFill>
        </w:rPr>
        <w:t>、大力发展社会办中医</w:t>
      </w:r>
    </w:p>
    <w:p w14:paraId="0CEBDD46">
      <w:pPr>
        <w:pStyle w:val="4"/>
        <w:widowControl w:val="0"/>
        <w:spacing w:line="560" w:lineRule="exact"/>
        <w:ind w:firstLine="640" w:firstLineChars="200"/>
        <w:jc w:val="left"/>
        <w:rPr>
          <w:rFonts w:ascii="Times New Roman" w:hAnsi="Times New Roman" w:cs="Times New Roman"/>
          <w:color w:val="000000" w:themeColor="text1"/>
          <w:kern w:val="0"/>
          <w14:textFill>
            <w14:solidFill>
              <w14:schemeClr w14:val="tx1"/>
            </w14:solidFill>
          </w14:textFill>
        </w:rPr>
      </w:pPr>
      <w:r>
        <w:rPr>
          <w:rFonts w:ascii="Times New Roman" w:hAnsi="Times New Roman" w:cs="Times New Roman"/>
          <w:color w:val="000000" w:themeColor="text1"/>
          <w:kern w:val="0"/>
          <w14:textFill>
            <w14:solidFill>
              <w14:schemeClr w14:val="tx1"/>
            </w14:solidFill>
          </w14:textFill>
        </w:rPr>
        <w:t>落实社会办医支持政策，鼓励社会力量举办中医医疗机构。提升社会办中医质量，广泛使用中医药技术方法，提供融疾病预防、治疗、康复于一体的中医药服务。全面推进中医诊所备案制管理，支持有条件的中医诊所组建团队开展家庭医生签约服务，鼓励街道社区为提供家庭医生服务的中医诊所无偿提供诊疗场所，打造中医药服务 10 分钟可及圈。</w:t>
      </w:r>
    </w:p>
    <w:p w14:paraId="04095784">
      <w:pPr>
        <w:pStyle w:val="4"/>
        <w:widowControl w:val="0"/>
        <w:numPr>
          <w:ilvl w:val="0"/>
          <w:numId w:val="6"/>
        </w:numPr>
        <w:spacing w:line="560" w:lineRule="exact"/>
        <w:ind w:firstLine="640" w:firstLineChars="200"/>
        <w:jc w:val="left"/>
        <w:rPr>
          <w:rFonts w:ascii="SimHei" w:hAnsi="SimHei" w:eastAsia="SimHei" w:cs="Times New Roman"/>
          <w:color w:val="000000" w:themeColor="text1"/>
          <w:kern w:val="0"/>
          <w14:textFill>
            <w14:solidFill>
              <w14:schemeClr w14:val="tx1"/>
            </w14:solidFill>
          </w14:textFill>
        </w:rPr>
      </w:pPr>
      <w:r>
        <w:rPr>
          <w:rFonts w:ascii="SimHei" w:hAnsi="SimHei" w:eastAsia="SimHei" w:cs="Times New Roman"/>
          <w:color w:val="000000" w:themeColor="text1"/>
          <w:kern w:val="0"/>
          <w14:textFill>
            <w14:solidFill>
              <w14:schemeClr w14:val="tx1"/>
            </w14:solidFill>
          </w14:textFill>
        </w:rPr>
        <w:t>加强中医医联体建设</w:t>
      </w:r>
    </w:p>
    <w:p w14:paraId="16A984FC">
      <w:pPr>
        <w:pStyle w:val="4"/>
        <w:widowControl w:val="0"/>
        <w:spacing w:line="560" w:lineRule="exact"/>
        <w:ind w:firstLine="640" w:firstLineChars="200"/>
        <w:jc w:val="left"/>
        <w:rPr>
          <w:rFonts w:ascii="Times New Roman" w:hAnsi="Times New Roman" w:cs="Times New Roman"/>
          <w:color w:val="0000FF"/>
          <w:kern w:val="0"/>
        </w:rPr>
      </w:pPr>
      <w:r>
        <w:rPr>
          <w:rFonts w:ascii="Times New Roman" w:hAnsi="Times New Roman" w:cs="Times New Roman"/>
          <w:color w:val="000000" w:themeColor="text1"/>
          <w:kern w:val="0"/>
          <w14:textFill>
            <w14:solidFill>
              <w14:schemeClr w14:val="tx1"/>
            </w14:solidFill>
          </w14:textFill>
        </w:rPr>
        <w:t>发挥县级公立中医医院龙头引领作用，推进罗江区中医联盟内涵建设，优化中医药资源配置，提升基层中医药服务能力。鼓励二级以上中医医院与中医诊所建立协作关系，将中医诊所纳入医联体建设，建立双向转诊制度，开展技术指导、远程会诊等服务。</w:t>
      </w:r>
    </w:p>
    <w:p w14:paraId="31DFF56F">
      <w:pPr>
        <w:pStyle w:val="4"/>
        <w:widowControl w:val="0"/>
        <w:spacing w:line="560" w:lineRule="exact"/>
        <w:ind w:firstLine="1601" w:firstLineChars="500"/>
        <w:jc w:val="left"/>
        <w:rPr>
          <w:rFonts w:ascii="Times New Roman" w:hAnsi="Times New Roman" w:eastAsia="KaiTi_GB2312" w:cs="Times New Roman"/>
          <w:b/>
          <w:color w:val="000000" w:themeColor="text1"/>
          <w:kern w:val="0"/>
          <w:lang w:val="en-US"/>
          <w14:textFill>
            <w14:solidFill>
              <w14:schemeClr w14:val="tx1"/>
            </w14:solidFill>
          </w14:textFill>
        </w:rPr>
      </w:pPr>
      <w:r>
        <w:rPr>
          <w:rFonts w:ascii="Times New Roman" w:hAnsi="Times New Roman" w:eastAsia="KaiTi_GB2312" w:cs="Times New Roman"/>
          <w:b/>
          <w:color w:val="000000" w:themeColor="text1"/>
          <w:kern w:val="0"/>
          <w:lang w:val="en-US"/>
          <w14:textFill>
            <w14:solidFill>
              <w14:schemeClr w14:val="tx1"/>
            </w14:solidFill>
          </w14:textFill>
        </w:rPr>
        <w:t>第二节   增强中医药公共卫生服务本领</w:t>
      </w:r>
    </w:p>
    <w:p w14:paraId="20547EC7">
      <w:pPr>
        <w:pStyle w:val="4"/>
        <w:widowControl w:val="0"/>
        <w:spacing w:line="560" w:lineRule="exact"/>
        <w:ind w:firstLine="640" w:firstLineChars="200"/>
        <w:jc w:val="left"/>
        <w:rPr>
          <w:rFonts w:ascii="SimHei" w:hAnsi="SimHei" w:eastAsia="SimHei" w:cs="Times New Roman"/>
          <w:color w:val="000000" w:themeColor="text1"/>
          <w:kern w:val="0"/>
          <w:lang w:val="en-US"/>
          <w14:textFill>
            <w14:solidFill>
              <w14:schemeClr w14:val="tx1"/>
            </w14:solidFill>
          </w14:textFill>
        </w:rPr>
      </w:pPr>
      <w:r>
        <w:rPr>
          <w:rFonts w:ascii="SimHei" w:hAnsi="SimHei" w:eastAsia="SimHei" w:cs="Times New Roman"/>
          <w:color w:val="000000" w:themeColor="text1"/>
          <w:kern w:val="0"/>
          <w:lang w:val="en-US"/>
          <w14:textFill>
            <w14:solidFill>
              <w14:schemeClr w14:val="tx1"/>
            </w14:solidFill>
          </w14:textFill>
        </w:rPr>
        <w:t>一、加强中医药服务与基本公共卫生服务整合</w:t>
      </w:r>
    </w:p>
    <w:p w14:paraId="1864E4DF">
      <w:pPr>
        <w:pStyle w:val="4"/>
        <w:widowControl w:val="0"/>
        <w:spacing w:line="560" w:lineRule="exact"/>
        <w:ind w:firstLine="641"/>
        <w:jc w:val="left"/>
        <w:rPr>
          <w:rFonts w:ascii="Times New Roman" w:hAnsi="Times New Roman" w:cs="Times New Roman"/>
          <w:bCs/>
          <w:color w:val="000000" w:themeColor="text1"/>
          <w:kern w:val="0"/>
          <w:lang w:val="en-US"/>
          <w14:textFill>
            <w14:solidFill>
              <w14:schemeClr w14:val="tx1"/>
            </w14:solidFill>
          </w14:textFill>
        </w:rPr>
      </w:pPr>
      <w:r>
        <w:rPr>
          <w:rFonts w:ascii="Times New Roman" w:hAnsi="Times New Roman" w:cs="Times New Roman"/>
          <w:bCs/>
          <w:color w:val="000000" w:themeColor="text1"/>
          <w:kern w:val="0"/>
          <w:lang w:val="en-US"/>
          <w14:textFill>
            <w14:solidFill>
              <w14:schemeClr w14:val="tx1"/>
            </w14:solidFill>
          </w14:textFill>
        </w:rPr>
        <w:t>进一步探索中医药参与基本公共卫生服务的途径和模式，继续深化推进65岁及以上老年人中医体质辨识标准化服务、65岁及以上老年人个体化中医药保健指导、0-36个月儿童中医药调养规范化指导服务、孕产妇中医健康指导、高血压病（2型糖尿病）中医辨证与养生干预、亚健康人群中医体质辨识等多种形式的中医药基本公共卫生服务，探索创建新型的“中医药+公共卫生服务”产品，使老百姓免费获得更为多样性、更具有个性化的中医药公共卫生服务。</w:t>
      </w:r>
    </w:p>
    <w:p w14:paraId="5F4926B4">
      <w:pPr>
        <w:pStyle w:val="4"/>
        <w:widowControl w:val="0"/>
        <w:spacing w:line="560" w:lineRule="exact"/>
        <w:ind w:left="420" w:leftChars="200" w:firstLine="320" w:firstLineChars="100"/>
        <w:jc w:val="left"/>
        <w:rPr>
          <w:rFonts w:ascii="SimHei" w:hAnsi="SimHei" w:eastAsia="SimHei" w:cs="Times New Roman"/>
          <w:color w:val="000000" w:themeColor="text1"/>
          <w:kern w:val="0"/>
          <w:lang w:val="en-US"/>
          <w14:textFill>
            <w14:solidFill>
              <w14:schemeClr w14:val="tx1"/>
            </w14:solidFill>
          </w14:textFill>
        </w:rPr>
      </w:pPr>
      <w:r>
        <w:rPr>
          <w:rFonts w:ascii="SimHei" w:hAnsi="SimHei" w:eastAsia="SimHei" w:cs="Times New Roman"/>
          <w:color w:val="000000" w:themeColor="text1"/>
          <w:kern w:val="0"/>
          <w:lang w:val="en-US"/>
          <w14:textFill>
            <w14:solidFill>
              <w14:schemeClr w14:val="tx1"/>
            </w14:solidFill>
          </w14:textFill>
        </w:rPr>
        <w:t>二、提升中医药应对突发公共卫生事件能力</w:t>
      </w:r>
    </w:p>
    <w:p w14:paraId="0EC2576C">
      <w:pPr>
        <w:pStyle w:val="4"/>
        <w:widowControl w:val="0"/>
        <w:spacing w:line="560" w:lineRule="exact"/>
        <w:ind w:firstLine="640" w:firstLineChars="200"/>
        <w:jc w:val="left"/>
        <w:rPr>
          <w:rFonts w:ascii="Times New Roman" w:hAnsi="Times New Roman" w:cs="Times New Roman"/>
          <w:color w:val="000000" w:themeColor="text1"/>
          <w:kern w:val="0"/>
          <w14:textFill>
            <w14:solidFill>
              <w14:schemeClr w14:val="tx1"/>
            </w14:solidFill>
          </w14:textFill>
        </w:rPr>
      </w:pPr>
      <w:r>
        <w:rPr>
          <w:rFonts w:ascii="Times New Roman" w:hAnsi="Times New Roman" w:eastAsia="KaiTi_GB2312" w:cs="Times New Roman"/>
          <w:b/>
          <w:color w:val="000000" w:themeColor="text1"/>
          <w:kern w:val="0"/>
          <w:lang w:val="en-US"/>
          <w14:textFill>
            <w14:solidFill>
              <w14:schemeClr w14:val="tx1"/>
            </w14:solidFill>
          </w14:textFill>
        </w:rPr>
        <w:t xml:space="preserve"> </w:t>
      </w:r>
      <w:r>
        <w:rPr>
          <w:rFonts w:ascii="Times New Roman" w:hAnsi="Times New Roman" w:eastAsia="KaiTi_GB2312" w:cs="Times New Roman"/>
          <w:b/>
          <w:color w:val="000000" w:themeColor="text1"/>
          <w:kern w:val="0"/>
          <w14:textFill>
            <w14:solidFill>
              <w14:schemeClr w14:val="tx1"/>
            </w14:solidFill>
          </w14:textFill>
        </w:rPr>
        <w:t>建立重大疫情中医药防控体系。</w:t>
      </w:r>
      <w:r>
        <w:rPr>
          <w:rFonts w:ascii="Times New Roman" w:hAnsi="Times New Roman" w:cs="Times New Roman"/>
          <w:color w:val="000000" w:themeColor="text1"/>
          <w:kern w:val="0"/>
          <w14:textFill>
            <w14:solidFill>
              <w14:schemeClr w14:val="tx1"/>
            </w14:solidFill>
          </w14:textFill>
        </w:rPr>
        <w:t>完善中医药应对突发公共卫生事件应急管理体系，补齐重大疫情中医药防控短板，区中医医院设置感染性疾病科，规范设置发热门诊，发挥重大传染性疾病监测哨点功能。强化乡村、社区中医药疫情防控，推广行之有效的基层中医药防治方案。建立重大疫情中医药预防和早期介入治疗机制。建立中医药应急物资战略储备保供体系。</w:t>
      </w:r>
    </w:p>
    <w:p w14:paraId="4945584A">
      <w:pPr>
        <w:widowControl w:val="0"/>
        <w:spacing w:line="560" w:lineRule="exact"/>
        <w:ind w:firstLine="640" w:firstLineChars="200"/>
        <w:rPr>
          <w:rFonts w:eastAsia="FangSong_GB2312"/>
          <w:kern w:val="0"/>
          <w:sz w:val="32"/>
          <w:szCs w:val="32"/>
          <w:lang w:val="zh-CN" w:bidi="zh-CN"/>
        </w:rPr>
      </w:pPr>
      <w:r>
        <w:rPr>
          <w:rFonts w:eastAsia="KaiTi_GB2312"/>
          <w:b/>
          <w:bCs/>
          <w:kern w:val="0"/>
          <w:sz w:val="32"/>
          <w:szCs w:val="32"/>
          <w:lang w:val="zh-CN" w:bidi="zh-CN"/>
        </w:rPr>
        <w:t>健全中医紧急医学救援体系。</w:t>
      </w:r>
      <w:r>
        <w:rPr>
          <w:rFonts w:eastAsia="FangSong_GB2312"/>
          <w:kern w:val="0"/>
          <w:sz w:val="32"/>
          <w:szCs w:val="32"/>
          <w:lang w:val="zh-CN" w:bidi="zh-CN"/>
        </w:rPr>
        <w:t>加强区中医医院急诊急救能力建设</w:t>
      </w:r>
      <w:r>
        <w:rPr>
          <w:kern w:val="0"/>
          <w:sz w:val="32"/>
          <w:szCs w:val="32"/>
          <w:lang w:val="zh-CN" w:bidi="zh-CN"/>
        </w:rPr>
        <w:t>，</w:t>
      </w:r>
      <w:r>
        <w:rPr>
          <w:rFonts w:eastAsia="FangSong_GB2312"/>
          <w:kern w:val="0"/>
          <w:sz w:val="32"/>
          <w:szCs w:val="32"/>
          <w:lang w:val="zh-CN" w:bidi="zh-CN"/>
        </w:rPr>
        <w:t>规范急诊急救标准、流程</w:t>
      </w:r>
      <w:r>
        <w:rPr>
          <w:kern w:val="0"/>
          <w:sz w:val="32"/>
          <w:szCs w:val="32"/>
          <w:lang w:val="zh-CN" w:bidi="zh-CN"/>
        </w:rPr>
        <w:t>，</w:t>
      </w:r>
      <w:r>
        <w:rPr>
          <w:rFonts w:eastAsia="FangSong_GB2312"/>
          <w:kern w:val="0"/>
          <w:sz w:val="32"/>
          <w:szCs w:val="32"/>
          <w:lang w:val="zh-CN" w:bidi="zh-CN"/>
        </w:rPr>
        <w:t>建立多学科协作救治机制。加强急诊急救设备配备和中医药急诊急救知识培训</w:t>
      </w:r>
      <w:r>
        <w:rPr>
          <w:kern w:val="0"/>
          <w:sz w:val="32"/>
          <w:szCs w:val="32"/>
          <w:lang w:val="zh-CN" w:bidi="zh-CN"/>
        </w:rPr>
        <w:t>，</w:t>
      </w:r>
      <w:r>
        <w:rPr>
          <w:rFonts w:eastAsia="FangSong_GB2312"/>
          <w:kern w:val="0"/>
          <w:sz w:val="32"/>
          <w:szCs w:val="32"/>
          <w:lang w:val="zh-CN" w:bidi="zh-CN"/>
        </w:rPr>
        <w:t>探索总结中医急诊急救临床新技术、新方法，完善中医急诊临床诊疗方案</w:t>
      </w:r>
      <w:r>
        <w:rPr>
          <w:kern w:val="0"/>
          <w:sz w:val="32"/>
          <w:szCs w:val="32"/>
          <w:lang w:val="zh-CN" w:bidi="zh-CN"/>
        </w:rPr>
        <w:t>，</w:t>
      </w:r>
      <w:r>
        <w:rPr>
          <w:rFonts w:eastAsia="FangSong_GB2312"/>
          <w:kern w:val="0"/>
          <w:sz w:val="32"/>
          <w:szCs w:val="32"/>
          <w:lang w:val="zh-CN" w:bidi="zh-CN"/>
        </w:rPr>
        <w:t>提升中医医院急诊急救能力。尽早将中医医院纳入</w:t>
      </w:r>
      <w:r>
        <w:rPr>
          <w:kern w:val="0"/>
          <w:sz w:val="32"/>
          <w:szCs w:val="32"/>
          <w:lang w:val="zh-CN" w:bidi="zh-CN"/>
        </w:rPr>
        <w:t>“</w:t>
      </w:r>
      <w:r>
        <w:rPr>
          <w:rFonts w:eastAsia="FangSong_GB2312"/>
          <w:kern w:val="0"/>
          <w:sz w:val="32"/>
          <w:szCs w:val="32"/>
          <w:lang w:val="zh-CN" w:bidi="zh-CN"/>
        </w:rPr>
        <w:t>120</w:t>
      </w:r>
      <w:r>
        <w:rPr>
          <w:kern w:val="0"/>
          <w:sz w:val="32"/>
          <w:szCs w:val="32"/>
          <w:lang w:val="zh-CN" w:bidi="zh-CN"/>
        </w:rPr>
        <w:t>”</w:t>
      </w:r>
      <w:r>
        <w:rPr>
          <w:rFonts w:eastAsia="FangSong_GB2312"/>
          <w:kern w:val="0"/>
          <w:sz w:val="32"/>
          <w:szCs w:val="32"/>
          <w:lang w:val="zh-CN" w:bidi="zh-CN"/>
        </w:rPr>
        <w:t>急救平台和突发公共卫生事件指挥调度系统。</w:t>
      </w:r>
    </w:p>
    <w:p w14:paraId="21480D40">
      <w:pPr>
        <w:pStyle w:val="4"/>
        <w:widowControl w:val="0"/>
        <w:spacing w:line="560" w:lineRule="exact"/>
        <w:ind w:firstLine="640" w:firstLineChars="200"/>
        <w:rPr>
          <w:rFonts w:ascii="Times New Roman" w:hAnsi="Times New Roman" w:cs="Times New Roman"/>
          <w:kern w:val="0"/>
        </w:rPr>
      </w:pPr>
      <w:r>
        <w:rPr>
          <w:rFonts w:ascii="Times New Roman" w:hAnsi="Times New Roman" w:eastAsia="KaiTi_GB2312" w:cs="Times New Roman"/>
          <w:b/>
          <w:bCs/>
          <w:kern w:val="0"/>
        </w:rPr>
        <w:t>完善中医药应急</w:t>
      </w:r>
      <w:r>
        <w:rPr>
          <w:rFonts w:ascii="Times New Roman" w:hAnsi="Times New Roman" w:cs="Times New Roman"/>
          <w:b/>
          <w:bCs/>
          <w:kern w:val="0"/>
        </w:rPr>
        <w:t>指挥</w:t>
      </w:r>
      <w:r>
        <w:rPr>
          <w:rFonts w:ascii="Times New Roman" w:hAnsi="Times New Roman" w:eastAsia="KaiTi_GB2312" w:cs="Times New Roman"/>
          <w:b/>
          <w:bCs/>
          <w:kern w:val="0"/>
        </w:rPr>
        <w:t>机制。</w:t>
      </w:r>
      <w:r>
        <w:rPr>
          <w:rFonts w:ascii="Times New Roman" w:hAnsi="Times New Roman" w:eastAsia="KaiTi_GB2312" w:cs="Times New Roman"/>
          <w:kern w:val="0"/>
        </w:rPr>
        <w:t>探索建立</w:t>
      </w:r>
      <w:r>
        <w:rPr>
          <w:rFonts w:ascii="Times New Roman" w:hAnsi="Times New Roman" w:cs="Times New Roman"/>
          <w:kern w:val="0"/>
        </w:rPr>
        <w:t>突发公共事件的中医药应急响应机制，并进行统一领导、调度，确保中医药第一时间介入、全程参与。完善中医药应急防治机制，将中医药防治举措全面融入应急预案和技术方案，推广中医药群体防治方案和防治技术，健全中西医结合救治和联合会诊制度。完善中医药应急保障机制，建立中医药应对重大公共卫生事件和疫病防治人才库。</w:t>
      </w:r>
    </w:p>
    <w:p w14:paraId="0B8E6BFC">
      <w:pPr>
        <w:pStyle w:val="4"/>
        <w:widowControl w:val="0"/>
        <w:spacing w:line="560" w:lineRule="exact"/>
        <w:ind w:firstLine="640" w:firstLineChars="200"/>
        <w:rPr>
          <w:rFonts w:ascii="Times New Roman" w:hAnsi="Times New Roman" w:cs="Times New Roman"/>
          <w:kern w:val="0"/>
        </w:rPr>
      </w:pPr>
    </w:p>
    <w:p w14:paraId="15656E55">
      <w:pPr>
        <w:pStyle w:val="4"/>
        <w:widowControl w:val="0"/>
        <w:spacing w:line="560" w:lineRule="exact"/>
        <w:ind w:firstLine="640" w:firstLineChars="200"/>
        <w:rPr>
          <w:rFonts w:ascii="Times New Roman" w:hAnsi="Times New Roman" w:eastAsia="SimHei" w:cs="Times New Roman"/>
          <w:b/>
          <w:kern w:val="0"/>
          <w:lang w:val="en-US"/>
        </w:rPr>
      </w:pPr>
      <w:r>
        <w:rPr>
          <w:rFonts w:ascii="Times New Roman" w:hAnsi="Times New Roman" w:cs="Times New Roman"/>
          <w:kern w:val="0"/>
          <w:lang w:val="en-US"/>
        </w:rPr>
        <w:t xml:space="preserve">        </w:t>
      </w:r>
      <w:r>
        <w:rPr>
          <w:rFonts w:ascii="Times New Roman" w:hAnsi="Times New Roman" w:eastAsia="SimHei" w:cs="Times New Roman"/>
          <w:b/>
          <w:kern w:val="0"/>
          <w:lang w:val="en-US"/>
        </w:rPr>
        <w:t xml:space="preserve">第四章  强化特色中医药内涵建设 </w:t>
      </w:r>
    </w:p>
    <w:p w14:paraId="083C1BCE">
      <w:pPr>
        <w:pStyle w:val="4"/>
        <w:widowControl w:val="0"/>
        <w:spacing w:line="560" w:lineRule="exact"/>
        <w:jc w:val="center"/>
        <w:rPr>
          <w:rFonts w:ascii="Times New Roman" w:hAnsi="Times New Roman" w:eastAsia="KaiTi_GB2312" w:cs="Times New Roman"/>
          <w:b/>
          <w:color w:val="000000" w:themeColor="text1"/>
          <w:kern w:val="0"/>
          <w:lang w:val="en-US"/>
          <w14:textFill>
            <w14:solidFill>
              <w14:schemeClr w14:val="tx1"/>
            </w14:solidFill>
          </w14:textFill>
        </w:rPr>
      </w:pPr>
      <w:r>
        <w:rPr>
          <w:rFonts w:ascii="Times New Roman" w:hAnsi="Times New Roman" w:eastAsia="KaiTi_GB2312" w:cs="Times New Roman"/>
          <w:b/>
          <w:color w:val="000000" w:themeColor="text1"/>
          <w:kern w:val="0"/>
          <w:lang w:val="en-US"/>
          <w14:textFill>
            <w14:solidFill>
              <w14:schemeClr w14:val="tx1"/>
            </w14:solidFill>
          </w14:textFill>
        </w:rPr>
        <w:t>第一节   充分发挥中医药特色优势</w:t>
      </w:r>
    </w:p>
    <w:p w14:paraId="5067C9C6">
      <w:pPr>
        <w:pStyle w:val="4"/>
        <w:widowControl w:val="0"/>
        <w:spacing w:line="560" w:lineRule="exact"/>
        <w:ind w:firstLine="640" w:firstLineChars="200"/>
        <w:jc w:val="left"/>
        <w:rPr>
          <w:rFonts w:ascii="Times New Roman" w:hAnsi="Times New Roman" w:cs="Times New Roman"/>
          <w:color w:val="000000" w:themeColor="text1"/>
          <w:kern w:val="0"/>
          <w14:textFill>
            <w14:solidFill>
              <w14:schemeClr w14:val="tx1"/>
            </w14:solidFill>
          </w14:textFill>
        </w:rPr>
      </w:pPr>
      <w:r>
        <w:rPr>
          <w:rFonts w:ascii="Times New Roman" w:hAnsi="Times New Roman" w:cs="Times New Roman"/>
          <w:b/>
          <w:color w:val="000000" w:themeColor="text1"/>
          <w:kern w:val="0"/>
          <w14:textFill>
            <w14:solidFill>
              <w14:schemeClr w14:val="tx1"/>
            </w14:solidFill>
          </w14:textFill>
        </w:rPr>
        <w:t>加强中医药特色专科建设。</w:t>
      </w:r>
      <w:r>
        <w:rPr>
          <w:rFonts w:ascii="Times New Roman" w:hAnsi="Times New Roman" w:cs="Times New Roman"/>
          <w:color w:val="000000" w:themeColor="text1"/>
          <w:kern w:val="0"/>
          <w14:textFill>
            <w14:solidFill>
              <w14:schemeClr w14:val="tx1"/>
            </w14:solidFill>
          </w14:textFill>
        </w:rPr>
        <w:t xml:space="preserve">发挥重点专科在特色优势强化中的载体作用，支持中医医院强化设施设备配置，改善诊疗环境，提升中医诊疗能力和临床疗效，打造优势病种特色鲜明的科室。到 2025 年，努力创建 1—2 个四川省中医重点专科和 </w:t>
      </w:r>
      <w:r>
        <w:rPr>
          <w:rFonts w:ascii="Times New Roman" w:hAnsi="Times New Roman" w:cs="Times New Roman"/>
          <w:color w:val="000000" w:themeColor="text1"/>
          <w:kern w:val="0"/>
          <w:lang w:val="en-US"/>
          <w14:textFill>
            <w14:solidFill>
              <w14:schemeClr w14:val="tx1"/>
            </w14:solidFill>
          </w14:textFill>
        </w:rPr>
        <w:t>2</w:t>
      </w:r>
      <w:r>
        <w:rPr>
          <w:rFonts w:ascii="Times New Roman" w:hAnsi="Times New Roman" w:cs="Times New Roman"/>
          <w:color w:val="000000" w:themeColor="text1"/>
          <w:kern w:val="0"/>
          <w14:textFill>
            <w14:solidFill>
              <w14:schemeClr w14:val="tx1"/>
            </w14:solidFill>
          </w14:textFill>
        </w:rPr>
        <w:t>—</w:t>
      </w:r>
      <w:r>
        <w:rPr>
          <w:rFonts w:ascii="Times New Roman" w:hAnsi="Times New Roman" w:cs="Times New Roman"/>
          <w:color w:val="000000" w:themeColor="text1"/>
          <w:kern w:val="0"/>
          <w:lang w:val="en-US"/>
          <w14:textFill>
            <w14:solidFill>
              <w14:schemeClr w14:val="tx1"/>
            </w14:solidFill>
          </w14:textFill>
        </w:rPr>
        <w:t>3</w:t>
      </w:r>
      <w:r>
        <w:rPr>
          <w:rFonts w:ascii="Times New Roman" w:hAnsi="Times New Roman" w:cs="Times New Roman"/>
          <w:color w:val="000000" w:themeColor="text1"/>
          <w:kern w:val="0"/>
          <w14:textFill>
            <w14:solidFill>
              <w14:schemeClr w14:val="tx1"/>
            </w14:solidFill>
          </w14:textFill>
        </w:rPr>
        <w:t>个德阳市中医重点专科，建成层级分明、专业齐全、优势互补、不断优化的中医重点专科集群。不断拓展中医治疗优势病种、治疗方案和适宜技术，推动中医经典病房建设，进一步彰显中医药特色和优势。</w:t>
      </w:r>
    </w:p>
    <w:p w14:paraId="285242FF">
      <w:pPr>
        <w:pStyle w:val="4"/>
        <w:widowControl w:val="0"/>
        <w:spacing w:line="560" w:lineRule="exact"/>
        <w:ind w:firstLine="640" w:firstLineChars="200"/>
        <w:jc w:val="left"/>
        <w:rPr>
          <w:rFonts w:ascii="Times New Roman" w:hAnsi="Times New Roman" w:cs="Times New Roman"/>
          <w:color w:val="000000" w:themeColor="text1"/>
          <w:kern w:val="0"/>
          <w14:textFill>
            <w14:solidFill>
              <w14:schemeClr w14:val="tx1"/>
            </w14:solidFill>
          </w14:textFill>
        </w:rPr>
      </w:pPr>
      <w:r>
        <w:rPr>
          <w:rFonts w:ascii="Times New Roman" w:hAnsi="Times New Roman" w:cs="Times New Roman"/>
          <w:b/>
          <w:color w:val="000000" w:themeColor="text1"/>
          <w:kern w:val="0"/>
          <w14:textFill>
            <w14:solidFill>
              <w14:schemeClr w14:val="tx1"/>
            </w14:solidFill>
          </w14:textFill>
        </w:rPr>
        <w:t>发挥中医药治未病优势。</w:t>
      </w:r>
      <w:r>
        <w:rPr>
          <w:rFonts w:ascii="Times New Roman" w:hAnsi="Times New Roman" w:cs="Times New Roman"/>
          <w:color w:val="000000" w:themeColor="text1"/>
          <w:kern w:val="0"/>
          <w14:textFill>
            <w14:solidFill>
              <w14:schemeClr w14:val="tx1"/>
            </w14:solidFill>
          </w14:textFill>
        </w:rPr>
        <w:t>全面推进和落实《德阳市推进中医“治未病”健康工程实施方案》。加强区中医医院治未病科室建设，提升基层医疗卫生机构治未病服务能力。加强重点人群中医药健康服务管理，开展妇女围绝经期、孕育调养、亚健康状态和青少年近视、脊柱侧弯、肥胖等中医药适宜技术防治试点，制定并推广中医治未病干预方案。力争到 2025 年，县乡“治未病”服务体系基本建立，能提供的中医“治未病”服务项目至少涵盖 4 类和不少于 4 项，区中医医院能提供</w:t>
      </w:r>
      <w:r>
        <w:rPr>
          <w:rFonts w:ascii="Times New Roman" w:hAnsi="Times New Roman" w:cs="Times New Roman"/>
          <w:color w:val="000000" w:themeColor="text1"/>
          <w:kern w:val="0"/>
          <w:lang w:val="en-US"/>
          <w14:textFill>
            <w14:solidFill>
              <w14:schemeClr w14:val="tx1"/>
            </w14:solidFill>
          </w14:textFill>
        </w:rPr>
        <w:t>2</w:t>
      </w:r>
      <w:r>
        <w:rPr>
          <w:rFonts w:ascii="Times New Roman" w:hAnsi="Times New Roman" w:cs="Times New Roman"/>
          <w:color w:val="000000" w:themeColor="text1"/>
          <w:kern w:val="0"/>
          <w14:textFill>
            <w14:solidFill>
              <w14:schemeClr w14:val="tx1"/>
            </w14:solidFill>
          </w14:textFill>
        </w:rPr>
        <w:t>种以上中医“治未病”健康产品。</w:t>
      </w:r>
    </w:p>
    <w:p w14:paraId="5383B36C">
      <w:pPr>
        <w:pStyle w:val="4"/>
        <w:widowControl w:val="0"/>
        <w:spacing w:line="560" w:lineRule="exact"/>
        <w:ind w:firstLine="640" w:firstLineChars="200"/>
        <w:jc w:val="left"/>
        <w:rPr>
          <w:rFonts w:ascii="Times New Roman" w:hAnsi="Times New Roman" w:cs="Times New Roman"/>
          <w:color w:val="000000" w:themeColor="text1"/>
          <w:kern w:val="0"/>
          <w14:textFill>
            <w14:solidFill>
              <w14:schemeClr w14:val="tx1"/>
            </w14:solidFill>
          </w14:textFill>
        </w:rPr>
      </w:pPr>
      <w:r>
        <w:rPr>
          <w:rFonts w:ascii="Times New Roman" w:hAnsi="Times New Roman" w:cs="Times New Roman"/>
          <w:b/>
          <w:color w:val="000000" w:themeColor="text1"/>
          <w:kern w:val="0"/>
          <w14:textFill>
            <w14:solidFill>
              <w14:schemeClr w14:val="tx1"/>
            </w14:solidFill>
          </w14:textFill>
        </w:rPr>
        <w:t>提升中医药防治重大疾病能力。</w:t>
      </w:r>
      <w:r>
        <w:rPr>
          <w:rFonts w:ascii="Times New Roman" w:hAnsi="Times New Roman" w:cs="Times New Roman"/>
          <w:color w:val="000000" w:themeColor="text1"/>
          <w:kern w:val="0"/>
          <w14:textFill>
            <w14:solidFill>
              <w14:schemeClr w14:val="tx1"/>
            </w14:solidFill>
          </w14:textFill>
        </w:rPr>
        <w:t>探索建立“病有专科、病有专人、病有专方、病有专药( 术) ” 的中医药防治重大疾病模式。开展中医经典病房建设，研究或推广具有四川特色和临床优势的中医病种诊疗方案和临床路径，整体提升中医药防治重大疾病的诊疗能力和疗效水平。</w:t>
      </w:r>
    </w:p>
    <w:p w14:paraId="11E22D23">
      <w:pPr>
        <w:pStyle w:val="4"/>
        <w:widowControl w:val="0"/>
        <w:spacing w:line="560" w:lineRule="exact"/>
        <w:ind w:firstLine="640" w:firstLineChars="200"/>
        <w:jc w:val="left"/>
        <w:rPr>
          <w:rFonts w:ascii="Times New Roman" w:hAnsi="Times New Roman" w:cs="Times New Roman"/>
          <w:color w:val="000000" w:themeColor="text1"/>
          <w:kern w:val="0"/>
          <w14:textFill>
            <w14:solidFill>
              <w14:schemeClr w14:val="tx1"/>
            </w14:solidFill>
          </w14:textFill>
        </w:rPr>
      </w:pPr>
      <w:r>
        <w:rPr>
          <w:rFonts w:ascii="Times New Roman" w:hAnsi="Times New Roman" w:cs="Times New Roman"/>
          <w:b/>
          <w:color w:val="000000" w:themeColor="text1"/>
          <w:kern w:val="0"/>
          <w14:textFill>
            <w14:solidFill>
              <w14:schemeClr w14:val="tx1"/>
            </w14:solidFill>
          </w14:textFill>
        </w:rPr>
        <w:t>强化中医药特色康复服务能力。</w:t>
      </w:r>
      <w:r>
        <w:rPr>
          <w:rFonts w:ascii="Times New Roman" w:hAnsi="Times New Roman" w:cs="Times New Roman"/>
          <w:color w:val="000000" w:themeColor="text1"/>
          <w:kern w:val="0"/>
          <w14:textFill>
            <w14:solidFill>
              <w14:schemeClr w14:val="tx1"/>
            </w14:solidFill>
          </w14:textFill>
        </w:rPr>
        <w:t>实施中医药康复服务能力提升工程，健全中医药特色康复服务体系。到</w:t>
      </w:r>
      <w:r>
        <w:rPr>
          <w:rFonts w:ascii="Times New Roman" w:hAnsi="Times New Roman" w:cs="Times New Roman"/>
          <w:color w:val="000000" w:themeColor="text1"/>
          <w:kern w:val="0"/>
          <w:lang w:val="en-US"/>
          <w14:textFill>
            <w14:solidFill>
              <w14:schemeClr w14:val="tx1"/>
            </w14:solidFill>
          </w14:textFill>
        </w:rPr>
        <w:t>2025年，</w:t>
      </w:r>
      <w:r>
        <w:rPr>
          <w:rFonts w:ascii="Times New Roman" w:hAnsi="Times New Roman" w:cs="Times New Roman"/>
          <w:color w:val="000000" w:themeColor="text1"/>
          <w:kern w:val="0"/>
          <w14:textFill>
            <w14:solidFill>
              <w14:schemeClr w14:val="tx1"/>
            </w14:solidFill>
          </w14:textFill>
        </w:rPr>
        <w:t>区中医医院设置独立康复科室，基层医疗卫生机构和其他医疗卫生机构能提供中医药康复服务。完善中医康复服务标准及规范，推广中医优势病种康复方案和中医康复适宜技术，探索开展中医家庭病床康复服务。鼓励开展具有中医特色的社区康复服务，建立中医医院、社区康复机构帮扶和双向转诊机制。促进中医药、中华传统体育与现代康复技术融合发展。</w:t>
      </w:r>
    </w:p>
    <w:p w14:paraId="7444DEC0">
      <w:pPr>
        <w:pStyle w:val="4"/>
        <w:widowControl w:val="0"/>
        <w:spacing w:line="560" w:lineRule="exact"/>
        <w:ind w:firstLine="640" w:firstLineChars="200"/>
        <w:jc w:val="left"/>
        <w:rPr>
          <w:rFonts w:ascii="Times New Roman" w:hAnsi="Times New Roman" w:cs="Times New Roman"/>
          <w:color w:val="000000" w:themeColor="text1"/>
          <w:kern w:val="0"/>
          <w14:textFill>
            <w14:solidFill>
              <w14:schemeClr w14:val="tx1"/>
            </w14:solidFill>
          </w14:textFill>
        </w:rPr>
      </w:pPr>
      <w:r>
        <w:rPr>
          <w:rFonts w:ascii="Times New Roman" w:hAnsi="Times New Roman" w:cs="Times New Roman"/>
          <w:b/>
          <w:color w:val="000000" w:themeColor="text1"/>
          <w:kern w:val="0"/>
          <w14:textFill>
            <w14:solidFill>
              <w14:schemeClr w14:val="tx1"/>
            </w14:solidFill>
          </w14:textFill>
        </w:rPr>
        <w:t>强化医疗机构中药制剂能力建设。</w:t>
      </w:r>
      <w:r>
        <w:rPr>
          <w:rFonts w:ascii="Times New Roman" w:hAnsi="Times New Roman" w:cs="Times New Roman"/>
          <w:color w:val="000000" w:themeColor="text1"/>
          <w:kern w:val="0"/>
          <w14:textFill>
            <w14:solidFill>
              <w14:schemeClr w14:val="tx1"/>
            </w14:solidFill>
          </w14:textFill>
        </w:rPr>
        <w:t>支持医疗机构按照制剂配制质量管理规范，应用传统工艺配制中药制剂，促进中医药特色优势发挥。鼓励医企合作，提升中药制剂产能和质量，促进医疗机构中药制剂成果转化。</w:t>
      </w:r>
    </w:p>
    <w:p w14:paraId="017A7B0E">
      <w:pPr>
        <w:pStyle w:val="4"/>
        <w:widowControl w:val="0"/>
        <w:spacing w:line="560" w:lineRule="exact"/>
        <w:ind w:firstLine="1921" w:firstLineChars="600"/>
        <w:jc w:val="left"/>
        <w:rPr>
          <w:rFonts w:ascii="Times New Roman" w:hAnsi="Times New Roman" w:cs="Times New Roman"/>
          <w:b/>
          <w:kern w:val="0"/>
          <w:lang w:val="en-US"/>
        </w:rPr>
      </w:pPr>
      <w:r>
        <w:rPr>
          <w:rFonts w:ascii="Times New Roman" w:hAnsi="Times New Roman" w:cs="Times New Roman"/>
          <w:b/>
          <w:kern w:val="0"/>
          <w:lang w:val="en-US"/>
        </w:rPr>
        <w:t>第二节  深化特色中医药体制机制改革</w:t>
      </w:r>
    </w:p>
    <w:p w14:paraId="7947ECEB">
      <w:pPr>
        <w:pStyle w:val="4"/>
        <w:widowControl w:val="0"/>
        <w:spacing w:line="560" w:lineRule="exact"/>
        <w:ind w:left="420" w:leftChars="200" w:firstLine="320" w:firstLineChars="100"/>
        <w:jc w:val="left"/>
        <w:rPr>
          <w:rFonts w:ascii="SimHei" w:hAnsi="SimHei" w:eastAsia="SimHei" w:cs="Times New Roman"/>
          <w:kern w:val="0"/>
        </w:rPr>
      </w:pPr>
      <w:r>
        <w:rPr>
          <w:rFonts w:ascii="SimHei" w:hAnsi="SimHei" w:eastAsia="SimHei" w:cs="Times New Roman"/>
          <w:kern w:val="0"/>
        </w:rPr>
        <w:t>一、健全现代中医医院管理制度</w:t>
      </w:r>
    </w:p>
    <w:p w14:paraId="79324588">
      <w:pPr>
        <w:pStyle w:val="4"/>
        <w:widowControl w:val="0"/>
        <w:spacing w:line="560" w:lineRule="exact"/>
        <w:ind w:firstLine="640" w:firstLineChars="200"/>
        <w:jc w:val="left"/>
        <w:rPr>
          <w:rFonts w:ascii="Times New Roman" w:hAnsi="Times New Roman" w:cs="Times New Roman"/>
          <w:kern w:val="0"/>
        </w:rPr>
      </w:pPr>
      <w:r>
        <w:rPr>
          <w:rFonts w:ascii="Times New Roman" w:hAnsi="Times New Roman" w:cs="Times New Roman"/>
          <w:kern w:val="0"/>
        </w:rPr>
        <w:t>执行和落实公立医院党委领导下的院长负责制，把加强党的领导和党的建设有关要求写入医院章程，明确医院党委等院级党组织研究决定医院重大问题的制度机制，把党的领导融入医院治理各环节。中医医院党政班子中中医药专业背景人员比例达到 60% 。强化以中医药服务为主的办院模式，逐步推广中医综合诊疗模式、多专业一体化诊疗模式、全链条服务模式。实施公立中医医院绩效考核制度，持续推进内部控制建设，加强全面预算和运营管理，完善医疗纠纷处理机制，推动医院运营管理科学化、规范化、精细化。</w:t>
      </w:r>
    </w:p>
    <w:p w14:paraId="6DD59C2B">
      <w:pPr>
        <w:pStyle w:val="4"/>
        <w:widowControl w:val="0"/>
        <w:spacing w:line="560" w:lineRule="exact"/>
        <w:jc w:val="left"/>
        <w:rPr>
          <w:rFonts w:ascii="SimHei" w:hAnsi="SimHei" w:eastAsia="SimHei" w:cs="Times New Roman"/>
          <w:kern w:val="0"/>
          <w:lang w:val="en-US"/>
        </w:rPr>
      </w:pPr>
      <w:r>
        <w:rPr>
          <w:rFonts w:ascii="Times New Roman" w:hAnsi="Times New Roman" w:cs="Times New Roman"/>
          <w:b/>
          <w:color w:val="0000FF"/>
          <w:kern w:val="0"/>
          <w:lang w:val="en-US"/>
        </w:rPr>
        <w:t xml:space="preserve">   </w:t>
      </w:r>
      <w:r>
        <w:rPr>
          <w:rFonts w:ascii="SimHei" w:hAnsi="SimHei" w:eastAsia="SimHei" w:cs="Times New Roman"/>
          <w:kern w:val="0"/>
          <w:lang w:val="en-US"/>
        </w:rPr>
        <w:t xml:space="preserve"> 二、</w:t>
      </w:r>
      <w:r>
        <w:rPr>
          <w:rFonts w:ascii="SimHei" w:hAnsi="SimHei" w:eastAsia="SimHei" w:cs="Times New Roman"/>
          <w:kern w:val="0"/>
        </w:rPr>
        <w:t>完善中西医结合制度</w:t>
      </w:r>
    </w:p>
    <w:p w14:paraId="340B73D1">
      <w:pPr>
        <w:pStyle w:val="4"/>
        <w:widowControl w:val="0"/>
        <w:spacing w:line="560" w:lineRule="exact"/>
        <w:ind w:firstLine="640" w:firstLineChars="200"/>
        <w:jc w:val="left"/>
        <w:rPr>
          <w:rFonts w:ascii="Times New Roman" w:hAnsi="Times New Roman" w:cs="Times New Roman"/>
          <w:color w:val="000000" w:themeColor="text1"/>
          <w:kern w:val="0"/>
          <w14:textFill>
            <w14:solidFill>
              <w14:schemeClr w14:val="tx1"/>
            </w14:solidFill>
          </w14:textFill>
        </w:rPr>
      </w:pPr>
      <w:r>
        <w:rPr>
          <w:rFonts w:ascii="Times New Roman" w:hAnsi="Times New Roman" w:cs="Times New Roman"/>
          <w:b/>
          <w:color w:val="000000" w:themeColor="text1"/>
          <w:kern w:val="0"/>
          <w14:textFill>
            <w14:solidFill>
              <w14:schemeClr w14:val="tx1"/>
            </w14:solidFill>
          </w14:textFill>
        </w:rPr>
        <w:t>创新发展中西医结合机制。</w:t>
      </w:r>
      <w:r>
        <w:rPr>
          <w:rFonts w:ascii="Times New Roman" w:hAnsi="Times New Roman" w:cs="Times New Roman"/>
          <w:color w:val="000000" w:themeColor="text1"/>
          <w:kern w:val="0"/>
          <w14:textFill>
            <w14:solidFill>
              <w14:schemeClr w14:val="tx1"/>
            </w14:solidFill>
          </w14:textFill>
        </w:rPr>
        <w:t>加强区人民医院、区妇幼保健院和有条件的专科医院中医临床科室和中药房建设，原则上中医床位数占比不低于5% 。将中西医结合工作纳入医院评审和公立医院绩效考核，把建立中西医协同发展机制和多学科诊疗体系纳入医院章程，将中西医联合查房、会诊纳入医院管理制度。</w:t>
      </w:r>
    </w:p>
    <w:p w14:paraId="10151BD7">
      <w:pPr>
        <w:pStyle w:val="4"/>
        <w:widowControl w:val="0"/>
        <w:spacing w:line="560" w:lineRule="exact"/>
        <w:ind w:firstLine="640" w:firstLineChars="200"/>
        <w:jc w:val="left"/>
        <w:rPr>
          <w:rFonts w:ascii="Times New Roman" w:hAnsi="Times New Roman" w:cs="Times New Roman"/>
          <w:b/>
          <w:color w:val="0000FF"/>
          <w:kern w:val="0"/>
        </w:rPr>
      </w:pPr>
      <w:r>
        <w:rPr>
          <w:rFonts w:ascii="Times New Roman" w:hAnsi="Times New Roman" w:cs="Times New Roman"/>
          <w:b/>
          <w:color w:val="000000" w:themeColor="text1"/>
          <w:kern w:val="0"/>
          <w14:textFill>
            <w14:solidFill>
              <w14:schemeClr w14:val="tx1"/>
            </w14:solidFill>
          </w14:textFill>
        </w:rPr>
        <w:t>创新中西医结合医疗服务模式。</w:t>
      </w:r>
      <w:r>
        <w:rPr>
          <w:rFonts w:ascii="Times New Roman" w:hAnsi="Times New Roman" w:cs="Times New Roman"/>
          <w:color w:val="000000" w:themeColor="text1"/>
          <w:kern w:val="0"/>
          <w14:textFill>
            <w14:solidFill>
              <w14:schemeClr w14:val="tx1"/>
            </w14:solidFill>
          </w14:textFill>
        </w:rPr>
        <w:t>强化区人民医院、</w:t>
      </w:r>
      <w:r>
        <w:rPr>
          <w:rFonts w:ascii="Times New Roman" w:hAnsi="Times New Roman" w:cs="Times New Roman"/>
          <w:color w:val="000000" w:themeColor="text1"/>
          <w:kern w:val="0"/>
          <w:lang w:val="en-US"/>
          <w14:textFill>
            <w14:solidFill>
              <w14:schemeClr w14:val="tx1"/>
            </w14:solidFill>
          </w14:textFill>
        </w:rPr>
        <w:t>区</w:t>
      </w:r>
      <w:r>
        <w:rPr>
          <w:rFonts w:ascii="Times New Roman" w:hAnsi="Times New Roman" w:cs="Times New Roman"/>
          <w:color w:val="000000" w:themeColor="text1"/>
          <w:kern w:val="0"/>
          <w14:textFill>
            <w14:solidFill>
              <w14:schemeClr w14:val="tx1"/>
            </w14:solidFill>
          </w14:textFill>
        </w:rPr>
        <w:t>妇幼保健机构和专科医院临床科室中医医师配备。打造中西医结合团队，逐步建立中西医结合多学科诊疗体系。鼓励科室间、院间和医联体内部开展中西医协作，针对中西医结合优势病种，共同研究制定“宜中则中、宜西则西”的中西医结合诊疗方案。医疗机构要组织开展临床类别医师中医药专业知识轮训，使之具备本专业领域的常规中医诊疗能力，逐步做到“能西会中”推进中西医结合诊疗服务覆盖医院主要临床科室。</w:t>
      </w:r>
    </w:p>
    <w:p w14:paraId="3A11F4CB">
      <w:pPr>
        <w:pStyle w:val="4"/>
        <w:widowControl w:val="0"/>
        <w:spacing w:line="560" w:lineRule="exact"/>
        <w:ind w:firstLine="640" w:firstLineChars="200"/>
        <w:jc w:val="left"/>
        <w:rPr>
          <w:rFonts w:ascii="SimHei" w:hAnsi="SimHei" w:eastAsia="SimHei" w:cs="Times New Roman"/>
          <w:kern w:val="0"/>
        </w:rPr>
      </w:pPr>
      <w:r>
        <w:rPr>
          <w:rFonts w:ascii="SimHei" w:hAnsi="SimHei" w:eastAsia="SimHei" w:cs="Times New Roman"/>
          <w:kern w:val="0"/>
        </w:rPr>
        <w:t>三、提升中医医疗服务质量</w:t>
      </w:r>
    </w:p>
    <w:p w14:paraId="35F4310B">
      <w:pPr>
        <w:pStyle w:val="4"/>
        <w:widowControl w:val="0"/>
        <w:spacing w:line="560" w:lineRule="exact"/>
        <w:ind w:firstLine="640" w:firstLineChars="200"/>
        <w:jc w:val="left"/>
        <w:rPr>
          <w:rFonts w:ascii="Times New Roman" w:hAnsi="Times New Roman" w:cs="Times New Roman"/>
          <w:kern w:val="0"/>
        </w:rPr>
      </w:pPr>
      <w:r>
        <w:rPr>
          <w:rFonts w:ascii="Times New Roman" w:hAnsi="Times New Roman" w:cs="Times New Roman"/>
          <w:kern w:val="0"/>
        </w:rPr>
        <w:t>完善区级中医医疗质量控制体系，建立医生自控、科室主控、医院总控、中心调控的中医医疗机构质量控制机制，提升中医医疗整体服务效率。加强医疗机构中药饮片质量监控，完善医疗机构中药使用管理，健全中成药处方点评制度和西医合理使用中成药培训制度、处方权授予制度。进一步优化中药药事服务流程，加强调剂、煎煮、配送等全过程质量控制，让人民群众放心用中药。规范中医护理服务，制定并推广优势病种中医护理方案，完善中医护理在儿童保健、产后护理、治未病、养生等方面的审慎监管机制。</w:t>
      </w:r>
    </w:p>
    <w:p w14:paraId="16B3BB0F">
      <w:pPr>
        <w:pStyle w:val="4"/>
        <w:widowControl w:val="0"/>
        <w:spacing w:line="560" w:lineRule="exact"/>
        <w:jc w:val="center"/>
        <w:rPr>
          <w:rFonts w:ascii="Times New Roman" w:hAnsi="Times New Roman" w:eastAsia="SimHei" w:cs="Times New Roman"/>
          <w:b/>
          <w:color w:val="000000" w:themeColor="text1"/>
          <w:kern w:val="0"/>
          <w14:textFill>
            <w14:solidFill>
              <w14:schemeClr w14:val="tx1"/>
            </w14:solidFill>
          </w14:textFill>
        </w:rPr>
      </w:pPr>
      <w:r>
        <w:rPr>
          <w:rFonts w:ascii="Times New Roman" w:hAnsi="Times New Roman" w:eastAsia="SimHei" w:cs="Times New Roman"/>
          <w:b/>
          <w:color w:val="000000" w:themeColor="text1"/>
          <w:kern w:val="0"/>
          <w:lang w:val="en-US"/>
          <w14:textFill>
            <w14:solidFill>
              <w14:schemeClr w14:val="tx1"/>
            </w14:solidFill>
          </w14:textFill>
        </w:rPr>
        <w:t xml:space="preserve">第五章  </w:t>
      </w:r>
      <w:r>
        <w:rPr>
          <w:rFonts w:ascii="Times New Roman" w:hAnsi="Times New Roman" w:eastAsia="SimHei" w:cs="Times New Roman"/>
          <w:b/>
          <w:color w:val="000000" w:themeColor="text1"/>
          <w:kern w:val="0"/>
          <w14:textFill>
            <w14:solidFill>
              <w14:schemeClr w14:val="tx1"/>
            </w14:solidFill>
          </w14:textFill>
        </w:rPr>
        <w:t>推进中医药全产业链发展</w:t>
      </w:r>
    </w:p>
    <w:p w14:paraId="1B2DFC5B">
      <w:pPr>
        <w:pStyle w:val="4"/>
        <w:widowControl w:val="0"/>
        <w:tabs>
          <w:tab w:val="left" w:pos="1279"/>
        </w:tabs>
        <w:spacing w:line="560" w:lineRule="exact"/>
        <w:ind w:firstLine="640" w:firstLineChars="200"/>
        <w:jc w:val="center"/>
        <w:rPr>
          <w:rFonts w:ascii="Times New Roman" w:hAnsi="Times New Roman" w:eastAsia="KaiTi_GB2312" w:cs="Times New Roman"/>
          <w:b/>
          <w:color w:val="000000" w:themeColor="text1"/>
          <w:kern w:val="0"/>
          <w:lang w:val="en-US"/>
          <w14:textFill>
            <w14:solidFill>
              <w14:schemeClr w14:val="tx1"/>
            </w14:solidFill>
          </w14:textFill>
        </w:rPr>
      </w:pPr>
      <w:r>
        <w:rPr>
          <w:rFonts w:ascii="Times New Roman" w:hAnsi="Times New Roman" w:eastAsia="KaiTi_GB2312" w:cs="Times New Roman"/>
          <w:b/>
          <w:color w:val="000000" w:themeColor="text1"/>
          <w:kern w:val="0"/>
          <w14:textFill>
            <w14:solidFill>
              <w14:schemeClr w14:val="tx1"/>
            </w14:solidFill>
          </w14:textFill>
        </w:rPr>
        <w:t>第一节</w:t>
      </w:r>
      <w:r>
        <w:rPr>
          <w:rFonts w:ascii="Times New Roman" w:hAnsi="Times New Roman" w:eastAsia="KaiTi_GB2312" w:cs="Times New Roman"/>
          <w:b/>
          <w:color w:val="000000" w:themeColor="text1"/>
          <w:kern w:val="0"/>
          <w:lang w:val="en-US"/>
          <w14:textFill>
            <w14:solidFill>
              <w14:schemeClr w14:val="tx1"/>
            </w14:solidFill>
          </w14:textFill>
        </w:rPr>
        <w:t xml:space="preserve"> 推动中药材产业发展</w:t>
      </w:r>
    </w:p>
    <w:p w14:paraId="55296E41">
      <w:pPr>
        <w:pStyle w:val="11"/>
        <w:widowControl w:val="0"/>
        <w:tabs>
          <w:tab w:val="left" w:pos="1013"/>
        </w:tabs>
        <w:spacing w:before="0" w:line="560" w:lineRule="exact"/>
        <w:ind w:left="0" w:firstLine="640" w:firstLineChars="200"/>
        <w:jc w:val="left"/>
        <w:rPr>
          <w:rFonts w:ascii="Times New Roman" w:hAnsi="Times New Roman" w:cs="Times New Roman"/>
          <w:color w:val="000000" w:themeColor="text1"/>
          <w:kern w:val="0"/>
          <w:sz w:val="32"/>
          <w:szCs w:val="32"/>
          <w14:textFill>
            <w14:solidFill>
              <w14:schemeClr w14:val="tx1"/>
            </w14:solidFill>
          </w14:textFill>
        </w:rPr>
      </w:pPr>
      <w:r>
        <w:rPr>
          <w:rFonts w:ascii="Times New Roman" w:hAnsi="Times New Roman" w:cs="Times New Roman"/>
          <w:b/>
          <w:color w:val="000000" w:themeColor="text1"/>
          <w:kern w:val="0"/>
          <w:sz w:val="32"/>
          <w:szCs w:val="32"/>
          <w14:textFill>
            <w14:solidFill>
              <w14:schemeClr w14:val="tx1"/>
            </w14:solidFill>
          </w14:textFill>
        </w:rPr>
        <w:t>加强资源保护与中药材产业发展。</w:t>
      </w:r>
      <w:r>
        <w:rPr>
          <w:rFonts w:ascii="Times New Roman" w:hAnsi="Times New Roman" w:cs="Times New Roman"/>
          <w:color w:val="000000" w:themeColor="text1"/>
          <w:kern w:val="0"/>
          <w:sz w:val="32"/>
          <w:szCs w:val="32"/>
          <w14:textFill>
            <w14:solidFill>
              <w14:schemeClr w14:val="tx1"/>
            </w14:solidFill>
          </w14:textFill>
        </w:rPr>
        <w:t>促进我区全国第四次中药资源普查成果转化，加快我区道地和特色优势药材新品种选育与推广应用，力争推进1-2种川产道地和特色优势药材基地建设。依托我区青花椒、贵妃枣等食药同源植物的大面积种植，实施从其规范化种植、提取物到药品生产及其衍生品的全产业链开发。指导中药企业、中药材种植（养殖）合作社和职业经理人等应用现代理念、技术、标准和设施，引领中药材产业提档升级。</w:t>
      </w:r>
    </w:p>
    <w:p w14:paraId="1F86F51A">
      <w:pPr>
        <w:pStyle w:val="4"/>
        <w:widowControl w:val="0"/>
        <w:spacing w:line="560" w:lineRule="exact"/>
        <w:ind w:firstLine="640" w:firstLineChars="200"/>
        <w:jc w:val="left"/>
        <w:rPr>
          <w:rFonts w:ascii="Times New Roman" w:hAnsi="Times New Roman" w:cs="Times New Roman"/>
          <w:color w:val="000000" w:themeColor="text1"/>
          <w:kern w:val="0"/>
          <w14:textFill>
            <w14:solidFill>
              <w14:schemeClr w14:val="tx1"/>
            </w14:solidFill>
          </w14:textFill>
        </w:rPr>
      </w:pPr>
      <w:r>
        <w:rPr>
          <w:rFonts w:ascii="Times New Roman" w:hAnsi="Times New Roman" w:cs="Times New Roman"/>
          <w:b/>
          <w:color w:val="000000" w:themeColor="text1"/>
          <w:kern w:val="0"/>
          <w14:textFill>
            <w14:solidFill>
              <w14:schemeClr w14:val="tx1"/>
            </w14:solidFill>
          </w14:textFill>
        </w:rPr>
        <w:t>加强中药监管，提升中药质量。</w:t>
      </w:r>
      <w:r>
        <w:rPr>
          <w:rFonts w:ascii="Times New Roman" w:hAnsi="Times New Roman" w:cs="Times New Roman"/>
          <w:color w:val="000000" w:themeColor="text1"/>
          <w:kern w:val="0"/>
          <w14:textFill>
            <w14:solidFill>
              <w14:schemeClr w14:val="tx1"/>
            </w14:solidFill>
          </w14:textFill>
        </w:rPr>
        <w:t>推</w:t>
      </w:r>
      <w:r>
        <w:rPr>
          <w:rFonts w:ascii="Times New Roman" w:hAnsi="Times New Roman" w:cs="Times New Roman"/>
          <w:color w:val="000000" w:themeColor="text1"/>
          <w:kern w:val="0"/>
          <w:lang w:val="en-US"/>
          <w14:textFill>
            <w14:solidFill>
              <w14:schemeClr w14:val="tx1"/>
            </w14:solidFill>
          </w14:textFill>
        </w:rPr>
        <w:t>进</w:t>
      </w:r>
      <w:r>
        <w:rPr>
          <w:rFonts w:ascii="Times New Roman" w:hAnsi="Times New Roman" w:cs="Times New Roman"/>
          <w:color w:val="000000" w:themeColor="text1"/>
          <w:kern w:val="0"/>
          <w14:textFill>
            <w14:solidFill>
              <w14:schemeClr w14:val="tx1"/>
            </w14:solidFill>
          </w14:textFill>
        </w:rPr>
        <w:t>中药材种植严格农药、化肥、植物生长调节剂等使用管理。推进中药材产地初加工标准化、规模化和集约化发展，鼓励在产地建设初加工基地。不断加强中药材交易市场监管。健全中药制剂审批制度，支持医疗机构应用传统工艺配制中药制剂，建设调剂使用管理平台，提高调剂效率。建立健全中药材追溯地方标准，完善中药安全监测体系，加强对中药生产、流通、使用等单位和环节的监督检查，加强对中药饮片、中成药、中药制剂的监督管理，坚决查处违法行为。鼓励中医医疗机构参与国家药品不良反应监测哨点医院建设，加快药品不良反应监测机构人员队伍职业化、专业化建设。落实中药生产企业主体责任，推进中药企业诚信体系建设，加大失信联合惩戒力度。</w:t>
      </w:r>
    </w:p>
    <w:p w14:paraId="016B4197">
      <w:pPr>
        <w:pStyle w:val="4"/>
        <w:widowControl w:val="0"/>
        <w:spacing w:line="560" w:lineRule="exact"/>
        <w:jc w:val="center"/>
        <w:rPr>
          <w:rFonts w:ascii="Times New Roman" w:hAnsi="Times New Roman" w:eastAsia="KaiTi_GB2312" w:cs="Times New Roman"/>
          <w:b/>
          <w:color w:val="000000" w:themeColor="text1"/>
          <w:kern w:val="0"/>
          <w14:textFill>
            <w14:solidFill>
              <w14:schemeClr w14:val="tx1"/>
            </w14:solidFill>
          </w14:textFill>
        </w:rPr>
      </w:pPr>
      <w:r>
        <w:rPr>
          <w:rFonts w:ascii="Times New Roman" w:hAnsi="Times New Roman" w:eastAsia="KaiTi_GB2312" w:cs="Times New Roman"/>
          <w:b/>
          <w:color w:val="000000" w:themeColor="text1"/>
          <w:kern w:val="0"/>
          <w14:textFill>
            <w14:solidFill>
              <w14:schemeClr w14:val="tx1"/>
            </w14:solidFill>
          </w14:textFill>
        </w:rPr>
        <w:t>第二节</w:t>
      </w:r>
      <w:r>
        <w:rPr>
          <w:rFonts w:ascii="Times New Roman" w:hAnsi="Times New Roman" w:eastAsia="KaiTi_GB2312" w:cs="Times New Roman"/>
          <w:b/>
          <w:color w:val="000000" w:themeColor="text1"/>
          <w:kern w:val="0"/>
          <w:lang w:val="en-US"/>
          <w14:textFill>
            <w14:solidFill>
              <w14:schemeClr w14:val="tx1"/>
            </w14:solidFill>
          </w14:textFill>
        </w:rPr>
        <w:t xml:space="preserve"> 全面</w:t>
      </w:r>
      <w:r>
        <w:rPr>
          <w:rFonts w:ascii="Times New Roman" w:hAnsi="Times New Roman" w:eastAsia="KaiTi_GB2312" w:cs="Times New Roman"/>
          <w:b/>
          <w:color w:val="000000" w:themeColor="text1"/>
          <w:kern w:val="0"/>
          <w14:textFill>
            <w14:solidFill>
              <w14:schemeClr w14:val="tx1"/>
            </w14:solidFill>
          </w14:textFill>
        </w:rPr>
        <w:t>发展中医药健康服务</w:t>
      </w:r>
    </w:p>
    <w:p w14:paraId="168D0161">
      <w:pPr>
        <w:pStyle w:val="4"/>
        <w:widowControl w:val="0"/>
        <w:spacing w:line="560" w:lineRule="exact"/>
        <w:ind w:left="420" w:leftChars="200" w:firstLine="320" w:firstLineChars="100"/>
        <w:jc w:val="left"/>
        <w:rPr>
          <w:rFonts w:ascii="SimHei" w:hAnsi="SimHei" w:eastAsia="SimHei" w:cs="Times New Roman"/>
          <w:kern w:val="0"/>
        </w:rPr>
      </w:pPr>
      <w:r>
        <w:rPr>
          <w:rFonts w:ascii="SimHei" w:hAnsi="SimHei" w:eastAsia="SimHei" w:cs="Times New Roman"/>
          <w:kern w:val="0"/>
        </w:rPr>
        <w:t>一、发展中医药养生保健服务</w:t>
      </w:r>
    </w:p>
    <w:p w14:paraId="1CA92EBE">
      <w:pPr>
        <w:pStyle w:val="4"/>
        <w:widowControl w:val="0"/>
        <w:spacing w:line="560" w:lineRule="exact"/>
        <w:ind w:firstLine="640" w:firstLineChars="200"/>
        <w:jc w:val="left"/>
        <w:rPr>
          <w:rFonts w:ascii="Times New Roman" w:hAnsi="Times New Roman" w:cs="Times New Roman"/>
          <w:kern w:val="0"/>
        </w:rPr>
      </w:pPr>
      <w:r>
        <w:rPr>
          <w:rFonts w:ascii="Times New Roman" w:hAnsi="Times New Roman" w:cs="Times New Roman"/>
          <w:kern w:val="0"/>
        </w:rPr>
        <w:t>探索建立融医疗和养生保健于一体的覆盖全生命周期的中医药服务发展新模式。鼓励医疗卫生机构“治未病”科室拓展业务领域。加大中医医疗机构中养身保健类中医技师队伍建设力度。支持中医医院、中医医师为中医养生保健机构提供技术指导，推动社会办中医养生保健机构规范化发展。编印中医养生保健手册，推广普及太极拳、八段锦、五禽戏等养生保健方法，打造以中医药养生保健为主的特色体验场所。</w:t>
      </w:r>
    </w:p>
    <w:p w14:paraId="7AE9A2AC">
      <w:pPr>
        <w:pStyle w:val="4"/>
        <w:widowControl w:val="0"/>
        <w:spacing w:line="560" w:lineRule="exact"/>
        <w:ind w:left="420" w:leftChars="200" w:firstLine="320" w:firstLineChars="100"/>
        <w:rPr>
          <w:rFonts w:ascii="SimHei" w:hAnsi="SimHei" w:eastAsia="SimHei" w:cs="Times New Roman"/>
          <w:bCs/>
          <w:kern w:val="0"/>
          <w:lang w:val="en-US"/>
        </w:rPr>
      </w:pPr>
      <w:r>
        <w:rPr>
          <w:rFonts w:ascii="SimHei" w:hAnsi="SimHei" w:eastAsia="SimHei" w:cs="Times New Roman"/>
          <w:bCs/>
          <w:kern w:val="0"/>
          <w:lang w:val="en-US"/>
        </w:rPr>
        <w:t>二、</w:t>
      </w:r>
      <w:r>
        <w:rPr>
          <w:rFonts w:ascii="SimHei" w:hAnsi="SimHei" w:eastAsia="SimHei" w:cs="Times New Roman"/>
          <w:bCs/>
          <w:kern w:val="0"/>
        </w:rPr>
        <w:t>发展中医药健康养老服务</w:t>
      </w:r>
    </w:p>
    <w:p w14:paraId="5DC16395">
      <w:pPr>
        <w:pStyle w:val="4"/>
        <w:widowControl w:val="0"/>
        <w:spacing w:line="560" w:lineRule="exact"/>
        <w:ind w:firstLine="640" w:firstLineChars="200"/>
        <w:jc w:val="left"/>
        <w:rPr>
          <w:rFonts w:ascii="Times New Roman" w:hAnsi="Times New Roman" w:cs="Times New Roman"/>
          <w:kern w:val="0"/>
        </w:rPr>
      </w:pPr>
      <w:r>
        <w:rPr>
          <w:rFonts w:ascii="Times New Roman" w:hAnsi="Times New Roman" w:cs="Times New Roman"/>
          <w:kern w:val="0"/>
        </w:rPr>
        <w:t>推进中医药加老年健康促进行动。力争到</w:t>
      </w:r>
      <w:r>
        <w:rPr>
          <w:rFonts w:ascii="Times New Roman" w:hAnsi="Times New Roman" w:cs="Times New Roman"/>
          <w:kern w:val="0"/>
          <w:lang w:val="en-US"/>
        </w:rPr>
        <w:t>2025年区人民医院和区中医医院均设置老年医学科。</w:t>
      </w:r>
      <w:r>
        <w:rPr>
          <w:rFonts w:ascii="Times New Roman" w:hAnsi="Times New Roman" w:cs="Times New Roman"/>
          <w:kern w:val="0"/>
        </w:rPr>
        <w:t>加强区中医医院老年病科建设，推进适老化改造，建设为老年友善医院。推动中医药与养老融合发展，支持区中医医院开展医养结合服务，发展中医药健康养老联合体。鼓励社会资本开办中医医养结合养老服务集团或连锁机构。推动中医医院与养老机构双向合作，支持基层医疗机构拓展社区和居家中医药健康养老服务，鼓励社区养老综合体配备中医药力量，促进中医药适宜技术和项目在老年群体中广泛应用。创新老年人中医药特色健康管理，开发多元化多层次的中医药健康管理服务包。依托在金山镇大井村“春花秋月”区域、白马关景区区域设置康养中心的规划，力争推进中医药与健康养老产业融合发展。</w:t>
      </w:r>
    </w:p>
    <w:p w14:paraId="67B769DF">
      <w:pPr>
        <w:pStyle w:val="4"/>
        <w:widowControl w:val="0"/>
        <w:spacing w:line="560" w:lineRule="exact"/>
        <w:ind w:firstLine="640" w:firstLineChars="200"/>
        <w:rPr>
          <w:rFonts w:ascii="SimHei" w:hAnsi="SimHei" w:eastAsia="SimHei" w:cs="Times New Roman"/>
          <w:bCs/>
          <w:kern w:val="0"/>
        </w:rPr>
      </w:pPr>
      <w:r>
        <w:rPr>
          <w:rFonts w:ascii="SimHei" w:hAnsi="SimHei" w:eastAsia="SimHei" w:cs="Times New Roman"/>
          <w:kern w:val="0"/>
        </w:rPr>
        <w:t>三、发展中医药健康旅游</w:t>
      </w:r>
    </w:p>
    <w:p w14:paraId="01464001">
      <w:pPr>
        <w:pStyle w:val="4"/>
        <w:widowControl w:val="0"/>
        <w:spacing w:line="560" w:lineRule="exact"/>
        <w:ind w:firstLine="640" w:firstLineChars="200"/>
        <w:jc w:val="left"/>
        <w:rPr>
          <w:rFonts w:ascii="Times New Roman" w:hAnsi="Times New Roman" w:cs="Times New Roman"/>
          <w:kern w:val="0"/>
        </w:rPr>
      </w:pPr>
      <w:r>
        <w:rPr>
          <w:rFonts w:ascii="Times New Roman" w:hAnsi="Times New Roman" w:cs="Times New Roman"/>
          <w:kern w:val="0"/>
        </w:rPr>
        <w:t>依托我区三国古蜀文化和白马关国家级生态旅游优势，建立康养中心和中医养生馆，并鼓励开发罗江特色中医药健康养生旅游度假项目和产品，创新旅游业与中医药健康服务业融合发展的新理念和新模式。打造罗江特色的中医药健康文化体验路线，设计形式新颖、成效明显的中医药健康文化体验活动。发挥中医药文化底蕴深厚的中医医疗机构、中医养生保健机构、中药材种植基地、药用植物园、养生保健产品生产企业、中华老字号名店等的优势，培育特色鲜明、优势明显的中医药健康旅游基地和旅游综合体。加强中医药健康旅游市场宣传推广，举办中医药健康旅游相关活动。</w:t>
      </w:r>
    </w:p>
    <w:p w14:paraId="40F97E40">
      <w:pPr>
        <w:pStyle w:val="4"/>
        <w:widowControl w:val="0"/>
        <w:spacing w:line="560" w:lineRule="exact"/>
        <w:ind w:firstLine="640" w:firstLineChars="200"/>
        <w:jc w:val="left"/>
        <w:rPr>
          <w:rFonts w:ascii="Times New Roman" w:hAnsi="Times New Roman" w:cs="Times New Roman"/>
          <w:color w:val="FF0000"/>
          <w:kern w:val="0"/>
        </w:rPr>
      </w:pPr>
    </w:p>
    <w:p w14:paraId="0E7F728F">
      <w:pPr>
        <w:pStyle w:val="4"/>
        <w:widowControl w:val="0"/>
        <w:spacing w:line="560" w:lineRule="exact"/>
        <w:jc w:val="center"/>
        <w:rPr>
          <w:rFonts w:ascii="Times New Roman" w:hAnsi="Times New Roman" w:eastAsia="SimHei" w:cs="Times New Roman"/>
          <w:b/>
          <w:color w:val="000000" w:themeColor="text1"/>
          <w:kern w:val="0"/>
          <w:lang w:val="en-US"/>
          <w14:textFill>
            <w14:solidFill>
              <w14:schemeClr w14:val="tx1"/>
            </w14:solidFill>
          </w14:textFill>
        </w:rPr>
      </w:pPr>
      <w:bookmarkStart w:id="0" w:name="_TOC_250003"/>
      <w:r>
        <w:rPr>
          <w:rFonts w:ascii="Times New Roman" w:hAnsi="Times New Roman" w:eastAsia="SimHei" w:cs="Times New Roman"/>
          <w:b/>
          <w:color w:val="000000" w:themeColor="text1"/>
          <w:kern w:val="0"/>
          <w:lang w:val="en-US"/>
          <w14:textFill>
            <w14:solidFill>
              <w14:schemeClr w14:val="tx1"/>
            </w14:solidFill>
          </w14:textFill>
        </w:rPr>
        <w:t>第六章 推进</w:t>
      </w:r>
      <w:r>
        <w:rPr>
          <w:rFonts w:ascii="Times New Roman" w:hAnsi="Times New Roman" w:eastAsia="SimHei" w:cs="Times New Roman"/>
          <w:b/>
          <w:color w:val="000000" w:themeColor="text1"/>
          <w:kern w:val="0"/>
          <w14:textFill>
            <w14:solidFill>
              <w14:schemeClr w14:val="tx1"/>
            </w14:solidFill>
          </w14:textFill>
        </w:rPr>
        <w:t>中医药文化传承和</w:t>
      </w:r>
      <w:r>
        <w:rPr>
          <w:rFonts w:ascii="Times New Roman" w:hAnsi="Times New Roman" w:eastAsia="SimHei" w:cs="Times New Roman"/>
          <w:b/>
          <w:color w:val="000000" w:themeColor="text1"/>
          <w:kern w:val="0"/>
          <w:lang w:val="en-US"/>
          <w14:textFill>
            <w14:solidFill>
              <w14:schemeClr w14:val="tx1"/>
            </w14:solidFill>
          </w14:textFill>
        </w:rPr>
        <w:t>开放发展</w:t>
      </w:r>
    </w:p>
    <w:p w14:paraId="3DB3EFBE">
      <w:pPr>
        <w:pStyle w:val="4"/>
        <w:widowControl w:val="0"/>
        <w:spacing w:line="560" w:lineRule="exact"/>
        <w:jc w:val="center"/>
        <w:rPr>
          <w:rFonts w:ascii="Times New Roman" w:hAnsi="Times New Roman" w:eastAsia="KaiTi_GB2312" w:cs="Times New Roman"/>
          <w:b/>
          <w:color w:val="000000" w:themeColor="text1"/>
          <w:kern w:val="0"/>
          <w:lang w:val="en-US"/>
          <w14:textFill>
            <w14:solidFill>
              <w14:schemeClr w14:val="tx1"/>
            </w14:solidFill>
          </w14:textFill>
        </w:rPr>
      </w:pPr>
      <w:r>
        <w:rPr>
          <w:rFonts w:ascii="Times New Roman" w:hAnsi="Times New Roman" w:eastAsia="KaiTi_GB2312" w:cs="Times New Roman"/>
          <w:b/>
          <w:color w:val="000000" w:themeColor="text1"/>
          <w:kern w:val="0"/>
          <w:lang w:val="en-US"/>
          <w14:textFill>
            <w14:solidFill>
              <w14:schemeClr w14:val="tx1"/>
            </w14:solidFill>
          </w14:textFill>
        </w:rPr>
        <w:t xml:space="preserve">第一节 </w:t>
      </w:r>
      <w:bookmarkEnd w:id="0"/>
      <w:r>
        <w:rPr>
          <w:rFonts w:ascii="Times New Roman" w:hAnsi="Times New Roman" w:eastAsia="KaiTi_GB2312" w:cs="Times New Roman"/>
          <w:b/>
          <w:color w:val="000000" w:themeColor="text1"/>
          <w:kern w:val="0"/>
          <w:lang w:val="en-US"/>
          <w14:textFill>
            <w14:solidFill>
              <w14:schemeClr w14:val="tx1"/>
            </w14:solidFill>
          </w14:textFill>
        </w:rPr>
        <w:t xml:space="preserve"> 加强中医药文化传承保护与创新</w:t>
      </w:r>
    </w:p>
    <w:p w14:paraId="54C0A718">
      <w:pPr>
        <w:pStyle w:val="11"/>
        <w:widowControl w:val="0"/>
        <w:tabs>
          <w:tab w:val="left" w:pos="1013"/>
        </w:tabs>
        <w:spacing w:before="0" w:line="560" w:lineRule="exact"/>
        <w:ind w:left="0" w:firstLine="640" w:firstLineChars="200"/>
        <w:jc w:val="left"/>
        <w:rPr>
          <w:rFonts w:ascii="Times New Roman" w:hAnsi="Times New Roman" w:cs="Times New Roman"/>
          <w:color w:val="000000" w:themeColor="text1"/>
          <w:kern w:val="0"/>
          <w:sz w:val="32"/>
          <w:szCs w:val="32"/>
          <w14:textFill>
            <w14:solidFill>
              <w14:schemeClr w14:val="tx1"/>
            </w14:solidFill>
          </w14:textFill>
        </w:rPr>
      </w:pPr>
      <w:r>
        <w:rPr>
          <w:rFonts w:ascii="Times New Roman" w:hAnsi="Times New Roman" w:cs="Times New Roman"/>
          <w:b/>
          <w:color w:val="000000" w:themeColor="text1"/>
          <w:kern w:val="0"/>
          <w:sz w:val="32"/>
          <w:szCs w:val="32"/>
          <w14:textFill>
            <w14:solidFill>
              <w14:schemeClr w14:val="tx1"/>
            </w14:solidFill>
          </w14:textFill>
        </w:rPr>
        <w:t>挖掘和传承川派中医药文化精髓</w:t>
      </w:r>
      <w:r>
        <w:rPr>
          <w:rFonts w:ascii="Times New Roman" w:hAnsi="Times New Roman" w:cs="Times New Roman"/>
          <w:bCs/>
          <w:color w:val="000000" w:themeColor="text1"/>
          <w:kern w:val="0"/>
          <w:sz w:val="32"/>
          <w:szCs w:val="32"/>
          <w14:textFill>
            <w14:solidFill>
              <w14:schemeClr w14:val="tx1"/>
            </w14:solidFill>
          </w14:textFill>
        </w:rPr>
        <w:t>。</w:t>
      </w:r>
      <w:r>
        <w:rPr>
          <w:rFonts w:ascii="Times New Roman" w:hAnsi="Times New Roman" w:cs="Times New Roman"/>
          <w:color w:val="000000" w:themeColor="text1"/>
          <w:kern w:val="0"/>
          <w:sz w:val="32"/>
          <w:szCs w:val="32"/>
          <w14:textFill>
            <w14:solidFill>
              <w14:schemeClr w14:val="tx1"/>
            </w14:solidFill>
          </w14:textFill>
        </w:rPr>
        <w:t>继续挖掘、整理、研究古今川派中医药名家学术思想、临床经验及特色诊疗技术，总结中医优势病种临床基本诊疗规律。加强民间中医药单验方、技术的保护与利用，强化川派名老中医药专家学术经验、“川帮”老药工传统技艺传承。</w:t>
      </w:r>
    </w:p>
    <w:p w14:paraId="3C7100E9">
      <w:pPr>
        <w:pStyle w:val="11"/>
        <w:widowControl w:val="0"/>
        <w:tabs>
          <w:tab w:val="left" w:pos="1013"/>
        </w:tabs>
        <w:spacing w:before="0" w:line="560" w:lineRule="exact"/>
        <w:ind w:left="0" w:firstLine="640" w:firstLineChars="200"/>
        <w:jc w:val="left"/>
        <w:rPr>
          <w:rFonts w:ascii="Times New Roman" w:hAnsi="Times New Roman" w:cs="Times New Roman"/>
          <w:color w:val="000000" w:themeColor="text1"/>
          <w:sz w:val="32"/>
          <w:szCs w:val="32"/>
          <w14:textFill>
            <w14:solidFill>
              <w14:schemeClr w14:val="tx1"/>
            </w14:solidFill>
          </w14:textFill>
        </w:rPr>
      </w:pPr>
      <w:r>
        <w:rPr>
          <w:rFonts w:ascii="Times New Roman" w:hAnsi="Times New Roman" w:eastAsia="KaiTi_GB2312" w:cs="Times New Roman"/>
          <w:b/>
          <w:bCs/>
          <w:color w:val="000000" w:themeColor="text1"/>
          <w:sz w:val="32"/>
          <w:szCs w:val="32"/>
          <w14:textFill>
            <w14:solidFill>
              <w14:schemeClr w14:val="tx1"/>
            </w14:solidFill>
          </w14:textFill>
        </w:rPr>
        <w:t>加快推进中医药科技创新。</w:t>
      </w:r>
      <w:r>
        <w:rPr>
          <w:rFonts w:ascii="Times New Roman" w:hAnsi="Times New Roman" w:cs="Times New Roman"/>
          <w:color w:val="000000" w:themeColor="text1"/>
          <w:sz w:val="32"/>
          <w:szCs w:val="32"/>
          <w14:textFill>
            <w14:solidFill>
              <w14:schemeClr w14:val="tx1"/>
            </w14:solidFill>
          </w14:textFill>
        </w:rPr>
        <w:t>依托省、市中医药科研项目平台，积极组织我区医疗机构、教育机构、企业进行申报，发扬中医药特色优势，开展中医药技术攻关，培育一批中医药科技创新团队，推进企业、高等学校、医疗机构等产学研用一体化协同创新。加大对中医药科技的投入，加速科技成果转化。</w:t>
      </w:r>
    </w:p>
    <w:p w14:paraId="62E0CC2E">
      <w:pPr>
        <w:pStyle w:val="11"/>
        <w:widowControl w:val="0"/>
        <w:tabs>
          <w:tab w:val="left" w:pos="1013"/>
        </w:tabs>
        <w:spacing w:before="0" w:line="560" w:lineRule="exact"/>
        <w:ind w:left="0" w:firstLine="1921" w:firstLineChars="600"/>
        <w:jc w:val="left"/>
        <w:rPr>
          <w:rFonts w:ascii="Times New Roman" w:hAnsi="Times New Roman" w:eastAsia="KaiTi_GB2312" w:cs="Times New Roman"/>
          <w:b/>
          <w:bCs/>
          <w:color w:val="000000" w:themeColor="text1"/>
          <w:kern w:val="0"/>
          <w:sz w:val="32"/>
          <w:szCs w:val="32"/>
          <w:lang w:val="en-US"/>
          <w14:textFill>
            <w14:solidFill>
              <w14:schemeClr w14:val="tx1"/>
            </w14:solidFill>
          </w14:textFill>
        </w:rPr>
      </w:pPr>
      <w:r>
        <w:rPr>
          <w:rFonts w:ascii="Times New Roman" w:hAnsi="Times New Roman" w:eastAsia="KaiTi_GB2312" w:cs="Times New Roman"/>
          <w:b/>
          <w:bCs/>
          <w:color w:val="000000" w:themeColor="text1"/>
          <w:kern w:val="0"/>
          <w:sz w:val="32"/>
          <w:szCs w:val="32"/>
          <w:lang w:val="en-US"/>
          <w14:textFill>
            <w14:solidFill>
              <w14:schemeClr w14:val="tx1"/>
            </w14:solidFill>
          </w14:textFill>
        </w:rPr>
        <w:t>第二节   宣传和普及中医药文化</w:t>
      </w:r>
    </w:p>
    <w:p w14:paraId="1DC28AC2">
      <w:pPr>
        <w:pStyle w:val="11"/>
        <w:widowControl w:val="0"/>
        <w:tabs>
          <w:tab w:val="left" w:pos="1013"/>
        </w:tabs>
        <w:spacing w:before="0" w:line="560" w:lineRule="exact"/>
        <w:ind w:left="0" w:firstLine="640" w:firstLineChars="200"/>
        <w:jc w:val="left"/>
        <w:rPr>
          <w:rFonts w:ascii="Times New Roman" w:hAnsi="Times New Roman" w:cs="Times New Roman"/>
          <w:color w:val="000000" w:themeColor="text1"/>
          <w:kern w:val="0"/>
          <w:sz w:val="32"/>
          <w:szCs w:val="32"/>
          <w14:textFill>
            <w14:solidFill>
              <w14:schemeClr w14:val="tx1"/>
            </w14:solidFill>
          </w14:textFill>
        </w:rPr>
      </w:pPr>
      <w:r>
        <w:rPr>
          <w:rFonts w:ascii="Times New Roman" w:hAnsi="Times New Roman" w:cs="Times New Roman"/>
          <w:b/>
          <w:color w:val="000000" w:themeColor="text1"/>
          <w:kern w:val="0"/>
          <w:sz w:val="32"/>
          <w:szCs w:val="32"/>
          <w14:textFill>
            <w14:solidFill>
              <w14:schemeClr w14:val="tx1"/>
            </w14:solidFill>
          </w14:textFill>
        </w:rPr>
        <w:t>加强中医药文化传播</w:t>
      </w:r>
      <w:r>
        <w:rPr>
          <w:rFonts w:ascii="Times New Roman" w:hAnsi="Times New Roman" w:cs="Times New Roman"/>
          <w:bCs/>
          <w:color w:val="000000" w:themeColor="text1"/>
          <w:kern w:val="0"/>
          <w:sz w:val="32"/>
          <w:szCs w:val="32"/>
          <w14:textFill>
            <w14:solidFill>
              <w14:schemeClr w14:val="tx1"/>
            </w14:solidFill>
          </w14:textFill>
        </w:rPr>
        <w:t>。</w:t>
      </w:r>
      <w:r>
        <w:rPr>
          <w:rFonts w:ascii="Times New Roman" w:hAnsi="Times New Roman" w:cs="Times New Roman"/>
          <w:color w:val="000000" w:themeColor="text1"/>
          <w:kern w:val="0"/>
          <w:sz w:val="32"/>
          <w:szCs w:val="32"/>
          <w14:textFill>
            <w14:solidFill>
              <w14:schemeClr w14:val="tx1"/>
            </w14:solidFill>
          </w14:textFill>
        </w:rPr>
        <w:t>开展中医药文化大众传播工程，通过中医药科普宣传周、主题文化节、知识技能竞赛、中医药文化科普巡讲等形式，提高公众中医养生保健素养。依托乡镇、社区等基层单位，联合教育、文化等部门，打造中医药健康文化推进平台，传播中医药健康文化理念。扎实开展中医药文化“六进”活动（进机关、进企业、进学校、进社区、进农村、进家庭），普及中医药知识方法，开展中医药健康教育，增进社会对中医药核心价值理念的认知和认同，营造“学中医、信中医、用中医”的浓厚氛围和发展中医药健康文化的良好格局。</w:t>
      </w:r>
    </w:p>
    <w:p w14:paraId="3BF49F5D">
      <w:pPr>
        <w:pStyle w:val="11"/>
        <w:widowControl w:val="0"/>
        <w:tabs>
          <w:tab w:val="left" w:pos="1013"/>
        </w:tabs>
        <w:spacing w:before="0" w:line="560" w:lineRule="exact"/>
        <w:ind w:left="0" w:firstLine="640" w:firstLineChars="200"/>
        <w:jc w:val="left"/>
        <w:rPr>
          <w:rFonts w:ascii="Times New Roman" w:hAnsi="Times New Roman" w:cs="Times New Roman"/>
          <w:color w:val="000000" w:themeColor="text1"/>
          <w:kern w:val="0"/>
          <w:sz w:val="32"/>
          <w:szCs w:val="32"/>
          <w14:textFill>
            <w14:solidFill>
              <w14:schemeClr w14:val="tx1"/>
            </w14:solidFill>
          </w14:textFill>
        </w:rPr>
      </w:pPr>
      <w:r>
        <w:rPr>
          <w:rFonts w:ascii="Times New Roman" w:hAnsi="Times New Roman" w:cs="Times New Roman"/>
          <w:b/>
          <w:color w:val="000000" w:themeColor="text1"/>
          <w:kern w:val="0"/>
          <w:sz w:val="32"/>
          <w:szCs w:val="32"/>
          <w:lang w:val="en-US"/>
          <w14:textFill>
            <w14:solidFill>
              <w14:schemeClr w14:val="tx1"/>
            </w14:solidFill>
          </w14:textFill>
        </w:rPr>
        <w:t>创新中医药文化体验。</w:t>
      </w:r>
      <w:r>
        <w:rPr>
          <w:rFonts w:ascii="Times New Roman" w:hAnsi="Times New Roman" w:cs="Times New Roman"/>
          <w:color w:val="000000" w:themeColor="text1"/>
          <w:kern w:val="0"/>
          <w:sz w:val="32"/>
          <w:szCs w:val="32"/>
          <w14:textFill>
            <w14:solidFill>
              <w14:schemeClr w14:val="tx1"/>
            </w14:solidFill>
          </w14:textFill>
        </w:rPr>
        <w:t>促进中医药与广播影视、新闻出版、数字出版、动漫游戏、旅游餐饮、演艺娱乐、体育健康等有效融合，创作一批中医药文化创意产品，打造文化品牌、文化精品。充分利用中医药医疗、保健、科研、教育、产业等资源和现有的中医药文化科普机构，开展中医药健康宣传体验活动。开展中医数字科普建设，力争建设一套有罗江特色的中医药文化宣传数字产品集。</w:t>
      </w:r>
    </w:p>
    <w:p w14:paraId="7426E4EA">
      <w:pPr>
        <w:pStyle w:val="11"/>
        <w:widowControl w:val="0"/>
        <w:tabs>
          <w:tab w:val="left" w:pos="1013"/>
        </w:tabs>
        <w:spacing w:before="0" w:line="560" w:lineRule="exact"/>
        <w:ind w:left="0" w:firstLine="640" w:firstLineChars="200"/>
        <w:jc w:val="left"/>
        <w:rPr>
          <w:rFonts w:ascii="Times New Roman" w:hAnsi="Times New Roman" w:cs="Times New Roman"/>
          <w:color w:val="000000" w:themeColor="text1"/>
          <w:kern w:val="0"/>
          <w:sz w:val="32"/>
          <w:szCs w:val="32"/>
          <w14:textFill>
            <w14:solidFill>
              <w14:schemeClr w14:val="tx1"/>
            </w14:solidFill>
          </w14:textFill>
        </w:rPr>
      </w:pPr>
      <w:r>
        <w:rPr>
          <w:rFonts w:ascii="Times New Roman" w:hAnsi="Times New Roman" w:cs="Times New Roman"/>
          <w:b/>
          <w:color w:val="000000" w:themeColor="text1"/>
          <w:kern w:val="0"/>
          <w:sz w:val="32"/>
          <w:szCs w:val="32"/>
          <w:lang w:val="en-US"/>
          <w14:textFill>
            <w14:solidFill>
              <w14:schemeClr w14:val="tx1"/>
            </w14:solidFill>
          </w14:textFill>
        </w:rPr>
        <w:t>加强中医药文化阵地建设。</w:t>
      </w:r>
      <w:r>
        <w:rPr>
          <w:rFonts w:ascii="Times New Roman" w:hAnsi="Times New Roman" w:cs="Times New Roman"/>
          <w:bCs/>
          <w:color w:val="000000" w:themeColor="text1"/>
          <w:kern w:val="0"/>
          <w:sz w:val="32"/>
          <w:szCs w:val="32"/>
          <w:lang w:val="en-US"/>
          <w14:textFill>
            <w14:solidFill>
              <w14:schemeClr w14:val="tx1"/>
            </w14:solidFill>
          </w14:textFill>
        </w:rPr>
        <w:t>依托区中医医院设置中医健康宣教基地，在社区卫生服务中心、乡镇卫生院、社区居委会等场所建设中医药文化知识角，将中医药文化送到群众身边。</w:t>
      </w:r>
      <w:r>
        <w:rPr>
          <w:rFonts w:ascii="Times New Roman" w:hAnsi="Times New Roman" w:cs="Times New Roman"/>
          <w:color w:val="000000" w:themeColor="text1"/>
          <w:kern w:val="0"/>
          <w:sz w:val="32"/>
          <w:szCs w:val="32"/>
          <w14:textFill>
            <w14:solidFill>
              <w14:schemeClr w14:val="tx1"/>
            </w14:solidFill>
          </w14:textFill>
        </w:rPr>
        <w:t>丰富中小学中医药文化教育，积极建设校园中医药文化角和中医药文化学生社团，开展中医药文化讲座和实践活动，激发学生对中华优秀传统文化的自豪感和自信心。鼓励学校定期开展中医药科普活动，普及适宜青少年的中医养生保健知识，培养良好的健康意识和生活习惯。</w:t>
      </w:r>
    </w:p>
    <w:p w14:paraId="6C2D4346">
      <w:pPr>
        <w:pStyle w:val="11"/>
        <w:widowControl w:val="0"/>
        <w:tabs>
          <w:tab w:val="left" w:pos="1013"/>
        </w:tabs>
        <w:spacing w:before="0" w:line="560" w:lineRule="exact"/>
        <w:ind w:left="0" w:firstLine="640" w:firstLineChars="200"/>
        <w:jc w:val="left"/>
        <w:rPr>
          <w:rFonts w:ascii="Times New Roman" w:hAnsi="Times New Roman" w:cs="Times New Roman"/>
          <w:color w:val="000000" w:themeColor="text1"/>
          <w:kern w:val="0"/>
          <w:sz w:val="32"/>
          <w:szCs w:val="32"/>
          <w14:textFill>
            <w14:solidFill>
              <w14:schemeClr w14:val="tx1"/>
            </w14:solidFill>
          </w14:textFill>
        </w:rPr>
      </w:pPr>
    </w:p>
    <w:p w14:paraId="4FE9EF9F">
      <w:pPr>
        <w:pStyle w:val="11"/>
        <w:widowControl w:val="0"/>
        <w:tabs>
          <w:tab w:val="left" w:pos="1013"/>
        </w:tabs>
        <w:spacing w:before="0" w:line="560" w:lineRule="exact"/>
        <w:ind w:left="0" w:firstLine="0"/>
        <w:jc w:val="left"/>
        <w:rPr>
          <w:rFonts w:ascii="Times New Roman" w:hAnsi="Times New Roman" w:eastAsia="KaiTi_GB2312" w:cs="Times New Roman"/>
          <w:b/>
          <w:color w:val="000000" w:themeColor="text1"/>
          <w:kern w:val="0"/>
          <w:sz w:val="32"/>
          <w:szCs w:val="32"/>
          <w:lang w:val="en-US"/>
          <w14:textFill>
            <w14:solidFill>
              <w14:schemeClr w14:val="tx1"/>
            </w14:solidFill>
          </w14:textFill>
        </w:rPr>
      </w:pPr>
      <w:r>
        <w:rPr>
          <w:rFonts w:ascii="Times New Roman" w:hAnsi="Times New Roman" w:cs="Times New Roman"/>
          <w:bCs/>
          <w:color w:val="000000" w:themeColor="text1"/>
          <w:kern w:val="0"/>
          <w:sz w:val="32"/>
          <w:szCs w:val="32"/>
          <w:lang w:val="en-US"/>
          <w14:textFill>
            <w14:solidFill>
              <w14:schemeClr w14:val="tx1"/>
            </w14:solidFill>
          </w14:textFill>
        </w:rPr>
        <w:t xml:space="preserve">         </w:t>
      </w:r>
      <w:r>
        <w:rPr>
          <w:rFonts w:ascii="Times New Roman" w:hAnsi="Times New Roman" w:eastAsia="KaiTi_GB2312" w:cs="Times New Roman"/>
          <w:b/>
          <w:color w:val="000000" w:themeColor="text1"/>
          <w:kern w:val="0"/>
          <w:sz w:val="32"/>
          <w:szCs w:val="32"/>
          <w:lang w:val="en-US"/>
          <w14:textFill>
            <w14:solidFill>
              <w14:schemeClr w14:val="tx1"/>
            </w14:solidFill>
          </w14:textFill>
        </w:rPr>
        <w:t xml:space="preserve">  第三节  推动中医药开放发展</w:t>
      </w:r>
    </w:p>
    <w:p w14:paraId="6DBB9781">
      <w:pPr>
        <w:pStyle w:val="11"/>
        <w:widowControl w:val="0"/>
        <w:tabs>
          <w:tab w:val="left" w:pos="1013"/>
        </w:tabs>
        <w:spacing w:before="0" w:line="560" w:lineRule="exact"/>
        <w:ind w:left="0" w:firstLine="640" w:firstLineChars="200"/>
        <w:jc w:val="left"/>
        <w:rPr>
          <w:rFonts w:ascii="Times New Roman" w:hAnsi="Times New Roman" w:eastAsia="FangSong" w:cs="Times New Roman"/>
          <w:color w:val="000000" w:themeColor="text1"/>
          <w:sz w:val="32"/>
          <w:szCs w:val="32"/>
          <w14:textFill>
            <w14:solidFill>
              <w14:schemeClr w14:val="tx1"/>
            </w14:solidFill>
          </w14:textFill>
        </w:rPr>
      </w:pPr>
      <w:r>
        <w:rPr>
          <w:rFonts w:ascii="Times New Roman" w:hAnsi="Times New Roman" w:eastAsia="FangSong" w:cs="Times New Roman"/>
          <w:color w:val="000000" w:themeColor="text1"/>
          <w:sz w:val="32"/>
          <w:szCs w:val="32"/>
          <w14:textFill>
            <w14:solidFill>
              <w14:schemeClr w14:val="tx1"/>
            </w14:solidFill>
          </w14:textFill>
        </w:rPr>
        <w:t>推动中医药融入成德眉资、成渝地区双城经济圈建设，深化与北京、成都等地中医药交流合作，鼓励中医医疗机构跨区域中医医联体建设，</w:t>
      </w:r>
      <w:r>
        <w:rPr>
          <w:rFonts w:ascii="Times New Roman" w:hAnsi="Times New Roman" w:cs="Times New Roman"/>
          <w:color w:val="000000" w:themeColor="text1"/>
          <w:kern w:val="0"/>
          <w:sz w:val="32"/>
          <w:szCs w:val="32"/>
          <w14:textFill>
            <w14:solidFill>
              <w14:schemeClr w14:val="tx1"/>
            </w14:solidFill>
          </w14:textFill>
        </w:rPr>
        <w:t>加强与其他区域中医药医疗、教育、科研机构及中药企业、社会团体等开展多种形式的中医药合作。</w:t>
      </w:r>
      <w:r>
        <w:rPr>
          <w:rFonts w:ascii="Times New Roman" w:hAnsi="Times New Roman" w:eastAsia="FangSong" w:cs="Times New Roman"/>
          <w:color w:val="000000" w:themeColor="text1"/>
          <w:sz w:val="32"/>
          <w:szCs w:val="32"/>
          <w14:textFill>
            <w14:solidFill>
              <w14:schemeClr w14:val="tx1"/>
            </w14:solidFill>
          </w14:textFill>
        </w:rPr>
        <w:t>支持中医医疗机构及中医药企业“走出去”，积极参加中医药对外推介宣传活动，</w:t>
      </w:r>
      <w:r>
        <w:rPr>
          <w:rFonts w:ascii="Times New Roman" w:hAnsi="Times New Roman" w:cs="Times New Roman"/>
          <w:color w:val="000000" w:themeColor="text1"/>
          <w:kern w:val="0"/>
          <w:sz w:val="32"/>
          <w:szCs w:val="32"/>
          <w14:textFill>
            <w14:solidFill>
              <w14:schemeClr w14:val="tx1"/>
            </w14:solidFill>
          </w14:textFill>
        </w:rPr>
        <w:t>积极争取参加国家、省、市组织的中医药对外合作交流工作</w:t>
      </w:r>
      <w:r>
        <w:rPr>
          <w:rFonts w:ascii="Times New Roman" w:hAnsi="Times New Roman" w:eastAsia="FangSong" w:cs="Times New Roman"/>
          <w:color w:val="000000" w:themeColor="text1"/>
          <w:sz w:val="32"/>
          <w:szCs w:val="32"/>
          <w14:textFill>
            <w14:solidFill>
              <w14:schemeClr w14:val="tx1"/>
            </w14:solidFill>
          </w14:textFill>
        </w:rPr>
        <w:t>。</w:t>
      </w:r>
    </w:p>
    <w:p w14:paraId="064F9A04">
      <w:pPr>
        <w:pStyle w:val="11"/>
        <w:widowControl w:val="0"/>
        <w:tabs>
          <w:tab w:val="left" w:pos="1013"/>
        </w:tabs>
        <w:spacing w:before="0" w:line="560" w:lineRule="exact"/>
        <w:ind w:left="0" w:firstLine="640" w:firstLineChars="200"/>
        <w:jc w:val="left"/>
        <w:rPr>
          <w:rFonts w:ascii="Times New Roman" w:hAnsi="Times New Roman" w:cs="Times New Roman"/>
          <w:color w:val="000000" w:themeColor="text1"/>
          <w:kern w:val="0"/>
          <w:sz w:val="32"/>
          <w:szCs w:val="32"/>
          <w:lang w:val="en-US"/>
          <w14:textFill>
            <w14:solidFill>
              <w14:schemeClr w14:val="tx1"/>
            </w14:solidFill>
          </w14:textFill>
        </w:rPr>
      </w:pPr>
      <w:r>
        <w:rPr>
          <w:rFonts w:ascii="Times New Roman" w:hAnsi="Times New Roman" w:cs="Times New Roman"/>
          <w:color w:val="000000" w:themeColor="text1"/>
          <w:kern w:val="0"/>
          <w:sz w:val="32"/>
          <w:szCs w:val="32"/>
          <w:lang w:val="en-US"/>
          <w14:textFill>
            <w14:solidFill>
              <w14:schemeClr w14:val="tx1"/>
            </w14:solidFill>
          </w14:textFill>
        </w:rPr>
        <w:t xml:space="preserve">    </w:t>
      </w:r>
    </w:p>
    <w:p w14:paraId="25E6C721">
      <w:pPr>
        <w:pStyle w:val="4"/>
        <w:widowControl w:val="0"/>
        <w:spacing w:line="560" w:lineRule="exact"/>
        <w:ind w:firstLine="643" w:firstLineChars="200"/>
        <w:jc w:val="center"/>
        <w:rPr>
          <w:rFonts w:ascii="Times New Roman" w:hAnsi="Times New Roman" w:eastAsia="SimHei" w:cs="Times New Roman"/>
          <w:b/>
          <w:color w:val="000000" w:themeColor="text1"/>
          <w:kern w:val="0"/>
          <w:lang w:val="en-US"/>
          <w14:textFill>
            <w14:solidFill>
              <w14:schemeClr w14:val="tx1"/>
            </w14:solidFill>
          </w14:textFill>
        </w:rPr>
      </w:pPr>
      <w:r>
        <w:rPr>
          <w:rFonts w:ascii="Times New Roman" w:hAnsi="Times New Roman" w:eastAsia="SimHei" w:cs="Times New Roman"/>
          <w:b/>
          <w:color w:val="000000" w:themeColor="text1"/>
          <w:kern w:val="0"/>
          <w:lang w:val="en-US"/>
          <w14:textFill>
            <w14:solidFill>
              <w14:schemeClr w14:val="tx1"/>
            </w14:solidFill>
          </w14:textFill>
        </w:rPr>
        <w:t>第七章   夯实中医药发展支撑</w:t>
      </w:r>
    </w:p>
    <w:p w14:paraId="57A9B9D5">
      <w:pPr>
        <w:pStyle w:val="4"/>
        <w:widowControl w:val="0"/>
        <w:spacing w:line="560" w:lineRule="exact"/>
        <w:jc w:val="center"/>
        <w:rPr>
          <w:rFonts w:ascii="Times New Roman" w:hAnsi="Times New Roman" w:eastAsia="KaiTi_GB2312" w:cs="Times New Roman"/>
          <w:b/>
          <w:bCs/>
          <w:color w:val="000000" w:themeColor="text1"/>
          <w:kern w:val="0"/>
          <w:lang w:val="en-US"/>
          <w14:textFill>
            <w14:solidFill>
              <w14:schemeClr w14:val="tx1"/>
            </w14:solidFill>
          </w14:textFill>
        </w:rPr>
      </w:pPr>
      <w:r>
        <w:rPr>
          <w:rFonts w:ascii="Times New Roman" w:hAnsi="Times New Roman" w:eastAsia="KaiTi_GB2312" w:cs="Times New Roman"/>
          <w:b/>
          <w:bCs/>
          <w:color w:val="000000" w:themeColor="text1"/>
          <w:kern w:val="0"/>
          <w:lang w:val="en-US"/>
          <w14:textFill>
            <w14:solidFill>
              <w14:schemeClr w14:val="tx1"/>
            </w14:solidFill>
          </w14:textFill>
        </w:rPr>
        <w:t>第一节  加强中医药人才队伍建设</w:t>
      </w:r>
    </w:p>
    <w:p w14:paraId="30614989">
      <w:pPr>
        <w:pStyle w:val="11"/>
        <w:widowControl w:val="0"/>
        <w:tabs>
          <w:tab w:val="left" w:pos="1013"/>
        </w:tabs>
        <w:spacing w:before="0" w:line="560" w:lineRule="exact"/>
        <w:ind w:left="0" w:firstLine="640" w:firstLineChars="200"/>
        <w:jc w:val="left"/>
        <w:rPr>
          <w:rFonts w:ascii="Times New Roman" w:hAnsi="Times New Roman" w:cs="Times New Roman"/>
          <w:color w:val="000000" w:themeColor="text1"/>
          <w:kern w:val="0"/>
          <w:sz w:val="32"/>
          <w:szCs w:val="32"/>
          <w14:textFill>
            <w14:solidFill>
              <w14:schemeClr w14:val="tx1"/>
            </w14:solidFill>
          </w14:textFill>
        </w:rPr>
      </w:pPr>
      <w:r>
        <w:rPr>
          <w:rFonts w:ascii="Times New Roman" w:hAnsi="Times New Roman" w:cs="Times New Roman"/>
          <w:b/>
          <w:color w:val="000000" w:themeColor="text1"/>
          <w:kern w:val="0"/>
          <w:sz w:val="32"/>
          <w:szCs w:val="32"/>
          <w14:textFill>
            <w14:solidFill>
              <w14:schemeClr w14:val="tx1"/>
            </w14:solidFill>
          </w14:textFill>
        </w:rPr>
        <w:t>制定人才建设目标</w:t>
      </w:r>
      <w:r>
        <w:rPr>
          <w:rFonts w:ascii="Times New Roman" w:hAnsi="Times New Roman" w:cs="Times New Roman"/>
          <w:bCs/>
          <w:color w:val="000000" w:themeColor="text1"/>
          <w:kern w:val="0"/>
          <w:sz w:val="32"/>
          <w:szCs w:val="32"/>
          <w14:textFill>
            <w14:solidFill>
              <w14:schemeClr w14:val="tx1"/>
            </w14:solidFill>
          </w14:textFill>
        </w:rPr>
        <w:t>。</w:t>
      </w:r>
      <w:r>
        <w:rPr>
          <w:rFonts w:ascii="Times New Roman" w:hAnsi="Times New Roman" w:cs="Times New Roman"/>
          <w:color w:val="000000" w:themeColor="text1"/>
          <w:kern w:val="0"/>
          <w:sz w:val="32"/>
          <w:szCs w:val="32"/>
          <w14:textFill>
            <w14:solidFill>
              <w14:schemeClr w14:val="tx1"/>
            </w14:solidFill>
          </w14:textFill>
        </w:rPr>
        <w:t>努力打造一支热爱中医药事业、坚守中医思维、专业水平高超、综合能力过硬、医德素养高尚的中医药人才队伍。在未来5年，引进或培养1-2名在省内有较高影响力的学科和技术带头人，培育市级以上名中医3名，培植区域内青年中医药骨干20名，强化培养中医全科医师25名，全区中医药人才队伍整体素质和专业水平明显提升。</w:t>
      </w:r>
    </w:p>
    <w:p w14:paraId="1759EDF8">
      <w:pPr>
        <w:pStyle w:val="11"/>
        <w:widowControl w:val="0"/>
        <w:tabs>
          <w:tab w:val="left" w:pos="1013"/>
        </w:tabs>
        <w:spacing w:before="0" w:line="560" w:lineRule="exact"/>
        <w:ind w:left="0" w:firstLine="640" w:firstLineChars="200"/>
        <w:jc w:val="left"/>
        <w:rPr>
          <w:rFonts w:ascii="Times New Roman" w:hAnsi="Times New Roman" w:cs="Times New Roman"/>
          <w:color w:val="000000" w:themeColor="text1"/>
          <w:kern w:val="0"/>
          <w:sz w:val="32"/>
          <w:szCs w:val="32"/>
          <w14:textFill>
            <w14:solidFill>
              <w14:schemeClr w14:val="tx1"/>
            </w14:solidFill>
          </w14:textFill>
        </w:rPr>
      </w:pPr>
      <w:r>
        <w:rPr>
          <w:rFonts w:ascii="Times New Roman" w:hAnsi="Times New Roman" w:cs="Times New Roman"/>
          <w:b/>
          <w:color w:val="000000" w:themeColor="text1"/>
          <w:kern w:val="0"/>
          <w:sz w:val="32"/>
          <w:szCs w:val="32"/>
          <w14:textFill>
            <w14:solidFill>
              <w14:schemeClr w14:val="tx1"/>
            </w14:solidFill>
          </w14:textFill>
        </w:rPr>
        <w:t>改革人才培养模式。</w:t>
      </w:r>
      <w:r>
        <w:rPr>
          <w:rFonts w:ascii="Times New Roman" w:hAnsi="Times New Roman" w:cs="Times New Roman"/>
          <w:color w:val="000000" w:themeColor="text1"/>
          <w:kern w:val="0"/>
          <w:sz w:val="32"/>
          <w:szCs w:val="32"/>
          <w14:textFill>
            <w14:solidFill>
              <w14:schemeClr w14:val="tx1"/>
            </w14:solidFill>
          </w14:textFill>
        </w:rPr>
        <w:t>鼓励符合条件人员参加中医药产业、中医康复技能培训。持续实施 “三名战略”“岐黄工程”人才培养项目，积极推荐评选省市名（老） 中医、学科带头人，大力开展师承带教工作。加强中医全科医学人才、中医药基层人才和技术骨干培养，推动中医药服务人才向基层流动。实施农村订单定向免费医学生培养和全科医生特设岗位计划等人才培养、聘用工作。加强中西医结合等专业技能人才培养。支持中医药人员学历、职称提升。进一步加强基层医疗卫生机构人才队伍建设。</w:t>
      </w:r>
    </w:p>
    <w:p w14:paraId="7BBDAC81">
      <w:pPr>
        <w:pStyle w:val="11"/>
        <w:widowControl w:val="0"/>
        <w:tabs>
          <w:tab w:val="left" w:pos="1013"/>
        </w:tabs>
        <w:spacing w:before="0" w:line="560" w:lineRule="exact"/>
        <w:ind w:left="0" w:firstLine="640" w:firstLineChars="200"/>
        <w:jc w:val="left"/>
        <w:rPr>
          <w:rFonts w:ascii="Times New Roman" w:hAnsi="Times New Roman" w:cs="Times New Roman"/>
          <w:color w:val="000000" w:themeColor="text1"/>
          <w:kern w:val="0"/>
          <w:sz w:val="32"/>
          <w:szCs w:val="32"/>
          <w14:textFill>
            <w14:solidFill>
              <w14:schemeClr w14:val="tx1"/>
            </w14:solidFill>
          </w14:textFill>
        </w:rPr>
      </w:pPr>
      <w:r>
        <w:rPr>
          <w:rFonts w:ascii="Times New Roman" w:hAnsi="Times New Roman" w:cs="Times New Roman"/>
          <w:b/>
          <w:color w:val="000000" w:themeColor="text1"/>
          <w:kern w:val="0"/>
          <w:sz w:val="32"/>
          <w:szCs w:val="32"/>
          <w14:textFill>
            <w14:solidFill>
              <w14:schemeClr w14:val="tx1"/>
            </w14:solidFill>
          </w14:textFill>
        </w:rPr>
        <w:t>优化人才成长途径。</w:t>
      </w:r>
      <w:r>
        <w:rPr>
          <w:rFonts w:ascii="Times New Roman" w:hAnsi="Times New Roman" w:cs="Times New Roman"/>
          <w:color w:val="000000" w:themeColor="text1"/>
          <w:kern w:val="0"/>
          <w:sz w:val="32"/>
          <w:szCs w:val="32"/>
          <w14:textFill>
            <w14:solidFill>
              <w14:schemeClr w14:val="tx1"/>
            </w14:solidFill>
          </w14:textFill>
        </w:rPr>
        <w:t>持续开展各级名中医人才梯队建设，加强名医传承工作室、国医大师团队罗江行等人才培养平台建设。健全与职称评审、评优评先等方面挂钩的中医师承制度、继续教育制度。培养中药材种植、中药炮制、中医药健康服务等方面技能人才。支持中医医院设置中医（专长）医师岗位。以互补为重点，落实中西医并重，积极组织基层医疗卫生机构参加“西学中”培训，允许临床类别医师通过西医学中医考核后提供中医服务，增强基层医疗卫生机构中医药服务人才储备，提高中医药服务能力。</w:t>
      </w:r>
    </w:p>
    <w:p w14:paraId="44FEFDCA">
      <w:pPr>
        <w:pStyle w:val="11"/>
        <w:widowControl w:val="0"/>
        <w:tabs>
          <w:tab w:val="left" w:pos="1013"/>
        </w:tabs>
        <w:spacing w:before="0" w:line="560" w:lineRule="exact"/>
        <w:ind w:left="0" w:firstLine="640" w:firstLineChars="200"/>
        <w:jc w:val="left"/>
        <w:rPr>
          <w:rFonts w:ascii="Times New Roman" w:hAnsi="Times New Roman" w:cs="Times New Roman"/>
          <w:color w:val="000000" w:themeColor="text1"/>
          <w:kern w:val="0"/>
          <w:sz w:val="32"/>
          <w:szCs w:val="32"/>
          <w14:textFill>
            <w14:solidFill>
              <w14:schemeClr w14:val="tx1"/>
            </w14:solidFill>
          </w14:textFill>
        </w:rPr>
      </w:pPr>
      <w:r>
        <w:rPr>
          <w:rFonts w:ascii="Times New Roman" w:hAnsi="Times New Roman" w:cs="Times New Roman"/>
          <w:b/>
          <w:color w:val="000000" w:themeColor="text1"/>
          <w:kern w:val="0"/>
          <w:sz w:val="32"/>
          <w:szCs w:val="32"/>
          <w14:textFill>
            <w14:solidFill>
              <w14:schemeClr w14:val="tx1"/>
            </w14:solidFill>
          </w14:textFill>
        </w:rPr>
        <w:t>健全人才评价激励机制。</w:t>
      </w:r>
      <w:r>
        <w:rPr>
          <w:rFonts w:ascii="Times New Roman" w:hAnsi="Times New Roman" w:cs="Times New Roman"/>
          <w:color w:val="000000" w:themeColor="text1"/>
          <w:kern w:val="0"/>
          <w:sz w:val="32"/>
          <w:szCs w:val="32"/>
          <w14:textFill>
            <w14:solidFill>
              <w14:schemeClr w14:val="tx1"/>
            </w14:solidFill>
          </w14:textFill>
        </w:rPr>
        <w:t>遵循中医药人才成长规律和行业特点,深化中医药职称制度改革,将医德医风、中医经典理论、</w:t>
      </w:r>
      <w:r>
        <w:rPr>
          <w:rFonts w:hint="eastAsia" w:ascii="Times New Roman" w:hAnsi="Times New Roman" w:eastAsia="SimSun" w:cs="Times New Roman"/>
          <w:color w:val="000000" w:themeColor="text1"/>
          <w:kern w:val="0"/>
          <w:sz w:val="32"/>
          <w:szCs w:val="32"/>
          <w:lang w:eastAsia="zh-CN"/>
          <w14:textFill>
            <w14:solidFill>
              <w14:schemeClr w14:val="tx1"/>
            </w14:solidFill>
          </w14:textFill>
        </w:rPr>
        <w:t>辩证思维</w:t>
      </w:r>
      <w:r>
        <w:rPr>
          <w:rFonts w:ascii="Times New Roman" w:hAnsi="Times New Roman" w:cs="Times New Roman"/>
          <w:color w:val="000000" w:themeColor="text1"/>
          <w:kern w:val="0"/>
          <w:sz w:val="32"/>
          <w:szCs w:val="32"/>
          <w14:textFill>
            <w14:solidFill>
              <w14:schemeClr w14:val="tx1"/>
            </w14:solidFill>
          </w14:textFill>
        </w:rPr>
        <w:t>、临床能力作为评价重点,突出评价业绩水平和实际贡献。完善中医药专业高级职称评价标准,同等条件下优先评聘长期在基层服务的中医药专业技术人才。推进公立中医医院薪酬制度改革,建立利于中医药行业发展的中医医疗机构绩效考核评价机制,将中医师带徒任务、中医诊疗量等纳入绩效工资分配指标。在领军人才、学术和技术带头人等重大人才</w:t>
      </w:r>
      <w:bookmarkStart w:id="1" w:name="_GoBack"/>
      <w:bookmarkEnd w:id="1"/>
      <w:r>
        <w:rPr>
          <w:rFonts w:ascii="Times New Roman" w:hAnsi="Times New Roman" w:cs="Times New Roman"/>
          <w:color w:val="000000" w:themeColor="text1"/>
          <w:kern w:val="0"/>
          <w:sz w:val="32"/>
          <w:szCs w:val="32"/>
          <w14:textFill>
            <w14:solidFill>
              <w14:schemeClr w14:val="tx1"/>
            </w14:solidFill>
          </w14:textFill>
        </w:rPr>
        <w:t>工程评选中，中医药人才占比提升 50%以上。按照国家和省、市评比达标有关规定，对促进中医药发展的先进集体和先进个人开展表扬和奖励。</w:t>
      </w:r>
    </w:p>
    <w:p w14:paraId="6049B738">
      <w:pPr>
        <w:pStyle w:val="11"/>
        <w:widowControl w:val="0"/>
        <w:tabs>
          <w:tab w:val="left" w:pos="1013"/>
        </w:tabs>
        <w:spacing w:before="0" w:line="560" w:lineRule="exact"/>
        <w:ind w:left="0" w:firstLine="640" w:firstLineChars="200"/>
        <w:jc w:val="left"/>
        <w:rPr>
          <w:rFonts w:ascii="Times New Roman" w:hAnsi="Times New Roman" w:cs="Times New Roman"/>
          <w:color w:val="000000" w:themeColor="text1"/>
          <w:kern w:val="0"/>
          <w:sz w:val="32"/>
          <w:szCs w:val="32"/>
          <w14:textFill>
            <w14:solidFill>
              <w14:schemeClr w14:val="tx1"/>
            </w14:solidFill>
          </w14:textFill>
        </w:rPr>
      </w:pPr>
    </w:p>
    <w:p w14:paraId="0AC0FC83">
      <w:pPr>
        <w:pStyle w:val="4"/>
        <w:widowControl w:val="0"/>
        <w:spacing w:line="560" w:lineRule="exact"/>
        <w:ind w:firstLine="640" w:firstLineChars="200"/>
        <w:jc w:val="center"/>
        <w:rPr>
          <w:rFonts w:ascii="Times New Roman" w:hAnsi="Times New Roman" w:eastAsia="KaiTi_GB2312" w:cs="Times New Roman"/>
          <w:b/>
          <w:color w:val="000000" w:themeColor="text1"/>
          <w:kern w:val="0"/>
          <w:lang w:val="en-US"/>
          <w14:textFill>
            <w14:solidFill>
              <w14:schemeClr w14:val="tx1"/>
            </w14:solidFill>
          </w14:textFill>
        </w:rPr>
      </w:pPr>
      <w:r>
        <w:rPr>
          <w:rFonts w:ascii="Times New Roman" w:hAnsi="Times New Roman" w:eastAsia="KaiTi_GB2312" w:cs="Times New Roman"/>
          <w:b/>
          <w:color w:val="000000" w:themeColor="text1"/>
          <w:kern w:val="0"/>
          <w14:textFill>
            <w14:solidFill>
              <w14:schemeClr w14:val="tx1"/>
            </w14:solidFill>
          </w14:textFill>
        </w:rPr>
        <w:t>第二节</w:t>
      </w:r>
      <w:r>
        <w:rPr>
          <w:rFonts w:ascii="Times New Roman" w:hAnsi="Times New Roman" w:eastAsia="KaiTi_GB2312" w:cs="Times New Roman"/>
          <w:b/>
          <w:color w:val="000000" w:themeColor="text1"/>
          <w:kern w:val="0"/>
          <w:lang w:val="en-US"/>
          <w14:textFill>
            <w14:solidFill>
              <w14:schemeClr w14:val="tx1"/>
            </w14:solidFill>
          </w14:textFill>
        </w:rPr>
        <w:t xml:space="preserve"> 推动中医药科技创新发展</w:t>
      </w:r>
    </w:p>
    <w:p w14:paraId="30D8BE64">
      <w:pPr>
        <w:pStyle w:val="4"/>
        <w:widowControl w:val="0"/>
        <w:spacing w:line="560" w:lineRule="exact"/>
        <w:ind w:firstLine="640" w:firstLineChars="200"/>
        <w:jc w:val="left"/>
        <w:rPr>
          <w:rFonts w:ascii="Times New Roman" w:hAnsi="Times New Roman" w:cs="Times New Roman"/>
          <w:b/>
          <w:bCs/>
          <w:color w:val="000000" w:themeColor="text1"/>
          <w:kern w:val="0"/>
          <w14:textFill>
            <w14:solidFill>
              <w14:schemeClr w14:val="tx1"/>
            </w14:solidFill>
          </w14:textFill>
        </w:rPr>
      </w:pPr>
      <w:r>
        <w:rPr>
          <w:rFonts w:ascii="Times New Roman" w:hAnsi="Times New Roman" w:cs="Times New Roman"/>
          <w:b/>
          <w:color w:val="000000" w:themeColor="text1"/>
          <w:kern w:val="0"/>
          <w:lang w:val="en-US"/>
          <w14:textFill>
            <w14:solidFill>
              <w14:schemeClr w14:val="tx1"/>
            </w14:solidFill>
          </w14:textFill>
        </w:rPr>
        <w:t>提升中医药科技创新能力</w:t>
      </w:r>
      <w:r>
        <w:rPr>
          <w:rFonts w:ascii="Times New Roman" w:hAnsi="Times New Roman" w:cs="Times New Roman"/>
          <w:bCs/>
          <w:color w:val="000000" w:themeColor="text1"/>
          <w:kern w:val="0"/>
          <w:lang w:val="en-US"/>
          <w14:textFill>
            <w14:solidFill>
              <w14:schemeClr w14:val="tx1"/>
            </w14:solidFill>
          </w14:textFill>
        </w:rPr>
        <w:t>。</w:t>
      </w:r>
      <w:r>
        <w:rPr>
          <w:rFonts w:ascii="Times New Roman" w:hAnsi="Times New Roman" w:cs="Times New Roman"/>
          <w:color w:val="000000" w:themeColor="text1"/>
          <w:kern w:val="0"/>
          <w14:textFill>
            <w14:solidFill>
              <w14:schemeClr w14:val="tx1"/>
            </w14:solidFill>
          </w14:textFill>
        </w:rPr>
        <w:t>围绕贴近临床、服务健康、助推产业，建立促进中医药创新的协同推进机制，构建中医药创新体系，打造创新团队，推进企业、高等学校、医疗机构等产学研用一体化协同创新。加强基础临床研究,深入开展重大疾病、新发突发传染病和常见病多发病科技攻关,促进中医药临床科研一体化发展。</w:t>
      </w:r>
      <w:r>
        <w:rPr>
          <w:rFonts w:ascii="Times New Roman" w:hAnsi="Times New Roman" w:cs="Times New Roman"/>
          <w:b/>
          <w:bCs/>
          <w:color w:val="000000" w:themeColor="text1"/>
          <w:kern w:val="0"/>
          <w14:textFill>
            <w14:solidFill>
              <w14:schemeClr w14:val="tx1"/>
            </w14:solidFill>
          </w14:textFill>
        </w:rPr>
        <w:t xml:space="preserve"> </w:t>
      </w:r>
    </w:p>
    <w:p w14:paraId="75794A5F">
      <w:pPr>
        <w:pStyle w:val="4"/>
        <w:widowControl w:val="0"/>
        <w:spacing w:line="560" w:lineRule="exact"/>
        <w:ind w:firstLine="640" w:firstLineChars="200"/>
        <w:jc w:val="left"/>
        <w:rPr>
          <w:rFonts w:ascii="Times New Roman" w:hAnsi="Times New Roman" w:cs="Times New Roman"/>
          <w:color w:val="000000" w:themeColor="text1"/>
          <w:kern w:val="0"/>
          <w14:textFill>
            <w14:solidFill>
              <w14:schemeClr w14:val="tx1"/>
            </w14:solidFill>
          </w14:textFill>
        </w:rPr>
      </w:pPr>
      <w:r>
        <w:rPr>
          <w:rFonts w:ascii="Times New Roman" w:hAnsi="Times New Roman" w:cs="Times New Roman"/>
          <w:b/>
          <w:bCs/>
          <w:color w:val="000000" w:themeColor="text1"/>
          <w:kern w:val="0"/>
          <w:lang w:val="en-US"/>
          <w14:textFill>
            <w14:solidFill>
              <w14:schemeClr w14:val="tx1"/>
            </w14:solidFill>
          </w14:textFill>
        </w:rPr>
        <w:t>促进中医药科研成果转化。</w:t>
      </w:r>
      <w:r>
        <w:rPr>
          <w:rFonts w:ascii="Times New Roman" w:hAnsi="Times New Roman" w:cs="Times New Roman"/>
          <w:color w:val="000000" w:themeColor="text1"/>
          <w:kern w:val="0"/>
          <w14:textFill>
            <w14:solidFill>
              <w14:schemeClr w14:val="tx1"/>
            </w14:solidFill>
          </w14:textFill>
        </w:rPr>
        <w:t>鼓励中医医院与企业、科研机构、学校加强协作,共享资源,促进优秀研究成果投入市场应用。加强中药饮片、提取物、中药创新药物和传统经典制剂二次开发等研究，开展联合攻关，争取重大突破。发展“ 药、酒、果、茶、妆” 等关联中药衍生品,加强食药同源中药材综合应用,持续开展花椒药用价值研究,扩大中药提取物产业规模。</w:t>
      </w:r>
    </w:p>
    <w:p w14:paraId="4BCBD550">
      <w:pPr>
        <w:pStyle w:val="4"/>
        <w:widowControl w:val="0"/>
        <w:spacing w:line="560" w:lineRule="exact"/>
        <w:ind w:firstLine="640" w:firstLineChars="200"/>
        <w:jc w:val="left"/>
        <w:rPr>
          <w:rFonts w:ascii="Times New Roman" w:hAnsi="Times New Roman" w:cs="Times New Roman"/>
          <w:color w:val="000000" w:themeColor="text1"/>
          <w:kern w:val="0"/>
          <w14:textFill>
            <w14:solidFill>
              <w14:schemeClr w14:val="tx1"/>
            </w14:solidFill>
          </w14:textFill>
        </w:rPr>
      </w:pPr>
    </w:p>
    <w:p w14:paraId="25ADC271">
      <w:pPr>
        <w:pStyle w:val="4"/>
        <w:widowControl w:val="0"/>
        <w:spacing w:line="560" w:lineRule="exact"/>
        <w:ind w:firstLine="640" w:firstLineChars="200"/>
        <w:jc w:val="center"/>
        <w:rPr>
          <w:rFonts w:ascii="Times New Roman" w:hAnsi="Times New Roman" w:eastAsia="KaiTi_GB2312" w:cs="Times New Roman"/>
          <w:b/>
          <w:color w:val="000000" w:themeColor="text1"/>
          <w:kern w:val="0"/>
          <w:lang w:val="en-US"/>
          <w14:textFill>
            <w14:solidFill>
              <w14:schemeClr w14:val="tx1"/>
            </w14:solidFill>
          </w14:textFill>
        </w:rPr>
      </w:pPr>
      <w:r>
        <w:rPr>
          <w:rFonts w:ascii="Times New Roman" w:hAnsi="Times New Roman" w:eastAsia="KaiTi_GB2312" w:cs="Times New Roman"/>
          <w:b/>
          <w:color w:val="000000" w:themeColor="text1"/>
          <w:kern w:val="0"/>
          <w:lang w:val="en-US"/>
          <w14:textFill>
            <w14:solidFill>
              <w14:schemeClr w14:val="tx1"/>
            </w14:solidFill>
          </w14:textFill>
        </w:rPr>
        <w:t>第三节 推进中医药信息化建设</w:t>
      </w:r>
    </w:p>
    <w:p w14:paraId="1A8DB901">
      <w:pPr>
        <w:pStyle w:val="4"/>
        <w:widowControl w:val="0"/>
        <w:spacing w:line="560" w:lineRule="exact"/>
        <w:ind w:firstLine="640" w:firstLineChars="200"/>
        <w:jc w:val="left"/>
        <w:rPr>
          <w:rFonts w:ascii="Times New Roman" w:hAnsi="Times New Roman" w:cs="Times New Roman"/>
          <w:bCs/>
          <w:color w:val="000000" w:themeColor="text1"/>
          <w:kern w:val="0"/>
          <w:lang w:val="en-US"/>
          <w14:textFill>
            <w14:solidFill>
              <w14:schemeClr w14:val="tx1"/>
            </w14:solidFill>
          </w14:textFill>
        </w:rPr>
      </w:pPr>
      <w:r>
        <w:rPr>
          <w:rFonts w:ascii="Times New Roman" w:hAnsi="Times New Roman" w:cs="Times New Roman"/>
          <w:color w:val="000000" w:themeColor="text1"/>
          <w:kern w:val="0"/>
          <w14:textFill>
            <w14:solidFill>
              <w14:schemeClr w14:val="tx1"/>
            </w14:solidFill>
          </w14:textFill>
        </w:rPr>
        <w:t>以中医电子病历为核心,以中医辨证论治、非药物疗法、中医护理等基础信息系统为重点,加快补齐中医医疗机构信息化短板，对接省、市级中医药信息平台，推进中医联盟成员单位间纵向贯通、横向联通、业务协同、数据共享，夯实中医联盟。鼓励依托实体中医医疗机构发展互联网中医医院，开发中医智能辅助诊疗系统，推动开展线上线下一体化服务和远程治未病服务。推进中药智慧药房建设，发展互联网+ 中药药事服务，推广由有资质的第三方为患者提供中药调剂、饮片煎煮、送药上门、用药咨询等一站式综合药事服务，解决“候药难、煎药难、煎药品质保障难的“三难”问题。</w:t>
      </w:r>
    </w:p>
    <w:p w14:paraId="43A06E92">
      <w:pPr>
        <w:pStyle w:val="4"/>
        <w:widowControl w:val="0"/>
        <w:spacing w:line="560" w:lineRule="exact"/>
        <w:ind w:firstLine="640" w:firstLineChars="200"/>
        <w:jc w:val="left"/>
        <w:rPr>
          <w:rFonts w:ascii="Times New Roman" w:hAnsi="Times New Roman" w:eastAsia="KaiTi_GB2312" w:cs="Times New Roman"/>
          <w:b/>
          <w:color w:val="000000" w:themeColor="text1"/>
          <w:kern w:val="0"/>
          <w:lang w:val="en-US"/>
          <w14:textFill>
            <w14:solidFill>
              <w14:schemeClr w14:val="tx1"/>
            </w14:solidFill>
          </w14:textFill>
        </w:rPr>
      </w:pPr>
      <w:r>
        <w:rPr>
          <w:rFonts w:ascii="Times New Roman" w:hAnsi="Times New Roman" w:cs="Times New Roman"/>
          <w:color w:val="000000" w:themeColor="text1"/>
          <w:kern w:val="0"/>
          <w:lang w:val="en-US"/>
          <w14:textFill>
            <w14:solidFill>
              <w14:schemeClr w14:val="tx1"/>
            </w14:solidFill>
          </w14:textFill>
        </w:rPr>
        <w:t xml:space="preserve">            </w:t>
      </w:r>
      <w:r>
        <w:rPr>
          <w:rFonts w:ascii="Times New Roman" w:hAnsi="Times New Roman" w:eastAsia="KaiTi_GB2312" w:cs="Times New Roman"/>
          <w:b/>
          <w:color w:val="000000" w:themeColor="text1"/>
          <w:kern w:val="0"/>
          <w:lang w:val="en-US"/>
          <w14:textFill>
            <w14:solidFill>
              <w14:schemeClr w14:val="tx1"/>
            </w14:solidFill>
          </w14:textFill>
        </w:rPr>
        <w:t>第四节  营造良好中医药发展环境</w:t>
      </w:r>
    </w:p>
    <w:p w14:paraId="5460E67A">
      <w:pPr>
        <w:pStyle w:val="4"/>
        <w:widowControl w:val="0"/>
        <w:spacing w:line="560" w:lineRule="exact"/>
        <w:ind w:firstLine="640" w:firstLineChars="200"/>
        <w:jc w:val="left"/>
        <w:rPr>
          <w:rFonts w:ascii="Times New Roman" w:hAnsi="Times New Roman" w:cs="Times New Roman"/>
          <w:color w:val="000000" w:themeColor="text1"/>
          <w:kern w:val="0"/>
          <w14:textFill>
            <w14:solidFill>
              <w14:schemeClr w14:val="tx1"/>
            </w14:solidFill>
          </w14:textFill>
        </w:rPr>
      </w:pPr>
      <w:r>
        <w:rPr>
          <w:rFonts w:ascii="Times New Roman" w:hAnsi="Times New Roman" w:cs="Times New Roman"/>
          <w:b/>
          <w:color w:val="000000" w:themeColor="text1"/>
          <w:kern w:val="0"/>
          <w14:textFill>
            <w14:solidFill>
              <w14:schemeClr w14:val="tx1"/>
            </w14:solidFill>
          </w14:textFill>
        </w:rPr>
        <w:t>优化中医药法治环境。</w:t>
      </w:r>
      <w:r>
        <w:rPr>
          <w:rFonts w:ascii="Times New Roman" w:hAnsi="Times New Roman" w:cs="Times New Roman"/>
          <w:color w:val="000000" w:themeColor="text1"/>
          <w:kern w:val="0"/>
          <w14:textFill>
            <w14:solidFill>
              <w14:schemeClr w14:val="tx1"/>
            </w14:solidFill>
          </w14:textFill>
        </w:rPr>
        <w:t xml:space="preserve"> 加强《 中华人民共和国中医药法》、《四川省中医药条例》等中医药法律法规的宣传教育,增强中医药系统干部职工法治观念、法治意识和法治素养,营造中医药发展良好法治环境。建立不良执业记录制度,将提供中医药健康服务的机构及其人员诚信经营和执业情况纳入统一信用信息平台,依法对相关企业行政许可、行政处罚等信息进行公示。</w:t>
      </w:r>
    </w:p>
    <w:p w14:paraId="0FC6EECE">
      <w:pPr>
        <w:pStyle w:val="4"/>
        <w:widowControl w:val="0"/>
        <w:spacing w:line="560" w:lineRule="exact"/>
        <w:ind w:firstLine="640" w:firstLineChars="200"/>
        <w:jc w:val="left"/>
        <w:rPr>
          <w:rFonts w:ascii="Times New Roman" w:hAnsi="Times New Roman" w:cs="Times New Roman"/>
          <w:color w:val="000000" w:themeColor="text1"/>
          <w:kern w:val="0"/>
          <w14:textFill>
            <w14:solidFill>
              <w14:schemeClr w14:val="tx1"/>
            </w14:solidFill>
          </w14:textFill>
        </w:rPr>
      </w:pPr>
      <w:r>
        <w:rPr>
          <w:rFonts w:ascii="Times New Roman" w:hAnsi="Times New Roman" w:cs="Times New Roman"/>
          <w:b/>
          <w:color w:val="000000" w:themeColor="text1"/>
          <w:kern w:val="0"/>
          <w14:textFill>
            <w14:solidFill>
              <w14:schemeClr w14:val="tx1"/>
            </w14:solidFill>
          </w14:textFill>
        </w:rPr>
        <w:t>强化中医药监督管理</w:t>
      </w:r>
      <w:r>
        <w:rPr>
          <w:rFonts w:ascii="Times New Roman" w:hAnsi="Times New Roman" w:cs="Times New Roman"/>
          <w:bCs/>
          <w:color w:val="000000" w:themeColor="text1"/>
          <w:kern w:val="0"/>
          <w14:textFill>
            <w14:solidFill>
              <w14:schemeClr w14:val="tx1"/>
            </w14:solidFill>
          </w14:textFill>
        </w:rPr>
        <w:t>。</w:t>
      </w:r>
      <w:r>
        <w:rPr>
          <w:rFonts w:ascii="Times New Roman" w:hAnsi="Times New Roman" w:cs="Times New Roman"/>
          <w:color w:val="000000" w:themeColor="text1"/>
          <w:kern w:val="0"/>
          <w14:textFill>
            <w14:solidFill>
              <w14:schemeClr w14:val="tx1"/>
            </w14:solidFill>
          </w14:textFill>
        </w:rPr>
        <w:t>加强中医药监管体系建设，完善以中医特色优势评价为主导的中医医疗机构评审评价和质量监控体系。区卫生监督执法机构要配备 1—2 名中医药执法人员，加强中医药监督知识与能力的培训,提升中医药综合监管执法水平，加强中医药监督管理。加大中医备案诊所和中医医疗广告监管力度,进一步整顿和规范中医养生保健服务市场,持续打击假借中医旗号开展非法行医和违法虚假宣传的行为。</w:t>
      </w:r>
    </w:p>
    <w:p w14:paraId="4E3FAD14">
      <w:pPr>
        <w:pStyle w:val="4"/>
        <w:widowControl w:val="0"/>
        <w:spacing w:line="560" w:lineRule="exact"/>
        <w:ind w:firstLine="640" w:firstLineChars="200"/>
        <w:jc w:val="left"/>
        <w:rPr>
          <w:rFonts w:ascii="Times New Roman" w:hAnsi="Times New Roman" w:cs="Times New Roman"/>
          <w:color w:val="000000" w:themeColor="text1"/>
          <w:kern w:val="0"/>
          <w14:textFill>
            <w14:solidFill>
              <w14:schemeClr w14:val="tx1"/>
            </w14:solidFill>
          </w14:textFill>
        </w:rPr>
      </w:pPr>
      <w:r>
        <w:rPr>
          <w:rFonts w:ascii="Times New Roman" w:hAnsi="Times New Roman" w:cs="Times New Roman"/>
          <w:b/>
          <w:color w:val="000000" w:themeColor="text1"/>
          <w:kern w:val="0"/>
          <w14:textFill>
            <w14:solidFill>
              <w14:schemeClr w14:val="tx1"/>
            </w14:solidFill>
          </w14:textFill>
        </w:rPr>
        <w:t>建立持续稳定投入机制</w:t>
      </w:r>
      <w:r>
        <w:rPr>
          <w:rFonts w:ascii="Times New Roman" w:hAnsi="Times New Roman" w:cs="Times New Roman"/>
          <w:bCs/>
          <w:color w:val="000000" w:themeColor="text1"/>
          <w:kern w:val="0"/>
          <w14:textFill>
            <w14:solidFill>
              <w14:schemeClr w14:val="tx1"/>
            </w14:solidFill>
          </w14:textFill>
        </w:rPr>
        <w:t>。</w:t>
      </w:r>
      <w:r>
        <w:rPr>
          <w:rFonts w:ascii="Times New Roman" w:hAnsi="Times New Roman" w:cs="Times New Roman"/>
          <w:color w:val="000000" w:themeColor="text1"/>
          <w:kern w:val="0"/>
          <w14:textFill>
            <w14:solidFill>
              <w14:schemeClr w14:val="tx1"/>
            </w14:solidFill>
          </w14:textFill>
        </w:rPr>
        <w:t>建立持续稳定的中医药发展多元投入机制，设立区级中医药发展专项资金。区政府要落实对公立中医医院的投入政策,通过多种渠道补齐建设项目资金缺口，支持中医医疗机构建设用地，按照有关法律法规规定，符合《划拨用地目录》的，依法以划拨方式取得，扩大中医医疗、养生保健、中医药健康养老服务等用地供给。大力支持中医药产业发展，在工业、农业、林草相关专项资金中统筹安排资金支持中药材种植、生产及加工等，依法依规落实税费优惠政策。</w:t>
      </w:r>
    </w:p>
    <w:p w14:paraId="1584C25F">
      <w:pPr>
        <w:pStyle w:val="4"/>
        <w:widowControl w:val="0"/>
        <w:spacing w:line="560" w:lineRule="exact"/>
        <w:ind w:firstLine="640" w:firstLineChars="200"/>
        <w:jc w:val="left"/>
        <w:rPr>
          <w:rFonts w:ascii="Times New Roman" w:hAnsi="Times New Roman" w:cs="Times New Roman"/>
          <w:color w:val="000000" w:themeColor="text1"/>
          <w:kern w:val="0"/>
          <w14:textFill>
            <w14:solidFill>
              <w14:schemeClr w14:val="tx1"/>
            </w14:solidFill>
          </w14:textFill>
        </w:rPr>
      </w:pPr>
      <w:r>
        <w:rPr>
          <w:rFonts w:ascii="Times New Roman" w:hAnsi="Times New Roman" w:cs="Times New Roman"/>
          <w:b/>
          <w:color w:val="000000" w:themeColor="text1"/>
          <w:kern w:val="0"/>
          <w14:textFill>
            <w14:solidFill>
              <w14:schemeClr w14:val="tx1"/>
            </w14:solidFill>
          </w14:textFill>
        </w:rPr>
        <w:t>加大医疗保障支持。</w:t>
      </w:r>
      <w:r>
        <w:rPr>
          <w:rFonts w:ascii="Times New Roman" w:hAnsi="Times New Roman" w:cs="Times New Roman"/>
          <w:color w:val="000000" w:themeColor="text1"/>
          <w:kern w:val="0"/>
          <w14:textFill>
            <w14:solidFill>
              <w14:schemeClr w14:val="tx1"/>
            </w14:solidFill>
          </w14:textFill>
        </w:rPr>
        <w:t>建立医疗服务价格动态调整机制,及时开展中医医疗服务项目调价评估。 常态化开展新增医疗服务价格项目评审,对中医医疗服务项目单独开展立项评审。推进中医药服务医保支付方式改革,在实行按病种分值付费( DIP)中，适当提高中医医疗机构调整系数。发布中医优势病种目录,探索按中医疗效价值付费,实行中西医同病同效同价。不能纳入支付方式改革范围的一般中医药诊疗项目继续按项目付费。将符合条件的中医诊疗项目、中药饮片等按规定纳入门诊统筹支付,及时将符合条件的“互联网+”中医诊疗项目纳入医保支付范围。</w:t>
      </w:r>
    </w:p>
    <w:p w14:paraId="42DE24EA">
      <w:pPr>
        <w:pStyle w:val="4"/>
        <w:widowControl w:val="0"/>
        <w:spacing w:line="560" w:lineRule="exact"/>
        <w:ind w:firstLine="640" w:firstLineChars="200"/>
        <w:jc w:val="left"/>
        <w:rPr>
          <w:rFonts w:ascii="Times New Roman" w:hAnsi="Times New Roman" w:cs="Times New Roman"/>
          <w:color w:val="000000" w:themeColor="text1"/>
          <w:kern w:val="0"/>
          <w:lang w:val="en-US"/>
          <w14:textFill>
            <w14:solidFill>
              <w14:schemeClr w14:val="tx1"/>
            </w14:solidFill>
          </w14:textFill>
        </w:rPr>
      </w:pPr>
      <w:r>
        <w:rPr>
          <w:rFonts w:ascii="Times New Roman" w:hAnsi="Times New Roman" w:cs="Times New Roman"/>
          <w:color w:val="000000" w:themeColor="text1"/>
          <w:kern w:val="0"/>
          <w:lang w:val="en-US"/>
          <w14:textFill>
            <w14:solidFill>
              <w14:schemeClr w14:val="tx1"/>
            </w14:solidFill>
          </w14:textFill>
        </w:rPr>
        <w:t xml:space="preserve">              </w:t>
      </w:r>
    </w:p>
    <w:p w14:paraId="368F08BF">
      <w:pPr>
        <w:pStyle w:val="4"/>
        <w:widowControl w:val="0"/>
        <w:tabs>
          <w:tab w:val="left" w:pos="1280"/>
        </w:tabs>
        <w:spacing w:line="560" w:lineRule="exact"/>
        <w:ind w:firstLine="643" w:firstLineChars="200"/>
        <w:jc w:val="center"/>
        <w:rPr>
          <w:rFonts w:ascii="Times New Roman" w:hAnsi="Times New Roman" w:eastAsia="SimHei" w:cs="Times New Roman"/>
          <w:b/>
          <w:bCs/>
          <w:color w:val="000000" w:themeColor="text1"/>
          <w:kern w:val="0"/>
          <w14:textFill>
            <w14:solidFill>
              <w14:schemeClr w14:val="tx1"/>
            </w14:solidFill>
          </w14:textFill>
        </w:rPr>
      </w:pPr>
      <w:r>
        <w:rPr>
          <w:rFonts w:ascii="Times New Roman" w:hAnsi="Times New Roman" w:eastAsia="SimHei" w:cs="Times New Roman"/>
          <w:b/>
          <w:bCs/>
          <w:color w:val="000000" w:themeColor="text1"/>
          <w:kern w:val="0"/>
          <w14:textFill>
            <w14:solidFill>
              <w14:schemeClr w14:val="tx1"/>
            </w14:solidFill>
          </w14:textFill>
        </w:rPr>
        <w:t>第八章</w:t>
      </w:r>
      <w:r>
        <w:rPr>
          <w:rFonts w:ascii="Times New Roman" w:hAnsi="Times New Roman" w:eastAsia="SimHei" w:cs="Times New Roman"/>
          <w:b/>
          <w:bCs/>
          <w:color w:val="000000" w:themeColor="text1"/>
          <w:kern w:val="0"/>
          <w14:textFill>
            <w14:solidFill>
              <w14:schemeClr w14:val="tx1"/>
            </w14:solidFill>
          </w14:textFill>
        </w:rPr>
        <w:tab/>
      </w:r>
      <w:r>
        <w:rPr>
          <w:rFonts w:ascii="Times New Roman" w:hAnsi="Times New Roman" w:eastAsia="SimHei" w:cs="Times New Roman"/>
          <w:b/>
          <w:bCs/>
          <w:color w:val="000000" w:themeColor="text1"/>
          <w:kern w:val="0"/>
          <w14:textFill>
            <w14:solidFill>
              <w14:schemeClr w14:val="tx1"/>
            </w14:solidFill>
          </w14:textFill>
        </w:rPr>
        <w:t>保障措施</w:t>
      </w:r>
    </w:p>
    <w:p w14:paraId="39CABC39">
      <w:pPr>
        <w:pStyle w:val="4"/>
        <w:widowControl w:val="0"/>
        <w:tabs>
          <w:tab w:val="left" w:pos="1279"/>
        </w:tabs>
        <w:spacing w:line="560" w:lineRule="exact"/>
        <w:ind w:firstLine="3200" w:firstLineChars="1000"/>
        <w:rPr>
          <w:rFonts w:ascii="Times New Roman" w:hAnsi="Times New Roman" w:eastAsia="KaiTi_GB2312" w:cs="Times New Roman"/>
          <w:color w:val="000000" w:themeColor="text1"/>
          <w:kern w:val="0"/>
          <w14:textFill>
            <w14:solidFill>
              <w14:schemeClr w14:val="tx1"/>
            </w14:solidFill>
          </w14:textFill>
        </w:rPr>
      </w:pPr>
      <w:r>
        <w:rPr>
          <w:rFonts w:ascii="Times New Roman" w:hAnsi="Times New Roman" w:eastAsia="KaiTi_GB2312" w:cs="Times New Roman"/>
          <w:color w:val="000000" w:themeColor="text1"/>
          <w:kern w:val="0"/>
          <w14:textFill>
            <w14:solidFill>
              <w14:schemeClr w14:val="tx1"/>
            </w14:solidFill>
          </w14:textFill>
        </w:rPr>
        <w:t>第一节</w:t>
      </w:r>
      <w:r>
        <w:rPr>
          <w:rFonts w:ascii="Times New Roman" w:hAnsi="Times New Roman" w:eastAsia="KaiTi_GB2312" w:cs="Times New Roman"/>
          <w:color w:val="000000" w:themeColor="text1"/>
          <w:kern w:val="0"/>
          <w14:textFill>
            <w14:solidFill>
              <w14:schemeClr w14:val="tx1"/>
            </w14:solidFill>
          </w14:textFill>
        </w:rPr>
        <w:tab/>
      </w:r>
      <w:r>
        <w:rPr>
          <w:rFonts w:ascii="Times New Roman" w:hAnsi="Times New Roman" w:eastAsia="KaiTi_GB2312" w:cs="Times New Roman"/>
          <w:color w:val="000000" w:themeColor="text1"/>
          <w:kern w:val="0"/>
          <w14:textFill>
            <w14:solidFill>
              <w14:schemeClr w14:val="tx1"/>
            </w14:solidFill>
          </w14:textFill>
        </w:rPr>
        <w:t>加强组织领导</w:t>
      </w:r>
    </w:p>
    <w:p w14:paraId="7D1C5C9B">
      <w:pPr>
        <w:pStyle w:val="4"/>
        <w:widowControl w:val="0"/>
        <w:spacing w:line="560" w:lineRule="exact"/>
        <w:ind w:firstLine="640" w:firstLineChars="200"/>
        <w:jc w:val="left"/>
        <w:rPr>
          <w:rFonts w:ascii="Times New Roman" w:hAnsi="Times New Roman" w:cs="Times New Roman"/>
          <w:color w:val="000000" w:themeColor="text1"/>
          <w:kern w:val="0"/>
          <w14:textFill>
            <w14:solidFill>
              <w14:schemeClr w14:val="tx1"/>
            </w14:solidFill>
          </w14:textFill>
        </w:rPr>
      </w:pPr>
      <w:r>
        <w:rPr>
          <w:rFonts w:ascii="Times New Roman" w:hAnsi="Times New Roman" w:cs="Times New Roman"/>
          <w:color w:val="000000" w:themeColor="text1"/>
          <w:kern w:val="0"/>
          <w14:textFill>
            <w14:solidFill>
              <w14:schemeClr w14:val="tx1"/>
            </w14:solidFill>
          </w14:textFill>
        </w:rPr>
        <w:t>将中医药发展工作纳入区政府议事日程,并列入我区国民经济和社会发展规划,在资源配置、政策机制、制度安排等方面予以倾斜。充分发挥推进中医药强区建设工作领导小组作用,各部门明确相应工作机制,统筹做好中医、中药全产业链管理工作, 形成共同推进中医药传承创新发展的强大合力。</w:t>
      </w:r>
    </w:p>
    <w:p w14:paraId="6EF927DC">
      <w:pPr>
        <w:pStyle w:val="4"/>
        <w:widowControl w:val="0"/>
        <w:spacing w:line="560" w:lineRule="exact"/>
        <w:ind w:firstLine="640" w:firstLineChars="200"/>
        <w:jc w:val="left"/>
        <w:rPr>
          <w:rFonts w:ascii="Times New Roman" w:hAnsi="Times New Roman" w:cs="Times New Roman"/>
          <w:color w:val="000000" w:themeColor="text1"/>
          <w:kern w:val="0"/>
          <w14:textFill>
            <w14:solidFill>
              <w14:schemeClr w14:val="tx1"/>
            </w14:solidFill>
          </w14:textFill>
        </w:rPr>
      </w:pPr>
    </w:p>
    <w:p w14:paraId="74AA7280">
      <w:pPr>
        <w:pStyle w:val="4"/>
        <w:widowControl w:val="0"/>
        <w:tabs>
          <w:tab w:val="left" w:pos="1279"/>
        </w:tabs>
        <w:spacing w:line="560" w:lineRule="exact"/>
        <w:ind w:firstLine="640" w:firstLineChars="200"/>
        <w:jc w:val="center"/>
        <w:rPr>
          <w:rFonts w:ascii="Times New Roman" w:hAnsi="Times New Roman" w:eastAsia="KaiTi_GB2312" w:cs="Times New Roman"/>
          <w:b/>
          <w:bCs/>
          <w:color w:val="000000" w:themeColor="text1"/>
          <w:kern w:val="0"/>
          <w14:textFill>
            <w14:solidFill>
              <w14:schemeClr w14:val="tx1"/>
            </w14:solidFill>
          </w14:textFill>
        </w:rPr>
      </w:pPr>
      <w:r>
        <w:rPr>
          <w:rFonts w:ascii="Times New Roman" w:hAnsi="Times New Roman" w:eastAsia="KaiTi_GB2312" w:cs="Times New Roman"/>
          <w:b/>
          <w:bCs/>
          <w:color w:val="000000" w:themeColor="text1"/>
          <w:kern w:val="0"/>
          <w14:textFill>
            <w14:solidFill>
              <w14:schemeClr w14:val="tx1"/>
            </w14:solidFill>
          </w14:textFill>
        </w:rPr>
        <w:t>第二节</w:t>
      </w:r>
      <w:r>
        <w:rPr>
          <w:rFonts w:ascii="Times New Roman" w:hAnsi="Times New Roman" w:eastAsia="KaiTi_GB2312" w:cs="Times New Roman"/>
          <w:b/>
          <w:bCs/>
          <w:color w:val="000000" w:themeColor="text1"/>
          <w:kern w:val="0"/>
          <w14:textFill>
            <w14:solidFill>
              <w14:schemeClr w14:val="tx1"/>
            </w14:solidFill>
          </w14:textFill>
        </w:rPr>
        <w:tab/>
      </w:r>
      <w:r>
        <w:rPr>
          <w:rFonts w:ascii="Times New Roman" w:hAnsi="Times New Roman" w:eastAsia="KaiTi_GB2312" w:cs="Times New Roman"/>
          <w:b/>
          <w:bCs/>
          <w:color w:val="000000" w:themeColor="text1"/>
          <w:kern w:val="0"/>
          <w14:textFill>
            <w14:solidFill>
              <w14:schemeClr w14:val="tx1"/>
            </w14:solidFill>
          </w14:textFill>
        </w:rPr>
        <w:t>加强宣传引导</w:t>
      </w:r>
    </w:p>
    <w:p w14:paraId="2469829E">
      <w:pPr>
        <w:pStyle w:val="4"/>
        <w:widowControl w:val="0"/>
        <w:spacing w:line="560" w:lineRule="exact"/>
        <w:ind w:firstLine="640" w:firstLineChars="200"/>
        <w:jc w:val="left"/>
        <w:rPr>
          <w:rFonts w:ascii="Times New Roman" w:hAnsi="Times New Roman" w:cs="Times New Roman"/>
          <w:color w:val="000000" w:themeColor="text1"/>
          <w:kern w:val="0"/>
          <w14:textFill>
            <w14:solidFill>
              <w14:schemeClr w14:val="tx1"/>
            </w14:solidFill>
          </w14:textFill>
        </w:rPr>
      </w:pPr>
      <w:r>
        <w:rPr>
          <w:rFonts w:ascii="Times New Roman" w:hAnsi="Times New Roman" w:cs="Times New Roman"/>
          <w:color w:val="000000" w:themeColor="text1"/>
          <w:kern w:val="0"/>
          <w14:textFill>
            <w14:solidFill>
              <w14:schemeClr w14:val="tx1"/>
            </w14:solidFill>
          </w14:textFill>
        </w:rPr>
        <w:t xml:space="preserve"> 加强中医药宣传队伍建设,综合运用各类传播平台, 大力宣传中医药强区建设先进典型和感人事迹，为罗江区“十四五”中医药高质量发展规划的实施</w:t>
      </w:r>
      <w:r>
        <w:rPr>
          <w:rFonts w:ascii="Times New Roman" w:hAnsi="Times New Roman" w:cs="Times New Roman"/>
          <w:color w:val="000000" w:themeColor="text1"/>
          <w:kern w:val="0"/>
          <w:lang w:val="en-US"/>
          <w14:textFill>
            <w14:solidFill>
              <w14:schemeClr w14:val="tx1"/>
            </w14:solidFill>
          </w14:textFill>
        </w:rPr>
        <w:t>营造良好舆论氛围</w:t>
      </w:r>
      <w:r>
        <w:rPr>
          <w:rFonts w:ascii="Times New Roman" w:hAnsi="Times New Roman" w:cs="Times New Roman"/>
          <w:color w:val="000000" w:themeColor="text1"/>
          <w:kern w:val="0"/>
          <w14:textFill>
            <w14:solidFill>
              <w14:schemeClr w14:val="tx1"/>
            </w14:solidFill>
          </w14:textFill>
        </w:rPr>
        <w:t xml:space="preserve">。 </w:t>
      </w:r>
    </w:p>
    <w:p w14:paraId="57279206">
      <w:pPr>
        <w:pStyle w:val="4"/>
        <w:widowControl w:val="0"/>
        <w:spacing w:line="560" w:lineRule="exact"/>
        <w:ind w:firstLine="640" w:firstLineChars="200"/>
        <w:jc w:val="left"/>
        <w:rPr>
          <w:rFonts w:ascii="Times New Roman" w:hAnsi="Times New Roman" w:cs="Times New Roman"/>
          <w:color w:val="000000" w:themeColor="text1"/>
          <w:kern w:val="0"/>
          <w14:textFill>
            <w14:solidFill>
              <w14:schemeClr w14:val="tx1"/>
            </w14:solidFill>
          </w14:textFill>
        </w:rPr>
      </w:pPr>
    </w:p>
    <w:p w14:paraId="58B544AA">
      <w:pPr>
        <w:pStyle w:val="4"/>
        <w:widowControl w:val="0"/>
        <w:tabs>
          <w:tab w:val="left" w:pos="1257"/>
        </w:tabs>
        <w:spacing w:line="560" w:lineRule="exact"/>
        <w:ind w:firstLine="640" w:firstLineChars="200"/>
        <w:jc w:val="center"/>
        <w:rPr>
          <w:rFonts w:ascii="Times New Roman" w:hAnsi="Times New Roman" w:eastAsia="KaiTi_GB2312" w:cs="Times New Roman"/>
          <w:b/>
          <w:bCs/>
          <w:color w:val="000000" w:themeColor="text1"/>
          <w:kern w:val="0"/>
          <w14:textFill>
            <w14:solidFill>
              <w14:schemeClr w14:val="tx1"/>
            </w14:solidFill>
          </w14:textFill>
        </w:rPr>
      </w:pPr>
      <w:r>
        <w:rPr>
          <w:rFonts w:ascii="Times New Roman" w:hAnsi="Times New Roman" w:eastAsia="KaiTi_GB2312" w:cs="Times New Roman"/>
          <w:b/>
          <w:bCs/>
          <w:color w:val="000000" w:themeColor="text1"/>
          <w:kern w:val="0"/>
          <w14:textFill>
            <w14:solidFill>
              <w14:schemeClr w14:val="tx1"/>
            </w14:solidFill>
          </w14:textFill>
        </w:rPr>
        <w:t>第三节</w:t>
      </w:r>
      <w:r>
        <w:rPr>
          <w:rFonts w:ascii="Times New Roman" w:hAnsi="Times New Roman" w:eastAsia="KaiTi_GB2312" w:cs="Times New Roman"/>
          <w:b/>
          <w:bCs/>
          <w:color w:val="000000" w:themeColor="text1"/>
          <w:kern w:val="0"/>
          <w14:textFill>
            <w14:solidFill>
              <w14:schemeClr w14:val="tx1"/>
            </w14:solidFill>
          </w14:textFill>
        </w:rPr>
        <w:tab/>
      </w:r>
      <w:r>
        <w:rPr>
          <w:rFonts w:ascii="Times New Roman" w:hAnsi="Times New Roman" w:eastAsia="KaiTi_GB2312" w:cs="Times New Roman"/>
          <w:b/>
          <w:bCs/>
          <w:color w:val="000000" w:themeColor="text1"/>
          <w:kern w:val="0"/>
          <w14:textFill>
            <w14:solidFill>
              <w14:schemeClr w14:val="tx1"/>
            </w14:solidFill>
          </w14:textFill>
        </w:rPr>
        <w:t>加强监测考核</w:t>
      </w:r>
    </w:p>
    <w:p w14:paraId="496263F3">
      <w:pPr>
        <w:pStyle w:val="4"/>
        <w:widowControl w:val="0"/>
        <w:spacing w:line="560" w:lineRule="exact"/>
        <w:ind w:firstLine="640" w:firstLineChars="20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kern w:val="0"/>
          <w14:textFill>
            <w14:solidFill>
              <w14:schemeClr w14:val="tx1"/>
            </w14:solidFill>
          </w14:textFill>
        </w:rPr>
        <w:t xml:space="preserve"> </w:t>
      </w:r>
      <w:r>
        <w:rPr>
          <w:rFonts w:ascii="Times New Roman" w:hAnsi="Times New Roman" w:cs="Times New Roman"/>
          <w:color w:val="000000" w:themeColor="text1"/>
          <w:kern w:val="0"/>
          <w:lang w:val="en-US"/>
          <w14:textFill>
            <w14:solidFill>
              <w14:schemeClr w14:val="tx1"/>
            </w14:solidFill>
          </w14:textFill>
        </w:rPr>
        <w:t xml:space="preserve"> </w:t>
      </w:r>
      <w:r>
        <w:rPr>
          <w:rFonts w:ascii="Times New Roman" w:hAnsi="Times New Roman" w:cs="Times New Roman"/>
          <w:color w:val="000000" w:themeColor="text1"/>
          <w:kern w:val="0"/>
          <w14:textFill>
            <w14:solidFill>
              <w14:schemeClr w14:val="tx1"/>
            </w14:solidFill>
          </w14:textFill>
        </w:rPr>
        <w:t>各部门（单位）要围绕本规划主要目标、重点任务，结合实际制定切实可行的工作计划，精心组织，认真实施。制定完善科学的绩效评价考核和监督检查机制，强化实施情况督导检查，及时发现和解决规划实施中存在的问题,确保规划目标任务如期完成。</w:t>
      </w:r>
    </w:p>
    <w:p w14:paraId="4FA7592C">
      <w:pPr>
        <w:pStyle w:val="2"/>
        <w:widowControl w:val="0"/>
        <w:spacing w:line="560" w:lineRule="exact"/>
      </w:pPr>
    </w:p>
    <w:p w14:paraId="53FFC30B">
      <w:pPr>
        <w:widowControl w:val="0"/>
        <w:spacing w:line="560" w:lineRule="exact"/>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panose1 w:val="02010609030101010101"/>
    <w:charset w:val="86"/>
    <w:family w:val="modern"/>
    <w:pitch w:val="default"/>
    <w:sig w:usb0="00000001" w:usb1="080E0000" w:usb2="00000000" w:usb3="00000000" w:csb0="00040000" w:csb1="00000000"/>
  </w:font>
  <w:font w:name="FZXiaoBiaoSong-B05S">
    <w:panose1 w:val="03000509000000000000"/>
    <w:charset w:val="86"/>
    <w:family w:val="script"/>
    <w:pitch w:val="default"/>
    <w:sig w:usb0="00000001" w:usb1="080E0000" w:usb2="00000000" w:usb3="00000000" w:csb0="00040000" w:csb1="00000000"/>
  </w:font>
  <w:font w:name="KaiTi_GB2312">
    <w:panose1 w:val="02010609030101010101"/>
    <w:charset w:val="86"/>
    <w:family w:val="modern"/>
    <w:pitch w:val="default"/>
    <w:sig w:usb0="00000001" w:usb1="080E0000" w:usb2="00000000" w:usb3="00000000" w:csb0="00040000" w:csb1="00000000"/>
  </w:font>
  <w:font w:name="FangSong">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3B45D">
    <w:pPr>
      <w:pStyle w:val="2"/>
      <w:ind w:firstLine="7560" w:firstLineChars="3150"/>
      <w:rPr>
        <w:sz w:val="24"/>
        <w:szCs w:val="24"/>
      </w:rPr>
    </w:pPr>
    <w:r>
      <w:rPr>
        <w:sz w:val="24"/>
        <w:szCs w:val="24"/>
      </w:rPr>
      <w:t xml:space="preserve">— </w:t>
    </w: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6</w:t>
    </w:r>
    <w:r>
      <w:rPr>
        <w:sz w:val="24"/>
        <w:szCs w:val="24"/>
      </w:rPr>
      <w:fldChar w:fldCharType="end"/>
    </w:r>
    <w:r>
      <w:rPr>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C7461">
    <w:pPr>
      <w:pStyle w:val="2"/>
      <w:rPr>
        <w:sz w:val="24"/>
        <w:szCs w:val="24"/>
      </w:rPr>
    </w:pPr>
    <w:r>
      <w:rPr>
        <w:sz w:val="24"/>
        <w:szCs w:val="24"/>
      </w:rPr>
      <w:t xml:space="preserve">— </w:t>
    </w: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30</w:t>
    </w:r>
    <w:r>
      <w:rPr>
        <w:sz w:val="24"/>
        <w:szCs w:val="24"/>
      </w:rPr>
      <w:fldChar w:fldCharType="end"/>
    </w:r>
    <w:r>
      <w:rPr>
        <w:sz w:val="24"/>
        <w:szCs w:val="2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4A7DD">
    <w:pPr>
      <w:pStyle w:val="5"/>
      <w:pBdr>
        <w:bottom w:val="none" w:color="auto" w:sz="0" w:space="0"/>
      </w:pBdr>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F1980">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8819A3"/>
    <w:multiLevelType w:val="singleLevel"/>
    <w:tmpl w:val="978819A3"/>
    <w:lvl w:ilvl="0" w:tentative="0">
      <w:start w:val="1"/>
      <w:numFmt w:val="chineseCounting"/>
      <w:suff w:val="space"/>
      <w:lvlText w:val="第%1节"/>
      <w:lvlJc w:val="left"/>
      <w:pPr>
        <w:ind w:left="2248" w:firstLine="0"/>
      </w:pPr>
      <w:rPr>
        <w:rFonts w:hint="eastAsia"/>
      </w:rPr>
    </w:lvl>
  </w:abstractNum>
  <w:abstractNum w:abstractNumId="1">
    <w:nsid w:val="BE487E3F"/>
    <w:multiLevelType w:val="singleLevel"/>
    <w:tmpl w:val="BE487E3F"/>
    <w:lvl w:ilvl="0" w:tentative="0">
      <w:start w:val="1"/>
      <w:numFmt w:val="chineseCounting"/>
      <w:suff w:val="nothing"/>
      <w:lvlText w:val="%1、"/>
      <w:lvlJc w:val="left"/>
      <w:rPr>
        <w:rFonts w:hint="eastAsia"/>
      </w:rPr>
    </w:lvl>
  </w:abstractNum>
  <w:abstractNum w:abstractNumId="2">
    <w:nsid w:val="D16E4053"/>
    <w:multiLevelType w:val="singleLevel"/>
    <w:tmpl w:val="D16E4053"/>
    <w:lvl w:ilvl="0" w:tentative="0">
      <w:start w:val="1"/>
      <w:numFmt w:val="chineseCounting"/>
      <w:suff w:val="space"/>
      <w:lvlText w:val="第%1章"/>
      <w:lvlJc w:val="left"/>
      <w:rPr>
        <w:rFonts w:hint="eastAsia"/>
      </w:rPr>
    </w:lvl>
  </w:abstractNum>
  <w:abstractNum w:abstractNumId="3">
    <w:nsid w:val="2434F970"/>
    <w:multiLevelType w:val="singleLevel"/>
    <w:tmpl w:val="2434F970"/>
    <w:lvl w:ilvl="0" w:tentative="0">
      <w:start w:val="4"/>
      <w:numFmt w:val="chineseCounting"/>
      <w:suff w:val="nothing"/>
      <w:lvlText w:val="%1、"/>
      <w:lvlJc w:val="left"/>
      <w:rPr>
        <w:rFonts w:hint="eastAsia"/>
      </w:rPr>
    </w:lvl>
  </w:abstractNum>
  <w:abstractNum w:abstractNumId="4">
    <w:nsid w:val="38B910CB"/>
    <w:multiLevelType w:val="singleLevel"/>
    <w:tmpl w:val="38B910CB"/>
    <w:lvl w:ilvl="0" w:tentative="0">
      <w:start w:val="1"/>
      <w:numFmt w:val="chineseCounting"/>
      <w:lvlText w:val="第%1节"/>
      <w:lvlJc w:val="left"/>
      <w:rPr>
        <w:rFonts w:hint="eastAsia"/>
      </w:rPr>
    </w:lvl>
  </w:abstractNum>
  <w:abstractNum w:abstractNumId="5">
    <w:nsid w:val="7615791A"/>
    <w:multiLevelType w:val="singleLevel"/>
    <w:tmpl w:val="7615791A"/>
    <w:lvl w:ilvl="0" w:tentative="0">
      <w:start w:val="1"/>
      <w:numFmt w:val="chineseCounting"/>
      <w:suff w:val="space"/>
      <w:lvlText w:val="第%1节"/>
      <w:lvlJc w:val="left"/>
      <w:pPr>
        <w:ind w:left="3570" w:firstLine="0"/>
      </w:pPr>
      <w:rPr>
        <w:rFonts w:hint="eastAsia"/>
      </w:r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2ZDVmODhjODFiYWFmZGY3Mzc4Mjk3NTdjY2E3N2YifQ=="/>
  </w:docVars>
  <w:rsids>
    <w:rsidRoot w:val="00485BAB"/>
    <w:rsid w:val="00485BAB"/>
    <w:rsid w:val="00A203FB"/>
    <w:rsid w:val="00EB7201"/>
    <w:rsid w:val="1B5434A9"/>
    <w:rsid w:val="1CDB69E8"/>
    <w:rsid w:val="2F564D3A"/>
    <w:rsid w:val="62046D5E"/>
    <w:rsid w:val="77D91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SimSun" w:cs="Times New Roman"/>
      <w:kern w:val="2"/>
      <w:sz w:val="21"/>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SimSun" w:hAnsi="SimSun"/>
      <w:b/>
      <w:bCs/>
      <w:kern w:val="44"/>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kern w:val="0"/>
      <w:sz w:val="18"/>
      <w:szCs w:val="18"/>
    </w:rPr>
  </w:style>
  <w:style w:type="paragraph" w:styleId="4">
    <w:name w:val="Body Text"/>
    <w:basedOn w:val="1"/>
    <w:qFormat/>
    <w:uiPriority w:val="1"/>
    <w:rPr>
      <w:rFonts w:ascii="FangSong_GB2312" w:hAnsi="FangSong_GB2312" w:eastAsia="FangSong_GB2312" w:cs="FangSong_GB2312"/>
      <w:sz w:val="32"/>
      <w:szCs w:val="32"/>
      <w:lang w:val="zh-CN" w:bidi="zh-CN"/>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table of figures"/>
    <w:basedOn w:val="1"/>
    <w:next w:val="1"/>
    <w:qFormat/>
    <w:uiPriority w:val="0"/>
    <w:pPr>
      <w:ind w:left="200" w:leftChars="200" w:hanging="200" w:hangingChars="200"/>
    </w:pPr>
  </w:style>
  <w:style w:type="paragraph" w:styleId="7">
    <w:name w:val="Normal (Web)"/>
    <w:basedOn w:val="1"/>
    <w:qFormat/>
    <w:uiPriority w:val="99"/>
    <w:pPr>
      <w:spacing w:before="100" w:beforeAutospacing="1" w:after="100" w:afterAutospacing="1"/>
      <w:jc w:val="left"/>
    </w:pPr>
    <w:rPr>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列出段落1"/>
    <w:basedOn w:val="1"/>
    <w:qFormat/>
    <w:uiPriority w:val="1"/>
    <w:pPr>
      <w:spacing w:before="221"/>
      <w:ind w:left="1012" w:hanging="243"/>
    </w:pPr>
    <w:rPr>
      <w:rFonts w:ascii="FangSong_GB2312" w:hAnsi="FangSong_GB2312" w:eastAsia="FangSong_GB2312" w:cs="FangSong_GB231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28</Pages>
  <Words>1218</Words>
  <Characters>1291</Characters>
  <Lines>104</Lines>
  <Paragraphs>29</Paragraphs>
  <TotalTime>10</TotalTime>
  <ScaleCrop>false</ScaleCrop>
  <LinksUpToDate>false</LinksUpToDate>
  <CharactersWithSpaces>1394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2022-09-20T01:58:00Z</dcterms:created>
  <dc:creator>Administrator</dc:creator>
  <cp:lastModifiedBy>阁主</cp:lastModifiedBy>
  <dcterms:modified xsi:type="dcterms:W3CDTF">2025-04-01T08:53:48Z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602C8970F0994659B45B898DF918C0A9</vt:lpwstr>
  </property>
  <property fmtid="{D5CDD505-2E9C-101B-9397-08002B2CF9AE}" pid="4" name="KSOTemplateDocerSaveRecord">
    <vt:lpwstr>eyJoZGlkIjoiMmFiM2I3MzNkMDJhYzQ4NTRhOGNmMjM3ZGM4YzViZGYiLCJ1c2VySWQiOiIyOTI2NjQ0ODUifQ==</vt:lpwstr>
  </property>
</Properties>
</file>