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5FC00">
      <w:pPr>
        <w:ind w:firstLine="0" w:firstLineChars="0"/>
        <w:jc w:val="center"/>
        <w:rPr>
          <w:rFonts w:hint="default" w:ascii="Times New Roman" w:hAnsi="Times New Roman" w:eastAsia="黑体" w:cs="Times New Roman"/>
          <w:sz w:val="44"/>
          <w:szCs w:val="44"/>
        </w:rPr>
      </w:pPr>
    </w:p>
    <w:p w14:paraId="626B3B99">
      <w:pPr>
        <w:pStyle w:val="2"/>
        <w:ind w:firstLine="640"/>
        <w:rPr>
          <w:rFonts w:hint="default" w:ascii="Times New Roman" w:hAnsi="Times New Roman" w:cs="Times New Roman"/>
        </w:rPr>
      </w:pPr>
    </w:p>
    <w:p w14:paraId="443131A4">
      <w:pPr>
        <w:widowControl/>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lang w:val="en-US" w:eastAsia="zh-CN"/>
        </w:rPr>
        <w:t>罗江区</w:t>
      </w:r>
      <w:r>
        <w:rPr>
          <w:rFonts w:hint="default" w:ascii="Times New Roman" w:hAnsi="Times New Roman" w:eastAsia="黑体" w:cs="Times New Roman"/>
          <w:b/>
          <w:bCs/>
          <w:sz w:val="44"/>
          <w:szCs w:val="44"/>
          <w:lang w:eastAsia="zh-CN"/>
        </w:rPr>
        <w:t>商务和经济合作局</w:t>
      </w:r>
    </w:p>
    <w:p w14:paraId="2E925EE1">
      <w:pPr>
        <w:widowControl/>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lang w:eastAsia="zh-CN"/>
        </w:rPr>
        <w:t>服务业、电子商务、商贸企业等发展专项资金</w:t>
      </w:r>
    </w:p>
    <w:p w14:paraId="07E53AC0">
      <w:pPr>
        <w:widowControl/>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sz w:val="44"/>
          <w:szCs w:val="44"/>
        </w:rPr>
        <w:t>绩效评价报告</w:t>
      </w:r>
    </w:p>
    <w:p w14:paraId="71D88B09">
      <w:pPr>
        <w:spacing w:line="500" w:lineRule="exact"/>
        <w:ind w:firstLine="880"/>
        <w:jc w:val="center"/>
        <w:rPr>
          <w:rFonts w:hint="default" w:ascii="Times New Roman" w:hAnsi="Times New Roman" w:eastAsia="黑体" w:cs="Times New Roman"/>
          <w:sz w:val="44"/>
          <w:szCs w:val="44"/>
        </w:rPr>
      </w:pPr>
    </w:p>
    <w:p w14:paraId="536DE6E1">
      <w:pPr>
        <w:spacing w:line="500" w:lineRule="exact"/>
        <w:ind w:firstLine="880"/>
        <w:jc w:val="center"/>
        <w:rPr>
          <w:rFonts w:hint="default" w:ascii="Times New Roman" w:hAnsi="Times New Roman" w:eastAsia="黑体" w:cs="Times New Roman"/>
          <w:sz w:val="44"/>
          <w:szCs w:val="44"/>
        </w:rPr>
      </w:pPr>
    </w:p>
    <w:p w14:paraId="0EE4F032">
      <w:pPr>
        <w:ind w:firstLine="720"/>
        <w:rPr>
          <w:rFonts w:hint="default" w:ascii="Times New Roman" w:hAnsi="Times New Roman" w:cs="Times New Roman"/>
          <w:sz w:val="36"/>
          <w:szCs w:val="36"/>
        </w:rPr>
      </w:pPr>
    </w:p>
    <w:p w14:paraId="04D405E1">
      <w:pPr>
        <w:spacing w:line="480" w:lineRule="auto"/>
        <w:ind w:left="640" w:leftChars="200" w:firstLine="0" w:firstLineChars="0"/>
        <w:rPr>
          <w:rFonts w:hint="default" w:ascii="Times New Roman" w:hAnsi="Times New Roman" w:cs="Times New Roman"/>
          <w:szCs w:val="32"/>
        </w:rPr>
      </w:pPr>
    </w:p>
    <w:p w14:paraId="0E05160C">
      <w:pPr>
        <w:pStyle w:val="2"/>
        <w:rPr>
          <w:rFonts w:hint="default" w:ascii="Times New Roman" w:hAnsi="Times New Roman" w:cs="Times New Roman"/>
        </w:rPr>
      </w:pPr>
    </w:p>
    <w:p w14:paraId="2666C567">
      <w:pPr>
        <w:ind w:left="640" w:leftChars="200" w:firstLine="0" w:firstLineChars="0"/>
        <w:rPr>
          <w:rFonts w:hint="default" w:ascii="Times New Roman" w:hAnsi="Times New Roman" w:cs="Times New Roman"/>
          <w:szCs w:val="32"/>
        </w:rPr>
      </w:pPr>
    </w:p>
    <w:p w14:paraId="360AEB87">
      <w:pPr>
        <w:pStyle w:val="2"/>
        <w:ind w:firstLine="640"/>
        <w:rPr>
          <w:rFonts w:hint="default" w:ascii="Times New Roman" w:hAnsi="Times New Roman" w:cs="Times New Roman"/>
        </w:rPr>
      </w:pPr>
    </w:p>
    <w:p w14:paraId="64C9C554">
      <w:pPr>
        <w:spacing w:line="480" w:lineRule="auto"/>
        <w:ind w:left="0" w:leftChars="0" w:firstLine="320" w:firstLineChars="100"/>
        <w:rPr>
          <w:rFonts w:hint="default" w:ascii="Times New Roman" w:hAnsi="Times New Roman" w:cs="Times New Roman"/>
          <w:szCs w:val="32"/>
          <w:shd w:val="clear" w:color="auto" w:fill="FFFFFF"/>
        </w:rPr>
      </w:pPr>
      <w:r>
        <w:rPr>
          <w:rFonts w:hint="default" w:ascii="Times New Roman" w:hAnsi="Times New Roman" w:cs="Times New Roman"/>
          <w:szCs w:val="32"/>
          <w:shd w:val="clear" w:color="auto" w:fill="FFFFFF"/>
        </w:rPr>
        <w:t>项目名称：</w:t>
      </w:r>
      <w:r>
        <w:rPr>
          <w:rFonts w:hint="default" w:ascii="Times New Roman" w:hAnsi="Times New Roman" w:cs="Times New Roman"/>
          <w:szCs w:val="32"/>
          <w:lang w:eastAsia="zh-CN"/>
        </w:rPr>
        <w:t>服务业、电子商务、商贸企业等发展专项资金</w:t>
      </w:r>
      <w:r>
        <w:rPr>
          <w:rFonts w:hint="default" w:ascii="Times New Roman" w:hAnsi="Times New Roman" w:cs="Times New Roman"/>
          <w:szCs w:val="32"/>
        </w:rPr>
        <w:t>项目</w:t>
      </w:r>
    </w:p>
    <w:p w14:paraId="5CDC203B">
      <w:pPr>
        <w:spacing w:line="480" w:lineRule="auto"/>
        <w:ind w:firstLine="320" w:firstLineChars="100"/>
        <w:rPr>
          <w:rFonts w:hint="default" w:ascii="Times New Roman" w:hAnsi="Times New Roman" w:cs="Times New Roman"/>
          <w:szCs w:val="32"/>
          <w:shd w:val="clear" w:color="auto" w:fill="FFFFFF"/>
        </w:rPr>
      </w:pPr>
      <w:r>
        <w:rPr>
          <w:rFonts w:hint="default" w:ascii="Times New Roman" w:hAnsi="Times New Roman" w:cs="Times New Roman"/>
          <w:szCs w:val="32"/>
          <w:shd w:val="clear" w:color="auto" w:fill="FFFFFF"/>
        </w:rPr>
        <w:t>项目单位：</w:t>
      </w:r>
      <w:r>
        <w:rPr>
          <w:rFonts w:hint="default" w:ascii="Times New Roman" w:hAnsi="Times New Roman" w:cs="Times New Roman"/>
          <w:szCs w:val="32"/>
          <w:lang w:val="en-US" w:eastAsia="zh-CN"/>
        </w:rPr>
        <w:t>罗江区</w:t>
      </w:r>
      <w:r>
        <w:rPr>
          <w:rFonts w:hint="default" w:ascii="Times New Roman" w:hAnsi="Times New Roman" w:cs="Times New Roman"/>
          <w:szCs w:val="32"/>
          <w:lang w:eastAsia="zh-CN"/>
        </w:rPr>
        <w:t>商务和经济合作局</w:t>
      </w:r>
    </w:p>
    <w:p w14:paraId="57EBD99E">
      <w:pPr>
        <w:spacing w:line="480" w:lineRule="auto"/>
        <w:ind w:firstLine="320" w:firstLineChars="100"/>
        <w:rPr>
          <w:rFonts w:hint="default" w:ascii="Times New Roman" w:hAnsi="Times New Roman" w:cs="Times New Roman"/>
          <w:szCs w:val="32"/>
          <w:shd w:val="clear" w:color="auto" w:fill="FFFFFF"/>
        </w:rPr>
      </w:pPr>
      <w:bookmarkStart w:id="77" w:name="_GoBack"/>
      <w:bookmarkEnd w:id="77"/>
      <w:r>
        <w:rPr>
          <w:rFonts w:hint="default" w:ascii="Times New Roman" w:hAnsi="Times New Roman" w:cs="Times New Roman"/>
          <w:szCs w:val="32"/>
          <w:shd w:val="clear" w:color="auto" w:fill="FFFFFF"/>
        </w:rPr>
        <w:t>中介机构：四川瑞政商业管理有限公司</w:t>
      </w:r>
    </w:p>
    <w:p w14:paraId="6F709263">
      <w:pPr>
        <w:ind w:right="640" w:firstLine="4480" w:firstLineChars="1400"/>
        <w:jc w:val="center"/>
        <w:rPr>
          <w:rFonts w:hint="default" w:ascii="Times New Roman" w:hAnsi="Times New Roman" w:cs="Times New Roman"/>
          <w:szCs w:val="32"/>
        </w:rPr>
      </w:pPr>
    </w:p>
    <w:p w14:paraId="574D4F7C">
      <w:pPr>
        <w:ind w:right="640" w:firstLine="4480" w:firstLineChars="1400"/>
        <w:jc w:val="center"/>
        <w:rPr>
          <w:rFonts w:hint="default" w:ascii="Times New Roman" w:hAnsi="Times New Roman" w:cs="Times New Roman"/>
          <w:szCs w:val="32"/>
        </w:rPr>
      </w:pPr>
      <w:r>
        <w:rPr>
          <w:rFonts w:hint="default" w:ascii="Times New Roman" w:hAnsi="Times New Roman" w:cs="Times New Roman"/>
          <w:szCs w:val="32"/>
          <w:lang w:val="en-US" w:eastAsia="zh-CN"/>
        </w:rPr>
        <w:t xml:space="preserve">         </w:t>
      </w:r>
      <w:r>
        <w:rPr>
          <w:rFonts w:hint="default" w:ascii="Times New Roman" w:hAnsi="Times New Roman" w:cs="Times New Roman"/>
          <w:szCs w:val="32"/>
        </w:rPr>
        <w:t>二〇二</w:t>
      </w:r>
      <w:r>
        <w:rPr>
          <w:rFonts w:hint="default" w:ascii="Times New Roman" w:hAnsi="Times New Roman" w:cs="Times New Roman"/>
          <w:szCs w:val="32"/>
          <w:lang w:val="en-US" w:eastAsia="zh-CN"/>
        </w:rPr>
        <w:t>四</w:t>
      </w:r>
      <w:r>
        <w:rPr>
          <w:rFonts w:hint="default" w:ascii="Times New Roman" w:hAnsi="Times New Roman" w:cs="Times New Roman"/>
          <w:szCs w:val="32"/>
        </w:rPr>
        <w:t>年</w:t>
      </w:r>
      <w:r>
        <w:rPr>
          <w:rFonts w:hint="default" w:ascii="Times New Roman" w:hAnsi="Times New Roman" w:cs="Times New Roman"/>
          <w:szCs w:val="32"/>
          <w:lang w:val="en-US" w:eastAsia="zh-CN"/>
        </w:rPr>
        <w:t>八</w:t>
      </w:r>
      <w:r>
        <w:rPr>
          <w:rFonts w:hint="default" w:ascii="Times New Roman" w:hAnsi="Times New Roman" w:cs="Times New Roman"/>
          <w:szCs w:val="32"/>
        </w:rPr>
        <w:t>月</w:t>
      </w:r>
    </w:p>
    <w:p w14:paraId="30F6A5FB">
      <w:pPr>
        <w:pStyle w:val="2"/>
        <w:ind w:firstLine="0" w:firstLineChars="0"/>
        <w:jc w:val="center"/>
        <w:rPr>
          <w:rFonts w:hint="default" w:ascii="Times New Roman" w:hAnsi="Times New Roman" w:eastAsia="楷体" w:cs="Times New Roman"/>
          <w:b/>
          <w:sz w:val="44"/>
          <w:szCs w:val="44"/>
          <w:lang w:val="zh-CN"/>
        </w:rPr>
      </w:pPr>
    </w:p>
    <w:p w14:paraId="7EC19E22">
      <w:pPr>
        <w:pStyle w:val="2"/>
        <w:ind w:firstLine="0" w:firstLineChars="0"/>
        <w:jc w:val="center"/>
        <w:rPr>
          <w:rFonts w:hint="default" w:ascii="Times New Roman" w:hAnsi="Times New Roman" w:eastAsia="楷体" w:cs="Times New Roman"/>
          <w:b/>
          <w:sz w:val="44"/>
          <w:szCs w:val="44"/>
          <w:lang w:val="zh-CN"/>
        </w:rPr>
      </w:pPr>
    </w:p>
    <w:p w14:paraId="223FA45E">
      <w:pPr>
        <w:pStyle w:val="2"/>
        <w:ind w:firstLine="0" w:firstLineChars="0"/>
        <w:jc w:val="center"/>
        <w:rPr>
          <w:rFonts w:hint="default" w:ascii="Times New Roman" w:hAnsi="Times New Roman" w:cs="Times New Roman"/>
          <w:szCs w:val="32"/>
        </w:rPr>
      </w:pPr>
      <w:r>
        <w:rPr>
          <w:rFonts w:hint="default" w:ascii="Times New Roman" w:hAnsi="Times New Roman" w:eastAsia="楷体" w:cs="Times New Roman"/>
          <w:b/>
          <w:sz w:val="44"/>
          <w:szCs w:val="44"/>
          <w:lang w:val="zh-CN"/>
        </w:rPr>
        <w:t>目录</w:t>
      </w:r>
    </w:p>
    <w:sdt>
      <w:sdtPr>
        <w:rPr>
          <w:rFonts w:hint="default" w:ascii="Times New Roman" w:hAnsi="Times New Roman" w:eastAsia="宋体" w:cs="Times New Roman"/>
          <w:sz w:val="21"/>
        </w:rPr>
        <w:id w:val="147455000"/>
        <w15:color w:val="DBDBDB"/>
        <w:docPartObj>
          <w:docPartGallery w:val="Table of Contents"/>
          <w:docPartUnique/>
        </w:docPartObj>
      </w:sdtPr>
      <w:sdtEndPr>
        <w:rPr>
          <w:rFonts w:hint="default" w:ascii="Times New Roman" w:hAnsi="Times New Roman" w:eastAsia="仿宋" w:cs="Times New Roman"/>
          <w:b/>
          <w:sz w:val="32"/>
        </w:rPr>
      </w:sdtEndPr>
      <w:sdtContent>
        <w:p w14:paraId="2971DE5D">
          <w:pPr>
            <w:tabs>
              <w:tab w:val="right" w:leader="dot" w:pos="8844"/>
            </w:tabs>
            <w:spacing w:line="288" w:lineRule="auto"/>
            <w:ind w:left="640" w:firstLine="0" w:firstLineChars="0"/>
            <w:jc w:val="center"/>
            <w:rPr>
              <w:rFonts w:hint="default" w:ascii="Times New Roman" w:hAnsi="Times New Roman" w:eastAsia="楷体" w:cs="Times New Roman"/>
              <w:b/>
              <w:kern w:val="2"/>
              <w:sz w:val="28"/>
              <w:szCs w:val="28"/>
              <w:lang w:val="en-US" w:eastAsia="zh-CN" w:bidi="ar-SA"/>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TOC \o "1-2" \h \u </w:instrText>
          </w:r>
          <w:r>
            <w:rPr>
              <w:rFonts w:hint="default" w:ascii="Times New Roman" w:hAnsi="Times New Roman" w:eastAsia="楷体" w:cs="Times New Roman"/>
              <w:sz w:val="28"/>
              <w:szCs w:val="28"/>
            </w:rPr>
            <w:fldChar w:fldCharType="separate"/>
          </w:r>
        </w:p>
        <w:p w14:paraId="5C715618">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_Toc10868 </w:instrText>
          </w:r>
          <w:r>
            <w:rPr>
              <w:rFonts w:hint="eastAsia" w:ascii="黑体" w:hAnsi="黑体" w:eastAsia="黑体" w:cs="黑体"/>
              <w:sz w:val="28"/>
              <w:szCs w:val="28"/>
            </w:rPr>
            <w:fldChar w:fldCharType="separate"/>
          </w:r>
          <w:r>
            <w:rPr>
              <w:rFonts w:hint="eastAsia" w:ascii="黑体" w:hAnsi="黑体" w:eastAsia="黑体" w:cs="黑体"/>
              <w:bCs/>
              <w:sz w:val="28"/>
              <w:szCs w:val="28"/>
            </w:rPr>
            <w:t>一、项目基本情况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_Toc10868 \h </w:instrText>
          </w:r>
          <w:r>
            <w:rPr>
              <w:rFonts w:hint="eastAsia" w:ascii="黑体" w:hAnsi="黑体" w:eastAsia="黑体" w:cs="黑体"/>
              <w:sz w:val="28"/>
              <w:szCs w:val="28"/>
            </w:rPr>
            <w:fldChar w:fldCharType="separate"/>
          </w:r>
          <w:r>
            <w:rPr>
              <w:rFonts w:hint="eastAsia" w:ascii="黑体" w:hAnsi="黑体" w:eastAsia="黑体" w:cs="黑体"/>
              <w:sz w:val="28"/>
              <w:szCs w:val="28"/>
            </w:rPr>
            <w:t>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3EB4F8D">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_Toc24561 </w:instrText>
          </w:r>
          <w:r>
            <w:rPr>
              <w:rFonts w:hint="eastAsia" w:ascii="楷体" w:hAnsi="楷体" w:eastAsia="楷体" w:cs="楷体"/>
              <w:sz w:val="28"/>
              <w:szCs w:val="28"/>
            </w:rPr>
            <w:fldChar w:fldCharType="separate"/>
          </w:r>
          <w:r>
            <w:rPr>
              <w:rFonts w:hint="eastAsia" w:ascii="楷体" w:hAnsi="楷体" w:eastAsia="楷体" w:cs="楷体"/>
              <w:sz w:val="28"/>
              <w:szCs w:val="28"/>
              <w:lang w:val="en-US" w:eastAsia="zh-CN"/>
            </w:rPr>
            <w:t>（一）</w:t>
          </w:r>
          <w:r>
            <w:rPr>
              <w:rFonts w:hint="eastAsia" w:ascii="楷体" w:hAnsi="楷体" w:eastAsia="楷体" w:cs="楷体"/>
              <w:sz w:val="28"/>
              <w:szCs w:val="28"/>
            </w:rPr>
            <w:t>项目背景</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_Toc24561 \h </w:instrText>
          </w:r>
          <w:r>
            <w:rPr>
              <w:rFonts w:hint="eastAsia" w:ascii="楷体" w:hAnsi="楷体" w:eastAsia="楷体" w:cs="楷体"/>
              <w:sz w:val="28"/>
              <w:szCs w:val="28"/>
            </w:rPr>
            <w:fldChar w:fldCharType="separate"/>
          </w:r>
          <w:r>
            <w:rPr>
              <w:rFonts w:hint="eastAsia" w:ascii="楷体" w:hAnsi="楷体" w:eastAsia="楷体" w:cs="楷体"/>
              <w:sz w:val="28"/>
              <w:szCs w:val="28"/>
            </w:rPr>
            <w:t>1</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70FF63E9">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_Toc13051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二）项目概况</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_Toc13051 \h </w:instrText>
          </w:r>
          <w:r>
            <w:rPr>
              <w:rFonts w:hint="eastAsia" w:ascii="楷体" w:hAnsi="楷体" w:eastAsia="楷体" w:cs="楷体"/>
              <w:sz w:val="28"/>
              <w:szCs w:val="28"/>
            </w:rPr>
            <w:fldChar w:fldCharType="separate"/>
          </w:r>
          <w:r>
            <w:rPr>
              <w:rFonts w:hint="eastAsia" w:ascii="楷体" w:hAnsi="楷体" w:eastAsia="楷体" w:cs="楷体"/>
              <w:sz w:val="28"/>
              <w:szCs w:val="28"/>
            </w:rPr>
            <w:t>2</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0F2B3F9D">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_Toc17095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三）资金预算及使用情况</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_Toc17095 \h </w:instrText>
          </w:r>
          <w:r>
            <w:rPr>
              <w:rFonts w:hint="eastAsia" w:ascii="楷体" w:hAnsi="楷体" w:eastAsia="楷体" w:cs="楷体"/>
              <w:sz w:val="28"/>
              <w:szCs w:val="28"/>
            </w:rPr>
            <w:fldChar w:fldCharType="separate"/>
          </w:r>
          <w:r>
            <w:rPr>
              <w:rFonts w:hint="eastAsia" w:ascii="楷体" w:hAnsi="楷体" w:eastAsia="楷体" w:cs="楷体"/>
              <w:sz w:val="28"/>
              <w:szCs w:val="28"/>
            </w:rPr>
            <w:t>3</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026515CA">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_Toc3671 </w:instrText>
          </w:r>
          <w:r>
            <w:rPr>
              <w:rFonts w:hint="eastAsia" w:ascii="楷体" w:hAnsi="楷体" w:eastAsia="楷体" w:cs="楷体"/>
              <w:sz w:val="28"/>
              <w:szCs w:val="28"/>
            </w:rPr>
            <w:fldChar w:fldCharType="separate"/>
          </w:r>
          <w:r>
            <w:rPr>
              <w:rFonts w:hint="eastAsia" w:ascii="楷体" w:hAnsi="楷体" w:eastAsia="楷体" w:cs="楷体"/>
              <w:sz w:val="28"/>
              <w:szCs w:val="28"/>
              <w:lang w:val="zh-CN"/>
            </w:rPr>
            <w:t>（四）项目整体绩效目标</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_Toc3671 \h </w:instrText>
          </w:r>
          <w:r>
            <w:rPr>
              <w:rFonts w:hint="eastAsia" w:ascii="楷体" w:hAnsi="楷体" w:eastAsia="楷体" w:cs="楷体"/>
              <w:sz w:val="28"/>
              <w:szCs w:val="28"/>
            </w:rPr>
            <w:fldChar w:fldCharType="separate"/>
          </w:r>
          <w:r>
            <w:rPr>
              <w:rFonts w:hint="eastAsia" w:ascii="楷体" w:hAnsi="楷体" w:eastAsia="楷体" w:cs="楷体"/>
              <w:sz w:val="28"/>
              <w:szCs w:val="28"/>
            </w:rPr>
            <w:t>3</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4D4AAC45">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_Toc14783 </w:instrText>
          </w:r>
          <w:r>
            <w:rPr>
              <w:rFonts w:hint="eastAsia" w:ascii="黑体" w:hAnsi="黑体" w:eastAsia="黑体" w:cs="黑体"/>
              <w:sz w:val="28"/>
              <w:szCs w:val="28"/>
            </w:rPr>
            <w:fldChar w:fldCharType="separate"/>
          </w:r>
          <w:r>
            <w:rPr>
              <w:rFonts w:hint="eastAsia" w:ascii="黑体" w:hAnsi="黑体" w:eastAsia="黑体" w:cs="黑体"/>
              <w:bCs/>
              <w:sz w:val="28"/>
              <w:szCs w:val="28"/>
            </w:rPr>
            <w:t>二、项目评价依据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_Toc14783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17D8F63B">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_Toc20593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一）规范性文件</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_Toc20593 \h </w:instrText>
          </w:r>
          <w:r>
            <w:rPr>
              <w:rFonts w:hint="eastAsia" w:ascii="楷体" w:hAnsi="楷体" w:eastAsia="楷体" w:cs="楷体"/>
              <w:sz w:val="28"/>
              <w:szCs w:val="28"/>
            </w:rPr>
            <w:fldChar w:fldCharType="separate"/>
          </w:r>
          <w:r>
            <w:rPr>
              <w:rFonts w:hint="eastAsia" w:ascii="楷体" w:hAnsi="楷体" w:eastAsia="楷体" w:cs="楷体"/>
              <w:sz w:val="28"/>
              <w:szCs w:val="28"/>
            </w:rPr>
            <w:t>3</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6B2F3190">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_Toc14345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二）绩效评价管理文件</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_Toc14345 \h </w:instrText>
          </w:r>
          <w:r>
            <w:rPr>
              <w:rFonts w:hint="eastAsia" w:ascii="楷体" w:hAnsi="楷体" w:eastAsia="楷体" w:cs="楷体"/>
              <w:sz w:val="28"/>
              <w:szCs w:val="28"/>
            </w:rPr>
            <w:fldChar w:fldCharType="separate"/>
          </w:r>
          <w:r>
            <w:rPr>
              <w:rFonts w:hint="eastAsia" w:ascii="楷体" w:hAnsi="楷体" w:eastAsia="楷体" w:cs="楷体"/>
              <w:sz w:val="28"/>
              <w:szCs w:val="28"/>
            </w:rPr>
            <w:t>4</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14F00F29">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_Toc23267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三）立项依据与资金文件</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_Toc23267 \h </w:instrText>
          </w:r>
          <w:r>
            <w:rPr>
              <w:rFonts w:hint="eastAsia" w:ascii="楷体" w:hAnsi="楷体" w:eastAsia="楷体" w:cs="楷体"/>
              <w:sz w:val="28"/>
              <w:szCs w:val="28"/>
            </w:rPr>
            <w:fldChar w:fldCharType="separate"/>
          </w:r>
          <w:r>
            <w:rPr>
              <w:rFonts w:hint="eastAsia" w:ascii="楷体" w:hAnsi="楷体" w:eastAsia="楷体" w:cs="楷体"/>
              <w:sz w:val="28"/>
              <w:szCs w:val="28"/>
            </w:rPr>
            <w:t>4</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5B9F4A5F">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_Toc3938 </w:instrText>
          </w:r>
          <w:r>
            <w:rPr>
              <w:rFonts w:hint="eastAsia" w:ascii="黑体" w:hAnsi="黑体" w:eastAsia="黑体" w:cs="黑体"/>
              <w:sz w:val="28"/>
              <w:szCs w:val="28"/>
            </w:rPr>
            <w:fldChar w:fldCharType="separate"/>
          </w:r>
          <w:r>
            <w:rPr>
              <w:rFonts w:hint="eastAsia" w:ascii="黑体" w:hAnsi="黑体" w:eastAsia="黑体" w:cs="黑体"/>
              <w:bCs/>
              <w:sz w:val="28"/>
              <w:szCs w:val="28"/>
            </w:rPr>
            <w:t>三、总体评价</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_Toc3938 \h </w:instrText>
          </w:r>
          <w:r>
            <w:rPr>
              <w:rFonts w:hint="eastAsia" w:ascii="黑体" w:hAnsi="黑体" w:eastAsia="黑体" w:cs="黑体"/>
              <w:sz w:val="28"/>
              <w:szCs w:val="28"/>
            </w:rPr>
            <w:fldChar w:fldCharType="separate"/>
          </w:r>
          <w:r>
            <w:rPr>
              <w:rFonts w:hint="eastAsia" w:ascii="黑体" w:hAnsi="黑体" w:eastAsia="黑体" w:cs="黑体"/>
              <w:sz w:val="28"/>
              <w:szCs w:val="28"/>
            </w:rPr>
            <w:t>4</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3AFE58A">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_Toc23797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一）主要绩效</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_Toc23797 \h </w:instrText>
          </w:r>
          <w:r>
            <w:rPr>
              <w:rFonts w:hint="eastAsia" w:ascii="楷体" w:hAnsi="楷体" w:eastAsia="楷体" w:cs="楷体"/>
              <w:sz w:val="28"/>
              <w:szCs w:val="28"/>
            </w:rPr>
            <w:fldChar w:fldCharType="separate"/>
          </w:r>
          <w:r>
            <w:rPr>
              <w:rFonts w:hint="eastAsia" w:ascii="楷体" w:hAnsi="楷体" w:eastAsia="楷体" w:cs="楷体"/>
              <w:sz w:val="28"/>
              <w:szCs w:val="28"/>
            </w:rPr>
            <w:t>4</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5D246853">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_Toc11389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二）指标评分结果</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_Toc11389 \h </w:instrText>
          </w:r>
          <w:r>
            <w:rPr>
              <w:rFonts w:hint="eastAsia" w:ascii="楷体" w:hAnsi="楷体" w:eastAsia="楷体" w:cs="楷体"/>
              <w:sz w:val="28"/>
              <w:szCs w:val="28"/>
            </w:rPr>
            <w:fldChar w:fldCharType="separate"/>
          </w:r>
          <w:r>
            <w:rPr>
              <w:rFonts w:hint="eastAsia" w:ascii="楷体" w:hAnsi="楷体" w:eastAsia="楷体" w:cs="楷体"/>
              <w:sz w:val="28"/>
              <w:szCs w:val="28"/>
            </w:rPr>
            <w:t>5</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47E4FD42">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_Toc26832 </w:instrText>
          </w:r>
          <w:r>
            <w:rPr>
              <w:rFonts w:hint="eastAsia" w:ascii="黑体" w:hAnsi="黑体" w:eastAsia="黑体" w:cs="黑体"/>
              <w:sz w:val="28"/>
              <w:szCs w:val="28"/>
            </w:rPr>
            <w:fldChar w:fldCharType="separate"/>
          </w:r>
          <w:r>
            <w:rPr>
              <w:rFonts w:hint="eastAsia" w:ascii="黑体" w:hAnsi="黑体" w:eastAsia="黑体" w:cs="黑体"/>
              <w:bCs/>
              <w:sz w:val="28"/>
              <w:szCs w:val="28"/>
            </w:rPr>
            <w:t>四、评价指标分析</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_Toc26832 \h </w:instrText>
          </w:r>
          <w:r>
            <w:rPr>
              <w:rFonts w:hint="eastAsia" w:ascii="黑体" w:hAnsi="黑体" w:eastAsia="黑体" w:cs="黑体"/>
              <w:sz w:val="28"/>
              <w:szCs w:val="28"/>
            </w:rPr>
            <w:fldChar w:fldCharType="separate"/>
          </w:r>
          <w:r>
            <w:rPr>
              <w:rFonts w:hint="eastAsia" w:ascii="黑体" w:hAnsi="黑体" w:eastAsia="黑体" w:cs="黑体"/>
              <w:sz w:val="28"/>
              <w:szCs w:val="28"/>
            </w:rPr>
            <w:t>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48407288">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_Toc30721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一）决策类指标</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_Toc30721 \h </w:instrText>
          </w:r>
          <w:r>
            <w:rPr>
              <w:rFonts w:hint="eastAsia" w:ascii="楷体" w:hAnsi="楷体" w:eastAsia="楷体" w:cs="楷体"/>
              <w:sz w:val="28"/>
              <w:szCs w:val="28"/>
            </w:rPr>
            <w:fldChar w:fldCharType="separate"/>
          </w:r>
          <w:r>
            <w:rPr>
              <w:rFonts w:hint="eastAsia" w:ascii="楷体" w:hAnsi="楷体" w:eastAsia="楷体" w:cs="楷体"/>
              <w:sz w:val="28"/>
              <w:szCs w:val="28"/>
            </w:rPr>
            <w:t>6</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0DC2FD4D">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_Toc28446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二）过程类指标</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_Toc28446 \h </w:instrText>
          </w:r>
          <w:r>
            <w:rPr>
              <w:rFonts w:hint="eastAsia" w:ascii="楷体" w:hAnsi="楷体" w:eastAsia="楷体" w:cs="楷体"/>
              <w:sz w:val="28"/>
              <w:szCs w:val="28"/>
            </w:rPr>
            <w:fldChar w:fldCharType="separate"/>
          </w:r>
          <w:r>
            <w:rPr>
              <w:rFonts w:hint="eastAsia" w:ascii="楷体" w:hAnsi="楷体" w:eastAsia="楷体" w:cs="楷体"/>
              <w:sz w:val="28"/>
              <w:szCs w:val="28"/>
            </w:rPr>
            <w:t>11</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64292521">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_Toc2088 </w:instrText>
          </w:r>
          <w:r>
            <w:rPr>
              <w:rFonts w:hint="eastAsia" w:ascii="楷体" w:hAnsi="楷体" w:eastAsia="楷体" w:cs="楷体"/>
              <w:sz w:val="28"/>
              <w:szCs w:val="28"/>
            </w:rPr>
            <w:fldChar w:fldCharType="separate"/>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产出类指标</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_Toc2088 \h </w:instrText>
          </w:r>
          <w:r>
            <w:rPr>
              <w:rFonts w:hint="eastAsia" w:ascii="楷体" w:hAnsi="楷体" w:eastAsia="楷体" w:cs="楷体"/>
              <w:sz w:val="28"/>
              <w:szCs w:val="28"/>
            </w:rPr>
            <w:fldChar w:fldCharType="separate"/>
          </w:r>
          <w:r>
            <w:rPr>
              <w:rFonts w:hint="eastAsia" w:ascii="楷体" w:hAnsi="楷体" w:eastAsia="楷体" w:cs="楷体"/>
              <w:sz w:val="28"/>
              <w:szCs w:val="28"/>
            </w:rPr>
            <w:t>13</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1B396DAF">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_Toc15517 </w:instrText>
          </w:r>
          <w:r>
            <w:rPr>
              <w:rFonts w:hint="eastAsia" w:ascii="楷体" w:hAnsi="楷体" w:eastAsia="楷体" w:cs="楷体"/>
              <w:sz w:val="28"/>
              <w:szCs w:val="28"/>
            </w:rPr>
            <w:fldChar w:fldCharType="separate"/>
          </w:r>
          <w:r>
            <w:rPr>
              <w:rFonts w:hint="eastAsia" w:ascii="楷体" w:hAnsi="楷体" w:eastAsia="楷体" w:cs="楷体"/>
              <w:sz w:val="28"/>
              <w:szCs w:val="28"/>
              <w:lang w:val="en-US" w:eastAsia="zh-CN"/>
            </w:rPr>
            <w:t>（</w:t>
          </w:r>
          <w:r>
            <w:rPr>
              <w:rFonts w:hint="eastAsia" w:ascii="楷体" w:hAnsi="楷体" w:eastAsia="楷体" w:cs="楷体"/>
              <w:sz w:val="28"/>
              <w:szCs w:val="28"/>
            </w:rPr>
            <w:t>四）效益类指标</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_Toc15517 \h </w:instrText>
          </w:r>
          <w:r>
            <w:rPr>
              <w:rFonts w:hint="eastAsia" w:ascii="楷体" w:hAnsi="楷体" w:eastAsia="楷体" w:cs="楷体"/>
              <w:sz w:val="28"/>
              <w:szCs w:val="28"/>
            </w:rPr>
            <w:fldChar w:fldCharType="separate"/>
          </w:r>
          <w:r>
            <w:rPr>
              <w:rFonts w:hint="eastAsia" w:ascii="楷体" w:hAnsi="楷体" w:eastAsia="楷体" w:cs="楷体"/>
              <w:sz w:val="28"/>
              <w:szCs w:val="28"/>
            </w:rPr>
            <w:t>14</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59924458">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_Toc28787 </w:instrText>
          </w:r>
          <w:r>
            <w:rPr>
              <w:rFonts w:hint="eastAsia" w:ascii="黑体" w:hAnsi="黑体" w:eastAsia="黑体" w:cs="黑体"/>
              <w:sz w:val="28"/>
              <w:szCs w:val="28"/>
            </w:rPr>
            <w:fldChar w:fldCharType="separate"/>
          </w:r>
          <w:r>
            <w:rPr>
              <w:rFonts w:hint="eastAsia" w:ascii="黑体" w:hAnsi="黑体" w:eastAsia="黑体" w:cs="黑体"/>
              <w:bCs/>
              <w:sz w:val="28"/>
              <w:szCs w:val="28"/>
            </w:rPr>
            <w:t>五、评价中发现的问题或不足</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_Toc28787 \h </w:instrText>
          </w:r>
          <w:r>
            <w:rPr>
              <w:rFonts w:hint="eastAsia" w:ascii="黑体" w:hAnsi="黑体" w:eastAsia="黑体" w:cs="黑体"/>
              <w:sz w:val="28"/>
              <w:szCs w:val="28"/>
            </w:rPr>
            <w:fldChar w:fldCharType="separate"/>
          </w:r>
          <w:r>
            <w:rPr>
              <w:rFonts w:hint="eastAsia" w:ascii="黑体" w:hAnsi="黑体" w:eastAsia="黑体" w:cs="黑体"/>
              <w:sz w:val="28"/>
              <w:szCs w:val="28"/>
            </w:rPr>
            <w:t>17</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1036E2D7">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_Toc12670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一）项目绩效目标申报质量不高</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_Toc12670 \h </w:instrText>
          </w:r>
          <w:r>
            <w:rPr>
              <w:rFonts w:hint="eastAsia" w:ascii="楷体" w:hAnsi="楷体" w:eastAsia="楷体" w:cs="楷体"/>
              <w:sz w:val="28"/>
              <w:szCs w:val="28"/>
            </w:rPr>
            <w:fldChar w:fldCharType="separate"/>
          </w:r>
          <w:r>
            <w:rPr>
              <w:rFonts w:hint="eastAsia" w:ascii="楷体" w:hAnsi="楷体" w:eastAsia="楷体" w:cs="楷体"/>
              <w:sz w:val="28"/>
              <w:szCs w:val="28"/>
            </w:rPr>
            <w:t>17</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3A8ABB2B">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_Toc10279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二）</w:t>
          </w:r>
          <w:r>
            <w:rPr>
              <w:rFonts w:hint="eastAsia" w:ascii="楷体" w:hAnsi="楷体" w:eastAsia="楷体" w:cs="楷体"/>
              <w:sz w:val="28"/>
              <w:szCs w:val="28"/>
              <w:lang w:val="en-US" w:eastAsia="zh-CN"/>
            </w:rPr>
            <w:t>未提供立项申请文件</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_Toc10279 \h </w:instrText>
          </w:r>
          <w:r>
            <w:rPr>
              <w:rFonts w:hint="eastAsia" w:ascii="楷体" w:hAnsi="楷体" w:eastAsia="楷体" w:cs="楷体"/>
              <w:sz w:val="28"/>
              <w:szCs w:val="28"/>
            </w:rPr>
            <w:fldChar w:fldCharType="separate"/>
          </w:r>
          <w:r>
            <w:rPr>
              <w:rFonts w:hint="eastAsia" w:ascii="楷体" w:hAnsi="楷体" w:eastAsia="楷体" w:cs="楷体"/>
              <w:sz w:val="28"/>
              <w:szCs w:val="28"/>
            </w:rPr>
            <w:t>17</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3822DCD8">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_Toc26754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三）财务记账凭证缺少附件内容</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_Toc26754 \h </w:instrText>
          </w:r>
          <w:r>
            <w:rPr>
              <w:rFonts w:hint="eastAsia" w:ascii="楷体" w:hAnsi="楷体" w:eastAsia="楷体" w:cs="楷体"/>
              <w:sz w:val="28"/>
              <w:szCs w:val="28"/>
            </w:rPr>
            <w:fldChar w:fldCharType="separate"/>
          </w:r>
          <w:r>
            <w:rPr>
              <w:rFonts w:hint="eastAsia" w:ascii="楷体" w:hAnsi="楷体" w:eastAsia="楷体" w:cs="楷体"/>
              <w:sz w:val="28"/>
              <w:szCs w:val="28"/>
            </w:rPr>
            <w:t>17</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67EABB9E">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_Toc1373 </w:instrText>
          </w:r>
          <w:r>
            <w:rPr>
              <w:rFonts w:hint="eastAsia" w:ascii="黑体" w:hAnsi="黑体" w:eastAsia="黑体" w:cs="黑体"/>
              <w:sz w:val="28"/>
              <w:szCs w:val="28"/>
            </w:rPr>
            <w:fldChar w:fldCharType="separate"/>
          </w:r>
          <w:r>
            <w:rPr>
              <w:rFonts w:hint="eastAsia" w:ascii="黑体" w:hAnsi="黑体" w:eastAsia="黑体" w:cs="黑体"/>
              <w:bCs/>
              <w:sz w:val="28"/>
              <w:szCs w:val="28"/>
            </w:rPr>
            <w:t>六、评价建议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_Toc1373 \h </w:instrText>
          </w:r>
          <w:r>
            <w:rPr>
              <w:rFonts w:hint="eastAsia" w:ascii="黑体" w:hAnsi="黑体" w:eastAsia="黑体" w:cs="黑体"/>
              <w:sz w:val="28"/>
              <w:szCs w:val="28"/>
            </w:rPr>
            <w:fldChar w:fldCharType="separate"/>
          </w:r>
          <w:r>
            <w:rPr>
              <w:rFonts w:hint="eastAsia" w:ascii="黑体" w:hAnsi="黑体" w:eastAsia="黑体" w:cs="黑体"/>
              <w:sz w:val="28"/>
              <w:szCs w:val="28"/>
            </w:rPr>
            <w:t>17</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3651BD58">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_Toc29746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一）规范项目绩效目标申报管理</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_Toc29746 \h </w:instrText>
          </w:r>
          <w:r>
            <w:rPr>
              <w:rFonts w:hint="eastAsia" w:ascii="楷体" w:hAnsi="楷体" w:eastAsia="楷体" w:cs="楷体"/>
              <w:sz w:val="28"/>
              <w:szCs w:val="28"/>
            </w:rPr>
            <w:fldChar w:fldCharType="separate"/>
          </w:r>
          <w:r>
            <w:rPr>
              <w:rFonts w:hint="eastAsia" w:ascii="楷体" w:hAnsi="楷体" w:eastAsia="楷体" w:cs="楷体"/>
              <w:sz w:val="28"/>
              <w:szCs w:val="28"/>
            </w:rPr>
            <w:t>17</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49F30B57">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_Toc31218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二）尽快编制并提交项目立项文件</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_Toc31218 \h </w:instrText>
          </w:r>
          <w:r>
            <w:rPr>
              <w:rFonts w:hint="eastAsia" w:ascii="楷体" w:hAnsi="楷体" w:eastAsia="楷体" w:cs="楷体"/>
              <w:sz w:val="28"/>
              <w:szCs w:val="28"/>
            </w:rPr>
            <w:fldChar w:fldCharType="separate"/>
          </w:r>
          <w:r>
            <w:rPr>
              <w:rFonts w:hint="eastAsia" w:ascii="楷体" w:hAnsi="楷体" w:eastAsia="楷体" w:cs="楷体"/>
              <w:sz w:val="28"/>
              <w:szCs w:val="28"/>
            </w:rPr>
            <w:t>18</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086F4EC0">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_Toc19111 </w:instrText>
          </w:r>
          <w:r>
            <w:rPr>
              <w:rFonts w:hint="eastAsia" w:ascii="楷体" w:hAnsi="楷体" w:eastAsia="楷体" w:cs="楷体"/>
              <w:sz w:val="28"/>
              <w:szCs w:val="28"/>
            </w:rPr>
            <w:fldChar w:fldCharType="separate"/>
          </w:r>
          <w:r>
            <w:rPr>
              <w:rFonts w:hint="eastAsia" w:ascii="楷体" w:hAnsi="楷体" w:eastAsia="楷体" w:cs="楷体"/>
              <w:sz w:val="28"/>
              <w:szCs w:val="28"/>
              <w:lang w:eastAsia="zh-CN"/>
            </w:rPr>
            <w:t>（</w:t>
          </w:r>
          <w:r>
            <w:rPr>
              <w:rFonts w:hint="eastAsia" w:ascii="楷体" w:hAnsi="楷体" w:eastAsia="楷体" w:cs="楷体"/>
              <w:sz w:val="28"/>
              <w:szCs w:val="28"/>
            </w:rPr>
            <w:t>三）加强管理</w:t>
          </w:r>
          <w:r>
            <w:rPr>
              <w:rFonts w:hint="eastAsia" w:ascii="楷体" w:hAnsi="楷体" w:eastAsia="楷体" w:cs="楷体"/>
              <w:sz w:val="28"/>
              <w:szCs w:val="28"/>
              <w:lang w:val="en-US" w:eastAsia="zh-CN"/>
            </w:rPr>
            <w:t>财务做账程序管理</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_Toc19111 \h </w:instrText>
          </w:r>
          <w:r>
            <w:rPr>
              <w:rFonts w:hint="eastAsia" w:ascii="楷体" w:hAnsi="楷体" w:eastAsia="楷体" w:cs="楷体"/>
              <w:sz w:val="28"/>
              <w:szCs w:val="28"/>
            </w:rPr>
            <w:fldChar w:fldCharType="separate"/>
          </w:r>
          <w:r>
            <w:rPr>
              <w:rFonts w:hint="eastAsia" w:ascii="楷体" w:hAnsi="楷体" w:eastAsia="楷体" w:cs="楷体"/>
              <w:sz w:val="28"/>
              <w:szCs w:val="28"/>
            </w:rPr>
            <w:t>18</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1EDEAE3E">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eastAsia" w:ascii="楷体" w:hAnsi="楷体" w:eastAsia="楷体" w:cs="楷体"/>
              <w:sz w:val="28"/>
              <w:szCs w:val="28"/>
            </w:rPr>
          </w:pP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HYPERLINK \l _Toc26779 </w:instrText>
          </w:r>
          <w:r>
            <w:rPr>
              <w:rFonts w:hint="eastAsia" w:ascii="楷体" w:hAnsi="楷体" w:eastAsia="楷体" w:cs="楷体"/>
              <w:sz w:val="28"/>
              <w:szCs w:val="28"/>
            </w:rPr>
            <w:fldChar w:fldCharType="separate"/>
          </w:r>
          <w:r>
            <w:rPr>
              <w:rFonts w:hint="eastAsia" w:ascii="楷体" w:hAnsi="楷体" w:eastAsia="楷体" w:cs="楷体"/>
              <w:sz w:val="28"/>
              <w:szCs w:val="28"/>
              <w:lang w:val="en-US" w:eastAsia="zh-CN"/>
            </w:rPr>
            <w:t>附件1：罗江区服务业、电子商务、商贸企业等发展专项资金绩效评价指标评分表</w:t>
          </w:r>
          <w:r>
            <w:rPr>
              <w:rFonts w:hint="eastAsia" w:ascii="楷体" w:hAnsi="楷体" w:eastAsia="楷体" w:cs="楷体"/>
              <w:sz w:val="28"/>
              <w:szCs w:val="28"/>
            </w:rPr>
            <w:tab/>
          </w:r>
          <w:r>
            <w:rPr>
              <w:rFonts w:hint="eastAsia" w:ascii="楷体" w:hAnsi="楷体" w:eastAsia="楷体" w:cs="楷体"/>
              <w:sz w:val="28"/>
              <w:szCs w:val="28"/>
            </w:rPr>
            <w:fldChar w:fldCharType="begin"/>
          </w:r>
          <w:r>
            <w:rPr>
              <w:rFonts w:hint="eastAsia" w:ascii="楷体" w:hAnsi="楷体" w:eastAsia="楷体" w:cs="楷体"/>
              <w:sz w:val="28"/>
              <w:szCs w:val="28"/>
            </w:rPr>
            <w:instrText xml:space="preserve"> PAGEREF _Toc26779 \h </w:instrText>
          </w:r>
          <w:r>
            <w:rPr>
              <w:rFonts w:hint="eastAsia" w:ascii="楷体" w:hAnsi="楷体" w:eastAsia="楷体" w:cs="楷体"/>
              <w:sz w:val="28"/>
              <w:szCs w:val="28"/>
            </w:rPr>
            <w:fldChar w:fldCharType="separate"/>
          </w:r>
          <w:r>
            <w:rPr>
              <w:rFonts w:hint="eastAsia" w:ascii="楷体" w:hAnsi="楷体" w:eastAsia="楷体" w:cs="楷体"/>
              <w:sz w:val="28"/>
              <w:szCs w:val="28"/>
            </w:rPr>
            <w:t>18</w:t>
          </w:r>
          <w:r>
            <w:rPr>
              <w:rFonts w:hint="eastAsia" w:ascii="楷体" w:hAnsi="楷体" w:eastAsia="楷体" w:cs="楷体"/>
              <w:sz w:val="28"/>
              <w:szCs w:val="28"/>
            </w:rPr>
            <w:fldChar w:fldCharType="end"/>
          </w:r>
          <w:r>
            <w:rPr>
              <w:rFonts w:hint="eastAsia" w:ascii="楷体" w:hAnsi="楷体" w:eastAsia="楷体" w:cs="楷体"/>
              <w:sz w:val="28"/>
              <w:szCs w:val="28"/>
            </w:rPr>
            <w:fldChar w:fldCharType="end"/>
          </w:r>
        </w:p>
        <w:p w14:paraId="60A0D6CD">
          <w:pPr>
            <w:pStyle w:val="22"/>
            <w:tabs>
              <w:tab w:val="right" w:leader="dot" w:pos="8844"/>
            </w:tabs>
            <w:spacing w:line="288" w:lineRule="auto"/>
            <w:ind w:left="640" w:firstLine="420" w:firstLineChars="0"/>
            <w:jc w:val="center"/>
            <w:rPr>
              <w:rFonts w:hint="default" w:ascii="Times New Roman" w:hAnsi="Times New Roman" w:cs="Times New Roman"/>
            </w:rPr>
          </w:pPr>
          <w:r>
            <w:rPr>
              <w:rFonts w:hint="default" w:ascii="Times New Roman" w:hAnsi="Times New Roman" w:eastAsia="楷体" w:cs="Times New Roman"/>
              <w:b/>
              <w:sz w:val="28"/>
              <w:szCs w:val="28"/>
            </w:rPr>
            <w:fldChar w:fldCharType="end"/>
          </w:r>
        </w:p>
      </w:sdtContent>
    </w:sdt>
    <w:p w14:paraId="27E236F8">
      <w:pPr>
        <w:tabs>
          <w:tab w:val="left" w:pos="1055"/>
          <w:tab w:val="center" w:pos="4422"/>
        </w:tabs>
        <w:spacing w:line="240" w:lineRule="auto"/>
        <w:ind w:firstLine="0" w:firstLineChars="0"/>
        <w:jc w:val="center"/>
        <w:rPr>
          <w:rFonts w:hint="default" w:ascii="Times New Roman" w:hAnsi="Times New Roman" w:eastAsia="黑体" w:cs="Times New Roman"/>
          <w:b/>
          <w:bCs/>
          <w:sz w:val="44"/>
          <w:szCs w:val="44"/>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7A0880B1">
      <w:pPr>
        <w:tabs>
          <w:tab w:val="left" w:pos="1055"/>
          <w:tab w:val="center" w:pos="4422"/>
        </w:tabs>
        <w:spacing w:line="240" w:lineRule="auto"/>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lang w:val="en-US" w:eastAsia="zh-CN"/>
        </w:rPr>
        <w:t>罗江区</w:t>
      </w:r>
      <w:r>
        <w:rPr>
          <w:rFonts w:hint="default" w:ascii="Times New Roman" w:hAnsi="Times New Roman" w:eastAsia="黑体" w:cs="Times New Roman"/>
          <w:b/>
          <w:bCs/>
          <w:sz w:val="44"/>
          <w:szCs w:val="44"/>
          <w:lang w:eastAsia="zh-CN"/>
        </w:rPr>
        <w:t>商务和经济合作局</w:t>
      </w:r>
    </w:p>
    <w:p w14:paraId="1400687A">
      <w:pPr>
        <w:tabs>
          <w:tab w:val="left" w:pos="1055"/>
          <w:tab w:val="center" w:pos="4422"/>
        </w:tabs>
        <w:spacing w:line="240" w:lineRule="auto"/>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lang w:eastAsia="zh-CN"/>
        </w:rPr>
        <w:t>服务业、电子商务、商贸企业等发展专项资金</w:t>
      </w:r>
    </w:p>
    <w:p w14:paraId="07AC3C4D">
      <w:pPr>
        <w:tabs>
          <w:tab w:val="left" w:pos="1055"/>
          <w:tab w:val="center" w:pos="4422"/>
        </w:tabs>
        <w:spacing w:line="240" w:lineRule="auto"/>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绩效评价</w:t>
      </w:r>
      <w:r>
        <w:rPr>
          <w:rFonts w:hint="default" w:ascii="Times New Roman" w:hAnsi="Times New Roman" w:eastAsia="黑体" w:cs="Times New Roman"/>
          <w:b/>
          <w:sz w:val="44"/>
          <w:szCs w:val="44"/>
        </w:rPr>
        <w:t>报告</w:t>
      </w:r>
    </w:p>
    <w:p w14:paraId="6701AEC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cs="Times New Roman"/>
          <w:szCs w:val="32"/>
        </w:rPr>
      </w:pPr>
      <w:bookmarkStart w:id="0" w:name="_Toc86224134"/>
      <w:bookmarkStart w:id="1" w:name="_Toc511879082"/>
      <w:bookmarkStart w:id="2" w:name="_Toc522785580"/>
      <w:r>
        <w:rPr>
          <w:rFonts w:hint="default" w:ascii="Times New Roman" w:hAnsi="Times New Roman" w:cs="Times New Roman"/>
          <w:szCs w:val="32"/>
        </w:rPr>
        <w:t>为进一步加强项目资金管理，强化支出责任和效率意识，优化资源配置，控制节约成本，提升财政资金保障的公共产品质量和公共服务水平，提高财政资金使用效益，根据《预算法》第五十七条规定及</w:t>
      </w:r>
      <w:r>
        <w:rPr>
          <w:rFonts w:hint="default" w:ascii="Times New Roman" w:hAnsi="Times New Roman" w:eastAsia="仿宋" w:cs="Times New Roman"/>
          <w:kern w:val="2"/>
          <w:sz w:val="32"/>
          <w:szCs w:val="32"/>
          <w:lang w:val="en-US" w:eastAsia="zh-CN" w:bidi="ar-SA"/>
        </w:rPr>
        <w:t>《德阳市罗江区财政局关于开展2024年重点绩效评价工作的通知》</w:t>
      </w:r>
      <w:r>
        <w:rPr>
          <w:rFonts w:hint="default" w:ascii="Times New Roman" w:hAnsi="Times New Roman" w:cs="Times New Roman"/>
          <w:kern w:val="2"/>
          <w:sz w:val="32"/>
          <w:szCs w:val="32"/>
          <w:lang w:val="en-US" w:eastAsia="zh-CN" w:bidi="ar-SA"/>
        </w:rPr>
        <w:t>（</w:t>
      </w:r>
      <w:r>
        <w:rPr>
          <w:rFonts w:hint="default" w:ascii="Times New Roman" w:hAnsi="Times New Roman" w:eastAsia="仿宋_GB2312" w:cs="Times New Roman"/>
          <w:b w:val="0"/>
          <w:bCs w:val="0"/>
          <w:color w:val="000000"/>
          <w:sz w:val="31"/>
          <w:szCs w:val="31"/>
        </w:rPr>
        <w:t>德市罗财绩</w:t>
      </w:r>
      <w:r>
        <w:rPr>
          <w:rFonts w:hint="default" w:ascii="Times New Roman" w:hAnsi="Times New Roman" w:eastAsia="仿宋" w:cs="Times New Roman"/>
          <w:kern w:val="2"/>
          <w:sz w:val="32"/>
          <w:szCs w:val="32"/>
          <w:lang w:val="en-US" w:eastAsia="zh-CN" w:bidi="ar-SA"/>
        </w:rPr>
        <w:t>〔2024〕</w:t>
      </w:r>
      <w:r>
        <w:rPr>
          <w:rFonts w:hint="default" w:ascii="Times New Roman" w:hAnsi="Times New Roman" w:eastAsia="TimesNewRomanPSMT" w:cs="Times New Roman"/>
          <w:b w:val="0"/>
          <w:bCs w:val="0"/>
          <w:color w:val="000000"/>
          <w:sz w:val="31"/>
          <w:szCs w:val="31"/>
        </w:rPr>
        <w:t>5</w:t>
      </w:r>
      <w:r>
        <w:rPr>
          <w:rFonts w:hint="default" w:ascii="Times New Roman" w:hAnsi="Times New Roman" w:eastAsia="仿宋_GB2312" w:cs="Times New Roman"/>
          <w:b w:val="0"/>
          <w:bCs w:val="0"/>
          <w:color w:val="000000"/>
          <w:sz w:val="31"/>
          <w:szCs w:val="31"/>
        </w:rPr>
        <w:t>号</w:t>
      </w:r>
      <w:r>
        <w:rPr>
          <w:rFonts w:hint="default" w:ascii="Times New Roman" w:hAnsi="Times New Roman" w:cs="Times New Roman"/>
          <w:b w:val="0"/>
          <w:bCs w:val="0"/>
          <w:color w:val="000000"/>
          <w:sz w:val="31"/>
          <w:szCs w:val="31"/>
          <w:lang w:eastAsia="zh-CN"/>
        </w:rPr>
        <w:t>）</w:t>
      </w:r>
      <w:r>
        <w:rPr>
          <w:rFonts w:hint="default" w:ascii="Times New Roman" w:hAnsi="Times New Roman" w:cs="Times New Roman"/>
          <w:b w:val="0"/>
          <w:bCs w:val="0"/>
          <w:color w:val="000000"/>
          <w:sz w:val="31"/>
          <w:szCs w:val="31"/>
          <w:lang w:val="en-US" w:eastAsia="zh-CN"/>
        </w:rPr>
        <w:t>文件</w:t>
      </w:r>
      <w:r>
        <w:rPr>
          <w:rFonts w:hint="default" w:ascii="Times New Roman" w:hAnsi="Times New Roman" w:cs="Times New Roman"/>
          <w:color w:val="auto"/>
          <w:szCs w:val="32"/>
        </w:rPr>
        <w:t>由</w:t>
      </w:r>
      <w:r>
        <w:rPr>
          <w:rFonts w:hint="default" w:ascii="Times New Roman" w:hAnsi="Times New Roman" w:cs="Times New Roman"/>
          <w:color w:val="auto"/>
          <w:szCs w:val="32"/>
          <w:lang w:val="en-US" w:eastAsia="zh-CN"/>
        </w:rPr>
        <w:t>罗江区</w:t>
      </w:r>
      <w:r>
        <w:rPr>
          <w:rFonts w:hint="default" w:ascii="Times New Roman" w:hAnsi="Times New Roman" w:cs="Times New Roman"/>
          <w:color w:val="auto"/>
          <w:szCs w:val="32"/>
        </w:rPr>
        <w:t>财政局成立绩效评价组，对</w:t>
      </w:r>
      <w:r>
        <w:rPr>
          <w:rFonts w:hint="default" w:ascii="Times New Roman" w:hAnsi="Times New Roman" w:cs="Times New Roman"/>
          <w:color w:val="auto"/>
          <w:szCs w:val="32"/>
          <w:lang w:val="en-US" w:eastAsia="zh-CN"/>
        </w:rPr>
        <w:t>罗江区商务和经济合作局（简称：商务和经济合作局）</w:t>
      </w:r>
      <w:r>
        <w:rPr>
          <w:rFonts w:hint="default" w:ascii="Times New Roman" w:hAnsi="Times New Roman" w:cs="Times New Roman"/>
          <w:color w:val="auto"/>
          <w:szCs w:val="32"/>
        </w:rPr>
        <w:t>主管实施的</w:t>
      </w:r>
      <w:r>
        <w:rPr>
          <w:rFonts w:hint="default" w:ascii="Times New Roman" w:hAnsi="Times New Roman" w:cs="Times New Roman"/>
          <w:szCs w:val="32"/>
        </w:rPr>
        <w:t>“</w:t>
      </w:r>
      <w:r>
        <w:rPr>
          <w:rFonts w:hint="default" w:ascii="Times New Roman" w:hAnsi="Times New Roman" w:cs="Times New Roman"/>
          <w:szCs w:val="32"/>
          <w:lang w:val="en-US" w:eastAsia="zh-CN"/>
        </w:rPr>
        <w:t>服务业、电子商务、商贸企业等发展专项资金</w:t>
      </w:r>
      <w:r>
        <w:rPr>
          <w:rFonts w:hint="default" w:ascii="Times New Roman" w:hAnsi="Times New Roman" w:cs="Times New Roman"/>
          <w:szCs w:val="32"/>
        </w:rPr>
        <w:t>”开展绩效评价。现将评价结果报告如下：</w:t>
      </w:r>
    </w:p>
    <w:p w14:paraId="50B264A2">
      <w:pPr>
        <w:pStyle w:val="3"/>
        <w:keepNext w:val="0"/>
        <w:keepLines w:val="0"/>
        <w:spacing w:beforeLines="0" w:afterLines="0" w:line="560" w:lineRule="exact"/>
        <w:ind w:firstLine="640"/>
        <w:rPr>
          <w:rFonts w:hint="default" w:ascii="Times New Roman" w:hAnsi="Times New Roman" w:cs="Times New Roman"/>
          <w:b/>
          <w:bCs/>
        </w:rPr>
      </w:pPr>
      <w:bookmarkStart w:id="3" w:name="_Toc10868"/>
      <w:r>
        <w:rPr>
          <w:rFonts w:hint="default" w:ascii="Times New Roman" w:hAnsi="Times New Roman" w:cs="Times New Roman"/>
          <w:b/>
          <w:bCs/>
        </w:rPr>
        <w:t>一、项目基本情况</w:t>
      </w:r>
      <w:bookmarkEnd w:id="0"/>
      <w:bookmarkEnd w:id="1"/>
      <w:bookmarkEnd w:id="2"/>
      <w:bookmarkEnd w:id="3"/>
    </w:p>
    <w:p w14:paraId="649D2D63">
      <w:pPr>
        <w:pStyle w:val="5"/>
        <w:keepNext w:val="0"/>
        <w:keepLines w:val="0"/>
        <w:spacing w:line="560" w:lineRule="exact"/>
        <w:ind w:firstLine="643"/>
        <w:rPr>
          <w:rFonts w:hint="default" w:ascii="Times New Roman" w:hAnsi="Times New Roman" w:cs="Times New Roman"/>
        </w:rPr>
      </w:pPr>
      <w:bookmarkStart w:id="4" w:name="_Toc86224135"/>
      <w:bookmarkStart w:id="5" w:name="_Toc24561"/>
      <w:r>
        <w:rPr>
          <w:rFonts w:hint="default" w:ascii="Times New Roman" w:hAnsi="Times New Roman" w:cs="Times New Roman"/>
          <w:lang w:val="en-US" w:eastAsia="zh-CN"/>
        </w:rPr>
        <w:t>（一）</w:t>
      </w:r>
      <w:r>
        <w:rPr>
          <w:rFonts w:hint="default" w:ascii="Times New Roman" w:hAnsi="Times New Roman" w:cs="Times New Roman"/>
        </w:rPr>
        <w:t>项目背景</w:t>
      </w:r>
      <w:bookmarkEnd w:id="4"/>
      <w:bookmarkEnd w:id="5"/>
    </w:p>
    <w:p w14:paraId="42967DDA">
      <w:pPr>
        <w:kinsoku w:val="0"/>
        <w:overflowPunct w:val="0"/>
        <w:autoSpaceDE w:val="0"/>
        <w:autoSpaceDN w:val="0"/>
        <w:spacing w:line="560" w:lineRule="exact"/>
        <w:ind w:firstLine="640"/>
        <w:rPr>
          <w:rFonts w:hint="default" w:ascii="Times New Roman" w:hAnsi="Times New Roman" w:cs="Times New Roman"/>
        </w:rPr>
      </w:pPr>
      <w:r>
        <w:rPr>
          <w:rFonts w:hint="default" w:ascii="Times New Roman" w:hAnsi="Times New Roman" w:cs="Times New Roman"/>
        </w:rPr>
        <w:t>为贯彻落实国家、省推进新时代服务业高质量发展的相关精神，各地政府纷纷出台政策，通过设立服务业发展专项资金来支持服务业的快速发展。这些政策旨在优化服务业结构，提升服务业竞争力，促进经济转型升级。随着经济的发展，传统产业面临转型升级的压力，而服务业作为现代经济的重要组成部分，其发展水平直接影响到经济的质量和效益。因此，政府通过设立专项资金，引导和支持服务业的发展，以满足经济转型升级的需求。</w:t>
      </w:r>
    </w:p>
    <w:p w14:paraId="72AE01EF">
      <w:pPr>
        <w:kinsoku w:val="0"/>
        <w:overflowPunct w:val="0"/>
        <w:autoSpaceDE w:val="0"/>
        <w:autoSpaceDN w:val="0"/>
        <w:spacing w:line="560" w:lineRule="exact"/>
        <w:ind w:firstLine="640"/>
        <w:rPr>
          <w:rFonts w:hint="default" w:ascii="Times New Roman" w:hAnsi="Times New Roman" w:eastAsia="仿宋" w:cs="Times New Roman"/>
          <w:lang w:val="en-US" w:eastAsia="zh-CN"/>
        </w:rPr>
      </w:pPr>
      <w:r>
        <w:rPr>
          <w:rFonts w:hint="default" w:ascii="Times New Roman" w:hAnsi="Times New Roman" w:cs="Times New Roman"/>
        </w:rPr>
        <w:t>落实各级促消费政策措施，推动商贸服务业平稳运行，根据</w:t>
      </w:r>
      <w:r>
        <w:rPr>
          <w:rFonts w:hint="default" w:ascii="Times New Roman" w:hAnsi="Times New Roman" w:cs="Times New Roman"/>
          <w:highlight w:val="none"/>
        </w:rPr>
        <w:t>《国务院办公厅关于转发国家发改委</w:t>
      </w:r>
      <w:r>
        <w:rPr>
          <w:rFonts w:hint="eastAsia" w:ascii="Times New Roman" w:hAnsi="Times New Roman" w:cs="Times New Roman"/>
          <w:highlight w:val="none"/>
          <w:lang w:val="en-US" w:eastAsia="zh-CN"/>
        </w:rPr>
        <w:t>关</w:t>
      </w:r>
      <w:r>
        <w:rPr>
          <w:rFonts w:hint="default" w:ascii="Times New Roman" w:hAnsi="Times New Roman" w:cs="Times New Roman"/>
          <w:highlight w:val="none"/>
        </w:rPr>
        <w:t>于恢复和扩大消费的措施</w:t>
      </w:r>
      <w:r>
        <w:rPr>
          <w:rFonts w:hint="default" w:ascii="Times New Roman" w:hAnsi="Times New Roman" w:cs="Times New Roman"/>
          <w:highlight w:val="none"/>
          <w:lang w:eastAsia="zh-CN"/>
        </w:rPr>
        <w:t>（</w:t>
      </w:r>
      <w:r>
        <w:rPr>
          <w:rFonts w:hint="default" w:ascii="Times New Roman" w:hAnsi="Times New Roman" w:cs="Times New Roman"/>
          <w:highlight w:val="none"/>
        </w:rPr>
        <w:t>函〔2023〕70号</w:t>
      </w:r>
      <w:r>
        <w:rPr>
          <w:rFonts w:hint="default" w:ascii="Times New Roman" w:hAnsi="Times New Roman" w:cs="Times New Roman"/>
          <w:highlight w:val="none"/>
          <w:lang w:eastAsia="zh-CN"/>
        </w:rPr>
        <w:t>）</w:t>
      </w:r>
      <w:r>
        <w:rPr>
          <w:rFonts w:hint="default" w:ascii="Times New Roman" w:hAnsi="Times New Roman" w:cs="Times New Roman"/>
          <w:highlight w:val="none"/>
        </w:rPr>
        <w:t>聚焦高质量发展推动经济运行整体好转的若干政策措施》</w:t>
      </w:r>
      <w:r>
        <w:rPr>
          <w:rFonts w:hint="default" w:ascii="Times New Roman" w:hAnsi="Times New Roman" w:cs="Times New Roman"/>
          <w:highlight w:val="none"/>
          <w:lang w:eastAsia="zh-CN"/>
        </w:rPr>
        <w:t>（</w:t>
      </w:r>
      <w:r>
        <w:rPr>
          <w:rFonts w:hint="default" w:ascii="Times New Roman" w:hAnsi="Times New Roman" w:cs="Times New Roman"/>
          <w:highlight w:val="none"/>
        </w:rPr>
        <w:t>发〔2023〕5号</w:t>
      </w:r>
      <w:r>
        <w:rPr>
          <w:rFonts w:hint="default" w:ascii="Times New Roman" w:hAnsi="Times New Roman" w:cs="Times New Roman"/>
          <w:highlight w:val="none"/>
          <w:lang w:eastAsia="zh-CN"/>
        </w:rPr>
        <w:t>）</w:t>
      </w:r>
      <w:r>
        <w:rPr>
          <w:rFonts w:hint="default" w:ascii="Times New Roman" w:hAnsi="Times New Roman" w:cs="Times New Roman"/>
          <w:highlight w:val="none"/>
        </w:rPr>
        <w:t>德阳市聚焦高质量发展推动经济运行整体好转的若</w:t>
      </w:r>
      <w:r>
        <w:rPr>
          <w:rFonts w:hint="default" w:ascii="Times New Roman" w:hAnsi="Times New Roman" w:cs="Times New Roman"/>
          <w:highlight w:val="none"/>
          <w:lang w:val="en-US" w:eastAsia="zh-CN"/>
        </w:rPr>
        <w:t>干</w:t>
      </w:r>
      <w:r>
        <w:rPr>
          <w:rFonts w:hint="default" w:ascii="Times New Roman" w:hAnsi="Times New Roman" w:cs="Times New Roman"/>
          <w:highlight w:val="none"/>
        </w:rPr>
        <w:t>政策措施》</w:t>
      </w:r>
      <w:r>
        <w:rPr>
          <w:rFonts w:hint="default" w:ascii="Times New Roman" w:hAnsi="Times New Roman" w:cs="Times New Roman"/>
          <w:highlight w:val="none"/>
          <w:lang w:eastAsia="zh-CN"/>
        </w:rPr>
        <w:t>（</w:t>
      </w:r>
      <w:r>
        <w:rPr>
          <w:rFonts w:hint="default" w:ascii="Times New Roman" w:hAnsi="Times New Roman" w:cs="Times New Roman"/>
          <w:highlight w:val="none"/>
        </w:rPr>
        <w:t>发〔2023〕6号</w:t>
      </w:r>
      <w:r>
        <w:rPr>
          <w:rFonts w:hint="default" w:ascii="Times New Roman" w:hAnsi="Times New Roman" w:cs="Times New Roman"/>
          <w:highlight w:val="none"/>
          <w:lang w:eastAsia="zh-CN"/>
        </w:rPr>
        <w:t>）</w:t>
      </w:r>
      <w:r>
        <w:rPr>
          <w:rFonts w:hint="default" w:ascii="Times New Roman" w:hAnsi="Times New Roman" w:cs="Times New Roman"/>
          <w:highlight w:val="none"/>
        </w:rPr>
        <w:t>精神</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拟定加快服务业开展的政策措施，</w:t>
      </w:r>
      <w:r>
        <w:rPr>
          <w:rFonts w:hint="default" w:ascii="Times New Roman" w:hAnsi="Times New Roman" w:cs="Times New Roman"/>
          <w:lang w:val="en-US" w:eastAsia="zh-CN"/>
        </w:rPr>
        <w:t>推动三产经济增长；推进现代服务业发展，指导服务业项目拉力赛；加快“川菜之乡”建设，开展餐饮行业品质提升行动，鼓励“川菜走出去”；培育服务企业升规入统；引导发展经济。坚持有效市场和有为政府更好结合。顺应市场规律和消费趋势，充分发挥市场在资源配置中的决定性作用，更好发挥政府作用，加快建设全国统一大市场，提升服务质量，激发市场活力，释放潜在需求，着力营造推动消费升级的良好生态。</w:t>
      </w:r>
    </w:p>
    <w:p w14:paraId="2599E080">
      <w:pPr>
        <w:pStyle w:val="5"/>
        <w:keepNext w:val="0"/>
        <w:keepLines w:val="0"/>
        <w:spacing w:line="560" w:lineRule="exact"/>
        <w:ind w:firstLine="643"/>
        <w:rPr>
          <w:rFonts w:hint="default" w:ascii="Times New Roman" w:hAnsi="Times New Roman" w:cs="Times New Roman"/>
        </w:rPr>
      </w:pPr>
      <w:bookmarkStart w:id="6" w:name="_Toc13051"/>
      <w:bookmarkStart w:id="7" w:name="_Toc86224136"/>
      <w:r>
        <w:rPr>
          <w:rFonts w:hint="default" w:ascii="Times New Roman" w:hAnsi="Times New Roman" w:cs="Times New Roman"/>
          <w:lang w:eastAsia="zh-CN"/>
        </w:rPr>
        <w:t>（</w:t>
      </w:r>
      <w:r>
        <w:rPr>
          <w:rFonts w:hint="default" w:ascii="Times New Roman" w:hAnsi="Times New Roman" w:cs="Times New Roman"/>
        </w:rPr>
        <w:t>二）项目概况</w:t>
      </w:r>
      <w:bookmarkEnd w:id="6"/>
      <w:bookmarkEnd w:id="7"/>
    </w:p>
    <w:p w14:paraId="685051A6">
      <w:pPr>
        <w:kinsoku w:val="0"/>
        <w:overflowPunct w:val="0"/>
        <w:autoSpaceDE w:val="0"/>
        <w:autoSpaceDN w:val="0"/>
        <w:adjustRightInd/>
        <w:snapToGrid/>
        <w:spacing w:line="560" w:lineRule="exact"/>
        <w:ind w:firstLine="640"/>
        <w:rPr>
          <w:rFonts w:hint="default" w:ascii="Times New Roman" w:hAnsi="Times New Roman" w:cs="Times New Roman"/>
          <w:color w:val="FF0000"/>
          <w:szCs w:val="32"/>
        </w:rPr>
      </w:pPr>
      <w:r>
        <w:rPr>
          <w:rFonts w:hint="default" w:ascii="Times New Roman" w:hAnsi="Times New Roman" w:cs="Times New Roman"/>
          <w:szCs w:val="32"/>
        </w:rPr>
        <w:t>本次绩效评价对象为</w:t>
      </w:r>
      <w:r>
        <w:rPr>
          <w:rFonts w:hint="default" w:ascii="Times New Roman" w:hAnsi="Times New Roman" w:cs="Times New Roman"/>
          <w:color w:val="auto"/>
          <w:szCs w:val="32"/>
          <w:lang w:val="en-US" w:eastAsia="zh-CN"/>
        </w:rPr>
        <w:t>罗江区商务和经济合作局（以下简称“商务和经济合作局”）</w:t>
      </w:r>
      <w:r>
        <w:rPr>
          <w:rFonts w:hint="default" w:ascii="Times New Roman" w:hAnsi="Times New Roman" w:cs="Times New Roman"/>
          <w:szCs w:val="32"/>
        </w:rPr>
        <w:t>主管实施的</w:t>
      </w:r>
      <w:r>
        <w:rPr>
          <w:rFonts w:hint="default" w:ascii="Times New Roman" w:hAnsi="Times New Roman" w:cs="Times New Roman"/>
          <w:szCs w:val="32"/>
          <w:lang w:eastAsia="zh-CN"/>
        </w:rPr>
        <w:t>服务业、电子商务、商贸企业等发展专项资金</w:t>
      </w:r>
      <w:r>
        <w:rPr>
          <w:rFonts w:hint="default" w:ascii="Times New Roman" w:hAnsi="Times New Roman" w:cs="Times New Roman"/>
          <w:szCs w:val="32"/>
        </w:rPr>
        <w:t>项目，资金来源为</w:t>
      </w:r>
      <w:r>
        <w:rPr>
          <w:rFonts w:hint="default" w:ascii="Times New Roman" w:hAnsi="Times New Roman" w:cs="Times New Roman"/>
          <w:szCs w:val="32"/>
          <w:lang w:val="en-US" w:eastAsia="zh-CN"/>
        </w:rPr>
        <w:t>区</w:t>
      </w:r>
      <w:r>
        <w:rPr>
          <w:rFonts w:hint="default" w:ascii="Times New Roman" w:hAnsi="Times New Roman" w:cs="Times New Roman"/>
          <w:szCs w:val="32"/>
        </w:rPr>
        <w:t>级专项资金。</w:t>
      </w:r>
    </w:p>
    <w:p w14:paraId="29C99587">
      <w:pPr>
        <w:kinsoku w:val="0"/>
        <w:overflowPunct w:val="0"/>
        <w:autoSpaceDE w:val="0"/>
        <w:autoSpaceDN w:val="0"/>
        <w:adjustRightInd/>
        <w:snapToGrid/>
        <w:spacing w:line="560" w:lineRule="exact"/>
        <w:ind w:firstLine="643"/>
        <w:rPr>
          <w:rFonts w:hint="default" w:ascii="Times New Roman" w:hAnsi="Times New Roman" w:cs="Times New Roman"/>
          <w:b/>
          <w:szCs w:val="32"/>
        </w:rPr>
      </w:pPr>
      <w:r>
        <w:rPr>
          <w:rFonts w:hint="default" w:ascii="Times New Roman" w:hAnsi="Times New Roman" w:cs="Times New Roman"/>
          <w:b/>
          <w:szCs w:val="32"/>
          <w:lang w:val="en-US" w:eastAsia="zh-CN"/>
        </w:rPr>
        <w:t>1.</w:t>
      </w:r>
      <w:r>
        <w:rPr>
          <w:rFonts w:hint="default" w:ascii="Times New Roman" w:hAnsi="Times New Roman" w:cs="Times New Roman"/>
          <w:b/>
          <w:szCs w:val="32"/>
        </w:rPr>
        <w:t>项目概况。</w:t>
      </w:r>
    </w:p>
    <w:p w14:paraId="2B2C5E62">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cs="Times New Roman"/>
          <w:szCs w:val="32"/>
        </w:rPr>
        <w:t>根据</w:t>
      </w:r>
      <w:r>
        <w:rPr>
          <w:rFonts w:hint="default" w:ascii="Times New Roman" w:hAnsi="Times New Roman" w:cs="Times New Roman"/>
          <w:szCs w:val="32"/>
          <w:lang w:eastAsia="zh-CN"/>
        </w:rPr>
        <w:t>罗江区</w:t>
      </w:r>
      <w:r>
        <w:rPr>
          <w:rFonts w:hint="default" w:ascii="Times New Roman" w:hAnsi="Times New Roman" w:cs="Times New Roman"/>
          <w:szCs w:val="32"/>
        </w:rPr>
        <w:t>内各相关企业进行自主申报，</w:t>
      </w:r>
      <w:r>
        <w:rPr>
          <w:rFonts w:hint="default" w:ascii="Times New Roman" w:hAnsi="Times New Roman" w:cs="Times New Roman"/>
          <w:szCs w:val="32"/>
          <w:lang w:eastAsia="zh-CN"/>
        </w:rPr>
        <w:t>商务和经济合作局</w:t>
      </w:r>
      <w:r>
        <w:rPr>
          <w:rFonts w:hint="default" w:ascii="Times New Roman" w:hAnsi="Times New Roman" w:cs="Times New Roman"/>
          <w:szCs w:val="32"/>
          <w:lang w:val="en-US" w:eastAsia="zh-CN"/>
        </w:rPr>
        <w:t>项目资金涉及招商引资的相关经费根据专项资金使用规范</w:t>
      </w:r>
      <w:r>
        <w:rPr>
          <w:rFonts w:hint="default" w:ascii="Times New Roman" w:hAnsi="Times New Roman" w:cs="Times New Roman"/>
          <w:color w:val="auto"/>
          <w:szCs w:val="32"/>
        </w:rPr>
        <w:t>，</w:t>
      </w:r>
      <w:r>
        <w:rPr>
          <w:rFonts w:hint="default" w:ascii="Times New Roman" w:hAnsi="Times New Roman" w:cs="Times New Roman"/>
          <w:color w:val="auto"/>
          <w:szCs w:val="32"/>
          <w:lang w:val="en-US" w:eastAsia="zh-CN"/>
        </w:rPr>
        <w:t>财务人员以正式文件向财政局提出拨款申请，申请内容包括使用范围、预算项目、资金额度等，并填写拨款申请书。</w:t>
      </w:r>
      <w:r>
        <w:rPr>
          <w:rFonts w:hint="default" w:ascii="Times New Roman" w:hAnsi="Times New Roman" w:cs="Times New Roman"/>
          <w:color w:val="auto"/>
          <w:szCs w:val="32"/>
        </w:rPr>
        <w:t>确定符合申报标准企业并上报</w:t>
      </w:r>
      <w:r>
        <w:rPr>
          <w:rFonts w:hint="default" w:ascii="Times New Roman" w:hAnsi="Times New Roman" w:cs="Times New Roman"/>
          <w:color w:val="auto"/>
          <w:szCs w:val="32"/>
          <w:lang w:val="en-US" w:eastAsia="zh-CN"/>
        </w:rPr>
        <w:t>财政局。</w:t>
      </w:r>
      <w:r>
        <w:rPr>
          <w:rFonts w:hint="default" w:ascii="Times New Roman" w:hAnsi="Times New Roman" w:cs="Times New Roman"/>
          <w:color w:val="auto"/>
          <w:szCs w:val="32"/>
        </w:rPr>
        <w:t>通过</w:t>
      </w:r>
      <w:r>
        <w:rPr>
          <w:rFonts w:hint="default" w:ascii="Times New Roman" w:hAnsi="Times New Roman" w:cs="Times New Roman"/>
          <w:color w:val="auto"/>
          <w:szCs w:val="32"/>
          <w:lang w:val="en-US" w:eastAsia="zh-CN"/>
        </w:rPr>
        <w:t>财务提出的拨款申请事项，经单位分管领导、主要领导等进行认真审核后，由财政局提出审核意见</w:t>
      </w:r>
      <w:bookmarkStart w:id="8" w:name="_Toc86224137"/>
      <w:r>
        <w:rPr>
          <w:rFonts w:hint="default" w:ascii="Times New Roman" w:hAnsi="Times New Roman" w:cs="Times New Roman"/>
          <w:color w:val="auto"/>
          <w:szCs w:val="32"/>
          <w:lang w:val="en-US" w:eastAsia="zh-CN"/>
        </w:rPr>
        <w:t>，</w:t>
      </w:r>
      <w:r>
        <w:rPr>
          <w:rFonts w:hint="default" w:ascii="Times New Roman" w:hAnsi="Times New Roman" w:cs="Times New Roman"/>
          <w:lang w:val="en-US" w:eastAsia="zh-CN"/>
        </w:rPr>
        <w:t>根据招商引资资金预算情况，财务部门根据领导审批意见和审定金额，向申请单位拨付专项资金。</w:t>
      </w:r>
    </w:p>
    <w:p w14:paraId="2DDB5240">
      <w:pPr>
        <w:pStyle w:val="5"/>
        <w:keepNext w:val="0"/>
        <w:keepLines w:val="0"/>
        <w:spacing w:line="560" w:lineRule="exact"/>
        <w:ind w:firstLine="643"/>
        <w:rPr>
          <w:rFonts w:hint="default" w:ascii="Times New Roman" w:hAnsi="Times New Roman" w:cs="Times New Roman"/>
          <w:color w:val="auto"/>
        </w:rPr>
      </w:pPr>
      <w:bookmarkStart w:id="9" w:name="_Toc17095"/>
      <w:r>
        <w:rPr>
          <w:rFonts w:hint="default" w:ascii="Times New Roman" w:hAnsi="Times New Roman" w:cs="Times New Roman"/>
          <w:color w:val="auto"/>
          <w:lang w:eastAsia="zh-CN"/>
        </w:rPr>
        <w:t>（</w:t>
      </w:r>
      <w:r>
        <w:rPr>
          <w:rFonts w:hint="default" w:ascii="Times New Roman" w:hAnsi="Times New Roman" w:cs="Times New Roman"/>
          <w:color w:val="auto"/>
        </w:rPr>
        <w:t>三）资金预算及使用情况</w:t>
      </w:r>
      <w:bookmarkEnd w:id="8"/>
      <w:bookmarkEnd w:id="9"/>
    </w:p>
    <w:p w14:paraId="605A4366">
      <w:pPr>
        <w:spacing w:line="560" w:lineRule="exact"/>
        <w:ind w:firstLine="640"/>
        <w:rPr>
          <w:rFonts w:hint="default" w:ascii="Times New Roman" w:hAnsi="Times New Roman" w:eastAsia="仿宋" w:cs="Times New Roman"/>
          <w:color w:val="FF0000"/>
          <w:szCs w:val="32"/>
          <w:lang w:val="en-US" w:eastAsia="zh-CN"/>
        </w:rPr>
      </w:pPr>
      <w:bookmarkStart w:id="10" w:name="_Toc86224138"/>
      <w:bookmarkStart w:id="11" w:name="_Toc81550677"/>
      <w:bookmarkStart w:id="12" w:name="_Toc41234175"/>
      <w:bookmarkStart w:id="13" w:name="_Toc10642468"/>
      <w:bookmarkStart w:id="14" w:name="_Toc51542595"/>
      <w:bookmarkStart w:id="15" w:name="_Toc45615464"/>
      <w:bookmarkStart w:id="16" w:name="_Toc51542585"/>
      <w:bookmarkStart w:id="17" w:name="_Toc45615463"/>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w:t>
      </w:r>
      <w:r>
        <w:rPr>
          <w:rFonts w:hint="default" w:ascii="Times New Roman" w:hAnsi="Times New Roman" w:cs="Times New Roman"/>
          <w:szCs w:val="32"/>
          <w:lang w:val="en-US" w:eastAsia="zh-CN"/>
        </w:rPr>
        <w:t>根据《德阳市罗江区财政局关于批复2023年部门预算的通知》德市罗财预〔2023</w:t>
      </w:r>
      <w:r>
        <w:rPr>
          <w:rFonts w:hint="default" w:ascii="Times New Roman" w:hAnsi="Times New Roman" w:cs="Times New Roman"/>
          <w:szCs w:val="32"/>
        </w:rPr>
        <w:t>〕</w:t>
      </w:r>
      <w:r>
        <w:rPr>
          <w:rFonts w:hint="default" w:ascii="Times New Roman" w:hAnsi="Times New Roman" w:cs="Times New Roman"/>
          <w:szCs w:val="32"/>
          <w:lang w:val="en-US" w:eastAsia="zh-CN"/>
        </w:rPr>
        <w:t>1号文件下达区</w:t>
      </w:r>
      <w:r>
        <w:rPr>
          <w:rFonts w:hint="default" w:ascii="Times New Roman" w:hAnsi="Times New Roman" w:cs="Times New Roman"/>
          <w:szCs w:val="32"/>
        </w:rPr>
        <w:t>级资金</w:t>
      </w:r>
      <w:r>
        <w:rPr>
          <w:rFonts w:hint="default" w:ascii="Times New Roman" w:hAnsi="Times New Roman" w:cs="Times New Roman"/>
          <w:szCs w:val="32"/>
          <w:lang w:val="en-US" w:eastAsia="zh-CN"/>
        </w:rPr>
        <w:t>总和100</w:t>
      </w:r>
      <w:r>
        <w:rPr>
          <w:rFonts w:hint="default" w:ascii="Times New Roman" w:hAnsi="Times New Roman" w:cs="Times New Roman"/>
          <w:szCs w:val="32"/>
        </w:rPr>
        <w:t>万元，实际支出金额</w:t>
      </w:r>
      <w:r>
        <w:rPr>
          <w:rFonts w:hint="default" w:ascii="Times New Roman" w:hAnsi="Times New Roman" w:cs="Times New Roman"/>
          <w:szCs w:val="32"/>
          <w:lang w:val="en-US" w:eastAsia="zh-CN"/>
        </w:rPr>
        <w:t>100</w:t>
      </w:r>
      <w:r>
        <w:rPr>
          <w:rFonts w:hint="default" w:ascii="Times New Roman" w:hAnsi="Times New Roman" w:cs="Times New Roman"/>
          <w:szCs w:val="32"/>
        </w:rPr>
        <w:t>万元</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项目资金用于罗江区招商引资商务接待费、项目考察论证费、投资说明会、省市级大型投促、中介奖励、招商引资工作经费、日常工作经费。</w:t>
      </w:r>
      <w:r>
        <w:rPr>
          <w:rFonts w:hint="default" w:ascii="Times New Roman" w:hAnsi="Times New Roman" w:cs="Times New Roman"/>
          <w:szCs w:val="32"/>
        </w:rPr>
        <w:t>项目资金支出由</w:t>
      </w:r>
      <w:r>
        <w:rPr>
          <w:rFonts w:hint="default" w:ascii="Times New Roman" w:hAnsi="Times New Roman" w:cs="Times New Roman"/>
          <w:szCs w:val="32"/>
          <w:lang w:eastAsia="zh-CN"/>
        </w:rPr>
        <w:t>商务和经济合作局</w:t>
      </w:r>
      <w:r>
        <w:rPr>
          <w:rFonts w:hint="default" w:ascii="Times New Roman" w:hAnsi="Times New Roman" w:cs="Times New Roman"/>
          <w:szCs w:val="32"/>
        </w:rPr>
        <w:t>向区财政局提交</w:t>
      </w:r>
      <w:r>
        <w:rPr>
          <w:rFonts w:hint="default" w:ascii="Times New Roman" w:hAnsi="Times New Roman" w:cs="Times New Roman"/>
          <w:szCs w:val="32"/>
          <w:lang w:val="en-US" w:eastAsia="zh-CN"/>
        </w:rPr>
        <w:t>财政拨款申请表及项目实施方案等资料后经商局对款项进行打款。</w:t>
      </w:r>
    </w:p>
    <w:p w14:paraId="17858723">
      <w:pPr>
        <w:pStyle w:val="5"/>
        <w:pageBreakBefore w:val="0"/>
        <w:widowControl w:val="0"/>
        <w:kinsoku/>
        <w:wordWrap/>
        <w:overflowPunct/>
        <w:topLinePunct w:val="0"/>
        <w:autoSpaceDE/>
        <w:autoSpaceDN/>
        <w:bidi w:val="0"/>
        <w:adjustRightInd w:val="0"/>
        <w:snapToGrid w:val="0"/>
        <w:spacing w:line="560" w:lineRule="exact"/>
        <w:ind w:firstLine="643"/>
        <w:textAlignment w:val="auto"/>
        <w:rPr>
          <w:rFonts w:hint="default" w:ascii="Times New Roman" w:hAnsi="Times New Roman" w:cs="Times New Roman"/>
          <w:lang w:val="zh-CN"/>
        </w:rPr>
      </w:pPr>
      <w:bookmarkStart w:id="18" w:name="_Toc3671"/>
      <w:r>
        <w:rPr>
          <w:rFonts w:hint="default" w:ascii="Times New Roman" w:hAnsi="Times New Roman" w:cs="Times New Roman"/>
          <w:lang w:val="zh-CN"/>
        </w:rPr>
        <w:t>（四）项目整体绩效目标</w:t>
      </w:r>
      <w:bookmarkEnd w:id="18"/>
    </w:p>
    <w:p w14:paraId="36909D16">
      <w:pPr>
        <w:pStyle w:val="2"/>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 w:cs="Times New Roman"/>
          <w:color w:val="FF0000"/>
          <w:kern w:val="2"/>
          <w:sz w:val="32"/>
          <w:szCs w:val="32"/>
          <w:lang w:val="en-US" w:eastAsia="zh-CN" w:bidi="ar-SA"/>
        </w:rPr>
      </w:pPr>
      <w:r>
        <w:rPr>
          <w:rFonts w:hint="default" w:ascii="Times New Roman" w:hAnsi="Times New Roman" w:eastAsia="仿宋" w:cs="Times New Roman"/>
          <w:color w:val="auto"/>
          <w:kern w:val="2"/>
          <w:sz w:val="32"/>
          <w:szCs w:val="32"/>
          <w:lang w:val="en-US" w:eastAsia="zh-CN" w:bidi="ar-SA"/>
        </w:rPr>
        <w:t>为支持企业发展，采取项目事后奖补的方式，根据专项资金支持项目的类别、规模和产生的社会经济效益，通过补贴、奖励等方式给予企业一定额度的支持。促进罗江区企业发展创新、转型升级，加快辖区中小企业培育成长，推动辖区企业高质量发展，为辖区企业发展提供资金支持，提高辖区高质量发展，优化罗江区企业发展环境。</w:t>
      </w:r>
    </w:p>
    <w:p w14:paraId="5E192F87">
      <w:pPr>
        <w:pStyle w:val="3"/>
        <w:keepNext w:val="0"/>
        <w:keepLines w:val="0"/>
        <w:spacing w:beforeLines="0" w:afterLines="0" w:line="560" w:lineRule="exact"/>
        <w:ind w:firstLine="640"/>
        <w:rPr>
          <w:rFonts w:hint="default" w:ascii="Times New Roman" w:hAnsi="Times New Roman" w:cs="Times New Roman"/>
          <w:b/>
          <w:bCs/>
        </w:rPr>
      </w:pPr>
      <w:bookmarkStart w:id="19" w:name="_Toc14783"/>
      <w:r>
        <w:rPr>
          <w:rFonts w:hint="default" w:ascii="Times New Roman" w:hAnsi="Times New Roman" w:cs="Times New Roman"/>
          <w:b/>
          <w:bCs/>
        </w:rPr>
        <w:t>二、项目评价依据</w:t>
      </w:r>
      <w:bookmarkEnd w:id="10"/>
      <w:bookmarkEnd w:id="11"/>
      <w:bookmarkEnd w:id="19"/>
    </w:p>
    <w:p w14:paraId="7B61D070">
      <w:pPr>
        <w:pStyle w:val="5"/>
        <w:keepNext w:val="0"/>
        <w:keepLines w:val="0"/>
        <w:spacing w:line="560" w:lineRule="exact"/>
        <w:ind w:firstLine="643"/>
        <w:rPr>
          <w:rFonts w:hint="default" w:ascii="Times New Roman" w:hAnsi="Times New Roman" w:cs="Times New Roman"/>
        </w:rPr>
      </w:pPr>
      <w:bookmarkStart w:id="20" w:name="_Toc20593"/>
      <w:bookmarkStart w:id="21" w:name="_Toc86224139"/>
      <w:r>
        <w:rPr>
          <w:rFonts w:hint="default" w:ascii="Times New Roman" w:hAnsi="Times New Roman" w:cs="Times New Roman"/>
          <w:lang w:eastAsia="zh-CN"/>
        </w:rPr>
        <w:t>（</w:t>
      </w:r>
      <w:r>
        <w:rPr>
          <w:rFonts w:hint="default" w:ascii="Times New Roman" w:hAnsi="Times New Roman" w:cs="Times New Roman"/>
        </w:rPr>
        <w:t>一）规范性文件</w:t>
      </w:r>
      <w:bookmarkEnd w:id="20"/>
      <w:bookmarkEnd w:id="21"/>
    </w:p>
    <w:p w14:paraId="6AC66F47">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1.《中华人民共和国预算法》。</w:t>
      </w:r>
    </w:p>
    <w:p w14:paraId="2D13F891">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2.《中华人民共和国预算法实施条例》。</w:t>
      </w:r>
    </w:p>
    <w:p w14:paraId="20C113EA">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3.《中华人民共和国会计法》。</w:t>
      </w:r>
    </w:p>
    <w:p w14:paraId="332CB0D1">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4.《中华人民共和国政府采购法》。</w:t>
      </w:r>
    </w:p>
    <w:p w14:paraId="6F7018EF">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5.《中华人民共和国招标投标法》。</w:t>
      </w:r>
    </w:p>
    <w:p w14:paraId="567A03B2">
      <w:pPr>
        <w:pStyle w:val="5"/>
        <w:keepNext w:val="0"/>
        <w:keepLines w:val="0"/>
        <w:spacing w:line="560" w:lineRule="exact"/>
        <w:ind w:firstLine="643"/>
        <w:rPr>
          <w:rFonts w:hint="default" w:ascii="Times New Roman" w:hAnsi="Times New Roman" w:cs="Times New Roman"/>
        </w:rPr>
      </w:pPr>
      <w:bookmarkStart w:id="22" w:name="_Toc86224140"/>
      <w:bookmarkStart w:id="23" w:name="_Toc14345"/>
      <w:bookmarkStart w:id="24" w:name="_Hlk81386887"/>
      <w:r>
        <w:rPr>
          <w:rFonts w:hint="default" w:ascii="Times New Roman" w:hAnsi="Times New Roman" w:cs="Times New Roman"/>
          <w:lang w:eastAsia="zh-CN"/>
        </w:rPr>
        <w:t>（</w:t>
      </w:r>
      <w:r>
        <w:rPr>
          <w:rFonts w:hint="default" w:ascii="Times New Roman" w:hAnsi="Times New Roman" w:cs="Times New Roman"/>
        </w:rPr>
        <w:t>二）绩效评价管理文件</w:t>
      </w:r>
      <w:bookmarkEnd w:id="22"/>
      <w:bookmarkEnd w:id="23"/>
    </w:p>
    <w:bookmarkEnd w:id="24"/>
    <w:p w14:paraId="286CADD1">
      <w:pPr>
        <w:keepNext w:val="0"/>
        <w:keepLines w:val="0"/>
        <w:pageBreakBefore w:val="0"/>
        <w:widowControl w:val="0"/>
        <w:kinsoku/>
        <w:wordWrap/>
        <w:overflowPunct/>
        <w:topLinePunct w:val="0"/>
        <w:autoSpaceDE/>
        <w:autoSpaceDN/>
        <w:bidi w:val="0"/>
        <w:adjustRightInd w:val="0"/>
        <w:snapToGrid w:val="0"/>
        <w:spacing w:line="560" w:lineRule="exact"/>
        <w:ind w:firstLine="640"/>
        <w:jc w:val="both"/>
        <w:textAlignment w:val="auto"/>
        <w:rPr>
          <w:rFonts w:hint="default" w:ascii="Times New Roman" w:hAnsi="Times New Roman" w:cs="Times New Roman"/>
          <w:szCs w:val="32"/>
        </w:rPr>
      </w:pPr>
      <w:bookmarkStart w:id="25" w:name="_Toc86224141"/>
      <w:r>
        <w:rPr>
          <w:rFonts w:hint="default" w:ascii="Times New Roman" w:hAnsi="Times New Roman" w:cs="Times New Roman"/>
          <w:szCs w:val="32"/>
        </w:rPr>
        <w:t>1．财政部《财政支出绩效评价管理暂行办法》财预〔2020〕10号）。</w:t>
      </w:r>
    </w:p>
    <w:p w14:paraId="6CF2832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ascii="Times New Roman" w:hAnsi="Times New Roman" w:eastAsia="仿宋" w:cs="Times New Roman"/>
          <w:szCs w:val="32"/>
          <w:lang w:eastAsia="zh-CN"/>
        </w:rPr>
      </w:pPr>
      <w:r>
        <w:rPr>
          <w:rFonts w:hint="default" w:ascii="Times New Roman" w:hAnsi="Times New Roman" w:cs="Times New Roman"/>
          <w:szCs w:val="32"/>
          <w:lang w:val="en-US" w:eastAsia="zh-CN"/>
        </w:rPr>
        <w:t>2.</w:t>
      </w:r>
      <w:r>
        <w:rPr>
          <w:rFonts w:hint="default" w:ascii="Times New Roman" w:hAnsi="Times New Roman" w:cs="Times New Roman"/>
          <w:szCs w:val="32"/>
        </w:rPr>
        <w:t>《中共四川省委四川省人民政府关于全面实施预算绩</w:t>
      </w:r>
    </w:p>
    <w:p w14:paraId="78EB7DF8">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both"/>
        <w:textAlignment w:val="auto"/>
        <w:rPr>
          <w:rFonts w:hint="default" w:ascii="Times New Roman" w:hAnsi="Times New Roman" w:cs="Times New Roman"/>
          <w:szCs w:val="32"/>
        </w:rPr>
      </w:pPr>
      <w:r>
        <w:rPr>
          <w:rFonts w:hint="default" w:ascii="Times New Roman" w:hAnsi="Times New Roman" w:cs="Times New Roman"/>
          <w:szCs w:val="32"/>
        </w:rPr>
        <w:t>效管理的实施意见》川委发〔2019〕8号）</w:t>
      </w:r>
    </w:p>
    <w:p w14:paraId="317B89A6">
      <w:pPr>
        <w:keepNext w:val="0"/>
        <w:keepLines w:val="0"/>
        <w:pageBreakBefore w:val="0"/>
        <w:widowControl w:val="0"/>
        <w:numPr>
          <w:ilvl w:val="0"/>
          <w:numId w:val="0"/>
        </w:numPr>
        <w:tabs>
          <w:tab w:val="left" w:pos="1061"/>
        </w:tabs>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3.</w:t>
      </w:r>
      <w:r>
        <w:rPr>
          <w:rFonts w:hint="default" w:ascii="Times New Roman" w:hAnsi="Times New Roman" w:cs="Times New Roman"/>
          <w:szCs w:val="32"/>
        </w:rPr>
        <w:t>《项目支出绩效评价管理办法》财预〔2020〕10</w:t>
      </w:r>
      <w:r>
        <w:rPr>
          <w:rFonts w:hint="default" w:ascii="Times New Roman" w:hAnsi="Times New Roman" w:cs="Times New Roman"/>
          <w:szCs w:val="32"/>
          <w:lang w:val="en-US" w:eastAsia="zh-CN"/>
        </w:rPr>
        <w:t>号</w:t>
      </w:r>
    </w:p>
    <w:p w14:paraId="0CBE410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cs="Times New Roman"/>
          <w:b w:val="0"/>
          <w:bCs w:val="0"/>
          <w:color w:val="000000"/>
          <w:sz w:val="31"/>
          <w:szCs w:val="31"/>
          <w:lang w:val="en-US" w:eastAsia="zh-CN"/>
        </w:rPr>
      </w:pPr>
      <w:r>
        <w:rPr>
          <w:rFonts w:hint="default" w:ascii="Times New Roman" w:hAnsi="Times New Roman" w:cs="Times New Roman"/>
          <w:kern w:val="2"/>
          <w:sz w:val="32"/>
          <w:szCs w:val="32"/>
          <w:lang w:val="en-US" w:eastAsia="zh-CN" w:bidi="ar-SA"/>
        </w:rPr>
        <w:t>4.</w:t>
      </w:r>
      <w:r>
        <w:rPr>
          <w:rFonts w:hint="default" w:ascii="Times New Roman" w:hAnsi="Times New Roman" w:eastAsia="仿宋" w:cs="Times New Roman"/>
          <w:kern w:val="2"/>
          <w:sz w:val="32"/>
          <w:szCs w:val="32"/>
          <w:lang w:val="en-US" w:eastAsia="zh-CN" w:bidi="ar-SA"/>
        </w:rPr>
        <w:t>《德阳市罗江区财政局关于开展2024年重点绩效评价工作的通知》</w:t>
      </w:r>
      <w:r>
        <w:rPr>
          <w:rFonts w:hint="default" w:ascii="Times New Roman" w:hAnsi="Times New Roman" w:eastAsia="仿宋_GB2312" w:cs="Times New Roman"/>
          <w:b w:val="0"/>
          <w:bCs w:val="0"/>
          <w:color w:val="000000"/>
          <w:sz w:val="31"/>
          <w:szCs w:val="31"/>
        </w:rPr>
        <w:t>德市罗财绩</w:t>
      </w:r>
      <w:r>
        <w:rPr>
          <w:rFonts w:hint="default" w:ascii="Times New Roman" w:hAnsi="Times New Roman" w:eastAsia="仿宋" w:cs="Times New Roman"/>
          <w:kern w:val="2"/>
          <w:sz w:val="32"/>
          <w:szCs w:val="32"/>
          <w:lang w:val="en-US" w:eastAsia="zh-CN" w:bidi="ar-SA"/>
        </w:rPr>
        <w:t>〔2024〕</w:t>
      </w:r>
      <w:r>
        <w:rPr>
          <w:rFonts w:hint="default" w:ascii="Times New Roman" w:hAnsi="Times New Roman" w:eastAsia="TimesNewRomanPSMT" w:cs="Times New Roman"/>
          <w:b w:val="0"/>
          <w:bCs w:val="0"/>
          <w:color w:val="000000"/>
          <w:sz w:val="31"/>
          <w:szCs w:val="31"/>
        </w:rPr>
        <w:t>5</w:t>
      </w:r>
      <w:r>
        <w:rPr>
          <w:rFonts w:hint="default" w:ascii="Times New Roman" w:hAnsi="Times New Roman" w:eastAsia="仿宋_GB2312" w:cs="Times New Roman"/>
          <w:b w:val="0"/>
          <w:bCs w:val="0"/>
          <w:color w:val="000000"/>
          <w:sz w:val="31"/>
          <w:szCs w:val="31"/>
        </w:rPr>
        <w:t>号</w:t>
      </w:r>
      <w:r>
        <w:rPr>
          <w:rFonts w:hint="default" w:ascii="Times New Roman" w:hAnsi="Times New Roman" w:cs="Times New Roman"/>
          <w:b w:val="0"/>
          <w:bCs w:val="0"/>
          <w:color w:val="000000"/>
          <w:sz w:val="31"/>
          <w:szCs w:val="31"/>
          <w:lang w:eastAsia="zh-CN"/>
        </w:rPr>
        <w:t>）</w:t>
      </w:r>
    </w:p>
    <w:p w14:paraId="224A7C3A">
      <w:pPr>
        <w:pStyle w:val="5"/>
        <w:keepNext w:val="0"/>
        <w:keepLines w:val="0"/>
        <w:spacing w:line="560" w:lineRule="exact"/>
        <w:ind w:firstLine="643"/>
        <w:rPr>
          <w:rFonts w:hint="default" w:ascii="Times New Roman" w:hAnsi="Times New Roman" w:cs="Times New Roman"/>
        </w:rPr>
      </w:pPr>
      <w:bookmarkStart w:id="26" w:name="_Toc23267"/>
      <w:r>
        <w:rPr>
          <w:rFonts w:hint="default" w:ascii="Times New Roman" w:hAnsi="Times New Roman" w:cs="Times New Roman"/>
          <w:lang w:eastAsia="zh-CN"/>
        </w:rPr>
        <w:t>（</w:t>
      </w:r>
      <w:r>
        <w:rPr>
          <w:rFonts w:hint="default" w:ascii="Times New Roman" w:hAnsi="Times New Roman" w:cs="Times New Roman"/>
        </w:rPr>
        <w:t>三）立项依据与资金文件</w:t>
      </w:r>
      <w:bookmarkEnd w:id="25"/>
      <w:bookmarkEnd w:id="26"/>
    </w:p>
    <w:p w14:paraId="2FEE9115">
      <w:pPr>
        <w:pStyle w:val="2"/>
        <w:rPr>
          <w:rFonts w:hint="default" w:ascii="Times New Roman" w:hAnsi="Times New Roman" w:eastAsia="仿宋" w:cs="Times New Roman"/>
          <w:kern w:val="2"/>
          <w:sz w:val="32"/>
          <w:szCs w:val="32"/>
          <w:lang w:val="en-US" w:eastAsia="zh-CN" w:bidi="ar-SA"/>
        </w:rPr>
      </w:pPr>
      <w:bookmarkStart w:id="27" w:name="_Toc86224142"/>
      <w:r>
        <w:rPr>
          <w:rFonts w:hint="default" w:ascii="Times New Roman" w:hAnsi="Times New Roman" w:cs="Times New Roman"/>
          <w:szCs w:val="32"/>
        </w:rPr>
        <w:t>1.</w:t>
      </w:r>
      <w:r>
        <w:rPr>
          <w:rFonts w:hint="default" w:ascii="Times New Roman" w:hAnsi="Times New Roman" w:eastAsia="仿宋" w:cs="Times New Roman"/>
          <w:kern w:val="2"/>
          <w:sz w:val="32"/>
          <w:szCs w:val="32"/>
          <w:lang w:val="en-US" w:eastAsia="zh-CN" w:bidi="ar-SA"/>
        </w:rPr>
        <w:t>《德阳市罗江区财政局关于批复2023年部门预算的通知》</w:t>
      </w:r>
      <w:r>
        <w:rPr>
          <w:rFonts w:hint="default" w:ascii="Times New Roman" w:hAnsi="Times New Roman"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德市罗财预〔2023〕1号）。</w:t>
      </w:r>
    </w:p>
    <w:p w14:paraId="6B6F26D2">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2.《支持商贸服务业促消费、育增量工作方案》的通知</w:t>
      </w:r>
      <w:r>
        <w:rPr>
          <w:rFonts w:hint="default" w:ascii="Times New Roman" w:hAnsi="Times New Roman" w:cs="Times New Roman"/>
          <w:szCs w:val="32"/>
          <w:lang w:eastAsia="zh-CN"/>
        </w:rPr>
        <w:t>（德市罗商经</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eastAsia="zh-CN"/>
        </w:rPr>
        <w:t>32号）</w:t>
      </w:r>
      <w:r>
        <w:rPr>
          <w:rFonts w:hint="default" w:ascii="Times New Roman" w:hAnsi="Times New Roman" w:cs="Times New Roman"/>
          <w:szCs w:val="32"/>
        </w:rPr>
        <w:t>。</w:t>
      </w:r>
    </w:p>
    <w:p w14:paraId="7FA49BB0">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3.</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德阳市罗江区商务和经济合作局关于加强招商引资专项资金和工作经费管理使用的通知》</w:t>
      </w:r>
      <w:r>
        <w:rPr>
          <w:rFonts w:hint="default" w:ascii="Times New Roman" w:hAnsi="Times New Roman" w:cs="Times New Roman"/>
          <w:szCs w:val="32"/>
        </w:rPr>
        <w:t>。</w:t>
      </w:r>
    </w:p>
    <w:bookmarkEnd w:id="27"/>
    <w:p w14:paraId="03B1E368">
      <w:pPr>
        <w:pStyle w:val="3"/>
        <w:keepNext w:val="0"/>
        <w:keepLines w:val="0"/>
        <w:spacing w:beforeLines="0" w:afterLines="0" w:line="560" w:lineRule="exact"/>
        <w:ind w:firstLine="640"/>
        <w:rPr>
          <w:rFonts w:hint="default" w:ascii="Times New Roman" w:hAnsi="Times New Roman" w:cs="Times New Roman"/>
          <w:b/>
          <w:bCs/>
        </w:rPr>
      </w:pPr>
      <w:bookmarkStart w:id="28" w:name="_Toc86224143"/>
      <w:bookmarkStart w:id="29" w:name="_Toc3938"/>
      <w:r>
        <w:rPr>
          <w:rFonts w:hint="default" w:ascii="Times New Roman" w:hAnsi="Times New Roman" w:cs="Times New Roman"/>
          <w:b/>
          <w:bCs/>
        </w:rPr>
        <w:t>三、总体评价</w:t>
      </w:r>
      <w:bookmarkEnd w:id="28"/>
      <w:bookmarkEnd w:id="29"/>
    </w:p>
    <w:p w14:paraId="365F68DE">
      <w:pPr>
        <w:pStyle w:val="5"/>
        <w:keepNext w:val="0"/>
        <w:keepLines w:val="0"/>
        <w:spacing w:line="560" w:lineRule="exact"/>
        <w:ind w:firstLine="643"/>
        <w:rPr>
          <w:rFonts w:hint="default" w:ascii="Times New Roman" w:hAnsi="Times New Roman" w:cs="Times New Roman"/>
        </w:rPr>
      </w:pPr>
      <w:bookmarkStart w:id="30" w:name="_Toc23797"/>
      <w:bookmarkStart w:id="31" w:name="_Toc81550679"/>
      <w:bookmarkStart w:id="32" w:name="_Toc86224144"/>
      <w:r>
        <w:rPr>
          <w:rFonts w:hint="default" w:ascii="Times New Roman" w:hAnsi="Times New Roman" w:cs="Times New Roman"/>
          <w:lang w:eastAsia="zh-CN"/>
        </w:rPr>
        <w:t>（</w:t>
      </w:r>
      <w:r>
        <w:rPr>
          <w:rFonts w:hint="default" w:ascii="Times New Roman" w:hAnsi="Times New Roman" w:cs="Times New Roman"/>
        </w:rPr>
        <w:t>一）主要绩效</w:t>
      </w:r>
      <w:bookmarkEnd w:id="30"/>
      <w:bookmarkEnd w:id="31"/>
      <w:bookmarkEnd w:id="32"/>
    </w:p>
    <w:p w14:paraId="22783342">
      <w:pPr>
        <w:bidi w:val="0"/>
        <w:rPr>
          <w:rFonts w:hint="default" w:ascii="Times New Roman" w:hAnsi="Times New Roman" w:cs="Times New Roman"/>
        </w:rPr>
      </w:pPr>
      <w:r>
        <w:rPr>
          <w:rFonts w:hint="default" w:ascii="Times New Roman" w:hAnsi="Times New Roman" w:cs="Times New Roman"/>
          <w:lang w:eastAsia="zh-CN"/>
        </w:rPr>
        <w:t>服务业、电子商务、商贸企业等发展专项资金</w:t>
      </w:r>
      <w:r>
        <w:rPr>
          <w:rFonts w:hint="default" w:ascii="Times New Roman" w:hAnsi="Times New Roman" w:cs="Times New Roman"/>
        </w:rPr>
        <w:t>项目由</w:t>
      </w:r>
      <w:r>
        <w:rPr>
          <w:rFonts w:hint="default" w:ascii="Times New Roman" w:hAnsi="Times New Roman" w:cs="Times New Roman"/>
          <w:lang w:val="en-US" w:eastAsia="zh-CN"/>
        </w:rPr>
        <w:t>区</w:t>
      </w:r>
      <w:r>
        <w:rPr>
          <w:rFonts w:hint="default" w:ascii="Times New Roman" w:hAnsi="Times New Roman" w:cs="Times New Roman"/>
        </w:rPr>
        <w:t>级部门组织申报与分配，</w:t>
      </w:r>
      <w:r>
        <w:rPr>
          <w:rFonts w:hint="default" w:ascii="Times New Roman" w:hAnsi="Times New Roman" w:cs="Times New Roman"/>
          <w:lang w:eastAsia="zh-CN"/>
        </w:rPr>
        <w:t>商务和经济合作局</w:t>
      </w:r>
      <w:r>
        <w:rPr>
          <w:rFonts w:hint="default" w:ascii="Times New Roman" w:hAnsi="Times New Roman" w:cs="Times New Roman"/>
        </w:rPr>
        <w:t>作为区级主管部门，负责对申报项目进行初审并上报，争取</w:t>
      </w:r>
      <w:r>
        <w:rPr>
          <w:rFonts w:hint="default" w:ascii="Times New Roman" w:hAnsi="Times New Roman" w:cs="Times New Roman"/>
          <w:lang w:val="en-US" w:eastAsia="zh-CN"/>
        </w:rPr>
        <w:t>区</w:t>
      </w:r>
      <w:r>
        <w:rPr>
          <w:rFonts w:hint="default" w:ascii="Times New Roman" w:hAnsi="Times New Roman" w:cs="Times New Roman"/>
        </w:rPr>
        <w:t>级资金</w:t>
      </w:r>
      <w:r>
        <w:rPr>
          <w:rFonts w:hint="default" w:ascii="Times New Roman" w:hAnsi="Times New Roman" w:cs="Times New Roman"/>
          <w:lang w:val="en-US" w:eastAsia="zh-CN"/>
        </w:rPr>
        <w:t>100</w:t>
      </w:r>
      <w:r>
        <w:rPr>
          <w:rFonts w:hint="default" w:ascii="Times New Roman" w:hAnsi="Times New Roman" w:cs="Times New Roman"/>
        </w:rPr>
        <w:t>万元。项目立项依据充分，绩效目标基本明确，资金使用较为规范</w:t>
      </w:r>
      <w:bookmarkStart w:id="33" w:name="_Hlk82541056"/>
      <w:r>
        <w:rPr>
          <w:rFonts w:hint="default" w:ascii="Times New Roman" w:hAnsi="Times New Roman" w:cs="Times New Roman"/>
        </w:rPr>
        <w:t>。</w:t>
      </w:r>
      <w:bookmarkEnd w:id="33"/>
      <w:bookmarkStart w:id="34" w:name="_Toc79394811"/>
      <w:bookmarkStart w:id="35" w:name="_Toc86224145"/>
      <w:bookmarkStart w:id="36" w:name="_Toc81550680"/>
      <w:r>
        <w:rPr>
          <w:rFonts w:hint="default" w:ascii="Times New Roman" w:hAnsi="Times New Roman" w:cs="Times New Roman"/>
          <w:lang w:val="en-US" w:eastAsia="zh-CN"/>
        </w:rPr>
        <w:t>资金主要用于举办促销活动、举办川菜川剧活动及评选活动等。</w:t>
      </w:r>
      <w:r>
        <w:rPr>
          <w:rFonts w:hint="default" w:ascii="Times New Roman" w:hAnsi="Times New Roman" w:cs="Times New Roman"/>
        </w:rPr>
        <w:t>项目实施取得了良好的经济效益</w:t>
      </w:r>
      <w:r>
        <w:rPr>
          <w:rFonts w:hint="default" w:ascii="Times New Roman" w:hAnsi="Times New Roman" w:cs="Times New Roman"/>
          <w:lang w:eastAsia="zh-CN"/>
        </w:rPr>
        <w:t>，</w:t>
      </w:r>
      <w:r>
        <w:rPr>
          <w:rFonts w:hint="default" w:ascii="Times New Roman" w:hAnsi="Times New Roman" w:cs="Times New Roman"/>
          <w:lang w:val="en-US" w:eastAsia="zh-CN"/>
        </w:rPr>
        <w:t>主要表现为促进全区商贸流通领域和服务业经济繁荣稳定增长，</w:t>
      </w:r>
      <w:r>
        <w:rPr>
          <w:rFonts w:hint="default" w:ascii="Times New Roman" w:hAnsi="Times New Roman" w:cs="Times New Roman"/>
        </w:rPr>
        <w:t>产品质量大幅提高，企业竞争力明显提升。</w:t>
      </w:r>
    </w:p>
    <w:p w14:paraId="5A51A788">
      <w:pPr>
        <w:pStyle w:val="5"/>
        <w:keepNext w:val="0"/>
        <w:keepLines w:val="0"/>
        <w:spacing w:line="560" w:lineRule="exact"/>
        <w:ind w:firstLine="643"/>
        <w:rPr>
          <w:rFonts w:hint="default" w:ascii="Times New Roman" w:hAnsi="Times New Roman" w:cs="Times New Roman"/>
        </w:rPr>
      </w:pPr>
      <w:bookmarkStart w:id="37" w:name="_Toc11389"/>
      <w:r>
        <w:rPr>
          <w:rFonts w:hint="default" w:ascii="Times New Roman" w:hAnsi="Times New Roman" w:cs="Times New Roman"/>
          <w:lang w:eastAsia="zh-CN"/>
        </w:rPr>
        <w:t>（</w:t>
      </w:r>
      <w:r>
        <w:rPr>
          <w:rFonts w:hint="default" w:ascii="Times New Roman" w:hAnsi="Times New Roman" w:cs="Times New Roman"/>
        </w:rPr>
        <w:t>二）</w:t>
      </w:r>
      <w:bookmarkEnd w:id="34"/>
      <w:r>
        <w:rPr>
          <w:rFonts w:hint="default" w:ascii="Times New Roman" w:hAnsi="Times New Roman" w:cs="Times New Roman"/>
        </w:rPr>
        <w:t>指标评分结果</w:t>
      </w:r>
      <w:bookmarkEnd w:id="35"/>
      <w:bookmarkEnd w:id="36"/>
      <w:bookmarkEnd w:id="37"/>
    </w:p>
    <w:p w14:paraId="73663E59">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根据《财政支出绩效评价管理暂行办法》财预〔2020〕10号）和《项目支出绩效评价管理办法》财预〔2020〕10号）规定，按照财政项目支出绩效评价共性指标体系框架和评分标准，评价指标体系设置为决策、过程、产出及效益4大类一级指标，11项二级指标和17项三级指标。一级指标权重分别为20%、20%、30%、30%。</w:t>
      </w:r>
    </w:p>
    <w:p w14:paraId="3022D9FE">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经过综合评价与指标评分，“</w:t>
      </w:r>
      <w:r>
        <w:rPr>
          <w:rFonts w:hint="default" w:ascii="Times New Roman" w:hAnsi="Times New Roman" w:cs="Times New Roman"/>
          <w:szCs w:val="32"/>
          <w:lang w:val="en-US" w:eastAsia="zh-CN"/>
        </w:rPr>
        <w:t>罗江区</w:t>
      </w:r>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项目”绩效评价综合得分：</w:t>
      </w:r>
      <w:r>
        <w:rPr>
          <w:rFonts w:hint="default" w:ascii="Times New Roman" w:hAnsi="Times New Roman" w:cs="Times New Roman"/>
          <w:b/>
          <w:bCs/>
          <w:szCs w:val="32"/>
        </w:rPr>
        <w:t>92.50</w:t>
      </w:r>
      <w:r>
        <w:rPr>
          <w:rFonts w:hint="default" w:ascii="Times New Roman" w:hAnsi="Times New Roman" w:cs="Times New Roman"/>
          <w:b/>
          <w:szCs w:val="32"/>
        </w:rPr>
        <w:t>分</w:t>
      </w:r>
      <w:r>
        <w:rPr>
          <w:rFonts w:hint="default" w:ascii="Times New Roman" w:hAnsi="Times New Roman" w:cs="Times New Roman"/>
          <w:szCs w:val="32"/>
        </w:rPr>
        <w:t>。根据级别划分标准，项目评价结果为</w:t>
      </w:r>
      <w:r>
        <w:rPr>
          <w:rFonts w:hint="default" w:ascii="Times New Roman" w:hAnsi="Times New Roman" w:cs="Times New Roman"/>
          <w:b/>
          <w:szCs w:val="32"/>
        </w:rPr>
        <w:t>“优”</w:t>
      </w:r>
      <w:r>
        <w:rPr>
          <w:rFonts w:hint="default" w:ascii="Times New Roman" w:hAnsi="Times New Roman" w:cs="Times New Roman"/>
          <w:szCs w:val="32"/>
        </w:rPr>
        <w:t>。</w:t>
      </w:r>
      <w:bookmarkStart w:id="38" w:name="_Hlk55896026"/>
      <w:r>
        <w:rPr>
          <w:rFonts w:hint="default" w:ascii="Times New Roman" w:hAnsi="Times New Roman" w:cs="Times New Roman"/>
          <w:szCs w:val="32"/>
        </w:rPr>
        <w:t>各项指标设置及得分详细情况如下表所示。</w:t>
      </w:r>
    </w:p>
    <w:p w14:paraId="51680F6D">
      <w:pPr>
        <w:widowControl/>
        <w:spacing w:line="560" w:lineRule="exact"/>
        <w:ind w:firstLine="0" w:firstLineChars="0"/>
        <w:jc w:val="center"/>
        <w:rPr>
          <w:rFonts w:hint="default" w:ascii="Times New Roman" w:hAnsi="Times New Roman" w:eastAsia="楷体" w:cs="Times New Roman"/>
          <w:b/>
          <w:sz w:val="30"/>
          <w:szCs w:val="30"/>
        </w:rPr>
      </w:pPr>
      <w:r>
        <w:rPr>
          <w:rFonts w:hint="default" w:ascii="Times New Roman" w:hAnsi="Times New Roman" w:eastAsia="楷体" w:cs="Times New Roman"/>
          <w:b/>
          <w:sz w:val="30"/>
          <w:szCs w:val="30"/>
        </w:rPr>
        <w:t>表3-1：项目绩效评价指标评分表</w:t>
      </w:r>
    </w:p>
    <w:tbl>
      <w:tblPr>
        <w:tblStyle w:val="66"/>
        <w:tblW w:w="8931"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851"/>
        <w:gridCol w:w="1417"/>
        <w:gridCol w:w="993"/>
        <w:gridCol w:w="1026"/>
        <w:gridCol w:w="2659"/>
        <w:gridCol w:w="992"/>
        <w:gridCol w:w="993"/>
      </w:tblGrid>
      <w:tr w14:paraId="724E8F8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blHeader/>
        </w:trPr>
        <w:tc>
          <w:tcPr>
            <w:tcW w:w="851" w:type="dxa"/>
            <w:vAlign w:val="center"/>
          </w:tcPr>
          <w:p w14:paraId="4B4410E0">
            <w:pPr>
              <w:widowControl/>
              <w:spacing w:line="240" w:lineRule="auto"/>
              <w:ind w:firstLine="0" w:firstLineChars="0"/>
              <w:jc w:val="center"/>
              <w:textAlignment w:val="bottom"/>
              <w:rPr>
                <w:rFonts w:hint="default" w:ascii="Times New Roman" w:hAnsi="Times New Roman" w:cs="Times New Roman"/>
                <w:b/>
                <w:bCs/>
                <w:color w:val="000000"/>
                <w:kern w:val="0"/>
                <w:sz w:val="24"/>
                <w:lang w:bidi="ar"/>
              </w:rPr>
            </w:pPr>
            <w:r>
              <w:rPr>
                <w:rFonts w:hint="default" w:ascii="Times New Roman" w:hAnsi="Times New Roman" w:cs="Times New Roman"/>
                <w:b w:val="0"/>
                <w:bCs/>
                <w:color w:val="000000"/>
                <w:kern w:val="0"/>
                <w:sz w:val="24"/>
                <w:lang w:bidi="ar"/>
              </w:rPr>
              <w:t>一级指标</w:t>
            </w:r>
          </w:p>
        </w:tc>
        <w:tc>
          <w:tcPr>
            <w:tcW w:w="1417" w:type="dxa"/>
            <w:vAlign w:val="center"/>
          </w:tcPr>
          <w:p w14:paraId="3E484945">
            <w:pPr>
              <w:widowControl/>
              <w:spacing w:line="240" w:lineRule="auto"/>
              <w:ind w:firstLine="0" w:firstLineChars="0"/>
              <w:jc w:val="center"/>
              <w:textAlignment w:val="bottom"/>
              <w:rPr>
                <w:rFonts w:hint="default" w:ascii="Times New Roman" w:hAnsi="Times New Roman" w:cs="Times New Roman"/>
                <w:b/>
                <w:bCs/>
                <w:color w:val="000000"/>
                <w:kern w:val="0"/>
                <w:sz w:val="24"/>
                <w:lang w:bidi="ar"/>
              </w:rPr>
            </w:pPr>
            <w:r>
              <w:rPr>
                <w:rFonts w:hint="default" w:ascii="Times New Roman" w:hAnsi="Times New Roman" w:cs="Times New Roman"/>
                <w:b w:val="0"/>
                <w:bCs/>
                <w:color w:val="000000"/>
                <w:kern w:val="0"/>
                <w:sz w:val="24"/>
                <w:lang w:bidi="ar"/>
              </w:rPr>
              <w:t>二级指标</w:t>
            </w:r>
          </w:p>
        </w:tc>
        <w:tc>
          <w:tcPr>
            <w:tcW w:w="993" w:type="dxa"/>
            <w:vAlign w:val="center"/>
          </w:tcPr>
          <w:p w14:paraId="2F4CADBC">
            <w:pPr>
              <w:widowControl/>
              <w:spacing w:line="240" w:lineRule="auto"/>
              <w:ind w:firstLine="0" w:firstLineChars="0"/>
              <w:jc w:val="center"/>
              <w:textAlignment w:val="bottom"/>
              <w:rPr>
                <w:rFonts w:hint="default" w:ascii="Times New Roman" w:hAnsi="Times New Roman" w:cs="Times New Roman"/>
                <w:b/>
                <w:bCs/>
                <w:color w:val="000000"/>
                <w:kern w:val="0"/>
                <w:sz w:val="24"/>
                <w:lang w:bidi="ar"/>
              </w:rPr>
            </w:pPr>
            <w:r>
              <w:rPr>
                <w:rFonts w:hint="default" w:ascii="Times New Roman" w:hAnsi="Times New Roman" w:cs="Times New Roman"/>
                <w:b w:val="0"/>
                <w:bCs/>
                <w:color w:val="000000"/>
                <w:kern w:val="0"/>
                <w:sz w:val="24"/>
                <w:lang w:bidi="ar"/>
              </w:rPr>
              <w:t>标准分值</w:t>
            </w:r>
          </w:p>
        </w:tc>
        <w:tc>
          <w:tcPr>
            <w:tcW w:w="1026" w:type="dxa"/>
            <w:vAlign w:val="center"/>
          </w:tcPr>
          <w:p w14:paraId="7E8C5F29">
            <w:pPr>
              <w:widowControl/>
              <w:spacing w:line="240" w:lineRule="auto"/>
              <w:ind w:firstLine="0" w:firstLineChars="0"/>
              <w:jc w:val="center"/>
              <w:textAlignment w:val="bottom"/>
              <w:rPr>
                <w:rFonts w:hint="default" w:ascii="Times New Roman" w:hAnsi="Times New Roman" w:cs="Times New Roman"/>
                <w:b/>
                <w:bCs/>
                <w:color w:val="000000"/>
                <w:kern w:val="0"/>
                <w:sz w:val="24"/>
                <w:lang w:bidi="ar"/>
              </w:rPr>
            </w:pPr>
            <w:r>
              <w:rPr>
                <w:rFonts w:hint="default" w:ascii="Times New Roman" w:hAnsi="Times New Roman" w:cs="Times New Roman"/>
                <w:b w:val="0"/>
                <w:bCs/>
                <w:color w:val="000000"/>
                <w:kern w:val="0"/>
                <w:sz w:val="24"/>
                <w:lang w:bidi="ar"/>
              </w:rPr>
              <w:t>评价得分</w:t>
            </w:r>
          </w:p>
        </w:tc>
        <w:tc>
          <w:tcPr>
            <w:tcW w:w="2659" w:type="dxa"/>
            <w:vAlign w:val="center"/>
          </w:tcPr>
          <w:p w14:paraId="4881942C">
            <w:pPr>
              <w:widowControl/>
              <w:spacing w:line="240" w:lineRule="auto"/>
              <w:ind w:firstLine="0" w:firstLineChars="0"/>
              <w:jc w:val="center"/>
              <w:textAlignment w:val="bottom"/>
              <w:rPr>
                <w:rFonts w:hint="default" w:ascii="Times New Roman" w:hAnsi="Times New Roman" w:cs="Times New Roman"/>
                <w:b/>
                <w:bCs/>
                <w:color w:val="000000"/>
                <w:kern w:val="0"/>
                <w:sz w:val="24"/>
                <w:lang w:bidi="ar"/>
              </w:rPr>
            </w:pPr>
            <w:r>
              <w:rPr>
                <w:rFonts w:hint="default" w:ascii="Times New Roman" w:hAnsi="Times New Roman" w:cs="Times New Roman"/>
                <w:b w:val="0"/>
                <w:bCs/>
                <w:color w:val="000000"/>
                <w:kern w:val="0"/>
                <w:sz w:val="24"/>
                <w:lang w:bidi="ar"/>
              </w:rPr>
              <w:t>三级指标</w:t>
            </w:r>
          </w:p>
        </w:tc>
        <w:tc>
          <w:tcPr>
            <w:tcW w:w="992" w:type="dxa"/>
            <w:vAlign w:val="center"/>
          </w:tcPr>
          <w:p w14:paraId="7E2E5DE9">
            <w:pPr>
              <w:widowControl/>
              <w:spacing w:line="240" w:lineRule="auto"/>
              <w:ind w:firstLine="0" w:firstLineChars="0"/>
              <w:jc w:val="center"/>
              <w:textAlignment w:val="bottom"/>
              <w:rPr>
                <w:rFonts w:hint="default" w:ascii="Times New Roman" w:hAnsi="Times New Roman" w:cs="Times New Roman"/>
                <w:b/>
                <w:bCs/>
                <w:color w:val="000000"/>
                <w:kern w:val="0"/>
                <w:sz w:val="24"/>
                <w:lang w:bidi="ar"/>
              </w:rPr>
            </w:pPr>
            <w:r>
              <w:rPr>
                <w:rFonts w:hint="default" w:ascii="Times New Roman" w:hAnsi="Times New Roman" w:cs="Times New Roman"/>
                <w:b w:val="0"/>
                <w:bCs/>
                <w:color w:val="000000"/>
                <w:kern w:val="0"/>
                <w:sz w:val="24"/>
                <w:lang w:bidi="ar"/>
              </w:rPr>
              <w:t>标准分值</w:t>
            </w:r>
          </w:p>
        </w:tc>
        <w:tc>
          <w:tcPr>
            <w:tcW w:w="993" w:type="dxa"/>
            <w:vAlign w:val="center"/>
          </w:tcPr>
          <w:p w14:paraId="7F34D122">
            <w:pPr>
              <w:widowControl/>
              <w:spacing w:line="240" w:lineRule="auto"/>
              <w:ind w:firstLine="0" w:firstLineChars="0"/>
              <w:jc w:val="center"/>
              <w:textAlignment w:val="bottom"/>
              <w:rPr>
                <w:rFonts w:hint="default" w:ascii="Times New Roman" w:hAnsi="Times New Roman" w:cs="Times New Roman"/>
                <w:b/>
                <w:bCs/>
                <w:color w:val="000000"/>
                <w:kern w:val="0"/>
                <w:sz w:val="24"/>
                <w:lang w:bidi="ar"/>
              </w:rPr>
            </w:pPr>
            <w:r>
              <w:rPr>
                <w:rFonts w:hint="default" w:ascii="Times New Roman" w:hAnsi="Times New Roman" w:cs="Times New Roman"/>
                <w:b w:val="0"/>
                <w:bCs/>
                <w:color w:val="000000"/>
                <w:kern w:val="0"/>
                <w:sz w:val="24"/>
                <w:lang w:bidi="ar"/>
              </w:rPr>
              <w:t>评价得分</w:t>
            </w:r>
          </w:p>
        </w:tc>
      </w:tr>
      <w:tr w14:paraId="43807C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5AEE54DA">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决策20分</w:t>
            </w:r>
          </w:p>
        </w:tc>
        <w:tc>
          <w:tcPr>
            <w:tcW w:w="1417" w:type="dxa"/>
            <w:vMerge w:val="restart"/>
            <w:noWrap/>
            <w:vAlign w:val="center"/>
          </w:tcPr>
          <w:p w14:paraId="2631A6F8">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项目立项</w:t>
            </w:r>
          </w:p>
        </w:tc>
        <w:tc>
          <w:tcPr>
            <w:tcW w:w="993" w:type="dxa"/>
            <w:vMerge w:val="restart"/>
            <w:vAlign w:val="center"/>
          </w:tcPr>
          <w:p w14:paraId="11768B4F">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8.00</w:t>
            </w:r>
          </w:p>
        </w:tc>
        <w:tc>
          <w:tcPr>
            <w:tcW w:w="1026" w:type="dxa"/>
            <w:vMerge w:val="restart"/>
            <w:vAlign w:val="center"/>
          </w:tcPr>
          <w:p w14:paraId="1C30DE86">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.00</w:t>
            </w:r>
          </w:p>
        </w:tc>
        <w:tc>
          <w:tcPr>
            <w:tcW w:w="2659" w:type="dxa"/>
            <w:vAlign w:val="center"/>
          </w:tcPr>
          <w:p w14:paraId="26398D74">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1、立项依据充分性</w:t>
            </w:r>
          </w:p>
        </w:tc>
        <w:tc>
          <w:tcPr>
            <w:tcW w:w="992" w:type="dxa"/>
            <w:vAlign w:val="center"/>
          </w:tcPr>
          <w:p w14:paraId="26FA857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4.00</w:t>
            </w:r>
          </w:p>
        </w:tc>
        <w:tc>
          <w:tcPr>
            <w:tcW w:w="993" w:type="dxa"/>
            <w:vAlign w:val="center"/>
          </w:tcPr>
          <w:p w14:paraId="7606E2A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4.00</w:t>
            </w:r>
          </w:p>
        </w:tc>
      </w:tr>
      <w:tr w14:paraId="53A4C38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4E3C7E7C">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continue"/>
            <w:noWrap/>
            <w:vAlign w:val="center"/>
          </w:tcPr>
          <w:p w14:paraId="0D33F8A4">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993" w:type="dxa"/>
            <w:vMerge w:val="continue"/>
            <w:vAlign w:val="center"/>
          </w:tcPr>
          <w:p w14:paraId="4A479BFB">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5AB63D35">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0F6AAC92">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2、立项程序规范性</w:t>
            </w:r>
          </w:p>
        </w:tc>
        <w:tc>
          <w:tcPr>
            <w:tcW w:w="992" w:type="dxa"/>
            <w:vAlign w:val="center"/>
          </w:tcPr>
          <w:p w14:paraId="475C772D">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4.00</w:t>
            </w:r>
          </w:p>
        </w:tc>
        <w:tc>
          <w:tcPr>
            <w:tcW w:w="993" w:type="dxa"/>
            <w:vAlign w:val="center"/>
          </w:tcPr>
          <w:p w14:paraId="0A38B6C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1</w:t>
            </w:r>
            <w:r>
              <w:rPr>
                <w:rFonts w:hint="default" w:ascii="Times New Roman" w:hAnsi="Times New Roman" w:cs="Times New Roman"/>
                <w:color w:val="000000"/>
                <w:kern w:val="0"/>
                <w:sz w:val="24"/>
              </w:rPr>
              <w:t>.00</w:t>
            </w:r>
          </w:p>
        </w:tc>
      </w:tr>
      <w:tr w14:paraId="68A934E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47CF9C3C">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restart"/>
            <w:noWrap/>
            <w:vAlign w:val="center"/>
          </w:tcPr>
          <w:p w14:paraId="04092EAB">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绩效目标</w:t>
            </w:r>
          </w:p>
        </w:tc>
        <w:tc>
          <w:tcPr>
            <w:tcW w:w="993" w:type="dxa"/>
            <w:vMerge w:val="restart"/>
            <w:vAlign w:val="center"/>
          </w:tcPr>
          <w:p w14:paraId="343B2589">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c>
          <w:tcPr>
            <w:tcW w:w="1026" w:type="dxa"/>
            <w:vMerge w:val="restart"/>
            <w:vAlign w:val="center"/>
          </w:tcPr>
          <w:p w14:paraId="1540C28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4.00</w:t>
            </w:r>
          </w:p>
        </w:tc>
        <w:tc>
          <w:tcPr>
            <w:tcW w:w="2659" w:type="dxa"/>
            <w:vAlign w:val="center"/>
          </w:tcPr>
          <w:p w14:paraId="37CB58CC">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3、绩效目标合理性</w:t>
            </w:r>
          </w:p>
        </w:tc>
        <w:tc>
          <w:tcPr>
            <w:tcW w:w="992" w:type="dxa"/>
            <w:vAlign w:val="center"/>
          </w:tcPr>
          <w:p w14:paraId="61A0966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3.00</w:t>
            </w:r>
          </w:p>
        </w:tc>
        <w:tc>
          <w:tcPr>
            <w:tcW w:w="993" w:type="dxa"/>
            <w:vAlign w:val="center"/>
          </w:tcPr>
          <w:p w14:paraId="39F7FFE5">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3.00</w:t>
            </w:r>
          </w:p>
        </w:tc>
      </w:tr>
      <w:tr w14:paraId="775270D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72F4A44D">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continue"/>
            <w:noWrap/>
            <w:vAlign w:val="center"/>
          </w:tcPr>
          <w:p w14:paraId="64C6EE36">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993" w:type="dxa"/>
            <w:vMerge w:val="continue"/>
            <w:vAlign w:val="center"/>
          </w:tcPr>
          <w:p w14:paraId="107570BF">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6843C394">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1D44520C">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4、绩效指标明确性</w:t>
            </w:r>
          </w:p>
        </w:tc>
        <w:tc>
          <w:tcPr>
            <w:tcW w:w="992" w:type="dxa"/>
            <w:vAlign w:val="center"/>
          </w:tcPr>
          <w:p w14:paraId="7E5A50A5">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3.00</w:t>
            </w:r>
          </w:p>
        </w:tc>
        <w:tc>
          <w:tcPr>
            <w:tcW w:w="993" w:type="dxa"/>
            <w:vAlign w:val="center"/>
          </w:tcPr>
          <w:p w14:paraId="21D71B81">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rPr>
              <w:t>1</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lang w:val="en-US" w:eastAsia="zh-CN"/>
              </w:rPr>
              <w:t>00</w:t>
            </w:r>
          </w:p>
        </w:tc>
      </w:tr>
      <w:tr w14:paraId="3C1291D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5FA65152">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restart"/>
            <w:noWrap/>
            <w:vAlign w:val="center"/>
          </w:tcPr>
          <w:p w14:paraId="2AE067AC">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资金投入</w:t>
            </w:r>
          </w:p>
        </w:tc>
        <w:tc>
          <w:tcPr>
            <w:tcW w:w="993" w:type="dxa"/>
            <w:vMerge w:val="restart"/>
            <w:vAlign w:val="center"/>
          </w:tcPr>
          <w:p w14:paraId="4B31FE5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c>
          <w:tcPr>
            <w:tcW w:w="1026" w:type="dxa"/>
            <w:vMerge w:val="restart"/>
            <w:vAlign w:val="center"/>
          </w:tcPr>
          <w:p w14:paraId="03830AA7">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6.00</w:t>
            </w:r>
          </w:p>
        </w:tc>
        <w:tc>
          <w:tcPr>
            <w:tcW w:w="2659" w:type="dxa"/>
            <w:vAlign w:val="center"/>
          </w:tcPr>
          <w:p w14:paraId="3928178A">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5、预算编制科学性</w:t>
            </w:r>
          </w:p>
        </w:tc>
        <w:tc>
          <w:tcPr>
            <w:tcW w:w="992" w:type="dxa"/>
            <w:vAlign w:val="center"/>
          </w:tcPr>
          <w:p w14:paraId="28AB40F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3.00</w:t>
            </w:r>
          </w:p>
        </w:tc>
        <w:tc>
          <w:tcPr>
            <w:tcW w:w="993" w:type="dxa"/>
            <w:vAlign w:val="center"/>
          </w:tcPr>
          <w:p w14:paraId="00C578B1">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3.00</w:t>
            </w:r>
          </w:p>
        </w:tc>
      </w:tr>
      <w:tr w14:paraId="20C75CA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386E8245">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continue"/>
            <w:noWrap/>
            <w:vAlign w:val="center"/>
          </w:tcPr>
          <w:p w14:paraId="12E16E2C">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993" w:type="dxa"/>
            <w:vMerge w:val="continue"/>
            <w:vAlign w:val="center"/>
          </w:tcPr>
          <w:p w14:paraId="62625511">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0577D18B">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7AF1F901">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6、资金分配合理性</w:t>
            </w:r>
          </w:p>
        </w:tc>
        <w:tc>
          <w:tcPr>
            <w:tcW w:w="992" w:type="dxa"/>
            <w:vAlign w:val="center"/>
          </w:tcPr>
          <w:p w14:paraId="5E9E4A48">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3.00</w:t>
            </w:r>
          </w:p>
        </w:tc>
        <w:tc>
          <w:tcPr>
            <w:tcW w:w="993" w:type="dxa"/>
            <w:vAlign w:val="center"/>
          </w:tcPr>
          <w:p w14:paraId="5EF9A83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3.00</w:t>
            </w:r>
          </w:p>
        </w:tc>
      </w:tr>
      <w:tr w14:paraId="313B2CF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5C684086">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过程20分</w:t>
            </w:r>
          </w:p>
        </w:tc>
        <w:tc>
          <w:tcPr>
            <w:tcW w:w="1417" w:type="dxa"/>
            <w:vMerge w:val="restart"/>
            <w:noWrap/>
            <w:vAlign w:val="center"/>
          </w:tcPr>
          <w:p w14:paraId="091014C8">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资金管理</w:t>
            </w:r>
          </w:p>
        </w:tc>
        <w:tc>
          <w:tcPr>
            <w:tcW w:w="993" w:type="dxa"/>
            <w:vMerge w:val="restart"/>
            <w:vAlign w:val="center"/>
          </w:tcPr>
          <w:p w14:paraId="7E270B0A">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8</w:t>
            </w:r>
            <w:r>
              <w:rPr>
                <w:rFonts w:hint="default" w:ascii="Times New Roman" w:hAnsi="Times New Roman" w:cs="Times New Roman"/>
                <w:color w:val="000000"/>
                <w:kern w:val="0"/>
                <w:sz w:val="24"/>
              </w:rPr>
              <w:t>.00</w:t>
            </w:r>
          </w:p>
        </w:tc>
        <w:tc>
          <w:tcPr>
            <w:tcW w:w="1026" w:type="dxa"/>
            <w:vMerge w:val="restart"/>
            <w:vAlign w:val="center"/>
          </w:tcPr>
          <w:p w14:paraId="4E7EC0BF">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8</w:t>
            </w:r>
            <w:r>
              <w:rPr>
                <w:rFonts w:hint="default" w:ascii="Times New Roman" w:hAnsi="Times New Roman" w:cs="Times New Roman"/>
                <w:color w:val="000000"/>
                <w:kern w:val="0"/>
                <w:sz w:val="24"/>
              </w:rPr>
              <w:t>.00</w:t>
            </w:r>
          </w:p>
        </w:tc>
        <w:tc>
          <w:tcPr>
            <w:tcW w:w="2659" w:type="dxa"/>
            <w:vAlign w:val="center"/>
          </w:tcPr>
          <w:p w14:paraId="6147FAD0">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7、资金到位率</w:t>
            </w:r>
          </w:p>
        </w:tc>
        <w:tc>
          <w:tcPr>
            <w:tcW w:w="992" w:type="dxa"/>
            <w:vAlign w:val="center"/>
          </w:tcPr>
          <w:p w14:paraId="7A3E433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.00</w:t>
            </w:r>
          </w:p>
        </w:tc>
        <w:tc>
          <w:tcPr>
            <w:tcW w:w="993" w:type="dxa"/>
            <w:vAlign w:val="center"/>
          </w:tcPr>
          <w:p w14:paraId="6CA30A9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.00</w:t>
            </w:r>
          </w:p>
        </w:tc>
      </w:tr>
      <w:tr w14:paraId="100E678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0D0CB3C2">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continue"/>
            <w:noWrap/>
            <w:vAlign w:val="center"/>
          </w:tcPr>
          <w:p w14:paraId="31C17B91">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993" w:type="dxa"/>
            <w:vMerge w:val="continue"/>
            <w:vAlign w:val="center"/>
          </w:tcPr>
          <w:p w14:paraId="6254668B">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05068600">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62BA4E26">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8、预算执行率</w:t>
            </w:r>
          </w:p>
        </w:tc>
        <w:tc>
          <w:tcPr>
            <w:tcW w:w="992" w:type="dxa"/>
            <w:vAlign w:val="center"/>
          </w:tcPr>
          <w:p w14:paraId="14AF4561">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.00</w:t>
            </w:r>
          </w:p>
        </w:tc>
        <w:tc>
          <w:tcPr>
            <w:tcW w:w="993" w:type="dxa"/>
            <w:vAlign w:val="center"/>
          </w:tcPr>
          <w:p w14:paraId="7843A32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.00</w:t>
            </w:r>
          </w:p>
        </w:tc>
      </w:tr>
      <w:tr w14:paraId="79F8D6D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3A79DFFA">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continue"/>
            <w:noWrap/>
            <w:vAlign w:val="center"/>
          </w:tcPr>
          <w:p w14:paraId="034BD792">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993" w:type="dxa"/>
            <w:vMerge w:val="continue"/>
            <w:vAlign w:val="center"/>
          </w:tcPr>
          <w:p w14:paraId="162034BF">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78047560">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3D49E0AB">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9、资金使用合规性</w:t>
            </w:r>
          </w:p>
        </w:tc>
        <w:tc>
          <w:tcPr>
            <w:tcW w:w="992" w:type="dxa"/>
            <w:vAlign w:val="center"/>
          </w:tcPr>
          <w:p w14:paraId="50AF1F6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4.00</w:t>
            </w:r>
          </w:p>
        </w:tc>
        <w:tc>
          <w:tcPr>
            <w:tcW w:w="993" w:type="dxa"/>
            <w:vAlign w:val="center"/>
          </w:tcPr>
          <w:p w14:paraId="22371D0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4.00</w:t>
            </w:r>
          </w:p>
        </w:tc>
      </w:tr>
      <w:tr w14:paraId="373F59E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03CD1964">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restart"/>
            <w:noWrap/>
            <w:vAlign w:val="center"/>
          </w:tcPr>
          <w:p w14:paraId="0AC2E0FD">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组织实施</w:t>
            </w:r>
          </w:p>
        </w:tc>
        <w:tc>
          <w:tcPr>
            <w:tcW w:w="993" w:type="dxa"/>
            <w:vMerge w:val="restart"/>
            <w:vAlign w:val="center"/>
          </w:tcPr>
          <w:p w14:paraId="6702F9EA">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12</w:t>
            </w:r>
            <w:r>
              <w:rPr>
                <w:rFonts w:hint="default" w:ascii="Times New Roman" w:hAnsi="Times New Roman" w:cs="Times New Roman"/>
                <w:color w:val="000000"/>
                <w:kern w:val="0"/>
                <w:sz w:val="24"/>
              </w:rPr>
              <w:t>.00</w:t>
            </w:r>
          </w:p>
        </w:tc>
        <w:tc>
          <w:tcPr>
            <w:tcW w:w="1026" w:type="dxa"/>
            <w:vMerge w:val="restart"/>
            <w:vAlign w:val="center"/>
          </w:tcPr>
          <w:p w14:paraId="3033387C">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10</w:t>
            </w:r>
            <w:r>
              <w:rPr>
                <w:rFonts w:hint="default" w:ascii="Times New Roman" w:hAnsi="Times New Roman" w:cs="Times New Roman"/>
                <w:color w:val="000000"/>
                <w:kern w:val="0"/>
                <w:sz w:val="24"/>
              </w:rPr>
              <w:t>.00</w:t>
            </w:r>
          </w:p>
        </w:tc>
        <w:tc>
          <w:tcPr>
            <w:tcW w:w="2659" w:type="dxa"/>
            <w:vAlign w:val="center"/>
          </w:tcPr>
          <w:p w14:paraId="4BBC0FC5">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10、管理制度健全性</w:t>
            </w:r>
          </w:p>
        </w:tc>
        <w:tc>
          <w:tcPr>
            <w:tcW w:w="992" w:type="dxa"/>
            <w:vAlign w:val="center"/>
          </w:tcPr>
          <w:p w14:paraId="3A4ACFC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6</w:t>
            </w:r>
            <w:r>
              <w:rPr>
                <w:rFonts w:hint="default" w:ascii="Times New Roman" w:hAnsi="Times New Roman" w:cs="Times New Roman"/>
                <w:color w:val="000000"/>
                <w:kern w:val="0"/>
                <w:sz w:val="24"/>
              </w:rPr>
              <w:t>.00</w:t>
            </w:r>
          </w:p>
        </w:tc>
        <w:tc>
          <w:tcPr>
            <w:tcW w:w="993" w:type="dxa"/>
            <w:vAlign w:val="center"/>
          </w:tcPr>
          <w:p w14:paraId="17CD0823">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6</w:t>
            </w:r>
            <w:r>
              <w:rPr>
                <w:rFonts w:hint="default" w:ascii="Times New Roman" w:hAnsi="Times New Roman" w:cs="Times New Roman"/>
                <w:color w:val="000000"/>
                <w:kern w:val="0"/>
                <w:sz w:val="24"/>
              </w:rPr>
              <w:t>.00</w:t>
            </w:r>
          </w:p>
        </w:tc>
      </w:tr>
      <w:tr w14:paraId="5B012EA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12D3ECA9">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vMerge w:val="continue"/>
            <w:noWrap/>
            <w:vAlign w:val="center"/>
          </w:tcPr>
          <w:p w14:paraId="03460355">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993" w:type="dxa"/>
            <w:vMerge w:val="continue"/>
            <w:vAlign w:val="center"/>
          </w:tcPr>
          <w:p w14:paraId="60478006">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1026" w:type="dxa"/>
            <w:vMerge w:val="continue"/>
            <w:vAlign w:val="center"/>
          </w:tcPr>
          <w:p w14:paraId="39D2EBE3">
            <w:pPr>
              <w:widowControl/>
              <w:spacing w:line="240" w:lineRule="auto"/>
              <w:ind w:firstLine="0" w:firstLineChars="0"/>
              <w:jc w:val="right"/>
              <w:textAlignment w:val="bottom"/>
              <w:rPr>
                <w:rFonts w:hint="default" w:ascii="Times New Roman" w:hAnsi="Times New Roman" w:cs="Times New Roman"/>
                <w:color w:val="000000"/>
                <w:kern w:val="0"/>
                <w:sz w:val="24"/>
              </w:rPr>
            </w:pPr>
          </w:p>
        </w:tc>
        <w:tc>
          <w:tcPr>
            <w:tcW w:w="2659" w:type="dxa"/>
            <w:vAlign w:val="center"/>
          </w:tcPr>
          <w:p w14:paraId="1251985F">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11、制度执行有效性</w:t>
            </w:r>
          </w:p>
        </w:tc>
        <w:tc>
          <w:tcPr>
            <w:tcW w:w="992" w:type="dxa"/>
            <w:vAlign w:val="center"/>
          </w:tcPr>
          <w:p w14:paraId="32DA057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c>
          <w:tcPr>
            <w:tcW w:w="993" w:type="dxa"/>
            <w:vAlign w:val="center"/>
          </w:tcPr>
          <w:p w14:paraId="15B49FBF">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4</w:t>
            </w:r>
            <w:r>
              <w:rPr>
                <w:rFonts w:hint="default" w:ascii="Times New Roman" w:hAnsi="Times New Roman" w:cs="Times New Roman"/>
                <w:color w:val="000000"/>
                <w:kern w:val="0"/>
                <w:sz w:val="24"/>
              </w:rPr>
              <w:t>.00</w:t>
            </w:r>
          </w:p>
        </w:tc>
      </w:tr>
      <w:tr w14:paraId="68AABA9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7B13090C">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产出30分</w:t>
            </w:r>
          </w:p>
        </w:tc>
        <w:tc>
          <w:tcPr>
            <w:tcW w:w="1417" w:type="dxa"/>
            <w:noWrap/>
            <w:vAlign w:val="center"/>
          </w:tcPr>
          <w:p w14:paraId="26B398FF">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产出数量</w:t>
            </w:r>
          </w:p>
        </w:tc>
        <w:tc>
          <w:tcPr>
            <w:tcW w:w="993" w:type="dxa"/>
            <w:vAlign w:val="center"/>
          </w:tcPr>
          <w:p w14:paraId="175BCBD3">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9.00</w:t>
            </w:r>
          </w:p>
        </w:tc>
        <w:tc>
          <w:tcPr>
            <w:tcW w:w="1026" w:type="dxa"/>
            <w:vAlign w:val="center"/>
          </w:tcPr>
          <w:p w14:paraId="61E27E17">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9.00</w:t>
            </w:r>
          </w:p>
        </w:tc>
        <w:tc>
          <w:tcPr>
            <w:tcW w:w="2659" w:type="dxa"/>
            <w:vAlign w:val="center"/>
          </w:tcPr>
          <w:p w14:paraId="43C57221">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12、实际完成率</w:t>
            </w:r>
          </w:p>
        </w:tc>
        <w:tc>
          <w:tcPr>
            <w:tcW w:w="992" w:type="dxa"/>
            <w:vAlign w:val="center"/>
          </w:tcPr>
          <w:p w14:paraId="5C42EE8A">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9.00</w:t>
            </w:r>
          </w:p>
        </w:tc>
        <w:tc>
          <w:tcPr>
            <w:tcW w:w="993" w:type="dxa"/>
            <w:vAlign w:val="center"/>
          </w:tcPr>
          <w:p w14:paraId="220FDE3F">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9.00</w:t>
            </w:r>
          </w:p>
        </w:tc>
      </w:tr>
      <w:tr w14:paraId="28DC712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1622ED9D">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noWrap/>
            <w:vAlign w:val="center"/>
          </w:tcPr>
          <w:p w14:paraId="61925762">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产出质量</w:t>
            </w:r>
          </w:p>
        </w:tc>
        <w:tc>
          <w:tcPr>
            <w:tcW w:w="993" w:type="dxa"/>
            <w:vAlign w:val="center"/>
          </w:tcPr>
          <w:p w14:paraId="05088311">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9.00</w:t>
            </w:r>
          </w:p>
        </w:tc>
        <w:tc>
          <w:tcPr>
            <w:tcW w:w="1026" w:type="dxa"/>
            <w:vAlign w:val="center"/>
          </w:tcPr>
          <w:p w14:paraId="0DA52737">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9</w:t>
            </w:r>
            <w:r>
              <w:rPr>
                <w:rFonts w:hint="default" w:ascii="Times New Roman" w:hAnsi="Times New Roman" w:cs="Times New Roman"/>
                <w:color w:val="000000"/>
                <w:kern w:val="0"/>
                <w:sz w:val="24"/>
              </w:rPr>
              <w:t>.00</w:t>
            </w:r>
          </w:p>
        </w:tc>
        <w:tc>
          <w:tcPr>
            <w:tcW w:w="2659" w:type="dxa"/>
            <w:vAlign w:val="center"/>
          </w:tcPr>
          <w:p w14:paraId="708D6E3A">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13、质量达标率</w:t>
            </w:r>
          </w:p>
        </w:tc>
        <w:tc>
          <w:tcPr>
            <w:tcW w:w="992" w:type="dxa"/>
            <w:vAlign w:val="center"/>
          </w:tcPr>
          <w:p w14:paraId="0A3CE19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9.00</w:t>
            </w:r>
          </w:p>
        </w:tc>
        <w:tc>
          <w:tcPr>
            <w:tcW w:w="993" w:type="dxa"/>
            <w:vAlign w:val="center"/>
          </w:tcPr>
          <w:p w14:paraId="3B43C24F">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lang w:val="en-US" w:eastAsia="zh-CN"/>
              </w:rPr>
              <w:t>9</w:t>
            </w:r>
            <w:r>
              <w:rPr>
                <w:rFonts w:hint="default" w:ascii="Times New Roman" w:hAnsi="Times New Roman" w:cs="Times New Roman"/>
                <w:color w:val="000000"/>
                <w:kern w:val="0"/>
                <w:sz w:val="24"/>
              </w:rPr>
              <w:t>.00</w:t>
            </w:r>
          </w:p>
        </w:tc>
      </w:tr>
      <w:tr w14:paraId="77F29FC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01A70346">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noWrap/>
            <w:vAlign w:val="center"/>
          </w:tcPr>
          <w:p w14:paraId="5C077651">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产出时效</w:t>
            </w:r>
          </w:p>
        </w:tc>
        <w:tc>
          <w:tcPr>
            <w:tcW w:w="993" w:type="dxa"/>
            <w:vAlign w:val="center"/>
          </w:tcPr>
          <w:p w14:paraId="022347D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c>
          <w:tcPr>
            <w:tcW w:w="1026" w:type="dxa"/>
            <w:vAlign w:val="center"/>
          </w:tcPr>
          <w:p w14:paraId="17E5B51C">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6.00</w:t>
            </w:r>
          </w:p>
        </w:tc>
        <w:tc>
          <w:tcPr>
            <w:tcW w:w="2659" w:type="dxa"/>
            <w:vAlign w:val="center"/>
          </w:tcPr>
          <w:p w14:paraId="13E04AD5">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14、完成及时率</w:t>
            </w:r>
          </w:p>
        </w:tc>
        <w:tc>
          <w:tcPr>
            <w:tcW w:w="992" w:type="dxa"/>
            <w:vAlign w:val="center"/>
          </w:tcPr>
          <w:p w14:paraId="754D0A53">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c>
          <w:tcPr>
            <w:tcW w:w="993" w:type="dxa"/>
            <w:vAlign w:val="center"/>
          </w:tcPr>
          <w:p w14:paraId="0D724F71">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r>
      <w:tr w14:paraId="176990E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6E0DF5DD">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noWrap/>
            <w:vAlign w:val="center"/>
          </w:tcPr>
          <w:p w14:paraId="17C93A49">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产出成本</w:t>
            </w:r>
          </w:p>
        </w:tc>
        <w:tc>
          <w:tcPr>
            <w:tcW w:w="993" w:type="dxa"/>
            <w:vAlign w:val="center"/>
          </w:tcPr>
          <w:p w14:paraId="2239B10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c>
          <w:tcPr>
            <w:tcW w:w="1026" w:type="dxa"/>
            <w:vAlign w:val="center"/>
          </w:tcPr>
          <w:p w14:paraId="51E88EDD">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6.00</w:t>
            </w:r>
          </w:p>
        </w:tc>
        <w:tc>
          <w:tcPr>
            <w:tcW w:w="2659" w:type="dxa"/>
            <w:vAlign w:val="center"/>
          </w:tcPr>
          <w:p w14:paraId="725B3C3A">
            <w:pPr>
              <w:widowControl/>
              <w:spacing w:line="240" w:lineRule="auto"/>
              <w:ind w:firstLine="0" w:firstLineChars="0"/>
              <w:jc w:val="lef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15、</w:t>
            </w:r>
            <w:r>
              <w:rPr>
                <w:rFonts w:hint="default" w:ascii="Times New Roman" w:hAnsi="Times New Roman" w:cs="Times New Roman"/>
                <w:color w:val="000000"/>
                <w:kern w:val="0"/>
                <w:sz w:val="24"/>
                <w:lang w:eastAsia="zh-CN"/>
              </w:rPr>
              <w:t>成本偏离度</w:t>
            </w:r>
          </w:p>
        </w:tc>
        <w:tc>
          <w:tcPr>
            <w:tcW w:w="992" w:type="dxa"/>
            <w:vAlign w:val="center"/>
          </w:tcPr>
          <w:p w14:paraId="2C364585">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c>
          <w:tcPr>
            <w:tcW w:w="993" w:type="dxa"/>
            <w:vAlign w:val="center"/>
          </w:tcPr>
          <w:p w14:paraId="7DD89F99">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6.00</w:t>
            </w:r>
          </w:p>
        </w:tc>
      </w:tr>
      <w:tr w14:paraId="163CEB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noWrap/>
            <w:vAlign w:val="center"/>
          </w:tcPr>
          <w:p w14:paraId="1175CF53">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效益30分</w:t>
            </w:r>
          </w:p>
        </w:tc>
        <w:tc>
          <w:tcPr>
            <w:tcW w:w="1417" w:type="dxa"/>
            <w:noWrap/>
            <w:vAlign w:val="center"/>
          </w:tcPr>
          <w:p w14:paraId="78094836">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实施效益</w:t>
            </w:r>
          </w:p>
        </w:tc>
        <w:tc>
          <w:tcPr>
            <w:tcW w:w="993" w:type="dxa"/>
            <w:vAlign w:val="center"/>
          </w:tcPr>
          <w:p w14:paraId="0356EAE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20.00</w:t>
            </w:r>
          </w:p>
        </w:tc>
        <w:tc>
          <w:tcPr>
            <w:tcW w:w="1026" w:type="dxa"/>
            <w:vAlign w:val="center"/>
          </w:tcPr>
          <w:p w14:paraId="5A11A9A1">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20</w:t>
            </w:r>
            <w:r>
              <w:rPr>
                <w:rFonts w:hint="default" w:ascii="Times New Roman" w:hAnsi="Times New Roman" w:cs="Times New Roman"/>
                <w:color w:val="000000"/>
                <w:kern w:val="0"/>
                <w:sz w:val="24"/>
              </w:rPr>
              <w:t>.00</w:t>
            </w:r>
          </w:p>
        </w:tc>
        <w:tc>
          <w:tcPr>
            <w:tcW w:w="2659" w:type="dxa"/>
            <w:vAlign w:val="center"/>
          </w:tcPr>
          <w:p w14:paraId="01C7C0EC">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16、社会效益</w:t>
            </w:r>
          </w:p>
        </w:tc>
        <w:tc>
          <w:tcPr>
            <w:tcW w:w="992" w:type="dxa"/>
            <w:noWrap/>
            <w:vAlign w:val="center"/>
          </w:tcPr>
          <w:p w14:paraId="75177C1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20.00</w:t>
            </w:r>
          </w:p>
        </w:tc>
        <w:tc>
          <w:tcPr>
            <w:tcW w:w="993" w:type="dxa"/>
            <w:vAlign w:val="center"/>
          </w:tcPr>
          <w:p w14:paraId="1390BDC1">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20</w:t>
            </w:r>
            <w:r>
              <w:rPr>
                <w:rFonts w:hint="default" w:ascii="Times New Roman" w:hAnsi="Times New Roman" w:cs="Times New Roman"/>
                <w:color w:val="000000"/>
                <w:kern w:val="0"/>
                <w:sz w:val="24"/>
              </w:rPr>
              <w:t>.00</w:t>
            </w:r>
          </w:p>
        </w:tc>
      </w:tr>
      <w:tr w14:paraId="6023A09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noWrap/>
            <w:vAlign w:val="center"/>
          </w:tcPr>
          <w:p w14:paraId="57789AD0">
            <w:pPr>
              <w:widowControl/>
              <w:spacing w:line="240" w:lineRule="auto"/>
              <w:ind w:firstLine="0" w:firstLineChars="0"/>
              <w:jc w:val="center"/>
              <w:textAlignment w:val="bottom"/>
              <w:rPr>
                <w:rFonts w:hint="default" w:ascii="Times New Roman" w:hAnsi="Times New Roman" w:cs="Times New Roman"/>
                <w:color w:val="000000"/>
                <w:kern w:val="0"/>
                <w:sz w:val="24"/>
              </w:rPr>
            </w:pPr>
          </w:p>
        </w:tc>
        <w:tc>
          <w:tcPr>
            <w:tcW w:w="1417" w:type="dxa"/>
            <w:noWrap/>
            <w:vAlign w:val="center"/>
          </w:tcPr>
          <w:p w14:paraId="29EFAAC2">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满意度</w:t>
            </w:r>
          </w:p>
        </w:tc>
        <w:tc>
          <w:tcPr>
            <w:tcW w:w="993" w:type="dxa"/>
            <w:vAlign w:val="center"/>
          </w:tcPr>
          <w:p w14:paraId="18FC39FB">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10.00</w:t>
            </w:r>
          </w:p>
        </w:tc>
        <w:tc>
          <w:tcPr>
            <w:tcW w:w="1026" w:type="dxa"/>
            <w:vAlign w:val="center"/>
          </w:tcPr>
          <w:p w14:paraId="16FF3DAF">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9.75</w:t>
            </w:r>
          </w:p>
        </w:tc>
        <w:tc>
          <w:tcPr>
            <w:tcW w:w="2659" w:type="dxa"/>
            <w:vAlign w:val="center"/>
          </w:tcPr>
          <w:p w14:paraId="23AB9881">
            <w:pPr>
              <w:widowControl/>
              <w:spacing w:line="240" w:lineRule="auto"/>
              <w:ind w:firstLine="0" w:firstLineChars="0"/>
              <w:jc w:val="lef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17、服务对象满意度</w:t>
            </w:r>
          </w:p>
        </w:tc>
        <w:tc>
          <w:tcPr>
            <w:tcW w:w="992" w:type="dxa"/>
            <w:vAlign w:val="center"/>
          </w:tcPr>
          <w:p w14:paraId="1744687B">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10.00</w:t>
            </w:r>
          </w:p>
        </w:tc>
        <w:tc>
          <w:tcPr>
            <w:tcW w:w="993" w:type="dxa"/>
            <w:vAlign w:val="center"/>
          </w:tcPr>
          <w:p w14:paraId="358EA9E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lang w:val="en-US" w:eastAsia="zh-CN"/>
              </w:rPr>
              <w:t>9.75</w:t>
            </w:r>
          </w:p>
        </w:tc>
      </w:tr>
      <w:tr w14:paraId="0CCDB3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2268" w:type="dxa"/>
            <w:gridSpan w:val="2"/>
            <w:noWrap/>
            <w:vAlign w:val="center"/>
          </w:tcPr>
          <w:p w14:paraId="3030BAB1">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合计</w:t>
            </w:r>
          </w:p>
        </w:tc>
        <w:tc>
          <w:tcPr>
            <w:tcW w:w="993" w:type="dxa"/>
            <w:noWrap/>
            <w:vAlign w:val="center"/>
          </w:tcPr>
          <w:p w14:paraId="64B01FD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100.00</w:t>
            </w:r>
          </w:p>
        </w:tc>
        <w:tc>
          <w:tcPr>
            <w:tcW w:w="1026" w:type="dxa"/>
            <w:noWrap/>
            <w:vAlign w:val="center"/>
          </w:tcPr>
          <w:p w14:paraId="0DB15CFC">
            <w:pPr>
              <w:widowControl/>
              <w:spacing w:line="240" w:lineRule="auto"/>
              <w:ind w:firstLine="0" w:firstLineChars="0"/>
              <w:jc w:val="right"/>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92.50</w:t>
            </w:r>
          </w:p>
        </w:tc>
        <w:tc>
          <w:tcPr>
            <w:tcW w:w="2659" w:type="dxa"/>
            <w:noWrap/>
            <w:vAlign w:val="center"/>
          </w:tcPr>
          <w:p w14:paraId="42D6A0EF">
            <w:pPr>
              <w:widowControl/>
              <w:spacing w:line="240" w:lineRule="auto"/>
              <w:ind w:firstLine="0" w:firstLineChars="0"/>
              <w:jc w:val="center"/>
              <w:textAlignment w:val="bottom"/>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w:t>
            </w:r>
          </w:p>
        </w:tc>
        <w:tc>
          <w:tcPr>
            <w:tcW w:w="992" w:type="dxa"/>
            <w:noWrap/>
            <w:vAlign w:val="center"/>
          </w:tcPr>
          <w:p w14:paraId="74674E49">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cs="Times New Roman"/>
                <w:color w:val="000000"/>
                <w:kern w:val="0"/>
                <w:sz w:val="24"/>
              </w:rPr>
              <w:t>100.00</w:t>
            </w:r>
          </w:p>
        </w:tc>
        <w:tc>
          <w:tcPr>
            <w:tcW w:w="993" w:type="dxa"/>
            <w:noWrap/>
            <w:vAlign w:val="center"/>
          </w:tcPr>
          <w:p w14:paraId="5AE30EDE">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cs="Times New Roman"/>
                <w:color w:val="000000"/>
                <w:kern w:val="0"/>
                <w:sz w:val="24"/>
              </w:rPr>
              <w:t>9</w:t>
            </w:r>
            <w:r>
              <w:rPr>
                <w:rFonts w:hint="default" w:ascii="Times New Roman" w:hAnsi="Times New Roman" w:cs="Times New Roman"/>
                <w:color w:val="000000"/>
                <w:kern w:val="0"/>
                <w:sz w:val="24"/>
                <w:lang w:val="en-US" w:eastAsia="zh-CN"/>
              </w:rPr>
              <w:t>2</w:t>
            </w:r>
            <w:r>
              <w:rPr>
                <w:rFonts w:hint="default" w:ascii="Times New Roman" w:hAnsi="Times New Roman" w:cs="Times New Roman"/>
                <w:color w:val="000000"/>
                <w:kern w:val="0"/>
                <w:sz w:val="24"/>
              </w:rPr>
              <w:t>.</w:t>
            </w:r>
            <w:r>
              <w:rPr>
                <w:rFonts w:hint="default" w:ascii="Times New Roman" w:hAnsi="Times New Roman" w:cs="Times New Roman"/>
                <w:color w:val="000000"/>
                <w:kern w:val="0"/>
                <w:sz w:val="24"/>
                <w:lang w:val="en-US" w:eastAsia="zh-CN"/>
              </w:rPr>
              <w:t>75</w:t>
            </w:r>
          </w:p>
        </w:tc>
      </w:tr>
      <w:bookmarkEnd w:id="38"/>
    </w:tbl>
    <w:p w14:paraId="4B1196B2">
      <w:pPr>
        <w:pStyle w:val="3"/>
        <w:keepNext w:val="0"/>
        <w:keepLines w:val="0"/>
        <w:spacing w:beforeLines="0" w:afterLines="0" w:line="560" w:lineRule="exact"/>
        <w:ind w:firstLine="640"/>
        <w:rPr>
          <w:rFonts w:hint="default" w:ascii="Times New Roman" w:hAnsi="Times New Roman" w:cs="Times New Roman"/>
          <w:b/>
          <w:bCs/>
        </w:rPr>
      </w:pPr>
      <w:bookmarkStart w:id="39" w:name="_Toc86224146"/>
      <w:bookmarkStart w:id="40" w:name="_Toc26832"/>
      <w:r>
        <w:rPr>
          <w:rFonts w:hint="default" w:ascii="Times New Roman" w:hAnsi="Times New Roman" w:cs="Times New Roman"/>
          <w:b/>
          <w:bCs/>
        </w:rPr>
        <w:t>四、评价指标分析</w:t>
      </w:r>
      <w:bookmarkEnd w:id="12"/>
      <w:bookmarkEnd w:id="39"/>
      <w:bookmarkEnd w:id="40"/>
    </w:p>
    <w:p w14:paraId="6B338BEA">
      <w:pPr>
        <w:pStyle w:val="5"/>
        <w:keepNext w:val="0"/>
        <w:keepLines w:val="0"/>
        <w:spacing w:line="560" w:lineRule="exact"/>
        <w:ind w:firstLine="643"/>
        <w:rPr>
          <w:rFonts w:hint="default" w:ascii="Times New Roman" w:hAnsi="Times New Roman" w:cs="Times New Roman"/>
        </w:rPr>
      </w:pPr>
      <w:bookmarkStart w:id="41" w:name="_Toc86224147"/>
      <w:bookmarkStart w:id="42" w:name="_Toc41234176"/>
      <w:bookmarkStart w:id="43" w:name="_Toc30721"/>
      <w:r>
        <w:rPr>
          <w:rFonts w:hint="default" w:ascii="Times New Roman" w:hAnsi="Times New Roman" w:cs="Times New Roman"/>
          <w:lang w:eastAsia="zh-CN"/>
        </w:rPr>
        <w:t>（</w:t>
      </w:r>
      <w:r>
        <w:rPr>
          <w:rFonts w:hint="default" w:ascii="Times New Roman" w:hAnsi="Times New Roman" w:cs="Times New Roman"/>
        </w:rPr>
        <w:t>一）决策类指标</w:t>
      </w:r>
      <w:bookmarkEnd w:id="41"/>
      <w:bookmarkEnd w:id="42"/>
      <w:bookmarkEnd w:id="43"/>
    </w:p>
    <w:p w14:paraId="18E5E546">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主要评价项目立项、绩效目标和资金投入情况。指标赋值20分，综合得分1</w:t>
      </w:r>
      <w:r>
        <w:rPr>
          <w:rFonts w:hint="default" w:ascii="Times New Roman" w:hAnsi="Times New Roman" w:cs="Times New Roman"/>
          <w:szCs w:val="32"/>
          <w:lang w:val="en-US" w:eastAsia="zh-CN"/>
        </w:rPr>
        <w:t>5</w:t>
      </w:r>
      <w:r>
        <w:rPr>
          <w:rFonts w:hint="default" w:ascii="Times New Roman" w:hAnsi="Times New Roman" w:cs="Times New Roman"/>
          <w:szCs w:val="32"/>
        </w:rPr>
        <w:t>分。</w:t>
      </w:r>
    </w:p>
    <w:p w14:paraId="5A40CBD6">
      <w:pPr>
        <w:spacing w:line="560" w:lineRule="exact"/>
        <w:ind w:firstLine="643"/>
        <w:rPr>
          <w:rFonts w:hint="default" w:ascii="Times New Roman" w:hAnsi="Times New Roman" w:cs="Times New Roman"/>
          <w:szCs w:val="32"/>
        </w:rPr>
      </w:pPr>
      <w:r>
        <w:rPr>
          <w:rFonts w:hint="default" w:ascii="Times New Roman" w:hAnsi="Times New Roman" w:cs="Times New Roman"/>
          <w:b/>
          <w:szCs w:val="32"/>
        </w:rPr>
        <w:t>1.项目立项：</w:t>
      </w:r>
      <w:r>
        <w:rPr>
          <w:rFonts w:hint="default" w:ascii="Times New Roman" w:hAnsi="Times New Roman" w:cs="Times New Roman"/>
          <w:bCs/>
          <w:szCs w:val="32"/>
        </w:rPr>
        <w:t>主要评价立项依据充分性和立项程序规范性情况。</w:t>
      </w:r>
      <w:r>
        <w:rPr>
          <w:rFonts w:hint="default" w:ascii="Times New Roman" w:hAnsi="Times New Roman" w:cs="Times New Roman"/>
          <w:szCs w:val="32"/>
        </w:rPr>
        <w:t>指标赋值8</w:t>
      </w:r>
      <w:r>
        <w:rPr>
          <w:rFonts w:hint="default" w:ascii="Times New Roman" w:hAnsi="Times New Roman" w:cs="Times New Roman"/>
          <w:bCs/>
          <w:szCs w:val="32"/>
        </w:rPr>
        <w:t>分，评价得分</w:t>
      </w:r>
      <w:r>
        <w:rPr>
          <w:rFonts w:hint="default" w:ascii="Times New Roman" w:hAnsi="Times New Roman" w:cs="Times New Roman"/>
          <w:bCs/>
          <w:szCs w:val="32"/>
          <w:lang w:val="en-US" w:eastAsia="zh-CN"/>
        </w:rPr>
        <w:t>5</w:t>
      </w:r>
      <w:r>
        <w:rPr>
          <w:rFonts w:hint="default" w:ascii="Times New Roman" w:hAnsi="Times New Roman" w:cs="Times New Roman"/>
          <w:bCs/>
          <w:szCs w:val="32"/>
        </w:rPr>
        <w:t>分。</w:t>
      </w:r>
    </w:p>
    <w:p w14:paraId="7E4EA351">
      <w:pPr>
        <w:spacing w:line="560" w:lineRule="exact"/>
        <w:ind w:firstLine="643"/>
        <w:rPr>
          <w:rFonts w:hint="default" w:ascii="Times New Roman" w:hAnsi="Times New Roman" w:cs="Times New Roman"/>
          <w:szCs w:val="32"/>
        </w:rPr>
      </w:pPr>
      <w:r>
        <w:rPr>
          <w:rFonts w:hint="default" w:ascii="Times New Roman" w:hAnsi="Times New Roman" w:cs="Times New Roman"/>
          <w:b/>
          <w:color w:val="auto"/>
          <w:szCs w:val="32"/>
          <w:lang w:eastAsia="zh-CN"/>
        </w:rPr>
        <w:t>（</w:t>
      </w:r>
      <w:r>
        <w:rPr>
          <w:rFonts w:hint="default" w:ascii="Times New Roman" w:hAnsi="Times New Roman" w:cs="Times New Roman"/>
          <w:b/>
          <w:color w:val="auto"/>
          <w:szCs w:val="32"/>
        </w:rPr>
        <w:t>1）立项依据充分性：</w:t>
      </w:r>
      <w:r>
        <w:rPr>
          <w:rFonts w:hint="default" w:ascii="Times New Roman" w:hAnsi="Times New Roman" w:cs="Times New Roman"/>
          <w:szCs w:val="32"/>
        </w:rPr>
        <w:t>指标赋值4分，得分4分。</w:t>
      </w:r>
    </w:p>
    <w:p w14:paraId="01C02455">
      <w:pPr>
        <w:spacing w:line="560" w:lineRule="exact"/>
        <w:ind w:firstLine="640"/>
        <w:rPr>
          <w:rFonts w:hint="default" w:ascii="Times New Roman" w:hAnsi="Times New Roman" w:cs="Times New Roman"/>
          <w:szCs w:val="32"/>
        </w:rPr>
      </w:pPr>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项目依照申请内容符合文件要求，立项依据充分：</w:t>
      </w:r>
    </w:p>
    <w:p w14:paraId="4365AEC0">
      <w:pPr>
        <w:rPr>
          <w:rFonts w:hint="default" w:ascii="Times New Roman" w:hAnsi="Times New Roman" w:cs="Times New Roman"/>
          <w:highlight w:val="yellow"/>
        </w:rPr>
      </w:pPr>
      <w:r>
        <w:rPr>
          <w:rFonts w:hint="default" w:ascii="Times New Roman" w:hAnsi="Times New Roman" w:cs="Times New Roman"/>
          <w:b/>
          <w:bCs/>
          <w:szCs w:val="32"/>
          <w:lang w:val="en-US" w:eastAsia="zh-CN"/>
        </w:rPr>
        <w:t>一是项目开展与部门职能一致：</w:t>
      </w:r>
      <w:r>
        <w:rPr>
          <w:rFonts w:hint="default" w:ascii="Times New Roman" w:hAnsi="Times New Roman" w:cs="Times New Roman"/>
          <w:b w:val="0"/>
          <w:bCs w:val="0"/>
          <w:szCs w:val="32"/>
          <w:lang w:val="en-US" w:eastAsia="zh-CN"/>
        </w:rPr>
        <w:t>罗江区</w:t>
      </w:r>
      <w:r>
        <w:rPr>
          <w:rFonts w:hint="default" w:ascii="Times New Roman" w:hAnsi="Times New Roman" w:cs="Times New Roman"/>
          <w:lang w:eastAsia="zh-CN"/>
        </w:rPr>
        <w:t>商务和经济合作局</w:t>
      </w:r>
      <w:r>
        <w:rPr>
          <w:rFonts w:hint="default" w:ascii="Times New Roman" w:hAnsi="Times New Roman" w:cs="Times New Roman"/>
        </w:rPr>
        <w:t>负责贯彻落实国家、省、市有关国内外贸易的</w:t>
      </w:r>
      <w:r>
        <w:rPr>
          <w:rFonts w:hint="default" w:ascii="Times New Roman" w:hAnsi="Times New Roman" w:cs="Times New Roman"/>
          <w:lang w:eastAsia="zh-CN"/>
        </w:rPr>
        <w:t>法律法规</w:t>
      </w:r>
      <w:r>
        <w:rPr>
          <w:rFonts w:hint="default" w:ascii="Times New Roman" w:hAnsi="Times New Roman" w:cs="Times New Roman"/>
        </w:rPr>
        <w:t>和方针、政策；拟订全区国内外贸易、会展经济</w:t>
      </w:r>
      <w:r>
        <w:rPr>
          <w:rFonts w:hint="default" w:ascii="Times New Roman" w:hAnsi="Times New Roman" w:cs="Times New Roman"/>
          <w:lang w:eastAsia="zh-CN"/>
        </w:rPr>
        <w:t>的</w:t>
      </w:r>
      <w:r>
        <w:rPr>
          <w:rFonts w:hint="default" w:ascii="Times New Roman" w:hAnsi="Times New Roman" w:cs="Times New Roman"/>
          <w:lang w:val="en-US" w:eastAsia="zh-CN"/>
        </w:rPr>
        <w:t>文件</w:t>
      </w:r>
      <w:r>
        <w:rPr>
          <w:rFonts w:hint="default" w:ascii="Times New Roman" w:hAnsi="Times New Roman" w:cs="Times New Roman"/>
        </w:rPr>
        <w:t>；负责拟订规范市场运行和流通秩序的政策，推动商务领域信用建设，指导商业信用销售，按有关规定对特殊流通行业流通进行监督管理。指导我区赴境外举办的各种商品交易会、展览会、展销会活动；指导监督管理以德阳市罗江区名义在境内举办的各种商贸交易会、展览会、展销会等活动。项目立项与部门职责范围相符，属于部门履职所需。</w:t>
      </w:r>
    </w:p>
    <w:p w14:paraId="7C265A91">
      <w:pPr>
        <w:overflowPunct w:val="0"/>
        <w:spacing w:line="560" w:lineRule="exact"/>
        <w:ind w:firstLine="643"/>
        <w:rPr>
          <w:rFonts w:hint="default" w:ascii="Times New Roman" w:hAnsi="Times New Roman" w:cs="Times New Roman"/>
          <w:szCs w:val="32"/>
        </w:rPr>
      </w:pPr>
      <w:r>
        <w:rPr>
          <w:rFonts w:hint="default" w:ascii="Times New Roman" w:hAnsi="Times New Roman" w:cs="Times New Roman"/>
          <w:b/>
          <w:color w:val="auto"/>
          <w:szCs w:val="32"/>
          <w:lang w:val="en-US" w:eastAsia="zh-CN"/>
        </w:rPr>
        <w:t>二</w:t>
      </w:r>
      <w:r>
        <w:rPr>
          <w:rFonts w:hint="default" w:ascii="Times New Roman" w:hAnsi="Times New Roman" w:cs="Times New Roman"/>
          <w:b/>
          <w:color w:val="auto"/>
          <w:szCs w:val="32"/>
        </w:rPr>
        <w:t>是项目实施具有较强的可行性。</w:t>
      </w:r>
      <w:r>
        <w:rPr>
          <w:rFonts w:hint="default" w:ascii="Times New Roman" w:hAnsi="Times New Roman" w:cs="Times New Roman"/>
          <w:bCs/>
          <w:szCs w:val="32"/>
        </w:rPr>
        <w:t>根据</w:t>
      </w:r>
      <w:r>
        <w:rPr>
          <w:rFonts w:hint="default" w:ascii="Times New Roman" w:hAnsi="Times New Roman" w:cs="Times New Roman"/>
          <w:szCs w:val="32"/>
        </w:rPr>
        <w:t>德阳市罗江区商务和经济合作局关于印发《支持商贸服务业促消费、育增量工作方案》的通知</w:t>
      </w:r>
      <w:r>
        <w:rPr>
          <w:rFonts w:hint="default" w:ascii="Times New Roman" w:hAnsi="Times New Roman" w:cs="Times New Roman"/>
          <w:szCs w:val="32"/>
          <w:lang w:eastAsia="zh-CN"/>
        </w:rPr>
        <w:t>德市罗商经</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eastAsia="zh-CN"/>
        </w:rPr>
        <w:t>32号）</w:t>
      </w:r>
      <w:r>
        <w:rPr>
          <w:rFonts w:hint="default" w:ascii="Times New Roman" w:hAnsi="Times New Roman" w:cs="Times New Roman"/>
          <w:szCs w:val="32"/>
        </w:rPr>
        <w:t>《德阳市聚焦高质量发展推动经济运行整体好转的若干政策措施》德府发〔2023〕6号）文件</w:t>
      </w:r>
      <w:r>
        <w:rPr>
          <w:rFonts w:hint="default" w:ascii="Times New Roman" w:hAnsi="Times New Roman" w:cs="Times New Roman"/>
          <w:color w:val="000000"/>
          <w:kern w:val="0"/>
          <w:szCs w:val="32"/>
          <w:lang w:bidi="zh-TW"/>
        </w:rPr>
        <w:t>和</w:t>
      </w:r>
      <w:r>
        <w:rPr>
          <w:rFonts w:hint="default" w:ascii="Times New Roman" w:hAnsi="Times New Roman" w:cs="Times New Roman"/>
          <w:szCs w:val="32"/>
          <w:lang w:eastAsia="zh-CN"/>
        </w:rPr>
        <w:t>罗江区</w:t>
      </w:r>
      <w:r>
        <w:rPr>
          <w:rFonts w:hint="default" w:ascii="Times New Roman" w:hAnsi="Times New Roman" w:cs="Times New Roman"/>
          <w:szCs w:val="32"/>
        </w:rPr>
        <w:t>常委会会议决议，举办具有一定影响力的展销节会）活动，如汽车展销会、家装家电展销会、美食节、啤酒节、音乐节等大型活动，基本明确了</w:t>
      </w:r>
      <w:r>
        <w:rPr>
          <w:rFonts w:hint="default" w:ascii="Times New Roman" w:hAnsi="Times New Roman" w:cs="Times New Roman"/>
          <w:lang w:eastAsia="zh-CN"/>
        </w:rPr>
        <w:t>商务和经济合作局</w:t>
      </w:r>
      <w:r>
        <w:rPr>
          <w:rFonts w:hint="default" w:ascii="Times New Roman" w:hAnsi="Times New Roman" w:cs="Times New Roman"/>
          <w:szCs w:val="32"/>
        </w:rPr>
        <w:t>关于支持政策</w:t>
      </w:r>
      <w:r>
        <w:rPr>
          <w:rFonts w:hint="default" w:ascii="Times New Roman" w:hAnsi="Times New Roman" w:cs="Times New Roman"/>
          <w:color w:val="000000"/>
          <w:kern w:val="0"/>
          <w:szCs w:val="32"/>
          <w:lang w:bidi="zh-TW"/>
        </w:rPr>
        <w:t>工作的</w:t>
      </w:r>
      <w:r>
        <w:rPr>
          <w:rFonts w:hint="default" w:ascii="Times New Roman" w:hAnsi="Times New Roman" w:cs="Times New Roman"/>
          <w:szCs w:val="32"/>
        </w:rPr>
        <w:t>指导思想、基本原则、工作目标、实施步骤、任务分工与职责、资金保障及保障措施等</w:t>
      </w:r>
      <w:r>
        <w:rPr>
          <w:rFonts w:hint="default" w:ascii="Times New Roman" w:hAnsi="Times New Roman" w:cs="Times New Roman"/>
          <w:snapToGrid w:val="0"/>
          <w:kern w:val="0"/>
          <w:szCs w:val="32"/>
        </w:rPr>
        <w:t>内容，</w:t>
      </w:r>
      <w:r>
        <w:rPr>
          <w:rFonts w:hint="default" w:ascii="Times New Roman" w:hAnsi="Times New Roman" w:cs="Times New Roman"/>
          <w:szCs w:val="32"/>
        </w:rPr>
        <w:t>有力</w:t>
      </w:r>
      <w:r>
        <w:rPr>
          <w:rFonts w:hint="default" w:ascii="Times New Roman" w:hAnsi="Times New Roman" w:cs="Times New Roman"/>
          <w:szCs w:val="32"/>
          <w:lang w:eastAsia="zh-CN"/>
        </w:rPr>
        <w:t>地</w:t>
      </w:r>
      <w:r>
        <w:rPr>
          <w:rFonts w:hint="default" w:ascii="Times New Roman" w:hAnsi="Times New Roman" w:cs="Times New Roman"/>
          <w:szCs w:val="32"/>
        </w:rPr>
        <w:t>保障了项目实施的可行性。</w:t>
      </w:r>
    </w:p>
    <w:p w14:paraId="1AB9DFD0">
      <w:pPr>
        <w:pStyle w:val="2"/>
        <w:rPr>
          <w:rFonts w:hint="default" w:ascii="Times New Roman" w:hAnsi="Times New Roman" w:cs="Times New Roman"/>
        </w:rPr>
      </w:pPr>
      <w:r>
        <w:rPr>
          <w:rFonts w:hint="default" w:ascii="Times New Roman" w:hAnsi="Times New Roman" w:eastAsia="仿宋" w:cs="Times New Roman"/>
          <w:b/>
          <w:bCs/>
          <w:kern w:val="0"/>
          <w:szCs w:val="32"/>
          <w:lang w:val="en-US" w:eastAsia="zh-CN"/>
        </w:rPr>
        <w:t>三</w:t>
      </w:r>
      <w:r>
        <w:rPr>
          <w:rFonts w:hint="default" w:ascii="Times New Roman" w:hAnsi="Times New Roman" w:eastAsia="仿宋" w:cs="Times New Roman"/>
          <w:b/>
          <w:bCs/>
          <w:kern w:val="0"/>
          <w:szCs w:val="32"/>
        </w:rPr>
        <w:t>是不存在重复申报现象。</w:t>
      </w:r>
      <w:r>
        <w:rPr>
          <w:rFonts w:hint="default" w:ascii="Times New Roman" w:hAnsi="Times New Roman" w:eastAsia="仿宋" w:cs="Times New Roman"/>
          <w:kern w:val="0"/>
          <w:szCs w:val="32"/>
        </w:rPr>
        <w:t>经过核查，该项目与相关部门同类项目或部门内部相关项目之间</w:t>
      </w:r>
      <w:r>
        <w:rPr>
          <w:rFonts w:hint="default" w:ascii="Times New Roman" w:hAnsi="Times New Roman" w:eastAsia="仿宋" w:cs="Times New Roman"/>
          <w:kern w:val="0"/>
          <w:szCs w:val="32"/>
          <w:lang w:val="en-US" w:eastAsia="zh-CN"/>
        </w:rPr>
        <w:t>未出现</w:t>
      </w:r>
      <w:r>
        <w:rPr>
          <w:rFonts w:hint="default" w:ascii="Times New Roman" w:hAnsi="Times New Roman" w:eastAsia="仿宋" w:cs="Times New Roman"/>
          <w:kern w:val="0"/>
          <w:szCs w:val="32"/>
        </w:rPr>
        <w:t>重复申报现象。</w:t>
      </w:r>
    </w:p>
    <w:p w14:paraId="4AAF18F2">
      <w:pPr>
        <w:spacing w:line="560" w:lineRule="exact"/>
        <w:ind w:firstLine="643"/>
        <w:rPr>
          <w:rFonts w:hint="default" w:ascii="Times New Roman" w:hAnsi="Times New Roman" w:cs="Times New Roman"/>
          <w:bCs/>
          <w:szCs w:val="32"/>
        </w:rPr>
      </w:pPr>
      <w:r>
        <w:rPr>
          <w:rFonts w:hint="default" w:ascii="Times New Roman" w:hAnsi="Times New Roman" w:cs="Times New Roman"/>
          <w:b/>
          <w:color w:val="auto"/>
          <w:szCs w:val="32"/>
          <w:lang w:eastAsia="zh-CN"/>
        </w:rPr>
        <w:t>（</w:t>
      </w:r>
      <w:r>
        <w:rPr>
          <w:rFonts w:hint="default" w:ascii="Times New Roman" w:hAnsi="Times New Roman" w:cs="Times New Roman"/>
          <w:b/>
          <w:color w:val="auto"/>
          <w:szCs w:val="32"/>
        </w:rPr>
        <w:t>2）立项程序规范性：</w:t>
      </w:r>
      <w:r>
        <w:rPr>
          <w:rFonts w:hint="default" w:ascii="Times New Roman" w:hAnsi="Times New Roman" w:cs="Times New Roman"/>
          <w:szCs w:val="32"/>
        </w:rPr>
        <w:t>指标赋值4分，得分</w:t>
      </w:r>
      <w:r>
        <w:rPr>
          <w:rFonts w:hint="default" w:ascii="Times New Roman" w:hAnsi="Times New Roman" w:cs="Times New Roman"/>
          <w:szCs w:val="32"/>
          <w:lang w:val="en-US" w:eastAsia="zh-CN"/>
        </w:rPr>
        <w:t>1</w:t>
      </w:r>
      <w:r>
        <w:rPr>
          <w:rFonts w:hint="default" w:ascii="Times New Roman" w:hAnsi="Times New Roman" w:cs="Times New Roman"/>
          <w:szCs w:val="32"/>
        </w:rPr>
        <w:t>分。</w:t>
      </w:r>
    </w:p>
    <w:p w14:paraId="6255239D">
      <w:pPr>
        <w:spacing w:line="560" w:lineRule="exact"/>
        <w:ind w:firstLine="640"/>
        <w:rPr>
          <w:rFonts w:hint="default" w:ascii="Times New Roman" w:hAnsi="Times New Roman" w:cs="Times New Roman"/>
          <w:bCs/>
          <w:color w:val="auto"/>
          <w:szCs w:val="32"/>
        </w:rPr>
      </w:pPr>
      <w:r>
        <w:rPr>
          <w:rFonts w:hint="default" w:ascii="Times New Roman" w:hAnsi="Times New Roman" w:cs="Times New Roman"/>
          <w:bCs/>
          <w:szCs w:val="32"/>
          <w:lang w:val="en-US" w:eastAsia="zh-CN"/>
        </w:rPr>
        <w:t>根据《德阳市罗江区财政局关于批复2023年部门预算的通知》德市罗财预〔2023</w:t>
      </w:r>
      <w:r>
        <w:rPr>
          <w:rFonts w:hint="default" w:ascii="Times New Roman" w:hAnsi="Times New Roman" w:cs="Times New Roman"/>
          <w:szCs w:val="32"/>
        </w:rPr>
        <w:t>〕</w:t>
      </w:r>
      <w:r>
        <w:rPr>
          <w:rFonts w:hint="default" w:ascii="Times New Roman" w:hAnsi="Times New Roman" w:cs="Times New Roman"/>
          <w:bCs/>
          <w:szCs w:val="32"/>
          <w:lang w:val="en-US" w:eastAsia="zh-CN"/>
        </w:rPr>
        <w:t>1号）文件</w:t>
      </w:r>
      <w:r>
        <w:rPr>
          <w:rFonts w:hint="default" w:ascii="Times New Roman" w:hAnsi="Times New Roman" w:cs="Times New Roman"/>
          <w:bCs/>
          <w:color w:val="auto"/>
          <w:szCs w:val="32"/>
        </w:rPr>
        <w:t>项目</w:t>
      </w:r>
      <w:r>
        <w:rPr>
          <w:rFonts w:hint="default" w:ascii="Times New Roman" w:hAnsi="Times New Roman" w:cs="Times New Roman"/>
          <w:bCs/>
          <w:color w:val="auto"/>
          <w:szCs w:val="32"/>
          <w:lang w:val="en-US" w:eastAsia="zh-CN"/>
        </w:rPr>
        <w:t>下达了预算资金，但单位未提供立项申请文件</w:t>
      </w:r>
      <w:r>
        <w:rPr>
          <w:rFonts w:hint="default" w:ascii="Times New Roman" w:hAnsi="Times New Roman" w:cs="Times New Roman"/>
          <w:bCs/>
          <w:color w:val="auto"/>
          <w:szCs w:val="32"/>
        </w:rPr>
        <w:t>立项程序规</w:t>
      </w:r>
      <w:r>
        <w:rPr>
          <w:rFonts w:hint="default" w:ascii="Times New Roman" w:hAnsi="Times New Roman" w:cs="Times New Roman"/>
          <w:bCs/>
          <w:color w:val="auto"/>
          <w:szCs w:val="32"/>
          <w:lang w:val="en-US" w:eastAsia="zh-CN"/>
        </w:rPr>
        <w:t>不</w:t>
      </w:r>
      <w:r>
        <w:rPr>
          <w:rFonts w:hint="default" w:ascii="Times New Roman" w:hAnsi="Times New Roman" w:cs="Times New Roman"/>
          <w:bCs/>
          <w:color w:val="auto"/>
          <w:szCs w:val="32"/>
        </w:rPr>
        <w:t>严谨。</w:t>
      </w:r>
    </w:p>
    <w:p w14:paraId="7B2D57B2">
      <w:pPr>
        <w:spacing w:line="560" w:lineRule="exact"/>
        <w:ind w:firstLine="640"/>
        <w:rPr>
          <w:rFonts w:hint="default" w:ascii="Times New Roman" w:hAnsi="Times New Roman" w:eastAsia="仿宋" w:cs="Times New Roman"/>
          <w:bCs/>
          <w:color w:val="auto"/>
          <w:szCs w:val="32"/>
          <w:lang w:val="en-US" w:eastAsia="zh-CN"/>
        </w:rPr>
      </w:pPr>
      <w:r>
        <w:rPr>
          <w:rFonts w:hint="default" w:ascii="Times New Roman" w:hAnsi="Times New Roman" w:cs="Times New Roman"/>
          <w:b/>
          <w:bCs w:val="0"/>
          <w:color w:val="auto"/>
          <w:szCs w:val="32"/>
          <w:lang w:val="en-US" w:eastAsia="zh-CN"/>
        </w:rPr>
        <w:t>主要问题：</w:t>
      </w:r>
      <w:r>
        <w:rPr>
          <w:rFonts w:hint="default" w:ascii="Times New Roman" w:hAnsi="Times New Roman" w:cs="Times New Roman"/>
          <w:bCs/>
          <w:color w:val="auto"/>
          <w:szCs w:val="32"/>
          <w:lang w:val="en-US" w:eastAsia="zh-CN"/>
        </w:rPr>
        <w:t>未提供立项申请文件扣3分</w:t>
      </w:r>
    </w:p>
    <w:p w14:paraId="38531E1D">
      <w:pPr>
        <w:spacing w:line="560" w:lineRule="exact"/>
        <w:ind w:firstLine="643"/>
        <w:rPr>
          <w:rFonts w:hint="default" w:ascii="Times New Roman" w:hAnsi="Times New Roman" w:cs="Times New Roman"/>
          <w:szCs w:val="32"/>
        </w:rPr>
      </w:pPr>
      <w:r>
        <w:rPr>
          <w:rFonts w:hint="default" w:ascii="Times New Roman" w:hAnsi="Times New Roman" w:cs="Times New Roman"/>
          <w:b/>
          <w:bCs/>
          <w:szCs w:val="32"/>
        </w:rPr>
        <w:t>2</w:t>
      </w:r>
      <w:r>
        <w:rPr>
          <w:rFonts w:hint="default" w:ascii="Times New Roman" w:hAnsi="Times New Roman" w:cs="Times New Roman"/>
          <w:b/>
          <w:szCs w:val="32"/>
        </w:rPr>
        <w:t>.</w:t>
      </w:r>
      <w:r>
        <w:rPr>
          <w:rFonts w:hint="default" w:ascii="Times New Roman" w:hAnsi="Times New Roman" w:cs="Times New Roman"/>
          <w:b/>
          <w:bCs/>
          <w:szCs w:val="32"/>
        </w:rPr>
        <w:t>绩效目标：</w:t>
      </w:r>
      <w:r>
        <w:rPr>
          <w:rFonts w:hint="default" w:ascii="Times New Roman" w:hAnsi="Times New Roman" w:cs="Times New Roman"/>
          <w:bCs/>
          <w:szCs w:val="32"/>
        </w:rPr>
        <w:t>主要评价绩效目标合理性和绩效指标明确性情况。指标赋值6分，评价得分</w:t>
      </w:r>
      <w:r>
        <w:rPr>
          <w:rFonts w:hint="default" w:ascii="Times New Roman" w:hAnsi="Times New Roman" w:cs="Times New Roman"/>
          <w:bCs/>
          <w:color w:val="auto"/>
          <w:szCs w:val="32"/>
          <w:lang w:val="en-US" w:eastAsia="zh-CN"/>
        </w:rPr>
        <w:t>4</w:t>
      </w:r>
      <w:r>
        <w:rPr>
          <w:rFonts w:hint="default" w:ascii="Times New Roman" w:hAnsi="Times New Roman" w:cs="Times New Roman"/>
          <w:bCs/>
          <w:szCs w:val="32"/>
        </w:rPr>
        <w:t>分。</w:t>
      </w:r>
    </w:p>
    <w:p w14:paraId="60E1827C">
      <w:pPr>
        <w:spacing w:line="560" w:lineRule="exact"/>
        <w:ind w:firstLine="643"/>
        <w:rPr>
          <w:rFonts w:hint="default" w:ascii="Times New Roman" w:hAnsi="Times New Roman" w:cs="Times New Roman"/>
          <w:b/>
          <w:bCs/>
          <w:szCs w:val="32"/>
        </w:rPr>
      </w:pPr>
      <w:r>
        <w:rPr>
          <w:rFonts w:hint="default" w:ascii="Times New Roman" w:hAnsi="Times New Roman" w:cs="Times New Roman"/>
          <w:b/>
          <w:szCs w:val="32"/>
          <w:lang w:eastAsia="zh-CN"/>
        </w:rPr>
        <w:t>（</w:t>
      </w:r>
      <w:r>
        <w:rPr>
          <w:rFonts w:hint="default" w:ascii="Times New Roman" w:hAnsi="Times New Roman" w:cs="Times New Roman"/>
          <w:b/>
          <w:szCs w:val="32"/>
        </w:rPr>
        <w:t>1）绩效目标合理性：</w:t>
      </w:r>
      <w:r>
        <w:rPr>
          <w:rFonts w:hint="default" w:ascii="Times New Roman" w:hAnsi="Times New Roman" w:cs="Times New Roman"/>
          <w:szCs w:val="32"/>
        </w:rPr>
        <w:t>指标赋值3分，得分3分</w:t>
      </w:r>
      <w:bookmarkEnd w:id="13"/>
      <w:bookmarkEnd w:id="14"/>
      <w:bookmarkEnd w:id="15"/>
      <w:bookmarkEnd w:id="16"/>
      <w:r>
        <w:rPr>
          <w:rFonts w:hint="default" w:ascii="Times New Roman" w:hAnsi="Times New Roman" w:cs="Times New Roman"/>
          <w:szCs w:val="32"/>
        </w:rPr>
        <w:t>。</w:t>
      </w:r>
    </w:p>
    <w:p w14:paraId="526F319E">
      <w:pPr>
        <w:pStyle w:val="2"/>
        <w:spacing w:line="560" w:lineRule="exact"/>
        <w:ind w:firstLine="640"/>
        <w:rPr>
          <w:rFonts w:hint="default" w:ascii="Times New Roman" w:hAnsi="Times New Roman" w:eastAsia="仿宋" w:cs="Times New Roman"/>
          <w:szCs w:val="32"/>
        </w:rPr>
      </w:pPr>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w:t>
      </w:r>
      <w:r>
        <w:rPr>
          <w:rFonts w:hint="default" w:ascii="Times New Roman" w:hAnsi="Times New Roman" w:eastAsia="仿宋" w:cs="Times New Roman"/>
          <w:szCs w:val="32"/>
        </w:rPr>
        <w:t>绩效目标符合区域经济和社会发展规划，整体较为合理：</w:t>
      </w:r>
    </w:p>
    <w:p w14:paraId="74F3D0E7">
      <w:pPr>
        <w:spacing w:line="560" w:lineRule="exact"/>
        <w:ind w:firstLine="643"/>
        <w:rPr>
          <w:rFonts w:hint="default" w:ascii="Times New Roman" w:hAnsi="Times New Roman" w:cs="Times New Roman"/>
          <w:szCs w:val="32"/>
        </w:rPr>
      </w:pPr>
      <w:r>
        <w:rPr>
          <w:rFonts w:hint="default" w:ascii="Times New Roman" w:hAnsi="Times New Roman" w:cs="Times New Roman"/>
          <w:b/>
          <w:bCs/>
          <w:szCs w:val="32"/>
        </w:rPr>
        <w:t>一是项目绩效目标合理可行。</w:t>
      </w:r>
      <w:r>
        <w:rPr>
          <w:rFonts w:hint="default" w:ascii="Times New Roman" w:hAnsi="Times New Roman" w:cs="Times New Roman"/>
          <w:b w:val="0"/>
          <w:bCs w:val="0"/>
          <w:szCs w:val="32"/>
          <w:lang w:val="en-US" w:eastAsia="zh-CN"/>
        </w:rPr>
        <w:t>商务和经济合作局</w:t>
      </w:r>
      <w:r>
        <w:rPr>
          <w:rFonts w:hint="default" w:ascii="Times New Roman" w:hAnsi="Times New Roman" w:cs="Times New Roman"/>
          <w:szCs w:val="32"/>
        </w:rPr>
        <w:t>202</w:t>
      </w:r>
      <w:r>
        <w:rPr>
          <w:rFonts w:hint="default" w:ascii="Times New Roman" w:hAnsi="Times New Roman" w:cs="Times New Roman"/>
          <w:szCs w:val="32"/>
          <w:lang w:val="en-US" w:eastAsia="zh-CN"/>
        </w:rPr>
        <w:t>3</w:t>
      </w:r>
      <w:r>
        <w:rPr>
          <w:rFonts w:hint="default" w:ascii="Times New Roman" w:hAnsi="Times New Roman" w:cs="Times New Roman"/>
          <w:szCs w:val="32"/>
        </w:rPr>
        <w:t>年初填报了《</w:t>
      </w:r>
      <w:r>
        <w:rPr>
          <w:rFonts w:hint="default" w:ascii="Times New Roman" w:hAnsi="Times New Roman" w:cs="Times New Roman"/>
          <w:szCs w:val="32"/>
          <w:lang w:eastAsia="zh-CN"/>
        </w:rPr>
        <w:t>服务业、电子商务、商贸企业等发展专项资金</w:t>
      </w:r>
      <w:r>
        <w:rPr>
          <w:rFonts w:hint="default" w:ascii="Times New Roman" w:hAnsi="Times New Roman" w:cs="Times New Roman"/>
          <w:szCs w:val="32"/>
        </w:rPr>
        <w:t>项目绩效申报表》，设立的年度绩效目标与实际工作内容相关性较强，目标值设定基本可行，项目整体绩效目标较为合理。</w:t>
      </w:r>
    </w:p>
    <w:p w14:paraId="381C4B05">
      <w:pPr>
        <w:spacing w:line="560" w:lineRule="exact"/>
        <w:ind w:firstLine="643"/>
        <w:rPr>
          <w:rFonts w:hint="default" w:ascii="Times New Roman" w:hAnsi="Times New Roman" w:cs="Times New Roman"/>
          <w:szCs w:val="32"/>
        </w:rPr>
      </w:pPr>
      <w:r>
        <w:rPr>
          <w:rFonts w:hint="default" w:ascii="Times New Roman" w:hAnsi="Times New Roman" w:cs="Times New Roman"/>
          <w:b/>
          <w:bCs/>
          <w:color w:val="auto"/>
          <w:szCs w:val="32"/>
        </w:rPr>
        <w:t>二是预算资金与实际需求基本匹配</w:t>
      </w:r>
      <w:r>
        <w:rPr>
          <w:rFonts w:hint="default" w:ascii="Times New Roman" w:hAnsi="Times New Roman" w:cs="Times New Roman"/>
          <w:b/>
          <w:bCs/>
          <w:szCs w:val="32"/>
        </w:rPr>
        <w:t>。</w:t>
      </w:r>
      <w:r>
        <w:rPr>
          <w:rFonts w:hint="default" w:ascii="Times New Roman" w:hAnsi="Times New Roman" w:cs="Times New Roman"/>
          <w:szCs w:val="32"/>
        </w:rPr>
        <w:t>项目预算资金</w:t>
      </w:r>
      <w:r>
        <w:rPr>
          <w:rFonts w:hint="default" w:ascii="Times New Roman" w:hAnsi="Times New Roman" w:cs="Times New Roman"/>
          <w:szCs w:val="32"/>
          <w:lang w:val="en-US" w:eastAsia="zh-CN"/>
        </w:rPr>
        <w:t>100</w:t>
      </w:r>
      <w:r>
        <w:rPr>
          <w:rFonts w:hint="default" w:ascii="Times New Roman" w:hAnsi="Times New Roman" w:cs="Times New Roman"/>
          <w:szCs w:val="32"/>
        </w:rPr>
        <w:t>万元，用于</w:t>
      </w:r>
      <w:r>
        <w:rPr>
          <w:rFonts w:hint="default" w:ascii="Times New Roman" w:hAnsi="Times New Roman" w:cs="Times New Roman"/>
          <w:szCs w:val="32"/>
          <w:lang w:val="en-US" w:eastAsia="zh-CN"/>
        </w:rPr>
        <w:t>服务业、电子商务、商贸企业发展资金</w:t>
      </w:r>
      <w:r>
        <w:rPr>
          <w:rFonts w:hint="default" w:ascii="Times New Roman" w:hAnsi="Times New Roman" w:cs="Times New Roman"/>
          <w:szCs w:val="32"/>
        </w:rPr>
        <w:t>，</w:t>
      </w:r>
      <w:r>
        <w:rPr>
          <w:rFonts w:hint="default" w:ascii="Times New Roman" w:hAnsi="Times New Roman" w:cs="Times New Roman"/>
          <w:szCs w:val="32"/>
          <w:lang w:val="en-US" w:eastAsia="zh-CN"/>
        </w:rPr>
        <w:t>招商引资业务发展、活动举办等。项目</w:t>
      </w:r>
      <w:r>
        <w:rPr>
          <w:rFonts w:hint="default" w:ascii="Times New Roman" w:hAnsi="Times New Roman" w:cs="Times New Roman"/>
          <w:szCs w:val="32"/>
        </w:rPr>
        <w:t>实施计划明确、合理，资金预算与项目计划相匹配。</w:t>
      </w:r>
    </w:p>
    <w:p w14:paraId="3834E0AC">
      <w:pPr>
        <w:spacing w:line="560" w:lineRule="exact"/>
        <w:ind w:firstLine="643"/>
        <w:rPr>
          <w:rFonts w:hint="default" w:ascii="Times New Roman" w:hAnsi="Times New Roman" w:cs="Times New Roman"/>
          <w:color w:val="auto"/>
        </w:rPr>
      </w:pPr>
      <w:r>
        <w:rPr>
          <w:rFonts w:hint="default" w:ascii="Times New Roman" w:hAnsi="Times New Roman" w:cs="Times New Roman"/>
          <w:b/>
          <w:color w:val="auto"/>
          <w:szCs w:val="32"/>
          <w:highlight w:val="none"/>
          <w:lang w:eastAsia="zh-CN"/>
        </w:rPr>
        <w:t>（</w:t>
      </w:r>
      <w:r>
        <w:rPr>
          <w:rFonts w:hint="default" w:ascii="Times New Roman" w:hAnsi="Times New Roman" w:cs="Times New Roman"/>
          <w:b/>
          <w:color w:val="auto"/>
          <w:szCs w:val="32"/>
          <w:highlight w:val="none"/>
        </w:rPr>
        <w:t>2）绩效指标明确性：</w:t>
      </w:r>
      <w:r>
        <w:rPr>
          <w:rFonts w:hint="default" w:ascii="Times New Roman" w:hAnsi="Times New Roman" w:cs="Times New Roman"/>
          <w:bCs/>
          <w:color w:val="auto"/>
          <w:szCs w:val="32"/>
        </w:rPr>
        <w:t>指标赋值3分，得分1分。</w:t>
      </w:r>
    </w:p>
    <w:p w14:paraId="7E3A2B24">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cs="Times New Roman"/>
          <w:szCs w:val="32"/>
          <w:highlight w:val="yellow"/>
        </w:rPr>
      </w:pPr>
      <w:r>
        <w:rPr>
          <w:rFonts w:hint="default" w:ascii="Times New Roman" w:hAnsi="Times New Roman" w:cs="Times New Roman"/>
          <w:szCs w:val="32"/>
        </w:rPr>
        <w:t>评价组查看经贸局填报的《</w:t>
      </w:r>
      <w:r>
        <w:rPr>
          <w:rFonts w:hint="default" w:ascii="Times New Roman" w:hAnsi="Times New Roman" w:cs="Times New Roman"/>
          <w:szCs w:val="32"/>
          <w:lang w:eastAsia="zh-CN"/>
        </w:rPr>
        <w:t>服务业、电子商务、商贸企业等发展专项资金</w:t>
      </w:r>
      <w:r>
        <w:rPr>
          <w:rFonts w:hint="default" w:ascii="Times New Roman" w:hAnsi="Times New Roman" w:cs="Times New Roman"/>
          <w:szCs w:val="32"/>
        </w:rPr>
        <w:t>项目绩效申报表》，指标填报基本完整，但整体申报质量一般，存在指标未细化、</w:t>
      </w:r>
      <w:r>
        <w:rPr>
          <w:rFonts w:hint="default" w:ascii="Times New Roman" w:hAnsi="Times New Roman" w:cs="Times New Roman"/>
          <w:szCs w:val="32"/>
          <w:lang w:val="en-US" w:eastAsia="zh-CN"/>
        </w:rPr>
        <w:t>成本指标设置不准确</w:t>
      </w:r>
      <w:r>
        <w:rPr>
          <w:rFonts w:hint="default" w:ascii="Times New Roman" w:hAnsi="Times New Roman" w:cs="Times New Roman"/>
          <w:szCs w:val="32"/>
        </w:rPr>
        <w:t>、</w:t>
      </w:r>
      <w:r>
        <w:rPr>
          <w:rFonts w:hint="default" w:ascii="Times New Roman" w:hAnsi="Times New Roman" w:cs="Times New Roman"/>
          <w:szCs w:val="32"/>
          <w:lang w:val="en-US" w:eastAsia="zh-CN"/>
        </w:rPr>
        <w:t>未设置质量指标、未设置经济指标</w:t>
      </w:r>
      <w:r>
        <w:rPr>
          <w:rFonts w:hint="default" w:ascii="Times New Roman" w:hAnsi="Times New Roman" w:cs="Times New Roman"/>
          <w:szCs w:val="32"/>
        </w:rPr>
        <w:t>等问题。整体目标设置较差</w:t>
      </w:r>
      <w:r>
        <w:rPr>
          <w:rFonts w:hint="default" w:ascii="Times New Roman" w:hAnsi="Times New Roman" w:eastAsia="方正仿宋简体" w:cs="Times New Roman"/>
          <w:szCs w:val="32"/>
        </w:rPr>
        <w:t>。绩效小组对该绩效目标申报表进行</w:t>
      </w:r>
      <w:r>
        <w:rPr>
          <w:rFonts w:hint="default" w:ascii="Times New Roman" w:hAnsi="Times New Roman" w:cs="Times New Roman"/>
          <w:szCs w:val="32"/>
        </w:rPr>
        <w:t>了重新编制，</w:t>
      </w:r>
      <w:r>
        <w:rPr>
          <w:rFonts w:hint="default" w:ascii="Times New Roman" w:hAnsi="Times New Roman" w:eastAsia="方正仿宋简体" w:cs="Times New Roman"/>
          <w:szCs w:val="32"/>
        </w:rPr>
        <w:t>详情见下表。</w:t>
      </w:r>
    </w:p>
    <w:p w14:paraId="548221C9">
      <w:pPr>
        <w:spacing w:line="560" w:lineRule="exact"/>
        <w:ind w:firstLine="1928" w:firstLineChars="600"/>
        <w:rPr>
          <w:rFonts w:hint="default" w:ascii="Times New Roman" w:hAnsi="Times New Roman" w:cs="Times New Roman"/>
          <w:szCs w:val="32"/>
        </w:rPr>
      </w:pPr>
      <w:r>
        <w:rPr>
          <w:rFonts w:hint="default" w:ascii="Times New Roman" w:hAnsi="Times New Roman" w:cs="Times New Roman"/>
          <w:b/>
          <w:bCs/>
          <w:szCs w:val="32"/>
        </w:rPr>
        <w:t>2023年度项目绩效目标申报表</w:t>
      </w:r>
    </w:p>
    <w:tbl>
      <w:tblPr>
        <w:tblStyle w:val="72"/>
        <w:tblW w:w="8504" w:type="dxa"/>
        <w:tblInd w:w="0" w:type="dxa"/>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Layout w:type="fixed"/>
        <w:tblCellMar>
          <w:top w:w="0" w:type="dxa"/>
          <w:left w:w="0" w:type="dxa"/>
          <w:bottom w:w="0" w:type="dxa"/>
          <w:right w:w="0" w:type="dxa"/>
        </w:tblCellMar>
      </w:tblPr>
      <w:tblGrid>
        <w:gridCol w:w="767"/>
        <w:gridCol w:w="851"/>
        <w:gridCol w:w="1813"/>
        <w:gridCol w:w="2868"/>
        <w:gridCol w:w="2205"/>
      </w:tblGrid>
      <w:tr w14:paraId="0B9B1979">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285" w:hRule="atLeast"/>
        </w:trPr>
        <w:tc>
          <w:tcPr>
            <w:tcW w:w="3431" w:type="dxa"/>
            <w:gridSpan w:val="3"/>
            <w:tcBorders>
              <w:tl2br w:val="nil"/>
              <w:tr2bl w:val="nil"/>
            </w:tcBorders>
            <w:vAlign w:val="top"/>
          </w:tcPr>
          <w:p w14:paraId="741193C9">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项目名称</w:t>
            </w:r>
          </w:p>
        </w:tc>
        <w:tc>
          <w:tcPr>
            <w:tcW w:w="5073" w:type="dxa"/>
            <w:gridSpan w:val="2"/>
            <w:tcBorders>
              <w:tl2br w:val="nil"/>
              <w:tr2bl w:val="nil"/>
            </w:tcBorders>
            <w:vAlign w:val="top"/>
          </w:tcPr>
          <w:p w14:paraId="03EA48F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服务业、电子商务、商贸企业等发展专项资金</w:t>
            </w:r>
          </w:p>
        </w:tc>
      </w:tr>
      <w:tr w14:paraId="7171C9B2">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353" w:hRule="atLeast"/>
        </w:trPr>
        <w:tc>
          <w:tcPr>
            <w:tcW w:w="3431" w:type="dxa"/>
            <w:gridSpan w:val="3"/>
            <w:tcBorders>
              <w:tl2br w:val="nil"/>
              <w:tr2bl w:val="nil"/>
            </w:tcBorders>
            <w:vAlign w:val="top"/>
          </w:tcPr>
          <w:p w14:paraId="6E2A4BC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预算单位</w:t>
            </w:r>
          </w:p>
        </w:tc>
        <w:tc>
          <w:tcPr>
            <w:tcW w:w="5073" w:type="dxa"/>
            <w:gridSpan w:val="2"/>
            <w:tcBorders>
              <w:tl2br w:val="nil"/>
              <w:tr2bl w:val="nil"/>
            </w:tcBorders>
            <w:vAlign w:val="top"/>
          </w:tcPr>
          <w:p w14:paraId="1254D0D5">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德阳市罗江区商务和经济合作局</w:t>
            </w:r>
          </w:p>
        </w:tc>
      </w:tr>
      <w:tr w14:paraId="645325BF">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279" w:hRule="atLeast"/>
        </w:trPr>
        <w:tc>
          <w:tcPr>
            <w:tcW w:w="3431" w:type="dxa"/>
            <w:gridSpan w:val="3"/>
            <w:vMerge w:val="restart"/>
            <w:tcBorders>
              <w:tl2br w:val="nil"/>
              <w:tr2bl w:val="nil"/>
            </w:tcBorders>
            <w:vAlign w:val="top"/>
          </w:tcPr>
          <w:p w14:paraId="37CBDF6A">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（项目资金万元）</w:t>
            </w:r>
          </w:p>
        </w:tc>
        <w:tc>
          <w:tcPr>
            <w:tcW w:w="5073" w:type="dxa"/>
            <w:gridSpan w:val="2"/>
            <w:tcBorders>
              <w:tl2br w:val="nil"/>
              <w:tr2bl w:val="nil"/>
            </w:tcBorders>
            <w:vAlign w:val="top"/>
          </w:tcPr>
          <w:p w14:paraId="45302ABC">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年度资金总额：100万元</w:t>
            </w:r>
          </w:p>
        </w:tc>
      </w:tr>
      <w:tr w14:paraId="640CF441">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8" w:hRule="atLeast"/>
        </w:trPr>
        <w:tc>
          <w:tcPr>
            <w:tcW w:w="3431" w:type="dxa"/>
            <w:gridSpan w:val="3"/>
            <w:vMerge w:val="continue"/>
            <w:tcBorders>
              <w:tl2br w:val="nil"/>
              <w:tr2bl w:val="nil"/>
            </w:tcBorders>
            <w:vAlign w:val="top"/>
          </w:tcPr>
          <w:p w14:paraId="40ED844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5073" w:type="dxa"/>
            <w:gridSpan w:val="2"/>
            <w:tcBorders>
              <w:tl2br w:val="nil"/>
              <w:tr2bl w:val="nil"/>
            </w:tcBorders>
            <w:vAlign w:val="top"/>
          </w:tcPr>
          <w:p w14:paraId="27F1A61C">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其中：财政拨款100万元</w:t>
            </w:r>
          </w:p>
        </w:tc>
      </w:tr>
      <w:tr w14:paraId="33210CA6">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64" w:hRule="atLeast"/>
        </w:trPr>
        <w:tc>
          <w:tcPr>
            <w:tcW w:w="3431" w:type="dxa"/>
            <w:gridSpan w:val="3"/>
            <w:vMerge w:val="continue"/>
            <w:tcBorders>
              <w:tl2br w:val="nil"/>
              <w:tr2bl w:val="nil"/>
            </w:tcBorders>
            <w:vAlign w:val="top"/>
          </w:tcPr>
          <w:p w14:paraId="4EC8094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5073" w:type="dxa"/>
            <w:gridSpan w:val="2"/>
            <w:tcBorders>
              <w:tl2br w:val="nil"/>
              <w:tr2bl w:val="nil"/>
            </w:tcBorders>
            <w:vAlign w:val="top"/>
          </w:tcPr>
          <w:p w14:paraId="4048EDE0">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其他资金：</w:t>
            </w:r>
          </w:p>
        </w:tc>
      </w:tr>
      <w:tr w14:paraId="7E47E7EC">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62" w:hRule="atLeast"/>
        </w:trPr>
        <w:tc>
          <w:tcPr>
            <w:tcW w:w="3431" w:type="dxa"/>
            <w:gridSpan w:val="3"/>
            <w:tcBorders>
              <w:tl2br w:val="nil"/>
              <w:tr2bl w:val="nil"/>
            </w:tcBorders>
            <w:vAlign w:val="top"/>
          </w:tcPr>
          <w:p w14:paraId="40AE9B3C">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测算依据与测算过程</w:t>
            </w:r>
          </w:p>
        </w:tc>
        <w:tc>
          <w:tcPr>
            <w:tcW w:w="5073" w:type="dxa"/>
            <w:gridSpan w:val="2"/>
            <w:tcBorders>
              <w:tl2br w:val="nil"/>
              <w:tr2bl w:val="nil"/>
            </w:tcBorders>
            <w:vAlign w:val="top"/>
          </w:tcPr>
          <w:p w14:paraId="353AA103">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促进全区商贸流通领域和服务业经济繁荣，稳增长、扩内需。</w:t>
            </w:r>
          </w:p>
        </w:tc>
      </w:tr>
      <w:tr w14:paraId="14B5F65B">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69" w:hRule="atLeast"/>
        </w:trPr>
        <w:tc>
          <w:tcPr>
            <w:tcW w:w="767" w:type="dxa"/>
            <w:vMerge w:val="restart"/>
            <w:tcBorders>
              <w:tl2br w:val="nil"/>
              <w:tr2bl w:val="nil"/>
            </w:tcBorders>
            <w:vAlign w:val="center"/>
          </w:tcPr>
          <w:p w14:paraId="2583F998">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207C7E65">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375B70B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559C88DB">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3ADD44D1">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787234F3">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绩效目标</w:t>
            </w:r>
          </w:p>
        </w:tc>
        <w:tc>
          <w:tcPr>
            <w:tcW w:w="851" w:type="dxa"/>
            <w:tcBorders>
              <w:tl2br w:val="nil"/>
              <w:tr2bl w:val="nil"/>
            </w:tcBorders>
            <w:vAlign w:val="top"/>
          </w:tcPr>
          <w:p w14:paraId="3D2B7A5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一级指标</w:t>
            </w:r>
          </w:p>
        </w:tc>
        <w:tc>
          <w:tcPr>
            <w:tcW w:w="1813" w:type="dxa"/>
            <w:tcBorders>
              <w:tl2br w:val="nil"/>
              <w:tr2bl w:val="nil"/>
            </w:tcBorders>
            <w:vAlign w:val="top"/>
          </w:tcPr>
          <w:p w14:paraId="076DC298">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二级指标</w:t>
            </w:r>
          </w:p>
        </w:tc>
        <w:tc>
          <w:tcPr>
            <w:tcW w:w="2868" w:type="dxa"/>
            <w:tcBorders>
              <w:tl2br w:val="nil"/>
              <w:tr2bl w:val="nil"/>
            </w:tcBorders>
            <w:vAlign w:val="top"/>
          </w:tcPr>
          <w:p w14:paraId="3CE33E6F">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三级指标</w:t>
            </w:r>
          </w:p>
        </w:tc>
        <w:tc>
          <w:tcPr>
            <w:tcW w:w="2205" w:type="dxa"/>
            <w:tcBorders>
              <w:tl2br w:val="nil"/>
              <w:tr2bl w:val="nil"/>
            </w:tcBorders>
            <w:vAlign w:val="top"/>
          </w:tcPr>
          <w:p w14:paraId="27803E68">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（指标值包含数字及文字描述）</w:t>
            </w:r>
          </w:p>
        </w:tc>
      </w:tr>
      <w:tr w14:paraId="15BC3D56">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69" w:hRule="atLeast"/>
        </w:trPr>
        <w:tc>
          <w:tcPr>
            <w:tcW w:w="767" w:type="dxa"/>
            <w:vMerge w:val="continue"/>
            <w:tcBorders>
              <w:tl2br w:val="nil"/>
              <w:tr2bl w:val="nil"/>
            </w:tcBorders>
            <w:vAlign w:val="top"/>
          </w:tcPr>
          <w:p w14:paraId="6AFBF821">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restart"/>
            <w:tcBorders>
              <w:tl2br w:val="nil"/>
              <w:tr2bl w:val="nil"/>
            </w:tcBorders>
            <w:vAlign w:val="center"/>
          </w:tcPr>
          <w:p w14:paraId="13AE3F32">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11F82BC9">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5750DEAD">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产出指标</w:t>
            </w:r>
          </w:p>
        </w:tc>
        <w:tc>
          <w:tcPr>
            <w:tcW w:w="1813" w:type="dxa"/>
            <w:tcBorders>
              <w:tl2br w:val="nil"/>
              <w:tr2bl w:val="nil"/>
            </w:tcBorders>
            <w:shd w:val="clear" w:color="auto" w:fill="auto"/>
            <w:vAlign w:val="top"/>
          </w:tcPr>
          <w:p w14:paraId="261C008E">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数量指标</w:t>
            </w:r>
          </w:p>
        </w:tc>
        <w:tc>
          <w:tcPr>
            <w:tcW w:w="2868" w:type="dxa"/>
            <w:tcBorders>
              <w:tl2br w:val="nil"/>
              <w:tr2bl w:val="nil"/>
            </w:tcBorders>
            <w:shd w:val="clear" w:color="auto" w:fill="auto"/>
            <w:vAlign w:val="top"/>
          </w:tcPr>
          <w:p w14:paraId="47235D7A">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举办促消费活动次数</w:t>
            </w:r>
          </w:p>
        </w:tc>
        <w:tc>
          <w:tcPr>
            <w:tcW w:w="2205" w:type="dxa"/>
            <w:tcBorders>
              <w:tl2br w:val="nil"/>
              <w:tr2bl w:val="nil"/>
            </w:tcBorders>
            <w:shd w:val="clear" w:color="auto" w:fill="auto"/>
            <w:vAlign w:val="top"/>
          </w:tcPr>
          <w:p w14:paraId="33FC481D">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≥4场</w:t>
            </w:r>
          </w:p>
        </w:tc>
      </w:tr>
      <w:tr w14:paraId="52D85F32">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95" w:hRule="atLeast"/>
        </w:trPr>
        <w:tc>
          <w:tcPr>
            <w:tcW w:w="767" w:type="dxa"/>
            <w:vMerge w:val="continue"/>
            <w:tcBorders>
              <w:tl2br w:val="nil"/>
              <w:tr2bl w:val="nil"/>
            </w:tcBorders>
            <w:vAlign w:val="top"/>
          </w:tcPr>
          <w:p w14:paraId="665721A2">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continue"/>
            <w:tcBorders>
              <w:tl2br w:val="nil"/>
              <w:tr2bl w:val="nil"/>
            </w:tcBorders>
            <w:vAlign w:val="top"/>
          </w:tcPr>
          <w:p w14:paraId="08B9F38E">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1813" w:type="dxa"/>
            <w:tcBorders>
              <w:tl2br w:val="nil"/>
              <w:tr2bl w:val="nil"/>
            </w:tcBorders>
            <w:shd w:val="clear" w:color="auto" w:fill="auto"/>
            <w:vAlign w:val="top"/>
          </w:tcPr>
          <w:p w14:paraId="771EE945">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数量指标</w:t>
            </w:r>
          </w:p>
        </w:tc>
        <w:tc>
          <w:tcPr>
            <w:tcW w:w="2868" w:type="dxa"/>
            <w:tcBorders>
              <w:tl2br w:val="nil"/>
              <w:tr2bl w:val="nil"/>
            </w:tcBorders>
            <w:shd w:val="clear" w:color="auto" w:fill="auto"/>
            <w:vAlign w:val="top"/>
          </w:tcPr>
          <w:p w14:paraId="7853841B">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举办川菜川剧活动及评选活动次数</w:t>
            </w:r>
          </w:p>
        </w:tc>
        <w:tc>
          <w:tcPr>
            <w:tcW w:w="2205" w:type="dxa"/>
            <w:tcBorders>
              <w:tl2br w:val="nil"/>
              <w:tr2bl w:val="nil"/>
            </w:tcBorders>
            <w:shd w:val="clear" w:color="auto" w:fill="auto"/>
            <w:vAlign w:val="top"/>
          </w:tcPr>
          <w:p w14:paraId="1AB85401">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≥1次</w:t>
            </w:r>
          </w:p>
        </w:tc>
      </w:tr>
      <w:tr w14:paraId="5C803492">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280" w:hRule="atLeast"/>
        </w:trPr>
        <w:tc>
          <w:tcPr>
            <w:tcW w:w="767" w:type="dxa"/>
            <w:vMerge w:val="continue"/>
            <w:tcBorders>
              <w:tl2br w:val="nil"/>
              <w:tr2bl w:val="nil"/>
            </w:tcBorders>
            <w:vAlign w:val="top"/>
          </w:tcPr>
          <w:p w14:paraId="7E6828B9">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continue"/>
            <w:tcBorders>
              <w:tl2br w:val="nil"/>
              <w:tr2bl w:val="nil"/>
            </w:tcBorders>
            <w:vAlign w:val="top"/>
          </w:tcPr>
          <w:p w14:paraId="7F9CE7FC">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1813" w:type="dxa"/>
            <w:tcBorders>
              <w:tl2br w:val="nil"/>
              <w:tr2bl w:val="nil"/>
            </w:tcBorders>
            <w:shd w:val="clear" w:color="auto" w:fill="auto"/>
            <w:vAlign w:val="top"/>
          </w:tcPr>
          <w:p w14:paraId="7262CC26">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时效指标</w:t>
            </w:r>
          </w:p>
        </w:tc>
        <w:tc>
          <w:tcPr>
            <w:tcW w:w="2868" w:type="dxa"/>
            <w:tcBorders>
              <w:tl2br w:val="nil"/>
              <w:tr2bl w:val="nil"/>
            </w:tcBorders>
            <w:shd w:val="clear" w:color="auto" w:fill="auto"/>
            <w:vAlign w:val="top"/>
          </w:tcPr>
          <w:p w14:paraId="7D8B9CA6">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完成时间</w:t>
            </w:r>
          </w:p>
        </w:tc>
        <w:tc>
          <w:tcPr>
            <w:tcW w:w="2205" w:type="dxa"/>
            <w:tcBorders>
              <w:tl2br w:val="nil"/>
              <w:tr2bl w:val="nil"/>
            </w:tcBorders>
            <w:shd w:val="clear" w:color="auto" w:fill="auto"/>
            <w:vAlign w:val="top"/>
          </w:tcPr>
          <w:p w14:paraId="39A47DC0">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≤12月</w:t>
            </w:r>
          </w:p>
        </w:tc>
      </w:tr>
      <w:tr w14:paraId="477D1DD9">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289" w:hRule="atLeast"/>
        </w:trPr>
        <w:tc>
          <w:tcPr>
            <w:tcW w:w="767" w:type="dxa"/>
            <w:vMerge w:val="continue"/>
            <w:tcBorders>
              <w:tl2br w:val="nil"/>
              <w:tr2bl w:val="nil"/>
            </w:tcBorders>
            <w:vAlign w:val="top"/>
          </w:tcPr>
          <w:p w14:paraId="0F98863A">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continue"/>
            <w:tcBorders>
              <w:tl2br w:val="nil"/>
              <w:tr2bl w:val="nil"/>
            </w:tcBorders>
            <w:vAlign w:val="top"/>
          </w:tcPr>
          <w:p w14:paraId="7EC784CD">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1813" w:type="dxa"/>
            <w:tcBorders>
              <w:tl2br w:val="nil"/>
              <w:tr2bl w:val="nil"/>
            </w:tcBorders>
            <w:shd w:val="clear" w:color="auto" w:fill="auto"/>
            <w:vAlign w:val="top"/>
          </w:tcPr>
          <w:p w14:paraId="33CFAA19">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质量指标</w:t>
            </w:r>
          </w:p>
        </w:tc>
        <w:tc>
          <w:tcPr>
            <w:tcW w:w="2868" w:type="dxa"/>
            <w:tcBorders>
              <w:tl2br w:val="nil"/>
              <w:tr2bl w:val="nil"/>
            </w:tcBorders>
            <w:shd w:val="clear" w:color="auto" w:fill="auto"/>
            <w:vAlign w:val="top"/>
          </w:tcPr>
          <w:p w14:paraId="6269AE1D">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举办促消费活动完成率</w:t>
            </w:r>
          </w:p>
        </w:tc>
        <w:tc>
          <w:tcPr>
            <w:tcW w:w="2205" w:type="dxa"/>
            <w:tcBorders>
              <w:tl2br w:val="nil"/>
              <w:tr2bl w:val="nil"/>
            </w:tcBorders>
            <w:shd w:val="clear" w:color="auto" w:fill="auto"/>
            <w:vAlign w:val="top"/>
          </w:tcPr>
          <w:p w14:paraId="57DFAF11">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100%</w:t>
            </w:r>
          </w:p>
        </w:tc>
      </w:tr>
      <w:tr w14:paraId="54B6A63D">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280" w:hRule="atLeast"/>
        </w:trPr>
        <w:tc>
          <w:tcPr>
            <w:tcW w:w="767" w:type="dxa"/>
            <w:vMerge w:val="continue"/>
            <w:tcBorders>
              <w:tl2br w:val="nil"/>
              <w:tr2bl w:val="nil"/>
            </w:tcBorders>
            <w:vAlign w:val="top"/>
          </w:tcPr>
          <w:p w14:paraId="2B654D48">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continue"/>
            <w:tcBorders>
              <w:tl2br w:val="nil"/>
              <w:tr2bl w:val="nil"/>
            </w:tcBorders>
            <w:vAlign w:val="top"/>
          </w:tcPr>
          <w:p w14:paraId="7F10005F">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1813" w:type="dxa"/>
            <w:tcBorders>
              <w:tl2br w:val="nil"/>
              <w:tr2bl w:val="nil"/>
            </w:tcBorders>
            <w:vAlign w:val="top"/>
          </w:tcPr>
          <w:p w14:paraId="55720F11">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质量指标</w:t>
            </w:r>
          </w:p>
        </w:tc>
        <w:tc>
          <w:tcPr>
            <w:tcW w:w="2868" w:type="dxa"/>
            <w:tcBorders>
              <w:tl2br w:val="nil"/>
              <w:tr2bl w:val="nil"/>
            </w:tcBorders>
            <w:vAlign w:val="top"/>
          </w:tcPr>
          <w:p w14:paraId="6AA4E94B">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举办川菜川剧活动完成率</w:t>
            </w:r>
          </w:p>
        </w:tc>
        <w:tc>
          <w:tcPr>
            <w:tcW w:w="2205" w:type="dxa"/>
            <w:tcBorders>
              <w:tl2br w:val="nil"/>
              <w:tr2bl w:val="nil"/>
            </w:tcBorders>
            <w:vAlign w:val="top"/>
          </w:tcPr>
          <w:p w14:paraId="35BC48C7">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100%</w:t>
            </w:r>
          </w:p>
        </w:tc>
      </w:tr>
      <w:tr w14:paraId="2C05F023">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79" w:hRule="atLeast"/>
        </w:trPr>
        <w:tc>
          <w:tcPr>
            <w:tcW w:w="767" w:type="dxa"/>
            <w:vMerge w:val="continue"/>
            <w:tcBorders>
              <w:tl2br w:val="nil"/>
              <w:tr2bl w:val="nil"/>
            </w:tcBorders>
            <w:vAlign w:val="top"/>
          </w:tcPr>
          <w:p w14:paraId="0CB55949">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continue"/>
            <w:tcBorders>
              <w:tl2br w:val="nil"/>
              <w:tr2bl w:val="nil"/>
            </w:tcBorders>
            <w:vAlign w:val="top"/>
          </w:tcPr>
          <w:p w14:paraId="26EBE5BC">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1813" w:type="dxa"/>
            <w:tcBorders>
              <w:tl2br w:val="nil"/>
              <w:tr2bl w:val="nil"/>
            </w:tcBorders>
            <w:vAlign w:val="top"/>
          </w:tcPr>
          <w:p w14:paraId="10966637">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成本指标</w:t>
            </w:r>
          </w:p>
        </w:tc>
        <w:tc>
          <w:tcPr>
            <w:tcW w:w="2868" w:type="dxa"/>
            <w:tcBorders>
              <w:tl2br w:val="nil"/>
              <w:tr2bl w:val="nil"/>
            </w:tcBorders>
            <w:vAlign w:val="top"/>
          </w:tcPr>
          <w:p w14:paraId="657A027B">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全年服务业、电子商务、商贸企业等发展资金支出额</w:t>
            </w:r>
          </w:p>
        </w:tc>
        <w:tc>
          <w:tcPr>
            <w:tcW w:w="2205" w:type="dxa"/>
            <w:tcBorders>
              <w:tl2br w:val="nil"/>
              <w:tr2bl w:val="nil"/>
            </w:tcBorders>
            <w:vAlign w:val="top"/>
          </w:tcPr>
          <w:p w14:paraId="0371730E">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≤100万元</w:t>
            </w:r>
          </w:p>
        </w:tc>
      </w:tr>
      <w:tr w14:paraId="43A757C7">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79" w:hRule="atLeast"/>
        </w:trPr>
        <w:tc>
          <w:tcPr>
            <w:tcW w:w="767" w:type="dxa"/>
            <w:vMerge w:val="continue"/>
            <w:tcBorders>
              <w:tl2br w:val="nil"/>
              <w:tr2bl w:val="nil"/>
            </w:tcBorders>
            <w:vAlign w:val="top"/>
          </w:tcPr>
          <w:p w14:paraId="380427F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restart"/>
            <w:tcBorders>
              <w:tl2br w:val="nil"/>
              <w:tr2bl w:val="nil"/>
            </w:tcBorders>
            <w:vAlign w:val="top"/>
          </w:tcPr>
          <w:p w14:paraId="3FFCF637">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p w14:paraId="39E62471">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效益指标</w:t>
            </w:r>
          </w:p>
        </w:tc>
        <w:tc>
          <w:tcPr>
            <w:tcW w:w="1813" w:type="dxa"/>
            <w:tcBorders>
              <w:tl2br w:val="nil"/>
              <w:tr2bl w:val="nil"/>
            </w:tcBorders>
            <w:vAlign w:val="top"/>
          </w:tcPr>
          <w:p w14:paraId="1115F3BF">
            <w:pPr>
              <w:pStyle w:val="73"/>
              <w:spacing w:before="90" w:line="219" w:lineRule="auto"/>
              <w:ind w:left="0" w:leftChars="0" w:firstLine="0" w:firstLineChars="0"/>
              <w:jc w:val="both"/>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val="en-US" w:eastAsia="zh-CN"/>
              </w:rPr>
              <w:t>经济效益</w:t>
            </w:r>
            <w:r>
              <w:rPr>
                <w:rFonts w:hint="default" w:ascii="Times New Roman" w:hAnsi="Times New Roman" w:eastAsia="方正仿宋简体" w:cs="Times New Roman"/>
                <w:sz w:val="24"/>
                <w:szCs w:val="24"/>
                <w:lang w:eastAsia="zh-CN"/>
              </w:rPr>
              <w:t>指标</w:t>
            </w:r>
          </w:p>
        </w:tc>
        <w:tc>
          <w:tcPr>
            <w:tcW w:w="2868" w:type="dxa"/>
            <w:tcBorders>
              <w:tl2br w:val="nil"/>
              <w:tr2bl w:val="nil"/>
            </w:tcBorders>
            <w:vAlign w:val="top"/>
          </w:tcPr>
          <w:p w14:paraId="2666AD4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重大项目引进带动发展</w:t>
            </w:r>
          </w:p>
        </w:tc>
        <w:tc>
          <w:tcPr>
            <w:tcW w:w="2205" w:type="dxa"/>
            <w:tcBorders>
              <w:tl2br w:val="nil"/>
              <w:tr2bl w:val="nil"/>
            </w:tcBorders>
            <w:vAlign w:val="top"/>
          </w:tcPr>
          <w:p w14:paraId="1DCEBBAF">
            <w:pPr>
              <w:pStyle w:val="73"/>
              <w:spacing w:before="90" w:line="219" w:lineRule="auto"/>
              <w:ind w:left="0" w:leftChars="0" w:firstLine="0" w:firstLineChars="0"/>
              <w:jc w:val="both"/>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明显带动</w:t>
            </w:r>
          </w:p>
        </w:tc>
      </w:tr>
      <w:tr w14:paraId="512FD301">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67" w:hRule="atLeast"/>
        </w:trPr>
        <w:tc>
          <w:tcPr>
            <w:tcW w:w="767" w:type="dxa"/>
            <w:vMerge w:val="continue"/>
            <w:tcBorders>
              <w:tl2br w:val="nil"/>
              <w:tr2bl w:val="nil"/>
            </w:tcBorders>
            <w:vAlign w:val="top"/>
          </w:tcPr>
          <w:p w14:paraId="51A8B2DE">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vMerge w:val="continue"/>
            <w:tcBorders>
              <w:tl2br w:val="nil"/>
              <w:tr2bl w:val="nil"/>
            </w:tcBorders>
            <w:vAlign w:val="top"/>
          </w:tcPr>
          <w:p w14:paraId="5A4FBEC0">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1813" w:type="dxa"/>
            <w:tcBorders>
              <w:tl2br w:val="nil"/>
              <w:tr2bl w:val="nil"/>
            </w:tcBorders>
            <w:shd w:val="clear" w:color="auto" w:fill="auto"/>
            <w:vAlign w:val="top"/>
          </w:tcPr>
          <w:p w14:paraId="6580D80A">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社会效益指标</w:t>
            </w:r>
          </w:p>
        </w:tc>
        <w:tc>
          <w:tcPr>
            <w:tcW w:w="2868" w:type="dxa"/>
            <w:tcBorders>
              <w:tl2br w:val="nil"/>
              <w:tr2bl w:val="nil"/>
            </w:tcBorders>
            <w:shd w:val="clear" w:color="auto" w:fill="auto"/>
            <w:vAlign w:val="top"/>
          </w:tcPr>
          <w:p w14:paraId="052E80F2">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经济指标排名提升明显</w:t>
            </w:r>
          </w:p>
        </w:tc>
        <w:tc>
          <w:tcPr>
            <w:tcW w:w="2205" w:type="dxa"/>
            <w:tcBorders>
              <w:tl2br w:val="nil"/>
              <w:tr2bl w:val="nil"/>
            </w:tcBorders>
            <w:shd w:val="clear" w:color="auto" w:fill="auto"/>
            <w:vAlign w:val="top"/>
          </w:tcPr>
          <w:p w14:paraId="6AF4DF62">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≥3名</w:t>
            </w:r>
          </w:p>
        </w:tc>
      </w:tr>
      <w:tr w14:paraId="0AB09194">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84" w:hRule="atLeast"/>
        </w:trPr>
        <w:tc>
          <w:tcPr>
            <w:tcW w:w="767" w:type="dxa"/>
            <w:vMerge w:val="continue"/>
            <w:tcBorders>
              <w:tl2br w:val="nil"/>
              <w:tr2bl w:val="nil"/>
            </w:tcBorders>
            <w:vAlign w:val="top"/>
          </w:tcPr>
          <w:p w14:paraId="7F45BE9C">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tcBorders>
              <w:tl2br w:val="nil"/>
              <w:tr2bl w:val="nil"/>
            </w:tcBorders>
            <w:vAlign w:val="top"/>
          </w:tcPr>
          <w:p w14:paraId="48273429">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1813" w:type="dxa"/>
            <w:tcBorders>
              <w:tl2br w:val="nil"/>
              <w:tr2bl w:val="nil"/>
            </w:tcBorders>
            <w:shd w:val="clear" w:color="auto" w:fill="auto"/>
            <w:vAlign w:val="top"/>
          </w:tcPr>
          <w:p w14:paraId="710A6A77">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可持续影响指标</w:t>
            </w:r>
          </w:p>
        </w:tc>
        <w:tc>
          <w:tcPr>
            <w:tcW w:w="2868" w:type="dxa"/>
            <w:tcBorders>
              <w:tl2br w:val="nil"/>
              <w:tr2bl w:val="nil"/>
            </w:tcBorders>
            <w:shd w:val="clear" w:color="auto" w:fill="auto"/>
            <w:vAlign w:val="top"/>
          </w:tcPr>
          <w:p w14:paraId="2AFA2700">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社会消费品零售额增速、服务业增加值及增速排位全市排名</w:t>
            </w:r>
          </w:p>
        </w:tc>
        <w:tc>
          <w:tcPr>
            <w:tcW w:w="2205" w:type="dxa"/>
            <w:tcBorders>
              <w:tl2br w:val="nil"/>
              <w:tr2bl w:val="nil"/>
            </w:tcBorders>
            <w:shd w:val="clear" w:color="auto" w:fill="auto"/>
            <w:vAlign w:val="top"/>
          </w:tcPr>
          <w:p w14:paraId="76AD5E25">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≥3名</w:t>
            </w:r>
          </w:p>
        </w:tc>
      </w:tr>
      <w:tr w14:paraId="3591C1A2">
        <w:tblPrEx>
          <w:tblBorders>
            <w:top w:val="single" w:color="000000" w:sz="12" w:space="0"/>
            <w:left w:val="dotted" w:color="000000" w:sz="4" w:space="0"/>
            <w:bottom w:val="single" w:color="000000" w:sz="12"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584" w:hRule="atLeast"/>
        </w:trPr>
        <w:tc>
          <w:tcPr>
            <w:tcW w:w="767" w:type="dxa"/>
            <w:tcBorders>
              <w:tl2br w:val="nil"/>
              <w:tr2bl w:val="nil"/>
            </w:tcBorders>
            <w:vAlign w:val="top"/>
          </w:tcPr>
          <w:p w14:paraId="54BCB0BF">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p>
        </w:tc>
        <w:tc>
          <w:tcPr>
            <w:tcW w:w="851" w:type="dxa"/>
            <w:tcBorders>
              <w:tl2br w:val="nil"/>
              <w:tr2bl w:val="nil"/>
            </w:tcBorders>
            <w:shd w:val="clear" w:color="auto" w:fill="auto"/>
            <w:vAlign w:val="top"/>
          </w:tcPr>
          <w:p w14:paraId="5A4BB48F">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满意度指标</w:t>
            </w:r>
          </w:p>
        </w:tc>
        <w:tc>
          <w:tcPr>
            <w:tcW w:w="1813" w:type="dxa"/>
            <w:tcBorders>
              <w:tl2br w:val="nil"/>
              <w:tr2bl w:val="nil"/>
            </w:tcBorders>
            <w:shd w:val="clear" w:color="auto" w:fill="auto"/>
            <w:vAlign w:val="top"/>
          </w:tcPr>
          <w:p w14:paraId="2C1F6E13">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服务对象满意度指标</w:t>
            </w:r>
          </w:p>
        </w:tc>
        <w:tc>
          <w:tcPr>
            <w:tcW w:w="2868" w:type="dxa"/>
            <w:tcBorders>
              <w:tl2br w:val="nil"/>
              <w:tr2bl w:val="nil"/>
            </w:tcBorders>
            <w:shd w:val="clear" w:color="auto" w:fill="auto"/>
            <w:vAlign w:val="top"/>
          </w:tcPr>
          <w:p w14:paraId="50AE1C2A">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商家满意度</w:t>
            </w:r>
          </w:p>
        </w:tc>
        <w:tc>
          <w:tcPr>
            <w:tcW w:w="2205" w:type="dxa"/>
            <w:tcBorders>
              <w:tl2br w:val="nil"/>
              <w:tr2bl w:val="nil"/>
            </w:tcBorders>
            <w:shd w:val="clear" w:color="auto" w:fill="auto"/>
            <w:vAlign w:val="top"/>
          </w:tcPr>
          <w:p w14:paraId="3EED81B4">
            <w:pPr>
              <w:pStyle w:val="73"/>
              <w:spacing w:before="90" w:line="219" w:lineRule="auto"/>
              <w:ind w:left="0" w:leftChars="0" w:firstLine="0" w:firstLineChars="0"/>
              <w:jc w:val="both"/>
              <w:rPr>
                <w:rFonts w:hint="default" w:ascii="Times New Roman" w:hAnsi="Times New Roman" w:eastAsia="方正仿宋简体" w:cs="Times New Roman"/>
                <w:sz w:val="24"/>
                <w:szCs w:val="24"/>
                <w:lang w:val="en-US" w:eastAsia="zh-CN"/>
              </w:rPr>
            </w:pPr>
            <w:r>
              <w:rPr>
                <w:rFonts w:hint="default" w:ascii="Times New Roman" w:hAnsi="Times New Roman" w:eastAsia="方正仿宋简体" w:cs="Times New Roman"/>
                <w:sz w:val="24"/>
                <w:szCs w:val="24"/>
                <w:lang w:val="en-US" w:eastAsia="zh-CN"/>
              </w:rPr>
              <w:t>≥90%</w:t>
            </w:r>
          </w:p>
        </w:tc>
      </w:tr>
    </w:tbl>
    <w:p w14:paraId="46F9CFC8">
      <w:pPr>
        <w:spacing w:line="560" w:lineRule="exact"/>
        <w:ind w:firstLine="640"/>
        <w:rPr>
          <w:rFonts w:hint="default" w:ascii="Times New Roman" w:hAnsi="Times New Roman" w:cs="Times New Roman"/>
          <w:szCs w:val="32"/>
        </w:rPr>
      </w:pPr>
      <w:r>
        <w:rPr>
          <w:rFonts w:hint="default" w:ascii="Times New Roman" w:hAnsi="Times New Roman" w:cs="Times New Roman"/>
          <w:szCs w:val="32"/>
          <w:lang w:val="en-US" w:eastAsia="zh-CN"/>
        </w:rPr>
        <w:t>主要问题：绩效目标申报表填制不准确，</w:t>
      </w:r>
      <w:r>
        <w:rPr>
          <w:rFonts w:hint="default" w:ascii="Times New Roman" w:hAnsi="Times New Roman" w:cs="Times New Roman"/>
          <w:szCs w:val="32"/>
        </w:rPr>
        <w:t>扣减</w:t>
      </w:r>
      <w:r>
        <w:rPr>
          <w:rFonts w:hint="default" w:ascii="Times New Roman" w:hAnsi="Times New Roman" w:cs="Times New Roman"/>
          <w:szCs w:val="32"/>
          <w:lang w:val="en-US" w:eastAsia="zh-CN"/>
        </w:rPr>
        <w:t>2</w:t>
      </w:r>
      <w:r>
        <w:rPr>
          <w:rFonts w:hint="default" w:ascii="Times New Roman" w:hAnsi="Times New Roman" w:cs="Times New Roman"/>
          <w:szCs w:val="32"/>
        </w:rPr>
        <w:t>分。</w:t>
      </w:r>
    </w:p>
    <w:p w14:paraId="2B97F065">
      <w:pPr>
        <w:spacing w:line="560" w:lineRule="exact"/>
        <w:ind w:firstLine="643"/>
        <w:rPr>
          <w:rFonts w:hint="default" w:ascii="Times New Roman" w:hAnsi="Times New Roman" w:cs="Times New Roman"/>
          <w:b/>
          <w:bCs/>
          <w:szCs w:val="32"/>
        </w:rPr>
      </w:pPr>
      <w:r>
        <w:rPr>
          <w:rFonts w:hint="default" w:ascii="Times New Roman" w:hAnsi="Times New Roman" w:cs="Times New Roman"/>
          <w:b/>
          <w:bCs/>
          <w:szCs w:val="32"/>
        </w:rPr>
        <w:t>3</w:t>
      </w:r>
      <w:r>
        <w:rPr>
          <w:rFonts w:hint="default" w:ascii="Times New Roman" w:hAnsi="Times New Roman" w:cs="Times New Roman"/>
          <w:b/>
          <w:szCs w:val="32"/>
        </w:rPr>
        <w:t>.</w:t>
      </w:r>
      <w:r>
        <w:rPr>
          <w:rFonts w:hint="default" w:ascii="Times New Roman" w:hAnsi="Times New Roman" w:cs="Times New Roman"/>
          <w:b/>
          <w:bCs/>
          <w:szCs w:val="32"/>
        </w:rPr>
        <w:t>资金投入：</w:t>
      </w:r>
      <w:r>
        <w:rPr>
          <w:rFonts w:hint="default" w:ascii="Times New Roman" w:hAnsi="Times New Roman" w:cs="Times New Roman"/>
          <w:bCs/>
          <w:szCs w:val="32"/>
        </w:rPr>
        <w:t>主要评价预算编制科学性和资金分配合理性情况。指标赋值6分，评价得分6分。</w:t>
      </w:r>
    </w:p>
    <w:p w14:paraId="67818B41">
      <w:pPr>
        <w:spacing w:line="560" w:lineRule="exact"/>
        <w:ind w:firstLine="643"/>
        <w:rPr>
          <w:rFonts w:hint="default" w:ascii="Times New Roman" w:hAnsi="Times New Roman" w:cs="Times New Roman"/>
          <w:bCs/>
          <w:szCs w:val="32"/>
        </w:rPr>
      </w:pPr>
      <w:r>
        <w:rPr>
          <w:rFonts w:hint="default" w:ascii="Times New Roman" w:hAnsi="Times New Roman" w:cs="Times New Roman"/>
          <w:b/>
          <w:bCs/>
          <w:color w:val="auto"/>
          <w:szCs w:val="32"/>
          <w:lang w:eastAsia="zh-CN"/>
        </w:rPr>
        <w:t>（</w:t>
      </w:r>
      <w:r>
        <w:rPr>
          <w:rFonts w:hint="default" w:ascii="Times New Roman" w:hAnsi="Times New Roman" w:cs="Times New Roman"/>
          <w:b/>
          <w:bCs/>
          <w:color w:val="auto"/>
          <w:szCs w:val="32"/>
        </w:rPr>
        <w:t>1）预算编制科学性：</w:t>
      </w:r>
      <w:r>
        <w:rPr>
          <w:rFonts w:hint="default" w:ascii="Times New Roman" w:hAnsi="Times New Roman" w:cs="Times New Roman"/>
          <w:bCs/>
          <w:szCs w:val="32"/>
        </w:rPr>
        <w:t>指标赋值3分，得分3分。</w:t>
      </w:r>
    </w:p>
    <w:p w14:paraId="76EFB954">
      <w:pPr>
        <w:spacing w:line="560" w:lineRule="exact"/>
        <w:ind w:firstLine="640"/>
        <w:rPr>
          <w:rFonts w:hint="default" w:ascii="Times New Roman" w:hAnsi="Times New Roman" w:cs="Times New Roman"/>
          <w:szCs w:val="32"/>
        </w:rPr>
      </w:pPr>
      <w:bookmarkStart w:id="44" w:name="OLE_LINK3"/>
      <w:r>
        <w:rPr>
          <w:rFonts w:hint="default" w:ascii="Times New Roman" w:hAnsi="Times New Roman" w:cs="Times New Roman"/>
          <w:szCs w:val="32"/>
          <w:lang w:eastAsia="zh-CN"/>
        </w:rPr>
        <w:t>商务和经济合作局</w:t>
      </w:r>
      <w:r>
        <w:rPr>
          <w:rFonts w:hint="default" w:ascii="Times New Roman" w:hAnsi="Times New Roman" w:cs="Times New Roman"/>
          <w:szCs w:val="32"/>
        </w:rPr>
        <w:t>作为项目预算申报部门，以</w:t>
      </w:r>
      <w:r>
        <w:rPr>
          <w:rFonts w:hint="default" w:ascii="Times New Roman" w:hAnsi="Times New Roman" w:cs="Times New Roman"/>
          <w:szCs w:val="32"/>
          <w:lang w:val="en-US" w:eastAsia="zh-CN"/>
        </w:rPr>
        <w:t>绩效目标申报表</w:t>
      </w:r>
      <w:r>
        <w:rPr>
          <w:rFonts w:hint="default" w:ascii="Times New Roman" w:hAnsi="Times New Roman" w:cs="Times New Roman"/>
          <w:szCs w:val="32"/>
        </w:rPr>
        <w:t>为依据进行</w:t>
      </w:r>
      <w:r>
        <w:rPr>
          <w:rFonts w:hint="default" w:ascii="Times New Roman" w:hAnsi="Times New Roman" w:cs="Times New Roman"/>
          <w:szCs w:val="32"/>
          <w:lang w:val="en-US" w:eastAsia="zh-CN"/>
        </w:rPr>
        <w:t>项目</w:t>
      </w:r>
      <w:r>
        <w:rPr>
          <w:rFonts w:hint="default" w:ascii="Times New Roman" w:hAnsi="Times New Roman" w:cs="Times New Roman"/>
          <w:szCs w:val="32"/>
        </w:rPr>
        <w:t>预算编制，编制内容科学合理，预算投资额与项目计划数量较为匹配</w:t>
      </w:r>
      <w:bookmarkEnd w:id="44"/>
      <w:r>
        <w:rPr>
          <w:rFonts w:hint="default" w:ascii="Times New Roman" w:hAnsi="Times New Roman" w:cs="Times New Roman"/>
          <w:szCs w:val="32"/>
        </w:rPr>
        <w:t>。德阳市罗江区财政专项资金拨款申请表</w:t>
      </w:r>
      <w:r>
        <w:rPr>
          <w:rFonts w:hint="default" w:ascii="Times New Roman" w:hAnsi="Times New Roman" w:cs="Times New Roman"/>
          <w:szCs w:val="32"/>
          <w:lang w:eastAsia="zh-CN"/>
        </w:rPr>
        <w:t>有</w:t>
      </w:r>
      <w:r>
        <w:rPr>
          <w:rFonts w:hint="default" w:ascii="Times New Roman" w:hAnsi="Times New Roman" w:cs="Times New Roman"/>
          <w:szCs w:val="32"/>
        </w:rPr>
        <w:t>申请拨款单位意见、财政局业务股室意见、财政局分管局长意见、财政局国库分管局长意见以及财政局局长意见等都在预算编制和拨付过程中得到体现，确保了预算编制的科学性和资金使用的合理性。</w:t>
      </w:r>
    </w:p>
    <w:p w14:paraId="1A15B8C2">
      <w:pPr>
        <w:spacing w:line="560" w:lineRule="exact"/>
        <w:ind w:firstLine="643"/>
        <w:rPr>
          <w:rFonts w:hint="default" w:ascii="Times New Roman" w:hAnsi="Times New Roman" w:cs="Times New Roman"/>
          <w:szCs w:val="32"/>
        </w:rPr>
      </w:pPr>
      <w:r>
        <w:rPr>
          <w:rFonts w:hint="default" w:ascii="Times New Roman" w:hAnsi="Times New Roman" w:cs="Times New Roman"/>
          <w:b/>
          <w:bCs/>
          <w:color w:val="auto"/>
          <w:szCs w:val="32"/>
          <w:lang w:eastAsia="zh-CN"/>
        </w:rPr>
        <w:t>（</w:t>
      </w:r>
      <w:r>
        <w:rPr>
          <w:rFonts w:hint="default" w:ascii="Times New Roman" w:hAnsi="Times New Roman" w:cs="Times New Roman"/>
          <w:b/>
          <w:bCs/>
          <w:color w:val="auto"/>
          <w:szCs w:val="32"/>
        </w:rPr>
        <w:t>2）资金</w:t>
      </w:r>
      <w:r>
        <w:rPr>
          <w:rFonts w:hint="default" w:ascii="Times New Roman" w:hAnsi="Times New Roman" w:cs="Times New Roman"/>
          <w:b/>
          <w:bCs/>
          <w:color w:val="auto"/>
          <w:szCs w:val="32"/>
          <w:lang w:val="en-US" w:eastAsia="zh-CN"/>
        </w:rPr>
        <w:t>使用分配</w:t>
      </w:r>
      <w:r>
        <w:rPr>
          <w:rFonts w:hint="default" w:ascii="Times New Roman" w:hAnsi="Times New Roman" w:cs="Times New Roman"/>
          <w:b/>
          <w:bCs/>
          <w:color w:val="auto"/>
          <w:szCs w:val="32"/>
        </w:rPr>
        <w:t>合理性：</w:t>
      </w:r>
      <w:r>
        <w:rPr>
          <w:rFonts w:hint="default" w:ascii="Times New Roman" w:hAnsi="Times New Roman" w:cs="Times New Roman"/>
          <w:szCs w:val="32"/>
        </w:rPr>
        <w:t>指标赋值3分，得分3分。</w:t>
      </w:r>
    </w:p>
    <w:p w14:paraId="6F928751">
      <w:pPr>
        <w:spacing w:line="560" w:lineRule="exact"/>
        <w:ind w:firstLine="640"/>
        <w:rPr>
          <w:rFonts w:hint="default" w:ascii="Times New Roman" w:hAnsi="Times New Roman" w:eastAsia="仿宋" w:cs="Times New Roman"/>
          <w:szCs w:val="32"/>
          <w:lang w:val="en-US" w:eastAsia="zh-CN"/>
        </w:rPr>
      </w:pPr>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项目根据相关政策与上级文件进行</w:t>
      </w:r>
      <w:r>
        <w:rPr>
          <w:rFonts w:hint="default" w:ascii="Times New Roman" w:hAnsi="Times New Roman" w:cs="Times New Roman"/>
          <w:szCs w:val="32"/>
          <w:lang w:val="en-US" w:eastAsia="zh-CN"/>
        </w:rPr>
        <w:t>合理使用</w:t>
      </w:r>
      <w:r>
        <w:rPr>
          <w:rFonts w:hint="default" w:ascii="Times New Roman" w:hAnsi="Times New Roman" w:cs="Times New Roman"/>
          <w:szCs w:val="32"/>
        </w:rPr>
        <w:t>：</w:t>
      </w:r>
      <w:r>
        <w:rPr>
          <w:rFonts w:hint="default" w:ascii="Times New Roman" w:hAnsi="Times New Roman" w:cs="Times New Roman"/>
          <w:szCs w:val="32"/>
          <w:lang w:val="en-US" w:eastAsia="zh-CN"/>
        </w:rPr>
        <w:t>一是项目根据《德阳市罗江区商务和经济合作局关于加强招商引资专项资金和工作经费管理使用的通知》对资金使用及分配项目</w:t>
      </w:r>
      <w:r>
        <w:rPr>
          <w:rFonts w:hint="default" w:ascii="Times New Roman" w:hAnsi="Times New Roman" w:cs="Times New Roman"/>
          <w:szCs w:val="32"/>
        </w:rPr>
        <w:t>预算资金，资金分配科学、合理</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二是专项资金管理办法明确了专项资金程序的资金申请、拨款审核、拨付资金等。该资金明确用于服务业、电子商务、商贸企业等专项发展相关工作，主要针对日常工作经费具有明确的目标和针对性，使其资金分配更加的合理化。该项目资金分配涵盖了多个方面，如参加各类展会的费用、拓展市场等资金分配合理。根据绩效小组抽查项目资金使用情况，</w:t>
      </w:r>
      <w:r>
        <w:rPr>
          <w:rFonts w:hint="default" w:ascii="Times New Roman" w:hAnsi="Times New Roman" w:cs="Times New Roman"/>
          <w:szCs w:val="32"/>
          <w:lang w:eastAsia="zh-CN"/>
        </w:rPr>
        <w:t>服务业、电子商务、商贸企业等发展专项</w:t>
      </w:r>
      <w:r>
        <w:rPr>
          <w:rFonts w:hint="default" w:ascii="Times New Roman" w:hAnsi="Times New Roman" w:cs="Times New Roman"/>
          <w:szCs w:val="32"/>
          <w:lang w:val="en-US" w:eastAsia="zh-CN"/>
        </w:rPr>
        <w:t>资金使用合规。一是“2023年欢聚罗江，干杯世界罗江第二届青岛啤酒节”活动的补贴情况。《中共德阳市罗江区商务和经济合作局党组（2023年第13次党组扩大）会议纪要》最终同意拨付补贴资金，资金拨付流程规范，符合资金合理使用要求。二是</w:t>
      </w:r>
      <w:r>
        <w:rPr>
          <w:rFonts w:hint="default" w:ascii="Times New Roman" w:hAnsi="Times New Roman" w:eastAsia="仿宋" w:cs="Times New Roman"/>
          <w:szCs w:val="32"/>
          <w:lang w:val="en-US" w:eastAsia="zh-CN"/>
        </w:rPr>
        <w:t>举办罗江区2024“蜀里安逸·罗在其中”新春购物节-</w:t>
      </w:r>
      <w:r>
        <w:rPr>
          <w:rFonts w:hint="default" w:ascii="Times New Roman" w:hAnsi="Times New Roman" w:cs="Times New Roman"/>
          <w:szCs w:val="32"/>
          <w:lang w:val="en-US" w:eastAsia="zh-CN"/>
        </w:rPr>
        <w:t>－</w:t>
      </w:r>
      <w:r>
        <w:rPr>
          <w:rFonts w:hint="default" w:ascii="Times New Roman" w:hAnsi="Times New Roman" w:eastAsia="仿宋" w:cs="Times New Roman"/>
          <w:szCs w:val="32"/>
          <w:lang w:val="en-US" w:eastAsia="zh-CN"/>
        </w:rPr>
        <w:t>绿色智能家装展销活动购物节活动的宣传推广费用相符，表明资金用途</w:t>
      </w:r>
      <w:r>
        <w:rPr>
          <w:rFonts w:hint="default" w:ascii="Times New Roman" w:hAnsi="Times New Roman" w:cs="Times New Roman"/>
          <w:szCs w:val="32"/>
          <w:lang w:val="en-US" w:eastAsia="zh-CN"/>
        </w:rPr>
        <w:t>分配</w:t>
      </w:r>
      <w:r>
        <w:rPr>
          <w:rFonts w:hint="default" w:ascii="Times New Roman" w:hAnsi="Times New Roman" w:eastAsia="仿宋" w:cs="Times New Roman"/>
          <w:szCs w:val="32"/>
          <w:lang w:val="en-US" w:eastAsia="zh-CN"/>
        </w:rPr>
        <w:t>合理。</w:t>
      </w:r>
    </w:p>
    <w:p w14:paraId="5B4C9625">
      <w:pPr>
        <w:pStyle w:val="5"/>
        <w:keepNext w:val="0"/>
        <w:keepLines w:val="0"/>
        <w:spacing w:line="560" w:lineRule="exact"/>
        <w:ind w:firstLine="643"/>
        <w:rPr>
          <w:rFonts w:hint="default" w:ascii="Times New Roman" w:hAnsi="Times New Roman" w:cs="Times New Roman"/>
        </w:rPr>
      </w:pPr>
      <w:bookmarkStart w:id="45" w:name="_Toc28446"/>
      <w:bookmarkStart w:id="46" w:name="_Toc86224148"/>
      <w:r>
        <w:rPr>
          <w:rFonts w:hint="default" w:ascii="Times New Roman" w:hAnsi="Times New Roman" w:cs="Times New Roman"/>
          <w:lang w:eastAsia="zh-CN"/>
        </w:rPr>
        <w:t>（</w:t>
      </w:r>
      <w:r>
        <w:rPr>
          <w:rFonts w:hint="default" w:ascii="Times New Roman" w:hAnsi="Times New Roman" w:cs="Times New Roman"/>
        </w:rPr>
        <w:t>二）过程类指标</w:t>
      </w:r>
      <w:bookmarkEnd w:id="45"/>
      <w:bookmarkEnd w:id="46"/>
      <w:r>
        <w:rPr>
          <w:rFonts w:hint="default" w:ascii="Times New Roman" w:hAnsi="Times New Roman" w:cs="Times New Roman"/>
        </w:rPr>
        <w:tab/>
      </w:r>
    </w:p>
    <w:p w14:paraId="53217804">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主要评价项目资金管理和组织实施情况。指标赋值20分，综合得分18分。</w:t>
      </w:r>
    </w:p>
    <w:p w14:paraId="6E3B2B3F">
      <w:pPr>
        <w:spacing w:line="560" w:lineRule="exact"/>
        <w:ind w:firstLine="643"/>
        <w:rPr>
          <w:rFonts w:hint="default" w:ascii="Times New Roman" w:hAnsi="Times New Roman" w:cs="Times New Roman"/>
          <w:szCs w:val="32"/>
        </w:rPr>
      </w:pPr>
      <w:r>
        <w:rPr>
          <w:rFonts w:hint="default" w:ascii="Times New Roman" w:hAnsi="Times New Roman" w:cs="Times New Roman"/>
          <w:b/>
          <w:bCs/>
          <w:szCs w:val="32"/>
        </w:rPr>
        <w:t>1.资金管理：</w:t>
      </w:r>
      <w:r>
        <w:rPr>
          <w:rFonts w:hint="default" w:ascii="Times New Roman" w:hAnsi="Times New Roman" w:cs="Times New Roman"/>
          <w:bCs/>
          <w:szCs w:val="32"/>
        </w:rPr>
        <w:t>主要评价资金到位率、预算执行率和资金使用合规性情况。</w:t>
      </w:r>
      <w:r>
        <w:rPr>
          <w:rFonts w:hint="default" w:ascii="Times New Roman" w:hAnsi="Times New Roman" w:cs="Times New Roman"/>
          <w:szCs w:val="32"/>
        </w:rPr>
        <w:t>指标赋值</w:t>
      </w:r>
      <w:r>
        <w:rPr>
          <w:rFonts w:hint="default" w:ascii="Times New Roman" w:hAnsi="Times New Roman" w:cs="Times New Roman"/>
          <w:szCs w:val="32"/>
          <w:lang w:val="en-US" w:eastAsia="zh-CN"/>
        </w:rPr>
        <w:t>8</w:t>
      </w:r>
      <w:r>
        <w:rPr>
          <w:rFonts w:hint="default" w:ascii="Times New Roman" w:hAnsi="Times New Roman" w:cs="Times New Roman"/>
          <w:bCs/>
          <w:szCs w:val="32"/>
        </w:rPr>
        <w:t>分，评价得分</w:t>
      </w:r>
      <w:r>
        <w:rPr>
          <w:rFonts w:hint="default" w:ascii="Times New Roman" w:hAnsi="Times New Roman" w:cs="Times New Roman"/>
          <w:bCs/>
          <w:szCs w:val="32"/>
          <w:lang w:val="en-US" w:eastAsia="zh-CN"/>
        </w:rPr>
        <w:t>8</w:t>
      </w:r>
      <w:r>
        <w:rPr>
          <w:rFonts w:hint="default" w:ascii="Times New Roman" w:hAnsi="Times New Roman" w:cs="Times New Roman"/>
          <w:bCs/>
          <w:szCs w:val="32"/>
        </w:rPr>
        <w:t>分。</w:t>
      </w:r>
    </w:p>
    <w:p w14:paraId="4926752C">
      <w:pPr>
        <w:spacing w:line="560" w:lineRule="exact"/>
        <w:ind w:firstLine="643"/>
        <w:rPr>
          <w:rFonts w:hint="default" w:ascii="Times New Roman" w:hAnsi="Times New Roman" w:cs="Times New Roman"/>
          <w:b/>
          <w:bCs/>
          <w:szCs w:val="32"/>
        </w:rPr>
      </w:pPr>
      <w:r>
        <w:rPr>
          <w:rFonts w:hint="default" w:ascii="Times New Roman" w:hAnsi="Times New Roman" w:cs="Times New Roman"/>
          <w:b/>
          <w:bCs/>
          <w:lang w:eastAsia="zh-CN"/>
        </w:rPr>
        <w:t>（</w:t>
      </w:r>
      <w:r>
        <w:rPr>
          <w:rFonts w:hint="default" w:ascii="Times New Roman" w:hAnsi="Times New Roman" w:cs="Times New Roman"/>
          <w:b/>
          <w:bCs/>
        </w:rPr>
        <w:t>1）</w:t>
      </w:r>
      <w:r>
        <w:rPr>
          <w:rFonts w:hint="default" w:ascii="Times New Roman" w:hAnsi="Times New Roman" w:cs="Times New Roman"/>
          <w:b/>
          <w:bCs/>
          <w:szCs w:val="32"/>
        </w:rPr>
        <w:t>资金到位率</w:t>
      </w:r>
      <w:r>
        <w:rPr>
          <w:rFonts w:hint="default" w:ascii="Times New Roman" w:hAnsi="Times New Roman" w:cs="Times New Roman"/>
          <w:b/>
          <w:bCs/>
        </w:rPr>
        <w:t>：</w:t>
      </w:r>
      <w:r>
        <w:rPr>
          <w:rFonts w:hint="default" w:ascii="Times New Roman" w:hAnsi="Times New Roman" w:cs="Times New Roman"/>
          <w:bCs/>
          <w:szCs w:val="32"/>
        </w:rPr>
        <w:t>指标赋值</w:t>
      </w:r>
      <w:r>
        <w:rPr>
          <w:rFonts w:hint="default" w:ascii="Times New Roman" w:hAnsi="Times New Roman" w:cs="Times New Roman"/>
          <w:bCs/>
          <w:szCs w:val="32"/>
          <w:lang w:val="en-US" w:eastAsia="zh-CN"/>
        </w:rPr>
        <w:t>2</w:t>
      </w:r>
      <w:r>
        <w:rPr>
          <w:rFonts w:hint="default" w:ascii="Times New Roman" w:hAnsi="Times New Roman" w:cs="Times New Roman"/>
          <w:bCs/>
          <w:szCs w:val="32"/>
        </w:rPr>
        <w:t>分，</w:t>
      </w:r>
      <w:r>
        <w:rPr>
          <w:rFonts w:hint="default" w:ascii="Times New Roman" w:hAnsi="Times New Roman" w:cs="Times New Roman"/>
          <w:szCs w:val="32"/>
        </w:rPr>
        <w:t>得分</w:t>
      </w:r>
      <w:r>
        <w:rPr>
          <w:rFonts w:hint="default" w:ascii="Times New Roman" w:hAnsi="Times New Roman" w:cs="Times New Roman"/>
          <w:szCs w:val="32"/>
          <w:lang w:val="en-US" w:eastAsia="zh-CN"/>
        </w:rPr>
        <w:t>2</w:t>
      </w:r>
      <w:r>
        <w:rPr>
          <w:rFonts w:hint="default" w:ascii="Times New Roman" w:hAnsi="Times New Roman" w:cs="Times New Roman"/>
          <w:szCs w:val="32"/>
        </w:rPr>
        <w:t>分</w:t>
      </w:r>
      <w:r>
        <w:rPr>
          <w:rFonts w:hint="default" w:ascii="Times New Roman" w:hAnsi="Times New Roman" w:cs="Times New Roman"/>
          <w:bCs/>
          <w:szCs w:val="32"/>
        </w:rPr>
        <w:t>。</w:t>
      </w:r>
    </w:p>
    <w:p w14:paraId="27A96919">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根据</w:t>
      </w:r>
      <w:r>
        <w:rPr>
          <w:rFonts w:hint="default" w:ascii="Times New Roman" w:hAnsi="Times New Roman" w:cs="Times New Roman"/>
          <w:szCs w:val="32"/>
          <w:lang w:eastAsia="zh-CN"/>
        </w:rPr>
        <w:t>《</w:t>
      </w:r>
      <w:r>
        <w:rPr>
          <w:rFonts w:hint="default" w:ascii="Times New Roman" w:hAnsi="Times New Roman" w:cs="Times New Roman"/>
          <w:szCs w:val="32"/>
        </w:rPr>
        <w:t>德阳市罗江区财政局关于批复2023年部门预算的通知</w:t>
      </w:r>
      <w:r>
        <w:rPr>
          <w:rFonts w:hint="default" w:ascii="Times New Roman" w:hAnsi="Times New Roman" w:cs="Times New Roman"/>
          <w:szCs w:val="32"/>
          <w:lang w:eastAsia="zh-CN"/>
        </w:rPr>
        <w:t>》德市罗财预（〔2023〕1号）</w:t>
      </w:r>
      <w:r>
        <w:rPr>
          <w:rFonts w:hint="default" w:ascii="Times New Roman" w:hAnsi="Times New Roman" w:cs="Times New Roman"/>
          <w:szCs w:val="32"/>
          <w:lang w:val="en-US" w:eastAsia="zh-CN"/>
        </w:rPr>
        <w:t>文件</w:t>
      </w:r>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w:t>
      </w:r>
      <w:r>
        <w:rPr>
          <w:rFonts w:hint="default" w:ascii="Times New Roman" w:hAnsi="Times New Roman" w:cs="Times New Roman"/>
          <w:szCs w:val="32"/>
          <w:lang w:val="en-US" w:eastAsia="zh-CN"/>
        </w:rPr>
        <w:t>根据文件要求进行资金申请得到了批复资金</w:t>
      </w:r>
      <w:r>
        <w:rPr>
          <w:rFonts w:hint="default" w:ascii="Times New Roman" w:hAnsi="Times New Roman" w:cs="Times New Roman"/>
          <w:szCs w:val="32"/>
        </w:rPr>
        <w:t>实际到位资金</w:t>
      </w:r>
      <w:r>
        <w:rPr>
          <w:rFonts w:hint="default" w:ascii="Times New Roman" w:hAnsi="Times New Roman" w:cs="Times New Roman"/>
          <w:szCs w:val="32"/>
          <w:lang w:val="en-US" w:eastAsia="zh-CN"/>
        </w:rPr>
        <w:t>100</w:t>
      </w:r>
      <w:r>
        <w:rPr>
          <w:rFonts w:hint="default" w:ascii="Times New Roman" w:hAnsi="Times New Roman" w:cs="Times New Roman"/>
          <w:szCs w:val="32"/>
        </w:rPr>
        <w:t>万元，资金到位率100%。</w:t>
      </w:r>
    </w:p>
    <w:p w14:paraId="05463234">
      <w:pPr>
        <w:spacing w:line="560" w:lineRule="exact"/>
        <w:ind w:firstLine="643"/>
        <w:rPr>
          <w:rFonts w:hint="default" w:ascii="Times New Roman" w:hAnsi="Times New Roman" w:cs="Times New Roman"/>
          <w:szCs w:val="32"/>
        </w:rPr>
      </w:pPr>
      <w:r>
        <w:rPr>
          <w:rFonts w:hint="default" w:ascii="Times New Roman" w:hAnsi="Times New Roman" w:cs="Times New Roman"/>
          <w:b/>
          <w:bCs/>
          <w:lang w:eastAsia="zh-CN"/>
        </w:rPr>
        <w:t>（</w:t>
      </w:r>
      <w:r>
        <w:rPr>
          <w:rFonts w:hint="default" w:ascii="Times New Roman" w:hAnsi="Times New Roman" w:cs="Times New Roman"/>
          <w:b/>
          <w:bCs/>
        </w:rPr>
        <w:t>2）预算执行</w:t>
      </w:r>
      <w:r>
        <w:rPr>
          <w:rFonts w:hint="default" w:ascii="Times New Roman" w:hAnsi="Times New Roman" w:cs="Times New Roman"/>
          <w:b/>
          <w:bCs/>
          <w:szCs w:val="32"/>
        </w:rPr>
        <w:t>率</w:t>
      </w:r>
      <w:r>
        <w:rPr>
          <w:rFonts w:hint="default" w:ascii="Times New Roman" w:hAnsi="Times New Roman" w:cs="Times New Roman"/>
          <w:b/>
          <w:bCs/>
        </w:rPr>
        <w:t>：</w:t>
      </w:r>
      <w:r>
        <w:rPr>
          <w:rFonts w:hint="default" w:ascii="Times New Roman" w:hAnsi="Times New Roman" w:cs="Times New Roman"/>
          <w:bCs/>
          <w:szCs w:val="32"/>
        </w:rPr>
        <w:t>指标赋值</w:t>
      </w:r>
      <w:r>
        <w:rPr>
          <w:rFonts w:hint="default" w:ascii="Times New Roman" w:hAnsi="Times New Roman" w:cs="Times New Roman"/>
          <w:bCs/>
          <w:szCs w:val="32"/>
          <w:lang w:val="en-US" w:eastAsia="zh-CN"/>
        </w:rPr>
        <w:t>2</w:t>
      </w:r>
      <w:r>
        <w:rPr>
          <w:rFonts w:hint="default" w:ascii="Times New Roman" w:hAnsi="Times New Roman" w:cs="Times New Roman"/>
          <w:bCs/>
          <w:szCs w:val="32"/>
        </w:rPr>
        <w:t>分，</w:t>
      </w:r>
      <w:r>
        <w:rPr>
          <w:rFonts w:hint="default" w:ascii="Times New Roman" w:hAnsi="Times New Roman" w:cs="Times New Roman"/>
          <w:szCs w:val="32"/>
        </w:rPr>
        <w:t>得分</w:t>
      </w:r>
      <w:r>
        <w:rPr>
          <w:rFonts w:hint="default" w:ascii="Times New Roman" w:hAnsi="Times New Roman" w:cs="Times New Roman"/>
          <w:szCs w:val="32"/>
          <w:lang w:val="en-US" w:eastAsia="zh-CN"/>
        </w:rPr>
        <w:t>2</w:t>
      </w:r>
      <w:r>
        <w:rPr>
          <w:rFonts w:hint="default" w:ascii="Times New Roman" w:hAnsi="Times New Roman" w:cs="Times New Roman"/>
          <w:szCs w:val="32"/>
        </w:rPr>
        <w:t>分</w:t>
      </w:r>
      <w:r>
        <w:rPr>
          <w:rFonts w:hint="default" w:ascii="Times New Roman" w:hAnsi="Times New Roman" w:cs="Times New Roman"/>
          <w:bCs/>
          <w:szCs w:val="32"/>
        </w:rPr>
        <w:t>。</w:t>
      </w:r>
    </w:p>
    <w:p w14:paraId="76236950">
      <w:pPr>
        <w:spacing w:line="560" w:lineRule="exact"/>
        <w:ind w:firstLine="640"/>
        <w:rPr>
          <w:rFonts w:hint="default" w:ascii="Times New Roman" w:hAnsi="Times New Roman" w:cs="Times New Roman"/>
          <w:szCs w:val="32"/>
        </w:rPr>
      </w:pPr>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w:t>
      </w:r>
      <w:r>
        <w:rPr>
          <w:rFonts w:hint="default" w:ascii="Times New Roman" w:hAnsi="Times New Roman" w:cs="Times New Roman"/>
        </w:rPr>
        <w:t>到位资金</w:t>
      </w:r>
      <w:r>
        <w:rPr>
          <w:rFonts w:hint="default" w:ascii="Times New Roman" w:hAnsi="Times New Roman" w:cs="Times New Roman"/>
          <w:lang w:val="en-US" w:eastAsia="zh-CN"/>
        </w:rPr>
        <w:t>100</w:t>
      </w:r>
      <w:r>
        <w:rPr>
          <w:rFonts w:hint="default" w:ascii="Times New Roman" w:hAnsi="Times New Roman" w:cs="Times New Roman"/>
        </w:rPr>
        <w:t>万元，</w:t>
      </w:r>
      <w:r>
        <w:rPr>
          <w:rFonts w:hint="default" w:ascii="Times New Roman" w:hAnsi="Times New Roman" w:cs="Times New Roman"/>
          <w:lang w:eastAsia="zh-CN"/>
        </w:rPr>
        <w:t>截至</w:t>
      </w:r>
      <w:r>
        <w:rPr>
          <w:rFonts w:hint="default" w:ascii="Times New Roman" w:hAnsi="Times New Roman" w:cs="Times New Roman"/>
          <w:szCs w:val="32"/>
        </w:rPr>
        <w:t>评价日，实际支出</w:t>
      </w:r>
      <w:r>
        <w:rPr>
          <w:rFonts w:hint="default" w:ascii="Times New Roman" w:hAnsi="Times New Roman" w:cs="Times New Roman"/>
          <w:szCs w:val="32"/>
          <w:lang w:val="en-US" w:eastAsia="zh-CN"/>
        </w:rPr>
        <w:t>100</w:t>
      </w:r>
      <w:r>
        <w:rPr>
          <w:rFonts w:hint="default" w:ascii="Times New Roman" w:hAnsi="Times New Roman" w:cs="Times New Roman"/>
          <w:szCs w:val="32"/>
        </w:rPr>
        <w:t>万元，</w:t>
      </w:r>
      <w:r>
        <w:rPr>
          <w:rFonts w:hint="default" w:ascii="Times New Roman" w:hAnsi="Times New Roman" w:cs="Times New Roman"/>
        </w:rPr>
        <w:t>预算执行率100%。</w:t>
      </w:r>
    </w:p>
    <w:p w14:paraId="4AB9B556">
      <w:pPr>
        <w:spacing w:line="560" w:lineRule="exact"/>
        <w:ind w:firstLine="643"/>
        <w:rPr>
          <w:rFonts w:hint="default" w:ascii="Times New Roman" w:hAnsi="Times New Roman" w:cs="Times New Roman"/>
          <w:b/>
          <w:bCs/>
          <w:szCs w:val="32"/>
        </w:rPr>
      </w:pPr>
      <w:r>
        <w:rPr>
          <w:rFonts w:hint="default" w:ascii="Times New Roman" w:hAnsi="Times New Roman" w:cs="Times New Roman"/>
          <w:b/>
          <w:color w:val="auto"/>
          <w:szCs w:val="32"/>
          <w:lang w:eastAsia="zh-CN"/>
        </w:rPr>
        <w:t>（</w:t>
      </w:r>
      <w:r>
        <w:rPr>
          <w:rFonts w:hint="default" w:ascii="Times New Roman" w:hAnsi="Times New Roman" w:cs="Times New Roman"/>
          <w:b/>
          <w:color w:val="auto"/>
          <w:szCs w:val="32"/>
        </w:rPr>
        <w:t>3）资金使用合规性：</w:t>
      </w:r>
      <w:r>
        <w:rPr>
          <w:rFonts w:hint="default" w:ascii="Times New Roman" w:hAnsi="Times New Roman" w:cs="Times New Roman"/>
          <w:szCs w:val="32"/>
          <w:highlight w:val="none"/>
        </w:rPr>
        <w:t>指标赋值4分，得分4分。</w:t>
      </w:r>
    </w:p>
    <w:p w14:paraId="3DB4B4D1">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绩效评价组根据</w:t>
      </w:r>
      <w:r>
        <w:rPr>
          <w:rFonts w:hint="default" w:ascii="Times New Roman" w:hAnsi="Times New Roman" w:cs="Times New Roman"/>
          <w:szCs w:val="32"/>
          <w:lang w:eastAsia="zh-CN"/>
        </w:rPr>
        <w:t>商务和经济合作局</w:t>
      </w:r>
      <w:r>
        <w:rPr>
          <w:rFonts w:hint="default" w:ascii="Times New Roman" w:hAnsi="Times New Roman" w:cs="Times New Roman"/>
          <w:szCs w:val="32"/>
        </w:rPr>
        <w:t>相关财务管理制度，对</w:t>
      </w:r>
      <w:r>
        <w:rPr>
          <w:rFonts w:hint="default" w:ascii="Times New Roman" w:hAnsi="Times New Roman" w:cs="Times New Roman"/>
          <w:szCs w:val="32"/>
          <w:lang w:eastAsia="zh-CN"/>
        </w:rPr>
        <w:t>服务业、电子商务、商贸企业等发展专项资金</w:t>
      </w:r>
      <w:r>
        <w:rPr>
          <w:rFonts w:hint="default" w:ascii="Times New Roman" w:hAnsi="Times New Roman" w:cs="Times New Roman"/>
          <w:szCs w:val="32"/>
        </w:rPr>
        <w:t>项目资金进行核查，结果表明，资金使用基本合规。具体表现为：一是资金拨付</w:t>
      </w:r>
      <w:r>
        <w:rPr>
          <w:rFonts w:hint="default" w:ascii="Times New Roman" w:hAnsi="Times New Roman" w:cs="Times New Roman"/>
          <w:szCs w:val="32"/>
          <w:lang w:val="en-US" w:eastAsia="zh-CN"/>
        </w:rPr>
        <w:t>程序严格</w:t>
      </w:r>
      <w:r>
        <w:rPr>
          <w:rFonts w:hint="default" w:ascii="Times New Roman" w:hAnsi="Times New Roman" w:cs="Times New Roman"/>
          <w:szCs w:val="32"/>
        </w:rPr>
        <w:t>；二是项目资金实行专款专用；三是项目资金使用符合预算批复用途，未发现截留、挤占、挪用与虚列支出等违规使用资金情况。</w:t>
      </w:r>
    </w:p>
    <w:p w14:paraId="3F769F10">
      <w:pPr>
        <w:spacing w:line="560" w:lineRule="exact"/>
        <w:ind w:firstLine="643"/>
        <w:rPr>
          <w:rFonts w:hint="default" w:ascii="Times New Roman" w:hAnsi="Times New Roman" w:cs="Times New Roman"/>
          <w:b/>
          <w:szCs w:val="32"/>
        </w:rPr>
      </w:pPr>
      <w:r>
        <w:rPr>
          <w:rFonts w:hint="default" w:ascii="Times New Roman" w:hAnsi="Times New Roman" w:cs="Times New Roman"/>
          <w:b/>
          <w:bCs/>
          <w:color w:val="auto"/>
          <w:szCs w:val="32"/>
        </w:rPr>
        <w:t>2.组织实施：</w:t>
      </w:r>
      <w:r>
        <w:rPr>
          <w:rFonts w:hint="default" w:ascii="Times New Roman" w:hAnsi="Times New Roman" w:cs="Times New Roman"/>
          <w:bCs/>
          <w:color w:val="auto"/>
          <w:szCs w:val="32"/>
        </w:rPr>
        <w:t>主</w:t>
      </w:r>
      <w:r>
        <w:rPr>
          <w:rFonts w:hint="default" w:ascii="Times New Roman" w:hAnsi="Times New Roman" w:cs="Times New Roman"/>
          <w:bCs/>
          <w:szCs w:val="32"/>
        </w:rPr>
        <w:t>要评价管理制度健全性和制度执行有</w:t>
      </w:r>
      <w:r>
        <w:rPr>
          <w:rFonts w:hint="default" w:ascii="Times New Roman" w:hAnsi="Times New Roman" w:cs="Times New Roman"/>
          <w:szCs w:val="32"/>
        </w:rPr>
        <w:t>效性情况。指标赋值</w:t>
      </w:r>
      <w:r>
        <w:rPr>
          <w:rFonts w:hint="default" w:ascii="Times New Roman" w:hAnsi="Times New Roman" w:cs="Times New Roman"/>
          <w:szCs w:val="32"/>
          <w:lang w:val="en-US" w:eastAsia="zh-CN"/>
        </w:rPr>
        <w:t>12</w:t>
      </w:r>
      <w:r>
        <w:rPr>
          <w:rFonts w:hint="default" w:ascii="Times New Roman" w:hAnsi="Times New Roman" w:cs="Times New Roman"/>
          <w:szCs w:val="32"/>
        </w:rPr>
        <w:t>分，评价得分</w:t>
      </w:r>
      <w:r>
        <w:rPr>
          <w:rFonts w:hint="default" w:ascii="Times New Roman" w:hAnsi="Times New Roman" w:cs="Times New Roman"/>
          <w:szCs w:val="32"/>
          <w:lang w:val="en-US" w:eastAsia="zh-CN"/>
        </w:rPr>
        <w:t>10</w:t>
      </w:r>
      <w:r>
        <w:rPr>
          <w:rFonts w:hint="default" w:ascii="Times New Roman" w:hAnsi="Times New Roman" w:cs="Times New Roman"/>
          <w:szCs w:val="32"/>
        </w:rPr>
        <w:t>分。</w:t>
      </w:r>
    </w:p>
    <w:p w14:paraId="577DD7C0">
      <w:pPr>
        <w:spacing w:line="560" w:lineRule="exact"/>
        <w:ind w:firstLine="643"/>
        <w:rPr>
          <w:rFonts w:hint="default" w:ascii="Times New Roman" w:hAnsi="Times New Roman" w:cs="Times New Roman"/>
          <w:szCs w:val="32"/>
        </w:rPr>
      </w:pPr>
      <w:r>
        <w:rPr>
          <w:rFonts w:hint="default" w:ascii="Times New Roman" w:hAnsi="Times New Roman" w:cs="Times New Roman"/>
          <w:b/>
          <w:bCs/>
          <w:lang w:eastAsia="zh-CN"/>
        </w:rPr>
        <w:t>（</w:t>
      </w:r>
      <w:r>
        <w:rPr>
          <w:rFonts w:hint="default" w:ascii="Times New Roman" w:hAnsi="Times New Roman" w:cs="Times New Roman"/>
          <w:b/>
          <w:bCs/>
        </w:rPr>
        <w:t>1）</w:t>
      </w:r>
      <w:r>
        <w:rPr>
          <w:rFonts w:hint="default" w:ascii="Times New Roman" w:hAnsi="Times New Roman" w:cs="Times New Roman"/>
          <w:b/>
        </w:rPr>
        <w:t>管理制度健全性：</w:t>
      </w:r>
      <w:r>
        <w:rPr>
          <w:rFonts w:hint="default" w:ascii="Times New Roman" w:hAnsi="Times New Roman" w:cs="Times New Roman"/>
        </w:rPr>
        <w:t>指标赋值</w:t>
      </w:r>
      <w:r>
        <w:rPr>
          <w:rFonts w:hint="default" w:ascii="Times New Roman" w:hAnsi="Times New Roman" w:cs="Times New Roman"/>
          <w:lang w:val="en-US" w:eastAsia="zh-CN"/>
        </w:rPr>
        <w:t>6</w:t>
      </w:r>
      <w:r>
        <w:rPr>
          <w:rFonts w:hint="default" w:ascii="Times New Roman" w:hAnsi="Times New Roman" w:cs="Times New Roman"/>
        </w:rPr>
        <w:t>分，得分</w:t>
      </w:r>
      <w:r>
        <w:rPr>
          <w:rFonts w:hint="default" w:ascii="Times New Roman" w:hAnsi="Times New Roman" w:cs="Times New Roman"/>
          <w:lang w:val="en-US" w:eastAsia="zh-CN"/>
        </w:rPr>
        <w:t>6</w:t>
      </w:r>
      <w:r>
        <w:rPr>
          <w:rFonts w:hint="default" w:ascii="Times New Roman" w:hAnsi="Times New Roman" w:cs="Times New Roman"/>
        </w:rPr>
        <w:t>分。</w:t>
      </w:r>
    </w:p>
    <w:p w14:paraId="191C8D57">
      <w:pPr>
        <w:spacing w:line="560" w:lineRule="exact"/>
        <w:ind w:firstLine="640"/>
        <w:rPr>
          <w:rFonts w:hint="default" w:ascii="Times New Roman" w:hAnsi="Times New Roman" w:cs="Times New Roman"/>
          <w:szCs w:val="32"/>
        </w:rPr>
      </w:pPr>
      <w:r>
        <w:rPr>
          <w:rFonts w:hint="default" w:ascii="Times New Roman" w:hAnsi="Times New Roman" w:cs="Times New Roman"/>
          <w:szCs w:val="32"/>
          <w:lang w:eastAsia="zh-CN"/>
        </w:rPr>
        <w:t>商务和经济合作局</w:t>
      </w:r>
      <w:r>
        <w:rPr>
          <w:rFonts w:hint="default" w:ascii="Times New Roman" w:hAnsi="Times New Roman" w:cs="Times New Roman"/>
          <w:szCs w:val="32"/>
        </w:rPr>
        <w:t>作为项目主管部门，依法使用会计法和相关财经法规进行财务管理，并结合本部门需要，制定了《</w:t>
      </w:r>
      <w:r>
        <w:rPr>
          <w:rFonts w:hint="default" w:ascii="Times New Roman" w:hAnsi="Times New Roman" w:cs="Times New Roman"/>
          <w:szCs w:val="32"/>
          <w:lang w:eastAsia="zh-CN"/>
        </w:rPr>
        <w:t>商务和经济合作局</w:t>
      </w:r>
      <w:r>
        <w:rPr>
          <w:rFonts w:hint="default" w:ascii="Times New Roman" w:hAnsi="Times New Roman" w:cs="Times New Roman"/>
          <w:szCs w:val="32"/>
          <w:lang w:val="en-US" w:eastAsia="zh-CN"/>
        </w:rPr>
        <w:t>内控制度</w:t>
      </w:r>
      <w:r>
        <w:rPr>
          <w:rFonts w:hint="default" w:ascii="Times New Roman" w:hAnsi="Times New Roman" w:cs="Times New Roman"/>
          <w:szCs w:val="32"/>
        </w:rPr>
        <w:t>》和《</w:t>
      </w:r>
      <w:r>
        <w:rPr>
          <w:rFonts w:hint="default" w:ascii="Times New Roman" w:hAnsi="Times New Roman" w:cs="Times New Roman"/>
          <w:szCs w:val="32"/>
          <w:lang w:val="en-US" w:eastAsia="zh-CN"/>
        </w:rPr>
        <w:t>商务接待管理制度</w:t>
      </w:r>
      <w:r>
        <w:rPr>
          <w:rFonts w:hint="default" w:ascii="Times New Roman" w:hAnsi="Times New Roman" w:cs="Times New Roman"/>
          <w:szCs w:val="32"/>
        </w:rPr>
        <w:t>》</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差旅费管理制度</w:t>
      </w:r>
      <w:r>
        <w:rPr>
          <w:rFonts w:hint="default" w:ascii="Times New Roman" w:hAnsi="Times New Roman" w:cs="Times New Roman"/>
          <w:szCs w:val="32"/>
          <w:lang w:eastAsia="zh-CN"/>
        </w:rPr>
        <w:t>》</w:t>
      </w:r>
      <w:r>
        <w:rPr>
          <w:rFonts w:hint="default" w:ascii="Times New Roman" w:hAnsi="Times New Roman" w:cs="Times New Roman"/>
          <w:szCs w:val="32"/>
        </w:rPr>
        <w:t>等，切实规范专项资金管理，保障资金安全、高效运行，发挥资金使用效益，财务管理制度基本健全。</w:t>
      </w:r>
    </w:p>
    <w:p w14:paraId="5A5FC678">
      <w:pPr>
        <w:spacing w:line="560" w:lineRule="exact"/>
        <w:ind w:firstLine="643"/>
        <w:rPr>
          <w:rFonts w:hint="default" w:ascii="Times New Roman" w:hAnsi="Times New Roman" w:cs="Times New Roman"/>
          <w:szCs w:val="32"/>
        </w:rPr>
      </w:pPr>
      <w:r>
        <w:rPr>
          <w:rFonts w:hint="default" w:ascii="Times New Roman" w:hAnsi="Times New Roman" w:cs="Times New Roman"/>
          <w:b/>
          <w:bCs/>
          <w:color w:val="auto"/>
          <w:szCs w:val="32"/>
          <w:lang w:eastAsia="zh-CN"/>
        </w:rPr>
        <w:t>（</w:t>
      </w:r>
      <w:r>
        <w:rPr>
          <w:rFonts w:hint="default" w:ascii="Times New Roman" w:hAnsi="Times New Roman" w:cs="Times New Roman"/>
          <w:b/>
          <w:bCs/>
          <w:color w:val="auto"/>
          <w:szCs w:val="32"/>
        </w:rPr>
        <w:t>2）制度执行有效性：</w:t>
      </w:r>
      <w:r>
        <w:rPr>
          <w:rFonts w:hint="default" w:ascii="Times New Roman" w:hAnsi="Times New Roman" w:cs="Times New Roman"/>
          <w:szCs w:val="32"/>
        </w:rPr>
        <w:t>指标赋值6分，得分</w:t>
      </w:r>
      <w:r>
        <w:rPr>
          <w:rFonts w:hint="default" w:ascii="Times New Roman" w:hAnsi="Times New Roman" w:cs="Times New Roman"/>
          <w:szCs w:val="32"/>
          <w:lang w:val="en-US" w:eastAsia="zh-CN"/>
        </w:rPr>
        <w:t>4</w:t>
      </w:r>
      <w:r>
        <w:rPr>
          <w:rFonts w:hint="default" w:ascii="Times New Roman" w:hAnsi="Times New Roman" w:cs="Times New Roman"/>
          <w:szCs w:val="32"/>
        </w:rPr>
        <w:t>分。</w:t>
      </w:r>
    </w:p>
    <w:p w14:paraId="0513D617">
      <w:pPr>
        <w:spacing w:line="560" w:lineRule="exact"/>
        <w:ind w:firstLine="640"/>
        <w:rPr>
          <w:rFonts w:hint="default" w:ascii="Times New Roman" w:hAnsi="Times New Roman" w:cs="Times New Roman"/>
          <w:b/>
          <w:bCs/>
          <w:szCs w:val="32"/>
        </w:rPr>
      </w:pPr>
      <w:r>
        <w:rPr>
          <w:rFonts w:hint="default" w:ascii="Times New Roman" w:hAnsi="Times New Roman" w:cs="Times New Roman"/>
          <w:szCs w:val="32"/>
        </w:rPr>
        <w:t>绩效评价组核查项目执行资料，结果表明，</w:t>
      </w:r>
      <w:r>
        <w:rPr>
          <w:rFonts w:hint="default" w:ascii="Times New Roman" w:hAnsi="Times New Roman" w:cs="Times New Roman"/>
          <w:szCs w:val="32"/>
          <w:lang w:eastAsia="zh-CN"/>
        </w:rPr>
        <w:t>商务和经济合作局服务业、电子商务、商贸企业等发展专项资金</w:t>
      </w:r>
      <w:r>
        <w:rPr>
          <w:rFonts w:hint="default" w:ascii="Times New Roman" w:hAnsi="Times New Roman" w:cs="Times New Roman"/>
          <w:szCs w:val="32"/>
        </w:rPr>
        <w:t>项目在各个重要工作环节实施程序较为规范，制度执行过程基本有效：</w:t>
      </w:r>
    </w:p>
    <w:p w14:paraId="0F76D5A7">
      <w:pPr>
        <w:spacing w:line="560" w:lineRule="exact"/>
        <w:ind w:left="0" w:leftChars="0" w:firstLine="0" w:firstLineChars="0"/>
        <w:rPr>
          <w:rFonts w:hint="default" w:ascii="Times New Roman" w:hAnsi="Times New Roman" w:eastAsia="仿宋" w:cs="Times New Roman"/>
          <w:szCs w:val="32"/>
        </w:rPr>
      </w:pPr>
      <w:r>
        <w:rPr>
          <w:rFonts w:hint="default" w:ascii="Times New Roman" w:hAnsi="Times New Roman" w:eastAsia="仿宋" w:cs="Times New Roman"/>
          <w:b/>
          <w:bCs/>
          <w:szCs w:val="32"/>
        </w:rPr>
        <w:t>一是项目申报程序执行规范。</w:t>
      </w:r>
      <w:r>
        <w:rPr>
          <w:rFonts w:hint="default" w:ascii="Times New Roman" w:hAnsi="Times New Roman" w:eastAsia="仿宋" w:cs="Times New Roman"/>
          <w:szCs w:val="32"/>
        </w:rPr>
        <w:t>各相关企业依据</w:t>
      </w:r>
      <w:r>
        <w:rPr>
          <w:rFonts w:hint="default" w:ascii="Times New Roman" w:hAnsi="Times New Roman" w:cs="Times New Roman"/>
          <w:szCs w:val="32"/>
          <w:lang w:eastAsia="zh-CN"/>
        </w:rPr>
        <w:t>《</w:t>
      </w:r>
      <w:r>
        <w:rPr>
          <w:rFonts w:hint="default" w:ascii="Times New Roman" w:hAnsi="Times New Roman" w:cs="Times New Roman"/>
          <w:szCs w:val="32"/>
          <w:lang w:val="en-US" w:eastAsia="zh-CN"/>
        </w:rPr>
        <w:t>德阳市罗江区商务和经济合作局关于加强招商引资专项资金和工作经费管理使用的通知》</w:t>
      </w:r>
      <w:r>
        <w:rPr>
          <w:rFonts w:hint="default" w:ascii="Times New Roman" w:hAnsi="Times New Roman" w:eastAsia="仿宋" w:cs="Times New Roman"/>
          <w:szCs w:val="32"/>
        </w:rPr>
        <w:t>文件通知要求进行项目申报，</w:t>
      </w:r>
      <w:r>
        <w:rPr>
          <w:rFonts w:hint="default" w:ascii="Times New Roman" w:hAnsi="Times New Roman" w:cs="Times New Roman"/>
          <w:szCs w:val="32"/>
          <w:lang w:eastAsia="zh-CN"/>
        </w:rPr>
        <w:t>商务和经济合作局</w:t>
      </w:r>
      <w:r>
        <w:rPr>
          <w:rFonts w:hint="default" w:ascii="Times New Roman" w:hAnsi="Times New Roman" w:eastAsia="仿宋" w:cs="Times New Roman"/>
          <w:szCs w:val="32"/>
        </w:rPr>
        <w:t>对提交申报的企业进行初审。项目提交后</w:t>
      </w:r>
      <w:r>
        <w:rPr>
          <w:rFonts w:hint="default" w:ascii="Times New Roman" w:hAnsi="Times New Roman" w:cs="Times New Roman"/>
          <w:szCs w:val="32"/>
        </w:rPr>
        <w:t>项目资金支出由</w:t>
      </w:r>
      <w:r>
        <w:rPr>
          <w:rFonts w:hint="default" w:ascii="Times New Roman" w:hAnsi="Times New Roman" w:cs="Times New Roman"/>
          <w:szCs w:val="32"/>
          <w:lang w:eastAsia="zh-CN"/>
        </w:rPr>
        <w:t>商务和经济合作局</w:t>
      </w:r>
      <w:r>
        <w:rPr>
          <w:rFonts w:hint="default" w:ascii="Times New Roman" w:hAnsi="Times New Roman" w:cs="Times New Roman"/>
          <w:szCs w:val="32"/>
        </w:rPr>
        <w:t>向区财政局提交</w:t>
      </w:r>
      <w:r>
        <w:rPr>
          <w:rFonts w:hint="default" w:ascii="Times New Roman" w:hAnsi="Times New Roman" w:cs="Times New Roman"/>
          <w:szCs w:val="32"/>
          <w:lang w:val="en-US" w:eastAsia="zh-CN"/>
        </w:rPr>
        <w:t>财政拨款申请表及项目实施方案等资料后经商局对款项进行打款</w:t>
      </w:r>
      <w:r>
        <w:rPr>
          <w:rFonts w:hint="default" w:ascii="Times New Roman" w:hAnsi="Times New Roman" w:eastAsia="仿宋" w:cs="Times New Roman"/>
          <w:szCs w:val="32"/>
        </w:rPr>
        <w:t>、确认过程等，项目申请与审批程序合规。</w:t>
      </w:r>
    </w:p>
    <w:p w14:paraId="6D7735EB">
      <w:pPr>
        <w:spacing w:line="560" w:lineRule="exact"/>
        <w:ind w:left="0" w:leftChars="0" w:firstLine="0" w:firstLineChars="0"/>
        <w:rPr>
          <w:rFonts w:hint="default" w:ascii="Times New Roman" w:hAnsi="Times New Roman" w:cs="Times New Roman"/>
          <w:b w:val="0"/>
          <w:bCs w:val="0"/>
          <w:szCs w:val="32"/>
          <w:lang w:val="en-US" w:eastAsia="zh-CN"/>
        </w:rPr>
      </w:pPr>
      <w:r>
        <w:rPr>
          <w:rFonts w:hint="default" w:ascii="Times New Roman" w:hAnsi="Times New Roman" w:cs="Times New Roman"/>
          <w:b/>
          <w:bCs/>
          <w:color w:val="auto"/>
          <w:szCs w:val="32"/>
          <w:lang w:val="en-US" w:eastAsia="zh-CN"/>
        </w:rPr>
        <w:t>二是主管部门资金收支执行内部稽核程序。</w:t>
      </w:r>
      <w:r>
        <w:rPr>
          <w:rFonts w:hint="default" w:ascii="Times New Roman" w:hAnsi="Times New Roman" w:cs="Times New Roman"/>
          <w:b w:val="0"/>
          <w:bCs w:val="0"/>
          <w:szCs w:val="32"/>
          <w:lang w:val="en-US" w:eastAsia="zh-CN"/>
        </w:rPr>
        <w:t>一是抽查商务和经济合作局2023年记账凭证，有记账、审核、制单人员签章，资金收支稽核程序完整。二是根据绩效小组查阅凭证等资料抽查部分财务记账凭证存在附件缺少内容不符等问题，绩效小组进行部分凭证的查阅12-98号凭证附件缺少会议纪要，根据德阳市罗江区商务和经济合作局关于加强招商引资专项资金和工作经费管理使用的通知。支付资金达到10000元以上的，必须经局党组会议集体研究，并履行“三重一大”全程纪实程序，附会议纪要，由经办人员签字、财务人员审核、分管领导审签、主要领导签字后报销。该凭证资金支付金额为105758.37元，该凭证后未附会议纪要。</w:t>
      </w:r>
    </w:p>
    <w:p w14:paraId="063AA13E">
      <w:pPr>
        <w:spacing w:line="560" w:lineRule="exact"/>
        <w:ind w:left="0" w:leftChars="0" w:firstLine="0" w:firstLineChars="0"/>
        <w:rPr>
          <w:rFonts w:hint="default" w:ascii="Times New Roman" w:hAnsi="Times New Roman" w:cs="Times New Roman"/>
          <w:b w:val="0"/>
          <w:bCs w:val="0"/>
          <w:szCs w:val="32"/>
          <w:lang w:val="en-US" w:eastAsia="zh-CN"/>
        </w:rPr>
      </w:pPr>
      <w:r>
        <w:rPr>
          <w:rFonts w:hint="default" w:ascii="Times New Roman" w:hAnsi="Times New Roman" w:cs="Times New Roman"/>
          <w:b/>
          <w:bCs/>
          <w:szCs w:val="32"/>
          <w:lang w:val="en-US" w:eastAsia="zh-CN"/>
        </w:rPr>
        <w:t>主要问题：</w:t>
      </w:r>
      <w:r>
        <w:rPr>
          <w:rFonts w:hint="default" w:ascii="Times New Roman" w:hAnsi="Times New Roman" w:cs="Times New Roman"/>
          <w:b w:val="0"/>
          <w:bCs w:val="0"/>
          <w:szCs w:val="32"/>
          <w:lang w:val="en-US" w:eastAsia="zh-CN"/>
        </w:rPr>
        <w:t>抽查部分财务记账凭证存在附加与内容不符，附件缺少问题。扣减2分。</w:t>
      </w:r>
      <w:bookmarkStart w:id="47" w:name="_Toc86224149"/>
    </w:p>
    <w:p w14:paraId="212419AF">
      <w:pPr>
        <w:pStyle w:val="5"/>
        <w:keepNext w:val="0"/>
        <w:keepLines w:val="0"/>
        <w:spacing w:line="560" w:lineRule="exact"/>
        <w:ind w:firstLine="643"/>
        <w:rPr>
          <w:rFonts w:hint="default" w:ascii="Times New Roman" w:hAnsi="Times New Roman" w:eastAsia="楷体" w:cs="Times New Roman"/>
          <w:lang w:eastAsia="zh-CN"/>
        </w:rPr>
      </w:pPr>
      <w:bookmarkStart w:id="48" w:name="_Toc2088"/>
      <w:r>
        <w:rPr>
          <w:rFonts w:hint="default" w:ascii="Times New Roman" w:hAnsi="Times New Roman" w:cs="Times New Roman"/>
          <w:lang w:val="en-US" w:eastAsia="zh-CN"/>
        </w:rPr>
        <w:t>（</w:t>
      </w:r>
      <w:r>
        <w:rPr>
          <w:rFonts w:hint="default" w:ascii="Times New Roman" w:hAnsi="Times New Roman" w:eastAsia="楷体" w:cs="Times New Roman"/>
          <w:lang w:val="en-US" w:eastAsia="zh-CN"/>
        </w:rPr>
        <w:t>三）</w:t>
      </w:r>
      <w:r>
        <w:rPr>
          <w:rFonts w:hint="default" w:ascii="Times New Roman" w:hAnsi="Times New Roman" w:eastAsia="楷体" w:cs="Times New Roman"/>
          <w:lang w:eastAsia="zh-CN"/>
        </w:rPr>
        <w:t>产出类指标</w:t>
      </w:r>
      <w:bookmarkEnd w:id="47"/>
      <w:bookmarkEnd w:id="48"/>
      <w:r>
        <w:rPr>
          <w:rFonts w:hint="default" w:ascii="Times New Roman" w:hAnsi="Times New Roman" w:eastAsia="楷体" w:cs="Times New Roman"/>
          <w:lang w:eastAsia="zh-CN"/>
        </w:rPr>
        <w:tab/>
      </w:r>
    </w:p>
    <w:p w14:paraId="74F6AE01">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主要评价项目产出数量、产出质量、产出时效和产出成</w:t>
      </w:r>
      <w:r>
        <w:rPr>
          <w:rFonts w:hint="default" w:ascii="Times New Roman" w:hAnsi="Times New Roman" w:cs="Times New Roman"/>
          <w:bCs/>
          <w:szCs w:val="32"/>
        </w:rPr>
        <w:t>本情况。指标赋值30分，综合得分</w:t>
      </w:r>
      <w:r>
        <w:rPr>
          <w:rFonts w:hint="default" w:ascii="Times New Roman" w:hAnsi="Times New Roman" w:cs="Times New Roman"/>
          <w:bCs/>
          <w:szCs w:val="32"/>
          <w:highlight w:val="none"/>
          <w:lang w:val="en-US" w:eastAsia="zh-CN"/>
        </w:rPr>
        <w:t>30</w:t>
      </w:r>
      <w:r>
        <w:rPr>
          <w:rFonts w:hint="default" w:ascii="Times New Roman" w:hAnsi="Times New Roman" w:cs="Times New Roman"/>
          <w:bCs/>
          <w:szCs w:val="32"/>
        </w:rPr>
        <w:t>分</w:t>
      </w:r>
      <w:r>
        <w:rPr>
          <w:rFonts w:hint="default" w:ascii="Times New Roman" w:hAnsi="Times New Roman" w:cs="Times New Roman"/>
          <w:szCs w:val="32"/>
        </w:rPr>
        <w:t>。</w:t>
      </w:r>
    </w:p>
    <w:p w14:paraId="1B3B7C83">
      <w:pPr>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eastAsia="仿宋" w:cs="Times New Roman"/>
        </w:rPr>
      </w:pPr>
      <w:r>
        <w:rPr>
          <w:rFonts w:hint="default" w:ascii="Times New Roman" w:hAnsi="Times New Roman" w:eastAsia="仿宋" w:cs="Times New Roman"/>
          <w:b/>
          <w:bCs/>
        </w:rPr>
        <w:t>1.产出数量：</w:t>
      </w:r>
      <w:r>
        <w:rPr>
          <w:rFonts w:hint="default" w:ascii="Times New Roman" w:hAnsi="Times New Roman" w:eastAsia="仿宋" w:cs="Times New Roman"/>
        </w:rPr>
        <w:t>主要评价项目实际完成率情况。指标赋值9分，评价得分9分。</w:t>
      </w:r>
    </w:p>
    <w:p w14:paraId="2C9A7FCB">
      <w:pPr>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cs="Times New Roman"/>
        </w:rPr>
      </w:pPr>
      <w:r>
        <w:rPr>
          <w:rFonts w:hint="default" w:ascii="Times New Roman" w:hAnsi="Times New Roman" w:eastAsia="仿宋" w:cs="Times New Roman"/>
          <w:lang w:eastAsia="zh-CN"/>
        </w:rPr>
        <w:t>商务和经济合作局服务业、电子商务、商贸企业等发展专项资金</w:t>
      </w:r>
      <w:r>
        <w:rPr>
          <w:rFonts w:hint="default" w:ascii="Times New Roman" w:hAnsi="Times New Roman" w:eastAsia="仿宋" w:cs="Times New Roman"/>
        </w:rPr>
        <w:t>项目计划</w:t>
      </w:r>
      <w:r>
        <w:rPr>
          <w:rFonts w:hint="default" w:ascii="Times New Roman" w:hAnsi="Times New Roman" w:eastAsia="仿宋" w:cs="Times New Roman"/>
          <w:lang w:val="en-US" w:eastAsia="zh-CN"/>
        </w:rPr>
        <w:t>举办促销活动场次4次</w:t>
      </w:r>
      <w:r>
        <w:rPr>
          <w:rFonts w:hint="default" w:ascii="Times New Roman" w:hAnsi="Times New Roman" w:eastAsia="仿宋" w:cs="Times New Roman"/>
        </w:rPr>
        <w:t>，</w:t>
      </w:r>
      <w:r>
        <w:rPr>
          <w:rFonts w:hint="default" w:ascii="Times New Roman" w:hAnsi="Times New Roman" w:eastAsia="仿宋" w:cs="Times New Roman"/>
          <w:lang w:val="en-US" w:eastAsia="zh-CN"/>
        </w:rPr>
        <w:t>举办1次川菜川剧活动及评选活动，</w:t>
      </w:r>
      <w:r>
        <w:rPr>
          <w:rFonts w:hint="default" w:ascii="Times New Roman" w:hAnsi="Times New Roman" w:eastAsia="仿宋" w:cs="Times New Roman"/>
        </w:rPr>
        <w:t>实际奖补企业，奖补资金已全部到位。项目整体目标完成率情况较好，实际完成率100%。</w:t>
      </w:r>
    </w:p>
    <w:p w14:paraId="4D57732D">
      <w:pPr>
        <w:spacing w:line="560" w:lineRule="exact"/>
        <w:ind w:firstLine="643"/>
        <w:rPr>
          <w:rFonts w:hint="default" w:ascii="Times New Roman" w:hAnsi="Times New Roman" w:cs="Times New Roman"/>
          <w:bCs/>
          <w:szCs w:val="32"/>
        </w:rPr>
      </w:pPr>
      <w:r>
        <w:rPr>
          <w:rFonts w:hint="default" w:ascii="Times New Roman" w:hAnsi="Times New Roman" w:cs="Times New Roman"/>
          <w:b/>
          <w:bCs/>
          <w:color w:val="auto"/>
          <w:szCs w:val="32"/>
        </w:rPr>
        <w:t>2.产出质量：</w:t>
      </w:r>
      <w:r>
        <w:rPr>
          <w:rFonts w:hint="default" w:ascii="Times New Roman" w:hAnsi="Times New Roman" w:cs="Times New Roman"/>
          <w:bCs/>
          <w:szCs w:val="32"/>
        </w:rPr>
        <w:t>主要评价项目</w:t>
      </w:r>
      <w:r>
        <w:rPr>
          <w:rFonts w:hint="default" w:ascii="Times New Roman" w:hAnsi="Times New Roman" w:cs="Times New Roman"/>
          <w:bCs/>
          <w:szCs w:val="32"/>
          <w:lang w:val="en-US" w:eastAsia="zh-CN"/>
        </w:rPr>
        <w:t>活动开展完成</w:t>
      </w:r>
      <w:r>
        <w:rPr>
          <w:rFonts w:hint="default" w:ascii="Times New Roman" w:hAnsi="Times New Roman" w:cs="Times New Roman"/>
          <w:bCs/>
          <w:szCs w:val="32"/>
        </w:rPr>
        <w:t>率情况。指标赋值9分，评价得分</w:t>
      </w:r>
      <w:r>
        <w:rPr>
          <w:rFonts w:hint="default" w:ascii="Times New Roman" w:hAnsi="Times New Roman" w:cs="Times New Roman"/>
          <w:bCs/>
          <w:szCs w:val="32"/>
          <w:lang w:val="en-US" w:eastAsia="zh-CN"/>
        </w:rPr>
        <w:t>9</w:t>
      </w:r>
      <w:r>
        <w:rPr>
          <w:rFonts w:hint="default" w:ascii="Times New Roman" w:hAnsi="Times New Roman" w:cs="Times New Roman"/>
          <w:bCs/>
          <w:szCs w:val="32"/>
        </w:rPr>
        <w:t>分。</w:t>
      </w:r>
    </w:p>
    <w:p w14:paraId="01775A20">
      <w:pPr>
        <w:pStyle w:val="2"/>
        <w:spacing w:line="560" w:lineRule="exact"/>
        <w:ind w:firstLine="640"/>
        <w:jc w:val="both"/>
        <w:rPr>
          <w:rFonts w:hint="default" w:ascii="Times New Roman" w:hAnsi="Times New Roman" w:eastAsia="仿宋" w:cs="Times New Roman"/>
          <w:lang w:val="en-US"/>
        </w:rPr>
      </w:pPr>
      <w:r>
        <w:rPr>
          <w:rFonts w:hint="default" w:ascii="Times New Roman" w:hAnsi="Times New Roman" w:eastAsia="仿宋" w:cs="Times New Roman"/>
          <w:bCs/>
          <w:szCs w:val="32"/>
        </w:rPr>
        <w:t>根据</w:t>
      </w:r>
      <w:r>
        <w:rPr>
          <w:rFonts w:hint="default" w:ascii="Times New Roman" w:hAnsi="Times New Roman" w:eastAsia="仿宋" w:cs="Times New Roman"/>
          <w:bCs/>
          <w:szCs w:val="32"/>
          <w:lang w:eastAsia="zh-CN"/>
        </w:rPr>
        <w:t>商务和经济合作局</w:t>
      </w:r>
      <w:r>
        <w:rPr>
          <w:rFonts w:hint="default" w:ascii="Times New Roman" w:hAnsi="Times New Roman" w:eastAsia="仿宋" w:cs="Times New Roman"/>
          <w:bCs/>
          <w:szCs w:val="32"/>
        </w:rPr>
        <w:t>提供的</w:t>
      </w:r>
      <w:r>
        <w:rPr>
          <w:rFonts w:hint="default" w:ascii="Times New Roman" w:hAnsi="Times New Roman" w:eastAsia="仿宋" w:cs="Times New Roman"/>
          <w:bCs/>
          <w:szCs w:val="32"/>
          <w:lang w:val="en-US" w:eastAsia="zh-CN"/>
        </w:rPr>
        <w:t>举办活动及评选活动</w:t>
      </w:r>
      <w:r>
        <w:rPr>
          <w:rFonts w:hint="default" w:ascii="Times New Roman" w:hAnsi="Times New Roman" w:eastAsia="仿宋" w:cs="Times New Roman"/>
          <w:bCs/>
          <w:szCs w:val="32"/>
        </w:rPr>
        <w:t>相关资料，</w:t>
      </w:r>
      <w:r>
        <w:rPr>
          <w:rFonts w:hint="default" w:ascii="Times New Roman" w:hAnsi="Times New Roman" w:eastAsia="仿宋" w:cs="Times New Roman"/>
          <w:szCs w:val="32"/>
          <w:lang w:eastAsia="zh-CN"/>
        </w:rPr>
        <w:t>服务业、电子商务、商贸企业等发展专项资金</w:t>
      </w:r>
      <w:r>
        <w:rPr>
          <w:rFonts w:hint="default" w:ascii="Times New Roman" w:hAnsi="Times New Roman" w:eastAsia="仿宋" w:cs="Times New Roman"/>
          <w:szCs w:val="32"/>
        </w:rPr>
        <w:t>项目</w:t>
      </w:r>
      <w:r>
        <w:rPr>
          <w:rFonts w:hint="default" w:ascii="Times New Roman" w:hAnsi="Times New Roman" w:eastAsia="仿宋" w:cs="Times New Roman"/>
          <w:bCs/>
          <w:szCs w:val="32"/>
        </w:rPr>
        <w:t>质量基本达标：</w:t>
      </w:r>
      <w:r>
        <w:rPr>
          <w:rFonts w:hint="default" w:ascii="Times New Roman" w:hAnsi="Times New Roman" w:eastAsia="仿宋" w:cs="Times New Roman"/>
          <w:bCs/>
          <w:szCs w:val="32"/>
          <w:lang w:val="en-US" w:eastAsia="zh-CN"/>
        </w:rPr>
        <w:t>根据抽查活动开展情况，2023年欢聚罗江，干杯世界罗江第二届青岛啤酒节活动的补贴情况，活动通过专家验收出具了活动专家验收表，活动开展有效完成。活动开展完成率100%</w:t>
      </w:r>
    </w:p>
    <w:p w14:paraId="40B62B1C">
      <w:pPr>
        <w:pStyle w:val="2"/>
        <w:spacing w:line="560" w:lineRule="exact"/>
        <w:ind w:firstLine="643"/>
        <w:rPr>
          <w:rFonts w:hint="default" w:ascii="Times New Roman" w:hAnsi="Times New Roman" w:eastAsia="仿宋" w:cs="Times New Roman"/>
          <w:szCs w:val="32"/>
        </w:rPr>
      </w:pPr>
      <w:r>
        <w:rPr>
          <w:rFonts w:hint="default" w:ascii="Times New Roman" w:hAnsi="Times New Roman" w:cs="Times New Roman"/>
          <w:b/>
          <w:bCs/>
          <w:szCs w:val="32"/>
        </w:rPr>
        <w:t>3.产出时效：</w:t>
      </w:r>
      <w:r>
        <w:rPr>
          <w:rFonts w:hint="default" w:ascii="Times New Roman" w:hAnsi="Times New Roman" w:cs="Times New Roman"/>
          <w:bCs/>
          <w:szCs w:val="32"/>
        </w:rPr>
        <w:t>主要评价项目完成及时率情况。指标赋值6</w:t>
      </w:r>
      <w:r>
        <w:rPr>
          <w:rFonts w:hint="default" w:ascii="Times New Roman" w:hAnsi="Times New Roman" w:eastAsia="仿宋" w:cs="Times New Roman"/>
          <w:szCs w:val="32"/>
        </w:rPr>
        <w:t>分，评价得分6分。</w:t>
      </w:r>
    </w:p>
    <w:p w14:paraId="444E8F09">
      <w:pPr>
        <w:pStyle w:val="2"/>
        <w:spacing w:line="560"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lang w:eastAsia="zh-CN"/>
        </w:rPr>
        <w:t>商务和经济合作局服务业、电子商务、商贸企业等发展专项资金</w:t>
      </w:r>
      <w:r>
        <w:rPr>
          <w:rFonts w:hint="default" w:ascii="Times New Roman" w:hAnsi="Times New Roman" w:eastAsia="仿宋" w:cs="Times New Roman"/>
          <w:szCs w:val="32"/>
        </w:rPr>
        <w:t>项目实施以预算年度为完成期限。</w:t>
      </w:r>
      <w:r>
        <w:rPr>
          <w:rFonts w:hint="default" w:ascii="Times New Roman" w:hAnsi="Times New Roman" w:eastAsia="仿宋" w:cs="Times New Roman"/>
          <w:szCs w:val="32"/>
          <w:lang w:val="en-US" w:eastAsia="zh-CN"/>
        </w:rPr>
        <w:t>专项资金奖补资金，招商引资招待等费用均在2023年底完成资金拨付及使用</w:t>
      </w:r>
      <w:r>
        <w:rPr>
          <w:rFonts w:hint="default" w:ascii="Times New Roman" w:hAnsi="Times New Roman" w:eastAsia="仿宋" w:cs="Times New Roman"/>
          <w:szCs w:val="32"/>
        </w:rPr>
        <w:t>，项目完成及时率100%。</w:t>
      </w:r>
    </w:p>
    <w:p w14:paraId="7C9BBAFD">
      <w:pPr>
        <w:pStyle w:val="2"/>
        <w:spacing w:line="560" w:lineRule="exact"/>
        <w:ind w:firstLine="643"/>
        <w:rPr>
          <w:rFonts w:hint="default" w:ascii="Times New Roman" w:hAnsi="Times New Roman" w:eastAsia="仿宋" w:cs="Times New Roman"/>
          <w:szCs w:val="32"/>
        </w:rPr>
      </w:pPr>
      <w:r>
        <w:rPr>
          <w:rFonts w:hint="default" w:ascii="Times New Roman" w:hAnsi="Times New Roman" w:cs="Times New Roman"/>
          <w:b/>
          <w:color w:val="auto"/>
          <w:szCs w:val="32"/>
        </w:rPr>
        <w:t>4.产出成本：</w:t>
      </w:r>
      <w:r>
        <w:rPr>
          <w:rFonts w:hint="default" w:ascii="Times New Roman" w:hAnsi="Times New Roman" w:cs="Times New Roman"/>
          <w:szCs w:val="32"/>
        </w:rPr>
        <w:t>主要评价项目</w:t>
      </w:r>
      <w:r>
        <w:rPr>
          <w:rFonts w:hint="default" w:ascii="Times New Roman" w:hAnsi="Times New Roman" w:cs="Times New Roman"/>
          <w:szCs w:val="32"/>
          <w:lang w:val="en-US" w:eastAsia="zh-CN"/>
        </w:rPr>
        <w:t>成本偏离度</w:t>
      </w:r>
      <w:r>
        <w:rPr>
          <w:rFonts w:hint="default" w:ascii="Times New Roman" w:hAnsi="Times New Roman" w:cs="Times New Roman"/>
          <w:szCs w:val="32"/>
        </w:rPr>
        <w:t>情况。</w:t>
      </w:r>
      <w:r>
        <w:rPr>
          <w:rFonts w:hint="default" w:ascii="Times New Roman" w:hAnsi="Times New Roman" w:cs="Times New Roman"/>
          <w:bCs/>
          <w:szCs w:val="32"/>
        </w:rPr>
        <w:t>指标赋值6</w:t>
      </w:r>
      <w:r>
        <w:rPr>
          <w:rFonts w:hint="default" w:ascii="Times New Roman" w:hAnsi="Times New Roman" w:eastAsia="仿宋" w:cs="Times New Roman"/>
          <w:szCs w:val="32"/>
        </w:rPr>
        <w:t>分，评价得分6分。</w:t>
      </w:r>
    </w:p>
    <w:p w14:paraId="576AFC57">
      <w:pPr>
        <w:pStyle w:val="2"/>
        <w:spacing w:line="560" w:lineRule="exact"/>
        <w:ind w:firstLine="640"/>
        <w:rPr>
          <w:rFonts w:hint="default" w:ascii="Times New Roman" w:hAnsi="Times New Roman" w:eastAsia="仿宋" w:cs="Times New Roman"/>
          <w:szCs w:val="32"/>
        </w:rPr>
      </w:pPr>
      <w:bookmarkStart w:id="49" w:name="_Toc31490"/>
      <w:r>
        <w:rPr>
          <w:rFonts w:hint="default" w:ascii="Times New Roman" w:hAnsi="Times New Roman" w:eastAsia="仿宋" w:cs="Times New Roman"/>
          <w:szCs w:val="32"/>
          <w:lang w:eastAsia="zh-CN"/>
        </w:rPr>
        <w:t>服务业、电子商务、商贸企业等发展专项资金</w:t>
      </w:r>
      <w:r>
        <w:rPr>
          <w:rFonts w:hint="default" w:ascii="Times New Roman" w:hAnsi="Times New Roman" w:eastAsia="仿宋" w:cs="Times New Roman"/>
          <w:szCs w:val="32"/>
        </w:rPr>
        <w:t>项目实施部门，即</w:t>
      </w:r>
      <w:r>
        <w:rPr>
          <w:rFonts w:hint="default" w:ascii="Times New Roman" w:hAnsi="Times New Roman" w:eastAsia="仿宋" w:cs="Times New Roman"/>
          <w:szCs w:val="32"/>
          <w:lang w:eastAsia="zh-CN"/>
        </w:rPr>
        <w:t>商务和经济合作局</w:t>
      </w:r>
      <w:r>
        <w:rPr>
          <w:rFonts w:hint="default" w:ascii="Times New Roman" w:hAnsi="Times New Roman" w:eastAsia="仿宋" w:cs="Times New Roman"/>
          <w:szCs w:val="32"/>
        </w:rPr>
        <w:t>实际收到资金</w:t>
      </w:r>
      <w:r>
        <w:rPr>
          <w:rFonts w:hint="default" w:ascii="Times New Roman" w:hAnsi="Times New Roman" w:eastAsia="仿宋" w:cs="Times New Roman"/>
          <w:szCs w:val="32"/>
          <w:lang w:val="en-US" w:eastAsia="zh-CN"/>
        </w:rPr>
        <w:t>100</w:t>
      </w:r>
      <w:r>
        <w:rPr>
          <w:rFonts w:hint="default" w:ascii="Times New Roman" w:hAnsi="Times New Roman" w:eastAsia="仿宋" w:cs="Times New Roman"/>
          <w:szCs w:val="32"/>
        </w:rPr>
        <w:t>万元，截至202</w:t>
      </w:r>
      <w:r>
        <w:rPr>
          <w:rFonts w:hint="default" w:ascii="Times New Roman" w:hAnsi="Times New Roman" w:eastAsia="仿宋" w:cs="Times New Roman"/>
          <w:szCs w:val="32"/>
          <w:lang w:val="en-US" w:eastAsia="zh-CN"/>
        </w:rPr>
        <w:t>3</w:t>
      </w:r>
      <w:r>
        <w:rPr>
          <w:rFonts w:hint="default" w:ascii="Times New Roman" w:hAnsi="Times New Roman" w:eastAsia="仿宋" w:cs="Times New Roman"/>
          <w:szCs w:val="32"/>
        </w:rPr>
        <w:t>年底，全部用于企业奖补支出，</w:t>
      </w:r>
      <w:r>
        <w:rPr>
          <w:rFonts w:hint="default" w:ascii="Times New Roman" w:hAnsi="Times New Roman" w:eastAsia="仿宋" w:cs="Times New Roman"/>
          <w:szCs w:val="32"/>
          <w:lang w:val="en-US" w:eastAsia="zh-CN"/>
        </w:rPr>
        <w:t>招商引资支出等费用，</w:t>
      </w:r>
      <w:r>
        <w:rPr>
          <w:rFonts w:hint="default" w:ascii="Times New Roman" w:hAnsi="Times New Roman" w:eastAsia="仿宋" w:cs="Times New Roman"/>
          <w:szCs w:val="32"/>
        </w:rPr>
        <w:t>支出成本</w:t>
      </w:r>
      <w:r>
        <w:rPr>
          <w:rFonts w:hint="default" w:ascii="Times New Roman" w:hAnsi="Times New Roman" w:eastAsia="仿宋" w:cs="Times New Roman"/>
          <w:szCs w:val="32"/>
          <w:lang w:val="en-US" w:eastAsia="zh-CN"/>
        </w:rPr>
        <w:t>100</w:t>
      </w:r>
      <w:r>
        <w:rPr>
          <w:rFonts w:hint="default" w:ascii="Times New Roman" w:hAnsi="Times New Roman" w:eastAsia="仿宋" w:cs="Times New Roman"/>
          <w:szCs w:val="32"/>
        </w:rPr>
        <w:t>万元，</w:t>
      </w:r>
      <w:r>
        <w:rPr>
          <w:rFonts w:hint="default" w:ascii="Times New Roman" w:hAnsi="Times New Roman" w:eastAsia="仿宋" w:cs="Times New Roman"/>
          <w:szCs w:val="32"/>
          <w:lang w:eastAsia="zh-CN"/>
        </w:rPr>
        <w:t>成本偏离度</w:t>
      </w:r>
      <w:r>
        <w:rPr>
          <w:rFonts w:hint="default" w:ascii="Times New Roman" w:hAnsi="Times New Roman" w:eastAsia="仿宋" w:cs="Times New Roman"/>
          <w:szCs w:val="32"/>
        </w:rPr>
        <w:t>为0%，整体成本控制较好。</w:t>
      </w:r>
    </w:p>
    <w:bookmarkEnd w:id="49"/>
    <w:p w14:paraId="6CDB9905">
      <w:pPr>
        <w:pStyle w:val="5"/>
        <w:keepNext w:val="0"/>
        <w:keepLines w:val="0"/>
        <w:spacing w:line="560" w:lineRule="exact"/>
        <w:ind w:firstLine="643"/>
        <w:rPr>
          <w:rFonts w:hint="default" w:ascii="Times New Roman" w:hAnsi="Times New Roman" w:cs="Times New Roman"/>
        </w:rPr>
      </w:pPr>
      <w:bookmarkStart w:id="50" w:name="_Toc86224150"/>
      <w:bookmarkStart w:id="51" w:name="_Toc15517"/>
      <w:r>
        <w:rPr>
          <w:rFonts w:hint="default" w:ascii="Times New Roman" w:hAnsi="Times New Roman" w:cs="Times New Roman"/>
          <w:lang w:val="en-US" w:eastAsia="zh-CN"/>
        </w:rPr>
        <w:t>（</w:t>
      </w:r>
      <w:r>
        <w:rPr>
          <w:rFonts w:hint="default" w:ascii="Times New Roman" w:hAnsi="Times New Roman" w:cs="Times New Roman"/>
        </w:rPr>
        <w:t>四）效益类指标</w:t>
      </w:r>
      <w:bookmarkEnd w:id="50"/>
      <w:bookmarkEnd w:id="51"/>
    </w:p>
    <w:p w14:paraId="57FB32A0">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主要评价项目实施</w:t>
      </w:r>
      <w:r>
        <w:rPr>
          <w:rFonts w:hint="default" w:ascii="Times New Roman" w:hAnsi="Times New Roman" w:cs="Times New Roman"/>
          <w:bCs/>
          <w:szCs w:val="32"/>
        </w:rPr>
        <w:t>效益和服务对象满意度情况</w:t>
      </w:r>
      <w:r>
        <w:rPr>
          <w:rFonts w:hint="default" w:ascii="Times New Roman" w:hAnsi="Times New Roman" w:cs="Times New Roman"/>
          <w:szCs w:val="32"/>
        </w:rPr>
        <w:t>。指标赋值30分，综合得分</w:t>
      </w:r>
      <w:r>
        <w:rPr>
          <w:rFonts w:hint="default" w:ascii="Times New Roman" w:hAnsi="Times New Roman" w:cs="Times New Roman"/>
          <w:szCs w:val="32"/>
          <w:lang w:val="en-US" w:eastAsia="zh-CN"/>
        </w:rPr>
        <w:t>29.75</w:t>
      </w:r>
      <w:r>
        <w:rPr>
          <w:rFonts w:hint="default" w:ascii="Times New Roman" w:hAnsi="Times New Roman" w:cs="Times New Roman"/>
          <w:szCs w:val="32"/>
        </w:rPr>
        <w:t>分。</w:t>
      </w:r>
    </w:p>
    <w:p w14:paraId="42017F1D">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rPr>
      </w:pPr>
      <w:r>
        <w:rPr>
          <w:rFonts w:hint="default" w:ascii="Times New Roman" w:hAnsi="Times New Roman" w:cs="Times New Roman"/>
          <w:b/>
          <w:bCs/>
        </w:rPr>
        <w:t>1.实施效益：</w:t>
      </w:r>
      <w:r>
        <w:rPr>
          <w:rFonts w:hint="default" w:ascii="Times New Roman" w:hAnsi="Times New Roman" w:cs="Times New Roman"/>
        </w:rPr>
        <w:t>主要评价项目实施所产生的社会效益</w:t>
      </w:r>
      <w:r>
        <w:rPr>
          <w:rFonts w:hint="default" w:ascii="Times New Roman" w:hAnsi="Times New Roman" w:cs="Times New Roman"/>
          <w:lang w:eastAsia="zh-CN"/>
        </w:rPr>
        <w:t>、</w:t>
      </w:r>
      <w:r>
        <w:rPr>
          <w:rFonts w:hint="default" w:ascii="Times New Roman" w:hAnsi="Times New Roman" w:cs="Times New Roman"/>
          <w:lang w:val="en-US" w:eastAsia="zh-CN"/>
        </w:rPr>
        <w:t>经济效益</w:t>
      </w:r>
      <w:r>
        <w:rPr>
          <w:rFonts w:hint="default" w:ascii="Times New Roman" w:hAnsi="Times New Roman" w:cs="Times New Roman"/>
        </w:rPr>
        <w:t>情况。指标赋值</w:t>
      </w:r>
      <w:r>
        <w:rPr>
          <w:rFonts w:hint="default" w:ascii="Times New Roman" w:hAnsi="Times New Roman" w:cs="Times New Roman"/>
          <w:highlight w:val="none"/>
          <w:lang w:val="en-US" w:eastAsia="zh-CN"/>
        </w:rPr>
        <w:t>20</w:t>
      </w:r>
      <w:r>
        <w:rPr>
          <w:rFonts w:hint="default" w:ascii="Times New Roman" w:hAnsi="Times New Roman" w:cs="Times New Roman"/>
          <w:highlight w:val="none"/>
        </w:rPr>
        <w:t>分</w:t>
      </w:r>
      <w:r>
        <w:rPr>
          <w:rFonts w:hint="default" w:ascii="Times New Roman" w:hAnsi="Times New Roman" w:cs="Times New Roman"/>
        </w:rPr>
        <w:t>，评价得分</w:t>
      </w:r>
      <w:r>
        <w:rPr>
          <w:rFonts w:hint="default" w:ascii="Times New Roman" w:hAnsi="Times New Roman" w:cs="Times New Roman"/>
          <w:highlight w:val="none"/>
          <w:lang w:val="en-US" w:eastAsia="zh-CN"/>
        </w:rPr>
        <w:t>20</w:t>
      </w:r>
      <w:r>
        <w:rPr>
          <w:rFonts w:hint="default" w:ascii="Times New Roman" w:hAnsi="Times New Roman" w:cs="Times New Roman"/>
          <w:highlight w:val="none"/>
        </w:rPr>
        <w:t>分。</w:t>
      </w:r>
    </w:p>
    <w:p w14:paraId="2102B622">
      <w:pPr>
        <w:pStyle w:val="2"/>
        <w:spacing w:line="560" w:lineRule="exact"/>
        <w:ind w:firstLine="640"/>
        <w:rPr>
          <w:rFonts w:hint="default" w:ascii="Times New Roman" w:hAnsi="Times New Roman" w:eastAsia="仿宋" w:cs="Times New Roman"/>
          <w:szCs w:val="32"/>
          <w:highlight w:val="none"/>
          <w:lang w:eastAsia="zh-CN"/>
        </w:rPr>
      </w:pPr>
      <w:r>
        <w:rPr>
          <w:rFonts w:hint="default" w:ascii="Times New Roman" w:hAnsi="Times New Roman" w:eastAsia="仿宋" w:cs="Times New Roman"/>
          <w:szCs w:val="32"/>
          <w:lang w:eastAsia="zh-CN"/>
        </w:rPr>
        <w:t>商务和经济合作局服务业、电子商务、商贸企业等发展专项资金</w:t>
      </w:r>
      <w:r>
        <w:rPr>
          <w:rFonts w:hint="default" w:ascii="Times New Roman" w:hAnsi="Times New Roman" w:eastAsia="仿宋" w:cs="Times New Roman"/>
          <w:szCs w:val="32"/>
        </w:rPr>
        <w:t>项目</w:t>
      </w:r>
      <w:r>
        <w:rPr>
          <w:rFonts w:hint="default" w:ascii="Times New Roman" w:hAnsi="Times New Roman" w:eastAsia="仿宋" w:cs="Times New Roman"/>
          <w:bCs/>
          <w:szCs w:val="32"/>
        </w:rPr>
        <w:t>实施后，取得了良好的经济效益：</w:t>
      </w:r>
      <w:r>
        <w:rPr>
          <w:rFonts w:hint="default" w:ascii="Times New Roman" w:hAnsi="Times New Roman" w:cs="Times New Roman"/>
          <w:b w:val="0"/>
          <w:bCs w:val="0"/>
          <w:lang w:val="en-US" w:eastAsia="zh-CN"/>
        </w:rPr>
        <w:t>重大项目引进带动发展</w:t>
      </w:r>
      <w:r>
        <w:rPr>
          <w:rFonts w:hint="default" w:ascii="Times New Roman" w:hAnsi="Times New Roman" w:cs="Times New Roman"/>
          <w:b w:val="0"/>
          <w:bCs w:val="0"/>
        </w:rPr>
        <w:t>。</w:t>
      </w:r>
      <w:r>
        <w:rPr>
          <w:rFonts w:hint="default" w:ascii="Times New Roman" w:hAnsi="Times New Roman" w:eastAsia="仿宋" w:cs="Times New Roman"/>
        </w:rPr>
        <w:t>通过</w:t>
      </w:r>
      <w:r>
        <w:rPr>
          <w:rFonts w:hint="default" w:ascii="Times New Roman" w:hAnsi="Times New Roman" w:eastAsia="仿宋" w:cs="Times New Roman"/>
          <w:lang w:val="en-US" w:eastAsia="zh-CN"/>
        </w:rPr>
        <w:t>重大项目引进个数及资金投资，罗江区2023年引进产业项目15个、计划总投资166.21万元其中，5亿-30亿元项目5个、完成全年目标任务的100%。30亿-50亿元项目1个、完成全年目标任务的100%，50亿-100亿元项目2个，完成全年目标任务的100%。</w:t>
      </w:r>
      <w:r>
        <w:rPr>
          <w:rFonts w:hint="default" w:ascii="Times New Roman" w:hAnsi="Times New Roman" w:eastAsia="仿宋" w:cs="Times New Roman"/>
        </w:rPr>
        <w:t>促进了</w:t>
      </w:r>
      <w:r>
        <w:rPr>
          <w:rFonts w:hint="default" w:ascii="Times New Roman" w:hAnsi="Times New Roman" w:eastAsia="仿宋" w:cs="Times New Roman"/>
          <w:lang w:eastAsia="zh-CN"/>
        </w:rPr>
        <w:t>罗江区</w:t>
      </w:r>
      <w:r>
        <w:rPr>
          <w:rFonts w:hint="default" w:ascii="Times New Roman" w:hAnsi="Times New Roman" w:eastAsia="仿宋" w:cs="Times New Roman"/>
        </w:rPr>
        <w:t>企业发展创新、转型升级，加快了辖区中小企业培育成长，推动了辖区企业持续、高质量发展</w:t>
      </w:r>
      <w:r>
        <w:rPr>
          <w:rFonts w:hint="default" w:ascii="Times New Roman" w:hAnsi="Times New Roman" w:eastAsia="仿宋" w:cs="Times New Roman"/>
          <w:lang w:eastAsia="zh-CN"/>
        </w:rPr>
        <w:t>。</w:t>
      </w:r>
    </w:p>
    <w:p w14:paraId="6F74E4DD">
      <w:pPr>
        <w:pStyle w:val="2"/>
        <w:spacing w:line="560" w:lineRule="exact"/>
        <w:ind w:firstLine="640"/>
        <w:rPr>
          <w:rFonts w:hint="default" w:ascii="Times New Roman" w:hAnsi="Times New Roman" w:cs="Times New Roman"/>
          <w:b w:val="0"/>
          <w:bCs/>
          <w:szCs w:val="32"/>
          <w:lang w:val="en-US" w:eastAsia="zh-CN"/>
        </w:rPr>
      </w:pPr>
      <w:r>
        <w:rPr>
          <w:rFonts w:hint="default" w:ascii="Times New Roman" w:hAnsi="Times New Roman" w:eastAsia="仿宋" w:cs="Times New Roman"/>
          <w:szCs w:val="32"/>
        </w:rPr>
        <w:t>项目</w:t>
      </w:r>
      <w:r>
        <w:rPr>
          <w:rFonts w:hint="default" w:ascii="Times New Roman" w:hAnsi="Times New Roman" w:eastAsia="仿宋" w:cs="Times New Roman"/>
          <w:bCs/>
          <w:szCs w:val="32"/>
        </w:rPr>
        <w:t>实施后，取得了良好的社会效益：</w:t>
      </w:r>
      <w:r>
        <w:rPr>
          <w:rFonts w:hint="default" w:ascii="Times New Roman" w:hAnsi="Times New Roman" w:cs="Times New Roman"/>
          <w:b w:val="0"/>
          <w:bCs/>
          <w:szCs w:val="32"/>
          <w:lang w:val="en-US" w:eastAsia="zh-CN"/>
        </w:rPr>
        <w:t>提高居民收入，促进社会和谐稳定。随着招商引资项目的引进，引进行业的繁荣，从业人员的收入水平也得到了显著提升。引进的企业和项目通常会带动相关产业链的发展，如上下游企业、配套服务企业等。这些产业链上的企业也会增设岗位，进一步增加当地的就业机会。有助于改善居民的生活质量，促进社会和谐稳定。</w:t>
      </w:r>
    </w:p>
    <w:p w14:paraId="448B9B6A">
      <w:pPr>
        <w:spacing w:line="560" w:lineRule="exact"/>
        <w:ind w:firstLine="643"/>
        <w:rPr>
          <w:rFonts w:hint="default" w:ascii="Times New Roman" w:hAnsi="Times New Roman" w:cs="Times New Roman"/>
          <w:b/>
          <w:color w:val="FF0000"/>
          <w:szCs w:val="32"/>
        </w:rPr>
      </w:pPr>
      <w:r>
        <w:rPr>
          <w:rFonts w:hint="default" w:ascii="Times New Roman" w:hAnsi="Times New Roman" w:cs="Times New Roman"/>
          <w:b/>
          <w:szCs w:val="32"/>
          <w:lang w:val="en-US" w:eastAsia="zh-CN"/>
        </w:rPr>
        <w:t>2</w:t>
      </w:r>
      <w:r>
        <w:rPr>
          <w:rFonts w:hint="default" w:ascii="Times New Roman" w:hAnsi="Times New Roman" w:cs="Times New Roman"/>
          <w:b/>
          <w:szCs w:val="32"/>
        </w:rPr>
        <w:t>.满意度：</w:t>
      </w:r>
      <w:r>
        <w:rPr>
          <w:rFonts w:hint="default" w:ascii="Times New Roman" w:hAnsi="Times New Roman" w:cs="Times New Roman"/>
          <w:szCs w:val="32"/>
        </w:rPr>
        <w:t>主要评价</w:t>
      </w:r>
      <w:r>
        <w:rPr>
          <w:rFonts w:hint="default" w:ascii="Times New Roman" w:hAnsi="Times New Roman" w:cs="Times New Roman"/>
          <w:szCs w:val="32"/>
          <w:lang w:val="en-US" w:eastAsia="zh-CN"/>
        </w:rPr>
        <w:t>项目受益企业</w:t>
      </w:r>
      <w:r>
        <w:rPr>
          <w:rFonts w:hint="default" w:ascii="Times New Roman" w:hAnsi="Times New Roman" w:cs="Times New Roman"/>
          <w:szCs w:val="32"/>
        </w:rPr>
        <w:t>满意度和群众满意度情况。指标赋值10分，评价得分</w:t>
      </w:r>
      <w:r>
        <w:rPr>
          <w:rFonts w:hint="default" w:ascii="Times New Roman" w:hAnsi="Times New Roman" w:cs="Times New Roman"/>
          <w:szCs w:val="32"/>
          <w:lang w:val="en-US" w:eastAsia="zh-CN"/>
        </w:rPr>
        <w:t>9.75</w:t>
      </w:r>
      <w:r>
        <w:rPr>
          <w:rFonts w:hint="default" w:ascii="Times New Roman" w:hAnsi="Times New Roman" w:cs="Times New Roman"/>
          <w:szCs w:val="32"/>
        </w:rPr>
        <w:t>分。</w:t>
      </w:r>
    </w:p>
    <w:p w14:paraId="64DAC839">
      <w:pPr>
        <w:spacing w:line="560" w:lineRule="exact"/>
        <w:ind w:firstLine="640"/>
        <w:rPr>
          <w:rFonts w:hint="default" w:ascii="Times New Roman" w:hAnsi="Times New Roman" w:cs="Times New Roman"/>
          <w:kern w:val="0"/>
          <w:szCs w:val="32"/>
        </w:rPr>
      </w:pPr>
      <w:r>
        <w:rPr>
          <w:rFonts w:hint="default" w:ascii="Times New Roman" w:hAnsi="Times New Roman" w:cs="Times New Roman"/>
          <w:szCs w:val="32"/>
          <w:highlight w:val="none"/>
        </w:rPr>
        <w:t>绩效评价组针对</w:t>
      </w:r>
      <w:r>
        <w:rPr>
          <w:rFonts w:hint="default" w:ascii="Times New Roman" w:hAnsi="Times New Roman" w:cs="Times New Roman"/>
          <w:bCs/>
          <w:szCs w:val="32"/>
          <w:highlight w:val="none"/>
          <w:lang w:val="en-US" w:eastAsia="zh-CN"/>
        </w:rPr>
        <w:t>企业采用问卷星</w:t>
      </w:r>
      <w:r>
        <w:rPr>
          <w:rFonts w:hint="default" w:ascii="Times New Roman" w:hAnsi="Times New Roman" w:cs="Times New Roman"/>
          <w:szCs w:val="32"/>
          <w:highlight w:val="none"/>
        </w:rPr>
        <w:t>进行</w:t>
      </w:r>
      <w:r>
        <w:rPr>
          <w:rFonts w:hint="default" w:ascii="Times New Roman" w:hAnsi="Times New Roman" w:cs="Times New Roman"/>
          <w:szCs w:val="32"/>
          <w:highlight w:val="none"/>
          <w:lang w:val="en-US" w:eastAsia="zh-CN"/>
        </w:rPr>
        <w:t>问卷调查</w:t>
      </w:r>
      <w:r>
        <w:rPr>
          <w:rFonts w:hint="default" w:ascii="Times New Roman" w:hAnsi="Times New Roman" w:cs="Times New Roman"/>
          <w:szCs w:val="32"/>
          <w:highlight w:val="none"/>
        </w:rPr>
        <w:t>，取得企业</w:t>
      </w:r>
      <w:r>
        <w:rPr>
          <w:rFonts w:hint="default" w:ascii="Times New Roman" w:hAnsi="Times New Roman" w:cs="Times New Roman"/>
          <w:szCs w:val="32"/>
          <w:highlight w:val="none"/>
          <w:lang w:val="en-US" w:eastAsia="zh-CN"/>
        </w:rPr>
        <w:t>问卷13份</w:t>
      </w:r>
      <w:r>
        <w:rPr>
          <w:rFonts w:hint="default" w:ascii="Times New Roman" w:hAnsi="Times New Roman" w:cs="Times New Roman"/>
          <w:szCs w:val="32"/>
          <w:highlight w:val="none"/>
        </w:rPr>
        <w:t>，结果表明</w:t>
      </w:r>
      <w:r>
        <w:rPr>
          <w:rFonts w:hint="default" w:ascii="Times New Roman" w:hAnsi="Times New Roman" w:cs="Times New Roman"/>
          <w:szCs w:val="32"/>
          <w:highlight w:val="none"/>
          <w:lang w:val="en-US" w:eastAsia="zh-CN"/>
        </w:rPr>
        <w:t>服务业占比46.15%，商贸企业占比53.85%。经调查该发展专项资金大部分用于商贸企业及服务业企业。结果显示</w:t>
      </w:r>
      <w:r>
        <w:rPr>
          <w:rFonts w:hint="default" w:ascii="Times New Roman" w:hAnsi="Times New Roman" w:cs="Times New Roman"/>
          <w:szCs w:val="32"/>
          <w:highlight w:val="none"/>
          <w:lang w:eastAsia="zh-CN"/>
        </w:rPr>
        <w:t>商务和经济合作局服务业、电子商务、商贸企业等发展专项资金</w:t>
      </w:r>
      <w:r>
        <w:rPr>
          <w:rFonts w:hint="default" w:ascii="Times New Roman" w:hAnsi="Times New Roman" w:cs="Times New Roman"/>
          <w:szCs w:val="32"/>
          <w:highlight w:val="none"/>
        </w:rPr>
        <w:t>项目实施的服务对象总体满意度达</w:t>
      </w:r>
      <w:r>
        <w:rPr>
          <w:rFonts w:hint="default" w:ascii="Times New Roman" w:hAnsi="Times New Roman" w:cs="Times New Roman"/>
          <w:szCs w:val="32"/>
          <w:highlight w:val="none"/>
          <w:lang w:val="en-US" w:eastAsia="zh-CN"/>
        </w:rPr>
        <w:t>97.5</w:t>
      </w:r>
      <w:r>
        <w:rPr>
          <w:rFonts w:hint="default" w:ascii="Times New Roman" w:hAnsi="Times New Roman" w:cs="Times New Roman"/>
          <w:szCs w:val="32"/>
          <w:highlight w:val="none"/>
        </w:rPr>
        <w:t>%。</w:t>
      </w:r>
      <w:r>
        <w:rPr>
          <w:rFonts w:hint="default" w:ascii="Times New Roman" w:hAnsi="Times New Roman" w:cs="Times New Roman"/>
          <w:szCs w:val="32"/>
          <w:lang w:val="en-US" w:eastAsia="zh-CN"/>
        </w:rPr>
        <w:t>根据绩效评价体系满意度评分标准扣减0.25分。</w:t>
      </w:r>
      <w:r>
        <w:rPr>
          <w:rFonts w:hint="default" w:ascii="Times New Roman" w:hAnsi="Times New Roman" w:cs="Times New Roman"/>
          <w:kern w:val="0"/>
          <w:szCs w:val="32"/>
        </w:rPr>
        <w:t>详情见下表。</w:t>
      </w:r>
    </w:p>
    <w:p w14:paraId="10B7A372">
      <w:pPr>
        <w:pStyle w:val="2"/>
        <w:spacing w:line="560" w:lineRule="exact"/>
        <w:ind w:firstLine="0" w:firstLineChars="0"/>
        <w:jc w:val="center"/>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 xml:space="preserve">  表4-5：</w:t>
      </w:r>
      <w:r>
        <w:rPr>
          <w:rFonts w:hint="default" w:ascii="Times New Roman" w:hAnsi="Times New Roman" w:eastAsia="楷体" w:cs="Times New Roman"/>
          <w:b/>
          <w:bCs/>
          <w:sz w:val="30"/>
          <w:szCs w:val="30"/>
        </w:rPr>
        <w:t>项目问卷调查结果统计分析表</w:t>
      </w:r>
    </w:p>
    <w:tbl>
      <w:tblPr>
        <w:tblStyle w:val="26"/>
        <w:tblW w:w="8495" w:type="dxa"/>
        <w:tblInd w:w="96" w:type="dxa"/>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Layout w:type="fixed"/>
        <w:tblCellMar>
          <w:top w:w="0" w:type="dxa"/>
          <w:left w:w="108" w:type="dxa"/>
          <w:bottom w:w="0" w:type="dxa"/>
          <w:right w:w="108" w:type="dxa"/>
        </w:tblCellMar>
      </w:tblPr>
      <w:tblGrid>
        <w:gridCol w:w="2483"/>
        <w:gridCol w:w="2016"/>
        <w:gridCol w:w="1212"/>
        <w:gridCol w:w="2784"/>
      </w:tblGrid>
      <w:tr w14:paraId="0CDEC2C0">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312" w:hRule="atLeast"/>
        </w:trPr>
        <w:tc>
          <w:tcPr>
            <w:tcW w:w="2483" w:type="dxa"/>
            <w:tcBorders>
              <w:tl2br w:val="nil"/>
              <w:tr2bl w:val="nil"/>
            </w:tcBorders>
            <w:shd w:val="clear" w:color="auto" w:fill="auto"/>
            <w:vAlign w:val="center"/>
          </w:tcPr>
          <w:p w14:paraId="76F2FE8A">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调查内容</w:t>
            </w:r>
          </w:p>
        </w:tc>
        <w:tc>
          <w:tcPr>
            <w:tcW w:w="2016" w:type="dxa"/>
            <w:tcBorders>
              <w:tl2br w:val="nil"/>
              <w:tr2bl w:val="nil"/>
            </w:tcBorders>
            <w:shd w:val="clear" w:color="auto" w:fill="auto"/>
            <w:vAlign w:val="center"/>
          </w:tcPr>
          <w:p w14:paraId="7585C27B">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选项</w:t>
            </w:r>
          </w:p>
        </w:tc>
        <w:tc>
          <w:tcPr>
            <w:tcW w:w="1212" w:type="dxa"/>
            <w:tcBorders>
              <w:tl2br w:val="nil"/>
              <w:tr2bl w:val="nil"/>
            </w:tcBorders>
            <w:shd w:val="clear" w:color="auto" w:fill="auto"/>
            <w:noWrap/>
            <w:vAlign w:val="center"/>
          </w:tcPr>
          <w:p w14:paraId="6D6E3DD0">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数量</w:t>
            </w:r>
          </w:p>
        </w:tc>
        <w:tc>
          <w:tcPr>
            <w:tcW w:w="2784" w:type="dxa"/>
            <w:tcBorders>
              <w:tl2br w:val="nil"/>
              <w:tr2bl w:val="nil"/>
            </w:tcBorders>
            <w:shd w:val="clear" w:color="auto" w:fill="auto"/>
            <w:noWrap/>
            <w:vAlign w:val="center"/>
          </w:tcPr>
          <w:p w14:paraId="082B6C54">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占比</w:t>
            </w:r>
          </w:p>
        </w:tc>
      </w:tr>
      <w:tr w14:paraId="18EA3AE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800" w:hRule="atLeast"/>
        </w:trPr>
        <w:tc>
          <w:tcPr>
            <w:tcW w:w="2483" w:type="dxa"/>
            <w:vMerge w:val="restart"/>
            <w:tcBorders>
              <w:tl2br w:val="nil"/>
              <w:tr2bl w:val="nil"/>
            </w:tcBorders>
            <w:shd w:val="clear" w:color="auto" w:fill="auto"/>
            <w:vAlign w:val="center"/>
          </w:tcPr>
          <w:p w14:paraId="38F85BBF">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1.您的企业属于哪个行业？</w:t>
            </w:r>
          </w:p>
        </w:tc>
        <w:tc>
          <w:tcPr>
            <w:tcW w:w="2016" w:type="dxa"/>
            <w:tcBorders>
              <w:tl2br w:val="nil"/>
              <w:tr2bl w:val="nil"/>
            </w:tcBorders>
            <w:shd w:val="clear" w:color="auto" w:fill="auto"/>
            <w:noWrap/>
            <w:vAlign w:val="center"/>
          </w:tcPr>
          <w:p w14:paraId="2BE50C68">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A：服务业</w:t>
            </w:r>
          </w:p>
        </w:tc>
        <w:tc>
          <w:tcPr>
            <w:tcW w:w="1212" w:type="dxa"/>
            <w:tcBorders>
              <w:tl2br w:val="nil"/>
              <w:tr2bl w:val="nil"/>
            </w:tcBorders>
            <w:shd w:val="clear" w:color="auto" w:fill="auto"/>
            <w:noWrap/>
            <w:vAlign w:val="center"/>
          </w:tcPr>
          <w:p w14:paraId="1EF7CF55">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6</w:t>
            </w:r>
          </w:p>
        </w:tc>
        <w:tc>
          <w:tcPr>
            <w:tcW w:w="2784" w:type="dxa"/>
            <w:tcBorders>
              <w:tl2br w:val="nil"/>
              <w:tr2bl w:val="nil"/>
            </w:tcBorders>
            <w:shd w:val="clear" w:color="auto" w:fill="auto"/>
            <w:noWrap/>
            <w:vAlign w:val="top"/>
          </w:tcPr>
          <w:p w14:paraId="4DA340AF">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46.15%</w:t>
            </w:r>
          </w:p>
        </w:tc>
      </w:tr>
      <w:tr w14:paraId="7F7D77A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483" w:type="dxa"/>
            <w:vMerge w:val="continue"/>
            <w:tcBorders>
              <w:tl2br w:val="nil"/>
              <w:tr2bl w:val="nil"/>
            </w:tcBorders>
            <w:shd w:val="clear" w:color="auto" w:fill="auto"/>
            <w:vAlign w:val="center"/>
          </w:tcPr>
          <w:p w14:paraId="33ED470C">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3861D3BB">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B：电子商务</w:t>
            </w:r>
          </w:p>
        </w:tc>
        <w:tc>
          <w:tcPr>
            <w:tcW w:w="1212" w:type="dxa"/>
            <w:tcBorders>
              <w:tl2br w:val="nil"/>
              <w:tr2bl w:val="nil"/>
            </w:tcBorders>
            <w:shd w:val="clear" w:color="auto" w:fill="auto"/>
            <w:noWrap/>
            <w:vAlign w:val="center"/>
          </w:tcPr>
          <w:p w14:paraId="3FFDB4C7">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198832B0">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0.00%</w:t>
            </w:r>
          </w:p>
        </w:tc>
      </w:tr>
      <w:tr w14:paraId="59FD5E4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20" w:hRule="atLeast"/>
        </w:trPr>
        <w:tc>
          <w:tcPr>
            <w:tcW w:w="2483" w:type="dxa"/>
            <w:vMerge w:val="continue"/>
            <w:tcBorders>
              <w:tl2br w:val="nil"/>
              <w:tr2bl w:val="nil"/>
            </w:tcBorders>
            <w:shd w:val="clear" w:color="auto" w:fill="auto"/>
            <w:vAlign w:val="center"/>
          </w:tcPr>
          <w:p w14:paraId="71B8155E">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3860FC2C">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C：商贸企业</w:t>
            </w:r>
          </w:p>
        </w:tc>
        <w:tc>
          <w:tcPr>
            <w:tcW w:w="1212" w:type="dxa"/>
            <w:tcBorders>
              <w:tl2br w:val="nil"/>
              <w:tr2bl w:val="nil"/>
            </w:tcBorders>
            <w:shd w:val="clear" w:color="auto" w:fill="auto"/>
            <w:noWrap/>
            <w:vAlign w:val="center"/>
          </w:tcPr>
          <w:p w14:paraId="16F4D87E">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7</w:t>
            </w:r>
          </w:p>
        </w:tc>
        <w:tc>
          <w:tcPr>
            <w:tcW w:w="2784" w:type="dxa"/>
            <w:tcBorders>
              <w:tl2br w:val="nil"/>
              <w:tr2bl w:val="nil"/>
            </w:tcBorders>
            <w:shd w:val="clear" w:color="auto" w:fill="auto"/>
            <w:vAlign w:val="top"/>
          </w:tcPr>
          <w:p w14:paraId="06E9AA38">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53.85%</w:t>
            </w:r>
          </w:p>
        </w:tc>
      </w:tr>
      <w:tr w14:paraId="5353397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90" w:hRule="atLeast"/>
        </w:trPr>
        <w:tc>
          <w:tcPr>
            <w:tcW w:w="2483" w:type="dxa"/>
            <w:vMerge w:val="continue"/>
            <w:tcBorders>
              <w:tl2br w:val="nil"/>
              <w:tr2bl w:val="nil"/>
            </w:tcBorders>
            <w:shd w:val="clear" w:color="auto" w:fill="auto"/>
            <w:vAlign w:val="center"/>
          </w:tcPr>
          <w:p w14:paraId="46702713">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0D1D48B9">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D：其他</w:t>
            </w:r>
          </w:p>
        </w:tc>
        <w:tc>
          <w:tcPr>
            <w:tcW w:w="1212" w:type="dxa"/>
            <w:tcBorders>
              <w:tl2br w:val="nil"/>
              <w:tr2bl w:val="nil"/>
            </w:tcBorders>
            <w:shd w:val="clear" w:color="auto" w:fill="auto"/>
            <w:noWrap/>
            <w:vAlign w:val="center"/>
          </w:tcPr>
          <w:p w14:paraId="343361F0">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4B9EB37F">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0.00%</w:t>
            </w:r>
          </w:p>
        </w:tc>
      </w:tr>
      <w:tr w14:paraId="1E4CA3F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20" w:hRule="atLeast"/>
        </w:trPr>
        <w:tc>
          <w:tcPr>
            <w:tcW w:w="2483" w:type="dxa"/>
            <w:vMerge w:val="restart"/>
            <w:tcBorders>
              <w:tl2br w:val="nil"/>
              <w:tr2bl w:val="nil"/>
            </w:tcBorders>
            <w:shd w:val="clear" w:color="auto" w:fill="auto"/>
            <w:vAlign w:val="center"/>
          </w:tcPr>
          <w:p w14:paraId="6F6B9BBA">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2.您的企业规模是？</w:t>
            </w:r>
          </w:p>
        </w:tc>
        <w:tc>
          <w:tcPr>
            <w:tcW w:w="2016" w:type="dxa"/>
            <w:tcBorders>
              <w:tl2br w:val="nil"/>
              <w:tr2bl w:val="nil"/>
            </w:tcBorders>
            <w:shd w:val="clear" w:color="auto" w:fill="auto"/>
            <w:noWrap/>
            <w:vAlign w:val="center"/>
          </w:tcPr>
          <w:p w14:paraId="3127F2EC">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A：大型企业</w:t>
            </w:r>
          </w:p>
        </w:tc>
        <w:tc>
          <w:tcPr>
            <w:tcW w:w="1212" w:type="dxa"/>
            <w:tcBorders>
              <w:tl2br w:val="nil"/>
              <w:tr2bl w:val="nil"/>
            </w:tcBorders>
            <w:shd w:val="clear" w:color="auto" w:fill="auto"/>
            <w:noWrap/>
            <w:vAlign w:val="center"/>
          </w:tcPr>
          <w:p w14:paraId="3C72647E">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w:t>
            </w:r>
          </w:p>
        </w:tc>
        <w:tc>
          <w:tcPr>
            <w:tcW w:w="2784" w:type="dxa"/>
            <w:tcBorders>
              <w:tl2br w:val="nil"/>
              <w:tr2bl w:val="nil"/>
            </w:tcBorders>
            <w:shd w:val="clear" w:color="auto" w:fill="auto"/>
            <w:noWrap/>
            <w:vAlign w:val="top"/>
          </w:tcPr>
          <w:p w14:paraId="23884F97">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7.69%</w:t>
            </w:r>
          </w:p>
        </w:tc>
      </w:tr>
      <w:tr w14:paraId="3238C25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7" w:hRule="atLeast"/>
        </w:trPr>
        <w:tc>
          <w:tcPr>
            <w:tcW w:w="2483" w:type="dxa"/>
            <w:vMerge w:val="continue"/>
            <w:tcBorders>
              <w:tl2br w:val="nil"/>
              <w:tr2bl w:val="nil"/>
            </w:tcBorders>
            <w:shd w:val="clear" w:color="auto" w:fill="auto"/>
            <w:vAlign w:val="center"/>
          </w:tcPr>
          <w:p w14:paraId="535C3A56">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2601A3AD">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B：大型企业</w:t>
            </w:r>
          </w:p>
        </w:tc>
        <w:tc>
          <w:tcPr>
            <w:tcW w:w="1212" w:type="dxa"/>
            <w:tcBorders>
              <w:tl2br w:val="nil"/>
              <w:tr2bl w:val="nil"/>
            </w:tcBorders>
            <w:shd w:val="clear" w:color="auto" w:fill="auto"/>
            <w:noWrap/>
            <w:vAlign w:val="center"/>
          </w:tcPr>
          <w:p w14:paraId="123A48DB">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3</w:t>
            </w:r>
          </w:p>
        </w:tc>
        <w:tc>
          <w:tcPr>
            <w:tcW w:w="2784" w:type="dxa"/>
            <w:tcBorders>
              <w:tl2br w:val="nil"/>
              <w:tr2bl w:val="nil"/>
            </w:tcBorders>
            <w:shd w:val="clear" w:color="auto" w:fill="auto"/>
            <w:noWrap/>
            <w:vAlign w:val="top"/>
          </w:tcPr>
          <w:p w14:paraId="15FE7FE8">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23.08%</w:t>
            </w:r>
          </w:p>
        </w:tc>
      </w:tr>
      <w:tr w14:paraId="03C1C85E">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60" w:hRule="atLeast"/>
        </w:trPr>
        <w:tc>
          <w:tcPr>
            <w:tcW w:w="2483" w:type="dxa"/>
            <w:vMerge w:val="continue"/>
            <w:tcBorders>
              <w:tl2br w:val="nil"/>
              <w:tr2bl w:val="nil"/>
            </w:tcBorders>
            <w:shd w:val="clear" w:color="auto" w:fill="auto"/>
            <w:vAlign w:val="center"/>
          </w:tcPr>
          <w:p w14:paraId="4575AFEB">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0F5E7253">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C：小型企业</w:t>
            </w:r>
          </w:p>
        </w:tc>
        <w:tc>
          <w:tcPr>
            <w:tcW w:w="1212" w:type="dxa"/>
            <w:tcBorders>
              <w:tl2br w:val="nil"/>
              <w:tr2bl w:val="nil"/>
            </w:tcBorders>
            <w:shd w:val="clear" w:color="auto" w:fill="auto"/>
            <w:noWrap/>
            <w:vAlign w:val="center"/>
          </w:tcPr>
          <w:p w14:paraId="7F3DC341">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9</w:t>
            </w:r>
          </w:p>
        </w:tc>
        <w:tc>
          <w:tcPr>
            <w:tcW w:w="2784" w:type="dxa"/>
            <w:tcBorders>
              <w:tl2br w:val="nil"/>
              <w:tr2bl w:val="nil"/>
            </w:tcBorders>
            <w:shd w:val="clear" w:color="auto" w:fill="auto"/>
            <w:vAlign w:val="top"/>
          </w:tcPr>
          <w:p w14:paraId="35C1C639">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69.23%</w:t>
            </w:r>
          </w:p>
        </w:tc>
      </w:tr>
      <w:tr w14:paraId="3D7E691B">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60" w:hRule="atLeast"/>
        </w:trPr>
        <w:tc>
          <w:tcPr>
            <w:tcW w:w="2483" w:type="dxa"/>
            <w:vMerge w:val="restart"/>
            <w:tcBorders>
              <w:tl2br w:val="nil"/>
              <w:tr2bl w:val="nil"/>
            </w:tcBorders>
            <w:shd w:val="clear" w:color="auto" w:fill="auto"/>
            <w:vAlign w:val="center"/>
          </w:tcPr>
          <w:p w14:paraId="111E1D30">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3.您的企业是否获得了发展专项资金支持？</w:t>
            </w:r>
          </w:p>
        </w:tc>
        <w:tc>
          <w:tcPr>
            <w:tcW w:w="2016" w:type="dxa"/>
            <w:tcBorders>
              <w:tl2br w:val="nil"/>
              <w:tr2bl w:val="nil"/>
            </w:tcBorders>
            <w:shd w:val="clear" w:color="auto" w:fill="auto"/>
            <w:noWrap/>
            <w:vAlign w:val="center"/>
          </w:tcPr>
          <w:p w14:paraId="01BFFD39">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A：是</w:t>
            </w:r>
          </w:p>
        </w:tc>
        <w:tc>
          <w:tcPr>
            <w:tcW w:w="1212" w:type="dxa"/>
            <w:tcBorders>
              <w:tl2br w:val="nil"/>
              <w:tr2bl w:val="nil"/>
            </w:tcBorders>
            <w:shd w:val="clear" w:color="auto" w:fill="auto"/>
            <w:noWrap/>
            <w:vAlign w:val="center"/>
          </w:tcPr>
          <w:p w14:paraId="26AE6B92">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11</w:t>
            </w:r>
          </w:p>
        </w:tc>
        <w:tc>
          <w:tcPr>
            <w:tcW w:w="2784" w:type="dxa"/>
            <w:tcBorders>
              <w:tl2br w:val="nil"/>
              <w:tr2bl w:val="nil"/>
            </w:tcBorders>
            <w:shd w:val="clear" w:color="auto" w:fill="auto"/>
            <w:noWrap/>
            <w:vAlign w:val="top"/>
          </w:tcPr>
          <w:p w14:paraId="4FD543EE">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84.62%</w:t>
            </w:r>
          </w:p>
        </w:tc>
      </w:tr>
      <w:tr w14:paraId="21B3675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60" w:hRule="atLeast"/>
        </w:trPr>
        <w:tc>
          <w:tcPr>
            <w:tcW w:w="2483" w:type="dxa"/>
            <w:vMerge w:val="continue"/>
            <w:tcBorders>
              <w:tl2br w:val="nil"/>
              <w:tr2bl w:val="nil"/>
            </w:tcBorders>
            <w:shd w:val="clear" w:color="auto" w:fill="auto"/>
            <w:vAlign w:val="center"/>
          </w:tcPr>
          <w:p w14:paraId="1C619477">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13800F2C">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B：否</w:t>
            </w:r>
          </w:p>
        </w:tc>
        <w:tc>
          <w:tcPr>
            <w:tcW w:w="1212" w:type="dxa"/>
            <w:tcBorders>
              <w:tl2br w:val="nil"/>
              <w:tr2bl w:val="nil"/>
            </w:tcBorders>
            <w:shd w:val="clear" w:color="auto" w:fill="auto"/>
            <w:noWrap/>
            <w:vAlign w:val="center"/>
          </w:tcPr>
          <w:p w14:paraId="19374E6E">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2</w:t>
            </w:r>
          </w:p>
        </w:tc>
        <w:tc>
          <w:tcPr>
            <w:tcW w:w="2784" w:type="dxa"/>
            <w:tcBorders>
              <w:tl2br w:val="nil"/>
              <w:tr2bl w:val="nil"/>
            </w:tcBorders>
            <w:shd w:val="clear" w:color="auto" w:fill="auto"/>
            <w:noWrap/>
            <w:vAlign w:val="top"/>
          </w:tcPr>
          <w:p w14:paraId="4ED93052">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15.38%</w:t>
            </w:r>
          </w:p>
        </w:tc>
      </w:tr>
      <w:tr w14:paraId="6B7604C5">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60" w:hRule="atLeast"/>
        </w:trPr>
        <w:tc>
          <w:tcPr>
            <w:tcW w:w="2483" w:type="dxa"/>
            <w:vMerge w:val="restart"/>
            <w:tcBorders>
              <w:tl2br w:val="nil"/>
              <w:tr2bl w:val="nil"/>
            </w:tcBorders>
            <w:shd w:val="clear" w:color="auto" w:fill="auto"/>
            <w:vAlign w:val="center"/>
          </w:tcPr>
          <w:p w14:paraId="5AF7A3D8">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4.您的企业专项资金用于何处？</w:t>
            </w:r>
          </w:p>
        </w:tc>
        <w:tc>
          <w:tcPr>
            <w:tcW w:w="2016" w:type="dxa"/>
            <w:tcBorders>
              <w:tl2br w:val="nil"/>
              <w:tr2bl w:val="nil"/>
            </w:tcBorders>
            <w:shd w:val="clear" w:color="auto" w:fill="auto"/>
            <w:noWrap/>
            <w:vAlign w:val="center"/>
          </w:tcPr>
          <w:p w14:paraId="5CE45B66">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A：商务宴请</w:t>
            </w:r>
          </w:p>
        </w:tc>
        <w:tc>
          <w:tcPr>
            <w:tcW w:w="1212" w:type="dxa"/>
            <w:tcBorders>
              <w:tl2br w:val="nil"/>
              <w:tr2bl w:val="nil"/>
            </w:tcBorders>
            <w:shd w:val="clear" w:color="auto" w:fill="auto"/>
            <w:noWrap/>
            <w:vAlign w:val="center"/>
          </w:tcPr>
          <w:p w14:paraId="1CDA3398">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7867BFE0">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0.00%</w:t>
            </w:r>
          </w:p>
        </w:tc>
      </w:tr>
      <w:tr w14:paraId="1C53221F">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7" w:hRule="atLeast"/>
        </w:trPr>
        <w:tc>
          <w:tcPr>
            <w:tcW w:w="2483" w:type="dxa"/>
            <w:vMerge w:val="continue"/>
            <w:tcBorders>
              <w:tl2br w:val="nil"/>
              <w:tr2bl w:val="nil"/>
            </w:tcBorders>
            <w:shd w:val="clear" w:color="auto" w:fill="auto"/>
            <w:vAlign w:val="center"/>
          </w:tcPr>
          <w:p w14:paraId="57626D20">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35578B74">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B：招商引资</w:t>
            </w:r>
          </w:p>
        </w:tc>
        <w:tc>
          <w:tcPr>
            <w:tcW w:w="1212" w:type="dxa"/>
            <w:tcBorders>
              <w:tl2br w:val="nil"/>
              <w:tr2bl w:val="nil"/>
            </w:tcBorders>
            <w:shd w:val="clear" w:color="auto" w:fill="auto"/>
            <w:noWrap/>
            <w:vAlign w:val="center"/>
          </w:tcPr>
          <w:p w14:paraId="16C1DA94">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2</w:t>
            </w:r>
          </w:p>
        </w:tc>
        <w:tc>
          <w:tcPr>
            <w:tcW w:w="2784" w:type="dxa"/>
            <w:tcBorders>
              <w:tl2br w:val="nil"/>
              <w:tr2bl w:val="nil"/>
            </w:tcBorders>
            <w:shd w:val="clear" w:color="auto" w:fill="auto"/>
            <w:noWrap/>
            <w:vAlign w:val="top"/>
          </w:tcPr>
          <w:p w14:paraId="7902A5A1">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15.38%</w:t>
            </w:r>
          </w:p>
        </w:tc>
      </w:tr>
      <w:tr w14:paraId="18E139D8">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80" w:hRule="atLeast"/>
        </w:trPr>
        <w:tc>
          <w:tcPr>
            <w:tcW w:w="2483" w:type="dxa"/>
            <w:vMerge w:val="continue"/>
            <w:tcBorders>
              <w:tl2br w:val="nil"/>
              <w:tr2bl w:val="nil"/>
            </w:tcBorders>
            <w:shd w:val="clear" w:color="auto" w:fill="auto"/>
            <w:vAlign w:val="center"/>
          </w:tcPr>
          <w:p w14:paraId="3976EDCB">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10CB73BB">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C：相关奖励</w:t>
            </w:r>
          </w:p>
        </w:tc>
        <w:tc>
          <w:tcPr>
            <w:tcW w:w="1212" w:type="dxa"/>
            <w:tcBorders>
              <w:tl2br w:val="nil"/>
              <w:tr2bl w:val="nil"/>
            </w:tcBorders>
            <w:shd w:val="clear" w:color="auto" w:fill="auto"/>
            <w:noWrap/>
            <w:vAlign w:val="center"/>
          </w:tcPr>
          <w:p w14:paraId="1D6D12B0">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8</w:t>
            </w:r>
          </w:p>
        </w:tc>
        <w:tc>
          <w:tcPr>
            <w:tcW w:w="2784" w:type="dxa"/>
            <w:tcBorders>
              <w:tl2br w:val="nil"/>
              <w:tr2bl w:val="nil"/>
            </w:tcBorders>
            <w:shd w:val="clear" w:color="auto" w:fill="auto"/>
            <w:vAlign w:val="top"/>
          </w:tcPr>
          <w:p w14:paraId="3FF87497">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61.54%</w:t>
            </w:r>
          </w:p>
        </w:tc>
      </w:tr>
      <w:tr w14:paraId="4B5B9E9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380" w:hRule="atLeast"/>
        </w:trPr>
        <w:tc>
          <w:tcPr>
            <w:tcW w:w="2483" w:type="dxa"/>
            <w:vMerge w:val="continue"/>
            <w:tcBorders>
              <w:tl2br w:val="nil"/>
              <w:tr2bl w:val="nil"/>
            </w:tcBorders>
            <w:shd w:val="clear" w:color="auto" w:fill="auto"/>
            <w:vAlign w:val="center"/>
          </w:tcPr>
          <w:p w14:paraId="45A51FA0">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4306EDD9">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D：其他</w:t>
            </w:r>
          </w:p>
        </w:tc>
        <w:tc>
          <w:tcPr>
            <w:tcW w:w="1212" w:type="dxa"/>
            <w:tcBorders>
              <w:tl2br w:val="nil"/>
              <w:tr2bl w:val="nil"/>
            </w:tcBorders>
            <w:shd w:val="clear" w:color="auto" w:fill="auto"/>
            <w:noWrap/>
            <w:vAlign w:val="center"/>
          </w:tcPr>
          <w:p w14:paraId="18FB3A21">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3</w:t>
            </w:r>
          </w:p>
        </w:tc>
        <w:tc>
          <w:tcPr>
            <w:tcW w:w="2784" w:type="dxa"/>
            <w:tcBorders>
              <w:tl2br w:val="nil"/>
              <w:tr2bl w:val="nil"/>
            </w:tcBorders>
            <w:shd w:val="clear" w:color="auto" w:fill="auto"/>
            <w:noWrap/>
            <w:vAlign w:val="top"/>
          </w:tcPr>
          <w:p w14:paraId="7DD60748">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23.08%</w:t>
            </w:r>
          </w:p>
        </w:tc>
      </w:tr>
      <w:tr w14:paraId="44CCCB79">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80" w:hRule="atLeast"/>
        </w:trPr>
        <w:tc>
          <w:tcPr>
            <w:tcW w:w="2483" w:type="dxa"/>
            <w:vMerge w:val="restart"/>
            <w:tcBorders>
              <w:tl2br w:val="nil"/>
              <w:tr2bl w:val="nil"/>
            </w:tcBorders>
            <w:shd w:val="clear" w:color="auto" w:fill="auto"/>
            <w:vAlign w:val="center"/>
          </w:tcPr>
          <w:p w14:paraId="67D14006">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5.您认为专项资金的使用效果如何？</w:t>
            </w:r>
          </w:p>
        </w:tc>
        <w:tc>
          <w:tcPr>
            <w:tcW w:w="2016" w:type="dxa"/>
            <w:tcBorders>
              <w:tl2br w:val="nil"/>
              <w:tr2bl w:val="nil"/>
            </w:tcBorders>
            <w:shd w:val="clear" w:color="auto" w:fill="auto"/>
            <w:noWrap/>
            <w:vAlign w:val="top"/>
          </w:tcPr>
          <w:p w14:paraId="4C17D4FA">
            <w:pPr>
              <w:keepNext w:val="0"/>
              <w:keepLines w:val="0"/>
              <w:widowControl/>
              <w:suppressLineNumbers w:val="0"/>
              <w:spacing w:line="240" w:lineRule="auto"/>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A：很满意</w:t>
            </w:r>
          </w:p>
        </w:tc>
        <w:tc>
          <w:tcPr>
            <w:tcW w:w="1212" w:type="dxa"/>
            <w:tcBorders>
              <w:tl2br w:val="nil"/>
              <w:tr2bl w:val="nil"/>
            </w:tcBorders>
            <w:shd w:val="clear" w:color="auto" w:fill="auto"/>
            <w:noWrap/>
            <w:vAlign w:val="top"/>
          </w:tcPr>
          <w:p w14:paraId="2A325739">
            <w:pPr>
              <w:keepNext w:val="0"/>
              <w:keepLines w:val="0"/>
              <w:widowControl/>
              <w:suppressLineNumbers w:val="0"/>
              <w:spacing w:line="240" w:lineRule="auto"/>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13</w:t>
            </w:r>
          </w:p>
        </w:tc>
        <w:tc>
          <w:tcPr>
            <w:tcW w:w="2784" w:type="dxa"/>
            <w:tcBorders>
              <w:tl2br w:val="nil"/>
              <w:tr2bl w:val="nil"/>
            </w:tcBorders>
            <w:shd w:val="clear" w:color="auto" w:fill="auto"/>
            <w:noWrap/>
            <w:vAlign w:val="top"/>
          </w:tcPr>
          <w:p w14:paraId="0F1B941B">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100.00%</w:t>
            </w:r>
          </w:p>
        </w:tc>
      </w:tr>
      <w:tr w14:paraId="175EFCD8">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7" w:hRule="atLeast"/>
        </w:trPr>
        <w:tc>
          <w:tcPr>
            <w:tcW w:w="2483" w:type="dxa"/>
            <w:vMerge w:val="continue"/>
            <w:tcBorders>
              <w:tl2br w:val="nil"/>
              <w:tr2bl w:val="nil"/>
            </w:tcBorders>
            <w:shd w:val="clear" w:color="auto" w:fill="auto"/>
            <w:vAlign w:val="center"/>
          </w:tcPr>
          <w:p w14:paraId="312C3C9A">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08B517FD">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B：满意</w:t>
            </w:r>
          </w:p>
        </w:tc>
        <w:tc>
          <w:tcPr>
            <w:tcW w:w="1212" w:type="dxa"/>
            <w:tcBorders>
              <w:tl2br w:val="nil"/>
              <w:tr2bl w:val="nil"/>
            </w:tcBorders>
            <w:shd w:val="clear" w:color="auto" w:fill="auto"/>
            <w:noWrap/>
            <w:vAlign w:val="center"/>
          </w:tcPr>
          <w:p w14:paraId="2E775727">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037856F8">
            <w:pPr>
              <w:spacing w:line="240" w:lineRule="auto"/>
              <w:jc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1AF0ABF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7" w:hRule="atLeast"/>
        </w:trPr>
        <w:tc>
          <w:tcPr>
            <w:tcW w:w="2483" w:type="dxa"/>
            <w:vMerge w:val="continue"/>
            <w:tcBorders>
              <w:tl2br w:val="nil"/>
              <w:tr2bl w:val="nil"/>
            </w:tcBorders>
            <w:shd w:val="clear" w:color="auto" w:fill="auto"/>
            <w:vAlign w:val="center"/>
          </w:tcPr>
          <w:p w14:paraId="00BD2DAF">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72F252E5">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C：一般</w:t>
            </w:r>
          </w:p>
        </w:tc>
        <w:tc>
          <w:tcPr>
            <w:tcW w:w="1212" w:type="dxa"/>
            <w:tcBorders>
              <w:tl2br w:val="nil"/>
              <w:tr2bl w:val="nil"/>
            </w:tcBorders>
            <w:shd w:val="clear" w:color="auto" w:fill="auto"/>
            <w:noWrap/>
            <w:vAlign w:val="center"/>
          </w:tcPr>
          <w:p w14:paraId="1E794C2C">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0E853800">
            <w:pPr>
              <w:spacing w:line="240" w:lineRule="auto"/>
              <w:jc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2A8C9A99">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60" w:hRule="atLeast"/>
        </w:trPr>
        <w:tc>
          <w:tcPr>
            <w:tcW w:w="2483" w:type="dxa"/>
            <w:vMerge w:val="continue"/>
            <w:tcBorders>
              <w:tl2br w:val="nil"/>
              <w:tr2bl w:val="nil"/>
            </w:tcBorders>
            <w:shd w:val="clear" w:color="auto" w:fill="auto"/>
            <w:vAlign w:val="center"/>
          </w:tcPr>
          <w:p w14:paraId="2E97F3F7">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6770AE70">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D：不满意</w:t>
            </w:r>
          </w:p>
        </w:tc>
        <w:tc>
          <w:tcPr>
            <w:tcW w:w="1212" w:type="dxa"/>
            <w:tcBorders>
              <w:tl2br w:val="nil"/>
              <w:tr2bl w:val="nil"/>
            </w:tcBorders>
            <w:shd w:val="clear" w:color="auto" w:fill="auto"/>
            <w:noWrap/>
            <w:vAlign w:val="center"/>
          </w:tcPr>
          <w:p w14:paraId="682DC4E5">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1E41F161">
            <w:pPr>
              <w:spacing w:line="240" w:lineRule="auto"/>
              <w:jc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32D50FED">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20" w:hRule="atLeast"/>
        </w:trPr>
        <w:tc>
          <w:tcPr>
            <w:tcW w:w="2483" w:type="dxa"/>
            <w:vMerge w:val="restart"/>
            <w:tcBorders>
              <w:tl2br w:val="nil"/>
              <w:tr2bl w:val="nil"/>
            </w:tcBorders>
            <w:shd w:val="clear" w:color="auto" w:fill="auto"/>
            <w:vAlign w:val="center"/>
          </w:tcPr>
          <w:p w14:paraId="0D92188B">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6.您认为专项资金对于扶持企业，优化良好的营商环境如何？</w:t>
            </w:r>
          </w:p>
        </w:tc>
        <w:tc>
          <w:tcPr>
            <w:tcW w:w="2016" w:type="dxa"/>
            <w:tcBorders>
              <w:tl2br w:val="nil"/>
              <w:tr2bl w:val="nil"/>
            </w:tcBorders>
            <w:shd w:val="clear" w:color="auto" w:fill="auto"/>
            <w:noWrap/>
            <w:vAlign w:val="center"/>
          </w:tcPr>
          <w:p w14:paraId="1247B319">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A：非常好</w:t>
            </w:r>
          </w:p>
        </w:tc>
        <w:tc>
          <w:tcPr>
            <w:tcW w:w="1212" w:type="dxa"/>
            <w:tcBorders>
              <w:tl2br w:val="nil"/>
              <w:tr2bl w:val="nil"/>
            </w:tcBorders>
            <w:shd w:val="clear" w:color="auto" w:fill="auto"/>
            <w:noWrap/>
            <w:vAlign w:val="center"/>
          </w:tcPr>
          <w:p w14:paraId="3219D547">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12</w:t>
            </w:r>
          </w:p>
        </w:tc>
        <w:tc>
          <w:tcPr>
            <w:tcW w:w="2784" w:type="dxa"/>
            <w:tcBorders>
              <w:tl2br w:val="nil"/>
              <w:tr2bl w:val="nil"/>
            </w:tcBorders>
            <w:shd w:val="clear" w:color="auto" w:fill="auto"/>
            <w:noWrap/>
            <w:vAlign w:val="top"/>
          </w:tcPr>
          <w:p w14:paraId="56A442F9">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92.31%</w:t>
            </w:r>
          </w:p>
        </w:tc>
      </w:tr>
      <w:tr w14:paraId="21A79CF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280" w:hRule="atLeast"/>
        </w:trPr>
        <w:tc>
          <w:tcPr>
            <w:tcW w:w="2483" w:type="dxa"/>
            <w:vMerge w:val="continue"/>
            <w:tcBorders>
              <w:tl2br w:val="nil"/>
              <w:tr2bl w:val="nil"/>
            </w:tcBorders>
            <w:shd w:val="clear" w:color="auto" w:fill="auto"/>
            <w:vAlign w:val="center"/>
          </w:tcPr>
          <w:p w14:paraId="1550AE84">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546717DF">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B：较好</w:t>
            </w:r>
          </w:p>
        </w:tc>
        <w:tc>
          <w:tcPr>
            <w:tcW w:w="1212" w:type="dxa"/>
            <w:tcBorders>
              <w:tl2br w:val="nil"/>
              <w:tr2bl w:val="nil"/>
            </w:tcBorders>
            <w:shd w:val="clear" w:color="auto" w:fill="auto"/>
            <w:noWrap/>
            <w:vAlign w:val="center"/>
          </w:tcPr>
          <w:p w14:paraId="084073B0">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w:t>
            </w:r>
          </w:p>
        </w:tc>
        <w:tc>
          <w:tcPr>
            <w:tcW w:w="2784" w:type="dxa"/>
            <w:tcBorders>
              <w:tl2br w:val="nil"/>
              <w:tr2bl w:val="nil"/>
            </w:tcBorders>
            <w:shd w:val="clear" w:color="auto" w:fill="auto"/>
            <w:noWrap/>
            <w:vAlign w:val="top"/>
          </w:tcPr>
          <w:p w14:paraId="4DCF26EF">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7.69%</w:t>
            </w:r>
          </w:p>
        </w:tc>
      </w:tr>
      <w:tr w14:paraId="5E102CDD">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483" w:type="dxa"/>
            <w:vMerge w:val="continue"/>
            <w:tcBorders>
              <w:tl2br w:val="nil"/>
              <w:tr2bl w:val="nil"/>
            </w:tcBorders>
            <w:shd w:val="clear" w:color="auto" w:fill="auto"/>
            <w:vAlign w:val="center"/>
          </w:tcPr>
          <w:p w14:paraId="1B25B5D8">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73279322">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C：一般</w:t>
            </w:r>
          </w:p>
        </w:tc>
        <w:tc>
          <w:tcPr>
            <w:tcW w:w="1212" w:type="dxa"/>
            <w:tcBorders>
              <w:tl2br w:val="nil"/>
              <w:tr2bl w:val="nil"/>
            </w:tcBorders>
            <w:shd w:val="clear" w:color="auto" w:fill="auto"/>
            <w:noWrap/>
            <w:vAlign w:val="center"/>
          </w:tcPr>
          <w:p w14:paraId="1A786824">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63B862AF">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2CAC81A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460" w:hRule="atLeast"/>
        </w:trPr>
        <w:tc>
          <w:tcPr>
            <w:tcW w:w="2483" w:type="dxa"/>
            <w:vMerge w:val="continue"/>
            <w:tcBorders>
              <w:tl2br w:val="nil"/>
              <w:tr2bl w:val="nil"/>
            </w:tcBorders>
            <w:shd w:val="clear" w:color="auto" w:fill="auto"/>
            <w:vAlign w:val="center"/>
          </w:tcPr>
          <w:p w14:paraId="3E4CCAEC">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704961B8">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D：较差</w:t>
            </w:r>
          </w:p>
        </w:tc>
        <w:tc>
          <w:tcPr>
            <w:tcW w:w="1212" w:type="dxa"/>
            <w:tcBorders>
              <w:tl2br w:val="nil"/>
              <w:tr2bl w:val="nil"/>
            </w:tcBorders>
            <w:shd w:val="clear" w:color="auto" w:fill="auto"/>
            <w:noWrap/>
            <w:vAlign w:val="center"/>
          </w:tcPr>
          <w:p w14:paraId="5DCD7AF6">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3B456B47">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7E26381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00" w:hRule="atLeast"/>
        </w:trPr>
        <w:tc>
          <w:tcPr>
            <w:tcW w:w="2483" w:type="dxa"/>
            <w:vMerge w:val="continue"/>
            <w:tcBorders>
              <w:tl2br w:val="nil"/>
              <w:tr2bl w:val="nil"/>
            </w:tcBorders>
            <w:shd w:val="clear" w:color="auto" w:fill="auto"/>
            <w:vAlign w:val="center"/>
          </w:tcPr>
          <w:p w14:paraId="23230196">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40CAC4A4">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E：非常差</w:t>
            </w:r>
          </w:p>
        </w:tc>
        <w:tc>
          <w:tcPr>
            <w:tcW w:w="1212" w:type="dxa"/>
            <w:tcBorders>
              <w:tl2br w:val="nil"/>
              <w:tr2bl w:val="nil"/>
            </w:tcBorders>
            <w:shd w:val="clear" w:color="auto" w:fill="auto"/>
            <w:noWrap/>
            <w:vAlign w:val="center"/>
          </w:tcPr>
          <w:p w14:paraId="393F903E">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458CD118">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60F9332F">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312" w:hRule="atLeast"/>
        </w:trPr>
        <w:tc>
          <w:tcPr>
            <w:tcW w:w="2483" w:type="dxa"/>
            <w:vMerge w:val="restart"/>
            <w:tcBorders>
              <w:tl2br w:val="nil"/>
              <w:tr2bl w:val="nil"/>
            </w:tcBorders>
            <w:shd w:val="clear" w:color="auto" w:fill="auto"/>
            <w:vAlign w:val="center"/>
          </w:tcPr>
          <w:p w14:paraId="525170D6">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7.请您对专项资金进行评分1分表示非常不满意，5分表示非常满意）</w:t>
            </w:r>
          </w:p>
        </w:tc>
        <w:tc>
          <w:tcPr>
            <w:tcW w:w="2016" w:type="dxa"/>
            <w:tcBorders>
              <w:tl2br w:val="nil"/>
              <w:tr2bl w:val="nil"/>
            </w:tcBorders>
            <w:shd w:val="clear" w:color="auto" w:fill="auto"/>
            <w:noWrap/>
            <w:vAlign w:val="center"/>
          </w:tcPr>
          <w:p w14:paraId="3B6CA585">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A：非常不满意</w:t>
            </w:r>
          </w:p>
        </w:tc>
        <w:tc>
          <w:tcPr>
            <w:tcW w:w="1212" w:type="dxa"/>
            <w:tcBorders>
              <w:tl2br w:val="nil"/>
              <w:tr2bl w:val="nil"/>
            </w:tcBorders>
            <w:shd w:val="clear" w:color="auto" w:fill="auto"/>
            <w:noWrap/>
            <w:vAlign w:val="center"/>
          </w:tcPr>
          <w:p w14:paraId="38E0683E">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6AE46BF0">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0.00%</w:t>
            </w:r>
          </w:p>
        </w:tc>
      </w:tr>
      <w:tr w14:paraId="1626C238">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312" w:hRule="atLeast"/>
        </w:trPr>
        <w:tc>
          <w:tcPr>
            <w:tcW w:w="2483" w:type="dxa"/>
            <w:vMerge w:val="continue"/>
            <w:tcBorders>
              <w:tl2br w:val="nil"/>
              <w:tr2bl w:val="nil"/>
            </w:tcBorders>
            <w:shd w:val="clear" w:color="auto" w:fill="auto"/>
            <w:vAlign w:val="center"/>
          </w:tcPr>
          <w:p w14:paraId="050FA11D">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4A9EB94B">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B:2</w:t>
            </w:r>
          </w:p>
        </w:tc>
        <w:tc>
          <w:tcPr>
            <w:tcW w:w="1212" w:type="dxa"/>
            <w:tcBorders>
              <w:tl2br w:val="nil"/>
              <w:tr2bl w:val="nil"/>
            </w:tcBorders>
            <w:shd w:val="clear" w:color="auto" w:fill="auto"/>
            <w:noWrap/>
            <w:vAlign w:val="center"/>
          </w:tcPr>
          <w:p w14:paraId="1A65B956">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1AC9F764">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6E4A6939">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7" w:hRule="atLeast"/>
        </w:trPr>
        <w:tc>
          <w:tcPr>
            <w:tcW w:w="2483" w:type="dxa"/>
            <w:vMerge w:val="continue"/>
            <w:tcBorders>
              <w:tl2br w:val="nil"/>
              <w:tr2bl w:val="nil"/>
            </w:tcBorders>
            <w:shd w:val="clear" w:color="auto" w:fill="auto"/>
            <w:vAlign w:val="center"/>
          </w:tcPr>
          <w:p w14:paraId="644628D4">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6625178F">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C:3</w:t>
            </w:r>
          </w:p>
        </w:tc>
        <w:tc>
          <w:tcPr>
            <w:tcW w:w="1212" w:type="dxa"/>
            <w:tcBorders>
              <w:tl2br w:val="nil"/>
              <w:tr2bl w:val="nil"/>
            </w:tcBorders>
            <w:shd w:val="clear" w:color="auto" w:fill="auto"/>
            <w:noWrap/>
            <w:vAlign w:val="center"/>
          </w:tcPr>
          <w:p w14:paraId="225A66E2">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6C5318DF">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627E49D3">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0" w:hRule="atLeast"/>
        </w:trPr>
        <w:tc>
          <w:tcPr>
            <w:tcW w:w="2483" w:type="dxa"/>
            <w:vMerge w:val="continue"/>
            <w:tcBorders>
              <w:tl2br w:val="nil"/>
              <w:tr2bl w:val="nil"/>
            </w:tcBorders>
            <w:shd w:val="clear" w:color="auto" w:fill="auto"/>
            <w:vAlign w:val="center"/>
          </w:tcPr>
          <w:p w14:paraId="4B5DF321">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3C79BAE2">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D:4</w:t>
            </w:r>
          </w:p>
        </w:tc>
        <w:tc>
          <w:tcPr>
            <w:tcW w:w="1212" w:type="dxa"/>
            <w:tcBorders>
              <w:tl2br w:val="nil"/>
              <w:tr2bl w:val="nil"/>
            </w:tcBorders>
            <w:shd w:val="clear" w:color="auto" w:fill="auto"/>
            <w:noWrap/>
            <w:vAlign w:val="center"/>
          </w:tcPr>
          <w:p w14:paraId="56A23C92">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4C42C13B">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tr w14:paraId="71E7389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60" w:hRule="atLeast"/>
        </w:trPr>
        <w:tc>
          <w:tcPr>
            <w:tcW w:w="2483" w:type="dxa"/>
            <w:vMerge w:val="continue"/>
            <w:tcBorders>
              <w:tl2br w:val="nil"/>
              <w:tr2bl w:val="nil"/>
            </w:tcBorders>
            <w:shd w:val="clear" w:color="auto" w:fill="auto"/>
            <w:vAlign w:val="center"/>
          </w:tcPr>
          <w:p w14:paraId="1C26FE4F">
            <w:pPr>
              <w:spacing w:line="240" w:lineRule="auto"/>
              <w:jc w:val="both"/>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267B01BD">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E：非常满意</w:t>
            </w:r>
          </w:p>
        </w:tc>
        <w:tc>
          <w:tcPr>
            <w:tcW w:w="1212" w:type="dxa"/>
            <w:tcBorders>
              <w:tl2br w:val="nil"/>
              <w:tr2bl w:val="nil"/>
            </w:tcBorders>
            <w:shd w:val="clear" w:color="auto" w:fill="auto"/>
            <w:noWrap/>
            <w:vAlign w:val="center"/>
          </w:tcPr>
          <w:p w14:paraId="398BEB16">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13</w:t>
            </w:r>
          </w:p>
        </w:tc>
        <w:tc>
          <w:tcPr>
            <w:tcW w:w="2784" w:type="dxa"/>
            <w:tcBorders>
              <w:tl2br w:val="nil"/>
              <w:tr2bl w:val="nil"/>
            </w:tcBorders>
            <w:shd w:val="clear" w:color="auto" w:fill="auto"/>
            <w:noWrap/>
            <w:vAlign w:val="top"/>
          </w:tcPr>
          <w:p w14:paraId="33C1E691">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100.00%</w:t>
            </w:r>
          </w:p>
        </w:tc>
      </w:tr>
      <w:tr w14:paraId="5A642383">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7" w:hRule="atLeast"/>
        </w:trPr>
        <w:tc>
          <w:tcPr>
            <w:tcW w:w="2483" w:type="dxa"/>
            <w:vMerge w:val="restart"/>
            <w:tcBorders>
              <w:tl2br w:val="nil"/>
              <w:tr2bl w:val="nil"/>
            </w:tcBorders>
            <w:shd w:val="clear" w:color="auto" w:fill="auto"/>
            <w:vAlign w:val="center"/>
          </w:tcPr>
          <w:p w14:paraId="7BABAABE">
            <w:pPr>
              <w:keepNext w:val="0"/>
              <w:keepLines w:val="0"/>
              <w:widowControl/>
              <w:suppressLineNumbers w:val="0"/>
              <w:spacing w:line="240" w:lineRule="auto"/>
              <w:ind w:left="0" w:leftChars="0" w:firstLine="0" w:firstLineChars="0"/>
              <w:jc w:val="both"/>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8.您是否会向其他企业推荐申请发展专项资金？</w:t>
            </w:r>
          </w:p>
        </w:tc>
        <w:tc>
          <w:tcPr>
            <w:tcW w:w="2016" w:type="dxa"/>
            <w:tcBorders>
              <w:tl2br w:val="nil"/>
              <w:tr2bl w:val="nil"/>
            </w:tcBorders>
            <w:shd w:val="clear" w:color="auto" w:fill="auto"/>
            <w:noWrap/>
            <w:vAlign w:val="center"/>
          </w:tcPr>
          <w:p w14:paraId="6AAC2041">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A：是</w:t>
            </w:r>
          </w:p>
        </w:tc>
        <w:tc>
          <w:tcPr>
            <w:tcW w:w="1212" w:type="dxa"/>
            <w:tcBorders>
              <w:tl2br w:val="nil"/>
              <w:tr2bl w:val="nil"/>
            </w:tcBorders>
            <w:shd w:val="clear" w:color="auto" w:fill="auto"/>
            <w:noWrap/>
            <w:vAlign w:val="center"/>
          </w:tcPr>
          <w:p w14:paraId="31ED781D">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13</w:t>
            </w:r>
          </w:p>
        </w:tc>
        <w:tc>
          <w:tcPr>
            <w:tcW w:w="2784" w:type="dxa"/>
            <w:tcBorders>
              <w:tl2br w:val="nil"/>
              <w:tr2bl w:val="nil"/>
            </w:tcBorders>
            <w:shd w:val="clear" w:color="auto" w:fill="auto"/>
            <w:noWrap/>
            <w:vAlign w:val="top"/>
          </w:tcPr>
          <w:p w14:paraId="2BF89BCD">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100.00%</w:t>
            </w:r>
          </w:p>
        </w:tc>
      </w:tr>
      <w:tr w14:paraId="673F2C1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750" w:hRule="atLeast"/>
        </w:trPr>
        <w:tc>
          <w:tcPr>
            <w:tcW w:w="2483" w:type="dxa"/>
            <w:vMerge w:val="continue"/>
            <w:tcBorders>
              <w:tl2br w:val="nil"/>
              <w:tr2bl w:val="nil"/>
            </w:tcBorders>
            <w:shd w:val="clear" w:color="auto" w:fill="auto"/>
            <w:vAlign w:val="center"/>
          </w:tcPr>
          <w:p w14:paraId="5CEF2883">
            <w:pPr>
              <w:spacing w:line="240" w:lineRule="auto"/>
              <w:jc w:val="left"/>
              <w:rPr>
                <w:rFonts w:hint="default" w:ascii="Times New Roman" w:hAnsi="Times New Roman" w:eastAsia="仿宋" w:cs="Times New Roman"/>
                <w:i w:val="0"/>
                <w:iCs w:val="0"/>
                <w:color w:val="000000"/>
                <w:sz w:val="24"/>
                <w:szCs w:val="24"/>
                <w:u w:val="none"/>
              </w:rPr>
            </w:pPr>
          </w:p>
        </w:tc>
        <w:tc>
          <w:tcPr>
            <w:tcW w:w="2016" w:type="dxa"/>
            <w:tcBorders>
              <w:tl2br w:val="nil"/>
              <w:tr2bl w:val="nil"/>
            </w:tcBorders>
            <w:shd w:val="clear" w:color="auto" w:fill="auto"/>
            <w:noWrap/>
            <w:vAlign w:val="center"/>
          </w:tcPr>
          <w:p w14:paraId="3C1E412E">
            <w:pPr>
              <w:keepNext w:val="0"/>
              <w:keepLines w:val="0"/>
              <w:widowControl/>
              <w:suppressLineNumbers w:val="0"/>
              <w:spacing w:line="240" w:lineRule="auto"/>
              <w:jc w:val="left"/>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B：否</w:t>
            </w:r>
          </w:p>
        </w:tc>
        <w:tc>
          <w:tcPr>
            <w:tcW w:w="1212" w:type="dxa"/>
            <w:tcBorders>
              <w:tl2br w:val="nil"/>
              <w:tr2bl w:val="nil"/>
            </w:tcBorders>
            <w:shd w:val="clear" w:color="auto" w:fill="auto"/>
            <w:noWrap/>
            <w:vAlign w:val="center"/>
          </w:tcPr>
          <w:p w14:paraId="09F701FD">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c>
          <w:tcPr>
            <w:tcW w:w="2784" w:type="dxa"/>
            <w:tcBorders>
              <w:tl2br w:val="nil"/>
              <w:tr2bl w:val="nil"/>
            </w:tcBorders>
            <w:shd w:val="clear" w:color="auto" w:fill="auto"/>
            <w:noWrap/>
            <w:vAlign w:val="top"/>
          </w:tcPr>
          <w:p w14:paraId="0B6C3A61">
            <w:pPr>
              <w:keepNext w:val="0"/>
              <w:keepLines w:val="0"/>
              <w:widowControl/>
              <w:suppressLineNumbers w:val="0"/>
              <w:spacing w:line="240" w:lineRule="auto"/>
              <w:jc w:val="center"/>
              <w:textAlignment w:val="center"/>
              <w:rPr>
                <w:rFonts w:hint="default" w:ascii="Times New Roman" w:hAnsi="Times New Roman" w:eastAsia="仿宋" w:cs="Times New Roman"/>
                <w:i w:val="0"/>
                <w:iCs w:val="0"/>
                <w:color w:val="000000"/>
                <w:sz w:val="24"/>
                <w:szCs w:val="24"/>
                <w:u w:val="none"/>
              </w:rPr>
            </w:pPr>
            <w:r>
              <w:rPr>
                <w:rFonts w:hint="default" w:ascii="Times New Roman" w:hAnsi="Times New Roman" w:eastAsia="仿宋" w:cs="Times New Roman"/>
                <w:i w:val="0"/>
                <w:iCs w:val="0"/>
                <w:color w:val="000000"/>
                <w:kern w:val="0"/>
                <w:sz w:val="24"/>
                <w:szCs w:val="24"/>
                <w:u w:val="none"/>
                <w:lang w:val="en-US" w:eastAsia="zh-CN" w:bidi="ar"/>
              </w:rPr>
              <w:t>0%</w:t>
            </w:r>
          </w:p>
        </w:tc>
      </w:tr>
      <w:bookmarkEnd w:id="17"/>
    </w:tbl>
    <w:p w14:paraId="51E4ECE9">
      <w:pPr>
        <w:pStyle w:val="3"/>
        <w:keepNext w:val="0"/>
        <w:keepLines w:val="0"/>
        <w:spacing w:beforeLines="0" w:afterLines="0" w:line="560" w:lineRule="exact"/>
        <w:ind w:firstLine="640"/>
        <w:rPr>
          <w:rFonts w:hint="default" w:ascii="Times New Roman" w:hAnsi="Times New Roman" w:cs="Times New Roman"/>
          <w:b/>
          <w:bCs/>
        </w:rPr>
      </w:pPr>
      <w:bookmarkStart w:id="52" w:name="_Toc28787"/>
      <w:bookmarkStart w:id="53" w:name="_Toc23093329"/>
      <w:bookmarkStart w:id="54" w:name="_Toc48503673"/>
      <w:bookmarkStart w:id="55" w:name="_Toc86224151"/>
      <w:r>
        <w:rPr>
          <w:rFonts w:hint="default" w:ascii="Times New Roman" w:hAnsi="Times New Roman" w:cs="Times New Roman"/>
          <w:b/>
          <w:bCs/>
        </w:rPr>
        <w:t>五、评价中发现的问题或不足</w:t>
      </w:r>
      <w:bookmarkEnd w:id="52"/>
      <w:bookmarkEnd w:id="53"/>
      <w:bookmarkEnd w:id="54"/>
      <w:bookmarkEnd w:id="55"/>
    </w:p>
    <w:p w14:paraId="58EC0142">
      <w:pPr>
        <w:pStyle w:val="5"/>
        <w:keepNext w:val="0"/>
        <w:keepLines w:val="0"/>
        <w:spacing w:line="560" w:lineRule="exact"/>
        <w:ind w:firstLine="643"/>
        <w:rPr>
          <w:rFonts w:hint="default" w:ascii="Times New Roman" w:hAnsi="Times New Roman" w:cs="Times New Roman"/>
        </w:rPr>
      </w:pPr>
      <w:bookmarkStart w:id="56" w:name="_Toc23092497"/>
      <w:bookmarkStart w:id="57" w:name="_Toc86224152"/>
      <w:bookmarkStart w:id="58" w:name="_Toc23093330"/>
      <w:bookmarkStart w:id="59" w:name="_Toc524418924"/>
      <w:bookmarkStart w:id="60" w:name="_Toc16423371"/>
      <w:bookmarkStart w:id="61" w:name="_Toc23319920"/>
      <w:bookmarkStart w:id="62" w:name="_Toc12670"/>
      <w:r>
        <w:rPr>
          <w:rFonts w:hint="default" w:ascii="Times New Roman" w:hAnsi="Times New Roman" w:cs="Times New Roman"/>
          <w:lang w:eastAsia="zh-CN"/>
        </w:rPr>
        <w:t>（</w:t>
      </w:r>
      <w:r>
        <w:rPr>
          <w:rFonts w:hint="default" w:ascii="Times New Roman" w:hAnsi="Times New Roman" w:cs="Times New Roman"/>
        </w:rPr>
        <w:t>一）</w:t>
      </w:r>
      <w:bookmarkEnd w:id="56"/>
      <w:r>
        <w:rPr>
          <w:rFonts w:hint="default" w:ascii="Times New Roman" w:hAnsi="Times New Roman" w:cs="Times New Roman"/>
        </w:rPr>
        <w:t>项目绩效目标</w:t>
      </w:r>
      <w:bookmarkEnd w:id="57"/>
      <w:bookmarkEnd w:id="58"/>
      <w:bookmarkEnd w:id="59"/>
      <w:bookmarkEnd w:id="60"/>
      <w:bookmarkEnd w:id="61"/>
      <w:r>
        <w:rPr>
          <w:rFonts w:hint="default" w:ascii="Times New Roman" w:hAnsi="Times New Roman" w:cs="Times New Roman"/>
        </w:rPr>
        <w:t>申报质量不高</w:t>
      </w:r>
      <w:bookmarkEnd w:id="62"/>
    </w:p>
    <w:p w14:paraId="76421CFC">
      <w:pPr>
        <w:spacing w:line="560" w:lineRule="exact"/>
        <w:ind w:firstLine="640"/>
        <w:rPr>
          <w:rFonts w:hint="default" w:ascii="Times New Roman" w:hAnsi="Times New Roman" w:cs="Times New Roman"/>
          <w:szCs w:val="32"/>
        </w:rPr>
      </w:pPr>
      <w:r>
        <w:rPr>
          <w:rFonts w:hint="default" w:ascii="Times New Roman" w:hAnsi="Times New Roman" w:cs="Times New Roman"/>
          <w:szCs w:val="32"/>
        </w:rPr>
        <w:t>根据财政部门要求，预算单位申报项目时需填制绩效目标申报表，绩效目标应明确、细化、可衡量。查看经贸局填报的《</w:t>
      </w:r>
      <w:r>
        <w:rPr>
          <w:rFonts w:hint="default" w:ascii="Times New Roman" w:hAnsi="Times New Roman" w:cs="Times New Roman"/>
          <w:szCs w:val="32"/>
          <w:lang w:eastAsia="zh-CN"/>
        </w:rPr>
        <w:t>服务业、电子商务、商贸企业等发展专项资金</w:t>
      </w:r>
      <w:r>
        <w:rPr>
          <w:rFonts w:hint="default" w:ascii="Times New Roman" w:hAnsi="Times New Roman" w:cs="Times New Roman"/>
          <w:szCs w:val="32"/>
        </w:rPr>
        <w:t>项目绩效申报表》，绩效指标填报基本完整，但整体申报质量一般，存在成本指标未细化、质量指标填写不准确、满意度指标设置不合理等问题。</w:t>
      </w:r>
    </w:p>
    <w:p w14:paraId="46CCD15C">
      <w:pPr>
        <w:pStyle w:val="5"/>
        <w:keepNext w:val="0"/>
        <w:keepLines w:val="0"/>
        <w:spacing w:line="560" w:lineRule="exact"/>
        <w:ind w:firstLine="643"/>
        <w:rPr>
          <w:rFonts w:hint="default" w:ascii="Times New Roman" w:hAnsi="Times New Roman" w:eastAsia="楷体" w:cs="Times New Roman"/>
          <w:lang w:val="en-US" w:eastAsia="zh-CN"/>
        </w:rPr>
      </w:pPr>
      <w:bookmarkStart w:id="63" w:name="_Toc86224154"/>
      <w:bookmarkStart w:id="64" w:name="_Toc41234189"/>
      <w:bookmarkStart w:id="65" w:name="_Toc10279"/>
      <w:r>
        <w:rPr>
          <w:rFonts w:hint="default" w:ascii="Times New Roman" w:hAnsi="Times New Roman" w:cs="Times New Roman"/>
          <w:lang w:eastAsia="zh-CN"/>
        </w:rPr>
        <w:t>（</w:t>
      </w:r>
      <w:r>
        <w:rPr>
          <w:rFonts w:hint="default" w:ascii="Times New Roman" w:hAnsi="Times New Roman" w:cs="Times New Roman"/>
        </w:rPr>
        <w:t>二）</w:t>
      </w:r>
      <w:bookmarkEnd w:id="63"/>
      <w:bookmarkEnd w:id="64"/>
      <w:r>
        <w:rPr>
          <w:rFonts w:hint="default" w:ascii="Times New Roman" w:hAnsi="Times New Roman" w:cs="Times New Roman"/>
          <w:lang w:val="en-US" w:eastAsia="zh-CN"/>
        </w:rPr>
        <w:t>未提供立项申请文件</w:t>
      </w:r>
      <w:bookmarkEnd w:id="65"/>
    </w:p>
    <w:p w14:paraId="09A532B5">
      <w:pPr>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cs="Times New Roman"/>
          <w:lang w:val="en-US" w:eastAsia="zh-CN"/>
        </w:rPr>
      </w:pPr>
      <w:bookmarkStart w:id="66" w:name="_Toc86224155"/>
      <w:bookmarkStart w:id="67" w:name="_Toc28685"/>
      <w:bookmarkStart w:id="68" w:name="_Toc30945"/>
      <w:r>
        <w:rPr>
          <w:rFonts w:hint="default" w:ascii="Times New Roman" w:hAnsi="Times New Roman" w:cs="Times New Roman"/>
          <w:lang w:eastAsia="zh-CN"/>
        </w:rPr>
        <w:t>商务和经济合作局</w:t>
      </w:r>
      <w:r>
        <w:rPr>
          <w:rFonts w:hint="default" w:ascii="Times New Roman" w:hAnsi="Times New Roman" w:cs="Times New Roman"/>
          <w:lang w:val="en-US" w:eastAsia="zh-CN"/>
        </w:rPr>
        <w:t>尚未提供项目立项文件。项目立项文件是项目启动和实施的基础，它包含了项目的背景、目标、预算、时间表以及预期成果等关键信息，对于确保项目的顺利进行和后期的有效管理至关重要。缺乏这一文件，会导致项目目标不明确、资源分配不合理、进度难以控制等一系列问题。</w:t>
      </w:r>
    </w:p>
    <w:p w14:paraId="61422388">
      <w:pPr>
        <w:pStyle w:val="5"/>
        <w:keepNext w:val="0"/>
        <w:keepLines w:val="0"/>
        <w:spacing w:line="560" w:lineRule="exact"/>
        <w:ind w:firstLine="643"/>
        <w:rPr>
          <w:rFonts w:hint="default" w:ascii="Times New Roman" w:hAnsi="Times New Roman" w:cs="Times New Roman"/>
        </w:rPr>
      </w:pPr>
      <w:bookmarkStart w:id="69" w:name="_Toc26754"/>
      <w:r>
        <w:rPr>
          <w:rFonts w:hint="default" w:ascii="Times New Roman" w:hAnsi="Times New Roman" w:cs="Times New Roman"/>
          <w:lang w:eastAsia="zh-CN"/>
        </w:rPr>
        <w:t>（</w:t>
      </w:r>
      <w:r>
        <w:rPr>
          <w:rFonts w:hint="default" w:ascii="Times New Roman" w:hAnsi="Times New Roman" w:cs="Times New Roman"/>
        </w:rPr>
        <w:t>三）财务记账凭证缺少附件内容</w:t>
      </w:r>
      <w:bookmarkEnd w:id="69"/>
    </w:p>
    <w:p w14:paraId="6288822F">
      <w:pPr>
        <w:spacing w:line="560" w:lineRule="exact"/>
        <w:ind w:firstLine="640"/>
        <w:rPr>
          <w:rFonts w:hint="default" w:ascii="Times New Roman" w:hAnsi="Times New Roman" w:cs="Times New Roman"/>
          <w:szCs w:val="32"/>
        </w:rPr>
      </w:pPr>
      <w:r>
        <w:rPr>
          <w:rFonts w:hint="default" w:ascii="Times New Roman" w:hAnsi="Times New Roman" w:cs="Times New Roman"/>
          <w:b w:val="0"/>
          <w:bCs w:val="0"/>
          <w:szCs w:val="32"/>
          <w:lang w:val="en-US" w:eastAsia="zh-CN"/>
        </w:rPr>
        <w:t>根据绩效小组查阅凭证等资料抽查</w:t>
      </w:r>
      <w:r>
        <w:rPr>
          <w:rFonts w:hint="default" w:ascii="Times New Roman" w:hAnsi="Times New Roman" w:cs="Times New Roman"/>
          <w:szCs w:val="32"/>
          <w:lang w:eastAsia="zh-CN"/>
        </w:rPr>
        <w:t>商务和经济合作局</w:t>
      </w:r>
      <w:r>
        <w:rPr>
          <w:rFonts w:hint="default" w:ascii="Times New Roman" w:hAnsi="Times New Roman" w:cs="Times New Roman"/>
          <w:b w:val="0"/>
          <w:bCs w:val="0"/>
          <w:szCs w:val="32"/>
          <w:lang w:val="en-US" w:eastAsia="zh-CN"/>
        </w:rPr>
        <w:t>部分财务记账凭证存在附件缺少内容等问题，绩效小组进行部分凭证的查阅12-98号凭证附件缺少会议纪要。</w:t>
      </w:r>
    </w:p>
    <w:bookmarkEnd w:id="66"/>
    <w:bookmarkEnd w:id="67"/>
    <w:bookmarkEnd w:id="68"/>
    <w:p w14:paraId="2C652FAA">
      <w:pPr>
        <w:pStyle w:val="3"/>
        <w:keepNext w:val="0"/>
        <w:keepLines w:val="0"/>
        <w:spacing w:beforeLines="0" w:afterLines="0" w:line="560" w:lineRule="exact"/>
        <w:ind w:firstLine="640"/>
        <w:rPr>
          <w:rFonts w:hint="default" w:ascii="Times New Roman" w:hAnsi="Times New Roman" w:cs="Times New Roman"/>
          <w:b/>
          <w:bCs/>
        </w:rPr>
      </w:pPr>
      <w:bookmarkStart w:id="70" w:name="_Toc1373"/>
      <w:bookmarkStart w:id="71" w:name="_Toc86224156"/>
      <w:r>
        <w:rPr>
          <w:rFonts w:hint="default" w:ascii="Times New Roman" w:hAnsi="Times New Roman" w:cs="Times New Roman"/>
          <w:b/>
          <w:bCs/>
        </w:rPr>
        <w:t>六、评价建议</w:t>
      </w:r>
      <w:bookmarkEnd w:id="70"/>
      <w:bookmarkEnd w:id="71"/>
    </w:p>
    <w:p w14:paraId="20FBAA48">
      <w:pPr>
        <w:pStyle w:val="5"/>
        <w:keepNext w:val="0"/>
        <w:keepLines w:val="0"/>
        <w:spacing w:line="560" w:lineRule="exact"/>
        <w:ind w:firstLine="643"/>
        <w:rPr>
          <w:rFonts w:hint="default" w:ascii="Times New Roman" w:hAnsi="Times New Roman" w:cs="Times New Roman"/>
        </w:rPr>
      </w:pPr>
      <w:bookmarkStart w:id="72" w:name="_Toc23319924"/>
      <w:bookmarkStart w:id="73" w:name="_Toc86224157"/>
      <w:bookmarkStart w:id="74" w:name="_Toc29746"/>
      <w:r>
        <w:rPr>
          <w:rFonts w:hint="default" w:ascii="Times New Roman" w:hAnsi="Times New Roman" w:cs="Times New Roman"/>
          <w:lang w:eastAsia="zh-CN"/>
        </w:rPr>
        <w:t>（</w:t>
      </w:r>
      <w:r>
        <w:rPr>
          <w:rFonts w:hint="default" w:ascii="Times New Roman" w:hAnsi="Times New Roman" w:cs="Times New Roman"/>
        </w:rPr>
        <w:t>一）规范项目绩效目标申报</w:t>
      </w:r>
      <w:bookmarkEnd w:id="72"/>
      <w:r>
        <w:rPr>
          <w:rFonts w:hint="default" w:ascii="Times New Roman" w:hAnsi="Times New Roman" w:cs="Times New Roman"/>
        </w:rPr>
        <w:t>管理</w:t>
      </w:r>
      <w:bookmarkEnd w:id="73"/>
      <w:bookmarkEnd w:id="74"/>
    </w:p>
    <w:p w14:paraId="1F1868F8">
      <w:pPr>
        <w:spacing w:line="560" w:lineRule="exact"/>
        <w:ind w:firstLine="640"/>
        <w:rPr>
          <w:rFonts w:hint="default" w:ascii="Times New Roman" w:hAnsi="Times New Roman" w:cs="Times New Roman"/>
        </w:rPr>
      </w:pPr>
      <w:r>
        <w:rPr>
          <w:rFonts w:hint="default" w:ascii="Times New Roman" w:hAnsi="Times New Roman" w:cs="Times New Roman"/>
        </w:rPr>
        <w:t>针对项目绩效目标申报质量不高问题，建议</w:t>
      </w:r>
      <w:r>
        <w:rPr>
          <w:rFonts w:hint="default" w:ascii="Times New Roman" w:hAnsi="Times New Roman" w:cs="Times New Roman"/>
          <w:lang w:eastAsia="zh-CN"/>
        </w:rPr>
        <w:t>商务和经济合作局</w:t>
      </w:r>
      <w:r>
        <w:rPr>
          <w:rFonts w:hint="default" w:ascii="Times New Roman" w:hAnsi="Times New Roman" w:cs="Times New Roman"/>
        </w:rPr>
        <w:t>进一步提升绩效目标申报质量，在保障完整性的同时，细化分解各类指标，使其明确、合理、可衡量，为项目监控、后期监督检查与绩效评价</w:t>
      </w:r>
      <w:r>
        <w:rPr>
          <w:rFonts w:hint="default" w:ascii="Times New Roman" w:hAnsi="Times New Roman" w:cs="Times New Roman"/>
          <w:lang w:eastAsia="zh-CN"/>
        </w:rPr>
        <w:t>提供</w:t>
      </w:r>
      <w:r>
        <w:rPr>
          <w:rFonts w:hint="default" w:ascii="Times New Roman" w:hAnsi="Times New Roman" w:cs="Times New Roman"/>
        </w:rPr>
        <w:t>参考依据；建议</w:t>
      </w:r>
      <w:r>
        <w:rPr>
          <w:rFonts w:hint="default" w:ascii="Times New Roman" w:hAnsi="Times New Roman" w:cs="Times New Roman"/>
          <w:lang w:eastAsia="zh-CN"/>
        </w:rPr>
        <w:t>罗江区</w:t>
      </w:r>
      <w:r>
        <w:rPr>
          <w:rFonts w:hint="default" w:ascii="Times New Roman" w:hAnsi="Times New Roman" w:cs="Times New Roman"/>
        </w:rPr>
        <w:t>财政局加强绩效目标申报培训和质量审核，对填报不完整、质量不达标的应不予通过，经预算部门完善后方可进入预算编制的下一个流程，以</w:t>
      </w:r>
      <w:r>
        <w:rPr>
          <w:rFonts w:hint="default" w:ascii="Times New Roman" w:hAnsi="Times New Roman" w:cs="Times New Roman"/>
          <w:lang w:val="en-US" w:eastAsia="zh-CN"/>
        </w:rPr>
        <w:t>提高</w:t>
      </w:r>
      <w:r>
        <w:rPr>
          <w:rFonts w:hint="default" w:ascii="Times New Roman" w:hAnsi="Times New Roman" w:cs="Times New Roman"/>
        </w:rPr>
        <w:t>绩效观念和资金使用效率。</w:t>
      </w:r>
    </w:p>
    <w:p w14:paraId="4A27540D">
      <w:pPr>
        <w:pStyle w:val="5"/>
        <w:keepNext w:val="0"/>
        <w:keepLines w:val="0"/>
        <w:spacing w:line="560" w:lineRule="exact"/>
        <w:ind w:firstLine="643"/>
        <w:rPr>
          <w:rFonts w:hint="default" w:ascii="Times New Roman" w:hAnsi="Times New Roman" w:cs="Times New Roman"/>
        </w:rPr>
      </w:pPr>
      <w:bookmarkStart w:id="75" w:name="_Toc31218"/>
      <w:r>
        <w:rPr>
          <w:rFonts w:hint="default" w:ascii="Times New Roman" w:hAnsi="Times New Roman" w:cs="Times New Roman"/>
          <w:lang w:eastAsia="zh-CN"/>
        </w:rPr>
        <w:t>（</w:t>
      </w:r>
      <w:r>
        <w:rPr>
          <w:rFonts w:hint="default" w:ascii="Times New Roman" w:hAnsi="Times New Roman" w:cs="Times New Roman"/>
        </w:rPr>
        <w:t>二）尽快编制并提交项目立项文件</w:t>
      </w:r>
      <w:bookmarkEnd w:id="75"/>
    </w:p>
    <w:p w14:paraId="2E5F27F8">
      <w:pPr>
        <w:spacing w:line="560" w:lineRule="exact"/>
        <w:ind w:firstLine="640"/>
        <w:rPr>
          <w:rFonts w:hint="default" w:ascii="Times New Roman" w:hAnsi="Times New Roman" w:cs="Times New Roman"/>
        </w:rPr>
      </w:pPr>
      <w:r>
        <w:rPr>
          <w:rFonts w:hint="default" w:ascii="Times New Roman" w:hAnsi="Times New Roman" w:cs="Times New Roman"/>
        </w:rPr>
        <w:t>建议项目团队尽快编制并提交项目立项文件，以确保项目有明确的背景、目标、预算、时间表及预期成果，为项目的顺利推进和有效管理提供坚实基础。同时，立项文件应经过相关部门的审批和确认，以确保其准确性和可行性。</w:t>
      </w:r>
    </w:p>
    <w:p w14:paraId="0308CAE0">
      <w:pPr>
        <w:pStyle w:val="5"/>
        <w:keepNext w:val="0"/>
        <w:keepLines w:val="0"/>
        <w:spacing w:line="560" w:lineRule="exact"/>
        <w:ind w:firstLine="643"/>
        <w:rPr>
          <w:rFonts w:hint="default" w:ascii="Times New Roman" w:hAnsi="Times New Roman" w:eastAsia="楷体" w:cs="Times New Roman"/>
          <w:color w:val="FF0000"/>
          <w:lang w:val="en-US" w:eastAsia="zh-CN"/>
        </w:rPr>
      </w:pPr>
      <w:bookmarkStart w:id="76" w:name="_Toc19111"/>
      <w:r>
        <w:rPr>
          <w:rFonts w:hint="default" w:ascii="Times New Roman" w:hAnsi="Times New Roman" w:cs="Times New Roman"/>
          <w:lang w:eastAsia="zh-CN"/>
        </w:rPr>
        <w:t>（</w:t>
      </w:r>
      <w:r>
        <w:rPr>
          <w:rFonts w:hint="default" w:ascii="Times New Roman" w:hAnsi="Times New Roman" w:cs="Times New Roman"/>
        </w:rPr>
        <w:t>三）</w:t>
      </w:r>
      <w:r>
        <w:rPr>
          <w:rFonts w:hint="default" w:ascii="Times New Roman" w:hAnsi="Times New Roman" w:cs="Times New Roman"/>
          <w:color w:val="auto"/>
        </w:rPr>
        <w:t>加强管理</w:t>
      </w:r>
      <w:r>
        <w:rPr>
          <w:rFonts w:hint="default" w:ascii="Times New Roman" w:hAnsi="Times New Roman" w:cs="Times New Roman"/>
          <w:color w:val="auto"/>
          <w:lang w:val="en-US" w:eastAsia="zh-CN"/>
        </w:rPr>
        <w:t>财务做账程序管理</w:t>
      </w:r>
      <w:bookmarkEnd w:id="76"/>
    </w:p>
    <w:p w14:paraId="13F2D917">
      <w:pPr>
        <w:spacing w:line="560" w:lineRule="exact"/>
        <w:rPr>
          <w:rFonts w:hint="default" w:ascii="Times New Roman" w:hAnsi="Times New Roman" w:cs="Times New Roman"/>
        </w:rPr>
      </w:pPr>
      <w:r>
        <w:rPr>
          <w:rFonts w:hint="default" w:ascii="Times New Roman" w:hAnsi="Times New Roman" w:cs="Times New Roman"/>
        </w:rPr>
        <w:t>强调附件的真实性和完整性，要求所有附件必须与实际业务活动相符，且内容完整无遗漏。在记账凭证的审核过程中，增设对附件内容的专项审核环节。审核人员需仔细核对记账凭证中的各项数据与附件资料是否一致，确保数据的准确性和真实性。</w:t>
      </w:r>
    </w:p>
    <w:p w14:paraId="24CA83FE">
      <w:pPr>
        <w:pStyle w:val="2"/>
        <w:rPr>
          <w:rFonts w:hint="default" w:ascii="Times New Roman" w:hAnsi="Times New Roman" w:cs="Times New Roman"/>
        </w:rPr>
      </w:pPr>
    </w:p>
    <w:p w14:paraId="6311DA72">
      <w:pPr>
        <w:pStyle w:val="3"/>
        <w:keepNext/>
        <w:keepLines/>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lang w:val="en-US" w:eastAsia="zh-CN"/>
        </w:rPr>
        <w:sectPr>
          <w:footerReference r:id="rId11" w:type="default"/>
          <w:pgSz w:w="11906" w:h="16838"/>
          <w:pgMar w:top="2098" w:right="1474" w:bottom="1985"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6338775B">
      <w:pPr>
        <w:pStyle w:val="2"/>
        <w:ind w:left="0" w:leftChars="0" w:firstLine="0" w:firstLineChars="0"/>
        <w:rPr>
          <w:rFonts w:hint="default"/>
          <w:lang w:val="en-US" w:eastAsia="zh-CN"/>
        </w:rPr>
      </w:pPr>
    </w:p>
    <w:sectPr>
      <w:pgSz w:w="16838" w:h="11906" w:orient="landscape"/>
      <w:pgMar w:top="1588" w:right="2098" w:bottom="1474" w:left="1985"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1908EAF6-7BF1-4338-8A37-EE520CC355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75EE4E2-24A8-4003-AF78-93AD453F30F3}"/>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3" w:fontKey="{F89541E3-43B5-4890-9463-B04E6D34891B}"/>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embedRegular r:id="rId4" w:fontKey="{C2EEAFC8-DAC3-4CE0-8296-CF384E20EE33}"/>
  </w:font>
  <w:font w:name="TimesNewRomanPSMT">
    <w:altName w:val="Times New Roman"/>
    <w:panose1 w:val="00000000000000000000"/>
    <w:charset w:val="00"/>
    <w:family w:val="auto"/>
    <w:pitch w:val="default"/>
    <w:sig w:usb0="00000000" w:usb1="00000000" w:usb2="00000000" w:usb3="00000000" w:csb0="00000000" w:csb1="00000000"/>
    <w:embedRegular r:id="rId5" w:fontKey="{802A6BA0-81D5-474D-AEAA-DD81B57437C4}"/>
  </w:font>
  <w:font w:name="方正仿宋简体">
    <w:panose1 w:val="03000509000000000000"/>
    <w:charset w:val="86"/>
    <w:family w:val="auto"/>
    <w:pitch w:val="default"/>
    <w:sig w:usb0="00000001" w:usb1="080E0000" w:usb2="00000000" w:usb3="00000000" w:csb0="00040000" w:csb1="00000000"/>
    <w:embedRegular r:id="rId6" w:fontKey="{C31307B3-FD14-4F95-BEEA-F41FEBBCA7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24163">
    <w:pPr>
      <w:pStyle w:val="17"/>
      <w:ind w:firstLine="420"/>
      <w:jc w:val="center"/>
      <w:rPr>
        <w:caps/>
        <w:sz w:val="21"/>
        <w:szCs w:val="21"/>
      </w:rPr>
    </w:pPr>
    <w:r>
      <w:rPr>
        <w:caps/>
        <w:sz w:val="21"/>
        <w:szCs w:val="21"/>
      </w:rPr>
      <w:fldChar w:fldCharType="begin"/>
    </w:r>
    <w:r>
      <w:rPr>
        <w:caps/>
        <w:sz w:val="21"/>
        <w:szCs w:val="21"/>
      </w:rPr>
      <w:instrText xml:space="preserve">PAGE   \* MERGEFORMAT</w:instrText>
    </w:r>
    <w:r>
      <w:rPr>
        <w:caps/>
        <w:sz w:val="21"/>
        <w:szCs w:val="21"/>
      </w:rPr>
      <w:fldChar w:fldCharType="separate"/>
    </w:r>
    <w:r>
      <w:rPr>
        <w:caps/>
        <w:sz w:val="21"/>
        <w:szCs w:val="21"/>
        <w:lang w:val="zh-CN"/>
      </w:rPr>
      <w:t>2</w:t>
    </w:r>
    <w:r>
      <w:rPr>
        <w:caps/>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CF558">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5768F">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834D5">
    <w:pPr>
      <w:pStyle w:val="17"/>
      <w:ind w:firstLine="420"/>
      <w:jc w:val="center"/>
      <w:rPr>
        <w:caps/>
        <w:sz w:val="21"/>
        <w:szCs w:val="21"/>
      </w:rPr>
    </w:pPr>
    <w:r>
      <w:rPr>
        <w:caps/>
        <w:sz w:val="21"/>
        <w:szCs w:val="21"/>
      </w:rPr>
      <w:fldChar w:fldCharType="begin"/>
    </w:r>
    <w:r>
      <w:rPr>
        <w:caps/>
        <w:sz w:val="21"/>
        <w:szCs w:val="21"/>
      </w:rPr>
      <w:instrText xml:space="preserve">PAGE   \* MERGEFORMAT</w:instrText>
    </w:r>
    <w:r>
      <w:rPr>
        <w:caps/>
        <w:sz w:val="21"/>
        <w:szCs w:val="21"/>
      </w:rPr>
      <w:fldChar w:fldCharType="separate"/>
    </w:r>
    <w:r>
      <w:rPr>
        <w:caps/>
        <w:sz w:val="21"/>
        <w:szCs w:val="21"/>
        <w:lang w:val="zh-CN"/>
      </w:rPr>
      <w:t>2</w:t>
    </w:r>
    <w:r>
      <w:rPr>
        <w:caps/>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EFA80">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B017A">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FFB85">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4ZjZiZWUyMWY3NGEwZTJlNTkxODY4MDIyMTY4YmMifQ=="/>
  </w:docVars>
  <w:rsids>
    <w:rsidRoot w:val="00372F16"/>
    <w:rsid w:val="0001575A"/>
    <w:rsid w:val="000169DC"/>
    <w:rsid w:val="00022C73"/>
    <w:rsid w:val="000235E4"/>
    <w:rsid w:val="000308EC"/>
    <w:rsid w:val="00033184"/>
    <w:rsid w:val="0004145B"/>
    <w:rsid w:val="00045081"/>
    <w:rsid w:val="0004538C"/>
    <w:rsid w:val="00051042"/>
    <w:rsid w:val="0005485C"/>
    <w:rsid w:val="0006248A"/>
    <w:rsid w:val="00063057"/>
    <w:rsid w:val="0006685E"/>
    <w:rsid w:val="00077D79"/>
    <w:rsid w:val="000817A8"/>
    <w:rsid w:val="00084A67"/>
    <w:rsid w:val="0008611B"/>
    <w:rsid w:val="00093A65"/>
    <w:rsid w:val="00096B20"/>
    <w:rsid w:val="00097770"/>
    <w:rsid w:val="000A03C1"/>
    <w:rsid w:val="000A16A9"/>
    <w:rsid w:val="000A5F4F"/>
    <w:rsid w:val="000B350F"/>
    <w:rsid w:val="000B39F2"/>
    <w:rsid w:val="000C13F1"/>
    <w:rsid w:val="000C452C"/>
    <w:rsid w:val="000D02FB"/>
    <w:rsid w:val="000D1EFA"/>
    <w:rsid w:val="000E0673"/>
    <w:rsid w:val="000F0178"/>
    <w:rsid w:val="000F4CF8"/>
    <w:rsid w:val="000F62FF"/>
    <w:rsid w:val="00100E59"/>
    <w:rsid w:val="00102684"/>
    <w:rsid w:val="00112260"/>
    <w:rsid w:val="00120965"/>
    <w:rsid w:val="0012141F"/>
    <w:rsid w:val="0012168A"/>
    <w:rsid w:val="00122A8C"/>
    <w:rsid w:val="00127269"/>
    <w:rsid w:val="001303D4"/>
    <w:rsid w:val="00130BFE"/>
    <w:rsid w:val="0014780D"/>
    <w:rsid w:val="001503AD"/>
    <w:rsid w:val="00152B8B"/>
    <w:rsid w:val="00156570"/>
    <w:rsid w:val="001637F1"/>
    <w:rsid w:val="0016400F"/>
    <w:rsid w:val="001642D3"/>
    <w:rsid w:val="00164E22"/>
    <w:rsid w:val="001707E4"/>
    <w:rsid w:val="00180A74"/>
    <w:rsid w:val="001849E9"/>
    <w:rsid w:val="00187545"/>
    <w:rsid w:val="00192138"/>
    <w:rsid w:val="00192881"/>
    <w:rsid w:val="00196D51"/>
    <w:rsid w:val="001B099A"/>
    <w:rsid w:val="001B0BCD"/>
    <w:rsid w:val="001B5761"/>
    <w:rsid w:val="001C033B"/>
    <w:rsid w:val="001C1CD1"/>
    <w:rsid w:val="001C46C5"/>
    <w:rsid w:val="001D1153"/>
    <w:rsid w:val="001D3A23"/>
    <w:rsid w:val="001D3D8C"/>
    <w:rsid w:val="001D4AE7"/>
    <w:rsid w:val="001D4EE4"/>
    <w:rsid w:val="001D6CA3"/>
    <w:rsid w:val="001E0490"/>
    <w:rsid w:val="001E2F0F"/>
    <w:rsid w:val="001E5188"/>
    <w:rsid w:val="001F11F3"/>
    <w:rsid w:val="001F22A2"/>
    <w:rsid w:val="001F34FE"/>
    <w:rsid w:val="001F4FC8"/>
    <w:rsid w:val="00200959"/>
    <w:rsid w:val="002024D0"/>
    <w:rsid w:val="00203FF5"/>
    <w:rsid w:val="00207204"/>
    <w:rsid w:val="00212943"/>
    <w:rsid w:val="00215C8B"/>
    <w:rsid w:val="00216A7D"/>
    <w:rsid w:val="0022116C"/>
    <w:rsid w:val="0022348D"/>
    <w:rsid w:val="00225E86"/>
    <w:rsid w:val="0023363F"/>
    <w:rsid w:val="002422A1"/>
    <w:rsid w:val="00242378"/>
    <w:rsid w:val="0024324B"/>
    <w:rsid w:val="00245614"/>
    <w:rsid w:val="002466CE"/>
    <w:rsid w:val="00252E1A"/>
    <w:rsid w:val="00252FE3"/>
    <w:rsid w:val="00257FF2"/>
    <w:rsid w:val="00260206"/>
    <w:rsid w:val="00260E44"/>
    <w:rsid w:val="00270633"/>
    <w:rsid w:val="0028096E"/>
    <w:rsid w:val="002813EF"/>
    <w:rsid w:val="00282712"/>
    <w:rsid w:val="00284466"/>
    <w:rsid w:val="00284809"/>
    <w:rsid w:val="00294AFD"/>
    <w:rsid w:val="002A73BC"/>
    <w:rsid w:val="002C07D9"/>
    <w:rsid w:val="002C13C9"/>
    <w:rsid w:val="002C4D52"/>
    <w:rsid w:val="002C6402"/>
    <w:rsid w:val="002D1245"/>
    <w:rsid w:val="002D2A1A"/>
    <w:rsid w:val="002D6D79"/>
    <w:rsid w:val="002E039C"/>
    <w:rsid w:val="002E12D9"/>
    <w:rsid w:val="002E242F"/>
    <w:rsid w:val="002E5E6B"/>
    <w:rsid w:val="002F43C5"/>
    <w:rsid w:val="002F559E"/>
    <w:rsid w:val="0030245B"/>
    <w:rsid w:val="0030295D"/>
    <w:rsid w:val="00306A70"/>
    <w:rsid w:val="00312CD5"/>
    <w:rsid w:val="00322DFA"/>
    <w:rsid w:val="00323588"/>
    <w:rsid w:val="0032416B"/>
    <w:rsid w:val="00325120"/>
    <w:rsid w:val="0032632B"/>
    <w:rsid w:val="0032687F"/>
    <w:rsid w:val="00344E25"/>
    <w:rsid w:val="00352143"/>
    <w:rsid w:val="0035279E"/>
    <w:rsid w:val="00362D82"/>
    <w:rsid w:val="0036798C"/>
    <w:rsid w:val="003707BB"/>
    <w:rsid w:val="00372F16"/>
    <w:rsid w:val="00382DA9"/>
    <w:rsid w:val="00386057"/>
    <w:rsid w:val="00387D44"/>
    <w:rsid w:val="0039216D"/>
    <w:rsid w:val="00393D7B"/>
    <w:rsid w:val="00394E67"/>
    <w:rsid w:val="003A3172"/>
    <w:rsid w:val="003B6E39"/>
    <w:rsid w:val="003C018E"/>
    <w:rsid w:val="003C3C8E"/>
    <w:rsid w:val="003C4E69"/>
    <w:rsid w:val="003D507E"/>
    <w:rsid w:val="003E51BC"/>
    <w:rsid w:val="003E7733"/>
    <w:rsid w:val="003E77E8"/>
    <w:rsid w:val="003F4805"/>
    <w:rsid w:val="00405E55"/>
    <w:rsid w:val="0040739E"/>
    <w:rsid w:val="00413354"/>
    <w:rsid w:val="0041603E"/>
    <w:rsid w:val="00417FDE"/>
    <w:rsid w:val="004208E7"/>
    <w:rsid w:val="004234AF"/>
    <w:rsid w:val="004258D6"/>
    <w:rsid w:val="00430A2F"/>
    <w:rsid w:val="004402BF"/>
    <w:rsid w:val="00444687"/>
    <w:rsid w:val="00444E68"/>
    <w:rsid w:val="00445FCB"/>
    <w:rsid w:val="00447954"/>
    <w:rsid w:val="00451C53"/>
    <w:rsid w:val="004524E7"/>
    <w:rsid w:val="00454E0C"/>
    <w:rsid w:val="004657D6"/>
    <w:rsid w:val="00471C9C"/>
    <w:rsid w:val="004767AB"/>
    <w:rsid w:val="00477824"/>
    <w:rsid w:val="004806E8"/>
    <w:rsid w:val="00481F57"/>
    <w:rsid w:val="00487D69"/>
    <w:rsid w:val="00490763"/>
    <w:rsid w:val="004907FD"/>
    <w:rsid w:val="004919CF"/>
    <w:rsid w:val="00492535"/>
    <w:rsid w:val="00497713"/>
    <w:rsid w:val="004B69D8"/>
    <w:rsid w:val="004C2BF9"/>
    <w:rsid w:val="004D0773"/>
    <w:rsid w:val="004D2BC3"/>
    <w:rsid w:val="004D5612"/>
    <w:rsid w:val="004D595B"/>
    <w:rsid w:val="004D5DD2"/>
    <w:rsid w:val="004E6226"/>
    <w:rsid w:val="004F308A"/>
    <w:rsid w:val="004F618F"/>
    <w:rsid w:val="00500763"/>
    <w:rsid w:val="00503D63"/>
    <w:rsid w:val="00503F3B"/>
    <w:rsid w:val="00504314"/>
    <w:rsid w:val="00504D37"/>
    <w:rsid w:val="00506CAD"/>
    <w:rsid w:val="00513DA1"/>
    <w:rsid w:val="00516A31"/>
    <w:rsid w:val="00526019"/>
    <w:rsid w:val="0053623D"/>
    <w:rsid w:val="005416FE"/>
    <w:rsid w:val="00545095"/>
    <w:rsid w:val="0054737F"/>
    <w:rsid w:val="00547AED"/>
    <w:rsid w:val="00552E03"/>
    <w:rsid w:val="005535C2"/>
    <w:rsid w:val="00556751"/>
    <w:rsid w:val="005600A5"/>
    <w:rsid w:val="0056462E"/>
    <w:rsid w:val="00565F0B"/>
    <w:rsid w:val="00567186"/>
    <w:rsid w:val="00567C9E"/>
    <w:rsid w:val="0057060D"/>
    <w:rsid w:val="005763FD"/>
    <w:rsid w:val="00586054"/>
    <w:rsid w:val="00586F65"/>
    <w:rsid w:val="005A0618"/>
    <w:rsid w:val="005A0ED7"/>
    <w:rsid w:val="005A22B2"/>
    <w:rsid w:val="005A4DA0"/>
    <w:rsid w:val="005B0B7A"/>
    <w:rsid w:val="005B1A14"/>
    <w:rsid w:val="005B52E2"/>
    <w:rsid w:val="005B6244"/>
    <w:rsid w:val="005C35C9"/>
    <w:rsid w:val="005C5342"/>
    <w:rsid w:val="005C6167"/>
    <w:rsid w:val="005C7D5D"/>
    <w:rsid w:val="005E08FE"/>
    <w:rsid w:val="005E44A8"/>
    <w:rsid w:val="005E4AEB"/>
    <w:rsid w:val="005E6B99"/>
    <w:rsid w:val="005F2F6C"/>
    <w:rsid w:val="00601BCC"/>
    <w:rsid w:val="00614674"/>
    <w:rsid w:val="006146ED"/>
    <w:rsid w:val="00615297"/>
    <w:rsid w:val="00615ABD"/>
    <w:rsid w:val="006352F6"/>
    <w:rsid w:val="00637DD0"/>
    <w:rsid w:val="00641A02"/>
    <w:rsid w:val="00645B70"/>
    <w:rsid w:val="006541C6"/>
    <w:rsid w:val="00654C3E"/>
    <w:rsid w:val="00660682"/>
    <w:rsid w:val="00661A8C"/>
    <w:rsid w:val="00664EE4"/>
    <w:rsid w:val="0066737A"/>
    <w:rsid w:val="00667882"/>
    <w:rsid w:val="00670A09"/>
    <w:rsid w:val="006710B7"/>
    <w:rsid w:val="00686284"/>
    <w:rsid w:val="00686EB2"/>
    <w:rsid w:val="00690921"/>
    <w:rsid w:val="00693028"/>
    <w:rsid w:val="00693C94"/>
    <w:rsid w:val="006A0132"/>
    <w:rsid w:val="006A731F"/>
    <w:rsid w:val="006B34BF"/>
    <w:rsid w:val="006B3A48"/>
    <w:rsid w:val="006B5588"/>
    <w:rsid w:val="006D390E"/>
    <w:rsid w:val="006D7DC1"/>
    <w:rsid w:val="006E3352"/>
    <w:rsid w:val="006E53F3"/>
    <w:rsid w:val="006E5CCA"/>
    <w:rsid w:val="006F7EE0"/>
    <w:rsid w:val="00715498"/>
    <w:rsid w:val="00715C89"/>
    <w:rsid w:val="00721395"/>
    <w:rsid w:val="0072268E"/>
    <w:rsid w:val="00725CF2"/>
    <w:rsid w:val="007300F7"/>
    <w:rsid w:val="00730ED3"/>
    <w:rsid w:val="007343D6"/>
    <w:rsid w:val="00737E9E"/>
    <w:rsid w:val="007458C8"/>
    <w:rsid w:val="007459C4"/>
    <w:rsid w:val="00745E68"/>
    <w:rsid w:val="007507A3"/>
    <w:rsid w:val="007567E1"/>
    <w:rsid w:val="007613C9"/>
    <w:rsid w:val="00762C8E"/>
    <w:rsid w:val="00766ED4"/>
    <w:rsid w:val="007725B5"/>
    <w:rsid w:val="00777F58"/>
    <w:rsid w:val="0078487E"/>
    <w:rsid w:val="007862A0"/>
    <w:rsid w:val="00787478"/>
    <w:rsid w:val="00791760"/>
    <w:rsid w:val="00793CAE"/>
    <w:rsid w:val="007A3581"/>
    <w:rsid w:val="007B1681"/>
    <w:rsid w:val="007B6CE9"/>
    <w:rsid w:val="007C1A87"/>
    <w:rsid w:val="007C6DC4"/>
    <w:rsid w:val="007D0D1D"/>
    <w:rsid w:val="007D0FCA"/>
    <w:rsid w:val="007D1308"/>
    <w:rsid w:val="007D4C81"/>
    <w:rsid w:val="007D5300"/>
    <w:rsid w:val="007E024E"/>
    <w:rsid w:val="007E2562"/>
    <w:rsid w:val="007E578A"/>
    <w:rsid w:val="007F4E34"/>
    <w:rsid w:val="00806B1B"/>
    <w:rsid w:val="00811177"/>
    <w:rsid w:val="008143DF"/>
    <w:rsid w:val="00816643"/>
    <w:rsid w:val="00816F4D"/>
    <w:rsid w:val="00817B2A"/>
    <w:rsid w:val="00823FBF"/>
    <w:rsid w:val="00826028"/>
    <w:rsid w:val="0083286D"/>
    <w:rsid w:val="008379FA"/>
    <w:rsid w:val="00842DF3"/>
    <w:rsid w:val="00843FEF"/>
    <w:rsid w:val="008506B0"/>
    <w:rsid w:val="008523C7"/>
    <w:rsid w:val="00852594"/>
    <w:rsid w:val="00857F4A"/>
    <w:rsid w:val="00861BE3"/>
    <w:rsid w:val="00864952"/>
    <w:rsid w:val="00867AC9"/>
    <w:rsid w:val="00881828"/>
    <w:rsid w:val="00887CBE"/>
    <w:rsid w:val="008B0C09"/>
    <w:rsid w:val="008B7660"/>
    <w:rsid w:val="008C04E4"/>
    <w:rsid w:val="008C6B57"/>
    <w:rsid w:val="008D71F7"/>
    <w:rsid w:val="008D7FCE"/>
    <w:rsid w:val="008F514E"/>
    <w:rsid w:val="00900576"/>
    <w:rsid w:val="00901364"/>
    <w:rsid w:val="009173AC"/>
    <w:rsid w:val="00921259"/>
    <w:rsid w:val="009228AB"/>
    <w:rsid w:val="00922D98"/>
    <w:rsid w:val="00927276"/>
    <w:rsid w:val="00930592"/>
    <w:rsid w:val="00932FE2"/>
    <w:rsid w:val="00937172"/>
    <w:rsid w:val="00943658"/>
    <w:rsid w:val="00946425"/>
    <w:rsid w:val="009473E1"/>
    <w:rsid w:val="00950CDD"/>
    <w:rsid w:val="009545FF"/>
    <w:rsid w:val="0096682D"/>
    <w:rsid w:val="00967CCF"/>
    <w:rsid w:val="009714D7"/>
    <w:rsid w:val="00972040"/>
    <w:rsid w:val="00972A81"/>
    <w:rsid w:val="00982796"/>
    <w:rsid w:val="00983D80"/>
    <w:rsid w:val="00983FBE"/>
    <w:rsid w:val="00990F2B"/>
    <w:rsid w:val="00992188"/>
    <w:rsid w:val="0099313F"/>
    <w:rsid w:val="0099392A"/>
    <w:rsid w:val="009B2344"/>
    <w:rsid w:val="009B5B6A"/>
    <w:rsid w:val="009B6BBB"/>
    <w:rsid w:val="009C011F"/>
    <w:rsid w:val="009C2447"/>
    <w:rsid w:val="009D1AA3"/>
    <w:rsid w:val="009D2864"/>
    <w:rsid w:val="009D5167"/>
    <w:rsid w:val="009D7C0C"/>
    <w:rsid w:val="009E49DC"/>
    <w:rsid w:val="009F56CB"/>
    <w:rsid w:val="009F6EDA"/>
    <w:rsid w:val="009F7350"/>
    <w:rsid w:val="00A02CD1"/>
    <w:rsid w:val="00A05B65"/>
    <w:rsid w:val="00A11ECD"/>
    <w:rsid w:val="00A16AC6"/>
    <w:rsid w:val="00A3312E"/>
    <w:rsid w:val="00A3656B"/>
    <w:rsid w:val="00A370F4"/>
    <w:rsid w:val="00A432A2"/>
    <w:rsid w:val="00A4439A"/>
    <w:rsid w:val="00A500AC"/>
    <w:rsid w:val="00A52348"/>
    <w:rsid w:val="00A52F9F"/>
    <w:rsid w:val="00A54456"/>
    <w:rsid w:val="00A64B38"/>
    <w:rsid w:val="00A70546"/>
    <w:rsid w:val="00A71AFC"/>
    <w:rsid w:val="00A74776"/>
    <w:rsid w:val="00A7595E"/>
    <w:rsid w:val="00A83E78"/>
    <w:rsid w:val="00A874ED"/>
    <w:rsid w:val="00A918BD"/>
    <w:rsid w:val="00A91DE0"/>
    <w:rsid w:val="00A97D96"/>
    <w:rsid w:val="00AA0A1A"/>
    <w:rsid w:val="00AA32E7"/>
    <w:rsid w:val="00AA4A29"/>
    <w:rsid w:val="00AA6F73"/>
    <w:rsid w:val="00AB5DD1"/>
    <w:rsid w:val="00AB7ED8"/>
    <w:rsid w:val="00AD2705"/>
    <w:rsid w:val="00AD5440"/>
    <w:rsid w:val="00AD7650"/>
    <w:rsid w:val="00AE14EB"/>
    <w:rsid w:val="00AE1D5A"/>
    <w:rsid w:val="00AE36C7"/>
    <w:rsid w:val="00AF279E"/>
    <w:rsid w:val="00AF346B"/>
    <w:rsid w:val="00B02E77"/>
    <w:rsid w:val="00B0604A"/>
    <w:rsid w:val="00B0680E"/>
    <w:rsid w:val="00B10804"/>
    <w:rsid w:val="00B10B55"/>
    <w:rsid w:val="00B178D5"/>
    <w:rsid w:val="00B204A0"/>
    <w:rsid w:val="00B21971"/>
    <w:rsid w:val="00B21E33"/>
    <w:rsid w:val="00B34C2E"/>
    <w:rsid w:val="00B35518"/>
    <w:rsid w:val="00B37D3B"/>
    <w:rsid w:val="00B40176"/>
    <w:rsid w:val="00B5379F"/>
    <w:rsid w:val="00B575E8"/>
    <w:rsid w:val="00B60193"/>
    <w:rsid w:val="00B66027"/>
    <w:rsid w:val="00B66669"/>
    <w:rsid w:val="00B74584"/>
    <w:rsid w:val="00B77C76"/>
    <w:rsid w:val="00B8782A"/>
    <w:rsid w:val="00B90085"/>
    <w:rsid w:val="00BA1383"/>
    <w:rsid w:val="00BB2068"/>
    <w:rsid w:val="00BB2150"/>
    <w:rsid w:val="00BB2944"/>
    <w:rsid w:val="00BC1FE4"/>
    <w:rsid w:val="00BC7387"/>
    <w:rsid w:val="00BC7BA5"/>
    <w:rsid w:val="00BD6D64"/>
    <w:rsid w:val="00BE128B"/>
    <w:rsid w:val="00BE6F05"/>
    <w:rsid w:val="00BF3DFD"/>
    <w:rsid w:val="00BF6308"/>
    <w:rsid w:val="00C00651"/>
    <w:rsid w:val="00C026AE"/>
    <w:rsid w:val="00C06C18"/>
    <w:rsid w:val="00C12E38"/>
    <w:rsid w:val="00C12FC3"/>
    <w:rsid w:val="00C13603"/>
    <w:rsid w:val="00C14B29"/>
    <w:rsid w:val="00C167F6"/>
    <w:rsid w:val="00C16AE2"/>
    <w:rsid w:val="00C2499F"/>
    <w:rsid w:val="00C25D5C"/>
    <w:rsid w:val="00C33D54"/>
    <w:rsid w:val="00C3538D"/>
    <w:rsid w:val="00C37356"/>
    <w:rsid w:val="00C37F34"/>
    <w:rsid w:val="00C469C2"/>
    <w:rsid w:val="00C5059A"/>
    <w:rsid w:val="00C53D9C"/>
    <w:rsid w:val="00C54DCA"/>
    <w:rsid w:val="00C63D18"/>
    <w:rsid w:val="00C67788"/>
    <w:rsid w:val="00C72154"/>
    <w:rsid w:val="00C73DA9"/>
    <w:rsid w:val="00C81A93"/>
    <w:rsid w:val="00C828C8"/>
    <w:rsid w:val="00C83D67"/>
    <w:rsid w:val="00C86780"/>
    <w:rsid w:val="00C919CD"/>
    <w:rsid w:val="00CA037F"/>
    <w:rsid w:val="00CA3F2C"/>
    <w:rsid w:val="00CA489D"/>
    <w:rsid w:val="00CA604D"/>
    <w:rsid w:val="00CA6A11"/>
    <w:rsid w:val="00CA73C3"/>
    <w:rsid w:val="00CB00CD"/>
    <w:rsid w:val="00CB22C6"/>
    <w:rsid w:val="00CB2655"/>
    <w:rsid w:val="00CB6346"/>
    <w:rsid w:val="00CC03AE"/>
    <w:rsid w:val="00CD0E00"/>
    <w:rsid w:val="00CD1BF6"/>
    <w:rsid w:val="00CD3AF9"/>
    <w:rsid w:val="00CD3EA0"/>
    <w:rsid w:val="00CD4D46"/>
    <w:rsid w:val="00CD6171"/>
    <w:rsid w:val="00CD77CE"/>
    <w:rsid w:val="00CE2DE3"/>
    <w:rsid w:val="00CF069E"/>
    <w:rsid w:val="00CF227A"/>
    <w:rsid w:val="00CF4584"/>
    <w:rsid w:val="00CF587D"/>
    <w:rsid w:val="00D00B6F"/>
    <w:rsid w:val="00D01855"/>
    <w:rsid w:val="00D04294"/>
    <w:rsid w:val="00D05B48"/>
    <w:rsid w:val="00D1039F"/>
    <w:rsid w:val="00D10488"/>
    <w:rsid w:val="00D1162B"/>
    <w:rsid w:val="00D17DB0"/>
    <w:rsid w:val="00D22AE3"/>
    <w:rsid w:val="00D303D6"/>
    <w:rsid w:val="00D3622E"/>
    <w:rsid w:val="00D40B25"/>
    <w:rsid w:val="00D41ED3"/>
    <w:rsid w:val="00D4204D"/>
    <w:rsid w:val="00D44C2C"/>
    <w:rsid w:val="00D469B5"/>
    <w:rsid w:val="00D544D2"/>
    <w:rsid w:val="00D6285D"/>
    <w:rsid w:val="00D73D26"/>
    <w:rsid w:val="00D86898"/>
    <w:rsid w:val="00D87362"/>
    <w:rsid w:val="00D9702A"/>
    <w:rsid w:val="00DA0D1D"/>
    <w:rsid w:val="00DA2906"/>
    <w:rsid w:val="00DC3739"/>
    <w:rsid w:val="00DD62C0"/>
    <w:rsid w:val="00DD63F1"/>
    <w:rsid w:val="00DD6A90"/>
    <w:rsid w:val="00DD76B4"/>
    <w:rsid w:val="00DE0E8F"/>
    <w:rsid w:val="00DE4DCD"/>
    <w:rsid w:val="00DE4DE4"/>
    <w:rsid w:val="00DE57FD"/>
    <w:rsid w:val="00DF0C99"/>
    <w:rsid w:val="00DF1CB5"/>
    <w:rsid w:val="00DF2AB5"/>
    <w:rsid w:val="00E072B2"/>
    <w:rsid w:val="00E11095"/>
    <w:rsid w:val="00E15107"/>
    <w:rsid w:val="00E164BB"/>
    <w:rsid w:val="00E20366"/>
    <w:rsid w:val="00E22692"/>
    <w:rsid w:val="00E231F1"/>
    <w:rsid w:val="00E25717"/>
    <w:rsid w:val="00E320DA"/>
    <w:rsid w:val="00E34F73"/>
    <w:rsid w:val="00E437E0"/>
    <w:rsid w:val="00E460F6"/>
    <w:rsid w:val="00E5539A"/>
    <w:rsid w:val="00E55D01"/>
    <w:rsid w:val="00E56746"/>
    <w:rsid w:val="00E6223C"/>
    <w:rsid w:val="00E62454"/>
    <w:rsid w:val="00E65C02"/>
    <w:rsid w:val="00E6720C"/>
    <w:rsid w:val="00E678BE"/>
    <w:rsid w:val="00E701E2"/>
    <w:rsid w:val="00E77D09"/>
    <w:rsid w:val="00E82835"/>
    <w:rsid w:val="00E83E34"/>
    <w:rsid w:val="00E85C95"/>
    <w:rsid w:val="00E877AE"/>
    <w:rsid w:val="00E90BA5"/>
    <w:rsid w:val="00E962D1"/>
    <w:rsid w:val="00EA352A"/>
    <w:rsid w:val="00EA4078"/>
    <w:rsid w:val="00EA6CD2"/>
    <w:rsid w:val="00EB2737"/>
    <w:rsid w:val="00EC239C"/>
    <w:rsid w:val="00EC7AEA"/>
    <w:rsid w:val="00ED0482"/>
    <w:rsid w:val="00EE3C4C"/>
    <w:rsid w:val="00EE6705"/>
    <w:rsid w:val="00EE6E67"/>
    <w:rsid w:val="00EE7F97"/>
    <w:rsid w:val="00EF2548"/>
    <w:rsid w:val="00EF6B81"/>
    <w:rsid w:val="00EF70E9"/>
    <w:rsid w:val="00F04E30"/>
    <w:rsid w:val="00F07B87"/>
    <w:rsid w:val="00F11FBF"/>
    <w:rsid w:val="00F137FD"/>
    <w:rsid w:val="00F17415"/>
    <w:rsid w:val="00F326E1"/>
    <w:rsid w:val="00F342EB"/>
    <w:rsid w:val="00F374DF"/>
    <w:rsid w:val="00F37724"/>
    <w:rsid w:val="00F41EEE"/>
    <w:rsid w:val="00F44C85"/>
    <w:rsid w:val="00F46DA2"/>
    <w:rsid w:val="00F50A36"/>
    <w:rsid w:val="00F54947"/>
    <w:rsid w:val="00F57505"/>
    <w:rsid w:val="00F61615"/>
    <w:rsid w:val="00F61A72"/>
    <w:rsid w:val="00F61F16"/>
    <w:rsid w:val="00F6779B"/>
    <w:rsid w:val="00F72605"/>
    <w:rsid w:val="00F73D0B"/>
    <w:rsid w:val="00F756A2"/>
    <w:rsid w:val="00F7652D"/>
    <w:rsid w:val="00F943AB"/>
    <w:rsid w:val="00F94962"/>
    <w:rsid w:val="00FA2297"/>
    <w:rsid w:val="00FA31F0"/>
    <w:rsid w:val="00FA3E18"/>
    <w:rsid w:val="00FB35E2"/>
    <w:rsid w:val="00FB3BEB"/>
    <w:rsid w:val="00FB6CD4"/>
    <w:rsid w:val="00FC2853"/>
    <w:rsid w:val="00FC3F8C"/>
    <w:rsid w:val="00FD267C"/>
    <w:rsid w:val="00FD4597"/>
    <w:rsid w:val="00FE1F26"/>
    <w:rsid w:val="00FE4AA1"/>
    <w:rsid w:val="00FE5224"/>
    <w:rsid w:val="024747CB"/>
    <w:rsid w:val="026B461E"/>
    <w:rsid w:val="04141E66"/>
    <w:rsid w:val="0689759C"/>
    <w:rsid w:val="07730E6C"/>
    <w:rsid w:val="085F371A"/>
    <w:rsid w:val="09056744"/>
    <w:rsid w:val="0DF15F98"/>
    <w:rsid w:val="107E4DB5"/>
    <w:rsid w:val="11457FAD"/>
    <w:rsid w:val="12502219"/>
    <w:rsid w:val="13624E13"/>
    <w:rsid w:val="13CB7E55"/>
    <w:rsid w:val="13FB073B"/>
    <w:rsid w:val="14581595"/>
    <w:rsid w:val="14985A0E"/>
    <w:rsid w:val="15B54DEF"/>
    <w:rsid w:val="161C5C07"/>
    <w:rsid w:val="164B2DB1"/>
    <w:rsid w:val="18E26D91"/>
    <w:rsid w:val="19F71A0D"/>
    <w:rsid w:val="1B42042A"/>
    <w:rsid w:val="1C330066"/>
    <w:rsid w:val="20404AAD"/>
    <w:rsid w:val="20867427"/>
    <w:rsid w:val="213D3BE0"/>
    <w:rsid w:val="24E25EC8"/>
    <w:rsid w:val="25344B2E"/>
    <w:rsid w:val="25354D16"/>
    <w:rsid w:val="26C34436"/>
    <w:rsid w:val="2762548F"/>
    <w:rsid w:val="28276990"/>
    <w:rsid w:val="288D3776"/>
    <w:rsid w:val="2A173D6A"/>
    <w:rsid w:val="2B7F45B0"/>
    <w:rsid w:val="2F864B8D"/>
    <w:rsid w:val="303A0261"/>
    <w:rsid w:val="312E2F68"/>
    <w:rsid w:val="31842005"/>
    <w:rsid w:val="323678EB"/>
    <w:rsid w:val="330073CF"/>
    <w:rsid w:val="33BF0F9A"/>
    <w:rsid w:val="33D57001"/>
    <w:rsid w:val="34FA3BF3"/>
    <w:rsid w:val="35076F0D"/>
    <w:rsid w:val="35565197"/>
    <w:rsid w:val="362B6139"/>
    <w:rsid w:val="36BA1AE6"/>
    <w:rsid w:val="37E52224"/>
    <w:rsid w:val="3859672E"/>
    <w:rsid w:val="38C962D6"/>
    <w:rsid w:val="3ABC683E"/>
    <w:rsid w:val="3AC041E3"/>
    <w:rsid w:val="3C8B4AA8"/>
    <w:rsid w:val="3CB55CE6"/>
    <w:rsid w:val="3D19224D"/>
    <w:rsid w:val="3F91066C"/>
    <w:rsid w:val="3FD70A72"/>
    <w:rsid w:val="41691936"/>
    <w:rsid w:val="44D1245F"/>
    <w:rsid w:val="46C16AB7"/>
    <w:rsid w:val="47871A05"/>
    <w:rsid w:val="48686492"/>
    <w:rsid w:val="4A0B2069"/>
    <w:rsid w:val="4A832EFF"/>
    <w:rsid w:val="4C3C4C30"/>
    <w:rsid w:val="4D2B0AE8"/>
    <w:rsid w:val="4D51697F"/>
    <w:rsid w:val="4E815F1F"/>
    <w:rsid w:val="4F570A9C"/>
    <w:rsid w:val="501C709B"/>
    <w:rsid w:val="50536654"/>
    <w:rsid w:val="52286281"/>
    <w:rsid w:val="534A63BC"/>
    <w:rsid w:val="53AC47FA"/>
    <w:rsid w:val="56B141B5"/>
    <w:rsid w:val="579E4AEE"/>
    <w:rsid w:val="57BF1D79"/>
    <w:rsid w:val="57E414C8"/>
    <w:rsid w:val="5A62260A"/>
    <w:rsid w:val="5A955FE8"/>
    <w:rsid w:val="5B0E7B6B"/>
    <w:rsid w:val="5CF107D4"/>
    <w:rsid w:val="5E733AD6"/>
    <w:rsid w:val="5FAC378B"/>
    <w:rsid w:val="62023CA2"/>
    <w:rsid w:val="63C87CB0"/>
    <w:rsid w:val="63F11517"/>
    <w:rsid w:val="64026940"/>
    <w:rsid w:val="64C76921"/>
    <w:rsid w:val="656E33D6"/>
    <w:rsid w:val="657A02B4"/>
    <w:rsid w:val="66613280"/>
    <w:rsid w:val="67594B06"/>
    <w:rsid w:val="69B17B20"/>
    <w:rsid w:val="6BCB7CDB"/>
    <w:rsid w:val="6DCE31AC"/>
    <w:rsid w:val="6DE21446"/>
    <w:rsid w:val="6F17248D"/>
    <w:rsid w:val="6F454505"/>
    <w:rsid w:val="709A35F3"/>
    <w:rsid w:val="71D43D79"/>
    <w:rsid w:val="724C2416"/>
    <w:rsid w:val="734D1BD3"/>
    <w:rsid w:val="735522D9"/>
    <w:rsid w:val="74FD4A5E"/>
    <w:rsid w:val="751524BF"/>
    <w:rsid w:val="76C51D98"/>
    <w:rsid w:val="77EA4C06"/>
    <w:rsid w:val="7A796ACB"/>
    <w:rsid w:val="7CA737F3"/>
    <w:rsid w:val="7CAD194B"/>
    <w:rsid w:val="7FB83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200" w:firstLineChars="200"/>
      <w:jc w:val="both"/>
    </w:pPr>
    <w:rPr>
      <w:rFonts w:ascii="Times New Roman" w:hAnsi="Times New Roman" w:eastAsia="仿宋" w:cs="Times New Roman"/>
      <w:kern w:val="2"/>
      <w:sz w:val="32"/>
      <w:szCs w:val="24"/>
      <w:lang w:val="en-US" w:eastAsia="zh-CN" w:bidi="ar-SA"/>
    </w:rPr>
  </w:style>
  <w:style w:type="paragraph" w:styleId="3">
    <w:name w:val="heading 1"/>
    <w:basedOn w:val="4"/>
    <w:next w:val="1"/>
    <w:link w:val="40"/>
    <w:qFormat/>
    <w:uiPriority w:val="9"/>
    <w:pPr>
      <w:keepNext/>
      <w:keepLines/>
      <w:spacing w:beforeLines="50" w:afterLines="50"/>
      <w:ind w:left="0" w:leftChars="0" w:firstLine="200"/>
      <w:outlineLvl w:val="0"/>
    </w:pPr>
    <w:rPr>
      <w:rFonts w:eastAsia="黑体"/>
      <w:bCs/>
      <w:kern w:val="44"/>
      <w:szCs w:val="44"/>
    </w:rPr>
  </w:style>
  <w:style w:type="paragraph" w:styleId="5">
    <w:name w:val="heading 2"/>
    <w:basedOn w:val="1"/>
    <w:next w:val="1"/>
    <w:link w:val="41"/>
    <w:qFormat/>
    <w:uiPriority w:val="0"/>
    <w:pPr>
      <w:keepNext/>
      <w:keepLines/>
      <w:outlineLvl w:val="1"/>
    </w:pPr>
    <w:rPr>
      <w:rFonts w:ascii="Cambria" w:hAnsi="Cambria" w:eastAsia="楷体"/>
      <w:b/>
      <w:bCs/>
      <w:szCs w:val="32"/>
    </w:rPr>
  </w:style>
  <w:style w:type="paragraph" w:styleId="6">
    <w:name w:val="heading 3"/>
    <w:basedOn w:val="1"/>
    <w:next w:val="1"/>
    <w:link w:val="42"/>
    <w:qFormat/>
    <w:uiPriority w:val="0"/>
    <w:pPr>
      <w:keepNext/>
      <w:keepLines/>
      <w:spacing w:before="260" w:after="260" w:line="413" w:lineRule="auto"/>
      <w:outlineLvl w:val="2"/>
    </w:pPr>
    <w:rPr>
      <w:rFonts w:eastAsia="宋体"/>
      <w:b/>
      <w:kern w:val="0"/>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6"/>
    <w:qFormat/>
    <w:uiPriority w:val="0"/>
    <w:pPr>
      <w:spacing w:line="560" w:lineRule="exact"/>
    </w:pPr>
    <w:rPr>
      <w:rFonts w:eastAsia="仿宋"/>
    </w:rPr>
  </w:style>
  <w:style w:type="paragraph" w:styleId="4">
    <w:name w:val="table of authorities"/>
    <w:basedOn w:val="1"/>
    <w:next w:val="1"/>
    <w:unhideWhenUsed/>
    <w:qFormat/>
    <w:uiPriority w:val="0"/>
    <w:pPr>
      <w:ind w:left="420" w:leftChars="200" w:firstLine="0"/>
    </w:pPr>
  </w:style>
  <w:style w:type="paragraph" w:styleId="7">
    <w:name w:val="toc 7"/>
    <w:basedOn w:val="1"/>
    <w:next w:val="1"/>
    <w:unhideWhenUsed/>
    <w:qFormat/>
    <w:uiPriority w:val="39"/>
    <w:pPr>
      <w:adjustRightInd/>
      <w:snapToGrid/>
      <w:spacing w:line="240" w:lineRule="auto"/>
      <w:ind w:left="2520" w:leftChars="1200" w:firstLine="0" w:firstLineChars="0"/>
    </w:pPr>
    <w:rPr>
      <w:rFonts w:asciiTheme="minorHAnsi" w:hAnsiTheme="minorHAnsi" w:eastAsiaTheme="minorEastAsia" w:cstheme="minorBidi"/>
      <w:sz w:val="21"/>
      <w:szCs w:val="22"/>
    </w:rPr>
  </w:style>
  <w:style w:type="paragraph" w:styleId="8">
    <w:name w:val="Document Map"/>
    <w:basedOn w:val="1"/>
    <w:link w:val="43"/>
    <w:semiHidden/>
    <w:qFormat/>
    <w:uiPriority w:val="0"/>
    <w:pPr>
      <w:shd w:val="clear" w:color="auto" w:fill="000080"/>
    </w:pPr>
  </w:style>
  <w:style w:type="paragraph" w:styleId="9">
    <w:name w:val="annotation text"/>
    <w:basedOn w:val="1"/>
    <w:link w:val="45"/>
    <w:qFormat/>
    <w:uiPriority w:val="0"/>
    <w:pPr>
      <w:jc w:val="left"/>
    </w:pPr>
    <w:rPr>
      <w:rFonts w:eastAsia="宋体"/>
      <w:sz w:val="21"/>
    </w:rPr>
  </w:style>
  <w:style w:type="paragraph" w:styleId="10">
    <w:name w:val="toc 5"/>
    <w:basedOn w:val="1"/>
    <w:next w:val="1"/>
    <w:unhideWhenUsed/>
    <w:qFormat/>
    <w:uiPriority w:val="39"/>
    <w:pPr>
      <w:adjustRightInd/>
      <w:snapToGrid/>
      <w:spacing w:line="240" w:lineRule="auto"/>
      <w:ind w:left="1680" w:leftChars="800" w:firstLine="0" w:firstLineChars="0"/>
    </w:pPr>
    <w:rPr>
      <w:rFonts w:asciiTheme="minorHAnsi" w:hAnsiTheme="minorHAnsi" w:eastAsiaTheme="minorEastAsia" w:cstheme="minorBidi"/>
      <w:sz w:val="21"/>
      <w:szCs w:val="22"/>
    </w:rPr>
  </w:style>
  <w:style w:type="paragraph" w:styleId="11">
    <w:name w:val="toc 3"/>
    <w:basedOn w:val="1"/>
    <w:next w:val="1"/>
    <w:unhideWhenUsed/>
    <w:qFormat/>
    <w:uiPriority w:val="39"/>
    <w:pPr>
      <w:adjustRightInd/>
      <w:snapToGrid/>
      <w:spacing w:line="240" w:lineRule="auto"/>
      <w:ind w:left="840" w:leftChars="400" w:firstLine="0" w:firstLineChars="0"/>
    </w:pPr>
    <w:rPr>
      <w:rFonts w:asciiTheme="minorHAnsi" w:hAnsiTheme="minorHAnsi" w:eastAsiaTheme="minorEastAsia" w:cstheme="minorBidi"/>
      <w:sz w:val="21"/>
      <w:szCs w:val="22"/>
    </w:rPr>
  </w:style>
  <w:style w:type="paragraph" w:styleId="12">
    <w:name w:val="Plain Text"/>
    <w:basedOn w:val="1"/>
    <w:link w:val="47"/>
    <w:qFormat/>
    <w:uiPriority w:val="0"/>
    <w:rPr>
      <w:rFonts w:ascii="宋体" w:hAnsi="Courier New" w:cs="Courier New"/>
      <w:szCs w:val="21"/>
    </w:rPr>
  </w:style>
  <w:style w:type="paragraph" w:styleId="13">
    <w:name w:val="toc 8"/>
    <w:basedOn w:val="1"/>
    <w:next w:val="1"/>
    <w:unhideWhenUsed/>
    <w:qFormat/>
    <w:uiPriority w:val="39"/>
    <w:pPr>
      <w:adjustRightInd/>
      <w:snapToGrid/>
      <w:spacing w:line="240" w:lineRule="auto"/>
      <w:ind w:left="2940" w:leftChars="1400" w:firstLine="0" w:firstLineChars="0"/>
    </w:pPr>
    <w:rPr>
      <w:rFonts w:asciiTheme="minorHAnsi" w:hAnsiTheme="minorHAnsi" w:eastAsiaTheme="minorEastAsia" w:cstheme="minorBidi"/>
      <w:sz w:val="21"/>
      <w:szCs w:val="22"/>
    </w:rPr>
  </w:style>
  <w:style w:type="paragraph" w:styleId="14">
    <w:name w:val="Date"/>
    <w:basedOn w:val="1"/>
    <w:next w:val="1"/>
    <w:link w:val="48"/>
    <w:qFormat/>
    <w:uiPriority w:val="0"/>
    <w:pPr>
      <w:ind w:left="100" w:leftChars="2500"/>
    </w:pPr>
  </w:style>
  <w:style w:type="paragraph" w:styleId="15">
    <w:name w:val="Body Text Indent 2"/>
    <w:basedOn w:val="1"/>
    <w:link w:val="49"/>
    <w:qFormat/>
    <w:uiPriority w:val="0"/>
    <w:pPr>
      <w:spacing w:after="120" w:line="480" w:lineRule="auto"/>
      <w:ind w:left="420" w:leftChars="200"/>
    </w:pPr>
  </w:style>
  <w:style w:type="paragraph" w:styleId="16">
    <w:name w:val="Balloon Text"/>
    <w:basedOn w:val="1"/>
    <w:link w:val="51"/>
    <w:qFormat/>
    <w:uiPriority w:val="0"/>
    <w:rPr>
      <w:rFonts w:eastAsia="宋体"/>
      <w:sz w:val="18"/>
      <w:szCs w:val="18"/>
    </w:rPr>
  </w:style>
  <w:style w:type="paragraph" w:styleId="17">
    <w:name w:val="footer"/>
    <w:basedOn w:val="1"/>
    <w:link w:val="37"/>
    <w:unhideWhenUsed/>
    <w:qFormat/>
    <w:uiPriority w:val="99"/>
    <w:pPr>
      <w:tabs>
        <w:tab w:val="center" w:pos="4153"/>
        <w:tab w:val="right" w:pos="8306"/>
      </w:tabs>
      <w:jc w:val="left"/>
    </w:pPr>
    <w:rPr>
      <w:sz w:val="18"/>
      <w:szCs w:val="18"/>
    </w:rPr>
  </w:style>
  <w:style w:type="paragraph" w:styleId="18">
    <w:name w:val="header"/>
    <w:basedOn w:val="1"/>
    <w:link w:val="36"/>
    <w:unhideWhenUsed/>
    <w:qFormat/>
    <w:uiPriority w:val="0"/>
    <w:pPr>
      <w:pBdr>
        <w:bottom w:val="single" w:color="auto" w:sz="6" w:space="1"/>
      </w:pBdr>
      <w:tabs>
        <w:tab w:val="center" w:pos="4153"/>
        <w:tab w:val="right" w:pos="8306"/>
      </w:tabs>
      <w:jc w:val="center"/>
    </w:pPr>
    <w:rPr>
      <w:sz w:val="18"/>
      <w:szCs w:val="18"/>
    </w:rPr>
  </w:style>
  <w:style w:type="paragraph" w:styleId="19">
    <w:name w:val="toc 1"/>
    <w:basedOn w:val="1"/>
    <w:next w:val="1"/>
    <w:unhideWhenUsed/>
    <w:qFormat/>
    <w:uiPriority w:val="39"/>
  </w:style>
  <w:style w:type="paragraph" w:styleId="20">
    <w:name w:val="toc 4"/>
    <w:basedOn w:val="1"/>
    <w:next w:val="1"/>
    <w:unhideWhenUsed/>
    <w:qFormat/>
    <w:uiPriority w:val="39"/>
    <w:pPr>
      <w:adjustRightInd/>
      <w:snapToGrid/>
      <w:spacing w:line="240" w:lineRule="auto"/>
      <w:ind w:left="1260" w:leftChars="600" w:firstLine="0" w:firstLineChars="0"/>
    </w:pPr>
    <w:rPr>
      <w:rFonts w:asciiTheme="minorHAnsi" w:hAnsiTheme="minorHAnsi" w:eastAsiaTheme="minorEastAsia" w:cstheme="minorBidi"/>
      <w:sz w:val="21"/>
      <w:szCs w:val="22"/>
    </w:rPr>
  </w:style>
  <w:style w:type="paragraph" w:styleId="21">
    <w:name w:val="toc 6"/>
    <w:basedOn w:val="1"/>
    <w:next w:val="1"/>
    <w:unhideWhenUsed/>
    <w:qFormat/>
    <w:uiPriority w:val="39"/>
    <w:pPr>
      <w:adjustRightInd/>
      <w:snapToGrid/>
      <w:spacing w:line="240" w:lineRule="auto"/>
      <w:ind w:left="2100" w:leftChars="1000" w:firstLine="0" w:firstLineChars="0"/>
    </w:pPr>
    <w:rPr>
      <w:rFonts w:asciiTheme="minorHAnsi" w:hAnsiTheme="minorHAnsi" w:eastAsiaTheme="minorEastAsia" w:cstheme="minorBidi"/>
      <w:sz w:val="21"/>
      <w:szCs w:val="22"/>
    </w:rPr>
  </w:style>
  <w:style w:type="paragraph" w:styleId="22">
    <w:name w:val="toc 2"/>
    <w:basedOn w:val="1"/>
    <w:next w:val="1"/>
    <w:unhideWhenUsed/>
    <w:qFormat/>
    <w:uiPriority w:val="39"/>
    <w:pPr>
      <w:ind w:left="420" w:leftChars="200"/>
    </w:pPr>
  </w:style>
  <w:style w:type="paragraph" w:styleId="23">
    <w:name w:val="toc 9"/>
    <w:basedOn w:val="1"/>
    <w:next w:val="1"/>
    <w:unhideWhenUsed/>
    <w:qFormat/>
    <w:uiPriority w:val="39"/>
    <w:pPr>
      <w:adjustRightInd/>
      <w:snapToGrid/>
      <w:spacing w:line="240" w:lineRule="auto"/>
      <w:ind w:left="3360" w:leftChars="1600" w:firstLine="0" w:firstLineChars="0"/>
    </w:pPr>
    <w:rPr>
      <w:rFonts w:asciiTheme="minorHAnsi" w:hAnsiTheme="minorHAnsi" w:eastAsiaTheme="minorEastAsia" w:cstheme="minorBidi"/>
      <w:sz w:val="21"/>
      <w:szCs w:val="22"/>
    </w:rPr>
  </w:style>
  <w:style w:type="paragraph" w:styleId="24">
    <w:name w:val="Normal (Web)"/>
    <w:basedOn w:val="1"/>
    <w:qFormat/>
    <w:uiPriority w:val="0"/>
    <w:pPr>
      <w:spacing w:before="100" w:beforeAutospacing="1" w:after="100" w:afterAutospacing="1"/>
      <w:jc w:val="left"/>
    </w:pPr>
    <w:rPr>
      <w:kern w:val="0"/>
      <w:sz w:val="24"/>
    </w:rPr>
  </w:style>
  <w:style w:type="paragraph" w:styleId="25">
    <w:name w:val="annotation subject"/>
    <w:basedOn w:val="9"/>
    <w:next w:val="9"/>
    <w:link w:val="54"/>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eastAsia="楷体"/>
      <w:b/>
      <w:bCs/>
      <w:sz w:val="21"/>
    </w:rPr>
  </w:style>
  <w:style w:type="character" w:styleId="30">
    <w:name w:val="page number"/>
    <w:qFormat/>
    <w:uiPriority w:val="0"/>
  </w:style>
  <w:style w:type="character" w:styleId="31">
    <w:name w:val="Emphasis"/>
    <w:qFormat/>
    <w:uiPriority w:val="20"/>
    <w:rPr>
      <w:i/>
      <w:iCs/>
    </w:rPr>
  </w:style>
  <w:style w:type="character" w:styleId="32">
    <w:name w:val="Hyperlink"/>
    <w:unhideWhenUsed/>
    <w:qFormat/>
    <w:uiPriority w:val="99"/>
    <w:rPr>
      <w:color w:val="0000FF"/>
      <w:u w:val="single"/>
    </w:rPr>
  </w:style>
  <w:style w:type="character" w:styleId="33">
    <w:name w:val="annotation reference"/>
    <w:qFormat/>
    <w:uiPriority w:val="0"/>
    <w:rPr>
      <w:sz w:val="21"/>
      <w:szCs w:val="21"/>
    </w:rPr>
  </w:style>
  <w:style w:type="character" w:customStyle="1" w:styleId="34">
    <w:name w:val="标题 1 Char"/>
    <w:basedOn w:val="28"/>
    <w:qFormat/>
    <w:uiPriority w:val="9"/>
    <w:rPr>
      <w:rFonts w:ascii="Times New Roman" w:hAnsi="Times New Roman" w:eastAsia="仿宋" w:cs="Times New Roman"/>
      <w:b/>
      <w:bCs/>
      <w:kern w:val="44"/>
      <w:sz w:val="44"/>
      <w:szCs w:val="44"/>
    </w:rPr>
  </w:style>
  <w:style w:type="character" w:customStyle="1" w:styleId="35">
    <w:name w:val="标题 3 Char"/>
    <w:basedOn w:val="28"/>
    <w:semiHidden/>
    <w:qFormat/>
    <w:uiPriority w:val="9"/>
    <w:rPr>
      <w:rFonts w:ascii="Times New Roman" w:hAnsi="Times New Roman" w:eastAsia="仿宋" w:cs="Times New Roman"/>
      <w:b/>
      <w:bCs/>
      <w:sz w:val="32"/>
      <w:szCs w:val="32"/>
    </w:rPr>
  </w:style>
  <w:style w:type="character" w:customStyle="1" w:styleId="36">
    <w:name w:val="页眉 字符"/>
    <w:basedOn w:val="28"/>
    <w:link w:val="18"/>
    <w:semiHidden/>
    <w:qFormat/>
    <w:uiPriority w:val="99"/>
    <w:rPr>
      <w:sz w:val="18"/>
      <w:szCs w:val="18"/>
    </w:rPr>
  </w:style>
  <w:style w:type="character" w:customStyle="1" w:styleId="37">
    <w:name w:val="页脚 字符1"/>
    <w:basedOn w:val="28"/>
    <w:link w:val="17"/>
    <w:qFormat/>
    <w:uiPriority w:val="99"/>
    <w:rPr>
      <w:sz w:val="18"/>
      <w:szCs w:val="18"/>
    </w:rPr>
  </w:style>
  <w:style w:type="paragraph" w:customStyle="1" w:styleId="38">
    <w:name w:val="_Style 10"/>
    <w:basedOn w:val="1"/>
    <w:next w:val="1"/>
    <w:unhideWhenUsed/>
    <w:qFormat/>
    <w:uiPriority w:val="39"/>
    <w:pPr>
      <w:tabs>
        <w:tab w:val="left" w:pos="2230"/>
        <w:tab w:val="right" w:leader="dot" w:pos="8222"/>
      </w:tabs>
      <w:spacing w:line="500" w:lineRule="exact"/>
      <w:ind w:left="640" w:leftChars="200" w:right="-58" w:rightChars="-18" w:firstLine="560"/>
    </w:pPr>
  </w:style>
  <w:style w:type="character" w:customStyle="1" w:styleId="39">
    <w:name w:val="标题 2 Char"/>
    <w:basedOn w:val="28"/>
    <w:semiHidden/>
    <w:qFormat/>
    <w:uiPriority w:val="9"/>
    <w:rPr>
      <w:rFonts w:asciiTheme="majorHAnsi" w:hAnsiTheme="majorHAnsi" w:eastAsiaTheme="majorEastAsia" w:cstheme="majorBidi"/>
      <w:b/>
      <w:bCs/>
      <w:sz w:val="32"/>
      <w:szCs w:val="32"/>
    </w:rPr>
  </w:style>
  <w:style w:type="character" w:customStyle="1" w:styleId="40">
    <w:name w:val="标题 1 字符"/>
    <w:link w:val="3"/>
    <w:qFormat/>
    <w:uiPriority w:val="9"/>
    <w:rPr>
      <w:rFonts w:ascii="Times New Roman" w:hAnsi="Times New Roman" w:eastAsia="黑体" w:cs="Times New Roman"/>
      <w:bCs/>
      <w:kern w:val="44"/>
      <w:sz w:val="32"/>
      <w:szCs w:val="44"/>
    </w:rPr>
  </w:style>
  <w:style w:type="character" w:customStyle="1" w:styleId="41">
    <w:name w:val="标题 2 字符"/>
    <w:link w:val="5"/>
    <w:qFormat/>
    <w:uiPriority w:val="0"/>
    <w:rPr>
      <w:rFonts w:ascii="Cambria" w:hAnsi="Cambria" w:eastAsia="楷体" w:cs="Times New Roman"/>
      <w:b/>
      <w:bCs/>
      <w:sz w:val="32"/>
      <w:szCs w:val="32"/>
    </w:rPr>
  </w:style>
  <w:style w:type="character" w:customStyle="1" w:styleId="42">
    <w:name w:val="标题 3 字符"/>
    <w:link w:val="6"/>
    <w:qFormat/>
    <w:uiPriority w:val="0"/>
    <w:rPr>
      <w:rFonts w:ascii="Times New Roman" w:hAnsi="Times New Roman" w:eastAsia="宋体" w:cs="Times New Roman"/>
      <w:b/>
      <w:kern w:val="0"/>
      <w:sz w:val="32"/>
      <w:szCs w:val="20"/>
    </w:rPr>
  </w:style>
  <w:style w:type="character" w:customStyle="1" w:styleId="43">
    <w:name w:val="文档结构图 字符"/>
    <w:basedOn w:val="28"/>
    <w:link w:val="8"/>
    <w:semiHidden/>
    <w:qFormat/>
    <w:uiPriority w:val="0"/>
    <w:rPr>
      <w:rFonts w:ascii="Times New Roman" w:hAnsi="Times New Roman" w:eastAsia="仿宋" w:cs="Times New Roman"/>
      <w:sz w:val="32"/>
      <w:szCs w:val="24"/>
      <w:shd w:val="clear" w:color="auto" w:fill="000080"/>
    </w:rPr>
  </w:style>
  <w:style w:type="character" w:customStyle="1" w:styleId="44">
    <w:name w:val="批注文字 Char"/>
    <w:basedOn w:val="28"/>
    <w:semiHidden/>
    <w:qFormat/>
    <w:uiPriority w:val="99"/>
    <w:rPr>
      <w:rFonts w:ascii="Times New Roman" w:hAnsi="Times New Roman" w:eastAsia="仿宋" w:cs="Times New Roman"/>
      <w:sz w:val="32"/>
      <w:szCs w:val="24"/>
    </w:rPr>
  </w:style>
  <w:style w:type="character" w:customStyle="1" w:styleId="45">
    <w:name w:val="批注文字 字符"/>
    <w:link w:val="9"/>
    <w:qFormat/>
    <w:uiPriority w:val="0"/>
    <w:rPr>
      <w:rFonts w:ascii="Times New Roman" w:hAnsi="Times New Roman" w:eastAsia="宋体" w:cs="Times New Roman"/>
      <w:szCs w:val="24"/>
    </w:rPr>
  </w:style>
  <w:style w:type="character" w:customStyle="1" w:styleId="46">
    <w:name w:val="正文文本 字符"/>
    <w:basedOn w:val="28"/>
    <w:link w:val="2"/>
    <w:qFormat/>
    <w:uiPriority w:val="0"/>
    <w:rPr>
      <w:rFonts w:ascii="Times New Roman" w:hAnsi="Times New Roman" w:eastAsia="仿宋" w:cs="Times New Roman"/>
      <w:sz w:val="32"/>
      <w:szCs w:val="24"/>
    </w:rPr>
  </w:style>
  <w:style w:type="character" w:customStyle="1" w:styleId="47">
    <w:name w:val="纯文本 字符"/>
    <w:basedOn w:val="28"/>
    <w:link w:val="12"/>
    <w:qFormat/>
    <w:uiPriority w:val="0"/>
    <w:rPr>
      <w:rFonts w:ascii="宋体" w:hAnsi="Courier New" w:eastAsia="仿宋" w:cs="Courier New"/>
      <w:sz w:val="32"/>
      <w:szCs w:val="21"/>
    </w:rPr>
  </w:style>
  <w:style w:type="character" w:customStyle="1" w:styleId="48">
    <w:name w:val="日期 字符"/>
    <w:basedOn w:val="28"/>
    <w:link w:val="14"/>
    <w:qFormat/>
    <w:uiPriority w:val="0"/>
    <w:rPr>
      <w:rFonts w:ascii="Times New Roman" w:hAnsi="Times New Roman" w:eastAsia="仿宋" w:cs="Times New Roman"/>
      <w:sz w:val="32"/>
      <w:szCs w:val="24"/>
    </w:rPr>
  </w:style>
  <w:style w:type="character" w:customStyle="1" w:styleId="49">
    <w:name w:val="正文文本缩进 2 字符"/>
    <w:basedOn w:val="28"/>
    <w:link w:val="15"/>
    <w:qFormat/>
    <w:uiPriority w:val="0"/>
    <w:rPr>
      <w:rFonts w:ascii="Times New Roman" w:hAnsi="Times New Roman" w:eastAsia="仿宋" w:cs="Times New Roman"/>
      <w:sz w:val="32"/>
      <w:szCs w:val="24"/>
    </w:rPr>
  </w:style>
  <w:style w:type="character" w:customStyle="1" w:styleId="50">
    <w:name w:val="批注框文本 Char"/>
    <w:basedOn w:val="28"/>
    <w:semiHidden/>
    <w:qFormat/>
    <w:uiPriority w:val="99"/>
    <w:rPr>
      <w:rFonts w:ascii="Times New Roman" w:hAnsi="Times New Roman" w:eastAsia="仿宋" w:cs="Times New Roman"/>
      <w:sz w:val="18"/>
      <w:szCs w:val="18"/>
    </w:rPr>
  </w:style>
  <w:style w:type="character" w:customStyle="1" w:styleId="51">
    <w:name w:val="批注框文本 字符"/>
    <w:link w:val="16"/>
    <w:qFormat/>
    <w:uiPriority w:val="0"/>
    <w:rPr>
      <w:rFonts w:ascii="Times New Roman" w:hAnsi="Times New Roman" w:eastAsia="宋体" w:cs="Times New Roman"/>
      <w:sz w:val="18"/>
      <w:szCs w:val="18"/>
    </w:rPr>
  </w:style>
  <w:style w:type="character" w:customStyle="1" w:styleId="52">
    <w:name w:val="页脚 字符"/>
    <w:qFormat/>
    <w:uiPriority w:val="99"/>
    <w:rPr>
      <w:rFonts w:eastAsia="仿宋"/>
      <w:kern w:val="2"/>
      <w:sz w:val="18"/>
      <w:szCs w:val="18"/>
    </w:rPr>
  </w:style>
  <w:style w:type="character" w:customStyle="1" w:styleId="53">
    <w:name w:val="批注主题 Char"/>
    <w:basedOn w:val="44"/>
    <w:semiHidden/>
    <w:qFormat/>
    <w:uiPriority w:val="99"/>
    <w:rPr>
      <w:rFonts w:ascii="Times New Roman" w:hAnsi="Times New Roman" w:eastAsia="仿宋" w:cs="Times New Roman"/>
      <w:b/>
      <w:bCs/>
      <w:sz w:val="32"/>
      <w:szCs w:val="24"/>
    </w:rPr>
  </w:style>
  <w:style w:type="character" w:customStyle="1" w:styleId="54">
    <w:name w:val="批注主题 字符"/>
    <w:link w:val="25"/>
    <w:qFormat/>
    <w:uiPriority w:val="0"/>
    <w:rPr>
      <w:rFonts w:ascii="Times New Roman" w:hAnsi="Times New Roman" w:eastAsia="宋体" w:cs="Times New Roman"/>
      <w:b/>
      <w:bCs/>
      <w:szCs w:val="24"/>
    </w:rPr>
  </w:style>
  <w:style w:type="character" w:customStyle="1" w:styleId="55">
    <w:name w:val="font61"/>
    <w:qFormat/>
    <w:uiPriority w:val="0"/>
    <w:rPr>
      <w:rFonts w:hint="default" w:ascii="Times New Roman" w:hAnsi="Times New Roman" w:cs="Times New Roman"/>
      <w:color w:val="000000"/>
      <w:sz w:val="22"/>
      <w:szCs w:val="22"/>
      <w:u w:val="none"/>
    </w:rPr>
  </w:style>
  <w:style w:type="character" w:customStyle="1" w:styleId="56">
    <w:name w:val="font51"/>
    <w:qFormat/>
    <w:uiPriority w:val="0"/>
    <w:rPr>
      <w:rFonts w:hint="default" w:ascii="Times New Roman" w:hAnsi="Times New Roman" w:cs="Times New Roman"/>
      <w:color w:val="000000"/>
      <w:sz w:val="22"/>
      <w:szCs w:val="22"/>
      <w:u w:val="none"/>
      <w:vertAlign w:val="superscript"/>
    </w:rPr>
  </w:style>
  <w:style w:type="character" w:customStyle="1" w:styleId="57">
    <w:name w:val="font01"/>
    <w:qFormat/>
    <w:uiPriority w:val="0"/>
    <w:rPr>
      <w:rFonts w:hint="eastAsia" w:ascii="宋体" w:hAnsi="宋体" w:eastAsia="宋体" w:cs="宋体"/>
      <w:color w:val="333333"/>
      <w:sz w:val="22"/>
      <w:szCs w:val="22"/>
      <w:u w:val="none"/>
    </w:rPr>
  </w:style>
  <w:style w:type="character" w:customStyle="1" w:styleId="58">
    <w:name w:val="font41"/>
    <w:qFormat/>
    <w:uiPriority w:val="0"/>
    <w:rPr>
      <w:rFonts w:hint="eastAsia" w:ascii="宋体" w:hAnsi="宋体" w:eastAsia="宋体" w:cs="宋体"/>
      <w:color w:val="333333"/>
      <w:sz w:val="22"/>
      <w:szCs w:val="22"/>
      <w:u w:val="none"/>
    </w:rPr>
  </w:style>
  <w:style w:type="character" w:customStyle="1" w:styleId="59">
    <w:name w:val="font11"/>
    <w:qFormat/>
    <w:uiPriority w:val="0"/>
    <w:rPr>
      <w:rFonts w:hint="default" w:ascii="Times New Roman" w:hAnsi="Times New Roman" w:cs="Times New Roman"/>
      <w:b/>
      <w:color w:val="000000"/>
      <w:sz w:val="21"/>
      <w:szCs w:val="21"/>
      <w:u w:val="none"/>
    </w:rPr>
  </w:style>
  <w:style w:type="paragraph" w:customStyle="1" w:styleId="60">
    <w:name w:val="TOC 标题1"/>
    <w:basedOn w:val="3"/>
    <w:next w:val="1"/>
    <w:unhideWhenUsed/>
    <w:qFormat/>
    <w:uiPriority w:val="39"/>
    <w:pPr>
      <w:widowControl/>
      <w:adjustRightInd/>
      <w:snapToGrid/>
      <w:spacing w:beforeLines="0" w:line="276" w:lineRule="auto"/>
      <w:ind w:firstLine="0" w:firstLineChars="0"/>
      <w:jc w:val="left"/>
      <w:outlineLvl w:val="9"/>
    </w:pPr>
    <w:rPr>
      <w:rFonts w:ascii="Cambria" w:hAnsi="Cambria" w:eastAsia="宋体"/>
      <w:b/>
      <w:color w:val="366091"/>
      <w:kern w:val="0"/>
      <w:sz w:val="28"/>
      <w:szCs w:val="28"/>
    </w:rPr>
  </w:style>
  <w:style w:type="paragraph" w:customStyle="1" w:styleId="61">
    <w:name w:val="TOC 标题2"/>
    <w:basedOn w:val="3"/>
    <w:next w:val="1"/>
    <w:qFormat/>
    <w:uiPriority w:val="39"/>
    <w:pPr>
      <w:widowControl/>
      <w:adjustRightInd/>
      <w:snapToGrid/>
      <w:spacing w:beforeLines="0" w:line="276" w:lineRule="auto"/>
      <w:ind w:firstLine="0" w:firstLineChars="0"/>
      <w:jc w:val="left"/>
      <w:outlineLvl w:val="9"/>
    </w:pPr>
    <w:rPr>
      <w:rFonts w:ascii="Cambria" w:hAnsi="Cambria" w:eastAsia="宋体"/>
      <w:b/>
      <w:color w:val="365F91"/>
      <w:kern w:val="0"/>
      <w:sz w:val="28"/>
      <w:szCs w:val="28"/>
    </w:rPr>
  </w:style>
  <w:style w:type="paragraph" w:customStyle="1" w:styleId="62">
    <w:name w:val="Char Char Char Char"/>
    <w:basedOn w:val="8"/>
    <w:qFormat/>
    <w:uiPriority w:val="0"/>
    <w:rPr>
      <w:rFonts w:ascii="Tahoma" w:hAnsi="Tahoma"/>
      <w:sz w:val="24"/>
    </w:rPr>
  </w:style>
  <w:style w:type="paragraph" w:styleId="63">
    <w:name w:val="List Paragraph"/>
    <w:basedOn w:val="1"/>
    <w:qFormat/>
    <w:uiPriority w:val="99"/>
    <w:pPr>
      <w:ind w:firstLine="420"/>
    </w:pPr>
  </w:style>
  <w:style w:type="character" w:customStyle="1" w:styleId="64">
    <w:name w:val="font31"/>
    <w:basedOn w:val="28"/>
    <w:qFormat/>
    <w:uiPriority w:val="0"/>
    <w:rPr>
      <w:rFonts w:hint="default" w:ascii="Times New Roman" w:hAnsi="Times New Roman" w:cs="Times New Roman"/>
      <w:color w:val="000000"/>
      <w:sz w:val="24"/>
      <w:szCs w:val="24"/>
      <w:u w:val="none"/>
    </w:rPr>
  </w:style>
  <w:style w:type="character" w:customStyle="1" w:styleId="65">
    <w:name w:val="font21"/>
    <w:basedOn w:val="28"/>
    <w:qFormat/>
    <w:uiPriority w:val="0"/>
    <w:rPr>
      <w:rFonts w:hint="eastAsia" w:ascii="宋体" w:hAnsi="宋体" w:eastAsia="宋体" w:cs="宋体"/>
      <w:color w:val="000000"/>
      <w:sz w:val="24"/>
      <w:szCs w:val="24"/>
      <w:u w:val="none"/>
    </w:rPr>
  </w:style>
  <w:style w:type="table" w:customStyle="1" w:styleId="66">
    <w:name w:val="样式1"/>
    <w:basedOn w:val="26"/>
    <w:qFormat/>
    <w:uiPriority w:val="99"/>
    <w:pPr>
      <w:jc w:val="center"/>
    </w:pPr>
    <w:rPr>
      <w:rFonts w:eastAsia="仿宋"/>
      <w:sz w:val="24"/>
    </w:rPr>
    <w:tblPr>
      <w:tblBorders>
        <w:top w:val="single" w:color="auto" w:sz="12" w:space="0"/>
        <w:bottom w:val="single" w:color="auto" w:sz="12" w:space="0"/>
        <w:insideH w:val="dotted" w:color="auto" w:sz="4" w:space="0"/>
        <w:insideV w:val="dotted" w:color="auto" w:sz="4" w:space="0"/>
      </w:tblBorders>
    </w:tblPr>
    <w:tcPr>
      <w:vAlign w:val="center"/>
    </w:tcPr>
    <w:tblStylePr w:type="firstRow">
      <w:rPr>
        <w:b/>
      </w:rPr>
    </w:tblStylePr>
  </w:style>
  <w:style w:type="paragraph" w:customStyle="1" w:styleId="67">
    <w:name w:val="Heading #1|1"/>
    <w:basedOn w:val="1"/>
    <w:qFormat/>
    <w:uiPriority w:val="0"/>
    <w:pPr>
      <w:spacing w:line="617" w:lineRule="exact"/>
      <w:ind w:firstLine="660"/>
      <w:outlineLvl w:val="0"/>
    </w:pPr>
    <w:rPr>
      <w:rFonts w:ascii="宋体" w:hAnsi="宋体" w:eastAsia="宋体" w:cs="宋体"/>
      <w:b/>
      <w:bCs/>
      <w:sz w:val="30"/>
      <w:szCs w:val="30"/>
      <w:lang w:val="zh-TW" w:eastAsia="zh-TW" w:bidi="zh-TW"/>
    </w:rPr>
  </w:style>
  <w:style w:type="character" w:customStyle="1" w:styleId="68">
    <w:name w:val="未处理的提及1"/>
    <w:basedOn w:val="28"/>
    <w:semiHidden/>
    <w:unhideWhenUsed/>
    <w:qFormat/>
    <w:uiPriority w:val="99"/>
    <w:rPr>
      <w:color w:val="605E5C"/>
      <w:shd w:val="clear" w:color="auto" w:fill="E1DFDD"/>
    </w:rPr>
  </w:style>
  <w:style w:type="paragraph" w:customStyle="1" w:styleId="69">
    <w:name w:val="WPSOffice手动目录 1"/>
    <w:qFormat/>
    <w:uiPriority w:val="0"/>
    <w:rPr>
      <w:rFonts w:ascii="Times New Roman" w:hAnsi="Times New Roman" w:eastAsia="宋体" w:cs="Times New Roman"/>
      <w:lang w:val="en-US" w:eastAsia="zh-CN" w:bidi="ar-SA"/>
    </w:rPr>
  </w:style>
  <w:style w:type="paragraph" w:customStyle="1" w:styleId="7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1">
    <w:name w:val="p0"/>
    <w:basedOn w:val="1"/>
    <w:qFormat/>
    <w:uiPriority w:val="0"/>
    <w:pPr>
      <w:widowControl/>
    </w:pPr>
    <w:rPr>
      <w:kern w:val="0"/>
      <w:szCs w:val="21"/>
    </w:rPr>
  </w:style>
  <w:style w:type="table" w:customStyle="1" w:styleId="72">
    <w:name w:val="Table Normal"/>
    <w:semiHidden/>
    <w:unhideWhenUsed/>
    <w:qFormat/>
    <w:uiPriority w:val="0"/>
    <w:tblPr>
      <w:tblCellMar>
        <w:top w:w="0" w:type="dxa"/>
        <w:left w:w="0" w:type="dxa"/>
        <w:bottom w:w="0" w:type="dxa"/>
        <w:right w:w="0" w:type="dxa"/>
      </w:tblCellMar>
    </w:tblPr>
  </w:style>
  <w:style w:type="paragraph" w:customStyle="1" w:styleId="73">
    <w:name w:val="Table Text"/>
    <w:basedOn w:val="1"/>
    <w:semiHidden/>
    <w:qFormat/>
    <w:uiPriority w:val="0"/>
    <w:rPr>
      <w:rFonts w:ascii="Arial" w:hAnsi="Arial" w:eastAsia="Arial" w:cs="Arial"/>
      <w:sz w:val="21"/>
      <w:szCs w:val="21"/>
      <w:lang w:val="en-US" w:eastAsia="en-US" w:bidi="ar-SA"/>
    </w:rPr>
  </w:style>
  <w:style w:type="character" w:customStyle="1" w:styleId="74">
    <w:name w:val="font71"/>
    <w:basedOn w:val="28"/>
    <w:qFormat/>
    <w:uiPriority w:val="0"/>
    <w:rPr>
      <w:rFonts w:hint="eastAsia" w:ascii="宋体" w:hAnsi="宋体" w:eastAsia="宋体" w:cs="宋体"/>
      <w:color w:val="000000"/>
      <w:sz w:val="20"/>
      <w:szCs w:val="20"/>
      <w:u w:val="none"/>
    </w:rPr>
  </w:style>
  <w:style w:type="character" w:customStyle="1" w:styleId="75">
    <w:name w:val="font81"/>
    <w:basedOn w:val="28"/>
    <w:qFormat/>
    <w:uiPriority w:val="0"/>
    <w:rPr>
      <w:rFonts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F57F3-5DCC-47E2-A41C-0EE898E95815}">
  <ds:schemaRefs/>
</ds:datastoreItem>
</file>

<file path=docProps/app.xml><?xml version="1.0" encoding="utf-8"?>
<Properties xmlns="http://schemas.openxmlformats.org/officeDocument/2006/extended-properties" xmlns:vt="http://schemas.openxmlformats.org/officeDocument/2006/docPropsVTypes">
  <Template>Normal.dotm</Template>
  <Company>JXYSGLZX</Company>
  <Pages>21</Pages>
  <Words>9891</Words>
  <Characters>10537</Characters>
  <Lines>75</Lines>
  <Paragraphs>21</Paragraphs>
  <TotalTime>10</TotalTime>
  <ScaleCrop>false</ScaleCrop>
  <LinksUpToDate>false</LinksUpToDate>
  <CharactersWithSpaces>10586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2021-08-10T00:41:00Z</dcterms:created>
  <dc:creator>Administrator</dc:creator>
  <cp:lastModifiedBy>dpy</cp:lastModifiedBy>
  <dcterms:modified xsi:type="dcterms:W3CDTF">2025-03-03T02:07:25Z</dcterms:modified>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760DF3C947CF4240840246CCD60D9BF4_13</vt:lpwstr>
  </property>
</Properties>
</file>