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D2960">
      <w:pPr>
        <w:ind w:firstLine="0" w:firstLineChars="0"/>
        <w:jc w:val="center"/>
        <w:rPr>
          <w:rFonts w:hint="default" w:ascii="Times New Roman" w:hAnsi="Times New Roman" w:eastAsia="黑体" w:cs="Times New Roman"/>
          <w:sz w:val="44"/>
          <w:szCs w:val="44"/>
        </w:rPr>
      </w:pPr>
    </w:p>
    <w:p w14:paraId="7F0161CC">
      <w:pPr>
        <w:pStyle w:val="2"/>
        <w:ind w:firstLine="0" w:firstLineChars="0"/>
        <w:rPr>
          <w:rFonts w:hint="default" w:ascii="Times New Roman" w:hAnsi="Times New Roman" w:cs="Times New Roman"/>
        </w:rPr>
      </w:pPr>
    </w:p>
    <w:p w14:paraId="3A888E5D">
      <w:pPr>
        <w:widowControl/>
        <w:ind w:firstLine="0" w:firstLineChars="0"/>
        <w:jc w:val="center"/>
        <w:outlineLvl w:val="0"/>
        <w:rPr>
          <w:rFonts w:hint="default" w:ascii="Times New Roman" w:hAnsi="Times New Roman" w:eastAsia="黑体" w:cs="Times New Roman"/>
          <w:b/>
          <w:bCs w:val="0"/>
          <w:sz w:val="44"/>
          <w:szCs w:val="44"/>
        </w:rPr>
      </w:pPr>
      <w:bookmarkStart w:id="0" w:name="_Toc24975"/>
      <w:bookmarkStart w:id="1" w:name="_Toc32743"/>
      <w:bookmarkStart w:id="2" w:name="_Toc17970"/>
      <w:bookmarkStart w:id="3" w:name="_Toc15956"/>
      <w:bookmarkStart w:id="4" w:name="_Toc23794"/>
      <w:bookmarkStart w:id="5" w:name="_Toc20416"/>
      <w:bookmarkStart w:id="6" w:name="_Toc17992"/>
      <w:r>
        <w:rPr>
          <w:rFonts w:hint="default" w:ascii="Times New Roman" w:hAnsi="Times New Roman" w:eastAsia="黑体" w:cs="Times New Roman"/>
          <w:b/>
          <w:bCs w:val="0"/>
          <w:sz w:val="44"/>
          <w:szCs w:val="44"/>
          <w:lang w:val="en-US" w:eastAsia="zh-CN"/>
        </w:rPr>
        <w:t>德阳市</w:t>
      </w:r>
      <w:bookmarkEnd w:id="0"/>
      <w:bookmarkEnd w:id="1"/>
      <w:r>
        <w:rPr>
          <w:rFonts w:hint="default" w:ascii="Times New Roman" w:hAnsi="Times New Roman" w:eastAsia="黑体" w:cs="Times New Roman"/>
          <w:b/>
          <w:bCs w:val="0"/>
          <w:sz w:val="44"/>
          <w:szCs w:val="44"/>
          <w:lang w:val="en-US" w:eastAsia="zh-CN"/>
        </w:rPr>
        <w:t>罗江区</w:t>
      </w:r>
      <w:r>
        <w:rPr>
          <w:rFonts w:hint="default" w:ascii="Times New Roman" w:hAnsi="Times New Roman" w:eastAsia="黑体" w:cs="Times New Roman"/>
          <w:b/>
          <w:bCs w:val="0"/>
          <w:sz w:val="44"/>
          <w:szCs w:val="44"/>
        </w:rPr>
        <w:t>农业农村局</w:t>
      </w:r>
      <w:bookmarkEnd w:id="2"/>
      <w:bookmarkEnd w:id="3"/>
      <w:bookmarkEnd w:id="4"/>
      <w:bookmarkEnd w:id="5"/>
      <w:bookmarkEnd w:id="6"/>
    </w:p>
    <w:p w14:paraId="4C6831D4">
      <w:pPr>
        <w:widowControl/>
        <w:ind w:firstLine="0" w:firstLineChars="0"/>
        <w:jc w:val="center"/>
        <w:rPr>
          <w:rFonts w:hint="default" w:ascii="Times New Roman" w:hAnsi="Times New Roman" w:eastAsia="黑体" w:cs="Times New Roman"/>
          <w:b/>
          <w:bCs w:val="0"/>
          <w:sz w:val="44"/>
          <w:szCs w:val="44"/>
        </w:rPr>
      </w:pPr>
      <w:r>
        <w:rPr>
          <w:rFonts w:hint="default" w:ascii="Times New Roman" w:hAnsi="Times New Roman" w:eastAsia="黑体" w:cs="Times New Roman"/>
          <w:b/>
          <w:bCs w:val="0"/>
          <w:sz w:val="44"/>
          <w:szCs w:val="44"/>
        </w:rPr>
        <w:t>202</w:t>
      </w:r>
      <w:r>
        <w:rPr>
          <w:rFonts w:hint="default" w:ascii="Times New Roman" w:hAnsi="Times New Roman" w:eastAsia="黑体" w:cs="Times New Roman"/>
          <w:b/>
          <w:bCs w:val="0"/>
          <w:sz w:val="44"/>
          <w:szCs w:val="44"/>
          <w:lang w:val="en-US" w:eastAsia="zh-CN"/>
        </w:rPr>
        <w:t>3</w:t>
      </w:r>
      <w:r>
        <w:rPr>
          <w:rFonts w:hint="default" w:ascii="Times New Roman" w:hAnsi="Times New Roman" w:eastAsia="黑体" w:cs="Times New Roman"/>
          <w:b/>
          <w:bCs w:val="0"/>
          <w:sz w:val="44"/>
          <w:szCs w:val="44"/>
        </w:rPr>
        <w:t>年高标准农田建设项目绩效评价报告</w:t>
      </w:r>
    </w:p>
    <w:p w14:paraId="6182494B">
      <w:pPr>
        <w:spacing w:line="500" w:lineRule="exact"/>
        <w:ind w:firstLine="880"/>
        <w:jc w:val="center"/>
        <w:rPr>
          <w:rFonts w:hint="default" w:ascii="Times New Roman" w:hAnsi="Times New Roman" w:eastAsia="黑体" w:cs="Times New Roman"/>
          <w:sz w:val="44"/>
          <w:szCs w:val="44"/>
        </w:rPr>
      </w:pPr>
    </w:p>
    <w:p w14:paraId="1C761FF2">
      <w:pPr>
        <w:spacing w:line="500" w:lineRule="exact"/>
        <w:ind w:firstLine="880"/>
        <w:jc w:val="center"/>
        <w:rPr>
          <w:rFonts w:hint="default" w:ascii="Times New Roman" w:hAnsi="Times New Roman" w:eastAsia="黑体" w:cs="Times New Roman"/>
          <w:sz w:val="44"/>
          <w:szCs w:val="44"/>
        </w:rPr>
      </w:pPr>
    </w:p>
    <w:p w14:paraId="49AE4DC2">
      <w:pPr>
        <w:ind w:firstLine="720"/>
        <w:rPr>
          <w:rFonts w:hint="default" w:ascii="Times New Roman" w:hAnsi="Times New Roman" w:cs="Times New Roman"/>
          <w:sz w:val="36"/>
          <w:szCs w:val="36"/>
        </w:rPr>
      </w:pPr>
    </w:p>
    <w:p w14:paraId="4EF5D29D">
      <w:pPr>
        <w:pStyle w:val="2"/>
        <w:ind w:firstLine="720"/>
        <w:rPr>
          <w:rFonts w:hint="default" w:ascii="Times New Roman" w:hAnsi="Times New Roman" w:cs="Times New Roman"/>
          <w:sz w:val="36"/>
          <w:szCs w:val="36"/>
        </w:rPr>
      </w:pPr>
    </w:p>
    <w:p w14:paraId="197BF753">
      <w:pPr>
        <w:ind w:firstLine="640"/>
        <w:rPr>
          <w:rFonts w:hint="default" w:ascii="Times New Roman" w:hAnsi="Times New Roman" w:cs="Times New Roman"/>
        </w:rPr>
      </w:pPr>
    </w:p>
    <w:p w14:paraId="51FE8443">
      <w:pPr>
        <w:spacing w:line="480" w:lineRule="auto"/>
        <w:ind w:left="640" w:leftChars="200" w:firstLine="0" w:firstLineChars="0"/>
        <w:rPr>
          <w:rFonts w:hint="default" w:ascii="Times New Roman" w:hAnsi="Times New Roman" w:cs="Times New Roman"/>
          <w:szCs w:val="32"/>
        </w:rPr>
      </w:pPr>
    </w:p>
    <w:p w14:paraId="3939A626">
      <w:pPr>
        <w:ind w:left="640" w:leftChars="200" w:firstLine="0" w:firstLineChars="0"/>
        <w:rPr>
          <w:rFonts w:hint="default" w:ascii="Times New Roman" w:hAnsi="Times New Roman" w:cs="Times New Roman"/>
          <w:szCs w:val="32"/>
        </w:rPr>
      </w:pPr>
    </w:p>
    <w:p w14:paraId="072B7A9B">
      <w:pPr>
        <w:pStyle w:val="2"/>
        <w:ind w:firstLine="640"/>
        <w:rPr>
          <w:rFonts w:hint="default" w:ascii="Times New Roman" w:hAnsi="Times New Roman" w:cs="Times New Roman"/>
        </w:rPr>
      </w:pPr>
    </w:p>
    <w:p w14:paraId="31B3B477">
      <w:pPr>
        <w:spacing w:line="480" w:lineRule="auto"/>
        <w:ind w:firstLine="518" w:firstLineChars="162"/>
        <w:rPr>
          <w:rFonts w:hint="default" w:ascii="Times New Roman" w:hAnsi="Times New Roman" w:cs="Times New Roman"/>
          <w:szCs w:val="32"/>
          <w:shd w:val="clear" w:color="auto" w:fill="FFFFFF"/>
        </w:rPr>
      </w:pPr>
      <w:r>
        <w:rPr>
          <w:rFonts w:hint="default" w:ascii="Times New Roman" w:hAnsi="Times New Roman" w:cs="Times New Roman"/>
          <w:szCs w:val="32"/>
          <w:shd w:val="clear" w:color="auto" w:fill="FFFFFF"/>
        </w:rPr>
        <w:t>项目名称：202</w:t>
      </w:r>
      <w:r>
        <w:rPr>
          <w:rFonts w:hint="default" w:ascii="Times New Roman" w:hAnsi="Times New Roman" w:cs="Times New Roman"/>
          <w:szCs w:val="32"/>
          <w:shd w:val="clear" w:color="auto" w:fill="FFFFFF"/>
          <w:lang w:val="en-US" w:eastAsia="zh-CN"/>
        </w:rPr>
        <w:t>3</w:t>
      </w:r>
      <w:r>
        <w:rPr>
          <w:rFonts w:hint="default" w:ascii="Times New Roman" w:hAnsi="Times New Roman" w:cs="Times New Roman"/>
          <w:szCs w:val="32"/>
          <w:shd w:val="clear" w:color="auto" w:fill="FFFFFF"/>
        </w:rPr>
        <w:t>年高标准农田建设项目</w:t>
      </w:r>
    </w:p>
    <w:p w14:paraId="5A9D3D56">
      <w:pPr>
        <w:spacing w:line="480" w:lineRule="auto"/>
        <w:ind w:firstLine="518" w:firstLineChars="162"/>
        <w:rPr>
          <w:rFonts w:hint="default" w:ascii="Times New Roman" w:hAnsi="Times New Roman" w:cs="Times New Roman"/>
          <w:szCs w:val="32"/>
          <w:shd w:val="clear" w:color="auto" w:fill="FFFFFF"/>
          <w:lang w:val="en-US" w:eastAsia="zh-CN"/>
        </w:rPr>
      </w:pPr>
      <w:r>
        <w:rPr>
          <w:rFonts w:hint="default" w:ascii="Times New Roman" w:hAnsi="Times New Roman" w:cs="Times New Roman"/>
          <w:szCs w:val="32"/>
          <w:shd w:val="clear" w:color="auto" w:fill="FFFFFF"/>
        </w:rPr>
        <w:t>项目单位：</w:t>
      </w:r>
      <w:r>
        <w:rPr>
          <w:rFonts w:hint="default" w:ascii="Times New Roman" w:hAnsi="Times New Roman" w:cs="Times New Roman"/>
          <w:szCs w:val="32"/>
          <w:shd w:val="clear" w:color="auto" w:fill="FFFFFF"/>
          <w:lang w:val="en-US" w:eastAsia="zh-CN"/>
        </w:rPr>
        <w:t>罗江区农业农村局</w:t>
      </w:r>
    </w:p>
    <w:p w14:paraId="7B08C692">
      <w:pPr>
        <w:spacing w:line="480" w:lineRule="auto"/>
        <w:ind w:firstLine="518" w:firstLineChars="162"/>
        <w:rPr>
          <w:rFonts w:hint="default" w:ascii="Times New Roman" w:hAnsi="Times New Roman" w:eastAsia="仿宋" w:cs="Times New Roman"/>
          <w:szCs w:val="32"/>
          <w:shd w:val="clear" w:color="auto" w:fill="FFFFFF"/>
          <w:lang w:val="en-US" w:eastAsia="zh-CN"/>
        </w:rPr>
      </w:pPr>
      <w:r>
        <w:rPr>
          <w:rFonts w:hint="default" w:ascii="Times New Roman" w:hAnsi="Times New Roman" w:cs="Times New Roman"/>
          <w:szCs w:val="32"/>
          <w:shd w:val="clear" w:color="auto" w:fill="FFFFFF"/>
        </w:rPr>
        <w:t>中介机构：</w:t>
      </w:r>
      <w:r>
        <w:rPr>
          <w:rFonts w:hint="default" w:ascii="Times New Roman" w:hAnsi="Times New Roman" w:cs="Times New Roman"/>
          <w:szCs w:val="32"/>
          <w:shd w:val="clear" w:color="auto" w:fill="FFFFFF"/>
          <w:lang w:val="en-US" w:eastAsia="zh-CN"/>
        </w:rPr>
        <w:t>四川瑞政商业管理有限公司</w:t>
      </w:r>
    </w:p>
    <w:p w14:paraId="1778E5D4">
      <w:pPr>
        <w:ind w:right="640" w:firstLine="4480" w:firstLineChars="1400"/>
        <w:jc w:val="center"/>
        <w:rPr>
          <w:rFonts w:hint="default" w:ascii="Times New Roman" w:hAnsi="Times New Roman" w:cs="Times New Roman"/>
          <w:szCs w:val="32"/>
        </w:rPr>
      </w:pPr>
    </w:p>
    <w:p w14:paraId="607A4556">
      <w:pPr>
        <w:spacing w:after="624" w:afterLines="200"/>
        <w:ind w:right="641" w:firstLine="4480" w:firstLineChars="1400"/>
        <w:jc w:val="center"/>
        <w:rPr>
          <w:rFonts w:hint="default" w:ascii="Times New Roman" w:hAnsi="Times New Roman" w:cs="Times New Roman"/>
          <w:szCs w:val="32"/>
        </w:rPr>
      </w:pPr>
      <w:r>
        <w:rPr>
          <w:rFonts w:hint="default" w:ascii="Times New Roman" w:hAnsi="Times New Roman" w:cs="Times New Roman"/>
          <w:szCs w:val="32"/>
          <w:lang w:val="en-US" w:eastAsia="zh-CN"/>
        </w:rPr>
        <w:t xml:space="preserve">      </w:t>
      </w:r>
      <w:r>
        <w:rPr>
          <w:rFonts w:hint="default" w:ascii="Times New Roman" w:hAnsi="Times New Roman" w:cs="Times New Roman"/>
          <w:szCs w:val="32"/>
        </w:rPr>
        <w:t>二〇二</w:t>
      </w:r>
      <w:r>
        <w:rPr>
          <w:rFonts w:hint="default" w:ascii="Times New Roman" w:hAnsi="Times New Roman" w:cs="Times New Roman"/>
          <w:szCs w:val="32"/>
          <w:lang w:val="en-US" w:eastAsia="zh-CN"/>
        </w:rPr>
        <w:t>四</w:t>
      </w:r>
      <w:r>
        <w:rPr>
          <w:rFonts w:hint="default" w:ascii="Times New Roman" w:hAnsi="Times New Roman" w:cs="Times New Roman"/>
          <w:szCs w:val="32"/>
        </w:rPr>
        <w:t>年</w:t>
      </w:r>
      <w:r>
        <w:rPr>
          <w:rFonts w:hint="default" w:ascii="Times New Roman" w:hAnsi="Times New Roman" w:cs="Times New Roman"/>
          <w:szCs w:val="32"/>
          <w:lang w:val="en-US" w:eastAsia="zh-CN"/>
        </w:rPr>
        <w:t>八</w:t>
      </w:r>
      <w:r>
        <w:rPr>
          <w:rFonts w:hint="default" w:ascii="Times New Roman" w:hAnsi="Times New Roman" w:cs="Times New Roman"/>
          <w:szCs w:val="32"/>
        </w:rPr>
        <w:t xml:space="preserve">月                      </w:t>
      </w:r>
    </w:p>
    <w:p w14:paraId="0B7FDD76">
      <w:pPr>
        <w:spacing w:before="0" w:beforeLines="0" w:after="0" w:afterLines="0" w:line="240" w:lineRule="auto"/>
        <w:ind w:left="0" w:leftChars="0" w:right="0" w:rightChars="0" w:firstLine="0" w:firstLineChars="0"/>
        <w:jc w:val="center"/>
        <w:rPr>
          <w:rFonts w:hint="default" w:ascii="Times New Roman" w:hAnsi="Times New Roman" w:eastAsia="宋体" w:cs="Times New Roman"/>
          <w:kern w:val="2"/>
          <w:sz w:val="21"/>
          <w:szCs w:val="24"/>
          <w:lang w:val="en-US" w:eastAsia="zh-CN" w:bidi="ar-SA"/>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sdt>
      <w:sdtPr>
        <w:rPr>
          <w:rFonts w:hint="default" w:ascii="Times New Roman" w:hAnsi="Times New Roman" w:eastAsia="楷体" w:cs="Times New Roman"/>
          <w:kern w:val="2"/>
          <w:sz w:val="36"/>
          <w:szCs w:val="36"/>
          <w:lang w:val="en-US" w:eastAsia="zh-CN" w:bidi="ar-SA"/>
        </w:rPr>
        <w:id w:val="147480408"/>
        <w15:color w:val="DBDBDB"/>
        <w:docPartObj>
          <w:docPartGallery w:val="Table of Contents"/>
          <w:docPartUnique/>
        </w:docPartObj>
      </w:sdtPr>
      <w:sdtEndPr>
        <w:rPr>
          <w:rFonts w:hint="default" w:ascii="Times New Roman" w:hAnsi="Times New Roman" w:eastAsia="宋体" w:cs="Times New Roman"/>
          <w:b/>
          <w:kern w:val="2"/>
          <w:sz w:val="21"/>
          <w:szCs w:val="24"/>
          <w:lang w:val="en-US" w:eastAsia="zh-CN" w:bidi="ar-SA"/>
        </w:rPr>
      </w:sdtEndPr>
      <w:sdtContent>
        <w:p w14:paraId="2D2C191A">
          <w:pPr>
            <w:spacing w:before="0" w:beforeLines="0" w:after="0" w:afterLines="0" w:line="240" w:lineRule="auto"/>
            <w:ind w:left="0" w:leftChars="0" w:right="0" w:rightChars="0" w:firstLine="0" w:firstLineChars="0"/>
            <w:jc w:val="center"/>
            <w:rPr>
              <w:rFonts w:hint="default" w:ascii="Times New Roman" w:hAnsi="Times New Roman" w:eastAsia="楷体" w:cs="Times New Roman"/>
              <w:b/>
              <w:bCs/>
              <w:sz w:val="36"/>
              <w:szCs w:val="36"/>
            </w:rPr>
          </w:pPr>
          <w:bookmarkStart w:id="7" w:name="_Toc9859"/>
          <w:bookmarkStart w:id="8" w:name="_Toc32249"/>
          <w:bookmarkStart w:id="9" w:name="_Toc25961"/>
          <w:r>
            <w:rPr>
              <w:rFonts w:hint="default" w:ascii="Times New Roman" w:hAnsi="Times New Roman" w:eastAsia="楷体" w:cs="Times New Roman"/>
              <w:b/>
              <w:bCs/>
              <w:sz w:val="36"/>
              <w:szCs w:val="36"/>
            </w:rPr>
            <w:t>目录</w:t>
          </w:r>
        </w:p>
        <w:p w14:paraId="1C8C0D94">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TOC \o "1-2" \h \u </w:instrText>
          </w:r>
          <w:r>
            <w:rPr>
              <w:rFonts w:hint="default" w:ascii="Times New Roman" w:hAnsi="Times New Roman" w:cs="Times New Roman"/>
              <w:b w:val="0"/>
              <w:bCs w:val="0"/>
            </w:rPr>
            <w:fldChar w:fldCharType="separate"/>
          </w: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_Toc11248 </w:instrText>
          </w:r>
          <w:r>
            <w:rPr>
              <w:rFonts w:hint="default" w:ascii="Times New Roman" w:hAnsi="Times New Roman" w:cs="Times New Roman"/>
              <w:bCs w:val="0"/>
              <w:sz w:val="28"/>
              <w:szCs w:val="28"/>
            </w:rPr>
            <w:fldChar w:fldCharType="separate"/>
          </w:r>
          <w:r>
            <w:rPr>
              <w:rFonts w:hint="default" w:ascii="Times New Roman" w:hAnsi="Times New Roman" w:eastAsia="黑体" w:cs="Times New Roman"/>
              <w:bCs/>
              <w:sz w:val="28"/>
              <w:szCs w:val="28"/>
            </w:rPr>
            <w:t>一、项目基本情况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_Toc11248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2D163AAE">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_Toc2116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（一）项目背景</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_Toc2116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4E90F167">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_Toc20050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highlight w:val="none"/>
            </w:rPr>
            <w:t>（二）项目概况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_Toc20050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51043ACD">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_Toc25595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（三）资金预算及使用情况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_Toc25595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4DFDEC14">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_Toc16563 </w:instrText>
          </w:r>
          <w:r>
            <w:rPr>
              <w:rFonts w:hint="default" w:ascii="Times New Roman" w:hAnsi="Times New Roman" w:cs="Times New Roman"/>
              <w:bCs w:val="0"/>
              <w:sz w:val="28"/>
              <w:szCs w:val="28"/>
            </w:rPr>
            <w:fldChar w:fldCharType="separate"/>
          </w:r>
          <w:r>
            <w:rPr>
              <w:rFonts w:hint="default" w:ascii="Times New Roman" w:hAnsi="Times New Roman" w:eastAsia="黑体" w:cs="Times New Roman"/>
              <w:bCs/>
              <w:sz w:val="28"/>
              <w:szCs w:val="28"/>
            </w:rPr>
            <w:t>二、项目评价依据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_Toc16563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0447CA3D">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_Toc4572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（一）规范性文件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_Toc4572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4E701A76">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_Toc26403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（二）绩效评价管理文件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_Toc26403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31FD82BB">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_Toc20733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（三）立项依据与资金文件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_Toc20733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6511AD7E">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_Toc19089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（四）技术质量标准文件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_Toc19089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04B056E9">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_Toc7133 </w:instrText>
          </w:r>
          <w:r>
            <w:rPr>
              <w:rFonts w:hint="default" w:ascii="Times New Roman" w:hAnsi="Times New Roman" w:cs="Times New Roman"/>
              <w:bCs w:val="0"/>
              <w:sz w:val="28"/>
              <w:szCs w:val="28"/>
            </w:rPr>
            <w:fldChar w:fldCharType="separate"/>
          </w:r>
          <w:r>
            <w:rPr>
              <w:rFonts w:hint="default" w:ascii="Times New Roman" w:hAnsi="Times New Roman" w:eastAsia="黑体" w:cs="Times New Roman"/>
              <w:bCs/>
              <w:sz w:val="28"/>
              <w:szCs w:val="28"/>
            </w:rPr>
            <w:t>三、总体评价</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_Toc7133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38E8653F">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_Toc910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（一）主要绩效</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_Toc910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7754EF0D">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_Toc14515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（二）指标评分结果</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_Toc14515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67EF6D34">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_Toc6094 </w:instrText>
          </w:r>
          <w:r>
            <w:rPr>
              <w:rFonts w:hint="default" w:ascii="Times New Roman" w:hAnsi="Times New Roman" w:cs="Times New Roman"/>
              <w:bCs w:val="0"/>
              <w:sz w:val="28"/>
              <w:szCs w:val="28"/>
            </w:rPr>
            <w:fldChar w:fldCharType="separate"/>
          </w:r>
          <w:r>
            <w:rPr>
              <w:rFonts w:hint="default" w:ascii="Times New Roman" w:hAnsi="Times New Roman" w:eastAsia="黑体" w:cs="Times New Roman"/>
              <w:bCs/>
              <w:sz w:val="28"/>
              <w:szCs w:val="28"/>
            </w:rPr>
            <w:t>四、评价指标分析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_Toc6094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9</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07E60EB6">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_Toc30027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一</w:t>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投入类</w:t>
          </w:r>
          <w:r>
            <w:rPr>
              <w:rFonts w:hint="default" w:ascii="Times New Roman" w:hAnsi="Times New Roman" w:eastAsia="楷体" w:cs="Times New Roman"/>
              <w:bCs/>
              <w:sz w:val="28"/>
              <w:szCs w:val="28"/>
            </w:rPr>
            <w:t>指标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_Toc30027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9</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2B84C92C">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_Toc18711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二</w:t>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过程类</w:t>
          </w:r>
          <w:r>
            <w:rPr>
              <w:rFonts w:hint="default" w:ascii="Times New Roman" w:hAnsi="Times New Roman" w:eastAsia="楷体" w:cs="Times New Roman"/>
              <w:bCs/>
              <w:sz w:val="28"/>
              <w:szCs w:val="28"/>
            </w:rPr>
            <w:t>指标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_Toc18711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35AA1510">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_Toc13020 </w:instrText>
          </w:r>
          <w:r>
            <w:rPr>
              <w:rFonts w:hint="default" w:ascii="Times New Roman" w:hAnsi="Times New Roman" w:cs="Times New Roman"/>
              <w:bCs w:val="0"/>
              <w:sz w:val="28"/>
              <w:szCs w:val="28"/>
            </w:rPr>
            <w:fldChar w:fldCharType="separate"/>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三</w:t>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产出类</w:t>
          </w:r>
          <w:r>
            <w:rPr>
              <w:rFonts w:hint="default" w:ascii="Times New Roman" w:hAnsi="Times New Roman" w:eastAsia="楷体" w:cs="Times New Roman"/>
              <w:bCs/>
              <w:sz w:val="28"/>
              <w:szCs w:val="28"/>
            </w:rPr>
            <w:t>指标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_Toc13020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04C72EF7">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_Toc2110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sz w:val="28"/>
              <w:szCs w:val="28"/>
              <w:lang w:eastAsia="zh-CN"/>
            </w:rPr>
            <w:t>（</w:t>
          </w:r>
          <w:r>
            <w:rPr>
              <w:rFonts w:hint="default" w:ascii="Times New Roman" w:hAnsi="Times New Roman" w:eastAsia="楷体" w:cs="Times New Roman"/>
              <w:sz w:val="28"/>
              <w:szCs w:val="28"/>
              <w:lang w:val="en-US" w:eastAsia="zh-CN"/>
            </w:rPr>
            <w:t>四</w:t>
          </w:r>
          <w:r>
            <w:rPr>
              <w:rFonts w:hint="default" w:ascii="Times New Roman" w:hAnsi="Times New Roman" w:eastAsia="楷体" w:cs="Times New Roman"/>
              <w:sz w:val="28"/>
              <w:szCs w:val="28"/>
              <w:lang w:eastAsia="zh-CN"/>
            </w:rPr>
            <w:t>）</w:t>
          </w:r>
          <w:r>
            <w:rPr>
              <w:rFonts w:hint="default" w:ascii="Times New Roman" w:hAnsi="Times New Roman" w:eastAsia="楷体" w:cs="Times New Roman"/>
              <w:sz w:val="28"/>
              <w:szCs w:val="28"/>
            </w:rPr>
            <w:t>效益</w:t>
          </w:r>
          <w:r>
            <w:rPr>
              <w:rFonts w:hint="default" w:ascii="Times New Roman" w:hAnsi="Times New Roman" w:eastAsia="楷体" w:cs="Times New Roman"/>
              <w:sz w:val="28"/>
              <w:szCs w:val="28"/>
              <w:lang w:val="en-US" w:eastAsia="zh-CN"/>
            </w:rPr>
            <w:t>类</w:t>
          </w:r>
          <w:r>
            <w:rPr>
              <w:rFonts w:hint="default" w:ascii="Times New Roman" w:hAnsi="Times New Roman" w:eastAsia="楷体" w:cs="Times New Roman"/>
              <w:sz w:val="28"/>
              <w:szCs w:val="28"/>
            </w:rPr>
            <w:t>指标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_Toc2110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17</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6DAF825B">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_Toc18808 </w:instrText>
          </w:r>
          <w:r>
            <w:rPr>
              <w:rFonts w:hint="default" w:ascii="Times New Roman" w:hAnsi="Times New Roman" w:cs="Times New Roman"/>
              <w:bCs w:val="0"/>
              <w:sz w:val="28"/>
              <w:szCs w:val="28"/>
            </w:rPr>
            <w:fldChar w:fldCharType="separate"/>
          </w:r>
          <w:r>
            <w:rPr>
              <w:rFonts w:hint="default" w:ascii="Times New Roman" w:hAnsi="Times New Roman" w:eastAsia="黑体" w:cs="Times New Roman"/>
              <w:bCs/>
              <w:sz w:val="28"/>
              <w:szCs w:val="28"/>
            </w:rPr>
            <w:t>五、评价中发现的问题或不足</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_Toc18808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20</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28C2C9DD">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_Toc5465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sz w:val="28"/>
              <w:szCs w:val="28"/>
            </w:rPr>
            <w:t>（</w:t>
          </w:r>
          <w:r>
            <w:rPr>
              <w:rFonts w:hint="default" w:ascii="Times New Roman" w:hAnsi="Times New Roman" w:eastAsia="楷体" w:cs="Times New Roman"/>
              <w:sz w:val="28"/>
              <w:szCs w:val="28"/>
              <w:lang w:val="en-US" w:eastAsia="zh-CN"/>
            </w:rPr>
            <w:t>一</w:t>
          </w:r>
          <w:r>
            <w:rPr>
              <w:rFonts w:hint="default" w:ascii="Times New Roman" w:hAnsi="Times New Roman" w:eastAsia="楷体" w:cs="Times New Roman"/>
              <w:sz w:val="28"/>
              <w:szCs w:val="28"/>
            </w:rPr>
            <w:t>）年度绩效目标管理不规范</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_Toc5465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20</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68D7959E">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_Toc18432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二</w:t>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项目未按计划时间及时完成</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_Toc18432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0C3D7FF9">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_Toc24154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sz w:val="28"/>
              <w:szCs w:val="28"/>
              <w:highlight w:val="none"/>
              <w:lang w:eastAsia="zh-CN"/>
            </w:rPr>
            <w:t>（</w:t>
          </w:r>
          <w:r>
            <w:rPr>
              <w:rFonts w:hint="default" w:ascii="Times New Roman" w:hAnsi="Times New Roman" w:eastAsia="楷体" w:cs="Times New Roman"/>
              <w:sz w:val="28"/>
              <w:szCs w:val="28"/>
              <w:highlight w:val="none"/>
              <w:lang w:val="en-US" w:eastAsia="zh-CN"/>
            </w:rPr>
            <w:t>三</w:t>
          </w:r>
          <w:r>
            <w:rPr>
              <w:rFonts w:hint="default" w:ascii="Times New Roman" w:hAnsi="Times New Roman" w:eastAsia="楷体" w:cs="Times New Roman"/>
              <w:sz w:val="28"/>
              <w:szCs w:val="28"/>
              <w:highlight w:val="none"/>
              <w:lang w:eastAsia="zh-CN"/>
            </w:rPr>
            <w:t>）</w:t>
          </w:r>
          <w:r>
            <w:rPr>
              <w:rFonts w:hint="default" w:ascii="Times New Roman" w:hAnsi="Times New Roman" w:eastAsia="楷体" w:cs="Times New Roman"/>
              <w:sz w:val="28"/>
              <w:szCs w:val="28"/>
              <w:highlight w:val="none"/>
              <w:lang w:val="en-US" w:eastAsia="zh-CN"/>
            </w:rPr>
            <w:t>总成本控制情况较差</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_Toc24154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37DD7BB3">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8"/>
              <w:szCs w:val="28"/>
            </w:rPr>
          </w:pPr>
          <w:r>
            <w:rPr>
              <w:rFonts w:hint="default" w:ascii="Times New Roman" w:hAnsi="Times New Roman" w:cs="Times New Roman"/>
              <w:bCs w:val="0"/>
              <w:sz w:val="28"/>
              <w:szCs w:val="28"/>
            </w:rPr>
            <w:fldChar w:fldCharType="begin"/>
          </w:r>
          <w:r>
            <w:rPr>
              <w:rFonts w:hint="default" w:ascii="Times New Roman" w:hAnsi="Times New Roman" w:cs="Times New Roman"/>
              <w:bCs w:val="0"/>
              <w:sz w:val="28"/>
              <w:szCs w:val="28"/>
            </w:rPr>
            <w:instrText xml:space="preserve"> HYPERLINK \l _Toc31946 </w:instrText>
          </w:r>
          <w:r>
            <w:rPr>
              <w:rFonts w:hint="default" w:ascii="Times New Roman" w:hAnsi="Times New Roman" w:cs="Times New Roman"/>
              <w:bCs w:val="0"/>
              <w:sz w:val="28"/>
              <w:szCs w:val="28"/>
            </w:rPr>
            <w:fldChar w:fldCharType="separate"/>
          </w:r>
          <w:r>
            <w:rPr>
              <w:rFonts w:hint="default" w:ascii="Times New Roman" w:hAnsi="Times New Roman" w:eastAsia="黑体" w:cs="Times New Roman"/>
              <w:bCs/>
              <w:sz w:val="28"/>
              <w:szCs w:val="28"/>
            </w:rPr>
            <w:t>六、评价建议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_Toc31946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21</w:t>
          </w:r>
          <w:r>
            <w:rPr>
              <w:rFonts w:hint="default" w:ascii="Times New Roman" w:hAnsi="Times New Roman" w:cs="Times New Roman"/>
              <w:sz w:val="28"/>
              <w:szCs w:val="28"/>
            </w:rPr>
            <w:fldChar w:fldCharType="end"/>
          </w:r>
          <w:r>
            <w:rPr>
              <w:rFonts w:hint="default" w:ascii="Times New Roman" w:hAnsi="Times New Roman" w:cs="Times New Roman"/>
              <w:bCs w:val="0"/>
              <w:sz w:val="28"/>
              <w:szCs w:val="28"/>
            </w:rPr>
            <w:fldChar w:fldCharType="end"/>
          </w:r>
        </w:p>
        <w:p w14:paraId="267FF3AD">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_Toc30639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bCs/>
              <w:sz w:val="28"/>
              <w:szCs w:val="28"/>
            </w:rPr>
            <w:t>（</w:t>
          </w:r>
          <w:r>
            <w:rPr>
              <w:rFonts w:hint="default" w:ascii="Times New Roman" w:hAnsi="Times New Roman" w:eastAsia="楷体" w:cs="Times New Roman"/>
              <w:bCs/>
              <w:sz w:val="28"/>
              <w:szCs w:val="28"/>
              <w:lang w:val="en-US" w:eastAsia="zh-CN"/>
            </w:rPr>
            <w:t>一</w:t>
          </w:r>
          <w:r>
            <w:rPr>
              <w:rFonts w:hint="default" w:ascii="Times New Roman" w:hAnsi="Times New Roman" w:eastAsia="楷体" w:cs="Times New Roman"/>
              <w:bCs/>
              <w:sz w:val="28"/>
              <w:szCs w:val="28"/>
            </w:rPr>
            <w:t>）提升项目绩效目标申报质量</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_Toc30639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561DA789">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_Toc21588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sz w:val="28"/>
              <w:szCs w:val="28"/>
            </w:rPr>
            <w:t>（</w:t>
          </w:r>
          <w:r>
            <w:rPr>
              <w:rFonts w:hint="default" w:ascii="Times New Roman" w:hAnsi="Times New Roman" w:eastAsia="楷体" w:cs="Times New Roman"/>
              <w:sz w:val="28"/>
              <w:szCs w:val="28"/>
              <w:lang w:val="en-US" w:eastAsia="zh-CN"/>
            </w:rPr>
            <w:t>二</w:t>
          </w:r>
          <w:r>
            <w:rPr>
              <w:rFonts w:hint="default" w:ascii="Times New Roman" w:hAnsi="Times New Roman" w:eastAsia="楷体" w:cs="Times New Roman"/>
              <w:sz w:val="28"/>
              <w:szCs w:val="28"/>
            </w:rPr>
            <w:t>）加快督促项目实施进度</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_Toc21588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43F9EDC1">
          <w:pPr>
            <w:pStyle w:val="25"/>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_Toc9875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bCs/>
              <w:kern w:val="2"/>
              <w:sz w:val="28"/>
              <w:szCs w:val="28"/>
              <w:highlight w:val="none"/>
              <w:lang w:val="en-US" w:eastAsia="zh-CN" w:bidi="ar-SA"/>
            </w:rPr>
            <w:t>（三）</w:t>
          </w:r>
          <w:r>
            <w:rPr>
              <w:rFonts w:hint="default" w:ascii="Times New Roman" w:hAnsi="Times New Roman" w:eastAsia="楷体" w:cs="Times New Roman"/>
              <w:sz w:val="28"/>
              <w:szCs w:val="28"/>
              <w:highlight w:val="none"/>
              <w:lang w:val="en-US" w:eastAsia="zh-CN"/>
            </w:rPr>
            <w:t>合理控制成本，提高资金使用效率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_Toc9875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22</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041CCCA9">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eastAsia="楷体" w:cs="Times New Roman"/>
              <w:bCs w:val="0"/>
              <w:sz w:val="28"/>
              <w:szCs w:val="28"/>
            </w:rPr>
            <w:fldChar w:fldCharType="begin"/>
          </w:r>
          <w:r>
            <w:rPr>
              <w:rFonts w:hint="default" w:ascii="Times New Roman" w:hAnsi="Times New Roman" w:eastAsia="楷体" w:cs="Times New Roman"/>
              <w:bCs w:val="0"/>
              <w:sz w:val="28"/>
              <w:szCs w:val="28"/>
            </w:rPr>
            <w:instrText xml:space="preserve"> HYPERLINK \l _Toc18110 </w:instrText>
          </w:r>
          <w:r>
            <w:rPr>
              <w:rFonts w:hint="default" w:ascii="Times New Roman" w:hAnsi="Times New Roman" w:eastAsia="楷体" w:cs="Times New Roman"/>
              <w:bCs w:val="0"/>
              <w:sz w:val="28"/>
              <w:szCs w:val="28"/>
            </w:rPr>
            <w:fldChar w:fldCharType="separate"/>
          </w:r>
          <w:r>
            <w:rPr>
              <w:rFonts w:hint="default" w:ascii="Times New Roman" w:hAnsi="Times New Roman" w:eastAsia="楷体" w:cs="Times New Roman"/>
              <w:sz w:val="28"/>
              <w:szCs w:val="28"/>
              <w:lang w:val="en-US" w:eastAsia="zh-CN"/>
            </w:rPr>
            <w:t>附件1：罗江区农业农村局2023年高标准农田建设项目绩效评价指标评分表</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_Toc18110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22</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bCs w:val="0"/>
              <w:sz w:val="28"/>
              <w:szCs w:val="28"/>
            </w:rPr>
            <w:fldChar w:fldCharType="end"/>
          </w:r>
        </w:p>
        <w:p w14:paraId="38633D5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b/>
            </w:rPr>
          </w:pPr>
          <w:r>
            <w:rPr>
              <w:rFonts w:hint="default" w:ascii="Times New Roman" w:hAnsi="Times New Roman" w:cs="Times New Roman"/>
              <w:bCs w:val="0"/>
            </w:rPr>
            <w:fldChar w:fldCharType="end"/>
          </w:r>
        </w:p>
      </w:sdtContent>
    </w:sdt>
    <w:p w14:paraId="0E89687B">
      <w:pPr>
        <w:keepNext w:val="0"/>
        <w:keepLines w:val="0"/>
        <w:pageBreakBefore w:val="0"/>
        <w:widowControl w:val="0"/>
        <w:tabs>
          <w:tab w:val="left" w:pos="1471"/>
        </w:tabs>
        <w:kinsoku/>
        <w:wordWrap/>
        <w:overflowPunct/>
        <w:topLinePunct w:val="0"/>
        <w:autoSpaceDE/>
        <w:autoSpaceDN/>
        <w:bidi w:val="0"/>
        <w:snapToGrid w:val="0"/>
        <w:spacing w:line="560" w:lineRule="exact"/>
        <w:ind w:left="0" w:leftChars="0" w:firstLine="0" w:firstLineChars="0"/>
        <w:jc w:val="center"/>
        <w:textAlignment w:val="auto"/>
        <w:rPr>
          <w:rFonts w:hint="default" w:ascii="Times New Roman" w:hAnsi="Times New Roman" w:eastAsia="黑体" w:cs="Times New Roman"/>
          <w:b/>
          <w:bCs w:val="0"/>
          <w:sz w:val="44"/>
          <w:szCs w:val="44"/>
          <w:lang w:val="en-US" w:eastAsia="zh-CN"/>
        </w:rPr>
      </w:pPr>
      <w:bookmarkStart w:id="10" w:name="_Toc28597"/>
      <w:bookmarkStart w:id="11" w:name="OLE_LINK6"/>
      <w:bookmarkStart w:id="12" w:name="OLE_LINK5"/>
    </w:p>
    <w:p w14:paraId="2284858E">
      <w:pPr>
        <w:keepNext w:val="0"/>
        <w:keepLines w:val="0"/>
        <w:pageBreakBefore w:val="0"/>
        <w:widowControl w:val="0"/>
        <w:tabs>
          <w:tab w:val="left" w:pos="1471"/>
        </w:tabs>
        <w:kinsoku/>
        <w:wordWrap/>
        <w:overflowPunct/>
        <w:topLinePunct w:val="0"/>
        <w:autoSpaceDE/>
        <w:autoSpaceDN/>
        <w:bidi w:val="0"/>
        <w:snapToGrid w:val="0"/>
        <w:spacing w:line="560" w:lineRule="exact"/>
        <w:ind w:left="0" w:leftChars="0" w:firstLine="0" w:firstLineChars="0"/>
        <w:jc w:val="center"/>
        <w:textAlignment w:val="auto"/>
        <w:rPr>
          <w:rFonts w:hint="default" w:ascii="Times New Roman" w:hAnsi="Times New Roman" w:eastAsia="黑体" w:cs="Times New Roman"/>
          <w:b/>
          <w:bCs w:val="0"/>
          <w:sz w:val="44"/>
          <w:szCs w:val="44"/>
          <w:lang w:val="en-US" w:eastAsia="zh-CN"/>
        </w:rPr>
        <w:sectPr>
          <w:footerReference r:id="rId11" w:type="default"/>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3C501AAF">
      <w:pPr>
        <w:keepNext w:val="0"/>
        <w:keepLines w:val="0"/>
        <w:pageBreakBefore w:val="0"/>
        <w:widowControl w:val="0"/>
        <w:tabs>
          <w:tab w:val="left" w:pos="1471"/>
        </w:tabs>
        <w:kinsoku/>
        <w:wordWrap/>
        <w:overflowPunct/>
        <w:topLinePunct w:val="0"/>
        <w:autoSpaceDE/>
        <w:autoSpaceDN/>
        <w:bidi w:val="0"/>
        <w:snapToGrid w:val="0"/>
        <w:spacing w:line="560" w:lineRule="exact"/>
        <w:ind w:left="0" w:leftChars="0" w:firstLine="0" w:firstLineChars="0"/>
        <w:jc w:val="center"/>
        <w:textAlignment w:val="auto"/>
        <w:rPr>
          <w:rFonts w:hint="default" w:ascii="Times New Roman" w:hAnsi="Times New Roman" w:eastAsia="黑体" w:cs="Times New Roman"/>
          <w:b/>
          <w:bCs w:val="0"/>
          <w:sz w:val="44"/>
          <w:szCs w:val="44"/>
        </w:rPr>
      </w:pPr>
      <w:r>
        <w:rPr>
          <w:rFonts w:hint="default" w:ascii="Times New Roman" w:hAnsi="Times New Roman" w:eastAsia="黑体" w:cs="Times New Roman"/>
          <w:b/>
          <w:bCs w:val="0"/>
          <w:sz w:val="44"/>
          <w:szCs w:val="44"/>
          <w:lang w:val="en-US" w:eastAsia="zh-CN"/>
        </w:rPr>
        <w:t>德阳市罗江区农业</w:t>
      </w:r>
      <w:r>
        <w:rPr>
          <w:rFonts w:hint="default" w:ascii="Times New Roman" w:hAnsi="Times New Roman" w:eastAsia="黑体" w:cs="Times New Roman"/>
          <w:b/>
          <w:bCs w:val="0"/>
          <w:sz w:val="44"/>
          <w:szCs w:val="44"/>
        </w:rPr>
        <w:t>农村局</w:t>
      </w:r>
      <w:bookmarkEnd w:id="7"/>
      <w:bookmarkEnd w:id="8"/>
      <w:bookmarkEnd w:id="10"/>
      <w:bookmarkStart w:id="13" w:name="_Toc22236"/>
    </w:p>
    <w:p w14:paraId="7D0A822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outlineLvl w:val="0"/>
        <w:rPr>
          <w:rFonts w:hint="default" w:ascii="Times New Roman" w:hAnsi="Times New Roman" w:eastAsia="黑体" w:cs="Times New Roman"/>
          <w:b/>
          <w:bCs w:val="0"/>
          <w:sz w:val="44"/>
          <w:szCs w:val="44"/>
        </w:rPr>
      </w:pPr>
      <w:bookmarkStart w:id="14" w:name="_Toc24057"/>
      <w:bookmarkStart w:id="15" w:name="_Toc2838"/>
      <w:bookmarkStart w:id="16" w:name="_Toc27054"/>
      <w:bookmarkStart w:id="17" w:name="_Toc31748"/>
      <w:bookmarkStart w:id="18" w:name="_Toc260"/>
      <w:r>
        <w:rPr>
          <w:rFonts w:hint="default" w:ascii="Times New Roman" w:hAnsi="Times New Roman" w:eastAsia="黑体" w:cs="Times New Roman"/>
          <w:b/>
          <w:bCs w:val="0"/>
          <w:sz w:val="44"/>
          <w:szCs w:val="44"/>
        </w:rPr>
        <w:t>202</w:t>
      </w:r>
      <w:r>
        <w:rPr>
          <w:rFonts w:hint="default" w:ascii="Times New Roman" w:hAnsi="Times New Roman" w:eastAsia="黑体" w:cs="Times New Roman"/>
          <w:b/>
          <w:bCs w:val="0"/>
          <w:sz w:val="44"/>
          <w:szCs w:val="44"/>
          <w:lang w:val="en-US" w:eastAsia="zh-CN"/>
        </w:rPr>
        <w:t>3</w:t>
      </w:r>
      <w:r>
        <w:rPr>
          <w:rFonts w:hint="default" w:ascii="Times New Roman" w:hAnsi="Times New Roman" w:eastAsia="黑体" w:cs="Times New Roman"/>
          <w:b/>
          <w:bCs w:val="0"/>
          <w:sz w:val="44"/>
          <w:szCs w:val="44"/>
        </w:rPr>
        <w:t>年高标准农田建设项目</w:t>
      </w:r>
      <w:bookmarkEnd w:id="13"/>
      <w:r>
        <w:rPr>
          <w:rFonts w:hint="default" w:ascii="Times New Roman" w:hAnsi="Times New Roman" w:eastAsia="黑体" w:cs="Times New Roman"/>
          <w:b/>
          <w:bCs w:val="0"/>
          <w:sz w:val="44"/>
          <w:szCs w:val="44"/>
        </w:rPr>
        <w:t>绩效评价报告</w:t>
      </w:r>
      <w:bookmarkEnd w:id="9"/>
      <w:bookmarkEnd w:id="14"/>
      <w:bookmarkEnd w:id="15"/>
      <w:bookmarkEnd w:id="16"/>
      <w:bookmarkEnd w:id="17"/>
      <w:bookmarkEnd w:id="18"/>
    </w:p>
    <w:bookmarkEnd w:id="11"/>
    <w:p w14:paraId="1A5B2F86">
      <w:pPr>
        <w:spacing w:before="156" w:beforeLines="50" w:line="560" w:lineRule="exact"/>
        <w:ind w:firstLine="640"/>
        <w:rPr>
          <w:rFonts w:hint="default" w:ascii="Times New Roman" w:hAnsi="Times New Roman" w:cs="Times New Roman"/>
          <w:szCs w:val="32"/>
        </w:rPr>
      </w:pPr>
      <w:r>
        <w:rPr>
          <w:rFonts w:hint="default" w:ascii="Times New Roman" w:hAnsi="Times New Roman" w:cs="Times New Roman"/>
          <w:szCs w:val="32"/>
        </w:rPr>
        <w:t>为加强项目资金管理，强化支出责任和效率意识，优化资源</w:t>
      </w:r>
      <w:bookmarkEnd w:id="12"/>
      <w:r>
        <w:rPr>
          <w:rFonts w:hint="default" w:ascii="Times New Roman" w:hAnsi="Times New Roman" w:cs="Times New Roman"/>
          <w:szCs w:val="32"/>
        </w:rPr>
        <w:t>配置，控制节约成本，提高财政资金使用效益，根据《</w:t>
      </w:r>
      <w:r>
        <w:rPr>
          <w:rFonts w:hint="default" w:ascii="Times New Roman" w:hAnsi="Times New Roman" w:cs="Times New Roman"/>
        </w:rPr>
        <w:t>中华人民共和国预算法</w:t>
      </w:r>
      <w:r>
        <w:rPr>
          <w:rFonts w:hint="default" w:ascii="Times New Roman" w:hAnsi="Times New Roman" w:cs="Times New Roman"/>
          <w:szCs w:val="32"/>
        </w:rPr>
        <w:t>》第五十七条规定、</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罗江区</w:t>
      </w:r>
      <w:r>
        <w:rPr>
          <w:rFonts w:hint="default" w:ascii="Times New Roman" w:hAnsi="Times New Roman" w:cs="Times New Roman"/>
          <w:szCs w:val="32"/>
        </w:rPr>
        <w:t>财政局关于</w:t>
      </w:r>
      <w:r>
        <w:rPr>
          <w:rFonts w:hint="default" w:ascii="Times New Roman" w:hAnsi="Times New Roman" w:cs="Times New Roman"/>
          <w:szCs w:val="32"/>
          <w:lang w:val="en-US" w:eastAsia="zh-CN"/>
        </w:rPr>
        <w:t>开展2024年重点绩效评价工作的通知</w:t>
      </w:r>
      <w:r>
        <w:rPr>
          <w:rFonts w:hint="default" w:ascii="Times New Roman" w:hAnsi="Times New Roman" w:cs="Times New Roman"/>
          <w:szCs w:val="32"/>
        </w:rPr>
        <w:t>》（</w:t>
      </w:r>
      <w:r>
        <w:rPr>
          <w:rFonts w:hint="default" w:ascii="Times New Roman" w:hAnsi="Times New Roman" w:cs="Times New Roman"/>
          <w:szCs w:val="32"/>
          <w:lang w:val="en-US" w:eastAsia="zh-CN"/>
        </w:rPr>
        <w:t>德市罗财绩</w:t>
      </w:r>
      <w:r>
        <w:rPr>
          <w:rFonts w:hint="default" w:ascii="Times New Roman" w:hAnsi="Times New Roman" w:cs="Times New Roman"/>
          <w:szCs w:val="32"/>
        </w:rPr>
        <w:t>〔202</w:t>
      </w:r>
      <w:r>
        <w:rPr>
          <w:rFonts w:hint="default" w:ascii="Times New Roman" w:hAnsi="Times New Roman" w:cs="Times New Roman"/>
          <w:szCs w:val="32"/>
          <w:lang w:val="en-US" w:eastAsia="zh-CN"/>
        </w:rPr>
        <w:t>4</w:t>
      </w:r>
      <w:r>
        <w:rPr>
          <w:rFonts w:hint="default" w:ascii="Times New Roman" w:hAnsi="Times New Roman" w:cs="Times New Roman"/>
          <w:szCs w:val="32"/>
        </w:rPr>
        <w:t>〕</w:t>
      </w:r>
      <w:r>
        <w:rPr>
          <w:rFonts w:hint="default" w:ascii="Times New Roman" w:hAnsi="Times New Roman" w:cs="Times New Roman"/>
          <w:szCs w:val="32"/>
          <w:lang w:val="en-US" w:eastAsia="zh-CN"/>
        </w:rPr>
        <w:t>5</w:t>
      </w:r>
      <w:r>
        <w:rPr>
          <w:rFonts w:hint="default" w:ascii="Times New Roman" w:hAnsi="Times New Roman" w:cs="Times New Roman"/>
          <w:szCs w:val="32"/>
        </w:rPr>
        <w:t>号），由</w:t>
      </w:r>
      <w:r>
        <w:rPr>
          <w:rFonts w:hint="default" w:ascii="Times New Roman" w:hAnsi="Times New Roman" w:cs="Times New Roman"/>
          <w:szCs w:val="32"/>
          <w:lang w:val="en-US" w:eastAsia="zh-CN"/>
        </w:rPr>
        <w:t>罗江区</w:t>
      </w:r>
      <w:r>
        <w:rPr>
          <w:rFonts w:hint="default" w:ascii="Times New Roman" w:hAnsi="Times New Roman" w:cs="Times New Roman"/>
          <w:szCs w:val="32"/>
        </w:rPr>
        <w:t>财政局</w:t>
      </w:r>
      <w:r>
        <w:rPr>
          <w:rFonts w:hint="default" w:ascii="Times New Roman" w:hAnsi="Times New Roman" w:cs="Times New Roman"/>
          <w:szCs w:val="32"/>
          <w:lang w:val="en-US" w:eastAsia="zh-CN"/>
        </w:rPr>
        <w:t>委托四川瑞政商业管理有限公司</w:t>
      </w:r>
      <w:r>
        <w:rPr>
          <w:rFonts w:hint="default" w:ascii="Times New Roman" w:hAnsi="Times New Roman" w:cs="Times New Roman"/>
          <w:szCs w:val="32"/>
        </w:rPr>
        <w:t>，对</w:t>
      </w:r>
      <w:r>
        <w:rPr>
          <w:rFonts w:hint="default" w:ascii="Times New Roman" w:hAnsi="Times New Roman" w:cs="Times New Roman"/>
          <w:szCs w:val="32"/>
          <w:lang w:val="en-US" w:eastAsia="zh-CN"/>
        </w:rPr>
        <w:t>罗江区</w:t>
      </w:r>
      <w:r>
        <w:rPr>
          <w:rFonts w:hint="default" w:ascii="Times New Roman" w:hAnsi="Times New Roman" w:cs="Times New Roman"/>
          <w:szCs w:val="32"/>
        </w:rPr>
        <w:t>农业农村局主管实施的“202</w:t>
      </w:r>
      <w:r>
        <w:rPr>
          <w:rFonts w:hint="default" w:ascii="Times New Roman" w:hAnsi="Times New Roman" w:cs="Times New Roman"/>
          <w:szCs w:val="32"/>
          <w:lang w:val="en-US" w:eastAsia="zh-CN"/>
        </w:rPr>
        <w:t>3</w:t>
      </w:r>
      <w:r>
        <w:rPr>
          <w:rFonts w:hint="default" w:ascii="Times New Roman" w:hAnsi="Times New Roman" w:cs="Times New Roman"/>
          <w:szCs w:val="32"/>
        </w:rPr>
        <w:t>年高标准农田建设项目”开展绩效评价。现将评价结果报告如下：</w:t>
      </w:r>
    </w:p>
    <w:p w14:paraId="0514CE44">
      <w:pPr>
        <w:spacing w:line="560" w:lineRule="exact"/>
        <w:ind w:firstLine="640"/>
        <w:outlineLvl w:val="0"/>
        <w:rPr>
          <w:rFonts w:hint="default" w:ascii="Times New Roman" w:hAnsi="Times New Roman" w:eastAsia="黑体" w:cs="Times New Roman"/>
          <w:b/>
          <w:bCs/>
          <w:szCs w:val="22"/>
        </w:rPr>
      </w:pPr>
      <w:bookmarkStart w:id="19" w:name="_Toc11248"/>
      <w:bookmarkStart w:id="20" w:name="_Toc511879082"/>
      <w:bookmarkStart w:id="21" w:name="_Toc136706198"/>
      <w:bookmarkStart w:id="22" w:name="_Toc86224134"/>
      <w:bookmarkStart w:id="23" w:name="_Toc522785580"/>
      <w:bookmarkStart w:id="24" w:name="OLE_LINK1"/>
      <w:r>
        <w:rPr>
          <w:rFonts w:hint="default" w:ascii="Times New Roman" w:hAnsi="Times New Roman" w:eastAsia="黑体" w:cs="Times New Roman"/>
          <w:b/>
          <w:bCs/>
          <w:szCs w:val="22"/>
        </w:rPr>
        <w:t>一、项目基本情况</w:t>
      </w:r>
      <w:bookmarkEnd w:id="19"/>
      <w:bookmarkEnd w:id="20"/>
      <w:bookmarkEnd w:id="21"/>
      <w:bookmarkEnd w:id="22"/>
      <w:bookmarkEnd w:id="23"/>
    </w:p>
    <w:bookmarkEnd w:id="24"/>
    <w:p w14:paraId="5D270EB5">
      <w:pPr>
        <w:spacing w:line="560" w:lineRule="exact"/>
        <w:ind w:firstLine="643"/>
        <w:outlineLvl w:val="1"/>
        <w:rPr>
          <w:rFonts w:hint="default" w:ascii="Times New Roman" w:hAnsi="Times New Roman" w:eastAsia="楷体" w:cs="Times New Roman"/>
          <w:b/>
          <w:bCs/>
          <w:szCs w:val="22"/>
        </w:rPr>
      </w:pPr>
      <w:bookmarkStart w:id="25" w:name="_Toc2116"/>
      <w:bookmarkStart w:id="26" w:name="OLE_LINK2"/>
      <w:bookmarkStart w:id="27" w:name="_Toc86224136"/>
      <w:bookmarkStart w:id="28" w:name="_Toc136706200"/>
      <w:bookmarkStart w:id="29" w:name="_Toc86224138"/>
      <w:bookmarkStart w:id="30" w:name="_Toc136706202"/>
      <w:bookmarkStart w:id="31" w:name="_Toc81550677"/>
      <w:bookmarkStart w:id="32" w:name="_Toc136706199"/>
      <w:bookmarkStart w:id="33" w:name="_Toc86224135"/>
      <w:r>
        <w:rPr>
          <w:rFonts w:hint="default" w:ascii="Times New Roman" w:hAnsi="Times New Roman" w:eastAsia="楷体" w:cs="Times New Roman"/>
          <w:b/>
          <w:bCs/>
          <w:szCs w:val="22"/>
        </w:rPr>
        <w:t>（一）项目背景</w:t>
      </w:r>
      <w:bookmarkEnd w:id="25"/>
    </w:p>
    <w:p w14:paraId="4211BF0E">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粮食安全是国家经济发展的基础，关系到国计民生和社会稳定。随着人口增长和消费升级，对粮食的需求不断增加，高</w:t>
      </w:r>
      <w:bookmarkEnd w:id="26"/>
      <w:r>
        <w:rPr>
          <w:rFonts w:hint="default" w:ascii="Times New Roman" w:hAnsi="Times New Roman" w:cs="Times New Roman"/>
          <w:szCs w:val="32"/>
        </w:rPr>
        <w:t>标准农田建设成为保障粮食生产、提升农业综合生产能力的重要举措。党的十九届五中全会要求全面推进乡村振兴、实施高标准农田建设工程。习近平总书记在中央农村工作会议上强调，要坚决守住18亿亩耕地红线，逐步把永久基本农田全部建成高标准农田。</w:t>
      </w:r>
    </w:p>
    <w:p w14:paraId="073F2029">
      <w:pPr>
        <w:spacing w:line="560" w:lineRule="exact"/>
        <w:ind w:firstLine="640"/>
        <w:rPr>
          <w:rFonts w:hint="default" w:ascii="Times New Roman" w:hAnsi="Times New Roman" w:cs="Times New Roman"/>
          <w:color w:val="000000"/>
          <w:szCs w:val="32"/>
          <w:shd w:val="clear" w:color="auto" w:fill="FFFFFF"/>
        </w:rPr>
      </w:pPr>
      <w:r>
        <w:rPr>
          <w:rFonts w:hint="default" w:ascii="Times New Roman" w:hAnsi="Times New Roman" w:cs="Times New Roman"/>
          <w:szCs w:val="32"/>
        </w:rPr>
        <w:t>为全面贯彻党的二十大和</w:t>
      </w:r>
      <w:r>
        <w:rPr>
          <w:rFonts w:hint="eastAsia" w:cs="Times New Roman"/>
          <w:szCs w:val="32"/>
          <w:lang w:eastAsia="zh-CN"/>
        </w:rPr>
        <w:t>习近平总书记</w:t>
      </w:r>
      <w:r>
        <w:rPr>
          <w:rFonts w:hint="default" w:ascii="Times New Roman" w:hAnsi="Times New Roman" w:cs="Times New Roman"/>
          <w:szCs w:val="32"/>
        </w:rPr>
        <w:t>来川视察重要指示精神，省第十二次党代会、省委第十二次二届全会精神，认真落实中央省委农村工作会议新部署新要求，提升农业综合生产能力，</w:t>
      </w:r>
      <w:r>
        <w:rPr>
          <w:rFonts w:hint="default" w:ascii="Times New Roman" w:hAnsi="Times New Roman" w:cs="Times New Roman"/>
          <w:szCs w:val="32"/>
          <w:lang w:val="en-US" w:eastAsia="zh-CN"/>
        </w:rPr>
        <w:t>保障国家粮食安全，德阳市罗江区</w:t>
      </w:r>
      <w:r>
        <w:rPr>
          <w:rFonts w:hint="default" w:ascii="Times New Roman" w:hAnsi="Times New Roman" w:cs="Times New Roman"/>
          <w:szCs w:val="32"/>
        </w:rPr>
        <w:t>农业农村局积极响应中央和省市政府政策要求，</w:t>
      </w:r>
      <w:r>
        <w:rPr>
          <w:rFonts w:hint="default" w:ascii="Times New Roman" w:hAnsi="Times New Roman" w:cs="Times New Roman"/>
          <w:color w:val="000000"/>
          <w:szCs w:val="32"/>
          <w:shd w:val="clear" w:color="auto" w:fill="FFFFFF"/>
        </w:rPr>
        <w:t>编制了《</w:t>
      </w:r>
      <w:r>
        <w:rPr>
          <w:rFonts w:hint="default" w:ascii="Times New Roman" w:hAnsi="Times New Roman" w:cs="Times New Roman"/>
          <w:szCs w:val="32"/>
          <w:lang w:val="en-US" w:eastAsia="zh-CN"/>
        </w:rPr>
        <w:t>德阳市罗江区2023年高标准农田改造提升</w:t>
      </w:r>
      <w:r>
        <w:rPr>
          <w:rFonts w:hint="default" w:ascii="Times New Roman" w:hAnsi="Times New Roman" w:cs="Times New Roman"/>
          <w:szCs w:val="32"/>
        </w:rPr>
        <w:t>项目</w:t>
      </w:r>
      <w:r>
        <w:rPr>
          <w:rFonts w:hint="default" w:ascii="Times New Roman" w:hAnsi="Times New Roman" w:cs="Times New Roman"/>
          <w:color w:val="000000"/>
          <w:szCs w:val="32"/>
          <w:shd w:val="clear" w:color="auto" w:fill="FFFFFF"/>
        </w:rPr>
        <w:t>实施方案》。</w:t>
      </w:r>
    </w:p>
    <w:p w14:paraId="3E1177CE">
      <w:pPr>
        <w:spacing w:line="560" w:lineRule="exact"/>
        <w:ind w:firstLine="640"/>
        <w:rPr>
          <w:rFonts w:hint="default" w:ascii="Times New Roman" w:hAnsi="Times New Roman" w:cs="Times New Roman"/>
          <w:color w:val="000000"/>
          <w:szCs w:val="32"/>
          <w:shd w:val="clear" w:color="auto" w:fill="FFFFFF"/>
        </w:rPr>
      </w:pPr>
      <w:r>
        <w:rPr>
          <w:rFonts w:hint="default" w:ascii="Times New Roman" w:hAnsi="Times New Roman" w:cs="Times New Roman"/>
          <w:color w:val="000000"/>
          <w:szCs w:val="32"/>
          <w:shd w:val="clear" w:color="auto" w:fill="FFFFFF"/>
        </w:rPr>
        <w:t>根据《</w:t>
      </w:r>
      <w:r>
        <w:rPr>
          <w:rFonts w:hint="default" w:ascii="Times New Roman" w:hAnsi="Times New Roman" w:cs="Times New Roman"/>
          <w:color w:val="000000"/>
          <w:szCs w:val="32"/>
          <w:shd w:val="clear" w:color="auto" w:fill="FFFFFF"/>
          <w:lang w:val="en-US" w:eastAsia="zh-CN"/>
        </w:rPr>
        <w:t>德阳市罗江区2023年高标准农田改造提升</w:t>
      </w:r>
      <w:r>
        <w:rPr>
          <w:rFonts w:hint="default" w:ascii="Times New Roman" w:hAnsi="Times New Roman" w:cs="Times New Roman"/>
          <w:color w:val="000000"/>
          <w:szCs w:val="32"/>
          <w:shd w:val="clear" w:color="auto" w:fill="FFFFFF"/>
        </w:rPr>
        <w:t>项目实施方案实施方案的批复》（</w:t>
      </w:r>
      <w:r>
        <w:rPr>
          <w:rFonts w:hint="default" w:ascii="Times New Roman" w:hAnsi="Times New Roman" w:cs="Times New Roman"/>
          <w:color w:val="000000"/>
          <w:szCs w:val="32"/>
          <w:shd w:val="clear" w:color="auto" w:fill="FFFFFF"/>
          <w:lang w:val="en-US" w:eastAsia="zh-CN"/>
        </w:rPr>
        <w:t>德农农建</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9</w:t>
      </w:r>
      <w:r>
        <w:rPr>
          <w:rFonts w:hint="default" w:ascii="Times New Roman" w:hAnsi="Times New Roman" w:cs="Times New Roman"/>
          <w:color w:val="000000"/>
          <w:szCs w:val="32"/>
          <w:shd w:val="clear" w:color="auto" w:fill="FFFFFF"/>
        </w:rPr>
        <w:t>号），</w:t>
      </w:r>
      <w:r>
        <w:rPr>
          <w:rFonts w:hint="default" w:ascii="Times New Roman" w:hAnsi="Times New Roman" w:cs="Times New Roman"/>
          <w:szCs w:val="32"/>
          <w:lang w:val="en-US" w:eastAsia="zh-CN"/>
        </w:rPr>
        <w:t>德阳市罗江区农业农村局</w:t>
      </w:r>
      <w:r>
        <w:rPr>
          <w:rFonts w:hint="default" w:ascii="Times New Roman" w:hAnsi="Times New Roman" w:cs="Times New Roman"/>
          <w:szCs w:val="32"/>
        </w:rPr>
        <w:t>主管实施的“202</w:t>
      </w:r>
      <w:r>
        <w:rPr>
          <w:rFonts w:hint="default" w:ascii="Times New Roman" w:hAnsi="Times New Roman" w:cs="Times New Roman"/>
          <w:szCs w:val="32"/>
          <w:lang w:val="en-US" w:eastAsia="zh-CN"/>
        </w:rPr>
        <w:t>3</w:t>
      </w:r>
      <w:r>
        <w:rPr>
          <w:rFonts w:hint="default" w:ascii="Times New Roman" w:hAnsi="Times New Roman" w:cs="Times New Roman"/>
          <w:szCs w:val="32"/>
        </w:rPr>
        <w:t>年高标准农田</w:t>
      </w:r>
      <w:r>
        <w:rPr>
          <w:rFonts w:hint="default" w:ascii="Times New Roman" w:hAnsi="Times New Roman" w:cs="Times New Roman"/>
          <w:szCs w:val="32"/>
          <w:lang w:val="en-US" w:eastAsia="zh-CN"/>
        </w:rPr>
        <w:t>建设</w:t>
      </w:r>
      <w:r>
        <w:rPr>
          <w:rFonts w:hint="default" w:ascii="Times New Roman" w:hAnsi="Times New Roman" w:cs="Times New Roman"/>
          <w:szCs w:val="32"/>
        </w:rPr>
        <w:t>项</w:t>
      </w:r>
      <w:bookmarkStart w:id="124" w:name="_GoBack"/>
      <w:bookmarkEnd w:id="124"/>
      <w:r>
        <w:rPr>
          <w:rFonts w:hint="default" w:ascii="Times New Roman" w:hAnsi="Times New Roman" w:cs="Times New Roman"/>
          <w:szCs w:val="32"/>
        </w:rPr>
        <w:t>目”成为持续推进</w:t>
      </w:r>
      <w:r>
        <w:rPr>
          <w:rFonts w:hint="default" w:ascii="Times New Roman" w:hAnsi="Times New Roman" w:cs="Times New Roman"/>
          <w:szCs w:val="32"/>
          <w:lang w:val="en-US" w:eastAsia="zh-CN"/>
        </w:rPr>
        <w:t>四川</w:t>
      </w:r>
      <w:r>
        <w:rPr>
          <w:rFonts w:hint="default" w:ascii="Times New Roman" w:hAnsi="Times New Roman" w:cs="Times New Roman"/>
          <w:szCs w:val="32"/>
        </w:rPr>
        <w:t>省高标准农田建设、支撑粮食和重要农产品生产能力提升的重要任务之一。</w:t>
      </w:r>
    </w:p>
    <w:p w14:paraId="0F70074B">
      <w:pPr>
        <w:spacing w:line="560" w:lineRule="exact"/>
        <w:ind w:firstLine="643"/>
        <w:outlineLvl w:val="1"/>
        <w:rPr>
          <w:rFonts w:hint="default" w:ascii="Times New Roman" w:hAnsi="Times New Roman" w:eastAsia="楷体" w:cs="Times New Roman"/>
          <w:b/>
          <w:bCs/>
          <w:szCs w:val="22"/>
          <w:highlight w:val="none"/>
        </w:rPr>
      </w:pPr>
      <w:bookmarkStart w:id="34" w:name="_Toc20050"/>
      <w:r>
        <w:rPr>
          <w:rFonts w:hint="default" w:ascii="Times New Roman" w:hAnsi="Times New Roman" w:eastAsia="楷体" w:cs="Times New Roman"/>
          <w:b/>
          <w:bCs/>
          <w:szCs w:val="22"/>
          <w:highlight w:val="none"/>
        </w:rPr>
        <w:t>（二）项目概况</w:t>
      </w:r>
      <w:bookmarkEnd w:id="27"/>
      <w:bookmarkEnd w:id="28"/>
      <w:bookmarkEnd w:id="34"/>
    </w:p>
    <w:p w14:paraId="1E00C156">
      <w:pPr>
        <w:spacing w:line="560" w:lineRule="exact"/>
        <w:ind w:firstLine="640"/>
        <w:rPr>
          <w:rFonts w:hint="default" w:ascii="Times New Roman" w:hAnsi="Times New Roman" w:eastAsia="仿宋" w:cs="Times New Roman"/>
          <w:szCs w:val="32"/>
          <w:highlight w:val="yellow"/>
          <w:lang w:eastAsia="zh-CN"/>
        </w:rPr>
      </w:pPr>
      <w:r>
        <w:rPr>
          <w:rFonts w:hint="default" w:ascii="Times New Roman" w:hAnsi="Times New Roman" w:cs="Times New Roman"/>
          <w:szCs w:val="32"/>
          <w:lang w:val="en-US" w:eastAsia="zh-CN"/>
        </w:rPr>
        <w:t>罗江</w:t>
      </w:r>
      <w:r>
        <w:rPr>
          <w:rFonts w:hint="default" w:ascii="Times New Roman" w:hAnsi="Times New Roman" w:cs="Times New Roman"/>
          <w:szCs w:val="32"/>
        </w:rPr>
        <w:t>区202</w:t>
      </w:r>
      <w:r>
        <w:rPr>
          <w:rFonts w:hint="default" w:ascii="Times New Roman" w:hAnsi="Times New Roman" w:cs="Times New Roman"/>
          <w:szCs w:val="32"/>
          <w:lang w:val="en-US" w:eastAsia="zh-CN"/>
        </w:rPr>
        <w:t>3</w:t>
      </w:r>
      <w:r>
        <w:rPr>
          <w:rFonts w:hint="default" w:ascii="Times New Roman" w:hAnsi="Times New Roman" w:cs="Times New Roman"/>
          <w:szCs w:val="32"/>
        </w:rPr>
        <w:t>年高标准农田建设项目计划对</w:t>
      </w:r>
      <w:r>
        <w:rPr>
          <w:rFonts w:hint="default" w:ascii="Times New Roman" w:hAnsi="Times New Roman" w:cs="Times New Roman"/>
          <w:szCs w:val="32"/>
          <w:lang w:val="en-US" w:eastAsia="zh-CN"/>
        </w:rPr>
        <w:t>新盛镇金龙村、罗汉村、老君村；金山镇矛庵堂村，</w:t>
      </w:r>
      <w:r>
        <w:rPr>
          <w:rFonts w:hint="default" w:ascii="Times New Roman" w:hAnsi="Times New Roman" w:cs="Times New Roman"/>
          <w:szCs w:val="32"/>
        </w:rPr>
        <w:t>共</w:t>
      </w:r>
      <w:r>
        <w:rPr>
          <w:rFonts w:hint="default" w:ascii="Times New Roman" w:hAnsi="Times New Roman" w:cs="Times New Roman"/>
          <w:szCs w:val="32"/>
          <w:lang w:val="en-US" w:eastAsia="zh-CN"/>
        </w:rPr>
        <w:t>计2个镇4个</w:t>
      </w:r>
      <w:r>
        <w:rPr>
          <w:rFonts w:hint="default" w:ascii="Times New Roman" w:hAnsi="Times New Roman" w:cs="Times New Roman"/>
          <w:szCs w:val="32"/>
        </w:rPr>
        <w:t>村规划建设</w:t>
      </w:r>
      <w:r>
        <w:rPr>
          <w:rFonts w:hint="default" w:ascii="Times New Roman" w:hAnsi="Times New Roman" w:cs="Times New Roman"/>
          <w:szCs w:val="32"/>
          <w:highlight w:val="none"/>
          <w:lang w:val="en-US" w:eastAsia="zh-CN"/>
        </w:rPr>
        <w:t>0.9万</w:t>
      </w:r>
      <w:r>
        <w:rPr>
          <w:rFonts w:hint="default" w:ascii="Times New Roman" w:hAnsi="Times New Roman" w:cs="Times New Roman"/>
          <w:szCs w:val="32"/>
          <w:highlight w:val="none"/>
        </w:rPr>
        <w:t>亩高标准农田</w:t>
      </w:r>
      <w:r>
        <w:rPr>
          <w:rFonts w:hint="default" w:ascii="Times New Roman" w:hAnsi="Times New Roman" w:cs="Times New Roman"/>
          <w:szCs w:val="32"/>
          <w:highlight w:val="none"/>
          <w:lang w:eastAsia="zh-CN"/>
        </w:rPr>
        <w:t>。</w:t>
      </w:r>
      <w:r>
        <w:rPr>
          <w:rFonts w:hint="default" w:ascii="Times New Roman" w:hAnsi="Times New Roman" w:cs="Times New Roman"/>
          <w:szCs w:val="32"/>
          <w:highlight w:val="none"/>
          <w:lang w:val="en-US" w:eastAsia="zh-CN"/>
        </w:rPr>
        <w:t>2023年7月31日，省级</w:t>
      </w:r>
      <w:r>
        <w:rPr>
          <w:rFonts w:hint="default" w:ascii="Times New Roman" w:hAnsi="Times New Roman" w:cs="Times New Roman"/>
          <w:szCs w:val="32"/>
          <w:highlight w:val="none"/>
        </w:rPr>
        <w:t>下达高标准农田</w:t>
      </w:r>
      <w:r>
        <w:rPr>
          <w:rFonts w:hint="default" w:ascii="Times New Roman" w:hAnsi="Times New Roman" w:cs="Times New Roman"/>
          <w:szCs w:val="32"/>
          <w:highlight w:val="none"/>
          <w:lang w:eastAsia="zh-CN"/>
        </w:rPr>
        <w:t>改造提升</w:t>
      </w:r>
      <w:r>
        <w:rPr>
          <w:rFonts w:hint="default" w:ascii="Times New Roman" w:hAnsi="Times New Roman" w:cs="Times New Roman"/>
          <w:szCs w:val="32"/>
          <w:highlight w:val="none"/>
        </w:rPr>
        <w:t>建设任务0.7万亩，</w:t>
      </w:r>
      <w:r>
        <w:rPr>
          <w:rFonts w:hint="default" w:ascii="Times New Roman" w:hAnsi="Times New Roman" w:cs="Times New Roman"/>
          <w:szCs w:val="32"/>
          <w:highlight w:val="none"/>
          <w:lang w:val="en-US" w:eastAsia="zh-CN"/>
        </w:rPr>
        <w:t>农业农村局实际完成0.75万亩高标准农田建设，</w:t>
      </w:r>
      <w:r>
        <w:rPr>
          <w:rFonts w:hint="default" w:ascii="Times New Roman" w:hAnsi="Times New Roman" w:cs="Times New Roman"/>
          <w:szCs w:val="32"/>
          <w:highlight w:val="none"/>
        </w:rPr>
        <w:t>其中：新盛镇罗汉村2</w:t>
      </w:r>
      <w:r>
        <w:rPr>
          <w:rFonts w:hint="default" w:ascii="Times New Roman" w:hAnsi="Times New Roman" w:cs="Times New Roman"/>
          <w:szCs w:val="32"/>
          <w:highlight w:val="none"/>
          <w:lang w:val="en-US" w:eastAsia="zh-CN"/>
        </w:rPr>
        <w:t>.</w:t>
      </w:r>
      <w:r>
        <w:rPr>
          <w:rFonts w:hint="default" w:ascii="Times New Roman" w:hAnsi="Times New Roman" w:cs="Times New Roman"/>
          <w:szCs w:val="32"/>
          <w:highlight w:val="none"/>
        </w:rPr>
        <w:t>8</w:t>
      </w:r>
      <w:r>
        <w:rPr>
          <w:rFonts w:hint="default" w:ascii="Times New Roman" w:hAnsi="Times New Roman" w:cs="Times New Roman"/>
          <w:szCs w:val="32"/>
          <w:highlight w:val="none"/>
          <w:lang w:val="en-US" w:eastAsia="zh-CN"/>
        </w:rPr>
        <w:t>万</w:t>
      </w:r>
      <w:r>
        <w:rPr>
          <w:rFonts w:hint="default" w:ascii="Times New Roman" w:hAnsi="Times New Roman" w:cs="Times New Roman"/>
          <w:szCs w:val="32"/>
          <w:highlight w:val="none"/>
        </w:rPr>
        <w:t>亩，金龙村3</w:t>
      </w:r>
      <w:r>
        <w:rPr>
          <w:rFonts w:hint="default" w:ascii="Times New Roman" w:hAnsi="Times New Roman" w:cs="Times New Roman"/>
          <w:szCs w:val="32"/>
          <w:highlight w:val="none"/>
          <w:lang w:val="en-US" w:eastAsia="zh-CN"/>
        </w:rPr>
        <w:t>万</w:t>
      </w:r>
      <w:r>
        <w:rPr>
          <w:rFonts w:hint="default" w:ascii="Times New Roman" w:hAnsi="Times New Roman" w:cs="Times New Roman"/>
          <w:szCs w:val="32"/>
          <w:highlight w:val="none"/>
        </w:rPr>
        <w:t>亩，老君村1</w:t>
      </w:r>
      <w:r>
        <w:rPr>
          <w:rFonts w:hint="default" w:ascii="Times New Roman" w:hAnsi="Times New Roman" w:cs="Times New Roman"/>
          <w:szCs w:val="32"/>
          <w:highlight w:val="none"/>
          <w:lang w:val="en-US" w:eastAsia="zh-CN"/>
        </w:rPr>
        <w:t>.</w:t>
      </w:r>
      <w:r>
        <w:rPr>
          <w:rFonts w:hint="default" w:ascii="Times New Roman" w:hAnsi="Times New Roman" w:cs="Times New Roman"/>
          <w:szCs w:val="32"/>
          <w:highlight w:val="none"/>
        </w:rPr>
        <w:t>2</w:t>
      </w:r>
      <w:r>
        <w:rPr>
          <w:rFonts w:hint="default" w:ascii="Times New Roman" w:hAnsi="Times New Roman" w:cs="Times New Roman"/>
          <w:szCs w:val="32"/>
          <w:highlight w:val="none"/>
          <w:lang w:val="en-US" w:eastAsia="zh-CN"/>
        </w:rPr>
        <w:t>万</w:t>
      </w:r>
      <w:r>
        <w:rPr>
          <w:rFonts w:hint="default" w:ascii="Times New Roman" w:hAnsi="Times New Roman" w:cs="Times New Roman"/>
          <w:szCs w:val="32"/>
          <w:highlight w:val="none"/>
        </w:rPr>
        <w:t>亩</w:t>
      </w:r>
      <w:r>
        <w:rPr>
          <w:rFonts w:hint="default" w:ascii="Times New Roman" w:hAnsi="Times New Roman" w:cs="Times New Roman"/>
          <w:szCs w:val="32"/>
          <w:highlight w:val="none"/>
          <w:lang w:eastAsia="zh-CN"/>
        </w:rPr>
        <w:t>，</w:t>
      </w:r>
      <w:r>
        <w:rPr>
          <w:rFonts w:hint="default" w:ascii="Times New Roman" w:hAnsi="Times New Roman" w:cs="Times New Roman"/>
          <w:szCs w:val="32"/>
          <w:highlight w:val="none"/>
        </w:rPr>
        <w:t>自筹资金建设金山镇茅庵堂村</w:t>
      </w:r>
      <w:r>
        <w:rPr>
          <w:rFonts w:hint="default" w:ascii="Times New Roman" w:hAnsi="Times New Roman" w:cs="Times New Roman"/>
          <w:szCs w:val="32"/>
          <w:highlight w:val="none"/>
          <w:lang w:val="en-US" w:eastAsia="zh-CN"/>
        </w:rPr>
        <w:t>0.5万</w:t>
      </w:r>
      <w:r>
        <w:rPr>
          <w:rFonts w:hint="default" w:ascii="Times New Roman" w:hAnsi="Times New Roman" w:cs="Times New Roman"/>
          <w:szCs w:val="32"/>
          <w:highlight w:val="none"/>
        </w:rPr>
        <w:t>亩</w:t>
      </w:r>
      <w:r>
        <w:rPr>
          <w:rFonts w:hint="default" w:ascii="Times New Roman" w:hAnsi="Times New Roman" w:cs="Times New Roman"/>
          <w:szCs w:val="32"/>
          <w:highlight w:val="none"/>
          <w:lang w:eastAsia="zh-CN"/>
        </w:rPr>
        <w:t>。</w:t>
      </w:r>
    </w:p>
    <w:p w14:paraId="6EBFA38A">
      <w:pPr>
        <w:spacing w:line="560" w:lineRule="exact"/>
        <w:ind w:firstLine="640"/>
        <w:rPr>
          <w:rFonts w:hint="default" w:ascii="Times New Roman" w:hAnsi="Times New Roman" w:cs="Times New Roman"/>
          <w:szCs w:val="32"/>
        </w:rPr>
      </w:pPr>
      <w:r>
        <w:rPr>
          <w:rFonts w:hint="default" w:ascii="Times New Roman" w:hAnsi="Times New Roman" w:cs="Times New Roman"/>
          <w:szCs w:val="32"/>
          <w:highlight w:val="none"/>
          <w:lang w:val="en-US" w:eastAsia="zh-CN"/>
        </w:rPr>
        <w:t>建设期限为2023年9月-12月</w:t>
      </w:r>
      <w:r>
        <w:rPr>
          <w:rFonts w:hint="default" w:ascii="Times New Roman" w:hAnsi="Times New Roman" w:cs="Times New Roman"/>
          <w:szCs w:val="32"/>
          <w:highlight w:val="none"/>
        </w:rPr>
        <w:t>，</w:t>
      </w:r>
      <w:r>
        <w:rPr>
          <w:rFonts w:hint="default" w:ascii="Times New Roman" w:hAnsi="Times New Roman" w:cs="Times New Roman"/>
          <w:szCs w:val="32"/>
        </w:rPr>
        <w:t>建设内容包括</w:t>
      </w:r>
      <w:r>
        <w:rPr>
          <w:rFonts w:hint="default" w:ascii="Times New Roman" w:hAnsi="Times New Roman" w:cs="Times New Roman"/>
          <w:szCs w:val="32"/>
          <w:lang w:val="en-US" w:eastAsia="zh-CN"/>
        </w:rPr>
        <w:t>土地平整、</w:t>
      </w:r>
      <w:r>
        <w:rPr>
          <w:rFonts w:hint="default" w:ascii="Times New Roman" w:hAnsi="Times New Roman" w:cs="Times New Roman"/>
          <w:szCs w:val="32"/>
        </w:rPr>
        <w:t>土壤改良、灌溉</w:t>
      </w:r>
      <w:r>
        <w:rPr>
          <w:rFonts w:hint="default" w:ascii="Times New Roman" w:hAnsi="Times New Roman" w:cs="Times New Roman"/>
          <w:szCs w:val="32"/>
          <w:lang w:val="en-US" w:eastAsia="zh-CN"/>
        </w:rPr>
        <w:t>和</w:t>
      </w:r>
      <w:r>
        <w:rPr>
          <w:rFonts w:hint="default" w:ascii="Times New Roman" w:hAnsi="Times New Roman" w:cs="Times New Roman"/>
          <w:szCs w:val="32"/>
        </w:rPr>
        <w:t>排水、田间道路建设、科技推广等。具体实施内容见下表。</w:t>
      </w:r>
    </w:p>
    <w:p w14:paraId="29F4FFD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楷体" w:cs="Times New Roman"/>
          <w:b/>
          <w:bCs/>
          <w:color w:val="auto"/>
          <w:sz w:val="30"/>
          <w:szCs w:val="30"/>
          <w:lang w:val="en-US" w:eastAsia="zh-CN"/>
        </w:rPr>
      </w:pPr>
      <w:bookmarkStart w:id="35" w:name="OLE_LINK4"/>
      <w:r>
        <w:rPr>
          <w:rFonts w:hint="default" w:ascii="Times New Roman" w:hAnsi="Times New Roman" w:eastAsia="楷体" w:cs="Times New Roman"/>
          <w:b/>
          <w:bCs/>
          <w:color w:val="auto"/>
          <w:sz w:val="30"/>
          <w:szCs w:val="30"/>
          <w:lang w:val="en-US" w:eastAsia="zh-CN"/>
        </w:rPr>
        <w:t>表1-1：项目建设内容明细表</w:t>
      </w:r>
    </w:p>
    <w:tbl>
      <w:tblPr>
        <w:tblStyle w:val="29"/>
        <w:tblW w:w="499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shd w:val="clear" w:color="auto" w:fill="auto"/>
        <w:tblLayout w:type="autofit"/>
        <w:tblCellMar>
          <w:top w:w="0" w:type="dxa"/>
          <w:left w:w="108" w:type="dxa"/>
          <w:bottom w:w="0" w:type="dxa"/>
          <w:right w:w="108" w:type="dxa"/>
        </w:tblCellMar>
      </w:tblPr>
      <w:tblGrid>
        <w:gridCol w:w="3078"/>
        <w:gridCol w:w="5980"/>
      </w:tblGrid>
      <w:tr w14:paraId="0EE40B1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shd w:val="clear" w:color="auto" w:fill="auto"/>
          <w:tblCellMar>
            <w:top w:w="0" w:type="dxa"/>
            <w:left w:w="108" w:type="dxa"/>
            <w:bottom w:w="0" w:type="dxa"/>
            <w:right w:w="108" w:type="dxa"/>
          </w:tblCellMar>
        </w:tblPrEx>
        <w:trPr>
          <w:trHeight w:val="324" w:hRule="atLeast"/>
          <w:jc w:val="center"/>
        </w:trPr>
        <w:tc>
          <w:tcPr>
            <w:tcW w:w="1699" w:type="pct"/>
            <w:tcBorders>
              <w:tl2br w:val="nil"/>
              <w:tr2bl w:val="nil"/>
            </w:tcBorders>
            <w:shd w:val="clear" w:color="auto" w:fill="auto"/>
            <w:noWrap/>
            <w:vAlign w:val="center"/>
          </w:tcPr>
          <w:p w14:paraId="3C0F5551">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sz w:val="24"/>
                <w:szCs w:val="24"/>
                <w:u w:val="none"/>
              </w:rPr>
            </w:pPr>
            <w:bookmarkStart w:id="36" w:name="OLE_LINK8" w:colFirst="0" w:colLast="1"/>
            <w:bookmarkStart w:id="37" w:name="OLE_LINK7" w:colFirst="0" w:colLast="0"/>
            <w:bookmarkStart w:id="38" w:name="OLE_LINK9" w:colFirst="0" w:colLast="1"/>
            <w:r>
              <w:rPr>
                <w:rFonts w:hint="default" w:ascii="Times New Roman" w:hAnsi="Times New Roman" w:eastAsia="仿宋" w:cs="Times New Roman"/>
                <w:i w:val="0"/>
                <w:iCs w:val="0"/>
                <w:color w:val="000000"/>
                <w:kern w:val="0"/>
                <w:sz w:val="24"/>
                <w:szCs w:val="24"/>
                <w:u w:val="none"/>
                <w:lang w:val="en-US" w:eastAsia="zh-CN" w:bidi="ar"/>
              </w:rPr>
              <w:t>建设项目</w:t>
            </w:r>
          </w:p>
        </w:tc>
        <w:tc>
          <w:tcPr>
            <w:tcW w:w="3300" w:type="pct"/>
            <w:tcBorders>
              <w:tl2br w:val="nil"/>
              <w:tr2bl w:val="nil"/>
            </w:tcBorders>
            <w:shd w:val="clear" w:color="auto" w:fill="auto"/>
            <w:noWrap/>
            <w:vAlign w:val="center"/>
          </w:tcPr>
          <w:p w14:paraId="26740308">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建设内容</w:t>
            </w:r>
          </w:p>
        </w:tc>
      </w:tr>
      <w:bookmarkEnd w:id="36"/>
      <w:tr w14:paraId="18ADA7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56" w:hRule="atLeast"/>
          <w:jc w:val="center"/>
        </w:trPr>
        <w:tc>
          <w:tcPr>
            <w:tcW w:w="1699" w:type="pct"/>
            <w:tcBorders>
              <w:tl2br w:val="nil"/>
              <w:tr2bl w:val="nil"/>
            </w:tcBorders>
            <w:shd w:val="clear" w:color="auto" w:fill="auto"/>
            <w:noWrap/>
            <w:vAlign w:val="center"/>
          </w:tcPr>
          <w:p w14:paraId="33BDF62F">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kern w:val="0"/>
                <w:sz w:val="24"/>
                <w:szCs w:val="24"/>
                <w:u w:val="none"/>
                <w:lang w:val="en-US" w:eastAsia="zh-CN" w:bidi="ar"/>
              </w:rPr>
            </w:pPr>
            <w:bookmarkStart w:id="39" w:name="OLE_LINK10" w:colFirst="0" w:colLast="0"/>
            <w:r>
              <w:rPr>
                <w:rFonts w:hint="default" w:ascii="Times New Roman" w:hAnsi="Times New Roman" w:eastAsia="仿宋" w:cs="Times New Roman"/>
                <w:i w:val="0"/>
                <w:iCs w:val="0"/>
                <w:color w:val="000000"/>
                <w:kern w:val="0"/>
                <w:sz w:val="24"/>
                <w:szCs w:val="24"/>
                <w:u w:val="none"/>
                <w:lang w:val="en-US" w:eastAsia="zh-CN" w:bidi="ar"/>
              </w:rPr>
              <w:t>1.田块整治</w:t>
            </w:r>
          </w:p>
        </w:tc>
        <w:tc>
          <w:tcPr>
            <w:tcW w:w="3300" w:type="pct"/>
            <w:tcBorders>
              <w:tl2br w:val="nil"/>
              <w:tr2bl w:val="nil"/>
            </w:tcBorders>
            <w:shd w:val="clear" w:color="auto" w:fill="auto"/>
            <w:noWrap/>
            <w:vAlign w:val="center"/>
          </w:tcPr>
          <w:p w14:paraId="3B72CB4D">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实施田型调整面积906.14亩</w:t>
            </w:r>
          </w:p>
        </w:tc>
      </w:tr>
      <w:tr w14:paraId="19D3CF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7" w:hRule="atLeast"/>
          <w:jc w:val="center"/>
        </w:trPr>
        <w:tc>
          <w:tcPr>
            <w:tcW w:w="1699" w:type="pct"/>
            <w:tcBorders>
              <w:tl2br w:val="nil"/>
              <w:tr2bl w:val="nil"/>
            </w:tcBorders>
            <w:shd w:val="clear" w:color="auto" w:fill="auto"/>
            <w:noWrap/>
            <w:vAlign w:val="center"/>
          </w:tcPr>
          <w:p w14:paraId="5BB52299">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2.土壤改良</w:t>
            </w:r>
          </w:p>
        </w:tc>
        <w:tc>
          <w:tcPr>
            <w:tcW w:w="3300" w:type="pct"/>
            <w:tcBorders>
              <w:tl2br w:val="nil"/>
              <w:tr2bl w:val="nil"/>
            </w:tcBorders>
            <w:shd w:val="clear" w:color="auto" w:fill="auto"/>
            <w:noWrap/>
            <w:vAlign w:val="center"/>
          </w:tcPr>
          <w:p w14:paraId="26327683">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实施地力培肥0.75万亩</w:t>
            </w:r>
          </w:p>
        </w:tc>
      </w:tr>
      <w:tr w14:paraId="5D9805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78" w:hRule="atLeast"/>
          <w:jc w:val="center"/>
        </w:trPr>
        <w:tc>
          <w:tcPr>
            <w:tcW w:w="1699" w:type="pct"/>
            <w:vMerge w:val="restart"/>
            <w:tcBorders>
              <w:tl2br w:val="nil"/>
              <w:tr2bl w:val="nil"/>
            </w:tcBorders>
            <w:shd w:val="clear" w:color="auto" w:fill="auto"/>
            <w:noWrap/>
            <w:vAlign w:val="center"/>
          </w:tcPr>
          <w:p w14:paraId="7BC5F93E">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3</w:t>
            </w:r>
            <w:r>
              <w:rPr>
                <w:rFonts w:hint="default"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仿宋" w:cs="Times New Roman"/>
                <w:i w:val="0"/>
                <w:iCs w:val="0"/>
                <w:color w:val="000000"/>
                <w:kern w:val="0"/>
                <w:sz w:val="24"/>
                <w:szCs w:val="24"/>
                <w:u w:val="none"/>
                <w:lang w:val="en-US" w:eastAsia="zh-CN" w:bidi="ar"/>
              </w:rPr>
              <w:t>灌溉与排水</w:t>
            </w:r>
          </w:p>
        </w:tc>
        <w:tc>
          <w:tcPr>
            <w:tcW w:w="3300" w:type="pct"/>
            <w:tcBorders>
              <w:tl2br w:val="nil"/>
              <w:tr2bl w:val="nil"/>
            </w:tcBorders>
            <w:shd w:val="clear" w:color="auto" w:fill="auto"/>
            <w:noWrap/>
            <w:vAlign w:val="center"/>
          </w:tcPr>
          <w:p w14:paraId="07255551">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建设衬砌渠道30.91km</w:t>
            </w:r>
          </w:p>
        </w:tc>
      </w:tr>
      <w:tr w14:paraId="68AEF0A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3" w:hRule="atLeast"/>
          <w:jc w:val="center"/>
        </w:trPr>
        <w:tc>
          <w:tcPr>
            <w:tcW w:w="1699" w:type="pct"/>
            <w:vMerge w:val="continue"/>
            <w:tcBorders>
              <w:tl2br w:val="nil"/>
              <w:tr2bl w:val="nil"/>
            </w:tcBorders>
            <w:shd w:val="clear" w:color="auto" w:fill="auto"/>
            <w:noWrap/>
            <w:vAlign w:val="center"/>
          </w:tcPr>
          <w:p w14:paraId="319A2E4A">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kern w:val="0"/>
                <w:sz w:val="24"/>
                <w:szCs w:val="24"/>
                <w:u w:val="none"/>
                <w:lang w:val="en-US" w:eastAsia="zh-CN" w:bidi="ar"/>
              </w:rPr>
            </w:pPr>
          </w:p>
        </w:tc>
        <w:tc>
          <w:tcPr>
            <w:tcW w:w="3300" w:type="pct"/>
            <w:tcBorders>
              <w:tl2br w:val="nil"/>
              <w:tr2bl w:val="nil"/>
            </w:tcBorders>
            <w:shd w:val="clear" w:color="auto" w:fill="auto"/>
            <w:noWrap/>
            <w:vAlign w:val="center"/>
          </w:tcPr>
          <w:p w14:paraId="794C9182">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高效节水灌溉0.1万亩</w:t>
            </w:r>
          </w:p>
        </w:tc>
      </w:tr>
      <w:tr w14:paraId="3F3D6B9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78" w:hRule="atLeast"/>
          <w:jc w:val="center"/>
        </w:trPr>
        <w:tc>
          <w:tcPr>
            <w:tcW w:w="1699" w:type="pct"/>
            <w:vMerge w:val="restart"/>
            <w:tcBorders>
              <w:tl2br w:val="nil"/>
              <w:tr2bl w:val="nil"/>
            </w:tcBorders>
            <w:shd w:val="clear" w:color="auto" w:fill="auto"/>
            <w:noWrap/>
            <w:vAlign w:val="center"/>
          </w:tcPr>
          <w:p w14:paraId="651760FD">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4.田间道路</w:t>
            </w:r>
          </w:p>
        </w:tc>
        <w:tc>
          <w:tcPr>
            <w:tcW w:w="3300" w:type="pct"/>
            <w:tcBorders>
              <w:tl2br w:val="nil"/>
              <w:tr2bl w:val="nil"/>
            </w:tcBorders>
            <w:shd w:val="clear" w:color="auto" w:fill="auto"/>
            <w:noWrap/>
            <w:vAlign w:val="center"/>
          </w:tcPr>
          <w:p w14:paraId="748D1B08">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建设机耕道2.23km</w:t>
            </w:r>
          </w:p>
        </w:tc>
      </w:tr>
      <w:bookmarkEnd w:id="37"/>
      <w:bookmarkEnd w:id="39"/>
      <w:tr w14:paraId="0BEBB1C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90" w:hRule="atLeast"/>
          <w:jc w:val="center"/>
        </w:trPr>
        <w:tc>
          <w:tcPr>
            <w:tcW w:w="1699" w:type="pct"/>
            <w:vMerge w:val="continue"/>
            <w:tcBorders>
              <w:tl2br w:val="nil"/>
              <w:tr2bl w:val="nil"/>
            </w:tcBorders>
            <w:shd w:val="clear" w:color="auto" w:fill="auto"/>
            <w:noWrap/>
            <w:vAlign w:val="center"/>
          </w:tcPr>
          <w:p w14:paraId="04FBBE9F">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p>
        </w:tc>
        <w:tc>
          <w:tcPr>
            <w:tcW w:w="3300" w:type="pct"/>
            <w:tcBorders>
              <w:tl2br w:val="nil"/>
              <w:tr2bl w:val="nil"/>
            </w:tcBorders>
            <w:shd w:val="clear" w:color="auto" w:fill="auto"/>
            <w:noWrap/>
            <w:vAlign w:val="center"/>
          </w:tcPr>
          <w:p w14:paraId="7C8DDA85">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建设生产道路8.54km</w:t>
            </w:r>
          </w:p>
        </w:tc>
      </w:tr>
      <w:tr w14:paraId="4C5C99E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1" w:hRule="atLeast"/>
          <w:jc w:val="center"/>
        </w:trPr>
        <w:tc>
          <w:tcPr>
            <w:tcW w:w="1699" w:type="pct"/>
            <w:vMerge w:val="continue"/>
            <w:tcBorders>
              <w:tl2br w:val="nil"/>
              <w:tr2bl w:val="nil"/>
            </w:tcBorders>
            <w:shd w:val="clear" w:color="auto" w:fill="auto"/>
            <w:noWrap/>
            <w:vAlign w:val="center"/>
          </w:tcPr>
          <w:p w14:paraId="597D2033">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p>
        </w:tc>
        <w:tc>
          <w:tcPr>
            <w:tcW w:w="3300" w:type="pct"/>
            <w:tcBorders>
              <w:tl2br w:val="nil"/>
              <w:tr2bl w:val="nil"/>
            </w:tcBorders>
            <w:shd w:val="clear" w:color="auto" w:fill="auto"/>
            <w:noWrap/>
            <w:vAlign w:val="center"/>
          </w:tcPr>
          <w:p w14:paraId="240BE1B3">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default" w:ascii="Times New Roman" w:hAnsi="Times New Roman" w:eastAsia="仿宋" w:cs="Times New Roman"/>
                <w:i w:val="0"/>
                <w:iCs w:val="0"/>
                <w:color w:val="000000"/>
                <w:kern w:val="0"/>
                <w:sz w:val="24"/>
                <w:szCs w:val="24"/>
                <w:u w:val="none"/>
                <w:lang w:val="en-US" w:eastAsia="zh-CN" w:bidi="ar"/>
              </w:rPr>
              <w:t>其他田间道路6.63km</w:t>
            </w:r>
          </w:p>
        </w:tc>
      </w:tr>
      <w:bookmarkEnd w:id="35"/>
      <w:bookmarkEnd w:id="38"/>
    </w:tbl>
    <w:p w14:paraId="7AEC1EF7">
      <w:pPr>
        <w:keepNext w:val="0"/>
        <w:keepLines w:val="0"/>
        <w:pageBreakBefore w:val="0"/>
        <w:widowControl w:val="0"/>
        <w:tabs>
          <w:tab w:val="left" w:pos="861"/>
        </w:tabs>
        <w:kinsoku/>
        <w:wordWrap/>
        <w:overflowPunct/>
        <w:topLinePunct w:val="0"/>
        <w:autoSpaceDE/>
        <w:autoSpaceDN/>
        <w:bidi w:val="0"/>
        <w:adjustRightInd w:val="0"/>
        <w:snapToGrid w:val="0"/>
        <w:spacing w:line="570" w:lineRule="exact"/>
        <w:jc w:val="left"/>
        <w:textAlignment w:val="auto"/>
        <w:rPr>
          <w:rFonts w:hint="default" w:ascii="Times New Roman" w:hAnsi="Times New Roman" w:cs="Times New Roman"/>
          <w:szCs w:val="32"/>
        </w:rPr>
      </w:pPr>
      <w:r>
        <w:rPr>
          <w:rFonts w:hint="default" w:ascii="Times New Roman" w:hAnsi="Times New Roman" w:cs="Times New Roman"/>
          <w:lang w:val="en-US" w:eastAsia="zh-CN"/>
        </w:rPr>
        <w:tab/>
      </w:r>
      <w:r>
        <w:rPr>
          <w:rFonts w:hint="default" w:ascii="Times New Roman" w:hAnsi="Times New Roman" w:cs="Times New Roman"/>
          <w:szCs w:val="32"/>
          <w:lang w:val="en-US" w:eastAsia="zh-CN"/>
        </w:rPr>
        <w:t>罗江区</w:t>
      </w:r>
      <w:r>
        <w:rPr>
          <w:rFonts w:hint="default" w:ascii="Times New Roman" w:hAnsi="Times New Roman" w:cs="Times New Roman"/>
          <w:szCs w:val="32"/>
        </w:rPr>
        <w:t>农业农村局作为</w:t>
      </w:r>
      <w:r>
        <w:rPr>
          <w:rFonts w:hint="default" w:ascii="Times New Roman" w:hAnsi="Times New Roman" w:cs="Times New Roman"/>
          <w:szCs w:val="32"/>
          <w:lang w:val="en-US" w:eastAsia="zh-CN"/>
        </w:rPr>
        <w:t>项目</w:t>
      </w:r>
      <w:r>
        <w:rPr>
          <w:rFonts w:hint="default" w:ascii="Times New Roman" w:hAnsi="Times New Roman" w:cs="Times New Roman"/>
          <w:szCs w:val="32"/>
        </w:rPr>
        <w:t>主管</w:t>
      </w:r>
      <w:r>
        <w:rPr>
          <w:rFonts w:hint="default" w:ascii="Times New Roman" w:hAnsi="Times New Roman" w:cs="Times New Roman"/>
          <w:szCs w:val="32"/>
          <w:lang w:val="en-US" w:eastAsia="zh-CN"/>
        </w:rPr>
        <w:t>部门</w:t>
      </w:r>
      <w:r>
        <w:rPr>
          <w:rFonts w:hint="default" w:ascii="Times New Roman" w:hAnsi="Times New Roman" w:cs="Times New Roman"/>
          <w:szCs w:val="32"/>
        </w:rPr>
        <w:t>，委托</w:t>
      </w:r>
      <w:r>
        <w:rPr>
          <w:rFonts w:hint="default" w:ascii="Times New Roman" w:hAnsi="Times New Roman" w:cs="Times New Roman"/>
          <w:szCs w:val="32"/>
          <w:lang w:val="en-US" w:eastAsia="zh-CN"/>
        </w:rPr>
        <w:t>四川兴泉工程项目管理有限公司</w:t>
      </w:r>
      <w:r>
        <w:rPr>
          <w:rFonts w:hint="default" w:ascii="Times New Roman" w:hAnsi="Times New Roman" w:cs="Times New Roman"/>
          <w:szCs w:val="32"/>
        </w:rPr>
        <w:t>按照相关规定进行公开招标，确定监理、施工和设计单位。项目委托实施方名单如下表所示。</w:t>
      </w:r>
    </w:p>
    <w:p w14:paraId="4841DDDD">
      <w:pPr>
        <w:keepNext w:val="0"/>
        <w:keepLines w:val="0"/>
        <w:pageBreakBefore w:val="0"/>
        <w:widowControl w:val="0"/>
        <w:kinsoku/>
        <w:wordWrap/>
        <w:overflowPunct/>
        <w:topLinePunct w:val="0"/>
        <w:autoSpaceDE/>
        <w:autoSpaceDN/>
        <w:bidi w:val="0"/>
        <w:adjustRightInd w:val="0"/>
        <w:snapToGrid w:val="0"/>
        <w:spacing w:line="240" w:lineRule="atLeast"/>
        <w:ind w:firstLine="0" w:firstLineChars="0"/>
        <w:jc w:val="center"/>
        <w:textAlignment w:val="auto"/>
        <w:rPr>
          <w:rFonts w:hint="default" w:ascii="Times New Roman" w:hAnsi="Times New Roman" w:eastAsia="楷体" w:cs="Times New Roman"/>
          <w:b/>
          <w:bCs/>
          <w:color w:val="auto"/>
          <w:sz w:val="30"/>
          <w:szCs w:val="30"/>
          <w:highlight w:val="none"/>
        </w:rPr>
      </w:pPr>
      <w:r>
        <w:rPr>
          <w:rFonts w:hint="default" w:ascii="Times New Roman" w:hAnsi="Times New Roman" w:eastAsia="楷体" w:cs="Times New Roman"/>
          <w:b/>
          <w:bCs/>
          <w:color w:val="auto"/>
          <w:sz w:val="30"/>
          <w:szCs w:val="30"/>
          <w:highlight w:val="none"/>
        </w:rPr>
        <w:t>表1-2：项目委托实施方名单</w:t>
      </w:r>
    </w:p>
    <w:p w14:paraId="2D0E0BA5">
      <w:pPr>
        <w:pStyle w:val="2"/>
        <w:keepNext w:val="0"/>
        <w:keepLines w:val="0"/>
        <w:pageBreakBefore w:val="0"/>
        <w:widowControl w:val="0"/>
        <w:kinsoku/>
        <w:wordWrap/>
        <w:overflowPunct/>
        <w:topLinePunct w:val="0"/>
        <w:autoSpaceDE/>
        <w:autoSpaceDN/>
        <w:bidi w:val="0"/>
        <w:adjustRightInd w:val="0"/>
        <w:snapToGrid w:val="0"/>
        <w:spacing w:line="240" w:lineRule="atLeast"/>
        <w:jc w:val="right"/>
        <w:textAlignment w:val="auto"/>
        <w:rPr>
          <w:rFonts w:hint="default" w:ascii="Times New Roman" w:hAnsi="Times New Roman" w:eastAsia="楷体" w:cs="Times New Roman"/>
          <w:sz w:val="22"/>
          <w:szCs w:val="20"/>
          <w:highlight w:val="none"/>
          <w:lang w:val="en-US" w:eastAsia="zh-CN"/>
        </w:rPr>
      </w:pPr>
      <w:r>
        <w:rPr>
          <w:rFonts w:hint="default" w:ascii="Times New Roman" w:hAnsi="Times New Roman" w:eastAsia="楷体" w:cs="Times New Roman"/>
          <w:b/>
          <w:bCs/>
          <w:color w:val="auto"/>
          <w:sz w:val="22"/>
          <w:szCs w:val="22"/>
          <w:highlight w:val="none"/>
          <w:lang w:val="en-US" w:eastAsia="zh-CN"/>
        </w:rPr>
        <w:t>单位：万元</w:t>
      </w:r>
    </w:p>
    <w:tbl>
      <w:tblPr>
        <w:tblStyle w:val="29"/>
        <w:tblW w:w="0" w:type="auto"/>
        <w:jc w:val="center"/>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autofit"/>
        <w:tblCellMar>
          <w:top w:w="0" w:type="dxa"/>
          <w:left w:w="108" w:type="dxa"/>
          <w:bottom w:w="0" w:type="dxa"/>
          <w:right w:w="108" w:type="dxa"/>
        </w:tblCellMar>
      </w:tblPr>
      <w:tblGrid>
        <w:gridCol w:w="1336"/>
        <w:gridCol w:w="2606"/>
        <w:gridCol w:w="1143"/>
        <w:gridCol w:w="3975"/>
      </w:tblGrid>
      <w:tr w14:paraId="5DC1495B">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73" w:hRule="atLeast"/>
          <w:tblHeader/>
          <w:jc w:val="center"/>
        </w:trPr>
        <w:tc>
          <w:tcPr>
            <w:tcW w:w="0" w:type="auto"/>
            <w:tcBorders>
              <w:tl2br w:val="nil"/>
              <w:tr2bl w:val="nil"/>
            </w:tcBorders>
            <w:shd w:val="clear" w:color="auto" w:fill="auto"/>
            <w:vAlign w:val="center"/>
          </w:tcPr>
          <w:p w14:paraId="68CC9B4F">
            <w:pPr>
              <w:widowControl/>
              <w:spacing w:line="240" w:lineRule="auto"/>
              <w:ind w:firstLine="0" w:firstLineChars="0"/>
              <w:jc w:val="center"/>
              <w:textAlignment w:val="center"/>
              <w:rPr>
                <w:rFonts w:hint="default" w:ascii="Times New Roman" w:hAnsi="Times New Roman" w:cs="Times New Roman"/>
                <w:bCs/>
                <w:color w:val="auto"/>
                <w:kern w:val="0"/>
                <w:sz w:val="24"/>
              </w:rPr>
            </w:pPr>
            <w:r>
              <w:rPr>
                <w:rFonts w:hint="default" w:ascii="Times New Roman" w:hAnsi="Times New Roman" w:cs="Times New Roman"/>
                <w:bCs/>
                <w:color w:val="auto"/>
                <w:kern w:val="0"/>
                <w:sz w:val="24"/>
              </w:rPr>
              <w:t>签订日期</w:t>
            </w:r>
          </w:p>
        </w:tc>
        <w:tc>
          <w:tcPr>
            <w:tcW w:w="0" w:type="auto"/>
            <w:tcBorders>
              <w:tl2br w:val="nil"/>
              <w:tr2bl w:val="nil"/>
            </w:tcBorders>
            <w:shd w:val="clear" w:color="auto" w:fill="auto"/>
            <w:vAlign w:val="center"/>
          </w:tcPr>
          <w:p w14:paraId="0B20ECD0">
            <w:pPr>
              <w:widowControl/>
              <w:spacing w:line="240" w:lineRule="auto"/>
              <w:ind w:firstLine="0" w:firstLineChars="0"/>
              <w:jc w:val="center"/>
              <w:textAlignment w:val="center"/>
              <w:rPr>
                <w:rFonts w:hint="default" w:ascii="Times New Roman" w:hAnsi="Times New Roman" w:cs="Times New Roman"/>
                <w:bCs/>
                <w:color w:val="auto"/>
                <w:kern w:val="0"/>
                <w:sz w:val="24"/>
              </w:rPr>
            </w:pPr>
            <w:r>
              <w:rPr>
                <w:rFonts w:hint="default" w:ascii="Times New Roman" w:hAnsi="Times New Roman" w:cs="Times New Roman"/>
                <w:bCs/>
                <w:color w:val="auto"/>
                <w:kern w:val="0"/>
                <w:sz w:val="24"/>
              </w:rPr>
              <w:t>委托类型</w:t>
            </w:r>
          </w:p>
        </w:tc>
        <w:tc>
          <w:tcPr>
            <w:tcW w:w="0" w:type="auto"/>
            <w:tcBorders>
              <w:tl2br w:val="nil"/>
              <w:tr2bl w:val="nil"/>
            </w:tcBorders>
            <w:shd w:val="clear" w:color="auto" w:fill="auto"/>
            <w:vAlign w:val="center"/>
          </w:tcPr>
          <w:p w14:paraId="2271AA52">
            <w:pPr>
              <w:widowControl/>
              <w:spacing w:line="240" w:lineRule="auto"/>
              <w:ind w:firstLine="0" w:firstLineChars="0"/>
              <w:jc w:val="center"/>
              <w:textAlignment w:val="center"/>
              <w:rPr>
                <w:rFonts w:hint="default" w:ascii="Times New Roman" w:hAnsi="Times New Roman" w:eastAsia="仿宋" w:cs="Times New Roman"/>
                <w:bCs/>
                <w:color w:val="auto"/>
                <w:kern w:val="0"/>
                <w:sz w:val="24"/>
                <w:lang w:val="en-US" w:eastAsia="zh-CN"/>
              </w:rPr>
            </w:pPr>
            <w:r>
              <w:rPr>
                <w:rFonts w:hint="default" w:ascii="Times New Roman" w:hAnsi="Times New Roman" w:cs="Times New Roman"/>
                <w:bCs/>
                <w:color w:val="auto"/>
                <w:kern w:val="0"/>
                <w:sz w:val="24"/>
                <w:lang w:val="en-US" w:eastAsia="zh-CN"/>
              </w:rPr>
              <w:t>合同金额</w:t>
            </w:r>
          </w:p>
        </w:tc>
        <w:tc>
          <w:tcPr>
            <w:tcW w:w="0" w:type="auto"/>
            <w:tcBorders>
              <w:tl2br w:val="nil"/>
              <w:tr2bl w:val="nil"/>
            </w:tcBorders>
            <w:shd w:val="clear" w:color="auto" w:fill="auto"/>
            <w:vAlign w:val="center"/>
          </w:tcPr>
          <w:p w14:paraId="6BCD424D">
            <w:pPr>
              <w:widowControl/>
              <w:spacing w:line="240" w:lineRule="auto"/>
              <w:ind w:firstLine="0" w:firstLineChars="0"/>
              <w:jc w:val="center"/>
              <w:textAlignment w:val="center"/>
              <w:rPr>
                <w:rFonts w:hint="default" w:ascii="Times New Roman" w:hAnsi="Times New Roman" w:cs="Times New Roman"/>
                <w:bCs/>
                <w:color w:val="auto"/>
                <w:kern w:val="0"/>
                <w:sz w:val="24"/>
              </w:rPr>
            </w:pPr>
            <w:r>
              <w:rPr>
                <w:rFonts w:hint="default" w:ascii="Times New Roman" w:hAnsi="Times New Roman" w:cs="Times New Roman"/>
                <w:bCs/>
                <w:color w:val="auto"/>
                <w:kern w:val="0"/>
                <w:sz w:val="24"/>
              </w:rPr>
              <w:t>委托公司</w:t>
            </w:r>
          </w:p>
        </w:tc>
      </w:tr>
      <w:tr w14:paraId="0F6C5FE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73" w:hRule="atLeast"/>
          <w:tblHeader/>
          <w:jc w:val="center"/>
        </w:trPr>
        <w:tc>
          <w:tcPr>
            <w:tcW w:w="0" w:type="auto"/>
            <w:tcBorders>
              <w:tl2br w:val="nil"/>
              <w:tr2bl w:val="nil"/>
            </w:tcBorders>
            <w:shd w:val="clear" w:color="auto" w:fill="auto"/>
            <w:vAlign w:val="center"/>
          </w:tcPr>
          <w:p w14:paraId="763A68D4">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rPr>
              <w:t>202</w:t>
            </w:r>
            <w:r>
              <w:rPr>
                <w:rFonts w:hint="default" w:ascii="Times New Roman" w:hAnsi="Times New Roman" w:cs="Times New Roman"/>
                <w:bCs/>
                <w:color w:val="auto"/>
                <w:kern w:val="0"/>
                <w:sz w:val="24"/>
                <w:lang w:val="en-US" w:eastAsia="zh-CN"/>
              </w:rPr>
              <w:t>3</w:t>
            </w:r>
            <w:r>
              <w:rPr>
                <w:rFonts w:hint="default" w:ascii="Times New Roman" w:hAnsi="Times New Roman" w:cs="Times New Roman"/>
                <w:bCs/>
                <w:color w:val="auto"/>
                <w:kern w:val="0"/>
                <w:sz w:val="24"/>
              </w:rPr>
              <w:t>-</w:t>
            </w:r>
            <w:r>
              <w:rPr>
                <w:rFonts w:hint="default" w:ascii="Times New Roman" w:hAnsi="Times New Roman" w:cs="Times New Roman"/>
                <w:bCs/>
                <w:color w:val="auto"/>
                <w:kern w:val="0"/>
                <w:sz w:val="24"/>
                <w:lang w:val="en-US" w:eastAsia="zh-CN"/>
              </w:rPr>
              <w:t>04</w:t>
            </w:r>
            <w:r>
              <w:rPr>
                <w:rFonts w:hint="default" w:ascii="Times New Roman" w:hAnsi="Times New Roman" w:cs="Times New Roman"/>
                <w:bCs/>
                <w:color w:val="auto"/>
                <w:kern w:val="0"/>
                <w:sz w:val="24"/>
              </w:rPr>
              <w:t>-20</w:t>
            </w:r>
          </w:p>
        </w:tc>
        <w:tc>
          <w:tcPr>
            <w:tcW w:w="0" w:type="auto"/>
            <w:tcBorders>
              <w:tl2br w:val="nil"/>
              <w:tr2bl w:val="nil"/>
            </w:tcBorders>
            <w:shd w:val="clear" w:color="auto" w:fill="auto"/>
            <w:vAlign w:val="center"/>
          </w:tcPr>
          <w:p w14:paraId="50F50BB5">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勘察</w:t>
            </w:r>
            <w:r>
              <w:rPr>
                <w:rFonts w:hint="default" w:ascii="Times New Roman" w:hAnsi="Times New Roman" w:cs="Times New Roman"/>
                <w:bCs/>
                <w:color w:val="auto"/>
                <w:kern w:val="0"/>
                <w:sz w:val="24"/>
              </w:rPr>
              <w:t>设计服务合同</w:t>
            </w:r>
          </w:p>
        </w:tc>
        <w:tc>
          <w:tcPr>
            <w:tcW w:w="0" w:type="auto"/>
            <w:tcBorders>
              <w:tl2br w:val="nil"/>
              <w:tr2bl w:val="nil"/>
            </w:tcBorders>
            <w:shd w:val="clear" w:color="auto" w:fill="auto"/>
            <w:vAlign w:val="center"/>
          </w:tcPr>
          <w:p w14:paraId="51A9AC28">
            <w:pPr>
              <w:widowControl/>
              <w:spacing w:line="240" w:lineRule="auto"/>
              <w:ind w:firstLine="0" w:firstLineChars="0"/>
              <w:jc w:val="center"/>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29.40</w:t>
            </w:r>
          </w:p>
        </w:tc>
        <w:tc>
          <w:tcPr>
            <w:tcW w:w="0" w:type="auto"/>
            <w:tcBorders>
              <w:tl2br w:val="nil"/>
              <w:tr2bl w:val="nil"/>
            </w:tcBorders>
            <w:shd w:val="clear" w:color="auto" w:fill="auto"/>
            <w:vAlign w:val="center"/>
          </w:tcPr>
          <w:p w14:paraId="1937BEDF">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四川兴泉工程项目管理有限公司</w:t>
            </w:r>
          </w:p>
        </w:tc>
      </w:tr>
      <w:tr w14:paraId="10509CCE">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0" w:type="auto"/>
            <w:tcBorders>
              <w:tl2br w:val="nil"/>
              <w:tr2bl w:val="nil"/>
            </w:tcBorders>
            <w:shd w:val="clear" w:color="auto" w:fill="auto"/>
            <w:vAlign w:val="center"/>
          </w:tcPr>
          <w:p w14:paraId="39469821">
            <w:pPr>
              <w:widowControl/>
              <w:spacing w:line="240" w:lineRule="auto"/>
              <w:ind w:firstLine="0" w:firstLineChars="0"/>
              <w:jc w:val="left"/>
              <w:textAlignment w:val="center"/>
              <w:rPr>
                <w:rFonts w:hint="default" w:ascii="Times New Roman" w:hAnsi="Times New Roman" w:cs="Times New Roman"/>
                <w:bCs/>
                <w:color w:val="auto"/>
                <w:kern w:val="0"/>
                <w:sz w:val="24"/>
                <w:highlight w:val="none"/>
              </w:rPr>
            </w:pPr>
            <w:r>
              <w:rPr>
                <w:rFonts w:hint="default" w:ascii="Times New Roman" w:hAnsi="Times New Roman" w:cs="Times New Roman"/>
                <w:bCs/>
                <w:color w:val="auto"/>
                <w:kern w:val="0"/>
                <w:sz w:val="24"/>
                <w:highlight w:val="none"/>
              </w:rPr>
              <w:t>202</w:t>
            </w:r>
            <w:r>
              <w:rPr>
                <w:rFonts w:hint="default" w:ascii="Times New Roman" w:hAnsi="Times New Roman" w:cs="Times New Roman"/>
                <w:bCs/>
                <w:color w:val="auto"/>
                <w:kern w:val="0"/>
                <w:sz w:val="24"/>
                <w:highlight w:val="none"/>
                <w:lang w:val="en-US" w:eastAsia="zh-CN"/>
              </w:rPr>
              <w:t>3</w:t>
            </w:r>
            <w:r>
              <w:rPr>
                <w:rFonts w:hint="default" w:ascii="Times New Roman" w:hAnsi="Times New Roman" w:cs="Times New Roman"/>
                <w:bCs/>
                <w:color w:val="auto"/>
                <w:kern w:val="0"/>
                <w:sz w:val="24"/>
                <w:highlight w:val="none"/>
              </w:rPr>
              <w:t>-</w:t>
            </w:r>
            <w:r>
              <w:rPr>
                <w:rFonts w:hint="default" w:ascii="Times New Roman" w:hAnsi="Times New Roman" w:cs="Times New Roman"/>
                <w:bCs/>
                <w:color w:val="auto"/>
                <w:kern w:val="0"/>
                <w:sz w:val="24"/>
                <w:highlight w:val="none"/>
                <w:lang w:val="en-US" w:eastAsia="zh-CN"/>
              </w:rPr>
              <w:t>08</w:t>
            </w:r>
            <w:r>
              <w:rPr>
                <w:rFonts w:hint="default" w:ascii="Times New Roman" w:hAnsi="Times New Roman" w:cs="Times New Roman"/>
                <w:bCs/>
                <w:color w:val="auto"/>
                <w:kern w:val="0"/>
                <w:sz w:val="24"/>
                <w:highlight w:val="none"/>
              </w:rPr>
              <w:t>-</w:t>
            </w:r>
            <w:r>
              <w:rPr>
                <w:rFonts w:hint="default" w:ascii="Times New Roman" w:hAnsi="Times New Roman" w:cs="Times New Roman"/>
                <w:bCs/>
                <w:color w:val="auto"/>
                <w:kern w:val="0"/>
                <w:sz w:val="24"/>
                <w:highlight w:val="none"/>
                <w:lang w:val="en-US" w:eastAsia="zh-CN"/>
              </w:rPr>
              <w:t>07</w:t>
            </w:r>
          </w:p>
        </w:tc>
        <w:tc>
          <w:tcPr>
            <w:tcW w:w="0" w:type="auto"/>
            <w:tcBorders>
              <w:tl2br w:val="nil"/>
              <w:tr2bl w:val="nil"/>
            </w:tcBorders>
            <w:shd w:val="clear" w:color="auto" w:fill="auto"/>
            <w:vAlign w:val="center"/>
          </w:tcPr>
          <w:p w14:paraId="749C43CD">
            <w:pPr>
              <w:widowControl/>
              <w:spacing w:line="240" w:lineRule="auto"/>
              <w:ind w:firstLine="0" w:firstLineChars="0"/>
              <w:jc w:val="left"/>
              <w:textAlignment w:val="center"/>
              <w:rPr>
                <w:rFonts w:hint="default" w:ascii="Times New Roman" w:hAnsi="Times New Roman" w:eastAsia="仿宋" w:cs="Times New Roman"/>
                <w:bCs/>
                <w:color w:val="auto"/>
                <w:kern w:val="0"/>
                <w:sz w:val="24"/>
                <w:highlight w:val="none"/>
                <w:lang w:val="en-US" w:eastAsia="zh-CN"/>
              </w:rPr>
            </w:pPr>
            <w:r>
              <w:rPr>
                <w:rFonts w:hint="default" w:ascii="Times New Roman" w:hAnsi="Times New Roman" w:cs="Times New Roman"/>
                <w:bCs/>
                <w:color w:val="auto"/>
                <w:kern w:val="0"/>
                <w:sz w:val="24"/>
                <w:highlight w:val="none"/>
              </w:rPr>
              <w:t>政采委托代理</w:t>
            </w:r>
            <w:r>
              <w:rPr>
                <w:rFonts w:hint="default" w:ascii="Times New Roman" w:hAnsi="Times New Roman" w:cs="Times New Roman"/>
                <w:bCs/>
                <w:color w:val="auto"/>
                <w:kern w:val="0"/>
                <w:sz w:val="24"/>
                <w:highlight w:val="none"/>
                <w:lang w:val="en-US" w:eastAsia="zh-CN"/>
              </w:rPr>
              <w:t>合同</w:t>
            </w:r>
          </w:p>
        </w:tc>
        <w:tc>
          <w:tcPr>
            <w:tcW w:w="0" w:type="auto"/>
            <w:tcBorders>
              <w:tl2br w:val="nil"/>
              <w:tr2bl w:val="nil"/>
            </w:tcBorders>
            <w:shd w:val="clear" w:color="auto" w:fill="auto"/>
            <w:vAlign w:val="center"/>
          </w:tcPr>
          <w:p w14:paraId="69825BA8">
            <w:pPr>
              <w:widowControl/>
              <w:spacing w:line="240" w:lineRule="auto"/>
              <w:ind w:firstLine="0" w:firstLineChars="0"/>
              <w:jc w:val="center"/>
              <w:textAlignment w:val="center"/>
              <w:rPr>
                <w:rFonts w:hint="default" w:ascii="Times New Roman" w:hAnsi="Times New Roman" w:cs="Times New Roman"/>
                <w:bCs/>
                <w:color w:val="auto"/>
                <w:kern w:val="0"/>
                <w:sz w:val="24"/>
                <w:highlight w:val="none"/>
                <w:lang w:val="en-US" w:eastAsia="zh-CN"/>
              </w:rPr>
            </w:pPr>
            <w:r>
              <w:rPr>
                <w:rFonts w:hint="default" w:ascii="Times New Roman" w:hAnsi="Times New Roman" w:cs="Times New Roman"/>
                <w:bCs/>
                <w:color w:val="auto"/>
                <w:kern w:val="0"/>
                <w:sz w:val="24"/>
                <w:highlight w:val="none"/>
                <w:lang w:val="en-US" w:eastAsia="zh-CN"/>
              </w:rPr>
              <w:t>-</w:t>
            </w:r>
          </w:p>
        </w:tc>
        <w:tc>
          <w:tcPr>
            <w:tcW w:w="0" w:type="auto"/>
            <w:tcBorders>
              <w:tl2br w:val="nil"/>
              <w:tr2bl w:val="nil"/>
            </w:tcBorders>
            <w:shd w:val="clear" w:color="auto" w:fill="auto"/>
            <w:vAlign w:val="center"/>
          </w:tcPr>
          <w:p w14:paraId="3CF88A27">
            <w:pPr>
              <w:widowControl/>
              <w:spacing w:line="240" w:lineRule="auto"/>
              <w:ind w:firstLine="0" w:firstLineChars="0"/>
              <w:jc w:val="left"/>
              <w:textAlignment w:val="center"/>
              <w:rPr>
                <w:rFonts w:hint="default" w:ascii="Times New Roman" w:hAnsi="Times New Roman" w:cs="Times New Roman"/>
                <w:bCs/>
                <w:color w:val="auto"/>
                <w:kern w:val="0"/>
                <w:sz w:val="24"/>
                <w:highlight w:val="none"/>
              </w:rPr>
            </w:pPr>
            <w:r>
              <w:rPr>
                <w:rFonts w:hint="default" w:ascii="Times New Roman" w:hAnsi="Times New Roman" w:cs="Times New Roman"/>
                <w:bCs/>
                <w:color w:val="auto"/>
                <w:kern w:val="0"/>
                <w:sz w:val="24"/>
                <w:highlight w:val="none"/>
                <w:lang w:val="en-US" w:eastAsia="zh-CN"/>
              </w:rPr>
              <w:t>四川兴泉工程项目管理有限公司</w:t>
            </w:r>
          </w:p>
        </w:tc>
      </w:tr>
      <w:tr w14:paraId="6D9795B1">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0" w:type="auto"/>
            <w:tcBorders>
              <w:tl2br w:val="nil"/>
              <w:tr2bl w:val="nil"/>
            </w:tcBorders>
            <w:shd w:val="clear" w:color="auto" w:fill="auto"/>
            <w:vAlign w:val="center"/>
          </w:tcPr>
          <w:p w14:paraId="623C50F5">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2023-08-21</w:t>
            </w:r>
          </w:p>
        </w:tc>
        <w:tc>
          <w:tcPr>
            <w:tcW w:w="0" w:type="auto"/>
            <w:tcBorders>
              <w:tl2br w:val="nil"/>
              <w:tr2bl w:val="nil"/>
            </w:tcBorders>
            <w:shd w:val="clear" w:color="auto" w:fill="auto"/>
            <w:vAlign w:val="center"/>
          </w:tcPr>
          <w:p w14:paraId="6437699B">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工程造价咨询合同</w:t>
            </w:r>
          </w:p>
        </w:tc>
        <w:tc>
          <w:tcPr>
            <w:tcW w:w="0" w:type="auto"/>
            <w:tcBorders>
              <w:tl2br w:val="nil"/>
              <w:tr2bl w:val="nil"/>
            </w:tcBorders>
            <w:shd w:val="clear" w:color="auto" w:fill="auto"/>
            <w:vAlign w:val="center"/>
          </w:tcPr>
          <w:p w14:paraId="4F1C24F6">
            <w:pPr>
              <w:widowControl/>
              <w:spacing w:line="240" w:lineRule="auto"/>
              <w:ind w:firstLine="0" w:firstLineChars="0"/>
              <w:jc w:val="center"/>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3.86</w:t>
            </w:r>
          </w:p>
        </w:tc>
        <w:tc>
          <w:tcPr>
            <w:tcW w:w="0" w:type="auto"/>
            <w:tcBorders>
              <w:tl2br w:val="nil"/>
              <w:tr2bl w:val="nil"/>
            </w:tcBorders>
            <w:shd w:val="clear" w:color="auto" w:fill="auto"/>
            <w:vAlign w:val="center"/>
          </w:tcPr>
          <w:p w14:paraId="51231AA6">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四川鼎智盛工程项目管理有限公司</w:t>
            </w:r>
          </w:p>
        </w:tc>
      </w:tr>
      <w:tr w14:paraId="460EAF01">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0" w:type="auto"/>
            <w:tcBorders>
              <w:tl2br w:val="nil"/>
              <w:tr2bl w:val="nil"/>
            </w:tcBorders>
            <w:shd w:val="clear" w:color="auto" w:fill="auto"/>
            <w:vAlign w:val="center"/>
          </w:tcPr>
          <w:p w14:paraId="2A12D22E">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rPr>
              <w:t>202</w:t>
            </w:r>
            <w:r>
              <w:rPr>
                <w:rFonts w:hint="default" w:ascii="Times New Roman" w:hAnsi="Times New Roman" w:cs="Times New Roman"/>
                <w:bCs/>
                <w:color w:val="auto"/>
                <w:kern w:val="0"/>
                <w:sz w:val="24"/>
                <w:lang w:val="en-US" w:eastAsia="zh-CN"/>
              </w:rPr>
              <w:t>3</w:t>
            </w:r>
            <w:r>
              <w:rPr>
                <w:rFonts w:hint="default" w:ascii="Times New Roman" w:hAnsi="Times New Roman" w:cs="Times New Roman"/>
                <w:bCs/>
                <w:color w:val="auto"/>
                <w:kern w:val="0"/>
                <w:sz w:val="24"/>
              </w:rPr>
              <w:t>-</w:t>
            </w:r>
            <w:r>
              <w:rPr>
                <w:rFonts w:hint="default" w:ascii="Times New Roman" w:hAnsi="Times New Roman" w:cs="Times New Roman"/>
                <w:bCs/>
                <w:color w:val="auto"/>
                <w:kern w:val="0"/>
                <w:sz w:val="24"/>
                <w:lang w:val="en-US" w:eastAsia="zh-CN"/>
              </w:rPr>
              <w:t>10</w:t>
            </w:r>
            <w:r>
              <w:rPr>
                <w:rFonts w:hint="default" w:ascii="Times New Roman" w:hAnsi="Times New Roman" w:cs="Times New Roman"/>
                <w:bCs/>
                <w:color w:val="auto"/>
                <w:kern w:val="0"/>
                <w:sz w:val="24"/>
              </w:rPr>
              <w:t>-</w:t>
            </w:r>
            <w:r>
              <w:rPr>
                <w:rFonts w:hint="default" w:ascii="Times New Roman" w:hAnsi="Times New Roman" w:cs="Times New Roman"/>
                <w:bCs/>
                <w:color w:val="auto"/>
                <w:kern w:val="0"/>
                <w:sz w:val="24"/>
                <w:lang w:val="en-US" w:eastAsia="zh-CN"/>
              </w:rPr>
              <w:t>13</w:t>
            </w:r>
          </w:p>
        </w:tc>
        <w:tc>
          <w:tcPr>
            <w:tcW w:w="0" w:type="auto"/>
            <w:tcBorders>
              <w:tl2br w:val="nil"/>
              <w:tr2bl w:val="nil"/>
            </w:tcBorders>
            <w:shd w:val="clear" w:color="auto" w:fill="auto"/>
            <w:vAlign w:val="center"/>
          </w:tcPr>
          <w:p w14:paraId="53C4879F">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rPr>
              <w:t>建设工程监理合同</w:t>
            </w:r>
          </w:p>
        </w:tc>
        <w:tc>
          <w:tcPr>
            <w:tcW w:w="0" w:type="auto"/>
            <w:tcBorders>
              <w:tl2br w:val="nil"/>
              <w:tr2bl w:val="nil"/>
            </w:tcBorders>
            <w:shd w:val="clear" w:color="auto" w:fill="auto"/>
            <w:vAlign w:val="center"/>
          </w:tcPr>
          <w:p w14:paraId="1AFACE3E">
            <w:pPr>
              <w:widowControl/>
              <w:spacing w:line="240" w:lineRule="auto"/>
              <w:ind w:firstLine="0" w:firstLineChars="0"/>
              <w:jc w:val="center"/>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24.52</w:t>
            </w:r>
          </w:p>
        </w:tc>
        <w:tc>
          <w:tcPr>
            <w:tcW w:w="0" w:type="auto"/>
            <w:tcBorders>
              <w:tl2br w:val="nil"/>
              <w:tr2bl w:val="nil"/>
            </w:tcBorders>
            <w:shd w:val="clear" w:color="auto" w:fill="auto"/>
            <w:vAlign w:val="center"/>
          </w:tcPr>
          <w:p w14:paraId="695F8E25">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四川鼎立建设项目管理</w:t>
            </w:r>
            <w:r>
              <w:rPr>
                <w:rFonts w:hint="default" w:ascii="Times New Roman" w:hAnsi="Times New Roman" w:cs="Times New Roman"/>
                <w:bCs/>
                <w:color w:val="auto"/>
                <w:kern w:val="0"/>
                <w:sz w:val="24"/>
              </w:rPr>
              <w:t>有限公司</w:t>
            </w:r>
          </w:p>
        </w:tc>
      </w:tr>
      <w:tr w14:paraId="3448CFE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0" w:type="auto"/>
            <w:tcBorders>
              <w:tl2br w:val="nil"/>
              <w:tr2bl w:val="nil"/>
            </w:tcBorders>
            <w:shd w:val="clear" w:color="auto" w:fill="auto"/>
            <w:vAlign w:val="center"/>
          </w:tcPr>
          <w:p w14:paraId="085ED43D">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rPr>
              <w:t>202</w:t>
            </w:r>
            <w:r>
              <w:rPr>
                <w:rFonts w:hint="default" w:ascii="Times New Roman" w:hAnsi="Times New Roman" w:cs="Times New Roman"/>
                <w:bCs/>
                <w:color w:val="auto"/>
                <w:kern w:val="0"/>
                <w:sz w:val="24"/>
                <w:lang w:val="en-US" w:eastAsia="zh-CN"/>
              </w:rPr>
              <w:t>3</w:t>
            </w:r>
            <w:r>
              <w:rPr>
                <w:rFonts w:hint="default" w:ascii="Times New Roman" w:hAnsi="Times New Roman" w:cs="Times New Roman"/>
                <w:bCs/>
                <w:color w:val="auto"/>
                <w:kern w:val="0"/>
                <w:sz w:val="24"/>
              </w:rPr>
              <w:t>-10-</w:t>
            </w:r>
            <w:r>
              <w:rPr>
                <w:rFonts w:hint="default" w:ascii="Times New Roman" w:hAnsi="Times New Roman" w:cs="Times New Roman"/>
                <w:bCs/>
                <w:color w:val="auto"/>
                <w:kern w:val="0"/>
                <w:sz w:val="24"/>
                <w:lang w:val="en-US" w:eastAsia="zh-CN"/>
              </w:rPr>
              <w:t>16</w:t>
            </w:r>
          </w:p>
        </w:tc>
        <w:tc>
          <w:tcPr>
            <w:tcW w:w="0" w:type="auto"/>
            <w:tcBorders>
              <w:tl2br w:val="nil"/>
              <w:tr2bl w:val="nil"/>
            </w:tcBorders>
            <w:shd w:val="clear" w:color="auto" w:fill="auto"/>
            <w:vAlign w:val="center"/>
          </w:tcPr>
          <w:p w14:paraId="6132B93B">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highlight w:val="none"/>
              </w:rPr>
              <w:t>施工合同</w:t>
            </w:r>
          </w:p>
        </w:tc>
        <w:tc>
          <w:tcPr>
            <w:tcW w:w="0" w:type="auto"/>
            <w:tcBorders>
              <w:tl2br w:val="nil"/>
              <w:tr2bl w:val="nil"/>
            </w:tcBorders>
            <w:shd w:val="clear" w:color="auto" w:fill="auto"/>
            <w:vAlign w:val="center"/>
          </w:tcPr>
          <w:p w14:paraId="038681D7">
            <w:pPr>
              <w:widowControl/>
              <w:spacing w:line="240" w:lineRule="auto"/>
              <w:ind w:firstLine="0" w:firstLineChars="0"/>
              <w:jc w:val="center"/>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2305.78</w:t>
            </w:r>
          </w:p>
        </w:tc>
        <w:tc>
          <w:tcPr>
            <w:tcW w:w="0" w:type="auto"/>
            <w:tcBorders>
              <w:tl2br w:val="nil"/>
              <w:tr2bl w:val="nil"/>
            </w:tcBorders>
            <w:shd w:val="clear" w:color="auto" w:fill="auto"/>
            <w:vAlign w:val="center"/>
          </w:tcPr>
          <w:p w14:paraId="1334F2E9">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四川衡信建设工程有限公司</w:t>
            </w:r>
          </w:p>
        </w:tc>
      </w:tr>
      <w:tr w14:paraId="14883FB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0" w:type="auto"/>
            <w:tcBorders>
              <w:tl2br w:val="nil"/>
              <w:tr2bl w:val="nil"/>
            </w:tcBorders>
            <w:shd w:val="clear" w:color="auto" w:fill="auto"/>
            <w:vAlign w:val="center"/>
          </w:tcPr>
          <w:p w14:paraId="06318783">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2023-12.07</w:t>
            </w:r>
          </w:p>
        </w:tc>
        <w:tc>
          <w:tcPr>
            <w:tcW w:w="0" w:type="auto"/>
            <w:tcBorders>
              <w:tl2br w:val="nil"/>
              <w:tr2bl w:val="nil"/>
            </w:tcBorders>
            <w:shd w:val="clear" w:color="auto" w:fill="auto"/>
            <w:vAlign w:val="center"/>
          </w:tcPr>
          <w:p w14:paraId="4E710C24">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耕地质量检测合同</w:t>
            </w:r>
          </w:p>
        </w:tc>
        <w:tc>
          <w:tcPr>
            <w:tcW w:w="0" w:type="auto"/>
            <w:tcBorders>
              <w:tl2br w:val="nil"/>
              <w:tr2bl w:val="nil"/>
            </w:tcBorders>
            <w:shd w:val="clear" w:color="auto" w:fill="auto"/>
            <w:vAlign w:val="center"/>
          </w:tcPr>
          <w:p w14:paraId="13C52421">
            <w:pPr>
              <w:widowControl/>
              <w:spacing w:line="240" w:lineRule="auto"/>
              <w:ind w:firstLine="0" w:firstLineChars="0"/>
              <w:jc w:val="center"/>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4.97</w:t>
            </w:r>
          </w:p>
        </w:tc>
        <w:tc>
          <w:tcPr>
            <w:tcW w:w="0" w:type="auto"/>
            <w:tcBorders>
              <w:tl2br w:val="nil"/>
              <w:tr2bl w:val="nil"/>
            </w:tcBorders>
            <w:shd w:val="clear" w:color="auto" w:fill="auto"/>
            <w:vAlign w:val="center"/>
          </w:tcPr>
          <w:p w14:paraId="370428ED">
            <w:pPr>
              <w:widowControl/>
              <w:spacing w:line="240" w:lineRule="auto"/>
              <w:ind w:firstLine="0" w:firstLineChars="0"/>
              <w:jc w:val="left"/>
              <w:textAlignment w:val="center"/>
              <w:rPr>
                <w:rFonts w:hint="default" w:ascii="Times New Roman" w:hAnsi="Times New Roman" w:eastAsia="仿宋" w:cs="Times New Roman"/>
                <w:bCs/>
                <w:color w:val="auto"/>
                <w:kern w:val="0"/>
                <w:sz w:val="24"/>
                <w:szCs w:val="24"/>
                <w:lang w:val="en-US" w:eastAsia="zh-CN" w:bidi="ar-SA"/>
              </w:rPr>
            </w:pPr>
            <w:r>
              <w:rPr>
                <w:rFonts w:hint="default" w:ascii="Times New Roman" w:hAnsi="Times New Roman" w:cs="Times New Roman"/>
                <w:bCs/>
                <w:color w:val="auto"/>
                <w:kern w:val="0"/>
                <w:sz w:val="24"/>
                <w:lang w:val="en-US" w:eastAsia="zh-CN"/>
              </w:rPr>
              <w:t>四川爱源检测技术服务有限公司</w:t>
            </w:r>
          </w:p>
        </w:tc>
      </w:tr>
      <w:tr w14:paraId="02BBBD61">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0" w:type="auto"/>
            <w:tcBorders>
              <w:tl2br w:val="nil"/>
              <w:tr2bl w:val="nil"/>
            </w:tcBorders>
            <w:shd w:val="clear" w:color="auto" w:fill="auto"/>
            <w:vAlign w:val="center"/>
          </w:tcPr>
          <w:p w14:paraId="7D44789F">
            <w:pPr>
              <w:widowControl/>
              <w:spacing w:line="240" w:lineRule="auto"/>
              <w:ind w:firstLine="0" w:firstLineChars="0"/>
              <w:jc w:val="left"/>
              <w:textAlignment w:val="center"/>
              <w:rPr>
                <w:rFonts w:hint="default" w:ascii="Times New Roman" w:hAnsi="Times New Roman" w:cs="Times New Roman"/>
                <w:bCs/>
                <w:color w:val="auto"/>
                <w:kern w:val="0"/>
                <w:sz w:val="24"/>
                <w:lang w:val="en-US" w:eastAsia="zh-CN"/>
              </w:rPr>
            </w:pPr>
            <w:bookmarkStart w:id="40" w:name="_Toc86224137"/>
            <w:bookmarkStart w:id="41" w:name="_Toc136706201"/>
            <w:r>
              <w:rPr>
                <w:rFonts w:hint="default" w:ascii="Times New Roman" w:hAnsi="Times New Roman" w:cs="Times New Roman"/>
                <w:bCs/>
                <w:color w:val="auto"/>
                <w:kern w:val="0"/>
                <w:sz w:val="24"/>
                <w:lang w:val="en-US" w:eastAsia="zh-CN"/>
              </w:rPr>
              <w:t>2023-12-08</w:t>
            </w:r>
          </w:p>
        </w:tc>
        <w:tc>
          <w:tcPr>
            <w:tcW w:w="0" w:type="auto"/>
            <w:tcBorders>
              <w:tl2br w:val="nil"/>
              <w:tr2bl w:val="nil"/>
            </w:tcBorders>
            <w:shd w:val="clear" w:color="auto" w:fill="auto"/>
            <w:vAlign w:val="center"/>
          </w:tcPr>
          <w:p w14:paraId="530435C0">
            <w:pPr>
              <w:widowControl/>
              <w:spacing w:line="240" w:lineRule="auto"/>
              <w:ind w:firstLine="0" w:firstLineChars="0"/>
              <w:jc w:val="left"/>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水利水电工程质量检测合同</w:t>
            </w:r>
          </w:p>
        </w:tc>
        <w:tc>
          <w:tcPr>
            <w:tcW w:w="0" w:type="auto"/>
            <w:tcBorders>
              <w:tl2br w:val="nil"/>
              <w:tr2bl w:val="nil"/>
            </w:tcBorders>
            <w:shd w:val="clear" w:color="auto" w:fill="auto"/>
            <w:vAlign w:val="center"/>
          </w:tcPr>
          <w:p w14:paraId="2D19A831">
            <w:pPr>
              <w:widowControl/>
              <w:spacing w:line="240" w:lineRule="auto"/>
              <w:ind w:firstLine="0" w:firstLineChars="0"/>
              <w:jc w:val="center"/>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1.48</w:t>
            </w:r>
          </w:p>
        </w:tc>
        <w:tc>
          <w:tcPr>
            <w:tcW w:w="0" w:type="auto"/>
            <w:tcBorders>
              <w:tl2br w:val="nil"/>
              <w:tr2bl w:val="nil"/>
            </w:tcBorders>
            <w:shd w:val="clear" w:color="auto" w:fill="auto"/>
            <w:vAlign w:val="center"/>
          </w:tcPr>
          <w:p w14:paraId="71F48C5C">
            <w:pPr>
              <w:widowControl/>
              <w:spacing w:line="240" w:lineRule="auto"/>
              <w:ind w:firstLine="0" w:firstLineChars="0"/>
              <w:jc w:val="left"/>
              <w:textAlignment w:val="center"/>
              <w:rPr>
                <w:rFonts w:hint="default" w:ascii="Times New Roman" w:hAnsi="Times New Roman" w:cs="Times New Roman"/>
                <w:bCs/>
                <w:color w:val="auto"/>
                <w:kern w:val="0"/>
                <w:sz w:val="24"/>
                <w:lang w:val="en-US" w:eastAsia="zh-CN"/>
              </w:rPr>
            </w:pPr>
            <w:r>
              <w:rPr>
                <w:rFonts w:hint="default" w:ascii="Times New Roman" w:hAnsi="Times New Roman" w:cs="Times New Roman"/>
                <w:bCs/>
                <w:color w:val="auto"/>
                <w:kern w:val="0"/>
                <w:sz w:val="24"/>
                <w:lang w:val="en-US" w:eastAsia="zh-CN"/>
              </w:rPr>
              <w:t>四川省禾力建设工程检测鉴定咨询有限公司</w:t>
            </w:r>
          </w:p>
        </w:tc>
      </w:tr>
    </w:tbl>
    <w:p w14:paraId="3F2389E1">
      <w:pPr>
        <w:spacing w:line="560" w:lineRule="exact"/>
        <w:ind w:firstLine="643"/>
        <w:outlineLvl w:val="1"/>
        <w:rPr>
          <w:rFonts w:hint="default" w:ascii="Times New Roman" w:hAnsi="Times New Roman" w:eastAsia="楷体" w:cs="Times New Roman"/>
          <w:b/>
          <w:bCs/>
          <w:color w:val="auto"/>
          <w:szCs w:val="22"/>
        </w:rPr>
      </w:pPr>
      <w:bookmarkStart w:id="42" w:name="_Toc25595"/>
      <w:r>
        <w:rPr>
          <w:rFonts w:hint="default" w:ascii="Times New Roman" w:hAnsi="Times New Roman" w:eastAsia="楷体" w:cs="Times New Roman"/>
          <w:b/>
          <w:bCs/>
          <w:color w:val="auto"/>
          <w:szCs w:val="22"/>
        </w:rPr>
        <w:t>（三）资金预算及使用情况</w:t>
      </w:r>
      <w:bookmarkEnd w:id="40"/>
      <w:bookmarkEnd w:id="41"/>
      <w:bookmarkEnd w:id="42"/>
    </w:p>
    <w:p w14:paraId="75E7C875">
      <w:pPr>
        <w:spacing w:line="560" w:lineRule="exact"/>
        <w:ind w:firstLine="640"/>
        <w:rPr>
          <w:rFonts w:hint="default" w:ascii="Times New Roman" w:hAnsi="Times New Roman" w:eastAsia="仿宋" w:cs="Times New Roman"/>
          <w:lang w:val="en-US" w:eastAsia="zh-CN"/>
        </w:rPr>
      </w:pPr>
      <w:r>
        <w:rPr>
          <w:rFonts w:hint="default" w:ascii="Times New Roman" w:hAnsi="Times New Roman" w:cs="Times New Roman"/>
          <w:szCs w:val="32"/>
          <w:lang w:val="en-US" w:eastAsia="zh-CN"/>
        </w:rPr>
        <w:t>罗江区农业农村局</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年高标准农田建设项目</w:t>
      </w:r>
      <w:r>
        <w:rPr>
          <w:rFonts w:hint="default" w:ascii="Times New Roman" w:hAnsi="Times New Roman" w:cs="Times New Roman"/>
        </w:rPr>
        <w:t>计划总投资</w:t>
      </w:r>
      <w:r>
        <w:rPr>
          <w:rFonts w:hint="default" w:ascii="Times New Roman" w:hAnsi="Times New Roman" w:cs="Times New Roman"/>
          <w:highlight w:val="none"/>
          <w:lang w:val="en-US" w:eastAsia="zh-CN"/>
        </w:rPr>
        <w:t>2968.68</w:t>
      </w:r>
      <w:r>
        <w:rPr>
          <w:rFonts w:hint="default" w:ascii="Times New Roman" w:hAnsi="Times New Roman" w:cs="Times New Roman"/>
          <w:highlight w:val="none"/>
        </w:rPr>
        <w:t>万元，资</w:t>
      </w:r>
      <w:r>
        <w:rPr>
          <w:rFonts w:hint="default" w:ascii="Times New Roman" w:hAnsi="Times New Roman" w:cs="Times New Roman"/>
        </w:rPr>
        <w:t>金来源为中省市财政补助资金，其中</w:t>
      </w:r>
      <w:r>
        <w:rPr>
          <w:rFonts w:hint="default" w:ascii="Times New Roman" w:hAnsi="Times New Roman" w:cs="Times New Roman"/>
          <w:lang w:eastAsia="zh-CN"/>
        </w:rPr>
        <w:t>：</w:t>
      </w:r>
      <w:r>
        <w:rPr>
          <w:rFonts w:hint="default" w:ascii="Times New Roman" w:hAnsi="Times New Roman" w:cs="Times New Roman"/>
          <w:lang w:val="en-US" w:eastAsia="zh-CN"/>
        </w:rPr>
        <w:t>中央财政资金473万元，占总投资15.93%；省级财政资金311万元，占总投资10.48%；市级财政资金119万元，占总投资4.01%；区级计划申请财政资金（含地方政府专项债券）2065.68万元，占总投资69.58%。根据德阳市罗江区财政局《关于下达2023年第一批新增债券资金的通知》（德市罗财金</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4号</w:t>
      </w:r>
      <w:r>
        <w:rPr>
          <w:rFonts w:hint="default" w:ascii="Times New Roman" w:hAnsi="Times New Roman" w:cs="Times New Roman"/>
          <w:lang w:val="en-US" w:eastAsia="zh-CN"/>
        </w:rPr>
        <w:t>）下达资金文件，罗江区高标准农田建设项目实际下达地方政府专项债2500万元，全部用于高标准农田建设项目。（本次评价只针对地方政府专项债2500万元）</w:t>
      </w:r>
    </w:p>
    <w:p w14:paraId="0149F0EE">
      <w:pPr>
        <w:spacing w:line="560" w:lineRule="exact"/>
        <w:ind w:firstLine="640"/>
        <w:rPr>
          <w:rFonts w:hint="default" w:ascii="Times New Roman" w:hAnsi="Times New Roman" w:cs="Times New Roman"/>
          <w:color w:val="auto"/>
        </w:rPr>
      </w:pPr>
      <w:r>
        <w:rPr>
          <w:rFonts w:hint="default" w:ascii="Times New Roman" w:hAnsi="Times New Roman" w:cs="Times New Roman"/>
          <w:color w:val="auto"/>
        </w:rPr>
        <w:t>截至评价日，项目实际支出</w:t>
      </w:r>
      <w:r>
        <w:rPr>
          <w:rFonts w:hint="default" w:ascii="Times New Roman" w:hAnsi="Times New Roman" w:cs="Times New Roman"/>
          <w:color w:val="auto"/>
          <w:highlight w:val="none"/>
          <w:lang w:val="en-US" w:eastAsia="zh-CN"/>
        </w:rPr>
        <w:t>2500</w:t>
      </w:r>
      <w:r>
        <w:rPr>
          <w:rFonts w:hint="default" w:ascii="Times New Roman" w:hAnsi="Times New Roman" w:cs="Times New Roman"/>
          <w:color w:val="auto"/>
          <w:highlight w:val="none"/>
        </w:rPr>
        <w:t>万</w:t>
      </w:r>
      <w:r>
        <w:rPr>
          <w:rFonts w:hint="default" w:ascii="Times New Roman" w:hAnsi="Times New Roman" w:cs="Times New Roman"/>
          <w:color w:val="auto"/>
        </w:rPr>
        <w:t>元。资金支出明细如下表所示。</w:t>
      </w:r>
    </w:p>
    <w:p w14:paraId="377D4A7C">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楷体" w:cs="Times New Roman"/>
          <w:b/>
          <w:color w:val="auto"/>
          <w:sz w:val="30"/>
          <w:szCs w:val="30"/>
          <w:highlight w:val="none"/>
          <w:lang w:eastAsia="zh-CN"/>
        </w:rPr>
      </w:pPr>
      <w:r>
        <w:rPr>
          <w:rFonts w:hint="default" w:ascii="Times New Roman" w:hAnsi="Times New Roman" w:eastAsia="楷体" w:cs="Times New Roman"/>
          <w:b/>
          <w:color w:val="auto"/>
          <w:sz w:val="30"/>
          <w:szCs w:val="30"/>
          <w:highlight w:val="none"/>
        </w:rPr>
        <w:t>表1-3：项目资金支出</w:t>
      </w:r>
      <w:r>
        <w:rPr>
          <w:rFonts w:hint="default" w:ascii="Times New Roman" w:hAnsi="Times New Roman" w:eastAsia="楷体" w:cs="Times New Roman"/>
          <w:b/>
          <w:color w:val="auto"/>
          <w:sz w:val="30"/>
          <w:szCs w:val="30"/>
          <w:highlight w:val="none"/>
          <w:lang w:val="en-US" w:eastAsia="zh-CN"/>
        </w:rPr>
        <w:t>占比情况表</w:t>
      </w:r>
    </w:p>
    <w:p w14:paraId="6F1BCE9A">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right"/>
        <w:textAlignment w:val="auto"/>
        <w:rPr>
          <w:rFonts w:hint="default" w:ascii="Times New Roman" w:hAnsi="Times New Roman" w:eastAsia="楷体" w:cs="Times New Roman"/>
          <w:color w:val="auto"/>
          <w:sz w:val="21"/>
          <w:szCs w:val="21"/>
        </w:rPr>
      </w:pPr>
      <w:r>
        <w:rPr>
          <w:rFonts w:hint="default" w:ascii="Times New Roman" w:hAnsi="Times New Roman" w:cs="Times New Roman"/>
          <w:color w:val="auto"/>
        </w:rPr>
        <w:t xml:space="preserve">                                       </w:t>
      </w:r>
      <w:r>
        <w:rPr>
          <w:rFonts w:hint="default" w:ascii="Times New Roman" w:hAnsi="Times New Roman" w:eastAsia="楷体" w:cs="Times New Roman"/>
          <w:color w:val="auto"/>
          <w:sz w:val="21"/>
          <w:szCs w:val="21"/>
        </w:rPr>
        <w:t>单位：万元</w:t>
      </w:r>
    </w:p>
    <w:tbl>
      <w:tblPr>
        <w:tblStyle w:val="29"/>
        <w:tblW w:w="9582" w:type="dxa"/>
        <w:jc w:val="center"/>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4743"/>
        <w:gridCol w:w="2064"/>
        <w:gridCol w:w="1375"/>
        <w:gridCol w:w="1400"/>
      </w:tblGrid>
      <w:tr w14:paraId="78A1FB3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tblHeader/>
          <w:jc w:val="center"/>
        </w:trPr>
        <w:tc>
          <w:tcPr>
            <w:tcW w:w="4743" w:type="dxa"/>
            <w:shd w:val="clear" w:color="auto" w:fill="auto"/>
            <w:noWrap/>
            <w:vAlign w:val="center"/>
          </w:tcPr>
          <w:p w14:paraId="66EEC50D">
            <w:pPr>
              <w:spacing w:line="240" w:lineRule="auto"/>
              <w:ind w:firstLine="0" w:firstLineChars="0"/>
              <w:jc w:val="center"/>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cs="Times New Roman"/>
                <w:color w:val="auto"/>
                <w:sz w:val="21"/>
                <w:szCs w:val="21"/>
                <w:lang w:val="en-US" w:eastAsia="zh-CN"/>
              </w:rPr>
              <w:t>用途</w:t>
            </w:r>
          </w:p>
        </w:tc>
        <w:tc>
          <w:tcPr>
            <w:tcW w:w="2064" w:type="dxa"/>
            <w:shd w:val="clear" w:color="auto" w:fill="auto"/>
            <w:noWrap/>
            <w:vAlign w:val="center"/>
          </w:tcPr>
          <w:p w14:paraId="36A41262">
            <w:pPr>
              <w:spacing w:line="240" w:lineRule="auto"/>
              <w:ind w:firstLine="0" w:firstLineChars="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收款方</w:t>
            </w:r>
          </w:p>
        </w:tc>
        <w:tc>
          <w:tcPr>
            <w:tcW w:w="1375" w:type="dxa"/>
            <w:shd w:val="clear" w:color="auto" w:fill="auto"/>
            <w:noWrap/>
            <w:vAlign w:val="center"/>
          </w:tcPr>
          <w:p w14:paraId="6B257ED5">
            <w:pPr>
              <w:spacing w:line="240" w:lineRule="auto"/>
              <w:ind w:firstLine="0" w:firstLineChars="0"/>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支出</w:t>
            </w:r>
            <w:r>
              <w:rPr>
                <w:rFonts w:hint="default" w:ascii="Times New Roman" w:hAnsi="Times New Roman" w:cs="Times New Roman"/>
                <w:color w:val="auto"/>
                <w:sz w:val="21"/>
                <w:szCs w:val="21"/>
              </w:rPr>
              <w:t>金额</w:t>
            </w:r>
          </w:p>
        </w:tc>
        <w:tc>
          <w:tcPr>
            <w:tcW w:w="1400" w:type="dxa"/>
            <w:shd w:val="clear" w:color="auto" w:fill="auto"/>
            <w:noWrap/>
            <w:vAlign w:val="center"/>
          </w:tcPr>
          <w:p w14:paraId="62E994C6">
            <w:pPr>
              <w:spacing w:line="240" w:lineRule="auto"/>
              <w:ind w:firstLine="0" w:firstLineChars="0"/>
              <w:jc w:val="righ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cs="Times New Roman"/>
                <w:color w:val="auto"/>
                <w:sz w:val="21"/>
                <w:szCs w:val="21"/>
                <w:lang w:val="en-US" w:eastAsia="zh-CN"/>
              </w:rPr>
              <w:t>占比情况</w:t>
            </w:r>
          </w:p>
        </w:tc>
      </w:tr>
      <w:tr w14:paraId="68F68EE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4AF96BA6">
            <w:pPr>
              <w:widowControl/>
              <w:spacing w:line="240" w:lineRule="auto"/>
              <w:ind w:firstLine="0" w:firstLineChars="0"/>
              <w:jc w:val="left"/>
              <w:textAlignment w:val="center"/>
              <w:rPr>
                <w:rFonts w:hint="default" w:ascii="Times New Roman" w:hAnsi="Times New Roman" w:cs="Times New Roman"/>
                <w:color w:val="auto"/>
                <w:sz w:val="21"/>
                <w:szCs w:val="21"/>
                <w:lang w:val="en-US"/>
              </w:rPr>
            </w:pPr>
            <w:r>
              <w:rPr>
                <w:rFonts w:hint="default" w:ascii="Times New Roman" w:hAnsi="Times New Roman" w:cs="Times New Roman"/>
                <w:color w:val="auto"/>
                <w:sz w:val="21"/>
                <w:szCs w:val="21"/>
                <w:lang w:val="en-US" w:eastAsia="zh-CN"/>
              </w:rPr>
              <w:t>2021年高标准农田建设项目工程咨询尾款</w:t>
            </w:r>
          </w:p>
        </w:tc>
        <w:tc>
          <w:tcPr>
            <w:tcW w:w="2064" w:type="dxa"/>
            <w:shd w:val="clear" w:color="auto" w:fill="auto"/>
            <w:noWrap/>
            <w:vAlign w:val="center"/>
          </w:tcPr>
          <w:p w14:paraId="075EA146">
            <w:pPr>
              <w:widowControl/>
              <w:spacing w:line="240" w:lineRule="auto"/>
              <w:ind w:firstLine="0" w:firstLineChars="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德阳润成工程咨询有限公司</w:t>
            </w:r>
          </w:p>
        </w:tc>
        <w:tc>
          <w:tcPr>
            <w:tcW w:w="1375" w:type="dxa"/>
            <w:shd w:val="clear" w:color="auto" w:fill="auto"/>
            <w:noWrap/>
            <w:vAlign w:val="center"/>
          </w:tcPr>
          <w:p w14:paraId="7161FF46">
            <w:pPr>
              <w:widowControl/>
              <w:spacing w:line="240" w:lineRule="auto"/>
              <w:ind w:firstLine="0" w:firstLineChars="0"/>
              <w:jc w:val="righ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cs="Times New Roman"/>
                <w:color w:val="auto"/>
                <w:sz w:val="21"/>
                <w:szCs w:val="21"/>
                <w:lang w:val="en-US" w:eastAsia="zh-CN"/>
              </w:rPr>
              <w:t>11.49</w:t>
            </w:r>
          </w:p>
        </w:tc>
        <w:tc>
          <w:tcPr>
            <w:tcW w:w="1400" w:type="dxa"/>
            <w:shd w:val="clear" w:color="auto" w:fill="auto"/>
            <w:noWrap/>
            <w:vAlign w:val="center"/>
          </w:tcPr>
          <w:p w14:paraId="5C120C9F">
            <w:pPr>
              <w:keepNext w:val="0"/>
              <w:keepLines w:val="0"/>
              <w:widowControl/>
              <w:suppressLineNumbers w:val="0"/>
              <w:ind w:firstLine="420" w:firstLineChars="200"/>
              <w:jc w:val="righ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0.46%</w:t>
            </w:r>
          </w:p>
        </w:tc>
      </w:tr>
      <w:tr w14:paraId="048B298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67" w:hRule="atLeast"/>
          <w:jc w:val="center"/>
        </w:trPr>
        <w:tc>
          <w:tcPr>
            <w:tcW w:w="4743" w:type="dxa"/>
            <w:shd w:val="clear" w:color="auto" w:fill="auto"/>
            <w:noWrap/>
            <w:vAlign w:val="center"/>
          </w:tcPr>
          <w:p w14:paraId="465FC3B6">
            <w:pPr>
              <w:widowControl/>
              <w:spacing w:line="240" w:lineRule="auto"/>
              <w:ind w:firstLine="0" w:firstLineChars="0"/>
              <w:jc w:val="lef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cs="Times New Roman"/>
                <w:color w:val="auto"/>
                <w:sz w:val="21"/>
                <w:szCs w:val="21"/>
                <w:lang w:val="en-US" w:eastAsia="zh-CN"/>
              </w:rPr>
              <w:t>2021年高标准农田建设项目拨付进度款</w:t>
            </w:r>
          </w:p>
        </w:tc>
        <w:tc>
          <w:tcPr>
            <w:tcW w:w="2064" w:type="dxa"/>
            <w:shd w:val="clear" w:color="auto" w:fill="auto"/>
            <w:noWrap/>
            <w:vAlign w:val="center"/>
          </w:tcPr>
          <w:p w14:paraId="22EC1AC8">
            <w:pPr>
              <w:widowControl/>
              <w:spacing w:line="240" w:lineRule="auto"/>
              <w:ind w:firstLine="0" w:firstLineChars="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四川衡信建设工程有限公司</w:t>
            </w:r>
          </w:p>
        </w:tc>
        <w:tc>
          <w:tcPr>
            <w:tcW w:w="1375" w:type="dxa"/>
            <w:shd w:val="clear" w:color="auto" w:fill="auto"/>
            <w:noWrap/>
            <w:vAlign w:val="center"/>
          </w:tcPr>
          <w:p w14:paraId="58B32EA6">
            <w:pPr>
              <w:widowControl/>
              <w:spacing w:line="240" w:lineRule="auto"/>
              <w:ind w:firstLine="0" w:firstLineChars="0"/>
              <w:jc w:val="righ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cs="Times New Roman"/>
                <w:color w:val="auto"/>
                <w:sz w:val="21"/>
                <w:szCs w:val="21"/>
                <w:lang w:val="en-US" w:eastAsia="zh-CN"/>
              </w:rPr>
              <w:t>161.18</w:t>
            </w:r>
          </w:p>
        </w:tc>
        <w:tc>
          <w:tcPr>
            <w:tcW w:w="1400" w:type="dxa"/>
            <w:shd w:val="clear" w:color="auto" w:fill="auto"/>
            <w:noWrap/>
            <w:vAlign w:val="center"/>
          </w:tcPr>
          <w:p w14:paraId="58061F20">
            <w:pPr>
              <w:keepNext w:val="0"/>
              <w:keepLines w:val="0"/>
              <w:widowControl/>
              <w:suppressLineNumbers w:val="0"/>
              <w:ind w:firstLine="420" w:firstLineChars="200"/>
              <w:jc w:val="righ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6.45%</w:t>
            </w:r>
          </w:p>
        </w:tc>
      </w:tr>
      <w:tr w14:paraId="17851100">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vAlign w:val="center"/>
          </w:tcPr>
          <w:p w14:paraId="0CDBF425">
            <w:pPr>
              <w:widowControl/>
              <w:spacing w:line="240" w:lineRule="auto"/>
              <w:ind w:firstLine="0" w:firstLineChars="0"/>
              <w:jc w:val="lef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cs="Times New Roman"/>
                <w:color w:val="auto"/>
                <w:sz w:val="21"/>
                <w:szCs w:val="21"/>
                <w:lang w:val="en-US" w:eastAsia="zh-CN"/>
              </w:rPr>
              <w:t>2021年灾毁农田修复项目拨付进度款</w:t>
            </w:r>
          </w:p>
        </w:tc>
        <w:tc>
          <w:tcPr>
            <w:tcW w:w="2064" w:type="dxa"/>
            <w:shd w:val="clear" w:color="auto" w:fill="auto"/>
            <w:noWrap/>
            <w:vAlign w:val="center"/>
          </w:tcPr>
          <w:p w14:paraId="2555B26B">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四川同达建设有限公司</w:t>
            </w:r>
          </w:p>
        </w:tc>
        <w:tc>
          <w:tcPr>
            <w:tcW w:w="1375" w:type="dxa"/>
            <w:shd w:val="clear" w:color="auto" w:fill="auto"/>
            <w:noWrap/>
            <w:vAlign w:val="center"/>
          </w:tcPr>
          <w:p w14:paraId="0B05B00A">
            <w:pPr>
              <w:widowControl/>
              <w:spacing w:line="240" w:lineRule="auto"/>
              <w:ind w:firstLine="0" w:firstLineChars="0"/>
              <w:jc w:val="right"/>
              <w:textAlignment w:val="center"/>
              <w:rPr>
                <w:rFonts w:hint="default" w:ascii="Times New Roman" w:hAnsi="Times New Roman" w:cs="Times New Roman"/>
                <w:color w:val="auto"/>
                <w:sz w:val="21"/>
                <w:szCs w:val="21"/>
                <w:lang w:val="en-US"/>
              </w:rPr>
            </w:pPr>
            <w:r>
              <w:rPr>
                <w:rFonts w:hint="default" w:ascii="Times New Roman" w:hAnsi="Times New Roman" w:cs="Times New Roman"/>
                <w:bCs/>
                <w:color w:val="auto"/>
                <w:kern w:val="0"/>
                <w:sz w:val="21"/>
                <w:szCs w:val="21"/>
                <w:lang w:val="en-US" w:eastAsia="zh-CN"/>
              </w:rPr>
              <w:t>204.94</w:t>
            </w:r>
          </w:p>
        </w:tc>
        <w:tc>
          <w:tcPr>
            <w:tcW w:w="1400" w:type="dxa"/>
            <w:shd w:val="clear" w:color="auto" w:fill="auto"/>
            <w:noWrap/>
            <w:vAlign w:val="center"/>
          </w:tcPr>
          <w:p w14:paraId="3481AE31">
            <w:pPr>
              <w:keepNext w:val="0"/>
              <w:keepLines w:val="0"/>
              <w:widowControl/>
              <w:suppressLineNumbers w:val="0"/>
              <w:ind w:firstLine="420" w:firstLineChars="200"/>
              <w:jc w:val="right"/>
              <w:textAlignment w:val="center"/>
              <w:rPr>
                <w:rFonts w:hint="default" w:ascii="Times New Roman" w:hAnsi="Times New Roman" w:eastAsia="仿宋"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8.20%</w:t>
            </w:r>
          </w:p>
        </w:tc>
      </w:tr>
      <w:tr w14:paraId="1917FE5C">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0DF2ECB9">
            <w:pPr>
              <w:widowControl/>
              <w:spacing w:line="240" w:lineRule="auto"/>
              <w:ind w:firstLine="0" w:firstLineChars="0"/>
              <w:jc w:val="left"/>
              <w:textAlignment w:val="center"/>
              <w:rPr>
                <w:rFonts w:hint="default" w:ascii="Times New Roman" w:hAnsi="Times New Roman" w:eastAsia="仿宋"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2021年高标准农田建设项目设计进度款</w:t>
            </w:r>
          </w:p>
        </w:tc>
        <w:tc>
          <w:tcPr>
            <w:tcW w:w="2064" w:type="dxa"/>
            <w:shd w:val="clear" w:color="auto" w:fill="auto"/>
            <w:noWrap/>
            <w:vAlign w:val="center"/>
          </w:tcPr>
          <w:p w14:paraId="202AA688">
            <w:pPr>
              <w:widowControl/>
              <w:spacing w:line="240" w:lineRule="auto"/>
              <w:ind w:firstLine="0" w:firstLineChars="0"/>
              <w:jc w:val="center"/>
              <w:textAlignment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四川晟睿工程勘测设计咨询有限公司</w:t>
            </w:r>
          </w:p>
        </w:tc>
        <w:tc>
          <w:tcPr>
            <w:tcW w:w="1375" w:type="dxa"/>
            <w:shd w:val="clear" w:color="auto" w:fill="auto"/>
            <w:noWrap/>
            <w:vAlign w:val="center"/>
          </w:tcPr>
          <w:p w14:paraId="15697F4F">
            <w:pPr>
              <w:widowControl/>
              <w:spacing w:line="240" w:lineRule="auto"/>
              <w:ind w:firstLine="0" w:firstLineChars="0"/>
              <w:jc w:val="right"/>
              <w:textAlignment w:val="center"/>
              <w:rPr>
                <w:rFonts w:hint="default" w:ascii="Times New Roman" w:hAnsi="Times New Roman" w:eastAsia="仿宋"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4.90</w:t>
            </w:r>
          </w:p>
        </w:tc>
        <w:tc>
          <w:tcPr>
            <w:tcW w:w="1400" w:type="dxa"/>
            <w:shd w:val="clear" w:color="auto" w:fill="auto"/>
            <w:noWrap/>
            <w:vAlign w:val="center"/>
          </w:tcPr>
          <w:p w14:paraId="6901915F">
            <w:pPr>
              <w:keepNext w:val="0"/>
              <w:keepLines w:val="0"/>
              <w:widowControl/>
              <w:suppressLineNumbers w:val="0"/>
              <w:ind w:firstLine="420" w:firstLineChars="200"/>
              <w:jc w:val="right"/>
              <w:textAlignment w:val="center"/>
              <w:rPr>
                <w:rFonts w:hint="default" w:ascii="Times New Roman" w:hAnsi="Times New Roman" w:eastAsia="仿宋" w:cs="Times New Roman"/>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0.20%</w:t>
            </w:r>
          </w:p>
        </w:tc>
      </w:tr>
      <w:tr w14:paraId="2CE437A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36906238">
            <w:pPr>
              <w:widowControl/>
              <w:spacing w:line="240" w:lineRule="auto"/>
              <w:ind w:firstLine="0" w:firstLineChars="0"/>
              <w:jc w:val="left"/>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2022年高标准农田建设项目调元标段拨付二次进度款</w:t>
            </w:r>
          </w:p>
        </w:tc>
        <w:tc>
          <w:tcPr>
            <w:tcW w:w="2064" w:type="dxa"/>
            <w:shd w:val="clear" w:color="auto" w:fill="auto"/>
            <w:noWrap/>
            <w:vAlign w:val="center"/>
          </w:tcPr>
          <w:p w14:paraId="713273DD">
            <w:pPr>
              <w:widowControl/>
              <w:spacing w:line="240" w:lineRule="auto"/>
              <w:ind w:firstLine="0" w:firstLineChars="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四川鸿成佳建筑工程有限责任公司</w:t>
            </w:r>
          </w:p>
        </w:tc>
        <w:tc>
          <w:tcPr>
            <w:tcW w:w="1375" w:type="dxa"/>
            <w:shd w:val="clear" w:color="auto" w:fill="auto"/>
            <w:noWrap/>
            <w:vAlign w:val="center"/>
          </w:tcPr>
          <w:p w14:paraId="7F638D5A">
            <w:pPr>
              <w:widowControl/>
              <w:spacing w:line="240" w:lineRule="auto"/>
              <w:ind w:firstLine="0" w:firstLineChars="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384.92</w:t>
            </w:r>
          </w:p>
        </w:tc>
        <w:tc>
          <w:tcPr>
            <w:tcW w:w="1400" w:type="dxa"/>
            <w:shd w:val="clear" w:color="auto" w:fill="auto"/>
            <w:noWrap/>
            <w:vAlign w:val="center"/>
          </w:tcPr>
          <w:p w14:paraId="0A84CEF3">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15.40%</w:t>
            </w:r>
          </w:p>
        </w:tc>
      </w:tr>
      <w:tr w14:paraId="1A5BE8DB">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4826342E">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2022年高标准农田建设项目略坪标段拨付进度款</w:t>
            </w:r>
          </w:p>
        </w:tc>
        <w:tc>
          <w:tcPr>
            <w:tcW w:w="2064" w:type="dxa"/>
            <w:shd w:val="clear" w:color="auto" w:fill="auto"/>
            <w:noWrap/>
            <w:vAlign w:val="center"/>
          </w:tcPr>
          <w:p w14:paraId="43335404">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中水华通工程有限公司</w:t>
            </w:r>
          </w:p>
        </w:tc>
        <w:tc>
          <w:tcPr>
            <w:tcW w:w="1375" w:type="dxa"/>
            <w:shd w:val="clear" w:color="auto" w:fill="auto"/>
            <w:noWrap/>
            <w:vAlign w:val="center"/>
          </w:tcPr>
          <w:p w14:paraId="0AC317BD">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316.12</w:t>
            </w:r>
          </w:p>
        </w:tc>
        <w:tc>
          <w:tcPr>
            <w:tcW w:w="1400" w:type="dxa"/>
            <w:shd w:val="clear" w:color="auto" w:fill="auto"/>
            <w:noWrap/>
            <w:vAlign w:val="center"/>
          </w:tcPr>
          <w:p w14:paraId="74DD8B90">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12.64%</w:t>
            </w:r>
          </w:p>
        </w:tc>
      </w:tr>
      <w:tr w14:paraId="70F301EC">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6242F456">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2022年高标准农田建设项目略坪标段拨付进度款</w:t>
            </w:r>
          </w:p>
        </w:tc>
        <w:tc>
          <w:tcPr>
            <w:tcW w:w="2064" w:type="dxa"/>
            <w:shd w:val="clear" w:color="auto" w:fill="auto"/>
            <w:noWrap/>
            <w:vAlign w:val="center"/>
          </w:tcPr>
          <w:p w14:paraId="340D0A55">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四川富成建筑工程有限公司</w:t>
            </w:r>
          </w:p>
        </w:tc>
        <w:tc>
          <w:tcPr>
            <w:tcW w:w="1375" w:type="dxa"/>
            <w:shd w:val="clear" w:color="auto" w:fill="auto"/>
            <w:noWrap/>
            <w:vAlign w:val="center"/>
          </w:tcPr>
          <w:p w14:paraId="43B60069">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520.07</w:t>
            </w:r>
          </w:p>
        </w:tc>
        <w:tc>
          <w:tcPr>
            <w:tcW w:w="1400" w:type="dxa"/>
            <w:shd w:val="clear" w:color="auto" w:fill="auto"/>
            <w:noWrap/>
            <w:vAlign w:val="center"/>
          </w:tcPr>
          <w:p w14:paraId="55BCAADA">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20.80%</w:t>
            </w:r>
          </w:p>
        </w:tc>
      </w:tr>
      <w:tr w14:paraId="1F7B4885">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335CCE40">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2022年高标准农田建设项目略坪标段拨付进度款</w:t>
            </w:r>
          </w:p>
        </w:tc>
        <w:tc>
          <w:tcPr>
            <w:tcW w:w="2064" w:type="dxa"/>
            <w:shd w:val="clear" w:color="auto" w:fill="auto"/>
            <w:noWrap/>
            <w:vAlign w:val="center"/>
          </w:tcPr>
          <w:p w14:paraId="77CB2A77">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湖北锦天禹建设工程有限公司</w:t>
            </w:r>
          </w:p>
        </w:tc>
        <w:tc>
          <w:tcPr>
            <w:tcW w:w="1375" w:type="dxa"/>
            <w:shd w:val="clear" w:color="auto" w:fill="auto"/>
            <w:noWrap/>
            <w:vAlign w:val="center"/>
          </w:tcPr>
          <w:p w14:paraId="23F518EC">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372.02</w:t>
            </w:r>
          </w:p>
        </w:tc>
        <w:tc>
          <w:tcPr>
            <w:tcW w:w="1400" w:type="dxa"/>
            <w:shd w:val="clear" w:color="auto" w:fill="auto"/>
            <w:noWrap/>
            <w:vAlign w:val="center"/>
          </w:tcPr>
          <w:p w14:paraId="1FE53D9A">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14.88%</w:t>
            </w:r>
          </w:p>
        </w:tc>
      </w:tr>
      <w:tr w14:paraId="6F21397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46DAF35C">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2022年高标准农田建设项目建前、建后耕地质量检测进度款</w:t>
            </w:r>
          </w:p>
        </w:tc>
        <w:tc>
          <w:tcPr>
            <w:tcW w:w="2064" w:type="dxa"/>
            <w:shd w:val="clear" w:color="auto" w:fill="auto"/>
            <w:noWrap/>
            <w:vAlign w:val="center"/>
          </w:tcPr>
          <w:p w14:paraId="3AF4C1E1">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四川爱源检测技术有限公司</w:t>
            </w:r>
          </w:p>
        </w:tc>
        <w:tc>
          <w:tcPr>
            <w:tcW w:w="1375" w:type="dxa"/>
            <w:shd w:val="clear" w:color="auto" w:fill="auto"/>
            <w:noWrap/>
            <w:vAlign w:val="center"/>
          </w:tcPr>
          <w:p w14:paraId="5EF8E7FA">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7.41</w:t>
            </w:r>
          </w:p>
        </w:tc>
        <w:tc>
          <w:tcPr>
            <w:tcW w:w="1400" w:type="dxa"/>
            <w:shd w:val="clear" w:color="auto" w:fill="auto"/>
            <w:noWrap/>
            <w:vAlign w:val="center"/>
          </w:tcPr>
          <w:p w14:paraId="48F0C5DD">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0.30%</w:t>
            </w:r>
          </w:p>
        </w:tc>
      </w:tr>
      <w:tr w14:paraId="4D6E4E28">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61FBE1A3">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2022年高标准农田建设项目鄢家标段拨付进度款</w:t>
            </w:r>
          </w:p>
        </w:tc>
        <w:tc>
          <w:tcPr>
            <w:tcW w:w="2064" w:type="dxa"/>
            <w:shd w:val="clear" w:color="auto" w:fill="auto"/>
            <w:noWrap/>
            <w:vAlign w:val="center"/>
          </w:tcPr>
          <w:p w14:paraId="26B9A786">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四川富成建筑工程有限公司</w:t>
            </w:r>
          </w:p>
        </w:tc>
        <w:tc>
          <w:tcPr>
            <w:tcW w:w="1375" w:type="dxa"/>
            <w:shd w:val="clear" w:color="auto" w:fill="auto"/>
            <w:noWrap/>
            <w:vAlign w:val="center"/>
          </w:tcPr>
          <w:p w14:paraId="7B2D21D5">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325.04</w:t>
            </w:r>
          </w:p>
        </w:tc>
        <w:tc>
          <w:tcPr>
            <w:tcW w:w="1400" w:type="dxa"/>
            <w:shd w:val="clear" w:color="auto" w:fill="auto"/>
            <w:noWrap/>
            <w:vAlign w:val="center"/>
          </w:tcPr>
          <w:p w14:paraId="02F9D7CB">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13.00%</w:t>
            </w:r>
          </w:p>
        </w:tc>
      </w:tr>
      <w:tr w14:paraId="52653B2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55844815">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2022年高标准农田建设项目调元标段拨付三次进度款</w:t>
            </w:r>
          </w:p>
        </w:tc>
        <w:tc>
          <w:tcPr>
            <w:tcW w:w="2064" w:type="dxa"/>
            <w:shd w:val="clear" w:color="auto" w:fill="auto"/>
            <w:noWrap/>
            <w:vAlign w:val="center"/>
          </w:tcPr>
          <w:p w14:paraId="304E6774">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四川鸿成佳建筑工程建设有限责任公司</w:t>
            </w:r>
          </w:p>
        </w:tc>
        <w:tc>
          <w:tcPr>
            <w:tcW w:w="1375" w:type="dxa"/>
            <w:shd w:val="clear" w:color="auto" w:fill="auto"/>
            <w:noWrap/>
            <w:vAlign w:val="center"/>
          </w:tcPr>
          <w:p w14:paraId="52130099">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183.08</w:t>
            </w:r>
          </w:p>
        </w:tc>
        <w:tc>
          <w:tcPr>
            <w:tcW w:w="1400" w:type="dxa"/>
            <w:shd w:val="clear" w:color="auto" w:fill="auto"/>
            <w:noWrap/>
            <w:vAlign w:val="center"/>
          </w:tcPr>
          <w:p w14:paraId="1BB53080">
            <w:pPr>
              <w:keepNext w:val="0"/>
              <w:keepLines w:val="0"/>
              <w:widowControl/>
              <w:suppressLineNumbers w:val="0"/>
              <w:ind w:firstLine="420" w:firstLineChars="200"/>
              <w:jc w:val="right"/>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7.32%</w:t>
            </w:r>
          </w:p>
        </w:tc>
      </w:tr>
      <w:tr w14:paraId="52AC264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4743" w:type="dxa"/>
            <w:shd w:val="clear" w:color="auto" w:fill="auto"/>
            <w:noWrap/>
            <w:vAlign w:val="center"/>
          </w:tcPr>
          <w:p w14:paraId="2799E09B">
            <w:pPr>
              <w:widowControl/>
              <w:spacing w:line="240" w:lineRule="auto"/>
              <w:ind w:firstLine="0" w:firstLineChars="0"/>
              <w:jc w:val="lef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2023年高标准农田建设项目勘察设计进度款</w:t>
            </w:r>
          </w:p>
        </w:tc>
        <w:tc>
          <w:tcPr>
            <w:tcW w:w="2064" w:type="dxa"/>
            <w:shd w:val="clear" w:color="auto" w:fill="auto"/>
            <w:noWrap/>
            <w:vAlign w:val="center"/>
          </w:tcPr>
          <w:p w14:paraId="6000F434">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四川天辰工程咨询有限公司</w:t>
            </w:r>
          </w:p>
        </w:tc>
        <w:tc>
          <w:tcPr>
            <w:tcW w:w="1375" w:type="dxa"/>
            <w:shd w:val="clear" w:color="auto" w:fill="auto"/>
            <w:noWrap/>
            <w:vAlign w:val="center"/>
          </w:tcPr>
          <w:p w14:paraId="1B610244">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8.82</w:t>
            </w:r>
          </w:p>
        </w:tc>
        <w:tc>
          <w:tcPr>
            <w:tcW w:w="1400" w:type="dxa"/>
            <w:shd w:val="clear" w:color="auto" w:fill="auto"/>
            <w:noWrap/>
            <w:vAlign w:val="center"/>
          </w:tcPr>
          <w:p w14:paraId="51F3720D">
            <w:pPr>
              <w:keepNext w:val="0"/>
              <w:keepLines w:val="0"/>
              <w:widowControl/>
              <w:suppressLineNumbers w:val="0"/>
              <w:ind w:firstLine="420" w:firstLineChars="200"/>
              <w:jc w:val="right"/>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0.35%</w:t>
            </w:r>
          </w:p>
        </w:tc>
      </w:tr>
      <w:tr w14:paraId="6992B931">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6807" w:type="dxa"/>
            <w:gridSpan w:val="2"/>
            <w:shd w:val="clear" w:color="auto" w:fill="auto"/>
            <w:noWrap/>
            <w:vAlign w:val="center"/>
          </w:tcPr>
          <w:p w14:paraId="7A28B8B5">
            <w:pPr>
              <w:widowControl/>
              <w:spacing w:line="240" w:lineRule="auto"/>
              <w:ind w:firstLine="0" w:firstLineChars="0"/>
              <w:jc w:val="center"/>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合计</w:t>
            </w:r>
          </w:p>
        </w:tc>
        <w:tc>
          <w:tcPr>
            <w:tcW w:w="1375" w:type="dxa"/>
            <w:shd w:val="clear" w:color="auto" w:fill="auto"/>
            <w:noWrap/>
            <w:vAlign w:val="center"/>
          </w:tcPr>
          <w:p w14:paraId="535386F4">
            <w:pPr>
              <w:widowControl/>
              <w:spacing w:line="240" w:lineRule="auto"/>
              <w:ind w:firstLine="0" w:firstLineChars="0"/>
              <w:jc w:val="right"/>
              <w:textAlignment w:val="center"/>
              <w:rPr>
                <w:rFonts w:hint="default" w:ascii="Times New Roman" w:hAnsi="Times New Roman" w:cs="Times New Roman"/>
                <w:bCs/>
                <w:color w:val="auto"/>
                <w:kern w:val="0"/>
                <w:sz w:val="21"/>
                <w:szCs w:val="21"/>
                <w:lang w:val="en-US" w:eastAsia="zh-CN"/>
              </w:rPr>
            </w:pPr>
            <w:r>
              <w:rPr>
                <w:rFonts w:hint="default" w:ascii="Times New Roman" w:hAnsi="Times New Roman" w:cs="Times New Roman"/>
                <w:bCs/>
                <w:color w:val="auto"/>
                <w:kern w:val="0"/>
                <w:sz w:val="21"/>
                <w:szCs w:val="21"/>
                <w:lang w:val="en-US" w:eastAsia="zh-CN"/>
              </w:rPr>
              <w:t>2500</w:t>
            </w:r>
          </w:p>
        </w:tc>
        <w:tc>
          <w:tcPr>
            <w:tcW w:w="1400" w:type="dxa"/>
            <w:shd w:val="clear" w:color="auto" w:fill="auto"/>
            <w:noWrap/>
            <w:vAlign w:val="center"/>
          </w:tcPr>
          <w:p w14:paraId="27716F77">
            <w:pPr>
              <w:keepNext w:val="0"/>
              <w:keepLines w:val="0"/>
              <w:widowControl/>
              <w:suppressLineNumbers w:val="0"/>
              <w:ind w:firstLine="420" w:firstLineChars="200"/>
              <w:jc w:val="righ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100%</w:t>
            </w:r>
          </w:p>
        </w:tc>
      </w:tr>
    </w:tbl>
    <w:p w14:paraId="1DFF5C6B">
      <w:pPr>
        <w:spacing w:line="560" w:lineRule="exact"/>
        <w:ind w:firstLine="640"/>
        <w:outlineLvl w:val="0"/>
        <w:rPr>
          <w:rFonts w:hint="default" w:ascii="Times New Roman" w:hAnsi="Times New Roman" w:eastAsia="黑体" w:cs="Times New Roman"/>
          <w:b/>
          <w:bCs/>
          <w:szCs w:val="22"/>
        </w:rPr>
      </w:pPr>
      <w:bookmarkStart w:id="43" w:name="_Toc16563"/>
      <w:r>
        <w:rPr>
          <w:rFonts w:hint="default" w:ascii="Times New Roman" w:hAnsi="Times New Roman" w:eastAsia="黑体" w:cs="Times New Roman"/>
          <w:b/>
          <w:bCs/>
          <w:szCs w:val="22"/>
        </w:rPr>
        <w:t>二、项目评价依据</w:t>
      </w:r>
      <w:bookmarkEnd w:id="29"/>
      <w:bookmarkEnd w:id="30"/>
      <w:bookmarkEnd w:id="31"/>
      <w:bookmarkEnd w:id="43"/>
    </w:p>
    <w:p w14:paraId="35AC3EBA">
      <w:pPr>
        <w:spacing w:line="560" w:lineRule="exact"/>
        <w:ind w:firstLine="643"/>
        <w:outlineLvl w:val="1"/>
        <w:rPr>
          <w:rFonts w:hint="default" w:ascii="Times New Roman" w:hAnsi="Times New Roman" w:eastAsia="楷体" w:cs="Times New Roman"/>
          <w:b/>
          <w:bCs/>
          <w:szCs w:val="22"/>
        </w:rPr>
      </w:pPr>
      <w:bookmarkStart w:id="44" w:name="_Toc86224139"/>
      <w:bookmarkStart w:id="45" w:name="_Toc4572"/>
      <w:bookmarkStart w:id="46" w:name="_Toc27244"/>
      <w:bookmarkStart w:id="47" w:name="_Toc10491"/>
      <w:bookmarkStart w:id="48" w:name="_Toc10974"/>
      <w:bookmarkStart w:id="49" w:name="_Toc136706203"/>
      <w:r>
        <w:rPr>
          <w:rFonts w:hint="default" w:ascii="Times New Roman" w:hAnsi="Times New Roman" w:eastAsia="楷体" w:cs="Times New Roman"/>
          <w:b/>
          <w:bCs/>
          <w:szCs w:val="22"/>
        </w:rPr>
        <w:t>（一）规范性文件</w:t>
      </w:r>
      <w:bookmarkEnd w:id="44"/>
      <w:bookmarkEnd w:id="45"/>
      <w:bookmarkEnd w:id="46"/>
      <w:bookmarkEnd w:id="47"/>
      <w:bookmarkEnd w:id="48"/>
      <w:bookmarkEnd w:id="49"/>
    </w:p>
    <w:p w14:paraId="100E6FEC">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1.《中华人民共和国预算法》。</w:t>
      </w:r>
    </w:p>
    <w:p w14:paraId="519B2FB9">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2.《中华人民共和国会计法》。</w:t>
      </w:r>
    </w:p>
    <w:p w14:paraId="2FC4BCD5">
      <w:pPr>
        <w:spacing w:line="560" w:lineRule="exact"/>
        <w:ind w:firstLine="643"/>
        <w:outlineLvl w:val="1"/>
        <w:rPr>
          <w:rFonts w:hint="default" w:ascii="Times New Roman" w:hAnsi="Times New Roman" w:eastAsia="楷体" w:cs="Times New Roman"/>
          <w:b/>
          <w:bCs/>
          <w:szCs w:val="22"/>
        </w:rPr>
      </w:pPr>
      <w:bookmarkStart w:id="50" w:name="_Toc5797"/>
      <w:bookmarkStart w:id="51" w:name="_Toc136706204"/>
      <w:bookmarkStart w:id="52" w:name="_Toc29102"/>
      <w:bookmarkStart w:id="53" w:name="_Toc86224140"/>
      <w:bookmarkStart w:id="54" w:name="_Toc26403"/>
      <w:bookmarkStart w:id="55" w:name="_Toc5737"/>
      <w:bookmarkStart w:id="56" w:name="_Hlk81386887"/>
      <w:r>
        <w:rPr>
          <w:rFonts w:hint="default" w:ascii="Times New Roman" w:hAnsi="Times New Roman" w:eastAsia="楷体" w:cs="Times New Roman"/>
          <w:b/>
          <w:bCs/>
          <w:szCs w:val="22"/>
        </w:rPr>
        <w:t>（二）绩效评价管理文件</w:t>
      </w:r>
      <w:bookmarkEnd w:id="50"/>
      <w:bookmarkEnd w:id="51"/>
      <w:bookmarkEnd w:id="52"/>
      <w:bookmarkEnd w:id="53"/>
      <w:bookmarkEnd w:id="54"/>
      <w:bookmarkEnd w:id="55"/>
    </w:p>
    <w:p w14:paraId="11F4EDF4">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1.财政部《关于印发项目支出绩效评价管理办法的通知》（财预〔2020〕10号）。</w:t>
      </w:r>
    </w:p>
    <w:p w14:paraId="2D97DD2E">
      <w:pPr>
        <w:spacing w:line="560" w:lineRule="exact"/>
        <w:ind w:firstLine="640"/>
        <w:jc w:val="left"/>
        <w:rPr>
          <w:rFonts w:hint="default" w:ascii="Times New Roman" w:hAnsi="Times New Roman" w:cs="Times New Roman"/>
          <w:szCs w:val="32"/>
          <w:lang w:eastAsia="zh-CN"/>
        </w:rPr>
      </w:pPr>
      <w:r>
        <w:rPr>
          <w:rFonts w:hint="default" w:ascii="Times New Roman" w:hAnsi="Times New Roman" w:cs="Times New Roman"/>
          <w:szCs w:val="32"/>
          <w:lang w:val="en-US" w:eastAsia="zh-CN"/>
        </w:rPr>
        <w:t>2.</w:t>
      </w:r>
      <w:r>
        <w:rPr>
          <w:rFonts w:hint="default" w:ascii="Times New Roman" w:hAnsi="Times New Roman" w:cs="Times New Roman"/>
          <w:szCs w:val="32"/>
          <w:lang w:eastAsia="zh-CN"/>
        </w:rPr>
        <w:t>《中共四川省委 四川省人民政府关于全面实施预算绩效管理的实施意见》（川委发〔2019〕8号）。</w:t>
      </w:r>
    </w:p>
    <w:p w14:paraId="0E6B2A74">
      <w:pPr>
        <w:spacing w:line="560" w:lineRule="exact"/>
        <w:ind w:firstLine="640"/>
        <w:jc w:val="left"/>
        <w:rPr>
          <w:rFonts w:hint="default" w:ascii="Times New Roman" w:hAnsi="Times New Roman" w:cs="Times New Roman"/>
          <w:szCs w:val="32"/>
          <w:lang w:eastAsia="zh-CN"/>
        </w:rPr>
      </w:pPr>
      <w:r>
        <w:rPr>
          <w:rFonts w:hint="default" w:ascii="Times New Roman" w:hAnsi="Times New Roman" w:cs="Times New Roman"/>
          <w:szCs w:val="32"/>
          <w:lang w:val="en-US" w:eastAsia="zh-CN"/>
        </w:rPr>
        <w:t>3.</w:t>
      </w:r>
      <w:r>
        <w:rPr>
          <w:rFonts w:hint="default" w:ascii="Times New Roman" w:hAnsi="Times New Roman" w:cs="Times New Roman"/>
          <w:szCs w:val="32"/>
          <w:lang w:eastAsia="zh-CN"/>
        </w:rPr>
        <w:t>《四川省财政支出绩效评价管理办法》（</w:t>
      </w:r>
      <w:r>
        <w:rPr>
          <w:rFonts w:hint="default" w:ascii="Times New Roman" w:hAnsi="Times New Roman" w:cs="Times New Roman"/>
          <w:szCs w:val="32"/>
          <w:lang w:val="en-US" w:eastAsia="zh-CN"/>
        </w:rPr>
        <w:t>川财绩</w:t>
      </w:r>
      <w:r>
        <w:rPr>
          <w:rFonts w:hint="default" w:ascii="Times New Roman" w:hAnsi="Times New Roman" w:cs="Times New Roman"/>
          <w:szCs w:val="32"/>
          <w:lang w:eastAsia="zh-CN"/>
        </w:rPr>
        <w:t>〔20</w:t>
      </w:r>
      <w:r>
        <w:rPr>
          <w:rFonts w:hint="default" w:ascii="Times New Roman" w:hAnsi="Times New Roman" w:cs="Times New Roman"/>
          <w:szCs w:val="32"/>
          <w:lang w:val="en-US" w:eastAsia="zh-CN"/>
        </w:rPr>
        <w:t>19</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14</w:t>
      </w:r>
      <w:r>
        <w:rPr>
          <w:rFonts w:hint="default" w:ascii="Times New Roman" w:hAnsi="Times New Roman" w:cs="Times New Roman"/>
          <w:szCs w:val="32"/>
          <w:lang w:eastAsia="zh-CN"/>
        </w:rPr>
        <w:t>号）。</w:t>
      </w:r>
    </w:p>
    <w:p w14:paraId="70F66D99">
      <w:pPr>
        <w:spacing w:line="560" w:lineRule="exact"/>
        <w:ind w:firstLine="640"/>
        <w:jc w:val="left"/>
        <w:rPr>
          <w:rFonts w:hint="default" w:ascii="Times New Roman" w:hAnsi="Times New Roman" w:cs="Times New Roman"/>
          <w:szCs w:val="32"/>
          <w:lang w:eastAsia="zh-CN"/>
        </w:rPr>
      </w:pPr>
      <w:r>
        <w:rPr>
          <w:rFonts w:hint="default" w:ascii="Times New Roman" w:hAnsi="Times New Roman" w:cs="Times New Roman"/>
          <w:szCs w:val="32"/>
          <w:lang w:val="en-US" w:eastAsia="zh-CN"/>
        </w:rPr>
        <w:t>4.</w:t>
      </w:r>
      <w:r>
        <w:rPr>
          <w:rFonts w:hint="default" w:ascii="Times New Roman" w:hAnsi="Times New Roman" w:cs="Times New Roman"/>
          <w:szCs w:val="32"/>
          <w:lang w:eastAsia="zh-CN"/>
        </w:rPr>
        <w:t>《四川省</w:t>
      </w:r>
      <w:r>
        <w:rPr>
          <w:rFonts w:hint="default" w:ascii="Times New Roman" w:hAnsi="Times New Roman" w:cs="Times New Roman"/>
          <w:szCs w:val="32"/>
          <w:lang w:val="en-US" w:eastAsia="zh-CN"/>
        </w:rPr>
        <w:t>省级财政预算管理办法</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川政发</w:t>
      </w:r>
      <w:r>
        <w:rPr>
          <w:rFonts w:hint="default" w:ascii="Times New Roman" w:hAnsi="Times New Roman" w:cs="Times New Roman"/>
          <w:szCs w:val="32"/>
          <w:lang w:eastAsia="zh-CN"/>
        </w:rPr>
        <w:t>〔202</w:t>
      </w:r>
      <w:r>
        <w:rPr>
          <w:rFonts w:hint="default" w:ascii="Times New Roman" w:hAnsi="Times New Roman" w:cs="Times New Roman"/>
          <w:szCs w:val="32"/>
          <w:lang w:val="en-US" w:eastAsia="zh-CN"/>
        </w:rPr>
        <w:t>3</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3</w:t>
      </w:r>
      <w:r>
        <w:rPr>
          <w:rFonts w:hint="default" w:ascii="Times New Roman" w:hAnsi="Times New Roman" w:cs="Times New Roman"/>
          <w:szCs w:val="32"/>
          <w:lang w:eastAsia="zh-CN"/>
        </w:rPr>
        <w:t>56号）。</w:t>
      </w:r>
    </w:p>
    <w:p w14:paraId="30E48BBA">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lang w:val="en-US" w:eastAsia="zh-CN"/>
        </w:rPr>
        <w:t>5.德阳市罗江区</w:t>
      </w:r>
      <w:r>
        <w:rPr>
          <w:rFonts w:hint="default" w:ascii="Times New Roman" w:hAnsi="Times New Roman" w:cs="Times New Roman"/>
          <w:szCs w:val="32"/>
        </w:rPr>
        <w:t>财政局</w:t>
      </w:r>
      <w:r>
        <w:rPr>
          <w:rFonts w:hint="default" w:ascii="Times New Roman" w:hAnsi="Times New Roman" w:cs="Times New Roman"/>
          <w:szCs w:val="32"/>
          <w:lang w:eastAsia="zh-CN"/>
        </w:rPr>
        <w:t>《</w:t>
      </w:r>
      <w:r>
        <w:rPr>
          <w:rFonts w:hint="default" w:ascii="Times New Roman" w:hAnsi="Times New Roman" w:cs="Times New Roman"/>
          <w:szCs w:val="32"/>
        </w:rPr>
        <w:t>关于</w:t>
      </w:r>
      <w:r>
        <w:rPr>
          <w:rFonts w:hint="default" w:ascii="Times New Roman" w:hAnsi="Times New Roman" w:cs="Times New Roman"/>
          <w:szCs w:val="32"/>
          <w:lang w:val="en-US" w:eastAsia="zh-CN"/>
        </w:rPr>
        <w:t>开展2024年重点绩效评价工作的通知</w:t>
      </w:r>
      <w:r>
        <w:rPr>
          <w:rFonts w:hint="default" w:ascii="Times New Roman" w:hAnsi="Times New Roman" w:cs="Times New Roman"/>
          <w:szCs w:val="32"/>
        </w:rPr>
        <w:t>》（</w:t>
      </w:r>
      <w:r>
        <w:rPr>
          <w:rFonts w:hint="default" w:ascii="Times New Roman" w:hAnsi="Times New Roman" w:cs="Times New Roman"/>
          <w:szCs w:val="32"/>
          <w:lang w:val="en-US" w:eastAsia="zh-CN"/>
        </w:rPr>
        <w:t>德市罗财绩</w:t>
      </w:r>
      <w:r>
        <w:rPr>
          <w:rFonts w:hint="default" w:ascii="Times New Roman" w:hAnsi="Times New Roman" w:cs="Times New Roman"/>
          <w:szCs w:val="32"/>
        </w:rPr>
        <w:t>〔202</w:t>
      </w:r>
      <w:r>
        <w:rPr>
          <w:rFonts w:hint="default" w:ascii="Times New Roman" w:hAnsi="Times New Roman" w:cs="Times New Roman"/>
          <w:szCs w:val="32"/>
          <w:lang w:val="en-US" w:eastAsia="zh-CN"/>
        </w:rPr>
        <w:t>4</w:t>
      </w:r>
      <w:r>
        <w:rPr>
          <w:rFonts w:hint="default" w:ascii="Times New Roman" w:hAnsi="Times New Roman" w:cs="Times New Roman"/>
          <w:szCs w:val="32"/>
        </w:rPr>
        <w:t>〕</w:t>
      </w:r>
      <w:r>
        <w:rPr>
          <w:rFonts w:hint="default" w:ascii="Times New Roman" w:hAnsi="Times New Roman" w:cs="Times New Roman"/>
          <w:szCs w:val="32"/>
          <w:lang w:val="en-US" w:eastAsia="zh-CN"/>
        </w:rPr>
        <w:t>5</w:t>
      </w:r>
      <w:r>
        <w:rPr>
          <w:rFonts w:hint="default" w:ascii="Times New Roman" w:hAnsi="Times New Roman" w:cs="Times New Roman"/>
          <w:szCs w:val="32"/>
        </w:rPr>
        <w:t>号）。</w:t>
      </w:r>
    </w:p>
    <w:bookmarkEnd w:id="56"/>
    <w:p w14:paraId="3485A709">
      <w:pPr>
        <w:spacing w:line="560" w:lineRule="exact"/>
        <w:ind w:firstLine="643"/>
        <w:outlineLvl w:val="1"/>
        <w:rPr>
          <w:rFonts w:hint="default" w:ascii="Times New Roman" w:hAnsi="Times New Roman" w:eastAsia="楷体" w:cs="Times New Roman"/>
          <w:b/>
          <w:bCs/>
          <w:szCs w:val="22"/>
        </w:rPr>
      </w:pPr>
      <w:bookmarkStart w:id="57" w:name="_Toc136706205"/>
      <w:bookmarkStart w:id="58" w:name="_Toc86224141"/>
      <w:bookmarkStart w:id="59" w:name="_Toc20733"/>
      <w:bookmarkStart w:id="60" w:name="_Toc32216"/>
      <w:bookmarkStart w:id="61" w:name="_Toc22215"/>
      <w:bookmarkStart w:id="62" w:name="_Toc32130"/>
      <w:r>
        <w:rPr>
          <w:rFonts w:hint="default" w:ascii="Times New Roman" w:hAnsi="Times New Roman" w:eastAsia="楷体" w:cs="Times New Roman"/>
          <w:b/>
          <w:bCs/>
          <w:szCs w:val="22"/>
        </w:rPr>
        <w:t>（三）立项依据与资金文件</w:t>
      </w:r>
      <w:bookmarkEnd w:id="57"/>
      <w:bookmarkEnd w:id="58"/>
      <w:bookmarkEnd w:id="59"/>
      <w:bookmarkEnd w:id="60"/>
      <w:bookmarkEnd w:id="61"/>
      <w:bookmarkEnd w:id="62"/>
    </w:p>
    <w:p w14:paraId="0110B403">
      <w:pPr>
        <w:spacing w:line="560" w:lineRule="exact"/>
        <w:ind w:firstLine="640"/>
        <w:jc w:val="left"/>
        <w:rPr>
          <w:rFonts w:hint="default" w:ascii="Times New Roman" w:hAnsi="Times New Roman" w:cs="Times New Roman"/>
          <w:color w:val="auto"/>
          <w:szCs w:val="32"/>
        </w:rPr>
      </w:pPr>
      <w:r>
        <w:rPr>
          <w:rFonts w:hint="default" w:ascii="Times New Roman" w:hAnsi="Times New Roman" w:cs="Times New Roman"/>
          <w:color w:val="auto"/>
          <w:szCs w:val="32"/>
        </w:rPr>
        <w:t>1.</w:t>
      </w:r>
      <w:r>
        <w:rPr>
          <w:rFonts w:hint="default" w:ascii="Times New Roman" w:hAnsi="Times New Roman" w:cs="Times New Roman"/>
          <w:color w:val="auto"/>
          <w:szCs w:val="32"/>
          <w:lang w:val="en-US" w:eastAsia="zh-CN"/>
        </w:rPr>
        <w:t>四川省农业农村厅关于印发</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四川省高标准</w:t>
      </w:r>
      <w:r>
        <w:rPr>
          <w:rFonts w:hint="default" w:ascii="Times New Roman" w:hAnsi="Times New Roman" w:cs="Times New Roman"/>
          <w:color w:val="auto"/>
          <w:szCs w:val="32"/>
        </w:rPr>
        <w:t>农田建设</w:t>
      </w:r>
      <w:r>
        <w:rPr>
          <w:rFonts w:hint="default" w:ascii="Times New Roman" w:hAnsi="Times New Roman" w:cs="Times New Roman"/>
          <w:color w:val="auto"/>
          <w:szCs w:val="32"/>
          <w:lang w:val="en-US" w:eastAsia="zh-CN"/>
        </w:rPr>
        <w:t>项目</w:t>
      </w:r>
      <w:r>
        <w:rPr>
          <w:rFonts w:hint="default" w:ascii="Times New Roman" w:hAnsi="Times New Roman" w:cs="Times New Roman"/>
          <w:color w:val="auto"/>
          <w:szCs w:val="32"/>
        </w:rPr>
        <w:t>管理办法》</w:t>
      </w:r>
      <w:r>
        <w:rPr>
          <w:rFonts w:hint="default" w:ascii="Times New Roman" w:hAnsi="Times New Roman" w:cs="Times New Roman"/>
          <w:color w:val="auto"/>
          <w:szCs w:val="32"/>
          <w:lang w:eastAsia="zh-CN"/>
        </w:rPr>
        <w:t>的</w:t>
      </w:r>
      <w:r>
        <w:rPr>
          <w:rFonts w:hint="default" w:ascii="Times New Roman" w:hAnsi="Times New Roman" w:cs="Times New Roman"/>
          <w:color w:val="auto"/>
          <w:szCs w:val="32"/>
          <w:lang w:val="en-US" w:eastAsia="zh-CN"/>
        </w:rPr>
        <w:t>通知</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川农规</w:t>
      </w:r>
      <w:r>
        <w:rPr>
          <w:rFonts w:hint="default" w:ascii="Times New Roman" w:hAnsi="Times New Roman" w:cs="Times New Roman"/>
          <w:color w:val="auto"/>
          <w:szCs w:val="32"/>
        </w:rPr>
        <w:t>〔20</w:t>
      </w:r>
      <w:r>
        <w:rPr>
          <w:rFonts w:hint="default" w:ascii="Times New Roman" w:hAnsi="Times New Roman" w:cs="Times New Roman"/>
          <w:color w:val="auto"/>
          <w:szCs w:val="32"/>
          <w:lang w:val="en-US" w:eastAsia="zh-CN"/>
        </w:rPr>
        <w:t>23</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5</w:t>
      </w:r>
      <w:r>
        <w:rPr>
          <w:rFonts w:hint="default" w:ascii="Times New Roman" w:hAnsi="Times New Roman" w:cs="Times New Roman"/>
          <w:color w:val="auto"/>
          <w:szCs w:val="32"/>
        </w:rPr>
        <w:t>号）。</w:t>
      </w:r>
    </w:p>
    <w:p w14:paraId="256FFDA5">
      <w:pPr>
        <w:spacing w:line="560" w:lineRule="exact"/>
        <w:ind w:firstLine="640"/>
        <w:jc w:val="left"/>
        <w:rPr>
          <w:rFonts w:hint="default" w:ascii="Times New Roman" w:hAnsi="Times New Roman" w:cs="Times New Roman"/>
          <w:color w:val="auto"/>
          <w:szCs w:val="32"/>
        </w:rPr>
      </w:pPr>
      <w:r>
        <w:rPr>
          <w:rFonts w:hint="default" w:ascii="Times New Roman" w:hAnsi="Times New Roman" w:cs="Times New Roman"/>
          <w:color w:val="auto"/>
          <w:szCs w:val="32"/>
        </w:rPr>
        <w:t>2.《农田建设补助资金管理办法》（财农〔2019〕46号）。</w:t>
      </w:r>
    </w:p>
    <w:p w14:paraId="54D0EECF">
      <w:pPr>
        <w:spacing w:line="560" w:lineRule="exact"/>
        <w:ind w:firstLine="640"/>
        <w:jc w:val="left"/>
        <w:rPr>
          <w:rFonts w:hint="default" w:ascii="Times New Roman" w:hAnsi="Times New Roman" w:cs="Times New Roman"/>
          <w:color w:val="0000FF"/>
          <w:szCs w:val="32"/>
        </w:rPr>
      </w:pPr>
      <w:r>
        <w:rPr>
          <w:rFonts w:hint="default" w:ascii="Times New Roman" w:hAnsi="Times New Roman" w:cs="Times New Roman"/>
          <w:color w:val="auto"/>
          <w:szCs w:val="32"/>
        </w:rPr>
        <w:t>3.</w:t>
      </w:r>
      <w:r>
        <w:rPr>
          <w:rFonts w:hint="default" w:ascii="Times New Roman" w:hAnsi="Times New Roman" w:cs="Times New Roman"/>
          <w:color w:val="auto"/>
          <w:szCs w:val="32"/>
          <w:lang w:val="en-US" w:eastAsia="zh-CN"/>
        </w:rPr>
        <w:t>四川省财政厅、农业农村厅关于印发</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四川省省级财政农业高质量发展共同财政事权转移支付资金管理办法</w:t>
      </w: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的</w:t>
      </w:r>
      <w:r>
        <w:rPr>
          <w:rFonts w:hint="default" w:ascii="Times New Roman" w:hAnsi="Times New Roman" w:cs="Times New Roman"/>
          <w:color w:val="auto"/>
          <w:szCs w:val="32"/>
          <w:lang w:val="en-US" w:eastAsia="zh-CN"/>
        </w:rPr>
        <w:t>通知</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川</w:t>
      </w:r>
      <w:r>
        <w:rPr>
          <w:rFonts w:hint="default" w:ascii="Times New Roman" w:hAnsi="Times New Roman" w:cs="Times New Roman"/>
          <w:color w:val="auto"/>
          <w:szCs w:val="32"/>
        </w:rPr>
        <w:t>财农〔20</w:t>
      </w:r>
      <w:r>
        <w:rPr>
          <w:rFonts w:hint="default" w:ascii="Times New Roman" w:hAnsi="Times New Roman" w:cs="Times New Roman"/>
          <w:color w:val="auto"/>
          <w:szCs w:val="32"/>
          <w:lang w:val="en-US" w:eastAsia="zh-CN"/>
        </w:rPr>
        <w:t>23</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3</w:t>
      </w:r>
      <w:r>
        <w:rPr>
          <w:rFonts w:hint="default" w:ascii="Times New Roman" w:hAnsi="Times New Roman" w:cs="Times New Roman"/>
          <w:color w:val="auto"/>
          <w:szCs w:val="32"/>
        </w:rPr>
        <w:t>号）。</w:t>
      </w:r>
    </w:p>
    <w:p w14:paraId="285A84A2">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4.</w:t>
      </w:r>
      <w:r>
        <w:rPr>
          <w:rFonts w:hint="default" w:ascii="Times New Roman" w:hAnsi="Times New Roman" w:cs="Times New Roman"/>
          <w:szCs w:val="32"/>
          <w:lang w:val="en-US" w:eastAsia="zh-CN"/>
        </w:rPr>
        <w:t>罗江区财政局《关于下达2023年第一批新增债券资金的通知》</w:t>
      </w:r>
      <w:r>
        <w:rPr>
          <w:rFonts w:hint="default" w:ascii="Times New Roman" w:hAnsi="Times New Roman" w:cs="Times New Roman"/>
          <w:szCs w:val="32"/>
        </w:rPr>
        <w:t>（</w:t>
      </w:r>
      <w:r>
        <w:rPr>
          <w:rFonts w:hint="default" w:ascii="Times New Roman" w:hAnsi="Times New Roman" w:cs="Times New Roman"/>
          <w:szCs w:val="32"/>
          <w:lang w:val="en-US" w:eastAsia="zh-CN"/>
        </w:rPr>
        <w:t>德市罗财金</w:t>
      </w:r>
      <w:r>
        <w:rPr>
          <w:rFonts w:hint="default" w:ascii="Times New Roman" w:hAnsi="Times New Roman" w:cs="Times New Roman"/>
          <w:szCs w:val="32"/>
        </w:rPr>
        <w:t>〔20</w:t>
      </w:r>
      <w:r>
        <w:rPr>
          <w:rFonts w:hint="default" w:ascii="Times New Roman" w:hAnsi="Times New Roman" w:cs="Times New Roman"/>
          <w:szCs w:val="32"/>
          <w:lang w:val="en-US" w:eastAsia="zh-CN"/>
        </w:rPr>
        <w:t>23</w:t>
      </w:r>
      <w:r>
        <w:rPr>
          <w:rFonts w:hint="default" w:ascii="Times New Roman" w:hAnsi="Times New Roman" w:cs="Times New Roman"/>
          <w:szCs w:val="32"/>
        </w:rPr>
        <w:t>〕4号）。</w:t>
      </w:r>
    </w:p>
    <w:p w14:paraId="2AAC1AFA">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5.</w:t>
      </w:r>
      <w:r>
        <w:rPr>
          <w:rFonts w:hint="default" w:ascii="Times New Roman" w:hAnsi="Times New Roman" w:cs="Times New Roman"/>
          <w:szCs w:val="32"/>
          <w:lang w:val="en-US" w:eastAsia="zh-CN"/>
        </w:rPr>
        <w:t>农业农村部</w:t>
      </w:r>
      <w:r>
        <w:rPr>
          <w:rFonts w:hint="default" w:ascii="Times New Roman" w:hAnsi="Times New Roman" w:cs="Times New Roman"/>
          <w:szCs w:val="32"/>
        </w:rPr>
        <w:t>《关于下达202</w:t>
      </w:r>
      <w:r>
        <w:rPr>
          <w:rFonts w:hint="default" w:ascii="Times New Roman" w:hAnsi="Times New Roman" w:cs="Times New Roman"/>
          <w:szCs w:val="32"/>
          <w:lang w:val="en-US" w:eastAsia="zh-CN"/>
        </w:rPr>
        <w:t>3</w:t>
      </w:r>
      <w:r>
        <w:rPr>
          <w:rFonts w:hint="default" w:ascii="Times New Roman" w:hAnsi="Times New Roman" w:cs="Times New Roman"/>
          <w:szCs w:val="32"/>
        </w:rPr>
        <w:t>年农田建设任务的通知》（农</w:t>
      </w:r>
      <w:r>
        <w:rPr>
          <w:rFonts w:hint="default" w:ascii="Times New Roman" w:hAnsi="Times New Roman" w:cs="Times New Roman"/>
          <w:szCs w:val="32"/>
          <w:lang w:val="en-US" w:eastAsia="zh-CN"/>
        </w:rPr>
        <w:t>建</w:t>
      </w:r>
      <w:r>
        <w:rPr>
          <w:rFonts w:hint="default" w:ascii="Times New Roman" w:hAnsi="Times New Roman" w:cs="Times New Roman"/>
          <w:szCs w:val="32"/>
        </w:rPr>
        <w:t>发〔202</w:t>
      </w:r>
      <w:r>
        <w:rPr>
          <w:rFonts w:hint="default" w:ascii="Times New Roman" w:hAnsi="Times New Roman" w:cs="Times New Roman"/>
          <w:szCs w:val="32"/>
          <w:lang w:val="en-US" w:eastAsia="zh-CN"/>
        </w:rPr>
        <w:t>2</w:t>
      </w:r>
      <w:r>
        <w:rPr>
          <w:rFonts w:hint="default" w:ascii="Times New Roman" w:hAnsi="Times New Roman" w:cs="Times New Roman"/>
          <w:szCs w:val="32"/>
        </w:rPr>
        <w:t>〕</w:t>
      </w:r>
      <w:r>
        <w:rPr>
          <w:rFonts w:hint="default" w:ascii="Times New Roman" w:hAnsi="Times New Roman" w:cs="Times New Roman"/>
          <w:szCs w:val="32"/>
          <w:lang w:val="en-US" w:eastAsia="zh-CN"/>
        </w:rPr>
        <w:t>7</w:t>
      </w:r>
      <w:r>
        <w:rPr>
          <w:rFonts w:hint="default" w:ascii="Times New Roman" w:hAnsi="Times New Roman" w:cs="Times New Roman"/>
          <w:szCs w:val="32"/>
        </w:rPr>
        <w:t>号）。</w:t>
      </w:r>
    </w:p>
    <w:p w14:paraId="5126E39A">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6.</w:t>
      </w:r>
      <w:r>
        <w:rPr>
          <w:rFonts w:hint="default" w:ascii="Times New Roman" w:hAnsi="Times New Roman" w:cs="Times New Roman"/>
          <w:szCs w:val="32"/>
          <w:lang w:val="en-US" w:eastAsia="zh-CN"/>
        </w:rPr>
        <w:t>四川省农业农村厅</w:t>
      </w:r>
      <w:r>
        <w:rPr>
          <w:rFonts w:hint="default" w:ascii="Times New Roman" w:hAnsi="Times New Roman" w:cs="Times New Roman"/>
          <w:szCs w:val="32"/>
        </w:rPr>
        <w:t>《关于</w:t>
      </w:r>
      <w:r>
        <w:rPr>
          <w:rFonts w:hint="default" w:ascii="Times New Roman" w:hAnsi="Times New Roman" w:cs="Times New Roman"/>
          <w:szCs w:val="32"/>
          <w:lang w:val="en-US" w:eastAsia="zh-CN"/>
        </w:rPr>
        <w:t>守牢建好“天府良田”扎实做好2023年高标准农田建设工作的通知</w:t>
      </w:r>
      <w:r>
        <w:rPr>
          <w:rFonts w:hint="default" w:ascii="Times New Roman" w:hAnsi="Times New Roman" w:cs="Times New Roman"/>
          <w:szCs w:val="32"/>
        </w:rPr>
        <w:t>》（</w:t>
      </w:r>
      <w:r>
        <w:rPr>
          <w:rFonts w:hint="default" w:ascii="Times New Roman" w:hAnsi="Times New Roman" w:cs="Times New Roman"/>
          <w:szCs w:val="32"/>
          <w:lang w:val="en-US" w:eastAsia="zh-CN"/>
        </w:rPr>
        <w:t>川农发</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10</w:t>
      </w:r>
      <w:r>
        <w:rPr>
          <w:rFonts w:hint="default" w:ascii="Times New Roman" w:hAnsi="Times New Roman" w:cs="Times New Roman"/>
          <w:szCs w:val="32"/>
        </w:rPr>
        <w:t>号）。</w:t>
      </w:r>
    </w:p>
    <w:p w14:paraId="494C5B17">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7.</w:t>
      </w:r>
      <w:r>
        <w:rPr>
          <w:rFonts w:hint="default" w:ascii="Times New Roman" w:hAnsi="Times New Roman" w:cs="Times New Roman"/>
          <w:szCs w:val="32"/>
          <w:lang w:val="en-US" w:eastAsia="zh-CN"/>
        </w:rPr>
        <w:t>罗江区农业农村局关于报送</w:t>
      </w:r>
      <w:r>
        <w:rPr>
          <w:rFonts w:hint="default" w:ascii="Times New Roman" w:hAnsi="Times New Roman" w:cs="Times New Roman"/>
          <w:szCs w:val="32"/>
        </w:rPr>
        <w:t>《</w:t>
      </w:r>
      <w:r>
        <w:rPr>
          <w:rFonts w:hint="default" w:ascii="Times New Roman" w:hAnsi="Times New Roman" w:cs="Times New Roman"/>
          <w:szCs w:val="32"/>
          <w:lang w:val="en-US" w:eastAsia="zh-CN"/>
        </w:rPr>
        <w:t>四川省德阳市罗江区2023年高标准农田改造提升项目实施方案</w:t>
      </w:r>
      <w:r>
        <w:rPr>
          <w:rFonts w:hint="default" w:ascii="Times New Roman" w:hAnsi="Times New Roman" w:cs="Times New Roman"/>
          <w:szCs w:val="32"/>
        </w:rPr>
        <w:t>》</w:t>
      </w:r>
      <w:r>
        <w:rPr>
          <w:rFonts w:hint="default" w:ascii="Times New Roman" w:hAnsi="Times New Roman" w:cs="Times New Roman"/>
          <w:szCs w:val="32"/>
          <w:lang w:eastAsia="zh-CN"/>
        </w:rPr>
        <w:t>的</w:t>
      </w:r>
      <w:r>
        <w:rPr>
          <w:rFonts w:hint="default" w:ascii="Times New Roman" w:hAnsi="Times New Roman" w:cs="Times New Roman"/>
          <w:szCs w:val="32"/>
          <w:lang w:val="en-US" w:eastAsia="zh-CN"/>
        </w:rPr>
        <w:t>请示</w:t>
      </w:r>
      <w:r>
        <w:rPr>
          <w:rFonts w:hint="default" w:ascii="Times New Roman" w:hAnsi="Times New Roman" w:cs="Times New Roman"/>
          <w:szCs w:val="32"/>
        </w:rPr>
        <w:t>（</w:t>
      </w:r>
      <w:r>
        <w:rPr>
          <w:rFonts w:hint="default" w:ascii="Times New Roman" w:hAnsi="Times New Roman" w:cs="Times New Roman"/>
          <w:szCs w:val="32"/>
          <w:lang w:val="en-US" w:eastAsia="zh-CN"/>
        </w:rPr>
        <w:t>德市罗农</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61</w:t>
      </w:r>
      <w:r>
        <w:rPr>
          <w:rFonts w:hint="default" w:ascii="Times New Roman" w:hAnsi="Times New Roman" w:cs="Times New Roman"/>
          <w:szCs w:val="32"/>
        </w:rPr>
        <w:t>号）。</w:t>
      </w:r>
    </w:p>
    <w:p w14:paraId="4A275BA8">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8.</w:t>
      </w:r>
      <w:r>
        <w:rPr>
          <w:rFonts w:hint="default" w:ascii="Times New Roman" w:hAnsi="Times New Roman" w:cs="Times New Roman"/>
          <w:szCs w:val="32"/>
          <w:lang w:val="en-US" w:eastAsia="zh-CN"/>
        </w:rPr>
        <w:t>四川省农业农村厅</w:t>
      </w:r>
      <w:r>
        <w:rPr>
          <w:rFonts w:hint="default" w:ascii="Times New Roman" w:hAnsi="Times New Roman" w:cs="Times New Roman"/>
          <w:szCs w:val="32"/>
        </w:rPr>
        <w:t>《关于</w:t>
      </w:r>
      <w:r>
        <w:rPr>
          <w:rFonts w:hint="default" w:ascii="Times New Roman" w:hAnsi="Times New Roman" w:cs="Times New Roman"/>
          <w:szCs w:val="32"/>
          <w:lang w:val="en-US" w:eastAsia="zh-CN"/>
        </w:rPr>
        <w:t>成都市等21个市（州）</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年</w:t>
      </w:r>
      <w:r>
        <w:rPr>
          <w:rFonts w:hint="default" w:ascii="Times New Roman" w:hAnsi="Times New Roman" w:cs="Times New Roman"/>
          <w:szCs w:val="32"/>
          <w:lang w:val="en-US" w:eastAsia="zh-CN"/>
        </w:rPr>
        <w:t>财政转移支付高标准农田建设项目</w:t>
      </w:r>
      <w:r>
        <w:rPr>
          <w:rFonts w:hint="default" w:ascii="Times New Roman" w:hAnsi="Times New Roman" w:cs="Times New Roman"/>
          <w:szCs w:val="32"/>
        </w:rPr>
        <w:t>实施</w:t>
      </w:r>
      <w:r>
        <w:rPr>
          <w:rFonts w:hint="default" w:ascii="Times New Roman" w:hAnsi="Times New Roman" w:cs="Times New Roman"/>
          <w:szCs w:val="32"/>
          <w:lang w:val="en-US" w:eastAsia="zh-CN"/>
        </w:rPr>
        <w:t>计划</w:t>
      </w:r>
      <w:r>
        <w:rPr>
          <w:rFonts w:hint="default" w:ascii="Times New Roman" w:hAnsi="Times New Roman" w:cs="Times New Roman"/>
          <w:szCs w:val="32"/>
        </w:rPr>
        <w:t>的批复》（</w:t>
      </w:r>
      <w:r>
        <w:rPr>
          <w:rFonts w:hint="default" w:ascii="Times New Roman" w:hAnsi="Times New Roman" w:cs="Times New Roman"/>
          <w:szCs w:val="32"/>
          <w:lang w:val="en-US" w:eastAsia="zh-CN"/>
        </w:rPr>
        <w:t>N-</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-2015</w:t>
      </w:r>
      <w:r>
        <w:rPr>
          <w:rFonts w:hint="default" w:ascii="Times New Roman" w:hAnsi="Times New Roman" w:cs="Times New Roman"/>
          <w:szCs w:val="32"/>
        </w:rPr>
        <w:t>号）。</w:t>
      </w:r>
    </w:p>
    <w:p w14:paraId="175F8967">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lang w:val="en-US" w:eastAsia="zh-CN"/>
        </w:rPr>
        <w:t>9.罗江区农业农村局关于</w:t>
      </w:r>
      <w:r>
        <w:rPr>
          <w:rFonts w:hint="default" w:ascii="Times New Roman" w:hAnsi="Times New Roman" w:cs="Times New Roman"/>
          <w:szCs w:val="32"/>
        </w:rPr>
        <w:t>《</w:t>
      </w:r>
      <w:r>
        <w:rPr>
          <w:rFonts w:hint="default" w:ascii="Times New Roman" w:hAnsi="Times New Roman" w:cs="Times New Roman"/>
          <w:szCs w:val="32"/>
          <w:lang w:val="en-US" w:eastAsia="zh-CN"/>
        </w:rPr>
        <w:t>四川省德阳市罗江区2023年高标准农田改造提升项目实施方案</w:t>
      </w:r>
      <w:r>
        <w:rPr>
          <w:rFonts w:hint="default" w:ascii="Times New Roman" w:hAnsi="Times New Roman" w:cs="Times New Roman"/>
          <w:szCs w:val="32"/>
        </w:rPr>
        <w:t>》</w:t>
      </w:r>
      <w:r>
        <w:rPr>
          <w:rFonts w:hint="default" w:ascii="Times New Roman" w:hAnsi="Times New Roman" w:cs="Times New Roman"/>
          <w:szCs w:val="32"/>
          <w:lang w:eastAsia="zh-CN"/>
        </w:rPr>
        <w:t>的</w:t>
      </w:r>
      <w:r>
        <w:rPr>
          <w:rFonts w:hint="default" w:ascii="Times New Roman" w:hAnsi="Times New Roman" w:cs="Times New Roman"/>
          <w:szCs w:val="32"/>
          <w:lang w:val="en-US" w:eastAsia="zh-CN"/>
        </w:rPr>
        <w:t>批复</w:t>
      </w:r>
      <w:r>
        <w:rPr>
          <w:rFonts w:hint="default" w:ascii="Times New Roman" w:hAnsi="Times New Roman" w:cs="Times New Roman"/>
          <w:szCs w:val="32"/>
        </w:rPr>
        <w:t>（</w:t>
      </w:r>
      <w:r>
        <w:rPr>
          <w:rFonts w:hint="default" w:ascii="Times New Roman" w:hAnsi="Times New Roman" w:cs="Times New Roman"/>
          <w:szCs w:val="32"/>
          <w:lang w:val="en-US" w:eastAsia="zh-CN"/>
        </w:rPr>
        <w:t>德农农建</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9</w:t>
      </w:r>
      <w:r>
        <w:rPr>
          <w:rFonts w:hint="default" w:ascii="Times New Roman" w:hAnsi="Times New Roman" w:cs="Times New Roman"/>
          <w:szCs w:val="32"/>
        </w:rPr>
        <w:t>号）。</w:t>
      </w:r>
    </w:p>
    <w:p w14:paraId="3D00424F">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lang w:val="en-US" w:eastAsia="zh-CN"/>
        </w:rPr>
        <w:t>10</w:t>
      </w:r>
      <w:r>
        <w:rPr>
          <w:rFonts w:hint="default" w:ascii="Times New Roman" w:hAnsi="Times New Roman" w:cs="Times New Roman"/>
          <w:szCs w:val="32"/>
        </w:rPr>
        <w:t>.</w:t>
      </w:r>
      <w:r>
        <w:rPr>
          <w:rFonts w:hint="default" w:ascii="Times New Roman" w:hAnsi="Times New Roman" w:cs="Times New Roman"/>
          <w:szCs w:val="32"/>
          <w:lang w:val="en-US" w:eastAsia="zh-CN"/>
        </w:rPr>
        <w:t>罗江区农业农村局</w:t>
      </w:r>
      <w:r>
        <w:rPr>
          <w:rFonts w:hint="default" w:ascii="Times New Roman" w:hAnsi="Times New Roman" w:cs="Times New Roman"/>
          <w:szCs w:val="32"/>
        </w:rPr>
        <w:t>《关于</w:t>
      </w:r>
      <w:r>
        <w:rPr>
          <w:rFonts w:hint="default" w:ascii="Times New Roman" w:hAnsi="Times New Roman" w:cs="Times New Roman"/>
          <w:szCs w:val="32"/>
          <w:lang w:val="en-US" w:eastAsia="zh-CN"/>
        </w:rPr>
        <w:t>四川省德阳市罗江区</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年高标准农田</w:t>
      </w:r>
      <w:r>
        <w:rPr>
          <w:rFonts w:hint="default" w:ascii="Times New Roman" w:hAnsi="Times New Roman" w:cs="Times New Roman"/>
          <w:szCs w:val="32"/>
          <w:lang w:val="en-US" w:eastAsia="zh-CN"/>
        </w:rPr>
        <w:t>改造提升</w:t>
      </w:r>
      <w:r>
        <w:rPr>
          <w:rFonts w:hint="default" w:ascii="Times New Roman" w:hAnsi="Times New Roman" w:cs="Times New Roman"/>
          <w:szCs w:val="32"/>
        </w:rPr>
        <w:t>项目</w:t>
      </w:r>
      <w:r>
        <w:rPr>
          <w:rFonts w:hint="default" w:ascii="Times New Roman" w:hAnsi="Times New Roman" w:cs="Times New Roman"/>
          <w:szCs w:val="32"/>
          <w:lang w:val="en-US" w:eastAsia="zh-CN"/>
        </w:rPr>
        <w:t>工程变更有关事宜</w:t>
      </w:r>
      <w:r>
        <w:rPr>
          <w:rFonts w:hint="default" w:ascii="Times New Roman" w:hAnsi="Times New Roman" w:cs="Times New Roman"/>
          <w:szCs w:val="32"/>
        </w:rPr>
        <w:t>的</w:t>
      </w:r>
      <w:r>
        <w:rPr>
          <w:rFonts w:hint="default" w:ascii="Times New Roman" w:hAnsi="Times New Roman" w:cs="Times New Roman"/>
          <w:szCs w:val="32"/>
          <w:lang w:val="en-US" w:eastAsia="zh-CN"/>
        </w:rPr>
        <w:t>请示</w:t>
      </w:r>
      <w:r>
        <w:rPr>
          <w:rFonts w:hint="default" w:ascii="Times New Roman" w:hAnsi="Times New Roman" w:cs="Times New Roman"/>
          <w:szCs w:val="32"/>
        </w:rPr>
        <w:t>》（</w:t>
      </w:r>
      <w:r>
        <w:rPr>
          <w:rFonts w:hint="default" w:ascii="Times New Roman" w:hAnsi="Times New Roman" w:cs="Times New Roman"/>
          <w:szCs w:val="32"/>
          <w:lang w:val="en-US" w:eastAsia="zh-CN"/>
        </w:rPr>
        <w:t>德</w:t>
      </w:r>
      <w:r>
        <w:rPr>
          <w:rFonts w:hint="default" w:ascii="Times New Roman" w:hAnsi="Times New Roman" w:cs="Times New Roman"/>
          <w:szCs w:val="32"/>
        </w:rPr>
        <w:t>市</w:t>
      </w:r>
      <w:r>
        <w:rPr>
          <w:rFonts w:hint="default" w:ascii="Times New Roman" w:hAnsi="Times New Roman" w:cs="Times New Roman"/>
          <w:szCs w:val="32"/>
          <w:lang w:val="en-US" w:eastAsia="zh-CN"/>
        </w:rPr>
        <w:t>财</w:t>
      </w:r>
      <w:r>
        <w:rPr>
          <w:rFonts w:hint="default" w:ascii="Times New Roman" w:hAnsi="Times New Roman" w:cs="Times New Roman"/>
          <w:szCs w:val="32"/>
        </w:rPr>
        <w:t>农〔202</w:t>
      </w:r>
      <w:r>
        <w:rPr>
          <w:rFonts w:hint="default" w:ascii="Times New Roman" w:hAnsi="Times New Roman" w:cs="Times New Roman"/>
          <w:szCs w:val="32"/>
          <w:lang w:val="en-US" w:eastAsia="zh-CN"/>
        </w:rPr>
        <w:t>4</w:t>
      </w:r>
      <w:r>
        <w:rPr>
          <w:rFonts w:hint="default" w:ascii="Times New Roman" w:hAnsi="Times New Roman" w:cs="Times New Roman"/>
          <w:szCs w:val="32"/>
        </w:rPr>
        <w:t>〕</w:t>
      </w:r>
      <w:r>
        <w:rPr>
          <w:rFonts w:hint="default" w:ascii="Times New Roman" w:hAnsi="Times New Roman" w:cs="Times New Roman"/>
          <w:szCs w:val="32"/>
          <w:lang w:val="en-US" w:eastAsia="zh-CN"/>
        </w:rPr>
        <w:t>3</w:t>
      </w:r>
      <w:r>
        <w:rPr>
          <w:rFonts w:hint="default" w:ascii="Times New Roman" w:hAnsi="Times New Roman" w:cs="Times New Roman"/>
          <w:szCs w:val="32"/>
        </w:rPr>
        <w:t>号）。</w:t>
      </w:r>
    </w:p>
    <w:p w14:paraId="00A6741B">
      <w:pPr>
        <w:pStyle w:val="2"/>
        <w:rPr>
          <w:rFonts w:hint="default" w:ascii="Times New Roman" w:hAnsi="Times New Roman" w:eastAsia="仿宋_GB2312" w:cs="Times New Roman"/>
          <w:lang w:val="en-US" w:eastAsia="zh-CN"/>
        </w:rPr>
      </w:pPr>
      <w:r>
        <w:rPr>
          <w:rFonts w:hint="default" w:ascii="Times New Roman" w:hAnsi="Times New Roman" w:cs="Times New Roman"/>
          <w:szCs w:val="32"/>
          <w:lang w:val="en-US" w:eastAsia="zh-CN"/>
        </w:rPr>
        <w:t>11.罗江区人民政府常务会议议定事项通知（二届第60次）15号。</w:t>
      </w:r>
    </w:p>
    <w:p w14:paraId="724BD43F">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12.</w:t>
      </w:r>
      <w:r>
        <w:rPr>
          <w:rFonts w:hint="default" w:ascii="Times New Roman" w:hAnsi="Times New Roman" w:cs="Times New Roman"/>
          <w:szCs w:val="32"/>
          <w:lang w:val="en-US" w:eastAsia="zh-CN"/>
        </w:rPr>
        <w:t>罗江区财政局</w:t>
      </w:r>
      <w:r>
        <w:rPr>
          <w:rFonts w:hint="default" w:ascii="Times New Roman" w:hAnsi="Times New Roman" w:cs="Times New Roman"/>
          <w:szCs w:val="32"/>
        </w:rPr>
        <w:t>《关于下达202</w:t>
      </w:r>
      <w:r>
        <w:rPr>
          <w:rFonts w:hint="default" w:ascii="Times New Roman" w:hAnsi="Times New Roman" w:cs="Times New Roman"/>
          <w:szCs w:val="32"/>
          <w:lang w:val="en-US" w:eastAsia="zh-CN"/>
        </w:rPr>
        <w:t>3</w:t>
      </w:r>
      <w:r>
        <w:rPr>
          <w:rFonts w:hint="default" w:ascii="Times New Roman" w:hAnsi="Times New Roman" w:cs="Times New Roman"/>
          <w:szCs w:val="32"/>
        </w:rPr>
        <w:t>年市级</w:t>
      </w:r>
      <w:r>
        <w:rPr>
          <w:rFonts w:hint="default" w:ascii="Times New Roman" w:hAnsi="Times New Roman" w:cs="Times New Roman"/>
          <w:szCs w:val="32"/>
          <w:lang w:val="en-US" w:eastAsia="zh-CN"/>
        </w:rPr>
        <w:t>财政巩固脱贫攻坚成果专项资金</w:t>
      </w:r>
      <w:r>
        <w:rPr>
          <w:rFonts w:hint="default" w:ascii="Times New Roman" w:hAnsi="Times New Roman" w:cs="Times New Roman"/>
          <w:szCs w:val="32"/>
        </w:rPr>
        <w:t>的通知》（</w:t>
      </w:r>
      <w:r>
        <w:rPr>
          <w:rFonts w:hint="default" w:ascii="Times New Roman" w:hAnsi="Times New Roman" w:cs="Times New Roman"/>
          <w:szCs w:val="32"/>
          <w:lang w:val="en-US" w:eastAsia="zh-CN"/>
        </w:rPr>
        <w:t>德市罗财农</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18</w:t>
      </w:r>
      <w:r>
        <w:rPr>
          <w:rFonts w:hint="default" w:ascii="Times New Roman" w:hAnsi="Times New Roman" w:cs="Times New Roman"/>
          <w:szCs w:val="32"/>
        </w:rPr>
        <w:t>号）。</w:t>
      </w:r>
    </w:p>
    <w:p w14:paraId="72F5940C">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13.</w:t>
      </w:r>
      <w:r>
        <w:rPr>
          <w:rFonts w:hint="default" w:ascii="Times New Roman" w:hAnsi="Times New Roman" w:cs="Times New Roman"/>
          <w:szCs w:val="32"/>
          <w:lang w:val="en-US" w:eastAsia="zh-CN"/>
        </w:rPr>
        <w:t>罗江区财政局</w:t>
      </w:r>
      <w:r>
        <w:rPr>
          <w:rFonts w:hint="default" w:ascii="Times New Roman" w:hAnsi="Times New Roman" w:cs="Times New Roman"/>
          <w:szCs w:val="32"/>
        </w:rPr>
        <w:t>《关于下达202</w:t>
      </w:r>
      <w:r>
        <w:rPr>
          <w:rFonts w:hint="default" w:ascii="Times New Roman" w:hAnsi="Times New Roman" w:cs="Times New Roman"/>
          <w:szCs w:val="32"/>
          <w:lang w:val="en-US" w:eastAsia="zh-CN"/>
        </w:rPr>
        <w:t>3</w:t>
      </w:r>
      <w:r>
        <w:rPr>
          <w:rFonts w:hint="default" w:ascii="Times New Roman" w:hAnsi="Times New Roman" w:cs="Times New Roman"/>
          <w:szCs w:val="32"/>
        </w:rPr>
        <w:t>年</w:t>
      </w:r>
      <w:r>
        <w:rPr>
          <w:rFonts w:hint="default" w:ascii="Times New Roman" w:hAnsi="Times New Roman" w:cs="Times New Roman"/>
          <w:szCs w:val="32"/>
          <w:lang w:val="en-US" w:eastAsia="zh-CN"/>
        </w:rPr>
        <w:t>中央财政耕地建设与利用资金</w:t>
      </w:r>
      <w:r>
        <w:rPr>
          <w:rFonts w:hint="default" w:ascii="Times New Roman" w:hAnsi="Times New Roman" w:cs="Times New Roman"/>
          <w:szCs w:val="32"/>
        </w:rPr>
        <w:t>的通知》（</w:t>
      </w:r>
      <w:r>
        <w:rPr>
          <w:rFonts w:hint="default" w:ascii="Times New Roman" w:hAnsi="Times New Roman" w:cs="Times New Roman"/>
          <w:szCs w:val="32"/>
          <w:lang w:val="en-US" w:eastAsia="zh-CN"/>
        </w:rPr>
        <w:t>德市罗财农</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17</w:t>
      </w:r>
      <w:r>
        <w:rPr>
          <w:rFonts w:hint="default" w:ascii="Times New Roman" w:hAnsi="Times New Roman" w:cs="Times New Roman"/>
          <w:szCs w:val="32"/>
        </w:rPr>
        <w:t>号）。</w:t>
      </w:r>
    </w:p>
    <w:p w14:paraId="1CB0AB8E">
      <w:pPr>
        <w:spacing w:line="560" w:lineRule="exact"/>
        <w:ind w:firstLine="640"/>
        <w:jc w:val="left"/>
        <w:rPr>
          <w:rFonts w:hint="default" w:ascii="Times New Roman" w:hAnsi="Times New Roman" w:cs="Times New Roman"/>
          <w:szCs w:val="32"/>
        </w:rPr>
      </w:pPr>
      <w:r>
        <w:rPr>
          <w:rFonts w:hint="default" w:ascii="Times New Roman" w:hAnsi="Times New Roman" w:cs="Times New Roman"/>
          <w:szCs w:val="32"/>
        </w:rPr>
        <w:t>14.</w:t>
      </w:r>
      <w:r>
        <w:rPr>
          <w:rFonts w:hint="default" w:ascii="Times New Roman" w:hAnsi="Times New Roman" w:cs="Times New Roman"/>
          <w:szCs w:val="32"/>
          <w:lang w:val="en-US" w:eastAsia="zh-CN"/>
        </w:rPr>
        <w:t>罗江区财政局</w:t>
      </w:r>
      <w:r>
        <w:rPr>
          <w:rFonts w:hint="default" w:ascii="Times New Roman" w:hAnsi="Times New Roman" w:cs="Times New Roman"/>
          <w:szCs w:val="32"/>
        </w:rPr>
        <w:t>《关于下达202</w:t>
      </w:r>
      <w:r>
        <w:rPr>
          <w:rFonts w:hint="default" w:ascii="Times New Roman" w:hAnsi="Times New Roman" w:cs="Times New Roman"/>
          <w:szCs w:val="32"/>
          <w:lang w:val="en-US" w:eastAsia="zh-CN"/>
        </w:rPr>
        <w:t>3</w:t>
      </w:r>
      <w:r>
        <w:rPr>
          <w:rFonts w:hint="default" w:ascii="Times New Roman" w:hAnsi="Times New Roman" w:cs="Times New Roman"/>
          <w:szCs w:val="32"/>
        </w:rPr>
        <w:t>年</w:t>
      </w:r>
      <w:r>
        <w:rPr>
          <w:rFonts w:hint="default" w:ascii="Times New Roman" w:hAnsi="Times New Roman" w:cs="Times New Roman"/>
          <w:szCs w:val="32"/>
          <w:lang w:val="en-US" w:eastAsia="zh-CN"/>
        </w:rPr>
        <w:t>提高土地出让收入用于农业农村比例省级统筹部分资金</w:t>
      </w:r>
      <w:r>
        <w:rPr>
          <w:rFonts w:hint="default" w:ascii="Times New Roman" w:hAnsi="Times New Roman" w:cs="Times New Roman"/>
          <w:szCs w:val="32"/>
        </w:rPr>
        <w:t>的通知》（</w:t>
      </w:r>
      <w:r>
        <w:rPr>
          <w:rFonts w:hint="default" w:ascii="Times New Roman" w:hAnsi="Times New Roman" w:cs="Times New Roman"/>
          <w:szCs w:val="32"/>
          <w:lang w:val="en-US" w:eastAsia="zh-CN"/>
        </w:rPr>
        <w:t>德市罗财农</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44</w:t>
      </w:r>
      <w:r>
        <w:rPr>
          <w:rFonts w:hint="default" w:ascii="Times New Roman" w:hAnsi="Times New Roman" w:cs="Times New Roman"/>
          <w:szCs w:val="32"/>
        </w:rPr>
        <w:t>号）。</w:t>
      </w:r>
    </w:p>
    <w:p w14:paraId="7DBFF811">
      <w:pPr>
        <w:spacing w:line="560" w:lineRule="exact"/>
        <w:ind w:firstLine="643"/>
        <w:outlineLvl w:val="1"/>
        <w:rPr>
          <w:rFonts w:hint="default" w:ascii="Times New Roman" w:hAnsi="Times New Roman" w:eastAsia="楷体" w:cs="Times New Roman"/>
          <w:b/>
          <w:bCs/>
          <w:szCs w:val="22"/>
        </w:rPr>
      </w:pPr>
      <w:bookmarkStart w:id="63" w:name="_Toc86224142"/>
      <w:bookmarkStart w:id="64" w:name="_Toc136706206"/>
      <w:bookmarkStart w:id="65" w:name="_Toc14079"/>
      <w:bookmarkStart w:id="66" w:name="_Toc19089"/>
      <w:bookmarkStart w:id="67" w:name="_Toc25458"/>
      <w:bookmarkStart w:id="68" w:name="_Toc26173"/>
      <w:r>
        <w:rPr>
          <w:rFonts w:hint="default" w:ascii="Times New Roman" w:hAnsi="Times New Roman" w:eastAsia="楷体" w:cs="Times New Roman"/>
          <w:b/>
          <w:bCs/>
          <w:szCs w:val="22"/>
        </w:rPr>
        <w:t>（四）技术质量标准文件</w:t>
      </w:r>
      <w:bookmarkEnd w:id="63"/>
      <w:bookmarkEnd w:id="64"/>
      <w:bookmarkEnd w:id="65"/>
      <w:bookmarkEnd w:id="66"/>
      <w:bookmarkEnd w:id="67"/>
      <w:bookmarkEnd w:id="68"/>
    </w:p>
    <w:p w14:paraId="2F68118B">
      <w:pPr>
        <w:spacing w:line="560" w:lineRule="exact"/>
        <w:ind w:firstLine="640"/>
        <w:jc w:val="left"/>
        <w:rPr>
          <w:rFonts w:hint="default" w:ascii="Times New Roman" w:hAnsi="Times New Roman" w:cs="Times New Roman"/>
          <w:color w:val="auto"/>
          <w:szCs w:val="32"/>
        </w:rPr>
      </w:pPr>
      <w:r>
        <w:rPr>
          <w:rFonts w:hint="default" w:ascii="Times New Roman" w:hAnsi="Times New Roman" w:cs="Times New Roman"/>
          <w:color w:val="auto"/>
          <w:szCs w:val="32"/>
        </w:rPr>
        <w:t>1.《灌溉与排水工程设计规范》（GB50288-2018）。</w:t>
      </w:r>
    </w:p>
    <w:p w14:paraId="7450902D">
      <w:pPr>
        <w:spacing w:line="560" w:lineRule="exact"/>
        <w:ind w:firstLine="640"/>
        <w:jc w:val="left"/>
        <w:rPr>
          <w:rFonts w:hint="default" w:ascii="Times New Roman" w:hAnsi="Times New Roman" w:eastAsia="仿宋" w:cs="Times New Roman"/>
          <w:szCs w:val="32"/>
          <w:lang w:eastAsia="zh-CN"/>
        </w:rPr>
      </w:pPr>
      <w:r>
        <w:rPr>
          <w:rFonts w:hint="default" w:ascii="Times New Roman" w:hAnsi="Times New Roman" w:cs="Times New Roman"/>
          <w:color w:val="auto"/>
          <w:szCs w:val="32"/>
        </w:rPr>
        <w:t>2.《渠道防渗工程技术规范》</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GB/T 50600—2020</w:t>
      </w:r>
      <w:r>
        <w:rPr>
          <w:rFonts w:hint="default" w:ascii="Times New Roman" w:hAnsi="Times New Roman" w:cs="Times New Roman"/>
          <w:color w:val="auto"/>
          <w:szCs w:val="32"/>
          <w:lang w:eastAsia="zh-CN"/>
        </w:rPr>
        <w:t>）。</w:t>
      </w:r>
    </w:p>
    <w:p w14:paraId="1567BACA">
      <w:pPr>
        <w:spacing w:line="560" w:lineRule="exact"/>
        <w:ind w:firstLine="640"/>
        <w:jc w:val="left"/>
        <w:rPr>
          <w:rFonts w:hint="default" w:ascii="Times New Roman" w:hAnsi="Times New Roman" w:eastAsia="仿宋" w:cs="Times New Roman"/>
          <w:szCs w:val="32"/>
          <w:lang w:eastAsia="zh-CN"/>
        </w:rPr>
      </w:pPr>
      <w:r>
        <w:rPr>
          <w:rFonts w:hint="default" w:ascii="Times New Roman" w:hAnsi="Times New Roman" w:cs="Times New Roman"/>
          <w:szCs w:val="32"/>
        </w:rPr>
        <w:t>3.《农田灌溉水质标准》</w:t>
      </w:r>
      <w:r>
        <w:rPr>
          <w:rFonts w:hint="default" w:ascii="Times New Roman" w:hAnsi="Times New Roman" w:cs="Times New Roman"/>
          <w:szCs w:val="32"/>
          <w:lang w:eastAsia="zh-CN"/>
        </w:rPr>
        <w:t>（</w:t>
      </w:r>
      <w:r>
        <w:rPr>
          <w:rFonts w:hint="default" w:ascii="Times New Roman" w:hAnsi="Times New Roman" w:cs="Times New Roman"/>
          <w:szCs w:val="32"/>
        </w:rPr>
        <w:t>GB5084—2021</w:t>
      </w:r>
      <w:r>
        <w:rPr>
          <w:rFonts w:hint="default" w:ascii="Times New Roman" w:hAnsi="Times New Roman" w:cs="Times New Roman"/>
          <w:szCs w:val="32"/>
          <w:lang w:eastAsia="zh-CN"/>
        </w:rPr>
        <w:t>）。</w:t>
      </w:r>
    </w:p>
    <w:p w14:paraId="33F59710">
      <w:pPr>
        <w:spacing w:line="560" w:lineRule="exact"/>
        <w:ind w:firstLine="640"/>
        <w:jc w:val="left"/>
        <w:rPr>
          <w:rFonts w:hint="default" w:ascii="Times New Roman" w:hAnsi="Times New Roman" w:cs="Times New Roman"/>
          <w:color w:val="auto"/>
          <w:szCs w:val="32"/>
        </w:rPr>
      </w:pPr>
      <w:r>
        <w:rPr>
          <w:rFonts w:hint="default" w:ascii="Times New Roman" w:hAnsi="Times New Roman" w:cs="Times New Roman"/>
          <w:color w:val="auto"/>
          <w:szCs w:val="32"/>
        </w:rPr>
        <w:t>4.《节水灌溉工程技术规范》（GB/T50363-2018）。</w:t>
      </w:r>
    </w:p>
    <w:p w14:paraId="45CCB931">
      <w:pPr>
        <w:spacing w:line="560" w:lineRule="exact"/>
        <w:ind w:firstLine="640"/>
        <w:jc w:val="left"/>
        <w:rPr>
          <w:rFonts w:hint="default" w:ascii="Times New Roman" w:hAnsi="Times New Roman" w:eastAsia="仿宋" w:cs="Times New Roman"/>
          <w:color w:val="auto"/>
          <w:szCs w:val="32"/>
          <w:lang w:eastAsia="zh-CN"/>
        </w:rPr>
      </w:pPr>
      <w:r>
        <w:rPr>
          <w:rFonts w:hint="default" w:ascii="Times New Roman" w:hAnsi="Times New Roman" w:cs="Times New Roman"/>
          <w:color w:val="auto"/>
          <w:szCs w:val="32"/>
          <w:lang w:val="en-US" w:eastAsia="zh-CN"/>
        </w:rPr>
        <w:t>5</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《四川省高标准农田建设技术规范》</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DB51/1872－2014</w:t>
      </w:r>
      <w:r>
        <w:rPr>
          <w:rFonts w:hint="default" w:ascii="Times New Roman" w:hAnsi="Times New Roman" w:cs="Times New Roman"/>
          <w:color w:val="auto"/>
          <w:szCs w:val="32"/>
          <w:lang w:eastAsia="zh-CN"/>
        </w:rPr>
        <w:t>）</w:t>
      </w:r>
    </w:p>
    <w:p w14:paraId="0E890C4B">
      <w:pPr>
        <w:spacing w:line="560" w:lineRule="exact"/>
        <w:ind w:firstLine="640"/>
        <w:jc w:val="left"/>
        <w:rPr>
          <w:rFonts w:hint="default" w:ascii="Times New Roman" w:hAnsi="Times New Roman" w:eastAsia="仿宋" w:cs="Times New Roman"/>
          <w:color w:val="auto"/>
          <w:szCs w:val="32"/>
          <w:lang w:eastAsia="zh-CN"/>
        </w:rPr>
      </w:pPr>
      <w:r>
        <w:rPr>
          <w:rFonts w:hint="default" w:ascii="Times New Roman" w:hAnsi="Times New Roman" w:cs="Times New Roman"/>
          <w:color w:val="auto"/>
          <w:szCs w:val="32"/>
          <w:lang w:val="en-US" w:eastAsia="zh-CN"/>
        </w:rPr>
        <w:t>6.《</w:t>
      </w:r>
      <w:r>
        <w:rPr>
          <w:rFonts w:hint="default" w:ascii="Times New Roman" w:hAnsi="Times New Roman" w:cs="Times New Roman"/>
          <w:color w:val="auto"/>
          <w:szCs w:val="32"/>
        </w:rPr>
        <w:t>高标准农田建设通则》</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GB/T 30600—2022</w:t>
      </w:r>
      <w:r>
        <w:rPr>
          <w:rFonts w:hint="default" w:ascii="Times New Roman" w:hAnsi="Times New Roman" w:cs="Times New Roman"/>
          <w:color w:val="auto"/>
          <w:szCs w:val="32"/>
          <w:lang w:eastAsia="zh-CN"/>
        </w:rPr>
        <w:t>）。</w:t>
      </w:r>
    </w:p>
    <w:p w14:paraId="46ADFBAF">
      <w:pPr>
        <w:spacing w:line="560" w:lineRule="exact"/>
        <w:ind w:firstLine="640"/>
        <w:jc w:val="left"/>
        <w:rPr>
          <w:rFonts w:hint="default" w:ascii="Times New Roman" w:hAnsi="Times New Roman" w:eastAsia="仿宋" w:cs="Times New Roman"/>
          <w:color w:val="auto"/>
          <w:szCs w:val="32"/>
          <w:lang w:eastAsia="zh-CN"/>
        </w:rPr>
      </w:pPr>
      <w:r>
        <w:rPr>
          <w:rFonts w:hint="default" w:ascii="Times New Roman" w:hAnsi="Times New Roman" w:cs="Times New Roman"/>
          <w:color w:val="auto"/>
          <w:szCs w:val="32"/>
          <w:lang w:val="en-US" w:eastAsia="zh-CN"/>
        </w:rPr>
        <w:t>7.</w:t>
      </w:r>
      <w:r>
        <w:rPr>
          <w:rFonts w:hint="default" w:ascii="Times New Roman" w:hAnsi="Times New Roman" w:cs="Times New Roman"/>
          <w:color w:val="auto"/>
          <w:szCs w:val="32"/>
        </w:rPr>
        <w:t>《高标准农田建设标准》</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NY/T 2148－2012</w:t>
      </w:r>
      <w:r>
        <w:rPr>
          <w:rFonts w:hint="default" w:ascii="Times New Roman" w:hAnsi="Times New Roman" w:cs="Times New Roman"/>
          <w:color w:val="auto"/>
          <w:szCs w:val="32"/>
          <w:lang w:eastAsia="zh-CN"/>
        </w:rPr>
        <w:t>）。</w:t>
      </w:r>
    </w:p>
    <w:p w14:paraId="4D3010EF">
      <w:pPr>
        <w:spacing w:line="560" w:lineRule="exact"/>
        <w:ind w:firstLine="640"/>
        <w:jc w:val="left"/>
        <w:rPr>
          <w:rFonts w:hint="default" w:ascii="Times New Roman" w:hAnsi="Times New Roman" w:eastAsia="仿宋" w:cs="Times New Roman"/>
          <w:color w:val="auto"/>
          <w:szCs w:val="32"/>
          <w:lang w:eastAsia="zh-CN"/>
        </w:rPr>
      </w:pPr>
      <w:r>
        <w:rPr>
          <w:rFonts w:hint="default" w:ascii="Times New Roman" w:hAnsi="Times New Roman" w:cs="Times New Roman"/>
          <w:color w:val="auto"/>
          <w:szCs w:val="32"/>
          <w:lang w:val="en-US" w:eastAsia="zh-CN"/>
        </w:rPr>
        <w:t>8.</w:t>
      </w:r>
      <w:r>
        <w:rPr>
          <w:rFonts w:hint="default" w:ascii="Times New Roman" w:hAnsi="Times New Roman" w:cs="Times New Roman"/>
          <w:color w:val="auto"/>
          <w:szCs w:val="32"/>
        </w:rPr>
        <w:t>《高标准农田建设技术规范》</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NY/T 2949-2016</w:t>
      </w:r>
      <w:r>
        <w:rPr>
          <w:rFonts w:hint="default" w:ascii="Times New Roman" w:hAnsi="Times New Roman" w:cs="Times New Roman"/>
          <w:color w:val="auto"/>
          <w:szCs w:val="32"/>
          <w:lang w:eastAsia="zh-CN"/>
        </w:rPr>
        <w:t>）。</w:t>
      </w:r>
    </w:p>
    <w:bookmarkEnd w:id="32"/>
    <w:bookmarkEnd w:id="33"/>
    <w:p w14:paraId="4CA074F3">
      <w:pPr>
        <w:spacing w:line="560" w:lineRule="exact"/>
        <w:ind w:firstLine="640"/>
        <w:outlineLvl w:val="0"/>
        <w:rPr>
          <w:rFonts w:hint="default" w:ascii="Times New Roman" w:hAnsi="Times New Roman" w:eastAsia="黑体" w:cs="Times New Roman"/>
          <w:b/>
          <w:bCs/>
          <w:color w:val="auto"/>
          <w:szCs w:val="22"/>
        </w:rPr>
      </w:pPr>
      <w:bookmarkStart w:id="69" w:name="_Toc86224143"/>
      <w:bookmarkStart w:id="70" w:name="_Toc136706207"/>
      <w:bookmarkStart w:id="71" w:name="_Toc7133"/>
      <w:bookmarkStart w:id="72" w:name="_Toc41234175"/>
      <w:bookmarkStart w:id="73" w:name="_Toc10642468"/>
      <w:bookmarkStart w:id="74" w:name="_Toc45615464"/>
      <w:bookmarkStart w:id="75" w:name="_Toc51542585"/>
      <w:bookmarkStart w:id="76" w:name="_Toc51542595"/>
      <w:bookmarkStart w:id="77" w:name="_Toc45615463"/>
      <w:r>
        <w:rPr>
          <w:rFonts w:hint="default" w:ascii="Times New Roman" w:hAnsi="Times New Roman" w:eastAsia="黑体" w:cs="Times New Roman"/>
          <w:b/>
          <w:bCs/>
          <w:color w:val="auto"/>
          <w:szCs w:val="22"/>
        </w:rPr>
        <w:t>三、总体评价</w:t>
      </w:r>
      <w:bookmarkEnd w:id="69"/>
      <w:bookmarkEnd w:id="70"/>
      <w:bookmarkEnd w:id="71"/>
    </w:p>
    <w:p w14:paraId="0F3B01C2">
      <w:pPr>
        <w:spacing w:line="560" w:lineRule="exact"/>
        <w:ind w:firstLine="643"/>
        <w:outlineLvl w:val="1"/>
        <w:rPr>
          <w:rFonts w:hint="default" w:ascii="Times New Roman" w:hAnsi="Times New Roman" w:eastAsia="楷体" w:cs="Times New Roman"/>
          <w:b/>
          <w:bCs/>
          <w:color w:val="auto"/>
          <w:szCs w:val="22"/>
        </w:rPr>
      </w:pPr>
      <w:bookmarkStart w:id="78" w:name="_Toc910"/>
      <w:bookmarkStart w:id="79" w:name="_Toc81550679"/>
      <w:bookmarkStart w:id="80" w:name="_Toc136706208"/>
      <w:bookmarkStart w:id="81" w:name="_Toc86224144"/>
      <w:r>
        <w:rPr>
          <w:rFonts w:hint="default" w:ascii="Times New Roman" w:hAnsi="Times New Roman" w:eastAsia="楷体" w:cs="Times New Roman"/>
          <w:b/>
          <w:bCs/>
          <w:color w:val="auto"/>
          <w:szCs w:val="22"/>
        </w:rPr>
        <w:t>（一）主要绩效</w:t>
      </w:r>
      <w:bookmarkEnd w:id="78"/>
      <w:bookmarkEnd w:id="79"/>
      <w:bookmarkEnd w:id="80"/>
      <w:bookmarkEnd w:id="81"/>
    </w:p>
    <w:p w14:paraId="2EDB52D4">
      <w:pPr>
        <w:pStyle w:val="2"/>
        <w:spacing w:line="560"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lang w:val="en-US" w:eastAsia="zh-CN"/>
        </w:rPr>
        <w:t>罗江区农业农村局2023</w:t>
      </w:r>
      <w:r>
        <w:rPr>
          <w:rFonts w:hint="default" w:ascii="Times New Roman" w:hAnsi="Times New Roman" w:eastAsia="仿宋" w:cs="Times New Roman"/>
          <w:szCs w:val="32"/>
        </w:rPr>
        <w:t>年高标准农田建设项目立项依据充分，</w:t>
      </w:r>
      <w:bookmarkStart w:id="82" w:name="_Hlk82541056"/>
      <w:r>
        <w:rPr>
          <w:rFonts w:hint="default" w:ascii="Times New Roman" w:hAnsi="Times New Roman" w:eastAsia="仿宋" w:cs="Times New Roman"/>
          <w:szCs w:val="32"/>
        </w:rPr>
        <w:t>主管单位具有健全的业务与财务管理制度，有效保障了项目实施的合理规范与质量可控。</w:t>
      </w:r>
    </w:p>
    <w:p w14:paraId="231D8AE0">
      <w:pPr>
        <w:pStyle w:val="2"/>
        <w:spacing w:line="560"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项目计划通过</w:t>
      </w:r>
      <w:r>
        <w:rPr>
          <w:rFonts w:hint="default" w:ascii="Times New Roman" w:hAnsi="Times New Roman" w:cs="Times New Roman"/>
          <w:szCs w:val="32"/>
          <w:lang w:val="en-US" w:eastAsia="zh-CN"/>
        </w:rPr>
        <w:t>土地平整、</w:t>
      </w:r>
      <w:r>
        <w:rPr>
          <w:rFonts w:hint="default" w:ascii="Times New Roman" w:hAnsi="Times New Roman" w:cs="Times New Roman"/>
          <w:szCs w:val="32"/>
        </w:rPr>
        <w:t>土壤改良、灌溉</w:t>
      </w:r>
      <w:r>
        <w:rPr>
          <w:rFonts w:hint="default" w:ascii="Times New Roman" w:hAnsi="Times New Roman" w:cs="Times New Roman"/>
          <w:szCs w:val="32"/>
          <w:lang w:val="en-US" w:eastAsia="zh-CN"/>
        </w:rPr>
        <w:t>和</w:t>
      </w:r>
      <w:r>
        <w:rPr>
          <w:rFonts w:hint="default" w:ascii="Times New Roman" w:hAnsi="Times New Roman" w:cs="Times New Roman"/>
          <w:szCs w:val="32"/>
        </w:rPr>
        <w:t>排水、田间道路建设、科技推广等</w:t>
      </w:r>
      <w:r>
        <w:rPr>
          <w:rFonts w:hint="default" w:ascii="Times New Roman" w:hAnsi="Times New Roman" w:eastAsia="仿宋" w:cs="Times New Roman"/>
          <w:szCs w:val="32"/>
        </w:rPr>
        <w:t>，对</w:t>
      </w:r>
      <w:r>
        <w:rPr>
          <w:rFonts w:hint="default" w:ascii="Times New Roman" w:hAnsi="Times New Roman" w:eastAsia="仿宋" w:cs="Times New Roman"/>
          <w:szCs w:val="32"/>
          <w:lang w:val="en-US" w:eastAsia="zh-CN"/>
        </w:rPr>
        <w:t>新盛镇金龙村、罗汉村、老君村和金山镇茅庵堂村共4</w:t>
      </w:r>
      <w:r>
        <w:rPr>
          <w:rFonts w:hint="default" w:ascii="Times New Roman" w:hAnsi="Times New Roman" w:eastAsia="仿宋" w:cs="Times New Roman"/>
          <w:szCs w:val="32"/>
        </w:rPr>
        <w:t>个村规划建设</w:t>
      </w:r>
      <w:r>
        <w:rPr>
          <w:rFonts w:hint="default" w:ascii="Times New Roman" w:hAnsi="Times New Roman" w:eastAsia="仿宋" w:cs="Times New Roman"/>
          <w:szCs w:val="32"/>
          <w:lang w:val="en-US" w:eastAsia="zh-CN"/>
        </w:rPr>
        <w:t>0.75万</w:t>
      </w:r>
      <w:r>
        <w:rPr>
          <w:rFonts w:hint="default" w:ascii="Times New Roman" w:hAnsi="Times New Roman" w:eastAsia="仿宋" w:cs="Times New Roman"/>
          <w:szCs w:val="32"/>
        </w:rPr>
        <w:t>亩高标准农田。</w:t>
      </w:r>
      <w:r>
        <w:rPr>
          <w:rFonts w:hint="default" w:ascii="Times New Roman" w:hAnsi="Times New Roman" w:eastAsia="仿宋" w:cs="Times New Roman"/>
          <w:szCs w:val="32"/>
          <w:lang w:eastAsia="zh-CN"/>
        </w:rPr>
        <w:t>截至</w:t>
      </w:r>
      <w:r>
        <w:rPr>
          <w:rFonts w:hint="default" w:ascii="Times New Roman" w:hAnsi="Times New Roman" w:eastAsia="仿宋" w:cs="Times New Roman"/>
          <w:szCs w:val="32"/>
        </w:rPr>
        <w:t>评价日，项目实际完成</w:t>
      </w:r>
      <w:r>
        <w:rPr>
          <w:rFonts w:hint="default" w:ascii="Times New Roman" w:hAnsi="Times New Roman" w:eastAsia="仿宋" w:cs="Times New Roman"/>
          <w:szCs w:val="32"/>
          <w:lang w:val="en-US" w:eastAsia="zh-CN"/>
        </w:rPr>
        <w:t>田型调整面积906.14亩、土壤改良0.75万亩、建设衬砌渠道30.91km、高效节水灌溉0.1万亩、建设机耕道2.23km、建设生产道路8.54km、其他田间道路6.63km，</w:t>
      </w:r>
      <w:r>
        <w:rPr>
          <w:rFonts w:hint="default" w:ascii="Times New Roman" w:hAnsi="Times New Roman" w:eastAsia="仿宋" w:cs="Times New Roman"/>
          <w:szCs w:val="32"/>
        </w:rPr>
        <w:t>目标任务完成率100%。</w:t>
      </w:r>
    </w:p>
    <w:p w14:paraId="742A5C33">
      <w:pPr>
        <w:pStyle w:val="2"/>
        <w:spacing w:line="560"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项目的实施，</w:t>
      </w:r>
      <w:r>
        <w:rPr>
          <w:rFonts w:hint="default" w:ascii="Times New Roman" w:hAnsi="Times New Roman" w:eastAsia="仿宋" w:cs="Times New Roman"/>
          <w:szCs w:val="32"/>
          <w:lang w:val="en-US" w:eastAsia="zh-CN"/>
        </w:rPr>
        <w:t>相对</w:t>
      </w:r>
      <w:r>
        <w:rPr>
          <w:rFonts w:hint="default" w:ascii="Times New Roman" w:hAnsi="Times New Roman" w:eastAsia="仿宋" w:cs="Times New Roman"/>
          <w:szCs w:val="32"/>
        </w:rPr>
        <w:t>提高了</w:t>
      </w:r>
      <w:r>
        <w:rPr>
          <w:rFonts w:hint="default" w:ascii="Times New Roman" w:hAnsi="Times New Roman" w:eastAsia="仿宋" w:cs="Times New Roman"/>
          <w:szCs w:val="32"/>
          <w:lang w:val="en-US" w:eastAsia="zh-CN"/>
        </w:rPr>
        <w:t>区域</w:t>
      </w:r>
      <w:r>
        <w:rPr>
          <w:rFonts w:hint="default" w:ascii="Times New Roman" w:hAnsi="Times New Roman" w:eastAsia="仿宋" w:cs="Times New Roman"/>
          <w:szCs w:val="32"/>
        </w:rPr>
        <w:t>粮食综合生产能力，推动了农业生产方式转型升级，改善了农田生态环境，拓宽了农民增收致富渠道</w:t>
      </w:r>
      <w:bookmarkEnd w:id="82"/>
      <w:bookmarkStart w:id="83" w:name="_Toc79394811"/>
      <w:bookmarkStart w:id="84" w:name="_Toc81550680"/>
      <w:bookmarkStart w:id="85" w:name="_Toc86224145"/>
      <w:r>
        <w:rPr>
          <w:rFonts w:hint="default" w:ascii="Times New Roman" w:hAnsi="Times New Roman" w:eastAsia="仿宋" w:cs="Times New Roman"/>
          <w:szCs w:val="32"/>
        </w:rPr>
        <w:t>，具有</w:t>
      </w:r>
      <w:r>
        <w:rPr>
          <w:rFonts w:hint="default" w:ascii="Times New Roman" w:hAnsi="Times New Roman" w:eastAsia="仿宋" w:cs="Times New Roman"/>
          <w:szCs w:val="32"/>
          <w:lang w:val="en-US" w:eastAsia="zh-CN"/>
        </w:rPr>
        <w:t>一定的</w:t>
      </w:r>
      <w:r>
        <w:rPr>
          <w:rFonts w:hint="default" w:ascii="Times New Roman" w:hAnsi="Times New Roman" w:eastAsia="仿宋" w:cs="Times New Roman"/>
          <w:szCs w:val="32"/>
        </w:rPr>
        <w:t>生态与社会效益。</w:t>
      </w:r>
    </w:p>
    <w:p w14:paraId="499B646B">
      <w:pPr>
        <w:spacing w:line="560" w:lineRule="exact"/>
        <w:ind w:firstLine="643"/>
        <w:outlineLvl w:val="1"/>
        <w:rPr>
          <w:rFonts w:hint="default" w:ascii="Times New Roman" w:hAnsi="Times New Roman" w:eastAsia="楷体" w:cs="Times New Roman"/>
          <w:b/>
          <w:bCs/>
          <w:color w:val="auto"/>
          <w:szCs w:val="22"/>
        </w:rPr>
      </w:pPr>
      <w:bookmarkStart w:id="86" w:name="_Toc136706209"/>
      <w:bookmarkStart w:id="87" w:name="_Toc14515"/>
      <w:r>
        <w:rPr>
          <w:rFonts w:hint="default" w:ascii="Times New Roman" w:hAnsi="Times New Roman" w:eastAsia="楷体" w:cs="Times New Roman"/>
          <w:b/>
          <w:bCs/>
          <w:color w:val="auto"/>
          <w:szCs w:val="22"/>
        </w:rPr>
        <w:t>（二）</w:t>
      </w:r>
      <w:bookmarkEnd w:id="83"/>
      <w:r>
        <w:rPr>
          <w:rFonts w:hint="default" w:ascii="Times New Roman" w:hAnsi="Times New Roman" w:eastAsia="楷体" w:cs="Times New Roman"/>
          <w:b/>
          <w:bCs/>
          <w:color w:val="auto"/>
          <w:szCs w:val="22"/>
        </w:rPr>
        <w:t>指标评分结果</w:t>
      </w:r>
      <w:bookmarkEnd w:id="84"/>
      <w:bookmarkEnd w:id="85"/>
      <w:bookmarkEnd w:id="86"/>
      <w:bookmarkEnd w:id="87"/>
    </w:p>
    <w:p w14:paraId="28F65098">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根据</w:t>
      </w:r>
      <w:r>
        <w:rPr>
          <w:rFonts w:hint="default" w:ascii="Times New Roman" w:hAnsi="Times New Roman" w:cs="Times New Roman"/>
          <w:szCs w:val="32"/>
          <w:lang w:val="en-US" w:eastAsia="zh-CN"/>
        </w:rPr>
        <w:t>德阳市罗江区财政局</w:t>
      </w:r>
      <w:r>
        <w:rPr>
          <w:rFonts w:hint="default" w:ascii="Times New Roman" w:hAnsi="Times New Roman" w:cs="Times New Roman"/>
          <w:szCs w:val="32"/>
        </w:rPr>
        <w:t>《</w:t>
      </w:r>
      <w:r>
        <w:rPr>
          <w:rFonts w:hint="default" w:ascii="Times New Roman" w:hAnsi="Times New Roman" w:cs="Times New Roman"/>
          <w:szCs w:val="32"/>
          <w:lang w:val="en-US" w:eastAsia="zh-CN"/>
        </w:rPr>
        <w:t>关于开展2024年重点绩效评价工作</w:t>
      </w:r>
      <w:r>
        <w:rPr>
          <w:rFonts w:hint="default" w:ascii="Times New Roman" w:hAnsi="Times New Roman" w:cs="Times New Roman"/>
          <w:szCs w:val="32"/>
        </w:rPr>
        <w:t>的通知》（</w:t>
      </w:r>
      <w:r>
        <w:rPr>
          <w:rFonts w:hint="default" w:ascii="Times New Roman" w:hAnsi="Times New Roman" w:cs="Times New Roman"/>
          <w:szCs w:val="32"/>
          <w:lang w:val="en-US" w:eastAsia="zh-CN"/>
        </w:rPr>
        <w:t>德市罗财绩</w:t>
      </w:r>
      <w:r>
        <w:rPr>
          <w:rFonts w:hint="default" w:ascii="Times New Roman" w:hAnsi="Times New Roman" w:cs="Times New Roman"/>
          <w:szCs w:val="32"/>
        </w:rPr>
        <w:t>〔202</w:t>
      </w:r>
      <w:r>
        <w:rPr>
          <w:rFonts w:hint="default" w:ascii="Times New Roman" w:hAnsi="Times New Roman" w:cs="Times New Roman"/>
          <w:szCs w:val="32"/>
          <w:lang w:val="en-US" w:eastAsia="zh-CN"/>
        </w:rPr>
        <w:t>4</w:t>
      </w:r>
      <w:r>
        <w:rPr>
          <w:rFonts w:hint="default" w:ascii="Times New Roman" w:hAnsi="Times New Roman" w:cs="Times New Roman"/>
          <w:szCs w:val="32"/>
        </w:rPr>
        <w:t>〕</w:t>
      </w:r>
      <w:r>
        <w:rPr>
          <w:rFonts w:hint="default" w:ascii="Times New Roman" w:hAnsi="Times New Roman" w:cs="Times New Roman"/>
          <w:szCs w:val="32"/>
          <w:lang w:val="en-US" w:eastAsia="zh-CN"/>
        </w:rPr>
        <w:t>5</w:t>
      </w:r>
      <w:r>
        <w:rPr>
          <w:rFonts w:hint="default" w:ascii="Times New Roman" w:hAnsi="Times New Roman" w:cs="Times New Roman"/>
          <w:szCs w:val="32"/>
        </w:rPr>
        <w:t>号）</w:t>
      </w:r>
      <w:r>
        <w:rPr>
          <w:rFonts w:hint="default" w:ascii="Times New Roman" w:hAnsi="Times New Roman" w:cs="Times New Roman"/>
          <w:szCs w:val="32"/>
          <w:lang w:eastAsia="zh-CN"/>
        </w:rPr>
        <w:t>，</w:t>
      </w:r>
      <w:r>
        <w:rPr>
          <w:rFonts w:hint="default" w:ascii="Times New Roman" w:hAnsi="Times New Roman" w:cs="Times New Roman"/>
          <w:szCs w:val="32"/>
        </w:rPr>
        <w:t>按照财政项目支出绩效评价共性指标体系框架和评分标准，评价指标体系设置为</w:t>
      </w:r>
      <w:r>
        <w:rPr>
          <w:rFonts w:hint="default" w:ascii="Times New Roman" w:hAnsi="Times New Roman" w:cs="Times New Roman"/>
          <w:szCs w:val="32"/>
          <w:lang w:val="en-US" w:eastAsia="zh-CN"/>
        </w:rPr>
        <w:t>投入</w:t>
      </w:r>
      <w:r>
        <w:rPr>
          <w:rFonts w:hint="default" w:ascii="Times New Roman" w:hAnsi="Times New Roman" w:cs="Times New Roman"/>
          <w:szCs w:val="32"/>
        </w:rPr>
        <w:t>、</w:t>
      </w:r>
      <w:r>
        <w:rPr>
          <w:rFonts w:hint="default" w:ascii="Times New Roman" w:hAnsi="Times New Roman" w:cs="Times New Roman"/>
          <w:szCs w:val="32"/>
          <w:lang w:val="en-US" w:eastAsia="zh-CN"/>
        </w:rPr>
        <w:t>过程</w:t>
      </w:r>
      <w:r>
        <w:rPr>
          <w:rFonts w:hint="default" w:ascii="Times New Roman" w:hAnsi="Times New Roman" w:cs="Times New Roman"/>
          <w:szCs w:val="32"/>
        </w:rPr>
        <w:t>、</w:t>
      </w:r>
      <w:r>
        <w:rPr>
          <w:rFonts w:hint="default" w:ascii="Times New Roman" w:hAnsi="Times New Roman" w:cs="Times New Roman"/>
          <w:szCs w:val="32"/>
          <w:lang w:val="en-US" w:eastAsia="zh-CN"/>
        </w:rPr>
        <w:t>产出</w:t>
      </w:r>
      <w:r>
        <w:rPr>
          <w:rFonts w:hint="default" w:ascii="Times New Roman" w:hAnsi="Times New Roman" w:cs="Times New Roman"/>
          <w:szCs w:val="32"/>
        </w:rPr>
        <w:t>、</w:t>
      </w:r>
      <w:r>
        <w:rPr>
          <w:rFonts w:hint="default" w:ascii="Times New Roman" w:hAnsi="Times New Roman" w:cs="Times New Roman"/>
          <w:szCs w:val="32"/>
          <w:lang w:val="en-US" w:eastAsia="zh-CN"/>
        </w:rPr>
        <w:t>效益</w:t>
      </w:r>
      <w:r>
        <w:rPr>
          <w:rFonts w:hint="default" w:ascii="Times New Roman" w:hAnsi="Times New Roman" w:cs="Times New Roman"/>
          <w:szCs w:val="32"/>
        </w:rPr>
        <w:t>情况</w:t>
      </w:r>
      <w:r>
        <w:rPr>
          <w:rFonts w:hint="default" w:ascii="Times New Roman" w:hAnsi="Times New Roman" w:cs="Times New Roman"/>
          <w:szCs w:val="32"/>
          <w:lang w:val="en-US" w:eastAsia="zh-CN"/>
        </w:rPr>
        <w:t>4</w:t>
      </w:r>
      <w:r>
        <w:rPr>
          <w:rFonts w:hint="default" w:ascii="Times New Roman" w:hAnsi="Times New Roman" w:cs="Times New Roman"/>
          <w:szCs w:val="32"/>
        </w:rPr>
        <w:t>大类一级指标，</w:t>
      </w:r>
      <w:r>
        <w:rPr>
          <w:rFonts w:hint="default" w:ascii="Times New Roman" w:hAnsi="Times New Roman" w:cs="Times New Roman"/>
          <w:szCs w:val="32"/>
          <w:lang w:val="en-US" w:eastAsia="zh-CN"/>
        </w:rPr>
        <w:t>12</w:t>
      </w:r>
      <w:r>
        <w:rPr>
          <w:rFonts w:hint="default" w:ascii="Times New Roman" w:hAnsi="Times New Roman" w:cs="Times New Roman"/>
          <w:szCs w:val="32"/>
        </w:rPr>
        <w:t>项二级指标和</w:t>
      </w:r>
      <w:r>
        <w:rPr>
          <w:rFonts w:hint="default" w:ascii="Times New Roman" w:hAnsi="Times New Roman" w:cs="Times New Roman"/>
          <w:szCs w:val="32"/>
          <w:highlight w:val="none"/>
        </w:rPr>
        <w:t>2</w:t>
      </w:r>
      <w:r>
        <w:rPr>
          <w:rFonts w:hint="default" w:ascii="Times New Roman" w:hAnsi="Times New Roman" w:cs="Times New Roman"/>
          <w:szCs w:val="32"/>
          <w:highlight w:val="none"/>
          <w:lang w:val="en-US" w:eastAsia="zh-CN"/>
        </w:rPr>
        <w:t>0</w:t>
      </w:r>
      <w:r>
        <w:rPr>
          <w:rFonts w:hint="default" w:ascii="Times New Roman" w:hAnsi="Times New Roman" w:cs="Times New Roman"/>
          <w:szCs w:val="32"/>
        </w:rPr>
        <w:t>项三级指标。一级指标权重分别为20%、20%、</w:t>
      </w:r>
      <w:r>
        <w:rPr>
          <w:rFonts w:hint="default" w:ascii="Times New Roman" w:hAnsi="Times New Roman" w:cs="Times New Roman"/>
          <w:szCs w:val="32"/>
          <w:lang w:val="en-US" w:eastAsia="zh-CN"/>
        </w:rPr>
        <w:t>3</w:t>
      </w:r>
      <w:r>
        <w:rPr>
          <w:rFonts w:hint="default" w:ascii="Times New Roman" w:hAnsi="Times New Roman" w:cs="Times New Roman"/>
          <w:szCs w:val="32"/>
        </w:rPr>
        <w:t>0%、</w:t>
      </w:r>
      <w:r>
        <w:rPr>
          <w:rFonts w:hint="default" w:ascii="Times New Roman" w:hAnsi="Times New Roman" w:cs="Times New Roman"/>
          <w:szCs w:val="32"/>
          <w:lang w:val="en-US" w:eastAsia="zh-CN"/>
        </w:rPr>
        <w:t>30</w:t>
      </w:r>
      <w:r>
        <w:rPr>
          <w:rFonts w:hint="default" w:ascii="Times New Roman" w:hAnsi="Times New Roman" w:cs="Times New Roman"/>
          <w:szCs w:val="32"/>
        </w:rPr>
        <w:t>%。</w:t>
      </w:r>
    </w:p>
    <w:p w14:paraId="20A062E0">
      <w:pPr>
        <w:keepNext w:val="0"/>
        <w:keepLines w:val="0"/>
        <w:pageBreakBefore w:val="0"/>
        <w:widowControl w:val="0"/>
        <w:kinsoku/>
        <w:wordWrap/>
        <w:overflowPunct/>
        <w:topLinePunct w:val="0"/>
        <w:autoSpaceDE/>
        <w:autoSpaceDN/>
        <w:bidi w:val="0"/>
        <w:adjustRightInd w:val="0"/>
        <w:snapToGrid w:val="0"/>
        <w:spacing w:line="570" w:lineRule="exact"/>
        <w:textAlignment w:val="auto"/>
        <w:rPr>
          <w:rFonts w:hint="default" w:ascii="Times New Roman" w:hAnsi="Times New Roman" w:eastAsia="仿宋" w:cs="Times New Roman"/>
        </w:rPr>
      </w:pPr>
      <w:r>
        <w:rPr>
          <w:rFonts w:hint="default" w:ascii="Times New Roman" w:hAnsi="Times New Roman" w:eastAsia="仿宋" w:cs="Times New Roman"/>
        </w:rPr>
        <w:t>依据绩效评价指标综合得分，项目绩效评价结果分为：优（90分以上，含90分）、良（80</w:t>
      </w:r>
      <w:r>
        <w:rPr>
          <w:rFonts w:hint="default" w:ascii="Times New Roman" w:hAnsi="Times New Roman" w:cs="Times New Roman"/>
          <w:lang w:eastAsia="zh-CN"/>
        </w:rPr>
        <w:t>—</w:t>
      </w:r>
      <w:r>
        <w:rPr>
          <w:rFonts w:hint="default" w:ascii="Times New Roman" w:hAnsi="Times New Roman" w:eastAsia="仿宋" w:cs="Times New Roman"/>
        </w:rPr>
        <w:t>90分，含80分）、</w:t>
      </w:r>
      <w:r>
        <w:rPr>
          <w:rFonts w:hint="default" w:ascii="Times New Roman" w:hAnsi="Times New Roman" w:eastAsia="仿宋" w:cs="Times New Roman"/>
          <w:lang w:val="en-US" w:eastAsia="zh-CN"/>
        </w:rPr>
        <w:t>中</w:t>
      </w:r>
      <w:r>
        <w:rPr>
          <w:rFonts w:hint="default" w:ascii="Times New Roman" w:hAnsi="Times New Roman" w:eastAsia="仿宋" w:cs="Times New Roman"/>
        </w:rPr>
        <w:t>（60</w:t>
      </w:r>
      <w:r>
        <w:rPr>
          <w:rFonts w:hint="default" w:ascii="Times New Roman" w:hAnsi="Times New Roman" w:cs="Times New Roman"/>
          <w:lang w:eastAsia="zh-CN"/>
        </w:rPr>
        <w:t>—</w:t>
      </w:r>
      <w:r>
        <w:rPr>
          <w:rFonts w:hint="default" w:ascii="Times New Roman" w:hAnsi="Times New Roman" w:eastAsia="仿宋" w:cs="Times New Roman"/>
        </w:rPr>
        <w:t>80分，含60分）、差（60分以下）四个级别。</w:t>
      </w:r>
    </w:p>
    <w:p w14:paraId="0062358D">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经过综合评价与指标评分，“</w:t>
      </w:r>
      <w:r>
        <w:rPr>
          <w:rFonts w:hint="default" w:ascii="Times New Roman" w:hAnsi="Times New Roman" w:cs="Times New Roman"/>
          <w:szCs w:val="32"/>
          <w:lang w:val="en-US" w:eastAsia="zh-CN"/>
        </w:rPr>
        <w:t>罗江区农业农村局2023</w:t>
      </w:r>
      <w:r>
        <w:rPr>
          <w:rFonts w:hint="default" w:ascii="Times New Roman" w:hAnsi="Times New Roman" w:cs="Times New Roman"/>
          <w:szCs w:val="32"/>
        </w:rPr>
        <w:t>年高标准农田建设项目”评价得分</w:t>
      </w:r>
      <w:r>
        <w:rPr>
          <w:rFonts w:hint="default" w:ascii="Times New Roman" w:hAnsi="Times New Roman" w:cs="Times New Roman"/>
          <w:szCs w:val="32"/>
          <w:highlight w:val="none"/>
        </w:rPr>
        <w:t>：</w:t>
      </w:r>
      <w:r>
        <w:rPr>
          <w:rFonts w:hint="default" w:ascii="Times New Roman" w:hAnsi="Times New Roman" w:cs="Times New Roman"/>
          <w:szCs w:val="32"/>
          <w:highlight w:val="none"/>
          <w:lang w:val="en-US" w:eastAsia="zh-CN"/>
        </w:rPr>
        <w:t>90.50</w:t>
      </w:r>
      <w:r>
        <w:rPr>
          <w:rFonts w:hint="default" w:ascii="Times New Roman" w:hAnsi="Times New Roman" w:cs="Times New Roman"/>
          <w:b/>
          <w:szCs w:val="32"/>
          <w:highlight w:val="none"/>
        </w:rPr>
        <w:t>分</w:t>
      </w:r>
      <w:r>
        <w:rPr>
          <w:rFonts w:hint="default" w:ascii="Times New Roman" w:hAnsi="Times New Roman" w:cs="Times New Roman"/>
          <w:szCs w:val="32"/>
        </w:rPr>
        <w:t>。根据级别划分标准，项目评价结果为</w:t>
      </w:r>
      <w:r>
        <w:rPr>
          <w:rFonts w:hint="default" w:ascii="Times New Roman" w:hAnsi="Times New Roman" w:cs="Times New Roman"/>
          <w:b/>
          <w:szCs w:val="32"/>
        </w:rPr>
        <w:t>“</w:t>
      </w:r>
      <w:r>
        <w:rPr>
          <w:rFonts w:hint="default" w:ascii="Times New Roman" w:hAnsi="Times New Roman" w:cs="Times New Roman"/>
          <w:b/>
          <w:szCs w:val="32"/>
          <w:lang w:val="en-US" w:eastAsia="zh-CN"/>
        </w:rPr>
        <w:t>优</w:t>
      </w:r>
      <w:r>
        <w:rPr>
          <w:rFonts w:hint="default" w:ascii="Times New Roman" w:hAnsi="Times New Roman" w:cs="Times New Roman"/>
          <w:b/>
          <w:szCs w:val="32"/>
        </w:rPr>
        <w:t>”</w:t>
      </w:r>
      <w:r>
        <w:rPr>
          <w:rFonts w:hint="default" w:ascii="Times New Roman" w:hAnsi="Times New Roman" w:cs="Times New Roman"/>
          <w:szCs w:val="32"/>
        </w:rPr>
        <w:t>。</w:t>
      </w:r>
      <w:bookmarkStart w:id="88" w:name="_Hlk55896026"/>
      <w:r>
        <w:rPr>
          <w:rFonts w:hint="default" w:ascii="Times New Roman" w:hAnsi="Times New Roman" w:cs="Times New Roman"/>
          <w:szCs w:val="32"/>
        </w:rPr>
        <w:t>各项指标设置及得分详细情况如下表所示。</w:t>
      </w:r>
    </w:p>
    <w:bookmarkEnd w:id="88"/>
    <w:p w14:paraId="70802807">
      <w:pPr>
        <w:overflowPunct w:val="0"/>
        <w:autoSpaceDE w:val="0"/>
        <w:autoSpaceDN w:val="0"/>
        <w:spacing w:line="560" w:lineRule="exact"/>
        <w:ind w:firstLine="0" w:firstLineChars="0"/>
        <w:jc w:val="center"/>
        <w:rPr>
          <w:rFonts w:hint="default" w:ascii="Times New Roman" w:hAnsi="Times New Roman" w:eastAsia="楷体" w:cs="Times New Roman"/>
          <w:b/>
          <w:sz w:val="30"/>
          <w:szCs w:val="30"/>
        </w:rPr>
      </w:pPr>
      <w:bookmarkStart w:id="89" w:name="_Toc136706210"/>
      <w:bookmarkStart w:id="90" w:name="_Toc86224146"/>
      <w:r>
        <w:rPr>
          <w:rFonts w:hint="default" w:ascii="Times New Roman" w:hAnsi="Times New Roman" w:eastAsia="楷体" w:cs="Times New Roman"/>
          <w:b/>
          <w:sz w:val="30"/>
          <w:szCs w:val="30"/>
        </w:rPr>
        <w:t>表</w:t>
      </w:r>
      <w:r>
        <w:rPr>
          <w:rFonts w:hint="default" w:ascii="Times New Roman" w:hAnsi="Times New Roman" w:eastAsia="楷体" w:cs="Times New Roman"/>
          <w:b/>
          <w:sz w:val="30"/>
          <w:szCs w:val="30"/>
          <w:lang w:val="en-US" w:eastAsia="zh-CN"/>
        </w:rPr>
        <w:t>3-1</w:t>
      </w:r>
      <w:r>
        <w:rPr>
          <w:rFonts w:hint="default" w:ascii="Times New Roman" w:hAnsi="Times New Roman" w:eastAsia="楷体" w:cs="Times New Roman"/>
          <w:b/>
          <w:sz w:val="30"/>
          <w:szCs w:val="30"/>
        </w:rPr>
        <w:t>：项目绩效评价指标评分表</w:t>
      </w:r>
    </w:p>
    <w:tbl>
      <w:tblPr>
        <w:tblStyle w:val="69"/>
        <w:tblW w:w="8878"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851"/>
        <w:gridCol w:w="1397"/>
        <w:gridCol w:w="1013"/>
        <w:gridCol w:w="1026"/>
        <w:gridCol w:w="2659"/>
        <w:gridCol w:w="992"/>
        <w:gridCol w:w="940"/>
      </w:tblGrid>
      <w:tr w14:paraId="3F18CAC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97" w:hRule="atLeast"/>
          <w:tblHeader/>
        </w:trPr>
        <w:tc>
          <w:tcPr>
            <w:tcW w:w="851" w:type="dxa"/>
            <w:vAlign w:val="center"/>
          </w:tcPr>
          <w:p w14:paraId="6DBBC7B7">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一级 指标</w:t>
            </w:r>
          </w:p>
        </w:tc>
        <w:tc>
          <w:tcPr>
            <w:tcW w:w="1397" w:type="dxa"/>
            <w:vAlign w:val="center"/>
          </w:tcPr>
          <w:p w14:paraId="26B70493">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二级指标</w:t>
            </w:r>
          </w:p>
        </w:tc>
        <w:tc>
          <w:tcPr>
            <w:tcW w:w="1013" w:type="dxa"/>
            <w:vAlign w:val="center"/>
          </w:tcPr>
          <w:p w14:paraId="5DB6122D">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标准 分值</w:t>
            </w:r>
          </w:p>
        </w:tc>
        <w:tc>
          <w:tcPr>
            <w:tcW w:w="1026" w:type="dxa"/>
            <w:vAlign w:val="center"/>
          </w:tcPr>
          <w:p w14:paraId="2F8C11D3">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评价 得分</w:t>
            </w:r>
          </w:p>
        </w:tc>
        <w:tc>
          <w:tcPr>
            <w:tcW w:w="2659" w:type="dxa"/>
            <w:vAlign w:val="center"/>
          </w:tcPr>
          <w:p w14:paraId="257DE105">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三级指标</w:t>
            </w:r>
          </w:p>
        </w:tc>
        <w:tc>
          <w:tcPr>
            <w:tcW w:w="992" w:type="dxa"/>
            <w:vAlign w:val="center"/>
          </w:tcPr>
          <w:p w14:paraId="3AE84640">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标准 分值</w:t>
            </w:r>
          </w:p>
        </w:tc>
        <w:tc>
          <w:tcPr>
            <w:tcW w:w="940" w:type="dxa"/>
            <w:vAlign w:val="center"/>
          </w:tcPr>
          <w:p w14:paraId="3FB24E6F">
            <w:pPr>
              <w:widowControl/>
              <w:spacing w:line="240" w:lineRule="auto"/>
              <w:ind w:firstLine="0" w:firstLineChars="0"/>
              <w:jc w:val="center"/>
              <w:textAlignment w:val="bottom"/>
              <w:rPr>
                <w:rFonts w:hint="default" w:ascii="Times New Roman" w:hAnsi="Times New Roman" w:cs="Times New Roman"/>
                <w:b w:val="0"/>
                <w:bCs/>
                <w:color w:val="000000"/>
                <w:kern w:val="0"/>
                <w:sz w:val="24"/>
                <w:lang w:bidi="ar"/>
              </w:rPr>
            </w:pPr>
            <w:r>
              <w:rPr>
                <w:rFonts w:hint="default" w:ascii="Times New Roman" w:hAnsi="Times New Roman" w:cs="Times New Roman"/>
                <w:b w:val="0"/>
                <w:bCs/>
                <w:color w:val="000000"/>
                <w:kern w:val="0"/>
                <w:sz w:val="24"/>
                <w:lang w:bidi="ar"/>
              </w:rPr>
              <w:t>评价 得分</w:t>
            </w:r>
          </w:p>
        </w:tc>
      </w:tr>
      <w:tr w14:paraId="542A265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3D60008A">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投入</w:t>
            </w:r>
            <w:r>
              <w:rPr>
                <w:rFonts w:hint="default" w:ascii="Times New Roman" w:hAnsi="Times New Roman" w:cs="Times New Roman"/>
                <w:color w:val="000000"/>
                <w:kern w:val="0"/>
                <w:sz w:val="24"/>
              </w:rPr>
              <w:t xml:space="preserve">   20分</w:t>
            </w:r>
          </w:p>
        </w:tc>
        <w:tc>
          <w:tcPr>
            <w:tcW w:w="1397" w:type="dxa"/>
            <w:vMerge w:val="restart"/>
            <w:noWrap/>
            <w:vAlign w:val="center"/>
          </w:tcPr>
          <w:p w14:paraId="6DA97A2E">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项目立项</w:t>
            </w:r>
          </w:p>
        </w:tc>
        <w:tc>
          <w:tcPr>
            <w:tcW w:w="1013" w:type="dxa"/>
            <w:vMerge w:val="restart"/>
            <w:vAlign w:val="center"/>
          </w:tcPr>
          <w:p w14:paraId="6E2C83EE">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 xml:space="preserve">.00 </w:t>
            </w:r>
          </w:p>
        </w:tc>
        <w:tc>
          <w:tcPr>
            <w:tcW w:w="1026" w:type="dxa"/>
            <w:vMerge w:val="restart"/>
            <w:vAlign w:val="center"/>
          </w:tcPr>
          <w:p w14:paraId="6848F53D">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.00</w:t>
            </w:r>
          </w:p>
        </w:tc>
        <w:tc>
          <w:tcPr>
            <w:tcW w:w="2659" w:type="dxa"/>
            <w:vAlign w:val="center"/>
          </w:tcPr>
          <w:p w14:paraId="7ADA1C89">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1.立项依据充分性</w:t>
            </w:r>
          </w:p>
        </w:tc>
        <w:tc>
          <w:tcPr>
            <w:tcW w:w="992" w:type="dxa"/>
            <w:vAlign w:val="center"/>
          </w:tcPr>
          <w:p w14:paraId="703651BB">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4.00 </w:t>
            </w:r>
          </w:p>
        </w:tc>
        <w:tc>
          <w:tcPr>
            <w:tcW w:w="940" w:type="dxa"/>
            <w:vAlign w:val="center"/>
          </w:tcPr>
          <w:p w14:paraId="3F68FED5">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4.00 </w:t>
            </w:r>
          </w:p>
        </w:tc>
      </w:tr>
      <w:tr w14:paraId="268EA7D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71EF2E0A">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continue"/>
            <w:noWrap/>
            <w:vAlign w:val="center"/>
          </w:tcPr>
          <w:p w14:paraId="430A790E">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013" w:type="dxa"/>
            <w:vMerge w:val="continue"/>
            <w:vAlign w:val="center"/>
          </w:tcPr>
          <w:p w14:paraId="48990D29">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5EF9B6A7">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226C2F92">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2.立项程序规范性</w:t>
            </w:r>
          </w:p>
        </w:tc>
        <w:tc>
          <w:tcPr>
            <w:tcW w:w="992" w:type="dxa"/>
            <w:vAlign w:val="center"/>
          </w:tcPr>
          <w:p w14:paraId="4ADA06A8">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 xml:space="preserve">.00 </w:t>
            </w:r>
          </w:p>
        </w:tc>
        <w:tc>
          <w:tcPr>
            <w:tcW w:w="940" w:type="dxa"/>
            <w:vAlign w:val="center"/>
          </w:tcPr>
          <w:p w14:paraId="247C05B9">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 xml:space="preserve">.00 </w:t>
            </w:r>
          </w:p>
        </w:tc>
      </w:tr>
      <w:tr w14:paraId="5BBAF80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0205E235">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restart"/>
            <w:noWrap/>
            <w:vAlign w:val="center"/>
          </w:tcPr>
          <w:p w14:paraId="64B3C757">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绩效目标</w:t>
            </w:r>
          </w:p>
        </w:tc>
        <w:tc>
          <w:tcPr>
            <w:tcW w:w="1013" w:type="dxa"/>
            <w:vMerge w:val="restart"/>
            <w:vAlign w:val="center"/>
          </w:tcPr>
          <w:p w14:paraId="45F42060">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6</w:t>
            </w:r>
            <w:r>
              <w:rPr>
                <w:rFonts w:hint="default" w:ascii="Times New Roman" w:hAnsi="Times New Roman" w:cs="Times New Roman"/>
                <w:color w:val="000000"/>
                <w:kern w:val="0"/>
                <w:sz w:val="24"/>
              </w:rPr>
              <w:t xml:space="preserve">.00 </w:t>
            </w:r>
          </w:p>
        </w:tc>
        <w:tc>
          <w:tcPr>
            <w:tcW w:w="1026" w:type="dxa"/>
            <w:vMerge w:val="restart"/>
            <w:vAlign w:val="center"/>
          </w:tcPr>
          <w:p w14:paraId="79ECCAE0">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0</w:t>
            </w:r>
          </w:p>
        </w:tc>
        <w:tc>
          <w:tcPr>
            <w:tcW w:w="2659" w:type="dxa"/>
            <w:vAlign w:val="center"/>
          </w:tcPr>
          <w:p w14:paraId="33B41D5A">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3.绩效目标合理性</w:t>
            </w:r>
          </w:p>
        </w:tc>
        <w:tc>
          <w:tcPr>
            <w:tcW w:w="992" w:type="dxa"/>
            <w:vAlign w:val="center"/>
          </w:tcPr>
          <w:p w14:paraId="5F70A9F6">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3</w:t>
            </w:r>
            <w:r>
              <w:rPr>
                <w:rFonts w:hint="default" w:ascii="Times New Roman" w:hAnsi="Times New Roman" w:cs="Times New Roman"/>
                <w:color w:val="000000"/>
                <w:kern w:val="0"/>
                <w:sz w:val="24"/>
              </w:rPr>
              <w:t xml:space="preserve">.00 </w:t>
            </w:r>
          </w:p>
        </w:tc>
        <w:tc>
          <w:tcPr>
            <w:tcW w:w="940" w:type="dxa"/>
            <w:vAlign w:val="center"/>
          </w:tcPr>
          <w:p w14:paraId="6F2F60DF">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3</w:t>
            </w:r>
            <w:r>
              <w:rPr>
                <w:rFonts w:hint="default" w:ascii="Times New Roman" w:hAnsi="Times New Roman" w:cs="Times New Roman"/>
                <w:color w:val="000000"/>
                <w:kern w:val="0"/>
                <w:sz w:val="24"/>
              </w:rPr>
              <w:t xml:space="preserve">.00 </w:t>
            </w:r>
          </w:p>
        </w:tc>
      </w:tr>
      <w:tr w14:paraId="331CEC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14860206">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continue"/>
            <w:noWrap/>
            <w:vAlign w:val="center"/>
          </w:tcPr>
          <w:p w14:paraId="4D8B6172">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013" w:type="dxa"/>
            <w:vMerge w:val="continue"/>
            <w:vAlign w:val="center"/>
          </w:tcPr>
          <w:p w14:paraId="5AB6B360">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55A4455A">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3ADBB630">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4.绩效指标明确性</w:t>
            </w:r>
          </w:p>
        </w:tc>
        <w:tc>
          <w:tcPr>
            <w:tcW w:w="992" w:type="dxa"/>
            <w:vAlign w:val="center"/>
          </w:tcPr>
          <w:p w14:paraId="2A968844">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3.00 </w:t>
            </w:r>
          </w:p>
        </w:tc>
        <w:tc>
          <w:tcPr>
            <w:tcW w:w="940" w:type="dxa"/>
            <w:vAlign w:val="center"/>
          </w:tcPr>
          <w:p w14:paraId="023FFE9B">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 xml:space="preserve">0 </w:t>
            </w:r>
          </w:p>
        </w:tc>
      </w:tr>
      <w:tr w14:paraId="66A085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547DEDFD">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restart"/>
            <w:noWrap/>
            <w:vAlign w:val="center"/>
          </w:tcPr>
          <w:p w14:paraId="35CA1859">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资金投入</w:t>
            </w:r>
          </w:p>
        </w:tc>
        <w:tc>
          <w:tcPr>
            <w:tcW w:w="1013" w:type="dxa"/>
            <w:vMerge w:val="restart"/>
            <w:vAlign w:val="center"/>
          </w:tcPr>
          <w:p w14:paraId="2D9F026A">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6.00 </w:t>
            </w:r>
          </w:p>
        </w:tc>
        <w:tc>
          <w:tcPr>
            <w:tcW w:w="1026" w:type="dxa"/>
            <w:vMerge w:val="restart"/>
            <w:vAlign w:val="center"/>
          </w:tcPr>
          <w:p w14:paraId="71F0F9DB">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6.00</w:t>
            </w:r>
          </w:p>
        </w:tc>
        <w:tc>
          <w:tcPr>
            <w:tcW w:w="2659" w:type="dxa"/>
            <w:vAlign w:val="center"/>
          </w:tcPr>
          <w:p w14:paraId="77C36615">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5.预算编制科学性</w:t>
            </w:r>
          </w:p>
        </w:tc>
        <w:tc>
          <w:tcPr>
            <w:tcW w:w="992" w:type="dxa"/>
            <w:vAlign w:val="center"/>
          </w:tcPr>
          <w:p w14:paraId="03A0E121">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3.00 </w:t>
            </w:r>
          </w:p>
        </w:tc>
        <w:tc>
          <w:tcPr>
            <w:tcW w:w="940" w:type="dxa"/>
            <w:vAlign w:val="center"/>
          </w:tcPr>
          <w:p w14:paraId="79481A4C">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3.00 </w:t>
            </w:r>
          </w:p>
        </w:tc>
      </w:tr>
      <w:tr w14:paraId="0469B1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7160466A">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continue"/>
            <w:noWrap/>
            <w:vAlign w:val="center"/>
          </w:tcPr>
          <w:p w14:paraId="5A35FEC7">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013" w:type="dxa"/>
            <w:vMerge w:val="continue"/>
            <w:vAlign w:val="center"/>
          </w:tcPr>
          <w:p w14:paraId="609FAD7A">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318FC816">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2BB9EDEC">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6.资金分配合理性</w:t>
            </w:r>
          </w:p>
        </w:tc>
        <w:tc>
          <w:tcPr>
            <w:tcW w:w="992" w:type="dxa"/>
            <w:vAlign w:val="center"/>
          </w:tcPr>
          <w:p w14:paraId="6AF4D57C">
            <w:pPr>
              <w:widowControl/>
              <w:spacing w:line="240" w:lineRule="auto"/>
              <w:ind w:firstLine="0" w:firstLineChars="0"/>
              <w:jc w:val="right"/>
              <w:textAlignment w:val="bottom"/>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 xml:space="preserve">3.00 </w:t>
            </w:r>
          </w:p>
        </w:tc>
        <w:tc>
          <w:tcPr>
            <w:tcW w:w="940" w:type="dxa"/>
            <w:vAlign w:val="center"/>
          </w:tcPr>
          <w:p w14:paraId="07255CCB">
            <w:pPr>
              <w:widowControl/>
              <w:spacing w:line="240" w:lineRule="auto"/>
              <w:ind w:firstLine="0" w:firstLineChars="0"/>
              <w:jc w:val="right"/>
              <w:textAlignment w:val="bottom"/>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lang w:val="en-US" w:eastAsia="zh-CN"/>
              </w:rPr>
              <w:t>3</w:t>
            </w:r>
            <w:r>
              <w:rPr>
                <w:rFonts w:hint="default" w:ascii="Times New Roman" w:hAnsi="Times New Roman" w:cs="Times New Roman"/>
                <w:color w:val="000000"/>
                <w:kern w:val="0"/>
                <w:sz w:val="24"/>
                <w:highlight w:val="none"/>
              </w:rPr>
              <w:t xml:space="preserve">.00 </w:t>
            </w:r>
          </w:p>
        </w:tc>
      </w:tr>
      <w:tr w14:paraId="74977E2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29D382DB">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过程   20分</w:t>
            </w:r>
          </w:p>
        </w:tc>
        <w:tc>
          <w:tcPr>
            <w:tcW w:w="1397" w:type="dxa"/>
            <w:vMerge w:val="restart"/>
            <w:noWrap/>
            <w:vAlign w:val="center"/>
          </w:tcPr>
          <w:p w14:paraId="35B7A14B">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资金管理</w:t>
            </w:r>
          </w:p>
        </w:tc>
        <w:tc>
          <w:tcPr>
            <w:tcW w:w="1013" w:type="dxa"/>
            <w:vMerge w:val="restart"/>
            <w:vAlign w:val="center"/>
          </w:tcPr>
          <w:p w14:paraId="16B22368">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8.00 </w:t>
            </w:r>
          </w:p>
        </w:tc>
        <w:tc>
          <w:tcPr>
            <w:tcW w:w="1026" w:type="dxa"/>
            <w:vMerge w:val="restart"/>
            <w:vAlign w:val="center"/>
          </w:tcPr>
          <w:p w14:paraId="1D2EBDA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8.00</w:t>
            </w:r>
          </w:p>
        </w:tc>
        <w:tc>
          <w:tcPr>
            <w:tcW w:w="2659" w:type="dxa"/>
            <w:vAlign w:val="center"/>
          </w:tcPr>
          <w:p w14:paraId="520B18E5">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7.资金到位率</w:t>
            </w:r>
          </w:p>
        </w:tc>
        <w:tc>
          <w:tcPr>
            <w:tcW w:w="992" w:type="dxa"/>
            <w:vAlign w:val="center"/>
          </w:tcPr>
          <w:p w14:paraId="19E05C73">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2.00 </w:t>
            </w:r>
          </w:p>
        </w:tc>
        <w:tc>
          <w:tcPr>
            <w:tcW w:w="940" w:type="dxa"/>
            <w:vAlign w:val="center"/>
          </w:tcPr>
          <w:p w14:paraId="0423C691">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 xml:space="preserve">.00 </w:t>
            </w:r>
          </w:p>
        </w:tc>
      </w:tr>
      <w:tr w14:paraId="7B2F7F2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0A6680C5">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continue"/>
            <w:noWrap/>
            <w:vAlign w:val="center"/>
          </w:tcPr>
          <w:p w14:paraId="78409B1B">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013" w:type="dxa"/>
            <w:vMerge w:val="continue"/>
            <w:vAlign w:val="center"/>
          </w:tcPr>
          <w:p w14:paraId="4576BD85">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20A42D62">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09082B3B">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8.预算执行率</w:t>
            </w:r>
          </w:p>
        </w:tc>
        <w:tc>
          <w:tcPr>
            <w:tcW w:w="992" w:type="dxa"/>
            <w:vAlign w:val="center"/>
          </w:tcPr>
          <w:p w14:paraId="0CA88763">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 xml:space="preserve">.00 </w:t>
            </w:r>
          </w:p>
        </w:tc>
        <w:tc>
          <w:tcPr>
            <w:tcW w:w="940" w:type="dxa"/>
            <w:vAlign w:val="center"/>
          </w:tcPr>
          <w:p w14:paraId="1BC8D546">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2.00</w:t>
            </w:r>
            <w:r>
              <w:rPr>
                <w:rFonts w:hint="default" w:ascii="Times New Roman" w:hAnsi="Times New Roman" w:cs="Times New Roman"/>
                <w:color w:val="000000"/>
                <w:kern w:val="0"/>
                <w:sz w:val="24"/>
              </w:rPr>
              <w:t xml:space="preserve"> </w:t>
            </w:r>
          </w:p>
        </w:tc>
      </w:tr>
      <w:tr w14:paraId="1B9F425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21F47769">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continue"/>
            <w:noWrap/>
            <w:vAlign w:val="center"/>
          </w:tcPr>
          <w:p w14:paraId="3D927B34">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013" w:type="dxa"/>
            <w:vMerge w:val="continue"/>
            <w:vAlign w:val="center"/>
          </w:tcPr>
          <w:p w14:paraId="6C7C1D8C">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04E8A0C6">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0E032264">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9.资金使用合规性</w:t>
            </w:r>
          </w:p>
        </w:tc>
        <w:tc>
          <w:tcPr>
            <w:tcW w:w="992" w:type="dxa"/>
            <w:vAlign w:val="center"/>
          </w:tcPr>
          <w:p w14:paraId="1748700C">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4.00 </w:t>
            </w:r>
          </w:p>
        </w:tc>
        <w:tc>
          <w:tcPr>
            <w:tcW w:w="940" w:type="dxa"/>
            <w:vAlign w:val="center"/>
          </w:tcPr>
          <w:p w14:paraId="3814E695">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 xml:space="preserve">.00 </w:t>
            </w:r>
          </w:p>
        </w:tc>
      </w:tr>
      <w:tr w14:paraId="04B0B7D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6D00E806">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restart"/>
            <w:noWrap/>
            <w:vAlign w:val="center"/>
          </w:tcPr>
          <w:p w14:paraId="6FF7E398">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组织实施</w:t>
            </w:r>
          </w:p>
        </w:tc>
        <w:tc>
          <w:tcPr>
            <w:tcW w:w="1013" w:type="dxa"/>
            <w:vMerge w:val="restart"/>
            <w:vAlign w:val="center"/>
          </w:tcPr>
          <w:p w14:paraId="426F4BAB">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12.00 </w:t>
            </w:r>
          </w:p>
        </w:tc>
        <w:tc>
          <w:tcPr>
            <w:tcW w:w="1026" w:type="dxa"/>
            <w:vMerge w:val="restart"/>
            <w:vAlign w:val="center"/>
          </w:tcPr>
          <w:p w14:paraId="29DEBDD6">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.00</w:t>
            </w:r>
          </w:p>
        </w:tc>
        <w:tc>
          <w:tcPr>
            <w:tcW w:w="2659" w:type="dxa"/>
            <w:vAlign w:val="center"/>
          </w:tcPr>
          <w:p w14:paraId="46937143">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10.管理制度健全性</w:t>
            </w:r>
          </w:p>
        </w:tc>
        <w:tc>
          <w:tcPr>
            <w:tcW w:w="992" w:type="dxa"/>
            <w:vAlign w:val="center"/>
          </w:tcPr>
          <w:p w14:paraId="09304625">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4.00 </w:t>
            </w:r>
          </w:p>
        </w:tc>
        <w:tc>
          <w:tcPr>
            <w:tcW w:w="940" w:type="dxa"/>
            <w:vAlign w:val="center"/>
          </w:tcPr>
          <w:p w14:paraId="36DEA5C8">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 xml:space="preserve">.00 </w:t>
            </w:r>
          </w:p>
        </w:tc>
      </w:tr>
      <w:tr w14:paraId="36BB587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6D63F960">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vMerge w:val="continue"/>
            <w:noWrap/>
            <w:vAlign w:val="center"/>
          </w:tcPr>
          <w:p w14:paraId="2F8EA48F">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013" w:type="dxa"/>
            <w:vMerge w:val="continue"/>
            <w:vAlign w:val="center"/>
          </w:tcPr>
          <w:p w14:paraId="6E69E1DD">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50DA5D54">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6C9CDD51">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11.制度执行有效性</w:t>
            </w:r>
          </w:p>
        </w:tc>
        <w:tc>
          <w:tcPr>
            <w:tcW w:w="992" w:type="dxa"/>
            <w:vAlign w:val="center"/>
          </w:tcPr>
          <w:p w14:paraId="0A7258B9">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8.00 </w:t>
            </w:r>
          </w:p>
        </w:tc>
        <w:tc>
          <w:tcPr>
            <w:tcW w:w="940" w:type="dxa"/>
            <w:vAlign w:val="center"/>
          </w:tcPr>
          <w:p w14:paraId="5D4E06BB">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 xml:space="preserve">.00 </w:t>
            </w:r>
          </w:p>
        </w:tc>
      </w:tr>
      <w:tr w14:paraId="0F65886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087EECA9">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   3</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分</w:t>
            </w:r>
          </w:p>
        </w:tc>
        <w:tc>
          <w:tcPr>
            <w:tcW w:w="1397" w:type="dxa"/>
            <w:noWrap/>
            <w:vAlign w:val="center"/>
          </w:tcPr>
          <w:p w14:paraId="4F8769C8">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产出数量</w:t>
            </w:r>
          </w:p>
        </w:tc>
        <w:tc>
          <w:tcPr>
            <w:tcW w:w="1013" w:type="dxa"/>
            <w:vAlign w:val="center"/>
          </w:tcPr>
          <w:p w14:paraId="37659596">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12</w:t>
            </w:r>
            <w:r>
              <w:rPr>
                <w:rFonts w:hint="default" w:ascii="Times New Roman" w:hAnsi="Times New Roman" w:cs="Times New Roman"/>
                <w:color w:val="000000"/>
                <w:kern w:val="0"/>
                <w:sz w:val="24"/>
              </w:rPr>
              <w:t xml:space="preserve">.00 </w:t>
            </w:r>
          </w:p>
        </w:tc>
        <w:tc>
          <w:tcPr>
            <w:tcW w:w="1026" w:type="dxa"/>
            <w:vAlign w:val="center"/>
          </w:tcPr>
          <w:p w14:paraId="418BC273">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12</w:t>
            </w:r>
            <w:r>
              <w:rPr>
                <w:rFonts w:hint="default" w:ascii="Times New Roman" w:hAnsi="Times New Roman" w:cs="Times New Roman"/>
                <w:color w:val="000000"/>
                <w:kern w:val="0"/>
                <w:sz w:val="24"/>
              </w:rPr>
              <w:t>.00</w:t>
            </w:r>
          </w:p>
        </w:tc>
        <w:tc>
          <w:tcPr>
            <w:tcW w:w="2659" w:type="dxa"/>
            <w:vAlign w:val="center"/>
          </w:tcPr>
          <w:p w14:paraId="14C2EDFB">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12.实际完成率</w:t>
            </w:r>
          </w:p>
        </w:tc>
        <w:tc>
          <w:tcPr>
            <w:tcW w:w="992" w:type="dxa"/>
            <w:vAlign w:val="center"/>
          </w:tcPr>
          <w:p w14:paraId="30D6B4E7">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12</w:t>
            </w:r>
            <w:r>
              <w:rPr>
                <w:rFonts w:hint="default" w:ascii="Times New Roman" w:hAnsi="Times New Roman" w:cs="Times New Roman"/>
                <w:color w:val="000000"/>
                <w:kern w:val="0"/>
                <w:sz w:val="24"/>
              </w:rPr>
              <w:t xml:space="preserve">.00 </w:t>
            </w:r>
          </w:p>
        </w:tc>
        <w:tc>
          <w:tcPr>
            <w:tcW w:w="940" w:type="dxa"/>
            <w:vAlign w:val="center"/>
          </w:tcPr>
          <w:p w14:paraId="4D37C8C0">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12</w:t>
            </w:r>
            <w:r>
              <w:rPr>
                <w:rFonts w:hint="default" w:ascii="Times New Roman" w:hAnsi="Times New Roman" w:cs="Times New Roman"/>
                <w:color w:val="000000"/>
                <w:kern w:val="0"/>
                <w:sz w:val="24"/>
              </w:rPr>
              <w:t>.00</w:t>
            </w:r>
          </w:p>
        </w:tc>
      </w:tr>
      <w:tr w14:paraId="47A8DC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17CC7AC0">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noWrap/>
            <w:vAlign w:val="center"/>
          </w:tcPr>
          <w:p w14:paraId="0D0BCC82">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产出质量</w:t>
            </w:r>
          </w:p>
        </w:tc>
        <w:tc>
          <w:tcPr>
            <w:tcW w:w="1013" w:type="dxa"/>
            <w:vAlign w:val="center"/>
          </w:tcPr>
          <w:p w14:paraId="29243D63">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 xml:space="preserve">.00 </w:t>
            </w:r>
          </w:p>
        </w:tc>
        <w:tc>
          <w:tcPr>
            <w:tcW w:w="1026" w:type="dxa"/>
            <w:vAlign w:val="center"/>
          </w:tcPr>
          <w:p w14:paraId="030CA4C7">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w:t>
            </w:r>
            <w:r>
              <w:rPr>
                <w:rFonts w:hint="default" w:ascii="Times New Roman" w:hAnsi="Times New Roman" w:cs="Times New Roman"/>
                <w:color w:val="000000"/>
                <w:kern w:val="0"/>
                <w:sz w:val="24"/>
                <w:lang w:val="en-US" w:eastAsia="zh-CN"/>
              </w:rPr>
              <w:t>0</w:t>
            </w:r>
            <w:r>
              <w:rPr>
                <w:rFonts w:hint="default" w:ascii="Times New Roman" w:hAnsi="Times New Roman" w:cs="Times New Roman"/>
                <w:color w:val="000000"/>
                <w:kern w:val="0"/>
                <w:sz w:val="24"/>
              </w:rPr>
              <w:t>0</w:t>
            </w:r>
          </w:p>
        </w:tc>
        <w:tc>
          <w:tcPr>
            <w:tcW w:w="2659" w:type="dxa"/>
            <w:vAlign w:val="center"/>
          </w:tcPr>
          <w:p w14:paraId="4B4601E1">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13.质量达标率</w:t>
            </w:r>
          </w:p>
        </w:tc>
        <w:tc>
          <w:tcPr>
            <w:tcW w:w="992" w:type="dxa"/>
            <w:vAlign w:val="center"/>
          </w:tcPr>
          <w:p w14:paraId="0B119138">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 xml:space="preserve">.00 </w:t>
            </w:r>
          </w:p>
        </w:tc>
        <w:tc>
          <w:tcPr>
            <w:tcW w:w="940" w:type="dxa"/>
            <w:vAlign w:val="center"/>
          </w:tcPr>
          <w:p w14:paraId="5765111E">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w:t>
            </w:r>
            <w:r>
              <w:rPr>
                <w:rFonts w:hint="default" w:ascii="Times New Roman" w:hAnsi="Times New Roman" w:cs="Times New Roman"/>
                <w:color w:val="000000"/>
                <w:kern w:val="0"/>
                <w:sz w:val="24"/>
                <w:lang w:val="en-US" w:eastAsia="zh-CN"/>
              </w:rPr>
              <w:t>0</w:t>
            </w:r>
            <w:r>
              <w:rPr>
                <w:rFonts w:hint="default" w:ascii="Times New Roman" w:hAnsi="Times New Roman" w:cs="Times New Roman"/>
                <w:color w:val="000000"/>
                <w:kern w:val="0"/>
                <w:sz w:val="24"/>
              </w:rPr>
              <w:t xml:space="preserve">0 </w:t>
            </w:r>
          </w:p>
        </w:tc>
      </w:tr>
      <w:tr w14:paraId="7B6C634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50BA7AE1">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noWrap/>
            <w:vAlign w:val="center"/>
          </w:tcPr>
          <w:p w14:paraId="70A9F650">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产出时效</w:t>
            </w:r>
          </w:p>
        </w:tc>
        <w:tc>
          <w:tcPr>
            <w:tcW w:w="1013" w:type="dxa"/>
            <w:vAlign w:val="center"/>
          </w:tcPr>
          <w:p w14:paraId="77ECF815">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7</w:t>
            </w:r>
            <w:r>
              <w:rPr>
                <w:rFonts w:hint="default" w:ascii="Times New Roman" w:hAnsi="Times New Roman" w:cs="Times New Roman"/>
                <w:color w:val="000000"/>
                <w:kern w:val="0"/>
                <w:sz w:val="24"/>
              </w:rPr>
              <w:t xml:space="preserve">.00 </w:t>
            </w:r>
          </w:p>
        </w:tc>
        <w:tc>
          <w:tcPr>
            <w:tcW w:w="1026" w:type="dxa"/>
            <w:vAlign w:val="center"/>
          </w:tcPr>
          <w:p w14:paraId="31B44959">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5.0</w:t>
            </w:r>
            <w:r>
              <w:rPr>
                <w:rFonts w:hint="default" w:ascii="Times New Roman" w:hAnsi="Times New Roman" w:cs="Times New Roman"/>
                <w:color w:val="000000"/>
                <w:kern w:val="0"/>
                <w:sz w:val="24"/>
              </w:rPr>
              <w:t>0</w:t>
            </w:r>
          </w:p>
        </w:tc>
        <w:tc>
          <w:tcPr>
            <w:tcW w:w="2659" w:type="dxa"/>
            <w:vAlign w:val="center"/>
          </w:tcPr>
          <w:p w14:paraId="539FF38F">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14.完成及时率</w:t>
            </w:r>
          </w:p>
        </w:tc>
        <w:tc>
          <w:tcPr>
            <w:tcW w:w="992" w:type="dxa"/>
            <w:vAlign w:val="center"/>
          </w:tcPr>
          <w:p w14:paraId="68CC0914">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7</w:t>
            </w:r>
            <w:r>
              <w:rPr>
                <w:rFonts w:hint="default" w:ascii="Times New Roman" w:hAnsi="Times New Roman" w:cs="Times New Roman"/>
                <w:color w:val="000000"/>
                <w:kern w:val="0"/>
                <w:sz w:val="24"/>
              </w:rPr>
              <w:t xml:space="preserve">.00 </w:t>
            </w:r>
          </w:p>
        </w:tc>
        <w:tc>
          <w:tcPr>
            <w:tcW w:w="940" w:type="dxa"/>
            <w:vAlign w:val="center"/>
          </w:tcPr>
          <w:p w14:paraId="295FC7D5">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w:t>
            </w:r>
            <w:r>
              <w:rPr>
                <w:rFonts w:hint="default" w:ascii="Times New Roman" w:hAnsi="Times New Roman" w:cs="Times New Roman"/>
                <w:color w:val="000000"/>
                <w:kern w:val="0"/>
                <w:sz w:val="24"/>
                <w:lang w:val="en-US" w:eastAsia="zh-CN"/>
              </w:rPr>
              <w:t>0</w:t>
            </w:r>
            <w:r>
              <w:rPr>
                <w:rFonts w:hint="default" w:ascii="Times New Roman" w:hAnsi="Times New Roman" w:cs="Times New Roman"/>
                <w:color w:val="000000"/>
                <w:kern w:val="0"/>
                <w:sz w:val="24"/>
              </w:rPr>
              <w:t xml:space="preserve">0 </w:t>
            </w:r>
          </w:p>
        </w:tc>
      </w:tr>
      <w:tr w14:paraId="135A1FE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0142D513">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noWrap/>
            <w:vAlign w:val="center"/>
          </w:tcPr>
          <w:p w14:paraId="726F70B0">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产出成本</w:t>
            </w:r>
          </w:p>
        </w:tc>
        <w:tc>
          <w:tcPr>
            <w:tcW w:w="1013" w:type="dxa"/>
            <w:vAlign w:val="center"/>
          </w:tcPr>
          <w:p w14:paraId="37FB9C0E">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6.00 </w:t>
            </w:r>
          </w:p>
        </w:tc>
        <w:tc>
          <w:tcPr>
            <w:tcW w:w="1026" w:type="dxa"/>
            <w:vAlign w:val="center"/>
          </w:tcPr>
          <w:p w14:paraId="13B440D2">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.00</w:t>
            </w:r>
          </w:p>
        </w:tc>
        <w:tc>
          <w:tcPr>
            <w:tcW w:w="2659" w:type="dxa"/>
            <w:vAlign w:val="center"/>
          </w:tcPr>
          <w:p w14:paraId="603A80B8">
            <w:pPr>
              <w:widowControl/>
              <w:spacing w:line="240" w:lineRule="auto"/>
              <w:ind w:firstLine="0" w:firstLineChars="0"/>
              <w:jc w:val="lef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rPr>
              <w:t>15.</w:t>
            </w:r>
            <w:r>
              <w:rPr>
                <w:rFonts w:hint="default" w:ascii="Times New Roman" w:hAnsi="Times New Roman" w:cs="Times New Roman"/>
                <w:color w:val="auto"/>
                <w:kern w:val="0"/>
                <w:sz w:val="24"/>
                <w:lang w:val="en-US" w:eastAsia="zh-CN"/>
              </w:rPr>
              <w:t>成本偏离度</w:t>
            </w:r>
          </w:p>
        </w:tc>
        <w:tc>
          <w:tcPr>
            <w:tcW w:w="992" w:type="dxa"/>
            <w:vAlign w:val="center"/>
          </w:tcPr>
          <w:p w14:paraId="770F04EA">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6.00 </w:t>
            </w:r>
          </w:p>
        </w:tc>
        <w:tc>
          <w:tcPr>
            <w:tcW w:w="940" w:type="dxa"/>
            <w:vAlign w:val="center"/>
          </w:tcPr>
          <w:p w14:paraId="630804EF">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 xml:space="preserve">.00 </w:t>
            </w:r>
          </w:p>
        </w:tc>
      </w:tr>
      <w:tr w14:paraId="379DAC5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7796F91F">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效益   </w:t>
            </w:r>
            <w:r>
              <w:rPr>
                <w:rFonts w:hint="default" w:ascii="Times New Roman" w:hAnsi="Times New Roman" w:cs="Times New Roman"/>
                <w:color w:val="000000"/>
                <w:kern w:val="0"/>
                <w:sz w:val="24"/>
                <w:lang w:val="en-US" w:eastAsia="zh-CN"/>
              </w:rPr>
              <w:t>25</w:t>
            </w:r>
            <w:r>
              <w:rPr>
                <w:rFonts w:hint="default" w:ascii="Times New Roman" w:hAnsi="Times New Roman" w:cs="Times New Roman"/>
                <w:color w:val="000000"/>
                <w:kern w:val="0"/>
                <w:sz w:val="24"/>
              </w:rPr>
              <w:t>分</w:t>
            </w:r>
          </w:p>
        </w:tc>
        <w:tc>
          <w:tcPr>
            <w:tcW w:w="1397" w:type="dxa"/>
            <w:noWrap/>
            <w:vAlign w:val="center"/>
          </w:tcPr>
          <w:p w14:paraId="0A0081CA">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实施</w:t>
            </w:r>
            <w:r>
              <w:rPr>
                <w:rFonts w:hint="default" w:ascii="Times New Roman" w:hAnsi="Times New Roman" w:cs="Times New Roman"/>
                <w:color w:val="000000"/>
                <w:kern w:val="0"/>
                <w:sz w:val="24"/>
              </w:rPr>
              <w:t>效益</w:t>
            </w:r>
          </w:p>
        </w:tc>
        <w:tc>
          <w:tcPr>
            <w:tcW w:w="1013" w:type="dxa"/>
            <w:vAlign w:val="center"/>
          </w:tcPr>
          <w:p w14:paraId="1AFF99AA">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15</w:t>
            </w:r>
            <w:r>
              <w:rPr>
                <w:rFonts w:hint="default" w:ascii="Times New Roman" w:hAnsi="Times New Roman" w:cs="Times New Roman"/>
                <w:color w:val="000000"/>
                <w:kern w:val="0"/>
                <w:sz w:val="24"/>
              </w:rPr>
              <w:t xml:space="preserve">.00 </w:t>
            </w:r>
          </w:p>
        </w:tc>
        <w:tc>
          <w:tcPr>
            <w:tcW w:w="1026" w:type="dxa"/>
            <w:vAlign w:val="center"/>
          </w:tcPr>
          <w:p w14:paraId="77C2BBB8">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15</w:t>
            </w:r>
            <w:r>
              <w:rPr>
                <w:rFonts w:hint="default" w:ascii="Times New Roman" w:hAnsi="Times New Roman" w:cs="Times New Roman"/>
                <w:color w:val="000000"/>
                <w:kern w:val="0"/>
                <w:sz w:val="24"/>
              </w:rPr>
              <w:t>.00</w:t>
            </w:r>
          </w:p>
        </w:tc>
        <w:tc>
          <w:tcPr>
            <w:tcW w:w="2659" w:type="dxa"/>
            <w:vAlign w:val="center"/>
          </w:tcPr>
          <w:p w14:paraId="7EA62846">
            <w:pPr>
              <w:widowControl/>
              <w:numPr>
                <w:ilvl w:val="0"/>
                <w:numId w:val="0"/>
              </w:numPr>
              <w:spacing w:line="240" w:lineRule="auto"/>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16.</w:t>
            </w:r>
            <w:r>
              <w:rPr>
                <w:rFonts w:hint="default" w:ascii="Times New Roman" w:hAnsi="Times New Roman" w:cs="Times New Roman"/>
                <w:color w:val="000000"/>
                <w:kern w:val="0"/>
                <w:sz w:val="24"/>
              </w:rPr>
              <w:t>社会效益</w:t>
            </w:r>
          </w:p>
          <w:p w14:paraId="557F1B55">
            <w:pPr>
              <w:widowControl/>
              <w:numPr>
                <w:ilvl w:val="0"/>
                <w:numId w:val="0"/>
              </w:numPr>
              <w:spacing w:line="240" w:lineRule="auto"/>
              <w:jc w:val="left"/>
              <w:textAlignment w:val="bottom"/>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17.经济效益</w:t>
            </w:r>
          </w:p>
          <w:p w14:paraId="35532533">
            <w:pPr>
              <w:widowControl/>
              <w:numPr>
                <w:ilvl w:val="0"/>
                <w:numId w:val="0"/>
              </w:numPr>
              <w:spacing w:line="240" w:lineRule="auto"/>
              <w:jc w:val="left"/>
              <w:textAlignment w:val="bottom"/>
              <w:rPr>
                <w:rFonts w:hint="default" w:ascii="Times New Roman" w:hAnsi="Times New Roman" w:cs="Times New Roman"/>
                <w:lang w:val="en-US" w:eastAsia="zh-CN"/>
              </w:rPr>
            </w:pPr>
            <w:r>
              <w:rPr>
                <w:rFonts w:hint="default" w:ascii="Times New Roman" w:hAnsi="Times New Roman" w:cs="Times New Roman"/>
                <w:sz w:val="24"/>
                <w:szCs w:val="24"/>
                <w:lang w:val="en-US" w:eastAsia="zh-CN"/>
              </w:rPr>
              <w:t>18.生态效益</w:t>
            </w:r>
          </w:p>
        </w:tc>
        <w:tc>
          <w:tcPr>
            <w:tcW w:w="992" w:type="dxa"/>
            <w:noWrap/>
            <w:vAlign w:val="center"/>
          </w:tcPr>
          <w:p w14:paraId="78FB8772">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15</w:t>
            </w:r>
            <w:r>
              <w:rPr>
                <w:rFonts w:hint="default" w:ascii="Times New Roman" w:hAnsi="Times New Roman" w:cs="Times New Roman"/>
                <w:color w:val="000000"/>
                <w:kern w:val="0"/>
                <w:sz w:val="24"/>
              </w:rPr>
              <w:t xml:space="preserve">.00 </w:t>
            </w:r>
          </w:p>
        </w:tc>
        <w:tc>
          <w:tcPr>
            <w:tcW w:w="940" w:type="dxa"/>
            <w:vAlign w:val="center"/>
          </w:tcPr>
          <w:p w14:paraId="563C2984">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15</w:t>
            </w:r>
            <w:r>
              <w:rPr>
                <w:rFonts w:hint="default" w:ascii="Times New Roman" w:hAnsi="Times New Roman" w:cs="Times New Roman"/>
                <w:color w:val="000000"/>
                <w:kern w:val="0"/>
                <w:sz w:val="24"/>
              </w:rPr>
              <w:t>.00</w:t>
            </w:r>
          </w:p>
        </w:tc>
      </w:tr>
      <w:tr w14:paraId="05C5454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62833966">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noWrap/>
            <w:vAlign w:val="center"/>
          </w:tcPr>
          <w:p w14:paraId="16C1E2B4">
            <w:pPr>
              <w:widowControl/>
              <w:spacing w:line="240" w:lineRule="auto"/>
              <w:ind w:firstLine="0" w:firstLineChars="0"/>
              <w:jc w:val="center"/>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可持续性影响</w:t>
            </w:r>
          </w:p>
        </w:tc>
        <w:tc>
          <w:tcPr>
            <w:tcW w:w="1013" w:type="dxa"/>
            <w:vAlign w:val="center"/>
          </w:tcPr>
          <w:p w14:paraId="083112C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5.00</w:t>
            </w:r>
          </w:p>
        </w:tc>
        <w:tc>
          <w:tcPr>
            <w:tcW w:w="1026" w:type="dxa"/>
            <w:vAlign w:val="center"/>
          </w:tcPr>
          <w:p w14:paraId="43359D9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5.00</w:t>
            </w:r>
          </w:p>
        </w:tc>
        <w:tc>
          <w:tcPr>
            <w:tcW w:w="2659" w:type="dxa"/>
            <w:vAlign w:val="center"/>
          </w:tcPr>
          <w:p w14:paraId="4D50F2A5">
            <w:pPr>
              <w:widowControl/>
              <w:spacing w:line="240" w:lineRule="auto"/>
              <w:ind w:firstLine="0" w:firstLineChars="0"/>
              <w:jc w:val="lef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19.促进现代农业发展</w:t>
            </w:r>
          </w:p>
        </w:tc>
        <w:tc>
          <w:tcPr>
            <w:tcW w:w="992" w:type="dxa"/>
            <w:vAlign w:val="center"/>
          </w:tcPr>
          <w:p w14:paraId="200C977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5.00</w:t>
            </w:r>
          </w:p>
        </w:tc>
        <w:tc>
          <w:tcPr>
            <w:tcW w:w="940" w:type="dxa"/>
            <w:vAlign w:val="center"/>
          </w:tcPr>
          <w:p w14:paraId="1A835EA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5.00</w:t>
            </w:r>
          </w:p>
        </w:tc>
      </w:tr>
      <w:tr w14:paraId="54D8839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noWrap/>
            <w:vAlign w:val="center"/>
          </w:tcPr>
          <w:p w14:paraId="1C608DD1">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397" w:type="dxa"/>
            <w:noWrap/>
            <w:vAlign w:val="center"/>
          </w:tcPr>
          <w:p w14:paraId="40ECA51E">
            <w:pPr>
              <w:widowControl/>
              <w:spacing w:line="240" w:lineRule="auto"/>
              <w:ind w:firstLine="0" w:firstLineChars="0"/>
              <w:jc w:val="center"/>
              <w:textAlignment w:val="bottom"/>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cs="Times New Roman"/>
                <w:color w:val="000000"/>
                <w:kern w:val="0"/>
                <w:sz w:val="24"/>
              </w:rPr>
              <w:t>满意度</w:t>
            </w:r>
          </w:p>
        </w:tc>
        <w:tc>
          <w:tcPr>
            <w:tcW w:w="1013" w:type="dxa"/>
            <w:noWrap/>
            <w:vAlign w:val="center"/>
          </w:tcPr>
          <w:p w14:paraId="5E76F78A">
            <w:pPr>
              <w:widowControl/>
              <w:spacing w:line="240" w:lineRule="auto"/>
              <w:ind w:firstLine="0" w:firstLineChars="0"/>
              <w:jc w:val="right"/>
              <w:textAlignment w:val="bottom"/>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 xml:space="preserve">.00 </w:t>
            </w:r>
          </w:p>
        </w:tc>
        <w:tc>
          <w:tcPr>
            <w:tcW w:w="1026" w:type="dxa"/>
            <w:noWrap/>
            <w:vAlign w:val="center"/>
          </w:tcPr>
          <w:p w14:paraId="04D32DFC">
            <w:pPr>
              <w:widowControl/>
              <w:spacing w:line="240" w:lineRule="auto"/>
              <w:ind w:firstLine="0" w:firstLineChars="0"/>
              <w:jc w:val="right"/>
              <w:textAlignment w:val="bottom"/>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.00</w:t>
            </w:r>
          </w:p>
        </w:tc>
        <w:tc>
          <w:tcPr>
            <w:tcW w:w="2659" w:type="dxa"/>
            <w:noWrap/>
            <w:vAlign w:val="center"/>
          </w:tcPr>
          <w:p w14:paraId="6CAED93E">
            <w:pPr>
              <w:widowControl/>
              <w:spacing w:line="240" w:lineRule="auto"/>
              <w:ind w:firstLine="0" w:firstLineChars="0"/>
              <w:jc w:val="left"/>
              <w:textAlignment w:val="bottom"/>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cs="Times New Roman"/>
                <w:color w:val="000000"/>
                <w:kern w:val="0"/>
                <w:sz w:val="24"/>
                <w:lang w:val="en-US" w:eastAsia="zh-CN"/>
              </w:rPr>
              <w:t>20</w:t>
            </w:r>
            <w:r>
              <w:rPr>
                <w:rFonts w:hint="default" w:ascii="Times New Roman" w:hAnsi="Times New Roman" w:cs="Times New Roman"/>
                <w:color w:val="000000"/>
                <w:kern w:val="0"/>
                <w:sz w:val="24"/>
              </w:rPr>
              <w:t>.服务对象满意度</w:t>
            </w:r>
          </w:p>
        </w:tc>
        <w:tc>
          <w:tcPr>
            <w:tcW w:w="992" w:type="dxa"/>
            <w:noWrap/>
            <w:vAlign w:val="center"/>
          </w:tcPr>
          <w:p w14:paraId="744AB0FE">
            <w:pPr>
              <w:widowControl/>
              <w:spacing w:line="240" w:lineRule="auto"/>
              <w:ind w:firstLine="0" w:firstLineChars="0"/>
              <w:jc w:val="right"/>
              <w:textAlignment w:val="bottom"/>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 xml:space="preserve">.00 </w:t>
            </w:r>
          </w:p>
        </w:tc>
        <w:tc>
          <w:tcPr>
            <w:tcW w:w="940" w:type="dxa"/>
            <w:noWrap/>
            <w:vAlign w:val="center"/>
          </w:tcPr>
          <w:p w14:paraId="7CC4DFD7">
            <w:pPr>
              <w:widowControl/>
              <w:spacing w:line="240" w:lineRule="auto"/>
              <w:ind w:firstLine="0" w:firstLineChars="0"/>
              <w:jc w:val="right"/>
              <w:textAlignment w:val="bottom"/>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 xml:space="preserve">.00 </w:t>
            </w:r>
          </w:p>
        </w:tc>
      </w:tr>
      <w:tr w14:paraId="3CAA9B6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noWrap/>
            <w:vAlign w:val="center"/>
          </w:tcPr>
          <w:p w14:paraId="7344E8F2">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合计</w:t>
            </w:r>
          </w:p>
        </w:tc>
        <w:tc>
          <w:tcPr>
            <w:tcW w:w="1397" w:type="dxa"/>
            <w:noWrap/>
            <w:vAlign w:val="center"/>
          </w:tcPr>
          <w:p w14:paraId="01BDD126">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w:t>
            </w:r>
          </w:p>
        </w:tc>
        <w:tc>
          <w:tcPr>
            <w:tcW w:w="1013" w:type="dxa"/>
            <w:noWrap/>
            <w:vAlign w:val="center"/>
          </w:tcPr>
          <w:p w14:paraId="23CF064E">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100.00 </w:t>
            </w:r>
          </w:p>
        </w:tc>
        <w:tc>
          <w:tcPr>
            <w:tcW w:w="1026" w:type="dxa"/>
            <w:noWrap/>
            <w:vAlign w:val="center"/>
          </w:tcPr>
          <w:p w14:paraId="0889CC92">
            <w:pPr>
              <w:widowControl/>
              <w:spacing w:line="240" w:lineRule="auto"/>
              <w:ind w:firstLine="0" w:firstLineChars="0"/>
              <w:jc w:val="right"/>
              <w:textAlignment w:val="bottom"/>
              <w:rPr>
                <w:rFonts w:hint="default" w:ascii="Times New Roman" w:hAnsi="Times New Roman" w:cs="Times New Roman"/>
                <w:color w:val="000000"/>
                <w:kern w:val="0"/>
                <w:sz w:val="24"/>
                <w:lang w:val="en-US"/>
              </w:rPr>
            </w:pPr>
            <w:r>
              <w:rPr>
                <w:rFonts w:hint="default" w:ascii="Times New Roman" w:hAnsi="Times New Roman" w:cs="Times New Roman"/>
                <w:color w:val="000000"/>
                <w:kern w:val="0"/>
                <w:sz w:val="24"/>
                <w:lang w:val="en-US" w:eastAsia="zh-CN"/>
              </w:rPr>
              <w:t>90.50</w:t>
            </w:r>
          </w:p>
        </w:tc>
        <w:tc>
          <w:tcPr>
            <w:tcW w:w="2659" w:type="dxa"/>
            <w:noWrap/>
            <w:vAlign w:val="center"/>
          </w:tcPr>
          <w:p w14:paraId="242AB61B">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w:t>
            </w:r>
          </w:p>
        </w:tc>
        <w:tc>
          <w:tcPr>
            <w:tcW w:w="992" w:type="dxa"/>
            <w:noWrap/>
            <w:vAlign w:val="center"/>
          </w:tcPr>
          <w:p w14:paraId="1D32C7F6">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100.00 </w:t>
            </w:r>
          </w:p>
        </w:tc>
        <w:tc>
          <w:tcPr>
            <w:tcW w:w="940" w:type="dxa"/>
            <w:noWrap/>
            <w:vAlign w:val="center"/>
          </w:tcPr>
          <w:p w14:paraId="18532B12">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90.50</w:t>
            </w:r>
            <w:r>
              <w:rPr>
                <w:rFonts w:hint="default" w:ascii="Times New Roman" w:hAnsi="Times New Roman" w:cs="Times New Roman"/>
                <w:color w:val="000000"/>
                <w:kern w:val="0"/>
                <w:sz w:val="24"/>
              </w:rPr>
              <w:t xml:space="preserve"> </w:t>
            </w:r>
          </w:p>
        </w:tc>
      </w:tr>
    </w:tbl>
    <w:p w14:paraId="3C5DBED4">
      <w:pPr>
        <w:spacing w:line="560" w:lineRule="exact"/>
        <w:ind w:firstLine="640"/>
        <w:outlineLvl w:val="9"/>
        <w:rPr>
          <w:rFonts w:hint="default" w:ascii="Times New Roman" w:hAnsi="Times New Roman" w:eastAsia="黑体" w:cs="Times New Roman"/>
          <w:szCs w:val="22"/>
        </w:rPr>
      </w:pPr>
    </w:p>
    <w:p w14:paraId="2E9BF8B0">
      <w:pPr>
        <w:spacing w:line="560" w:lineRule="exact"/>
        <w:ind w:firstLine="640"/>
        <w:outlineLvl w:val="0"/>
        <w:rPr>
          <w:rFonts w:hint="default" w:ascii="Times New Roman" w:hAnsi="Times New Roman" w:eastAsia="黑体" w:cs="Times New Roman"/>
          <w:b/>
          <w:bCs/>
          <w:szCs w:val="22"/>
        </w:rPr>
      </w:pPr>
      <w:bookmarkStart w:id="91" w:name="_Toc6094"/>
      <w:r>
        <w:rPr>
          <w:rFonts w:hint="default" w:ascii="Times New Roman" w:hAnsi="Times New Roman" w:eastAsia="黑体" w:cs="Times New Roman"/>
          <w:b/>
          <w:bCs/>
          <w:szCs w:val="22"/>
        </w:rPr>
        <w:t>四、评价指标分析</w:t>
      </w:r>
      <w:bookmarkEnd w:id="72"/>
      <w:bookmarkEnd w:id="89"/>
      <w:bookmarkEnd w:id="90"/>
      <w:bookmarkEnd w:id="91"/>
    </w:p>
    <w:bookmarkEnd w:id="73"/>
    <w:bookmarkEnd w:id="74"/>
    <w:bookmarkEnd w:id="75"/>
    <w:bookmarkEnd w:id="76"/>
    <w:p w14:paraId="48536ED4">
      <w:pPr>
        <w:spacing w:line="560" w:lineRule="exact"/>
        <w:ind w:firstLine="643"/>
        <w:outlineLvl w:val="1"/>
        <w:rPr>
          <w:rFonts w:hint="default" w:ascii="Times New Roman" w:hAnsi="Times New Roman" w:eastAsia="楷体" w:cs="Times New Roman"/>
          <w:b/>
          <w:bCs/>
          <w:szCs w:val="22"/>
        </w:rPr>
      </w:pPr>
      <w:bookmarkStart w:id="92" w:name="_Toc136706212"/>
      <w:bookmarkStart w:id="93" w:name="_Toc30027"/>
      <w:bookmarkStart w:id="94" w:name="_Toc86224148"/>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一</w:t>
      </w:r>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投入类</w:t>
      </w:r>
      <w:r>
        <w:rPr>
          <w:rFonts w:hint="default" w:ascii="Times New Roman" w:hAnsi="Times New Roman" w:eastAsia="楷体" w:cs="Times New Roman"/>
          <w:b/>
          <w:bCs/>
          <w:szCs w:val="22"/>
        </w:rPr>
        <w:t>指标</w:t>
      </w:r>
      <w:bookmarkEnd w:id="92"/>
      <w:bookmarkEnd w:id="93"/>
      <w:bookmarkEnd w:id="94"/>
      <w:r>
        <w:rPr>
          <w:rFonts w:hint="default" w:ascii="Times New Roman" w:hAnsi="Times New Roman" w:eastAsia="楷体" w:cs="Times New Roman"/>
          <w:b/>
          <w:bCs/>
          <w:szCs w:val="22"/>
        </w:rPr>
        <w:tab/>
      </w:r>
    </w:p>
    <w:p w14:paraId="299A4C26">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主要评价项目立项、绩效目标和资金投入情况。指标赋值20分，综合得分</w:t>
      </w:r>
      <w:r>
        <w:rPr>
          <w:rFonts w:hint="default" w:ascii="Times New Roman" w:hAnsi="Times New Roman" w:cs="Times New Roman"/>
          <w:szCs w:val="32"/>
          <w:lang w:val="en-US" w:eastAsia="zh-CN"/>
        </w:rPr>
        <w:t>18.5</w:t>
      </w:r>
      <w:r>
        <w:rPr>
          <w:rFonts w:hint="default" w:ascii="Times New Roman" w:hAnsi="Times New Roman" w:cs="Times New Roman"/>
          <w:szCs w:val="32"/>
        </w:rPr>
        <w:t>分。</w:t>
      </w:r>
    </w:p>
    <w:p w14:paraId="498F9B8D">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1.</w:t>
      </w:r>
      <w:r>
        <w:rPr>
          <w:rFonts w:hint="default" w:ascii="Times New Roman" w:hAnsi="Times New Roman" w:cs="Times New Roman"/>
          <w:b/>
          <w:szCs w:val="32"/>
        </w:rPr>
        <w:t>项目立项：</w:t>
      </w:r>
      <w:r>
        <w:rPr>
          <w:rFonts w:hint="default" w:ascii="Times New Roman" w:hAnsi="Times New Roman" w:cs="Times New Roman"/>
          <w:bCs/>
          <w:szCs w:val="32"/>
        </w:rPr>
        <w:t>主要评价项目立项依据充分性和立项</w:t>
      </w:r>
      <w:r>
        <w:rPr>
          <w:rFonts w:hint="default" w:ascii="Times New Roman" w:hAnsi="Times New Roman" w:cs="Times New Roman"/>
          <w:bCs/>
          <w:szCs w:val="32"/>
          <w:lang w:val="en-US" w:eastAsia="zh-CN"/>
        </w:rPr>
        <w:t>规范性</w:t>
      </w:r>
      <w:r>
        <w:rPr>
          <w:rFonts w:hint="default" w:ascii="Times New Roman" w:hAnsi="Times New Roman" w:cs="Times New Roman"/>
          <w:bCs/>
          <w:szCs w:val="32"/>
        </w:rPr>
        <w:t>情况。</w:t>
      </w:r>
      <w:r>
        <w:rPr>
          <w:rFonts w:hint="default" w:ascii="Times New Roman" w:hAnsi="Times New Roman" w:cs="Times New Roman"/>
          <w:szCs w:val="32"/>
        </w:rPr>
        <w:t>指标赋值</w:t>
      </w:r>
      <w:r>
        <w:rPr>
          <w:rFonts w:hint="default" w:ascii="Times New Roman" w:hAnsi="Times New Roman" w:cs="Times New Roman"/>
          <w:szCs w:val="32"/>
          <w:lang w:val="en-US" w:eastAsia="zh-CN"/>
        </w:rPr>
        <w:t>8</w:t>
      </w:r>
      <w:r>
        <w:rPr>
          <w:rFonts w:hint="default" w:ascii="Times New Roman" w:hAnsi="Times New Roman" w:cs="Times New Roman"/>
          <w:bCs/>
          <w:szCs w:val="32"/>
        </w:rPr>
        <w:t>分，评价得分</w:t>
      </w:r>
      <w:r>
        <w:rPr>
          <w:rFonts w:hint="default" w:ascii="Times New Roman" w:hAnsi="Times New Roman" w:cs="Times New Roman"/>
          <w:bCs/>
          <w:szCs w:val="32"/>
          <w:lang w:val="en-US" w:eastAsia="zh-CN"/>
        </w:rPr>
        <w:t>8</w:t>
      </w:r>
      <w:r>
        <w:rPr>
          <w:rFonts w:hint="default" w:ascii="Times New Roman" w:hAnsi="Times New Roman" w:cs="Times New Roman"/>
          <w:bCs/>
          <w:szCs w:val="32"/>
        </w:rPr>
        <w:t>分。</w:t>
      </w:r>
    </w:p>
    <w:p w14:paraId="065061F8">
      <w:pPr>
        <w:overflowPunct w:val="0"/>
        <w:spacing w:line="560" w:lineRule="exact"/>
        <w:ind w:firstLine="643"/>
        <w:rPr>
          <w:rFonts w:hint="default" w:ascii="Times New Roman" w:hAnsi="Times New Roman" w:cs="Times New Roman"/>
          <w:b/>
          <w:szCs w:val="32"/>
          <w:lang w:val="en-US" w:eastAsia="zh-CN"/>
        </w:rPr>
      </w:pPr>
      <w:r>
        <w:rPr>
          <w:rFonts w:hint="default" w:ascii="Times New Roman" w:hAnsi="Times New Roman" w:cs="Times New Roman"/>
          <w:b/>
          <w:szCs w:val="32"/>
          <w:lang w:eastAsia="zh-CN"/>
        </w:rPr>
        <w:t>（</w:t>
      </w:r>
      <w:r>
        <w:rPr>
          <w:rFonts w:hint="default" w:ascii="Times New Roman" w:hAnsi="Times New Roman" w:cs="Times New Roman"/>
          <w:b/>
          <w:szCs w:val="32"/>
          <w:lang w:val="en-US" w:eastAsia="zh-CN"/>
        </w:rPr>
        <w:t>1</w:t>
      </w:r>
      <w:r>
        <w:rPr>
          <w:rFonts w:hint="default" w:ascii="Times New Roman" w:hAnsi="Times New Roman" w:cs="Times New Roman"/>
          <w:b/>
          <w:szCs w:val="32"/>
          <w:lang w:eastAsia="zh-CN"/>
        </w:rPr>
        <w:t>）</w:t>
      </w:r>
      <w:r>
        <w:rPr>
          <w:rFonts w:hint="default" w:ascii="Times New Roman" w:hAnsi="Times New Roman" w:cs="Times New Roman"/>
          <w:b/>
          <w:szCs w:val="32"/>
          <w:lang w:val="en-US" w:eastAsia="zh-CN"/>
        </w:rPr>
        <w:t>立项依据充分性</w:t>
      </w:r>
    </w:p>
    <w:p w14:paraId="69EF6BFE">
      <w:pPr>
        <w:overflowPunct w:val="0"/>
        <w:spacing w:line="560" w:lineRule="exact"/>
        <w:ind w:firstLine="643"/>
        <w:rPr>
          <w:rFonts w:hint="default" w:ascii="Times New Roman" w:hAnsi="Times New Roman" w:cs="Times New Roman"/>
          <w:szCs w:val="32"/>
        </w:rPr>
      </w:pPr>
      <w:r>
        <w:rPr>
          <w:rFonts w:hint="default" w:ascii="Times New Roman" w:hAnsi="Times New Roman" w:cs="Times New Roman"/>
          <w:b/>
          <w:szCs w:val="32"/>
        </w:rPr>
        <w:t>一是项目立项符合国家政策和区域规划。</w:t>
      </w:r>
      <w:r>
        <w:rPr>
          <w:rFonts w:hint="default" w:ascii="Times New Roman" w:hAnsi="Times New Roman" w:cs="Times New Roman"/>
        </w:rPr>
        <w:t>根据</w:t>
      </w:r>
      <w:r>
        <w:rPr>
          <w:rFonts w:hint="default" w:ascii="Times New Roman" w:hAnsi="Times New Roman" w:cs="Times New Roman"/>
          <w:szCs w:val="32"/>
          <w:lang w:val="en-US" w:eastAsia="zh-CN"/>
        </w:rPr>
        <w:t>四川省</w:t>
      </w:r>
      <w:r>
        <w:rPr>
          <w:rFonts w:hint="default" w:ascii="Times New Roman" w:hAnsi="Times New Roman" w:cs="Times New Roman"/>
          <w:szCs w:val="32"/>
        </w:rPr>
        <w:t>农业农村厅《关于</w:t>
      </w:r>
      <w:r>
        <w:rPr>
          <w:rFonts w:hint="default" w:ascii="Times New Roman" w:hAnsi="Times New Roman" w:cs="Times New Roman"/>
          <w:szCs w:val="32"/>
          <w:lang w:val="en-US" w:eastAsia="zh-CN"/>
        </w:rPr>
        <w:t>守牢建好“天府良田”扎实做好2023年高标准农田建设工作</w:t>
      </w:r>
      <w:r>
        <w:rPr>
          <w:rFonts w:hint="default" w:ascii="Times New Roman" w:hAnsi="Times New Roman" w:cs="Times New Roman"/>
          <w:szCs w:val="32"/>
        </w:rPr>
        <w:t>的通知》（</w:t>
      </w:r>
      <w:r>
        <w:rPr>
          <w:rFonts w:hint="default" w:ascii="Times New Roman" w:hAnsi="Times New Roman" w:cs="Times New Roman"/>
          <w:szCs w:val="32"/>
          <w:lang w:val="en-US" w:eastAsia="zh-CN"/>
        </w:rPr>
        <w:t>川</w:t>
      </w:r>
      <w:r>
        <w:rPr>
          <w:rFonts w:hint="default" w:ascii="Times New Roman" w:hAnsi="Times New Roman" w:cs="Times New Roman"/>
          <w:szCs w:val="32"/>
        </w:rPr>
        <w:t>农发〔202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10</w:t>
      </w:r>
      <w:r>
        <w:rPr>
          <w:rFonts w:hint="default" w:ascii="Times New Roman" w:hAnsi="Times New Roman" w:cs="Times New Roman"/>
          <w:szCs w:val="32"/>
        </w:rPr>
        <w:t>号），</w:t>
      </w:r>
      <w:r>
        <w:rPr>
          <w:rFonts w:hint="default" w:ascii="Times New Roman" w:hAnsi="Times New Roman" w:cs="Times New Roman"/>
        </w:rPr>
        <w:t>要求</w:t>
      </w:r>
      <w:r>
        <w:rPr>
          <w:rFonts w:hint="default" w:ascii="Times New Roman" w:hAnsi="Times New Roman" w:cs="Times New Roman"/>
          <w:lang w:val="en-US" w:eastAsia="zh-CN"/>
        </w:rPr>
        <w:t>全面贯彻党的二十大和省第十二次党代会、省委十二届二次全会精神，认真落实中央、省委农村工作会议新部署新要求，围绕建设新时代更高水平“天府粮仓”，以守牢建好“天府良田”为目标，坚持整灌区、整市、整县、整片建设思路，坚决打好高标准农田建设攻坚战</w:t>
      </w:r>
      <w:r>
        <w:rPr>
          <w:rFonts w:hint="default" w:ascii="Times New Roman" w:hAnsi="Times New Roman" w:cs="Times New Roman"/>
          <w:szCs w:val="32"/>
        </w:rPr>
        <w:t>。</w:t>
      </w:r>
      <w:r>
        <w:rPr>
          <w:rFonts w:hint="default" w:ascii="Times New Roman" w:hAnsi="Times New Roman" w:cs="Times New Roman"/>
          <w:szCs w:val="32"/>
          <w:lang w:val="en-US" w:eastAsia="zh-CN"/>
        </w:rPr>
        <w:t>罗江</w:t>
      </w:r>
      <w:r>
        <w:rPr>
          <w:rFonts w:hint="default" w:ascii="Times New Roman" w:hAnsi="Times New Roman" w:cs="Times New Roman"/>
        </w:rPr>
        <w:t>区按照以上文件要求进行项目立项申请，立项依据充分，</w:t>
      </w:r>
      <w:r>
        <w:rPr>
          <w:rFonts w:hint="default" w:ascii="Times New Roman" w:hAnsi="Times New Roman" w:cs="Times New Roman"/>
          <w:bCs/>
          <w:szCs w:val="32"/>
        </w:rPr>
        <w:t>符合国家政策导向和区域发展规划精神。</w:t>
      </w:r>
    </w:p>
    <w:p w14:paraId="46D8DEF8">
      <w:pPr>
        <w:overflowPunct w:val="0"/>
        <w:spacing w:line="560" w:lineRule="exact"/>
        <w:ind w:firstLine="643"/>
        <w:rPr>
          <w:rFonts w:hint="default" w:ascii="Times New Roman" w:hAnsi="Times New Roman" w:eastAsia="仿宋" w:cs="Times New Roman"/>
          <w:b w:val="0"/>
          <w:bCs/>
          <w:szCs w:val="32"/>
          <w:lang w:val="en-US" w:eastAsia="zh-CN"/>
        </w:rPr>
      </w:pPr>
      <w:r>
        <w:rPr>
          <w:rFonts w:hint="default" w:ascii="Times New Roman" w:hAnsi="Times New Roman" w:cs="Times New Roman"/>
          <w:b/>
          <w:sz w:val="32"/>
          <w:szCs w:val="32"/>
          <w:lang w:val="en-US" w:eastAsia="zh-CN"/>
        </w:rPr>
        <w:t>二</w:t>
      </w:r>
      <w:r>
        <w:rPr>
          <w:rFonts w:hint="default" w:ascii="Times New Roman" w:hAnsi="Times New Roman" w:eastAsia="仿宋" w:cs="Times New Roman"/>
          <w:b/>
          <w:sz w:val="32"/>
          <w:szCs w:val="32"/>
        </w:rPr>
        <w:t>是立项内容与主管部门职责相符</w:t>
      </w:r>
      <w:r>
        <w:rPr>
          <w:rFonts w:hint="default" w:ascii="Times New Roman" w:hAnsi="Times New Roman" w:cs="Times New Roman"/>
          <w:b/>
          <w:szCs w:val="32"/>
        </w:rPr>
        <w:t>。</w:t>
      </w:r>
      <w:r>
        <w:rPr>
          <w:rFonts w:hint="default" w:ascii="Times New Roman" w:hAnsi="Times New Roman" w:cs="Times New Roman"/>
          <w:b w:val="0"/>
          <w:bCs/>
          <w:szCs w:val="32"/>
          <w:lang w:val="en-US" w:eastAsia="zh-CN"/>
        </w:rPr>
        <w:t>根据</w:t>
      </w:r>
      <w:r>
        <w:rPr>
          <w:rFonts w:hint="default" w:ascii="Times New Roman" w:hAnsi="Times New Roman" w:cs="Times New Roman"/>
          <w:b w:val="0"/>
          <w:bCs/>
          <w:szCs w:val="32"/>
        </w:rPr>
        <w:t>中共德阳市罗江区委办公室</w:t>
      </w:r>
      <w:r>
        <w:rPr>
          <w:rFonts w:hint="default" w:ascii="Times New Roman" w:hAnsi="Times New Roman" w:cs="Times New Roman"/>
          <w:b w:val="0"/>
          <w:bCs/>
          <w:szCs w:val="32"/>
          <w:lang w:val="en-US" w:eastAsia="zh-CN"/>
        </w:rPr>
        <w:t xml:space="preserve"> </w:t>
      </w:r>
      <w:r>
        <w:rPr>
          <w:rFonts w:hint="default" w:ascii="Times New Roman" w:hAnsi="Times New Roman" w:cs="Times New Roman"/>
          <w:b w:val="0"/>
          <w:bCs/>
          <w:szCs w:val="32"/>
        </w:rPr>
        <w:t>德阳市罗江区人民政府办公室关于印发《德阳市罗江区农业农村局职能配置</w:t>
      </w:r>
      <w:r>
        <w:rPr>
          <w:rFonts w:hint="default" w:ascii="Times New Roman" w:hAnsi="Times New Roman" w:cs="Times New Roman"/>
          <w:b w:val="0"/>
          <w:bCs/>
          <w:szCs w:val="32"/>
          <w:lang w:eastAsia="zh-CN"/>
        </w:rPr>
        <w:t>、</w:t>
      </w:r>
      <w:r>
        <w:rPr>
          <w:rFonts w:hint="default" w:ascii="Times New Roman" w:hAnsi="Times New Roman" w:cs="Times New Roman"/>
          <w:b w:val="0"/>
          <w:bCs/>
          <w:szCs w:val="32"/>
        </w:rPr>
        <w:t>内设机构和人员编制规定》的通知</w:t>
      </w:r>
      <w:r>
        <w:rPr>
          <w:rFonts w:hint="default" w:ascii="Times New Roman" w:hAnsi="Times New Roman" w:cs="Times New Roman"/>
          <w:b w:val="0"/>
          <w:bCs/>
          <w:szCs w:val="32"/>
          <w:lang w:eastAsia="zh-CN"/>
        </w:rPr>
        <w:t>（</w:t>
      </w:r>
      <w:r>
        <w:rPr>
          <w:rFonts w:hint="default" w:ascii="Times New Roman" w:hAnsi="Times New Roman" w:cs="Times New Roman"/>
          <w:sz w:val="32"/>
          <w:szCs w:val="24"/>
        </w:rPr>
        <w:t>德市罗委办发〔</w:t>
      </w:r>
      <w:r>
        <w:rPr>
          <w:rFonts w:hint="default" w:ascii="Times New Roman" w:hAnsi="Times New Roman" w:eastAsia="Times New Roman" w:cs="Times New Roman"/>
          <w:sz w:val="32"/>
          <w:szCs w:val="24"/>
        </w:rPr>
        <w:t>2019</w:t>
      </w:r>
      <w:r>
        <w:rPr>
          <w:rFonts w:hint="default" w:ascii="Times New Roman" w:hAnsi="Times New Roman" w:cs="Times New Roman"/>
          <w:sz w:val="32"/>
          <w:szCs w:val="24"/>
        </w:rPr>
        <w:t>〕</w:t>
      </w:r>
      <w:r>
        <w:rPr>
          <w:rFonts w:hint="default" w:ascii="Times New Roman" w:hAnsi="Times New Roman" w:eastAsia="Times New Roman" w:cs="Times New Roman"/>
          <w:sz w:val="32"/>
          <w:szCs w:val="24"/>
        </w:rPr>
        <w:t>72</w:t>
      </w:r>
      <w:r>
        <w:rPr>
          <w:rFonts w:hint="default" w:ascii="Times New Roman" w:hAnsi="Times New Roman" w:cs="Times New Roman"/>
          <w:sz w:val="32"/>
          <w:szCs w:val="24"/>
        </w:rPr>
        <w:t>号</w:t>
      </w:r>
      <w:r>
        <w:rPr>
          <w:rFonts w:hint="default" w:ascii="Times New Roman" w:hAnsi="Times New Roman" w:cs="Times New Roman"/>
          <w:sz w:val="32"/>
          <w:szCs w:val="24"/>
          <w:lang w:eastAsia="zh-CN"/>
        </w:rPr>
        <w:t>）</w:t>
      </w:r>
      <w:r>
        <w:rPr>
          <w:rFonts w:hint="default" w:ascii="Times New Roman" w:hAnsi="Times New Roman" w:cs="Times New Roman"/>
          <w:b w:val="0"/>
          <w:bCs/>
          <w:szCs w:val="32"/>
          <w:lang w:eastAsia="zh-CN"/>
        </w:rPr>
        <w:t>，</w:t>
      </w:r>
      <w:r>
        <w:rPr>
          <w:rFonts w:hint="default" w:ascii="Times New Roman" w:hAnsi="Times New Roman" w:cs="Times New Roman"/>
          <w:b w:val="0"/>
          <w:bCs/>
          <w:szCs w:val="32"/>
          <w:lang w:val="en-US" w:eastAsia="zh-CN"/>
        </w:rPr>
        <w:t>罗江区农业农村局主要</w:t>
      </w:r>
      <w:r>
        <w:rPr>
          <w:rFonts w:hint="default" w:ascii="Times New Roman" w:hAnsi="Times New Roman" w:cs="Times New Roman"/>
          <w:b w:val="0"/>
          <w:bCs/>
          <w:szCs w:val="32"/>
          <w:lang w:eastAsia="zh-CN"/>
        </w:rPr>
        <w:t>负责全区农田建设管理，拟订农田建设发展规划，提出农田建设项目需求建议；负责全区农田建设管理、高标准农田建设和耕地质量管理。负责编制农业综合开发、农田建设、农田整治、农田水利建设等项目计划，并组织实施和管理。</w:t>
      </w:r>
      <w:r>
        <w:rPr>
          <w:rFonts w:hint="default" w:ascii="Times New Roman" w:hAnsi="Times New Roman" w:cs="Times New Roman"/>
          <w:b w:val="0"/>
          <w:bCs/>
          <w:szCs w:val="32"/>
          <w:lang w:val="en-US" w:eastAsia="zh-CN"/>
        </w:rPr>
        <w:t>2023年高标准农田建设项目与农业农村局职责相符。</w:t>
      </w:r>
    </w:p>
    <w:p w14:paraId="0C9FAC80">
      <w:pPr>
        <w:numPr>
          <w:ilvl w:val="0"/>
          <w:numId w:val="0"/>
        </w:numPr>
        <w:spacing w:line="560" w:lineRule="exact"/>
        <w:ind w:firstLine="643" w:firstLineChars="200"/>
        <w:rPr>
          <w:rFonts w:hint="default" w:ascii="Times New Roman" w:hAnsi="Times New Roman" w:cs="Times New Roman"/>
          <w:b/>
          <w:bCs/>
          <w:szCs w:val="32"/>
          <w:lang w:val="en-US"/>
        </w:rPr>
      </w:pPr>
      <w:r>
        <w:rPr>
          <w:rFonts w:hint="default" w:ascii="Times New Roman" w:hAnsi="Times New Roman" w:eastAsia="仿宋" w:cs="Times New Roman"/>
          <w:b/>
          <w:bCs/>
          <w:kern w:val="2"/>
          <w:sz w:val="32"/>
          <w:szCs w:val="32"/>
          <w:lang w:val="en-US" w:eastAsia="zh-CN" w:bidi="ar-SA"/>
        </w:rPr>
        <w:t>（2）</w:t>
      </w:r>
      <w:r>
        <w:rPr>
          <w:rFonts w:hint="default" w:ascii="Times New Roman" w:hAnsi="Times New Roman" w:cs="Times New Roman"/>
          <w:b/>
          <w:bCs/>
          <w:szCs w:val="32"/>
          <w:lang w:val="en-US" w:eastAsia="zh-CN"/>
        </w:rPr>
        <w:t>立项程序规范性</w:t>
      </w:r>
    </w:p>
    <w:p w14:paraId="68B4F93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Cs w:val="32"/>
        </w:rPr>
      </w:pPr>
      <w:r>
        <w:rPr>
          <w:rFonts w:hint="default" w:ascii="Times New Roman" w:hAnsi="Times New Roman" w:cs="Times New Roman"/>
          <w:szCs w:val="32"/>
          <w:lang w:val="en-US" w:eastAsia="zh-CN"/>
        </w:rPr>
        <w:t>罗江区农业农村局2023</w:t>
      </w:r>
      <w:r>
        <w:rPr>
          <w:rFonts w:hint="default" w:ascii="Times New Roman" w:hAnsi="Times New Roman" w:cs="Times New Roman"/>
          <w:szCs w:val="32"/>
          <w:lang w:eastAsia="zh-CN"/>
        </w:rPr>
        <w:t>年度</w:t>
      </w:r>
      <w:r>
        <w:rPr>
          <w:rFonts w:hint="default" w:ascii="Times New Roman" w:hAnsi="Times New Roman" w:cs="Times New Roman"/>
          <w:szCs w:val="32"/>
          <w:lang w:val="en-US" w:eastAsia="zh-CN"/>
        </w:rPr>
        <w:t>高标准农田建设项目通过</w:t>
      </w:r>
      <w:r>
        <w:rPr>
          <w:rFonts w:hint="default" w:ascii="Times New Roman" w:hAnsi="Times New Roman" w:cs="Times New Roman"/>
          <w:kern w:val="0"/>
          <w:szCs w:val="32"/>
          <w:lang w:val="en-US" w:eastAsia="zh-CN"/>
        </w:rPr>
        <w:t>制定实施方案并取得</w:t>
      </w:r>
      <w:r>
        <w:rPr>
          <w:rFonts w:hint="default" w:ascii="Times New Roman" w:hAnsi="Times New Roman" w:cs="Times New Roman"/>
          <w:kern w:val="0"/>
          <w:szCs w:val="32"/>
        </w:rPr>
        <w:t>批复，</w:t>
      </w:r>
      <w:r>
        <w:rPr>
          <w:rFonts w:hint="default" w:ascii="Times New Roman" w:hAnsi="Times New Roman" w:cs="Times New Roman"/>
          <w:kern w:val="0"/>
          <w:szCs w:val="32"/>
          <w:lang w:val="en-US" w:eastAsia="zh-CN"/>
        </w:rPr>
        <w:t>采取公开招标确定实施方案，</w:t>
      </w:r>
      <w:r>
        <w:rPr>
          <w:rFonts w:hint="default" w:ascii="Times New Roman" w:hAnsi="Times New Roman" w:cs="Times New Roman"/>
          <w:szCs w:val="32"/>
        </w:rPr>
        <w:t>立项程序基本规范。具体表现为</w:t>
      </w:r>
      <w:r>
        <w:rPr>
          <w:rFonts w:hint="default" w:ascii="Times New Roman" w:hAnsi="Times New Roman" w:cs="Times New Roman"/>
        </w:rPr>
        <w:t>：</w:t>
      </w:r>
    </w:p>
    <w:p w14:paraId="19A40B1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 w:cs="Times New Roman"/>
          <w:b w:val="0"/>
          <w:bCs w:val="0"/>
          <w:szCs w:val="32"/>
          <w:lang w:val="en-US" w:eastAsia="zh-CN"/>
        </w:rPr>
      </w:pPr>
      <w:r>
        <w:rPr>
          <w:rFonts w:hint="default" w:ascii="Times New Roman" w:hAnsi="Times New Roman" w:cs="Times New Roman"/>
          <w:b/>
          <w:bCs/>
          <w:szCs w:val="32"/>
          <w:lang w:val="en-US" w:eastAsia="zh-CN"/>
        </w:rPr>
        <w:t>一是项目申请经过相关部门审批：</w:t>
      </w:r>
      <w:r>
        <w:rPr>
          <w:rFonts w:hint="default" w:ascii="Times New Roman" w:hAnsi="Times New Roman" w:cs="Times New Roman"/>
          <w:b w:val="0"/>
          <w:bCs w:val="0"/>
          <w:szCs w:val="32"/>
          <w:lang w:val="en-US" w:eastAsia="zh-CN"/>
        </w:rPr>
        <w:t>罗江区农业农村局于2023年7月3日向德阳市农业农村局报送《四川省德阳市罗江区2023年高标准农田改造提升项目实施方案》的请示（德市罗农</w:t>
      </w:r>
      <w:r>
        <w:rPr>
          <w:rFonts w:hint="default" w:ascii="Times New Roman" w:hAnsi="Times New Roman" w:cs="Times New Roman"/>
          <w:sz w:val="32"/>
          <w:szCs w:val="24"/>
        </w:rPr>
        <w:t>〔</w:t>
      </w:r>
      <w:r>
        <w:rPr>
          <w:rFonts w:hint="default" w:ascii="Times New Roman" w:hAnsi="Times New Roman" w:eastAsia="Times New Roman" w:cs="Times New Roman"/>
          <w:sz w:val="32"/>
          <w:szCs w:val="24"/>
        </w:rPr>
        <w:t>20</w:t>
      </w:r>
      <w:r>
        <w:rPr>
          <w:rFonts w:hint="default" w:ascii="Times New Roman" w:hAnsi="Times New Roman" w:eastAsia="宋体" w:cs="Times New Roman"/>
          <w:sz w:val="32"/>
          <w:szCs w:val="24"/>
          <w:lang w:val="en-US" w:eastAsia="zh-CN"/>
        </w:rPr>
        <w:t>23</w:t>
      </w:r>
      <w:r>
        <w:rPr>
          <w:rFonts w:hint="default" w:ascii="Times New Roman" w:hAnsi="Times New Roman" w:cs="Times New Roman"/>
          <w:sz w:val="32"/>
          <w:szCs w:val="24"/>
        </w:rPr>
        <w:t>〕</w:t>
      </w:r>
      <w:r>
        <w:rPr>
          <w:rFonts w:hint="default" w:ascii="Times New Roman" w:hAnsi="Times New Roman" w:cs="Times New Roman"/>
          <w:sz w:val="32"/>
          <w:szCs w:val="24"/>
          <w:lang w:val="en-US" w:eastAsia="zh-CN"/>
        </w:rPr>
        <w:t>61</w:t>
      </w:r>
      <w:r>
        <w:rPr>
          <w:rFonts w:hint="default" w:ascii="Times New Roman" w:hAnsi="Times New Roman" w:cs="Times New Roman"/>
          <w:sz w:val="32"/>
          <w:szCs w:val="24"/>
        </w:rPr>
        <w:t>号</w:t>
      </w:r>
      <w:r>
        <w:rPr>
          <w:rFonts w:hint="default" w:ascii="Times New Roman" w:hAnsi="Times New Roman" w:cs="Times New Roman"/>
          <w:b w:val="0"/>
          <w:bCs w:val="0"/>
          <w:szCs w:val="32"/>
          <w:lang w:val="en-US" w:eastAsia="zh-CN"/>
        </w:rPr>
        <w:t>），经专家评审，市农业农村局党组决定同意该方案的实施，并于2023年7月12日批复。立项审批程序规范。</w:t>
      </w:r>
    </w:p>
    <w:p w14:paraId="3F021987">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cs="Times New Roman"/>
        </w:rPr>
      </w:pPr>
      <w:r>
        <w:rPr>
          <w:rFonts w:hint="default" w:ascii="Times New Roman" w:hAnsi="Times New Roman" w:cs="Times New Roman"/>
          <w:b/>
          <w:bCs/>
          <w:szCs w:val="32"/>
          <w:lang w:val="en-US" w:eastAsia="zh-CN"/>
        </w:rPr>
        <w:t>二是招标程序规范</w:t>
      </w:r>
      <w:r>
        <w:rPr>
          <w:rFonts w:hint="default" w:ascii="Times New Roman" w:hAnsi="Times New Roman" w:cs="Times New Roman"/>
          <w:szCs w:val="32"/>
          <w:lang w:val="en-US" w:eastAsia="zh-CN"/>
        </w:rPr>
        <w:t>：罗江区</w:t>
      </w:r>
      <w:r>
        <w:rPr>
          <w:rFonts w:hint="default" w:ascii="Times New Roman" w:hAnsi="Times New Roman" w:cs="Times New Roman"/>
          <w:szCs w:val="32"/>
        </w:rPr>
        <w:t>农业农村局作为主管实施单位，委托</w:t>
      </w:r>
      <w:r>
        <w:rPr>
          <w:rFonts w:hint="default" w:ascii="Times New Roman" w:hAnsi="Times New Roman" w:cs="Times New Roman"/>
          <w:szCs w:val="32"/>
          <w:lang w:val="en-US" w:eastAsia="zh-CN"/>
        </w:rPr>
        <w:t>四川兴泉工程项目管理</w:t>
      </w:r>
      <w:r>
        <w:rPr>
          <w:rFonts w:hint="default" w:ascii="Times New Roman" w:hAnsi="Times New Roman" w:cs="Times New Roman"/>
          <w:szCs w:val="32"/>
        </w:rPr>
        <w:t>有限公司按照相关规定进行公开招标，确定监理、施工和设计单位（详情见表1-2），招标程序规范，招标公告、投标资料、评标资料、中标通知书、中标合同等相关资料齐全，中标</w:t>
      </w:r>
      <w:r>
        <w:rPr>
          <w:rFonts w:hint="default" w:ascii="Times New Roman" w:hAnsi="Times New Roman" w:cs="Times New Roman"/>
        </w:rPr>
        <w:t>项目施工单位及监理人员均具备相关行业资质，可有效保障项目实施质量。</w:t>
      </w:r>
    </w:p>
    <w:p w14:paraId="71CD9F7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2.绩效目标设置：</w:t>
      </w:r>
      <w:r>
        <w:rPr>
          <w:rFonts w:hint="default" w:ascii="Times New Roman" w:hAnsi="Times New Roman" w:cs="Times New Roman"/>
          <w:bCs/>
          <w:szCs w:val="32"/>
        </w:rPr>
        <w:t>主要评价绩效目标合理性和绩效指标明确性情况。指标赋值6分，评价得分</w:t>
      </w:r>
      <w:r>
        <w:rPr>
          <w:rFonts w:hint="default" w:ascii="Times New Roman" w:hAnsi="Times New Roman" w:cs="Times New Roman"/>
          <w:bCs/>
          <w:szCs w:val="32"/>
          <w:lang w:val="en-US" w:eastAsia="zh-CN"/>
        </w:rPr>
        <w:t>4.5</w:t>
      </w:r>
      <w:r>
        <w:rPr>
          <w:rFonts w:hint="default" w:ascii="Times New Roman" w:hAnsi="Times New Roman" w:cs="Times New Roman"/>
          <w:bCs/>
          <w:szCs w:val="32"/>
        </w:rPr>
        <w:t>分。</w:t>
      </w:r>
    </w:p>
    <w:p w14:paraId="7249A2A6">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lang w:eastAsia="zh-CN"/>
        </w:rPr>
      </w:pPr>
      <w:bookmarkStart w:id="95" w:name="_Toc136706213"/>
      <w:bookmarkStart w:id="96" w:name="_Toc86224149"/>
      <w:r>
        <w:rPr>
          <w:rFonts w:hint="default" w:ascii="Times New Roman" w:hAnsi="Times New Roman" w:cs="Times New Roman"/>
          <w:lang w:val="en-US" w:eastAsia="zh-CN"/>
        </w:rPr>
        <w:t>罗江区农业农村局</w:t>
      </w:r>
      <w:r>
        <w:rPr>
          <w:rFonts w:hint="default" w:ascii="Times New Roman" w:hAnsi="Times New Roman" w:cs="Times New Roman"/>
        </w:rPr>
        <w:t>作为主管实施单位，填报了《202</w:t>
      </w:r>
      <w:r>
        <w:rPr>
          <w:rFonts w:hint="default" w:ascii="Times New Roman" w:hAnsi="Times New Roman" w:cs="Times New Roman"/>
          <w:lang w:val="en-US" w:eastAsia="zh-CN"/>
        </w:rPr>
        <w:t>3</w:t>
      </w:r>
      <w:r>
        <w:rPr>
          <w:rFonts w:hint="default" w:ascii="Times New Roman" w:hAnsi="Times New Roman" w:cs="Times New Roman"/>
        </w:rPr>
        <w:t>年高标准农田建设项目绩效目标申报表》，</w:t>
      </w:r>
      <w:r>
        <w:rPr>
          <w:rFonts w:hint="default" w:ascii="Times New Roman" w:hAnsi="Times New Roman" w:cs="Times New Roman"/>
          <w:color w:val="auto"/>
        </w:rPr>
        <w:t>绩效目标设置基本明确，</w:t>
      </w:r>
      <w:r>
        <w:rPr>
          <w:rFonts w:hint="default" w:ascii="Times New Roman" w:hAnsi="Times New Roman" w:cs="Times New Roman"/>
        </w:rPr>
        <w:t>并实现指标化细化分解。具体表现为：一是年度绩效指标填写基本完整，指标内容与指标值相关，数量、成本指标与项目目标任务对应；各项指标基本实现量化，社会效益指标较为清晰，绩效指标明确可衡量；二是项目产出目标为</w:t>
      </w:r>
      <w:r>
        <w:rPr>
          <w:rFonts w:hint="default" w:ascii="Times New Roman" w:hAnsi="Times New Roman" w:cs="Times New Roman"/>
          <w:lang w:val="en-US" w:eastAsia="zh-CN"/>
        </w:rPr>
        <w:t>改造提升</w:t>
      </w:r>
      <w:r>
        <w:rPr>
          <w:rFonts w:hint="default" w:ascii="Times New Roman" w:hAnsi="Times New Roman" w:cs="Times New Roman"/>
          <w:highlight w:val="none"/>
          <w:lang w:val="en-US" w:eastAsia="zh-CN"/>
        </w:rPr>
        <w:t>0.9万亩</w:t>
      </w:r>
      <w:r>
        <w:rPr>
          <w:rFonts w:hint="default" w:ascii="Times New Roman" w:hAnsi="Times New Roman" w:cs="Times New Roman"/>
        </w:rPr>
        <w:t>高标准农田规划建设任务，</w:t>
      </w:r>
      <w:r>
        <w:rPr>
          <w:rFonts w:hint="default" w:ascii="Times New Roman" w:hAnsi="Times New Roman" w:cs="Times New Roman"/>
          <w:lang w:val="en-US" w:eastAsia="zh-CN"/>
        </w:rPr>
        <w:t>但实际建设任务为0.75万亩，</w:t>
      </w:r>
      <w:r>
        <w:rPr>
          <w:rFonts w:hint="default" w:ascii="Times New Roman" w:hAnsi="Times New Roman" w:cs="Times New Roman"/>
        </w:rPr>
        <w:t>计划总投资</w:t>
      </w:r>
      <w:r>
        <w:rPr>
          <w:rFonts w:hint="default" w:ascii="Times New Roman" w:hAnsi="Times New Roman" w:cs="Times New Roman"/>
          <w:lang w:val="en-US" w:eastAsia="zh-CN"/>
        </w:rPr>
        <w:t>2500万元</w:t>
      </w:r>
      <w:r>
        <w:rPr>
          <w:rFonts w:hint="default" w:ascii="Times New Roman" w:hAnsi="Times New Roman" w:cs="Times New Roman"/>
        </w:rPr>
        <w:t>，用于工程、设计、监理、代理、</w:t>
      </w:r>
      <w:r>
        <w:rPr>
          <w:rFonts w:hint="default" w:ascii="Times New Roman" w:hAnsi="Times New Roman" w:cs="Times New Roman"/>
          <w:lang w:val="en-US" w:eastAsia="zh-CN"/>
        </w:rPr>
        <w:t>土地质量检测</w:t>
      </w:r>
      <w:r>
        <w:rPr>
          <w:rFonts w:hint="default" w:ascii="Times New Roman" w:hAnsi="Times New Roman" w:cs="Times New Roman"/>
        </w:rPr>
        <w:t>等多项内</w:t>
      </w:r>
      <w:r>
        <w:rPr>
          <w:rFonts w:hint="default" w:ascii="Times New Roman" w:hAnsi="Times New Roman" w:cs="Times New Roman"/>
          <w:lang w:val="en-US" w:eastAsia="zh-CN"/>
        </w:rPr>
        <w:t>容</w:t>
      </w:r>
      <w:r>
        <w:rPr>
          <w:rFonts w:hint="default" w:ascii="Times New Roman" w:hAnsi="Times New Roman" w:cs="Times New Roman"/>
          <w:lang w:eastAsia="zh-CN"/>
        </w:rPr>
        <w:t>。</w:t>
      </w:r>
    </w:p>
    <w:p w14:paraId="305B6139">
      <w:pPr>
        <w:keepNext w:val="0"/>
        <w:keepLines w:val="0"/>
        <w:pageBreakBefore w:val="0"/>
        <w:widowControl w:val="0"/>
        <w:kinsoku/>
        <w:wordWrap/>
        <w:overflowPunct w:val="0"/>
        <w:topLinePunct w:val="0"/>
        <w:autoSpaceDE/>
        <w:autoSpaceDN/>
        <w:bidi w:val="0"/>
        <w:adjustRightInd w:val="0"/>
        <w:snapToGrid w:val="0"/>
        <w:spacing w:line="560" w:lineRule="exact"/>
        <w:textAlignment w:val="auto"/>
        <w:rPr>
          <w:rFonts w:hint="default" w:ascii="Times New Roman" w:hAnsi="Times New Roman" w:cs="Times New Roman"/>
        </w:rPr>
      </w:pPr>
      <w:r>
        <w:rPr>
          <w:rFonts w:hint="default" w:ascii="Times New Roman" w:hAnsi="Times New Roman" w:cs="Times New Roman"/>
          <w:b/>
          <w:bCs/>
        </w:rPr>
        <w:t>主要存在问题：</w:t>
      </w:r>
      <w:r>
        <w:rPr>
          <w:rFonts w:hint="default" w:ascii="Times New Roman" w:hAnsi="Times New Roman" w:cs="Times New Roman"/>
          <w:lang w:val="en-US" w:eastAsia="zh-CN"/>
        </w:rPr>
        <w:t>①</w:t>
      </w:r>
      <w:r>
        <w:rPr>
          <w:rFonts w:hint="default" w:ascii="Times New Roman" w:hAnsi="Times New Roman" w:cs="Times New Roman"/>
          <w:highlight w:val="none"/>
        </w:rPr>
        <w:t>数量指标设置</w:t>
      </w:r>
      <w:r>
        <w:rPr>
          <w:rFonts w:hint="default" w:ascii="Times New Roman" w:hAnsi="Times New Roman" w:cs="Times New Roman"/>
          <w:highlight w:val="none"/>
          <w:lang w:val="en-US" w:eastAsia="zh-CN"/>
        </w:rPr>
        <w:t>不准确</w:t>
      </w:r>
      <w:r>
        <w:rPr>
          <w:rFonts w:hint="default" w:ascii="Times New Roman" w:hAnsi="Times New Roman" w:cs="Times New Roman"/>
          <w:highlight w:val="none"/>
        </w:rPr>
        <w:t>不全面</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②</w:t>
      </w:r>
      <w:r>
        <w:rPr>
          <w:rFonts w:hint="default" w:ascii="Times New Roman" w:hAnsi="Times New Roman" w:cs="Times New Roman"/>
          <w:highlight w:val="none"/>
        </w:rPr>
        <w:t>成本指标</w:t>
      </w:r>
      <w:r>
        <w:rPr>
          <w:rFonts w:hint="default" w:ascii="Times New Roman" w:hAnsi="Times New Roman" w:cs="Times New Roman"/>
          <w:highlight w:val="none"/>
          <w:lang w:val="en-US" w:eastAsia="zh-CN"/>
        </w:rPr>
        <w:t>设置</w:t>
      </w:r>
      <w:r>
        <w:rPr>
          <w:rFonts w:hint="default" w:ascii="Times New Roman" w:hAnsi="Times New Roman" w:cs="Times New Roman"/>
          <w:highlight w:val="none"/>
        </w:rPr>
        <w:t>未细化</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③</w:t>
      </w:r>
      <w:r>
        <w:rPr>
          <w:rFonts w:hint="default" w:ascii="Times New Roman" w:hAnsi="Times New Roman" w:cs="Times New Roman"/>
        </w:rPr>
        <w:t>项目整体计划与目标未反映在绩效目标申报表中。扣减</w:t>
      </w:r>
      <w:r>
        <w:rPr>
          <w:rFonts w:hint="default" w:ascii="Times New Roman" w:hAnsi="Times New Roman" w:cs="Times New Roman"/>
          <w:lang w:val="en-US" w:eastAsia="zh-CN"/>
        </w:rPr>
        <w:t>1.5</w:t>
      </w:r>
      <w:r>
        <w:rPr>
          <w:rFonts w:hint="default" w:ascii="Times New Roman" w:hAnsi="Times New Roman" w:cs="Times New Roman"/>
        </w:rPr>
        <w:t>分。</w:t>
      </w:r>
    </w:p>
    <w:p w14:paraId="2A10F104">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3"/>
        <w:textAlignment w:val="auto"/>
        <w:rPr>
          <w:rFonts w:hint="default" w:ascii="Times New Roman" w:hAnsi="Times New Roman" w:cs="Times New Roman"/>
          <w:bCs/>
          <w:szCs w:val="32"/>
        </w:rPr>
      </w:pPr>
      <w:r>
        <w:rPr>
          <w:rFonts w:hint="default" w:ascii="Times New Roman" w:hAnsi="Times New Roman" w:eastAsia="仿宋" w:cs="Times New Roman"/>
          <w:b/>
          <w:bCs/>
          <w:lang w:val="en-US" w:eastAsia="zh-CN"/>
        </w:rPr>
        <w:t>3.资金投入：</w:t>
      </w:r>
      <w:r>
        <w:rPr>
          <w:rFonts w:hint="default" w:ascii="Times New Roman" w:hAnsi="Times New Roman" w:cs="Times New Roman"/>
          <w:bCs/>
          <w:szCs w:val="32"/>
        </w:rPr>
        <w:t>主要评价预算编制科学性和资金分配合理性情况。指标赋值6分，评价得分6分。</w:t>
      </w:r>
    </w:p>
    <w:p w14:paraId="6D1D94E2">
      <w:pPr>
        <w:keepNext w:val="0"/>
        <w:keepLines w:val="0"/>
        <w:pageBreakBefore w:val="0"/>
        <w:widowControl w:val="0"/>
        <w:kinsoku/>
        <w:wordWrap/>
        <w:topLinePunct w:val="0"/>
        <w:bidi w:val="0"/>
        <w:adjustRightInd w:val="0"/>
        <w:snapToGrid w:val="0"/>
        <w:spacing w:line="560" w:lineRule="exact"/>
        <w:textAlignment w:val="auto"/>
        <w:rPr>
          <w:rFonts w:hint="default" w:ascii="Times New Roman" w:hAnsi="Times New Roman" w:cs="Times New Roman"/>
          <w:b/>
          <w:bCs/>
          <w:lang w:val="en-US" w:eastAsia="zh-CN"/>
        </w:rPr>
      </w:pPr>
      <w:bookmarkStart w:id="97" w:name="OLE_LINK3"/>
      <w:r>
        <w:rPr>
          <w:rFonts w:hint="default" w:ascii="Times New Roman" w:hAnsi="Times New Roman" w:cs="Times New Roman"/>
          <w:b/>
          <w:bCs/>
          <w:lang w:val="en-US" w:eastAsia="zh-CN"/>
        </w:rPr>
        <w:t>（1）预算编制合理性：</w:t>
      </w:r>
      <w:r>
        <w:rPr>
          <w:rFonts w:hint="default" w:ascii="Times New Roman" w:hAnsi="Times New Roman" w:cs="Times New Roman"/>
          <w:bCs/>
          <w:szCs w:val="32"/>
        </w:rPr>
        <w:t>指标赋值3分，得分3分。</w:t>
      </w:r>
    </w:p>
    <w:p w14:paraId="43E0654D">
      <w:pPr>
        <w:keepNext w:val="0"/>
        <w:keepLines w:val="0"/>
        <w:pageBreakBefore w:val="0"/>
        <w:widowControl w:val="0"/>
        <w:kinsoku/>
        <w:wordWrap/>
        <w:topLinePunct w:val="0"/>
        <w:bidi w:val="0"/>
        <w:adjustRightInd w:val="0"/>
        <w:snapToGrid w:val="0"/>
        <w:spacing w:line="5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罗江</w:t>
      </w:r>
      <w:r>
        <w:rPr>
          <w:rFonts w:hint="eastAsia" w:cs="Times New Roman"/>
          <w:lang w:val="en-US" w:eastAsia="zh-CN"/>
        </w:rPr>
        <w:t>区农业农村局</w:t>
      </w:r>
      <w:r>
        <w:rPr>
          <w:rFonts w:hint="default" w:ascii="Times New Roman" w:hAnsi="Times New Roman" w:cs="Times New Roman"/>
          <w:lang w:val="en-US" w:eastAsia="zh-CN"/>
        </w:rPr>
        <w:t>作为项目预算申报部门，根据德市罗农〔2023〕61号文件精神，申报预算资金2968.68万元，经德农农建〔2023〕9号文件批复，2023年高标准农田改造提升项目建设内容情况表中包含了土地平整、土壤改良、灌溉和排水等项目投资额，项目预算编制内容完整，包含项目申请理由、项目总体目标等。项目主要内容包含项目测算依据，预算编制依据较科学。</w:t>
      </w:r>
      <w:bookmarkEnd w:id="97"/>
    </w:p>
    <w:p w14:paraId="50E9947E">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color w:val="auto"/>
          <w:lang w:val="en-US" w:eastAsia="zh-CN"/>
        </w:rPr>
      </w:pPr>
      <w:r>
        <w:rPr>
          <w:rFonts w:hint="default" w:ascii="Times New Roman" w:hAnsi="Times New Roman" w:cs="Times New Roman"/>
          <w:b/>
          <w:bCs/>
          <w:color w:val="auto"/>
          <w:lang w:val="en-US" w:eastAsia="zh-CN"/>
        </w:rPr>
        <w:t>（2）资金分配合理性：</w:t>
      </w:r>
      <w:r>
        <w:rPr>
          <w:rFonts w:hint="default" w:ascii="Times New Roman" w:hAnsi="Times New Roman" w:cs="Times New Roman"/>
          <w:color w:val="auto"/>
          <w:lang w:val="en-US" w:eastAsia="zh-CN"/>
        </w:rPr>
        <w:t>指标赋值3分，得分3分。</w:t>
      </w:r>
    </w:p>
    <w:p w14:paraId="24115302">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szCs w:val="32"/>
        </w:rPr>
      </w:pPr>
      <w:r>
        <w:rPr>
          <w:rFonts w:hint="default" w:ascii="Times New Roman" w:hAnsi="Times New Roman" w:cs="Times New Roman"/>
          <w:szCs w:val="32"/>
          <w:lang w:eastAsia="zh-CN"/>
        </w:rPr>
        <w:t>项目资金在立项初期经过详细测算，确保各项支出与预算安排相匹配，资金分配合理且科学。资金分配方案在充分考虑项目各个环节的具体需求后制定，确保资金的使用能够满足项目的实际需要，并有效支持项目目标的实现，从而保证了项目实施的顺利推进和预期效益的达成。</w:t>
      </w:r>
      <w:r>
        <w:rPr>
          <w:rFonts w:hint="default" w:ascii="Times New Roman" w:hAnsi="Times New Roman" w:cs="Times New Roman"/>
          <w:szCs w:val="32"/>
          <w:lang w:val="en-US" w:eastAsia="zh-CN"/>
        </w:rPr>
        <w:t>评价组查看项目</w:t>
      </w:r>
      <w:r>
        <w:rPr>
          <w:rFonts w:hint="default" w:ascii="Times New Roman" w:hAnsi="Times New Roman" w:cs="Times New Roman"/>
          <w:color w:val="auto"/>
          <w:lang w:val="en-US" w:eastAsia="zh-CN"/>
        </w:rPr>
        <w:t>概算表，项目明确了建筑工程、机电设备及安装工程、金属结构设备及安装工程、施工临时工程、独立费用五个部分资金测算明细。</w:t>
      </w:r>
      <w:r>
        <w:rPr>
          <w:rFonts w:hint="default" w:ascii="Times New Roman" w:hAnsi="Times New Roman" w:cs="Times New Roman"/>
          <w:szCs w:val="32"/>
        </w:rPr>
        <w:t>资金分配较为合理。</w:t>
      </w:r>
    </w:p>
    <w:p w14:paraId="330EC63B">
      <w:pPr>
        <w:keepNext w:val="0"/>
        <w:keepLines w:val="0"/>
        <w:pageBreakBefore w:val="0"/>
        <w:widowControl w:val="0"/>
        <w:kinsoku/>
        <w:wordWrap/>
        <w:overflowPunct/>
        <w:topLinePunct w:val="0"/>
        <w:autoSpaceDE/>
        <w:autoSpaceDN/>
        <w:bidi w:val="0"/>
        <w:adjustRightInd w:val="0"/>
        <w:snapToGrid w:val="0"/>
        <w:spacing w:line="560" w:lineRule="exact"/>
        <w:ind w:firstLine="643"/>
        <w:textAlignment w:val="auto"/>
        <w:outlineLvl w:val="1"/>
        <w:rPr>
          <w:rFonts w:hint="default" w:ascii="Times New Roman" w:hAnsi="Times New Roman" w:eastAsia="楷体" w:cs="Times New Roman"/>
          <w:b/>
          <w:bCs/>
          <w:szCs w:val="22"/>
        </w:rPr>
      </w:pPr>
      <w:bookmarkStart w:id="98" w:name="_Toc18711"/>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二</w:t>
      </w:r>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过程类</w:t>
      </w:r>
      <w:r>
        <w:rPr>
          <w:rFonts w:hint="default" w:ascii="Times New Roman" w:hAnsi="Times New Roman" w:eastAsia="楷体" w:cs="Times New Roman"/>
          <w:b/>
          <w:bCs/>
          <w:szCs w:val="22"/>
        </w:rPr>
        <w:t>指标</w:t>
      </w:r>
      <w:bookmarkEnd w:id="95"/>
      <w:bookmarkEnd w:id="96"/>
      <w:bookmarkEnd w:id="98"/>
      <w:r>
        <w:rPr>
          <w:rFonts w:hint="default" w:ascii="Times New Roman" w:hAnsi="Times New Roman" w:eastAsia="楷体" w:cs="Times New Roman"/>
          <w:b/>
          <w:bCs/>
          <w:szCs w:val="22"/>
        </w:rPr>
        <w:tab/>
      </w:r>
    </w:p>
    <w:p w14:paraId="558FD330">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主要评价项目资金管理和组织实施情况。指标赋值20分，综合得分</w:t>
      </w:r>
      <w:r>
        <w:rPr>
          <w:rFonts w:hint="default" w:ascii="Times New Roman" w:hAnsi="Times New Roman" w:cs="Times New Roman"/>
          <w:szCs w:val="32"/>
          <w:lang w:val="en-US" w:eastAsia="zh-CN"/>
        </w:rPr>
        <w:t>20</w:t>
      </w:r>
      <w:r>
        <w:rPr>
          <w:rFonts w:hint="default" w:ascii="Times New Roman" w:hAnsi="Times New Roman" w:cs="Times New Roman"/>
          <w:szCs w:val="32"/>
        </w:rPr>
        <w:t>分。</w:t>
      </w:r>
    </w:p>
    <w:p w14:paraId="4F335280">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1．资金管理：</w:t>
      </w:r>
      <w:r>
        <w:rPr>
          <w:rFonts w:hint="default" w:ascii="Times New Roman" w:hAnsi="Times New Roman" w:cs="Times New Roman"/>
          <w:bCs/>
          <w:szCs w:val="32"/>
        </w:rPr>
        <w:t>主要评价资金到位率、预算执行率和资金使用合规性情况。</w:t>
      </w:r>
      <w:r>
        <w:rPr>
          <w:rFonts w:hint="default" w:ascii="Times New Roman" w:hAnsi="Times New Roman" w:cs="Times New Roman"/>
          <w:szCs w:val="32"/>
        </w:rPr>
        <w:t>指标赋值</w:t>
      </w:r>
      <w:r>
        <w:rPr>
          <w:rFonts w:hint="default" w:ascii="Times New Roman" w:hAnsi="Times New Roman" w:cs="Times New Roman"/>
          <w:szCs w:val="32"/>
          <w:lang w:val="en-US" w:eastAsia="zh-CN"/>
        </w:rPr>
        <w:t>8</w:t>
      </w:r>
      <w:r>
        <w:rPr>
          <w:rFonts w:hint="default" w:ascii="Times New Roman" w:hAnsi="Times New Roman" w:cs="Times New Roman"/>
          <w:bCs/>
          <w:szCs w:val="32"/>
        </w:rPr>
        <w:t>分，评价得分</w:t>
      </w:r>
      <w:r>
        <w:rPr>
          <w:rFonts w:hint="default" w:ascii="Times New Roman" w:hAnsi="Times New Roman" w:cs="Times New Roman"/>
          <w:bCs/>
          <w:szCs w:val="32"/>
          <w:lang w:val="en-US" w:eastAsia="zh-CN"/>
        </w:rPr>
        <w:t>8</w:t>
      </w:r>
      <w:r>
        <w:rPr>
          <w:rFonts w:hint="default" w:ascii="Times New Roman" w:hAnsi="Times New Roman" w:cs="Times New Roman"/>
          <w:bCs/>
          <w:szCs w:val="32"/>
        </w:rPr>
        <w:t>分。</w:t>
      </w:r>
    </w:p>
    <w:p w14:paraId="06B7547C">
      <w:pPr>
        <w:spacing w:line="560" w:lineRule="exact"/>
        <w:ind w:firstLine="643"/>
        <w:rPr>
          <w:rFonts w:hint="default" w:ascii="Times New Roman" w:hAnsi="Times New Roman" w:cs="Times New Roman"/>
          <w:b/>
          <w:bCs/>
          <w:szCs w:val="32"/>
        </w:rPr>
      </w:pPr>
      <w:r>
        <w:rPr>
          <w:rFonts w:hint="default" w:ascii="Times New Roman" w:hAnsi="Times New Roman" w:cs="Times New Roman"/>
          <w:b/>
          <w:bCs/>
        </w:rPr>
        <w:t>（1）</w:t>
      </w:r>
      <w:r>
        <w:rPr>
          <w:rFonts w:hint="default" w:ascii="Times New Roman" w:hAnsi="Times New Roman" w:cs="Times New Roman"/>
          <w:b/>
          <w:bCs/>
          <w:szCs w:val="32"/>
        </w:rPr>
        <w:t>资金到位率</w:t>
      </w:r>
      <w:r>
        <w:rPr>
          <w:rFonts w:hint="default" w:ascii="Times New Roman" w:hAnsi="Times New Roman" w:cs="Times New Roman"/>
          <w:b/>
          <w:bCs/>
        </w:rPr>
        <w:t>：</w:t>
      </w:r>
      <w:r>
        <w:rPr>
          <w:rFonts w:hint="default" w:ascii="Times New Roman" w:hAnsi="Times New Roman" w:cs="Times New Roman"/>
          <w:bCs/>
          <w:szCs w:val="32"/>
        </w:rPr>
        <w:t>指标赋值</w:t>
      </w:r>
      <w:r>
        <w:rPr>
          <w:rFonts w:hint="default" w:ascii="Times New Roman" w:hAnsi="Times New Roman" w:cs="Times New Roman"/>
          <w:bCs/>
          <w:szCs w:val="32"/>
          <w:lang w:val="en-US" w:eastAsia="zh-CN"/>
        </w:rPr>
        <w:t>2</w:t>
      </w:r>
      <w:r>
        <w:rPr>
          <w:rFonts w:hint="default" w:ascii="Times New Roman" w:hAnsi="Times New Roman" w:cs="Times New Roman"/>
          <w:bCs/>
          <w:szCs w:val="32"/>
        </w:rPr>
        <w:t>分，</w:t>
      </w:r>
      <w:r>
        <w:rPr>
          <w:rFonts w:hint="default" w:ascii="Times New Roman" w:hAnsi="Times New Roman" w:cs="Times New Roman"/>
          <w:szCs w:val="32"/>
        </w:rPr>
        <w:t>得分</w:t>
      </w:r>
      <w:r>
        <w:rPr>
          <w:rFonts w:hint="default" w:ascii="Times New Roman" w:hAnsi="Times New Roman" w:cs="Times New Roman"/>
          <w:szCs w:val="32"/>
          <w:lang w:val="en-US" w:eastAsia="zh-CN"/>
        </w:rPr>
        <w:t>2</w:t>
      </w:r>
      <w:r>
        <w:rPr>
          <w:rFonts w:hint="default" w:ascii="Times New Roman" w:hAnsi="Times New Roman" w:cs="Times New Roman"/>
          <w:szCs w:val="32"/>
        </w:rPr>
        <w:t>分</w:t>
      </w:r>
      <w:r>
        <w:rPr>
          <w:rFonts w:hint="default" w:ascii="Times New Roman" w:hAnsi="Times New Roman" w:cs="Times New Roman"/>
          <w:bCs/>
          <w:szCs w:val="32"/>
        </w:rPr>
        <w:t>。</w:t>
      </w:r>
    </w:p>
    <w:p w14:paraId="59DAE4F8">
      <w:pPr>
        <w:spacing w:line="560" w:lineRule="exact"/>
        <w:ind w:firstLine="640"/>
        <w:rPr>
          <w:rFonts w:hint="default" w:ascii="Times New Roman" w:hAnsi="Times New Roman" w:cs="Times New Roman"/>
          <w:szCs w:val="32"/>
          <w:lang w:eastAsia="zh-CN"/>
        </w:rPr>
      </w:pPr>
      <w:r>
        <w:rPr>
          <w:rFonts w:hint="default" w:ascii="Times New Roman" w:hAnsi="Times New Roman" w:cs="Times New Roman"/>
          <w:szCs w:val="32"/>
          <w:lang w:eastAsia="zh-CN"/>
        </w:rPr>
        <w:t>截止评价日，</w:t>
      </w:r>
      <w:r>
        <w:rPr>
          <w:rFonts w:hint="default" w:ascii="Times New Roman" w:hAnsi="Times New Roman" w:cs="Times New Roman"/>
          <w:szCs w:val="32"/>
          <w:lang w:val="en-US" w:eastAsia="zh-CN"/>
        </w:rPr>
        <w:t>罗江区农业农村局</w:t>
      </w:r>
      <w:r>
        <w:rPr>
          <w:rFonts w:hint="default" w:ascii="Times New Roman" w:hAnsi="Times New Roman" w:cs="Times New Roman"/>
          <w:szCs w:val="32"/>
          <w:lang w:eastAsia="zh-CN"/>
        </w:rPr>
        <w:t>202</w:t>
      </w:r>
      <w:r>
        <w:rPr>
          <w:rFonts w:hint="default" w:ascii="Times New Roman" w:hAnsi="Times New Roman" w:cs="Times New Roman"/>
          <w:szCs w:val="32"/>
          <w:lang w:val="en-US" w:eastAsia="zh-CN"/>
        </w:rPr>
        <w:t>3</w:t>
      </w:r>
      <w:r>
        <w:rPr>
          <w:rFonts w:hint="default" w:ascii="Times New Roman" w:hAnsi="Times New Roman" w:cs="Times New Roman"/>
          <w:szCs w:val="32"/>
          <w:lang w:eastAsia="zh-CN"/>
        </w:rPr>
        <w:t>年度</w:t>
      </w:r>
      <w:r>
        <w:rPr>
          <w:rFonts w:hint="default" w:ascii="Times New Roman" w:hAnsi="Times New Roman" w:cs="Times New Roman"/>
          <w:szCs w:val="32"/>
          <w:lang w:val="en-US" w:eastAsia="zh-CN"/>
        </w:rPr>
        <w:t>高标准农田建设项目</w:t>
      </w:r>
      <w:r>
        <w:rPr>
          <w:rFonts w:hint="default" w:ascii="Times New Roman" w:hAnsi="Times New Roman" w:cs="Times New Roman"/>
          <w:szCs w:val="32"/>
          <w:lang w:eastAsia="zh-CN"/>
        </w:rPr>
        <w:t>应到位资金</w:t>
      </w:r>
      <w:r>
        <w:rPr>
          <w:rFonts w:hint="default" w:ascii="Times New Roman" w:hAnsi="Times New Roman" w:cs="Times New Roman"/>
          <w:color w:val="auto"/>
          <w:szCs w:val="32"/>
          <w:highlight w:val="none"/>
          <w:lang w:val="en-US" w:eastAsia="zh-CN"/>
        </w:rPr>
        <w:t>2500</w:t>
      </w:r>
      <w:r>
        <w:rPr>
          <w:rFonts w:hint="default" w:ascii="Times New Roman" w:hAnsi="Times New Roman" w:cs="Times New Roman"/>
          <w:szCs w:val="32"/>
          <w:lang w:eastAsia="zh-CN"/>
        </w:rPr>
        <w:t>万元，实际到位</w:t>
      </w:r>
      <w:r>
        <w:rPr>
          <w:rFonts w:hint="default" w:ascii="Times New Roman" w:hAnsi="Times New Roman" w:cs="Times New Roman"/>
          <w:szCs w:val="32"/>
          <w:lang w:val="en-US" w:eastAsia="zh-CN"/>
        </w:rPr>
        <w:t>2500</w:t>
      </w:r>
      <w:r>
        <w:rPr>
          <w:rFonts w:hint="default" w:ascii="Times New Roman" w:hAnsi="Times New Roman" w:cs="Times New Roman"/>
          <w:szCs w:val="32"/>
          <w:lang w:eastAsia="zh-CN"/>
        </w:rPr>
        <w:t>万元，资金到位率</w:t>
      </w:r>
      <w:r>
        <w:rPr>
          <w:rFonts w:hint="default" w:ascii="Times New Roman" w:hAnsi="Times New Roman" w:cs="Times New Roman"/>
          <w:szCs w:val="32"/>
          <w:lang w:val="en-US" w:eastAsia="zh-CN"/>
        </w:rPr>
        <w:t>100</w:t>
      </w:r>
      <w:r>
        <w:rPr>
          <w:rFonts w:hint="default" w:ascii="Times New Roman" w:hAnsi="Times New Roman" w:cs="Times New Roman"/>
          <w:szCs w:val="32"/>
          <w:lang w:eastAsia="zh-CN"/>
        </w:rPr>
        <w:t>%。</w:t>
      </w:r>
    </w:p>
    <w:p w14:paraId="489F348C">
      <w:pPr>
        <w:spacing w:line="560" w:lineRule="exact"/>
        <w:ind w:firstLine="643"/>
        <w:rPr>
          <w:rFonts w:hint="default" w:ascii="Times New Roman" w:hAnsi="Times New Roman" w:cs="Times New Roman"/>
          <w:color w:val="auto"/>
          <w:szCs w:val="32"/>
        </w:rPr>
      </w:pPr>
      <w:r>
        <w:rPr>
          <w:rFonts w:hint="default" w:ascii="Times New Roman" w:hAnsi="Times New Roman" w:cs="Times New Roman"/>
          <w:b/>
          <w:bCs/>
          <w:color w:val="auto"/>
        </w:rPr>
        <w:t>（2）预算执行</w:t>
      </w:r>
      <w:r>
        <w:rPr>
          <w:rFonts w:hint="default" w:ascii="Times New Roman" w:hAnsi="Times New Roman" w:cs="Times New Roman"/>
          <w:b/>
          <w:bCs/>
          <w:color w:val="auto"/>
          <w:szCs w:val="32"/>
        </w:rPr>
        <w:t>率</w:t>
      </w:r>
      <w:r>
        <w:rPr>
          <w:rFonts w:hint="default" w:ascii="Times New Roman" w:hAnsi="Times New Roman" w:cs="Times New Roman"/>
          <w:b/>
          <w:bCs/>
          <w:color w:val="auto"/>
        </w:rPr>
        <w:t>：</w:t>
      </w:r>
      <w:r>
        <w:rPr>
          <w:rFonts w:hint="default" w:ascii="Times New Roman" w:hAnsi="Times New Roman" w:cs="Times New Roman"/>
          <w:bCs/>
          <w:color w:val="auto"/>
          <w:szCs w:val="32"/>
        </w:rPr>
        <w:t>指标赋值</w:t>
      </w:r>
      <w:r>
        <w:rPr>
          <w:rFonts w:hint="default" w:ascii="Times New Roman" w:hAnsi="Times New Roman" w:cs="Times New Roman"/>
          <w:bCs/>
          <w:color w:val="auto"/>
          <w:szCs w:val="32"/>
          <w:lang w:val="en-US" w:eastAsia="zh-CN"/>
        </w:rPr>
        <w:t>2</w:t>
      </w:r>
      <w:r>
        <w:rPr>
          <w:rFonts w:hint="default" w:ascii="Times New Roman" w:hAnsi="Times New Roman" w:cs="Times New Roman"/>
          <w:bCs/>
          <w:color w:val="auto"/>
          <w:szCs w:val="32"/>
        </w:rPr>
        <w:t>分，</w:t>
      </w:r>
      <w:r>
        <w:rPr>
          <w:rFonts w:hint="default" w:ascii="Times New Roman" w:hAnsi="Times New Roman" w:cs="Times New Roman"/>
          <w:color w:val="auto"/>
          <w:szCs w:val="32"/>
        </w:rPr>
        <w:t>得分</w:t>
      </w:r>
      <w:r>
        <w:rPr>
          <w:rFonts w:hint="default" w:ascii="Times New Roman" w:hAnsi="Times New Roman" w:cs="Times New Roman"/>
          <w:color w:val="auto"/>
          <w:szCs w:val="32"/>
          <w:lang w:val="en-US" w:eastAsia="zh-CN"/>
        </w:rPr>
        <w:t>2</w:t>
      </w:r>
      <w:r>
        <w:rPr>
          <w:rFonts w:hint="default" w:ascii="Times New Roman" w:hAnsi="Times New Roman" w:cs="Times New Roman"/>
          <w:color w:val="auto"/>
          <w:szCs w:val="32"/>
        </w:rPr>
        <w:t>分</w:t>
      </w:r>
      <w:r>
        <w:rPr>
          <w:rFonts w:hint="default" w:ascii="Times New Roman" w:hAnsi="Times New Roman" w:cs="Times New Roman"/>
          <w:bCs/>
          <w:color w:val="auto"/>
          <w:szCs w:val="32"/>
        </w:rPr>
        <w:t>。</w:t>
      </w:r>
    </w:p>
    <w:p w14:paraId="546C9AF6">
      <w:pPr>
        <w:spacing w:line="560" w:lineRule="exact"/>
        <w:ind w:firstLine="640"/>
        <w:rPr>
          <w:rFonts w:hint="default" w:ascii="Times New Roman" w:hAnsi="Times New Roman" w:cs="Times New Roman"/>
          <w:szCs w:val="32"/>
          <w:highlight w:val="none"/>
          <w:lang w:eastAsia="zh-CN"/>
        </w:rPr>
      </w:pPr>
      <w:r>
        <w:rPr>
          <w:rFonts w:hint="default" w:ascii="Times New Roman" w:hAnsi="Times New Roman" w:cs="Times New Roman"/>
          <w:szCs w:val="32"/>
          <w:lang w:eastAsia="zh-CN"/>
        </w:rPr>
        <w:t>截至评价日，</w:t>
      </w:r>
      <w:r>
        <w:rPr>
          <w:rFonts w:hint="default" w:ascii="Times New Roman" w:hAnsi="Times New Roman" w:cs="Times New Roman"/>
          <w:szCs w:val="32"/>
          <w:lang w:val="en-US" w:eastAsia="zh-CN"/>
        </w:rPr>
        <w:t>高标准农田建设</w:t>
      </w:r>
      <w:r>
        <w:rPr>
          <w:rFonts w:hint="default" w:ascii="Times New Roman" w:hAnsi="Times New Roman" w:cs="Times New Roman"/>
          <w:szCs w:val="32"/>
          <w:highlight w:val="none"/>
          <w:lang w:val="en-US" w:eastAsia="zh-CN"/>
        </w:rPr>
        <w:t>项目下达资金2500万元，实际总支出2500万</w:t>
      </w:r>
      <w:r>
        <w:rPr>
          <w:rFonts w:hint="default" w:ascii="Times New Roman" w:hAnsi="Times New Roman" w:cs="Times New Roman"/>
          <w:szCs w:val="32"/>
          <w:highlight w:val="none"/>
          <w:lang w:eastAsia="zh-CN"/>
        </w:rPr>
        <w:t>元，预算执行率</w:t>
      </w:r>
      <w:r>
        <w:rPr>
          <w:rFonts w:hint="default" w:ascii="Times New Roman" w:hAnsi="Times New Roman" w:cs="Times New Roman"/>
          <w:szCs w:val="32"/>
          <w:highlight w:val="none"/>
          <w:lang w:val="en-US" w:eastAsia="zh-CN"/>
        </w:rPr>
        <w:t>100%</w:t>
      </w:r>
      <w:r>
        <w:rPr>
          <w:rFonts w:hint="default" w:ascii="Times New Roman" w:hAnsi="Times New Roman" w:cs="Times New Roman"/>
          <w:szCs w:val="32"/>
          <w:highlight w:val="none"/>
          <w:lang w:eastAsia="zh-CN"/>
        </w:rPr>
        <w:t>。</w:t>
      </w:r>
    </w:p>
    <w:p w14:paraId="6DCD968B">
      <w:pPr>
        <w:spacing w:line="560" w:lineRule="exact"/>
        <w:ind w:firstLine="643"/>
        <w:rPr>
          <w:rFonts w:hint="default" w:ascii="Times New Roman" w:hAnsi="Times New Roman" w:cs="Times New Roman"/>
          <w:b/>
          <w:bCs/>
          <w:color w:val="auto"/>
          <w:szCs w:val="32"/>
        </w:rPr>
      </w:pPr>
      <w:r>
        <w:rPr>
          <w:rFonts w:hint="default" w:ascii="Times New Roman" w:hAnsi="Times New Roman" w:cs="Times New Roman"/>
          <w:b/>
          <w:color w:val="auto"/>
          <w:szCs w:val="32"/>
        </w:rPr>
        <w:t>（3）资金使用合规性：</w:t>
      </w:r>
      <w:r>
        <w:rPr>
          <w:rFonts w:hint="default" w:ascii="Times New Roman" w:hAnsi="Times New Roman" w:cs="Times New Roman"/>
          <w:color w:val="auto"/>
          <w:szCs w:val="32"/>
        </w:rPr>
        <w:t>指标赋值4分，得分</w:t>
      </w:r>
      <w:r>
        <w:rPr>
          <w:rFonts w:hint="default" w:ascii="Times New Roman" w:hAnsi="Times New Roman" w:cs="Times New Roman"/>
          <w:color w:val="auto"/>
          <w:szCs w:val="32"/>
          <w:lang w:val="en-US" w:eastAsia="zh-CN"/>
        </w:rPr>
        <w:t>4</w:t>
      </w:r>
      <w:r>
        <w:rPr>
          <w:rFonts w:hint="default" w:ascii="Times New Roman" w:hAnsi="Times New Roman" w:cs="Times New Roman"/>
          <w:color w:val="auto"/>
          <w:szCs w:val="32"/>
        </w:rPr>
        <w:t>分。</w:t>
      </w:r>
    </w:p>
    <w:p w14:paraId="58FCF637">
      <w:pPr>
        <w:spacing w:line="560" w:lineRule="exact"/>
        <w:ind w:firstLine="640"/>
        <w:rPr>
          <w:rFonts w:hint="default" w:ascii="Times New Roman" w:hAnsi="Times New Roman" w:cs="Times New Roman"/>
        </w:rPr>
      </w:pPr>
      <w:r>
        <w:rPr>
          <w:rFonts w:hint="default" w:ascii="Times New Roman" w:hAnsi="Times New Roman" w:cs="Times New Roman"/>
          <w:b w:val="0"/>
          <w:bCs w:val="0"/>
          <w:color w:val="auto"/>
          <w:szCs w:val="32"/>
        </w:rPr>
        <w:t>绩效评价组根据专项资金管理办法及财务相关规定对项目资金使用进行核对检查，</w:t>
      </w:r>
      <w:r>
        <w:rPr>
          <w:rFonts w:hint="default" w:ascii="Times New Roman" w:hAnsi="Times New Roman" w:cs="Times New Roman"/>
        </w:rPr>
        <w:t>具体表现为：一是资金支出能够按照预算批复范围与用途执行；二是资金支出符合</w:t>
      </w:r>
      <w:r>
        <w:rPr>
          <w:rFonts w:hint="default" w:ascii="Times New Roman" w:hAnsi="Times New Roman" w:cs="Times New Roman"/>
          <w:szCs w:val="32"/>
        </w:rPr>
        <w:t>《</w:t>
      </w:r>
      <w:r>
        <w:rPr>
          <w:rFonts w:hint="default" w:ascii="Times New Roman" w:hAnsi="Times New Roman" w:cs="Times New Roman"/>
          <w:szCs w:val="32"/>
          <w:lang w:val="en-US" w:eastAsia="zh-CN"/>
        </w:rPr>
        <w:t>财政</w:t>
      </w:r>
      <w:r>
        <w:rPr>
          <w:rFonts w:hint="default" w:ascii="Times New Roman" w:hAnsi="Times New Roman" w:cs="Times New Roman"/>
          <w:szCs w:val="32"/>
        </w:rPr>
        <w:t>专项</w:t>
      </w:r>
      <w:r>
        <w:rPr>
          <w:rFonts w:hint="default" w:ascii="Times New Roman" w:hAnsi="Times New Roman" w:cs="Times New Roman"/>
          <w:szCs w:val="32"/>
          <w:lang w:val="en-US" w:eastAsia="zh-CN"/>
        </w:rPr>
        <w:t>资金</w:t>
      </w:r>
      <w:r>
        <w:rPr>
          <w:rFonts w:hint="default" w:ascii="Times New Roman" w:hAnsi="Times New Roman" w:cs="Times New Roman"/>
          <w:szCs w:val="32"/>
        </w:rPr>
        <w:t>管理办法》</w:t>
      </w:r>
      <w:r>
        <w:rPr>
          <w:rFonts w:hint="default" w:ascii="Times New Roman" w:hAnsi="Times New Roman" w:cs="Times New Roman"/>
        </w:rPr>
        <w:t>所规定的支出范围要求；三是项目单位财务管理制度与机制较为完善，项目资金专款专用，且未发现截留、挤占、挪用、虚列支出等情况。</w:t>
      </w:r>
    </w:p>
    <w:p w14:paraId="28683A7B">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2．组织实施：</w:t>
      </w:r>
      <w:r>
        <w:rPr>
          <w:rFonts w:hint="default" w:ascii="Times New Roman" w:hAnsi="Times New Roman" w:cs="Times New Roman"/>
          <w:szCs w:val="32"/>
        </w:rPr>
        <w:t>主要评价管理制度健全性和制度执行有效性情况。指标赋值1</w:t>
      </w:r>
      <w:r>
        <w:rPr>
          <w:rFonts w:hint="default" w:ascii="Times New Roman" w:hAnsi="Times New Roman" w:cs="Times New Roman"/>
          <w:szCs w:val="32"/>
          <w:lang w:val="en-US" w:eastAsia="zh-CN"/>
        </w:rPr>
        <w:t>2</w:t>
      </w:r>
      <w:r>
        <w:rPr>
          <w:rFonts w:hint="default" w:ascii="Times New Roman" w:hAnsi="Times New Roman" w:cs="Times New Roman"/>
          <w:szCs w:val="32"/>
        </w:rPr>
        <w:t>分，评价得分</w:t>
      </w:r>
      <w:r>
        <w:rPr>
          <w:rFonts w:hint="default" w:ascii="Times New Roman" w:hAnsi="Times New Roman" w:cs="Times New Roman"/>
          <w:szCs w:val="32"/>
          <w:lang w:val="en-US" w:eastAsia="zh-CN"/>
        </w:rPr>
        <w:t>12</w:t>
      </w:r>
      <w:r>
        <w:rPr>
          <w:rFonts w:hint="default" w:ascii="Times New Roman" w:hAnsi="Times New Roman" w:cs="Times New Roman"/>
          <w:szCs w:val="32"/>
        </w:rPr>
        <w:t>分。</w:t>
      </w:r>
    </w:p>
    <w:p w14:paraId="73FDCB60">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（1）管理制度健全性：</w:t>
      </w:r>
      <w:r>
        <w:rPr>
          <w:rFonts w:hint="default" w:ascii="Times New Roman" w:hAnsi="Times New Roman" w:cs="Times New Roman"/>
          <w:szCs w:val="32"/>
        </w:rPr>
        <w:t>指标赋值4分，得分</w:t>
      </w:r>
      <w:r>
        <w:rPr>
          <w:rFonts w:hint="default" w:ascii="Times New Roman" w:hAnsi="Times New Roman" w:cs="Times New Roman"/>
          <w:szCs w:val="32"/>
          <w:lang w:val="en-US" w:eastAsia="zh-CN"/>
        </w:rPr>
        <w:t>4</w:t>
      </w:r>
      <w:r>
        <w:rPr>
          <w:rFonts w:hint="default" w:ascii="Times New Roman" w:hAnsi="Times New Roman" w:cs="Times New Roman"/>
          <w:szCs w:val="32"/>
        </w:rPr>
        <w:t>分。</w:t>
      </w:r>
    </w:p>
    <w:p w14:paraId="59052CF2">
      <w:pPr>
        <w:spacing w:line="560" w:lineRule="exact"/>
        <w:ind w:firstLine="640"/>
        <w:rPr>
          <w:rFonts w:hint="default" w:ascii="Times New Roman" w:hAnsi="Times New Roman" w:eastAsia="仿宋" w:cs="Times New Roman"/>
          <w:color w:val="0000FF"/>
          <w:lang w:val="en-US" w:eastAsia="zh-CN"/>
        </w:rPr>
      </w:pPr>
      <w:r>
        <w:rPr>
          <w:rFonts w:hint="default" w:ascii="Times New Roman" w:hAnsi="Times New Roman" w:cs="Times New Roman"/>
          <w:szCs w:val="32"/>
        </w:rPr>
        <w:t>绩效评价组查看</w:t>
      </w:r>
      <w:r>
        <w:rPr>
          <w:rFonts w:hint="default" w:ascii="Times New Roman" w:hAnsi="Times New Roman" w:cs="Times New Roman"/>
          <w:szCs w:val="32"/>
          <w:lang w:val="en-US" w:eastAsia="zh-CN"/>
        </w:rPr>
        <w:t>罗江区农业农村局</w:t>
      </w:r>
      <w:r>
        <w:rPr>
          <w:rFonts w:hint="default" w:ascii="Times New Roman" w:hAnsi="Times New Roman" w:cs="Times New Roman"/>
          <w:szCs w:val="32"/>
        </w:rPr>
        <w:t>相关管理制度，</w:t>
      </w:r>
      <w:r>
        <w:rPr>
          <w:rFonts w:hint="default" w:ascii="Times New Roman" w:hAnsi="Times New Roman" w:cs="Times New Roman"/>
          <w:szCs w:val="32"/>
          <w:lang w:val="en-US" w:eastAsia="zh-CN"/>
        </w:rPr>
        <w:t>罗江区农业农村局</w:t>
      </w:r>
      <w:r>
        <w:rPr>
          <w:rFonts w:hint="default" w:ascii="Times New Roman" w:hAnsi="Times New Roman" w:cs="Times New Roman"/>
          <w:szCs w:val="32"/>
        </w:rPr>
        <w:t>以《政府会计准则》为依据，结合《中华人民共和国会计法》和相关财经法规制定了《内部控制</w:t>
      </w:r>
      <w:r>
        <w:rPr>
          <w:rFonts w:hint="default" w:ascii="Times New Roman" w:hAnsi="Times New Roman" w:cs="Times New Roman"/>
          <w:szCs w:val="32"/>
          <w:lang w:val="en-US" w:eastAsia="zh-CN"/>
        </w:rPr>
        <w:t>手册</w:t>
      </w:r>
      <w:r>
        <w:rPr>
          <w:rFonts w:hint="default" w:ascii="Times New Roman" w:hAnsi="Times New Roman" w:cs="Times New Roman"/>
          <w:szCs w:val="32"/>
        </w:rPr>
        <w:t>》和</w:t>
      </w:r>
      <w:r>
        <w:rPr>
          <w:rFonts w:hint="default" w:ascii="Times New Roman" w:hAnsi="Times New Roman" w:cs="Times New Roman"/>
          <w:szCs w:val="32"/>
          <w:lang w:val="en-US" w:eastAsia="zh-CN"/>
        </w:rPr>
        <w:t>相关资金管理办法</w:t>
      </w:r>
      <w:r>
        <w:rPr>
          <w:rFonts w:hint="default" w:ascii="Times New Roman" w:hAnsi="Times New Roman" w:cs="Times New Roman"/>
          <w:szCs w:val="32"/>
        </w:rPr>
        <w:t>，以管理项目资金审核与拨付；同时</w:t>
      </w:r>
      <w:r>
        <w:rPr>
          <w:rFonts w:hint="default" w:ascii="Times New Roman" w:hAnsi="Times New Roman" w:cs="Times New Roman"/>
          <w:szCs w:val="32"/>
          <w:lang w:val="en-US" w:eastAsia="zh-CN"/>
        </w:rPr>
        <w:t>严格按照四川省农业农村厅</w:t>
      </w:r>
      <w:r>
        <w:rPr>
          <w:rFonts w:hint="default" w:ascii="Times New Roman" w:hAnsi="Times New Roman" w:cs="Times New Roman"/>
        </w:rPr>
        <w:t>《</w:t>
      </w:r>
      <w:r>
        <w:rPr>
          <w:rFonts w:hint="default" w:ascii="Times New Roman" w:hAnsi="Times New Roman" w:cs="Times New Roman"/>
          <w:lang w:val="en-US" w:eastAsia="zh-CN"/>
        </w:rPr>
        <w:t>四川省高标准农田建设项目管理办法》（川农规</w:t>
      </w:r>
      <w:r>
        <w:rPr>
          <w:rFonts w:hint="default" w:ascii="Times New Roman" w:hAnsi="Times New Roman" w:cs="Times New Roman"/>
          <w:sz w:val="32"/>
          <w:szCs w:val="24"/>
        </w:rPr>
        <w:t>〔</w:t>
      </w:r>
      <w:r>
        <w:rPr>
          <w:rFonts w:hint="default" w:ascii="Times New Roman" w:hAnsi="Times New Roman" w:eastAsia="Times New Roman" w:cs="Times New Roman"/>
          <w:sz w:val="32"/>
          <w:szCs w:val="24"/>
        </w:rPr>
        <w:t>2019</w:t>
      </w:r>
      <w:r>
        <w:rPr>
          <w:rFonts w:hint="default" w:ascii="Times New Roman" w:hAnsi="Times New Roman" w:cs="Times New Roman"/>
          <w:sz w:val="32"/>
          <w:szCs w:val="24"/>
        </w:rPr>
        <w:t>〕</w:t>
      </w:r>
      <w:r>
        <w:rPr>
          <w:rFonts w:hint="default" w:ascii="Times New Roman" w:hAnsi="Times New Roman" w:eastAsia="Times New Roman" w:cs="Times New Roman"/>
          <w:sz w:val="32"/>
          <w:szCs w:val="24"/>
        </w:rPr>
        <w:t>72</w:t>
      </w:r>
      <w:r>
        <w:rPr>
          <w:rFonts w:hint="default" w:ascii="Times New Roman" w:hAnsi="Times New Roman" w:cs="Times New Roman"/>
          <w:sz w:val="32"/>
          <w:szCs w:val="24"/>
        </w:rPr>
        <w:t>号</w:t>
      </w:r>
      <w:r>
        <w:rPr>
          <w:rFonts w:hint="default" w:ascii="Times New Roman" w:hAnsi="Times New Roman" w:cs="Times New Roman"/>
          <w:sz w:val="32"/>
          <w:szCs w:val="24"/>
          <w:lang w:eastAsia="zh-CN"/>
        </w:rPr>
        <w:t>）</w:t>
      </w:r>
      <w:r>
        <w:rPr>
          <w:rFonts w:hint="default" w:ascii="Times New Roman" w:hAnsi="Times New Roman" w:cs="Times New Roman"/>
          <w:sz w:val="32"/>
          <w:szCs w:val="24"/>
          <w:lang w:val="en-US" w:eastAsia="zh-CN"/>
        </w:rPr>
        <w:t>文件</w:t>
      </w:r>
      <w:r>
        <w:rPr>
          <w:rFonts w:hint="default" w:ascii="Times New Roman" w:hAnsi="Times New Roman" w:cs="Times New Roman"/>
        </w:rPr>
        <w:t>，</w:t>
      </w:r>
      <w:r>
        <w:rPr>
          <w:rFonts w:hint="default" w:ascii="Times New Roman" w:hAnsi="Times New Roman" w:cs="Times New Roman"/>
          <w:lang w:val="en-US" w:eastAsia="zh-CN"/>
        </w:rPr>
        <w:t>明确了项目建设实行统一管理体制，统一规划布局、建设标准、组织实施、验收评价、上图入库。罗江区人民政府办公室关于印发《德阳市罗江区高标准农田建设项目工程设施建后运行管护制度》的通知（德市罗府办发</w:t>
      </w:r>
      <w:r>
        <w:rPr>
          <w:rFonts w:hint="default" w:ascii="Times New Roman" w:hAnsi="Times New Roman" w:cs="Times New Roman"/>
          <w:sz w:val="32"/>
          <w:szCs w:val="24"/>
        </w:rPr>
        <w:t>〔</w:t>
      </w:r>
      <w:r>
        <w:rPr>
          <w:rFonts w:hint="default" w:ascii="Times New Roman" w:hAnsi="Times New Roman" w:eastAsia="Times New Roman" w:cs="Times New Roman"/>
          <w:sz w:val="32"/>
          <w:szCs w:val="24"/>
        </w:rPr>
        <w:t>20</w:t>
      </w:r>
      <w:r>
        <w:rPr>
          <w:rFonts w:hint="default" w:ascii="Times New Roman" w:hAnsi="Times New Roman" w:eastAsia="宋体" w:cs="Times New Roman"/>
          <w:sz w:val="32"/>
          <w:szCs w:val="24"/>
          <w:lang w:val="en-US" w:eastAsia="zh-CN"/>
        </w:rPr>
        <w:t>23</w:t>
      </w:r>
      <w:r>
        <w:rPr>
          <w:rFonts w:hint="default" w:ascii="Times New Roman" w:hAnsi="Times New Roman" w:cs="Times New Roman"/>
          <w:sz w:val="32"/>
          <w:szCs w:val="24"/>
        </w:rPr>
        <w:t>〕</w:t>
      </w:r>
      <w:r>
        <w:rPr>
          <w:rFonts w:hint="default" w:ascii="Times New Roman" w:hAnsi="Times New Roman" w:cs="Times New Roman"/>
          <w:sz w:val="32"/>
          <w:szCs w:val="24"/>
          <w:lang w:val="en-US" w:eastAsia="zh-CN"/>
        </w:rPr>
        <w:t>5</w:t>
      </w:r>
      <w:r>
        <w:rPr>
          <w:rFonts w:hint="default" w:ascii="Times New Roman" w:hAnsi="Times New Roman" w:cs="Times New Roman"/>
          <w:sz w:val="32"/>
          <w:szCs w:val="24"/>
        </w:rPr>
        <w:t>号</w:t>
      </w:r>
      <w:r>
        <w:rPr>
          <w:rFonts w:hint="default" w:ascii="Times New Roman" w:hAnsi="Times New Roman" w:cs="Times New Roman"/>
          <w:sz w:val="32"/>
          <w:szCs w:val="24"/>
          <w:lang w:eastAsia="zh-CN"/>
        </w:rPr>
        <w:t>），</w:t>
      </w:r>
      <w:r>
        <w:rPr>
          <w:rFonts w:hint="default" w:ascii="Times New Roman" w:hAnsi="Times New Roman" w:cs="Times New Roman"/>
          <w:sz w:val="32"/>
          <w:szCs w:val="24"/>
          <w:lang w:val="en-US" w:eastAsia="zh-CN"/>
        </w:rPr>
        <w:t>建立“区负总责、乡镇监管、村为主体”的建后管护机制，按照“建管并重”“谁受益，谁管护，谁使用、谁管护”原则进行运行管护。</w:t>
      </w:r>
      <w:r>
        <w:rPr>
          <w:rFonts w:hint="default" w:ascii="Times New Roman" w:hAnsi="Times New Roman" w:cs="Times New Roman"/>
          <w:szCs w:val="32"/>
        </w:rPr>
        <w:t>管理制度基本健全。</w:t>
      </w:r>
    </w:p>
    <w:p w14:paraId="0BA4CD88">
      <w:pPr>
        <w:spacing w:line="560" w:lineRule="exact"/>
        <w:ind w:firstLine="643"/>
        <w:rPr>
          <w:rFonts w:hint="default" w:ascii="Times New Roman" w:hAnsi="Times New Roman" w:cs="Times New Roman"/>
          <w:b/>
          <w:szCs w:val="32"/>
        </w:rPr>
      </w:pPr>
      <w:r>
        <w:rPr>
          <w:rFonts w:hint="default" w:ascii="Times New Roman" w:hAnsi="Times New Roman" w:cs="Times New Roman"/>
          <w:b/>
          <w:szCs w:val="32"/>
        </w:rPr>
        <w:t>（2）制度执行有效性：</w:t>
      </w:r>
      <w:r>
        <w:rPr>
          <w:rFonts w:hint="default" w:ascii="Times New Roman" w:hAnsi="Times New Roman" w:cs="Times New Roman"/>
          <w:szCs w:val="32"/>
        </w:rPr>
        <w:t>指标赋值</w:t>
      </w:r>
      <w:r>
        <w:rPr>
          <w:rFonts w:hint="default" w:ascii="Times New Roman" w:hAnsi="Times New Roman" w:cs="Times New Roman"/>
          <w:szCs w:val="32"/>
          <w:lang w:val="en-US" w:eastAsia="zh-CN"/>
        </w:rPr>
        <w:t>8</w:t>
      </w:r>
      <w:r>
        <w:rPr>
          <w:rFonts w:hint="default" w:ascii="Times New Roman" w:hAnsi="Times New Roman" w:cs="Times New Roman"/>
          <w:szCs w:val="32"/>
        </w:rPr>
        <w:t>分，得分</w:t>
      </w:r>
      <w:r>
        <w:rPr>
          <w:rFonts w:hint="default" w:ascii="Times New Roman" w:hAnsi="Times New Roman" w:cs="Times New Roman"/>
          <w:szCs w:val="32"/>
          <w:lang w:val="en-US" w:eastAsia="zh-CN"/>
        </w:rPr>
        <w:t>8</w:t>
      </w:r>
      <w:r>
        <w:rPr>
          <w:rFonts w:hint="default" w:ascii="Times New Roman" w:hAnsi="Times New Roman" w:cs="Times New Roman"/>
          <w:szCs w:val="32"/>
        </w:rPr>
        <w:t>分。</w:t>
      </w:r>
    </w:p>
    <w:p w14:paraId="59690F1D">
      <w:pPr>
        <w:spacing w:line="560" w:lineRule="exact"/>
        <w:ind w:firstLine="640"/>
        <w:rPr>
          <w:rFonts w:hint="default" w:ascii="Times New Roman" w:hAnsi="Times New Roman" w:cs="Times New Roman"/>
          <w:szCs w:val="32"/>
          <w:lang w:eastAsia="zh-CN"/>
        </w:rPr>
      </w:pPr>
      <w:r>
        <w:rPr>
          <w:rFonts w:hint="default" w:ascii="Times New Roman" w:hAnsi="Times New Roman" w:cs="Times New Roman"/>
          <w:szCs w:val="32"/>
          <w:lang w:eastAsia="zh-CN"/>
        </w:rPr>
        <w:t>绩效评价组核查项目相关执行文件，结果表明：</w:t>
      </w:r>
    </w:p>
    <w:p w14:paraId="7F14EE34">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rPr>
      </w:pPr>
      <w:r>
        <w:rPr>
          <w:rFonts w:hint="default" w:ascii="Times New Roman" w:hAnsi="Times New Roman" w:cs="Times New Roman"/>
          <w:b/>
          <w:bCs/>
          <w:lang w:val="en-US" w:eastAsia="zh-CN"/>
        </w:rPr>
        <w:t>一是</w:t>
      </w:r>
      <w:r>
        <w:rPr>
          <w:rFonts w:hint="default" w:ascii="Times New Roman" w:hAnsi="Times New Roman" w:cs="Times New Roman"/>
          <w:b/>
          <w:bCs/>
        </w:rPr>
        <w:t>资金收支执行内部稽核程序。</w:t>
      </w:r>
      <w:r>
        <w:rPr>
          <w:rFonts w:hint="default" w:ascii="Times New Roman" w:hAnsi="Times New Roman" w:cs="Times New Roman"/>
        </w:rPr>
        <w:t>抽查</w:t>
      </w:r>
      <w:r>
        <w:rPr>
          <w:rFonts w:hint="default" w:ascii="Times New Roman" w:hAnsi="Times New Roman" w:cs="Times New Roman"/>
          <w:lang w:val="en-US" w:eastAsia="zh-CN"/>
        </w:rPr>
        <w:t>罗江区农业农村局</w:t>
      </w:r>
      <w:r>
        <w:rPr>
          <w:rFonts w:hint="default" w:ascii="Times New Roman" w:hAnsi="Times New Roman" w:eastAsia="仿宋" w:cs="Times New Roman"/>
          <w:lang w:eastAsia="zh-CN"/>
        </w:rPr>
        <w:t>202</w:t>
      </w:r>
      <w:r>
        <w:rPr>
          <w:rFonts w:hint="default" w:ascii="Times New Roman" w:hAnsi="Times New Roman" w:cs="Times New Roman"/>
          <w:lang w:val="en-US" w:eastAsia="zh-CN"/>
        </w:rPr>
        <w:t>3</w:t>
      </w:r>
      <w:r>
        <w:rPr>
          <w:rFonts w:hint="default" w:ascii="Times New Roman" w:hAnsi="Times New Roman" w:cs="Times New Roman"/>
          <w:lang w:eastAsia="zh-CN"/>
        </w:rPr>
        <w:t>年</w:t>
      </w:r>
      <w:r>
        <w:rPr>
          <w:rFonts w:hint="default" w:ascii="Times New Roman" w:hAnsi="Times New Roman" w:cs="Times New Roman"/>
        </w:rPr>
        <w:t>记账凭证，有记账、审核、制单人员签章，资金收支稽核程序完整。</w:t>
      </w:r>
    </w:p>
    <w:p w14:paraId="1D77501D">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rPr>
      </w:pPr>
      <w:r>
        <w:rPr>
          <w:rFonts w:hint="default" w:ascii="Times New Roman" w:hAnsi="Times New Roman" w:cs="Times New Roman"/>
          <w:b/>
          <w:bCs/>
        </w:rPr>
        <w:t>二是主管部门会计信息真实、记账及时。</w:t>
      </w:r>
      <w:r>
        <w:rPr>
          <w:rFonts w:hint="default" w:ascii="Times New Roman" w:hAnsi="Times New Roman" w:cs="Times New Roman"/>
        </w:rPr>
        <w:t>根据绩效评价组核查，项目会计信息真实，记账时间较为及时。</w:t>
      </w:r>
      <w:r>
        <w:rPr>
          <w:rFonts w:hint="default" w:ascii="Times New Roman" w:hAnsi="Times New Roman" w:cs="Times New Roman"/>
          <w:lang w:val="en-US" w:eastAsia="zh-CN"/>
        </w:rPr>
        <w:t>罗江区农业农村局</w:t>
      </w:r>
      <w:r>
        <w:rPr>
          <w:rFonts w:hint="default" w:ascii="Times New Roman" w:hAnsi="Times New Roman" w:cs="Times New Roman"/>
        </w:rPr>
        <w:t>财务制度执行情况</w:t>
      </w:r>
      <w:r>
        <w:rPr>
          <w:rFonts w:hint="default" w:ascii="Times New Roman" w:hAnsi="Times New Roman" w:cs="Times New Roman"/>
          <w:lang w:val="en-US" w:eastAsia="zh-CN"/>
        </w:rPr>
        <w:t>较好</w:t>
      </w:r>
      <w:r>
        <w:rPr>
          <w:rFonts w:hint="default" w:ascii="Times New Roman" w:hAnsi="Times New Roman" w:cs="Times New Roman"/>
        </w:rPr>
        <w:t>。</w:t>
      </w:r>
    </w:p>
    <w:p w14:paraId="6BEB0F1D">
      <w:pPr>
        <w:spacing w:line="560" w:lineRule="exact"/>
        <w:ind w:firstLine="640"/>
        <w:rPr>
          <w:rFonts w:hint="default" w:ascii="Times New Roman" w:hAnsi="Times New Roman" w:cs="Times New Roman"/>
          <w:b/>
          <w:bCs/>
          <w:lang w:eastAsia="zh-CN"/>
        </w:rPr>
      </w:pPr>
      <w:r>
        <w:rPr>
          <w:rFonts w:hint="default" w:ascii="Times New Roman" w:hAnsi="Times New Roman" w:cs="Times New Roman"/>
          <w:b/>
          <w:bCs/>
          <w:szCs w:val="32"/>
          <w:lang w:val="en-US" w:eastAsia="zh-CN"/>
        </w:rPr>
        <w:t>三</w:t>
      </w:r>
      <w:r>
        <w:rPr>
          <w:rFonts w:hint="default" w:ascii="Times New Roman" w:hAnsi="Times New Roman" w:cs="Times New Roman"/>
          <w:b/>
          <w:bCs/>
          <w:lang w:val="en-US" w:eastAsia="zh-CN"/>
        </w:rPr>
        <w:t>是</w:t>
      </w:r>
      <w:r>
        <w:rPr>
          <w:rFonts w:hint="default" w:ascii="Times New Roman" w:hAnsi="Times New Roman" w:cs="Times New Roman"/>
          <w:b/>
          <w:bCs/>
          <w:lang w:eastAsia="zh-CN"/>
        </w:rPr>
        <w:t>各项政府采购均按照程序进行，采取公开招标形式进行。</w:t>
      </w:r>
    </w:p>
    <w:p w14:paraId="08651B0D">
      <w:pPr>
        <w:spacing w:line="560" w:lineRule="exact"/>
        <w:ind w:left="0" w:leftChars="0" w:firstLine="0" w:firstLineChars="0"/>
        <w:rPr>
          <w:rFonts w:hint="default" w:ascii="Times New Roman" w:hAnsi="Times New Roman" w:cs="Times New Roman"/>
          <w:szCs w:val="32"/>
          <w:lang w:eastAsia="zh-CN"/>
        </w:rPr>
      </w:pPr>
      <w:r>
        <w:rPr>
          <w:rFonts w:hint="default" w:ascii="Times New Roman" w:hAnsi="Times New Roman" w:cs="Times New Roman"/>
          <w:b w:val="0"/>
          <w:bCs w:val="0"/>
          <w:lang w:val="en-US" w:eastAsia="zh-CN"/>
        </w:rPr>
        <w:t>罗江区农业农村局委托四川兴泉工程项目管理有限公司</w:t>
      </w:r>
      <w:r>
        <w:rPr>
          <w:rFonts w:hint="default" w:ascii="Times New Roman" w:hAnsi="Times New Roman" w:cs="Times New Roman"/>
          <w:szCs w:val="32"/>
          <w:lang w:eastAsia="zh-CN"/>
        </w:rPr>
        <w:t>公开招标形式，</w:t>
      </w:r>
      <w:r>
        <w:rPr>
          <w:rFonts w:hint="default" w:ascii="Times New Roman" w:hAnsi="Times New Roman" w:cs="Times New Roman"/>
          <w:szCs w:val="32"/>
          <w:lang w:val="en-US" w:eastAsia="zh-CN"/>
        </w:rPr>
        <w:t>招标公告、招标文件、中标方投标文件、财政评审报告等相关文件资料齐全</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严格履行</w:t>
      </w:r>
      <w:r>
        <w:rPr>
          <w:rFonts w:hint="default" w:ascii="Times New Roman" w:hAnsi="Times New Roman" w:cs="Times New Roman"/>
          <w:szCs w:val="32"/>
          <w:lang w:eastAsia="zh-CN"/>
        </w:rPr>
        <w:t>采购验收程序，符合相关要求。</w:t>
      </w:r>
    </w:p>
    <w:p w14:paraId="268AEDB7">
      <w:pPr>
        <w:spacing w:line="560" w:lineRule="exact"/>
        <w:ind w:firstLine="643"/>
        <w:outlineLvl w:val="1"/>
        <w:rPr>
          <w:rFonts w:hint="default" w:ascii="Times New Roman" w:hAnsi="Times New Roman" w:eastAsia="楷体" w:cs="Times New Roman"/>
          <w:b/>
          <w:bCs/>
          <w:szCs w:val="22"/>
        </w:rPr>
      </w:pPr>
      <w:bookmarkStart w:id="99" w:name="_Toc136706214"/>
      <w:bookmarkStart w:id="100" w:name="_Toc13020"/>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三</w:t>
      </w:r>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产出类</w:t>
      </w:r>
      <w:r>
        <w:rPr>
          <w:rFonts w:hint="default" w:ascii="Times New Roman" w:hAnsi="Times New Roman" w:eastAsia="楷体" w:cs="Times New Roman"/>
          <w:b/>
          <w:bCs/>
          <w:szCs w:val="22"/>
        </w:rPr>
        <w:t>指标</w:t>
      </w:r>
      <w:bookmarkEnd w:id="99"/>
      <w:bookmarkEnd w:id="100"/>
    </w:p>
    <w:p w14:paraId="2C2A1ED9">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主要评价绩效项目产出数量、产出质量、产出时效、产出成</w:t>
      </w:r>
      <w:r>
        <w:rPr>
          <w:rFonts w:hint="default" w:ascii="Times New Roman" w:hAnsi="Times New Roman" w:cs="Times New Roman"/>
          <w:bCs/>
          <w:szCs w:val="32"/>
        </w:rPr>
        <w:t>本及效益情况。指标赋值</w:t>
      </w:r>
      <w:r>
        <w:rPr>
          <w:rFonts w:hint="default" w:ascii="Times New Roman" w:hAnsi="Times New Roman" w:cs="Times New Roman"/>
          <w:bCs/>
          <w:szCs w:val="32"/>
          <w:lang w:val="en-US" w:eastAsia="zh-CN"/>
        </w:rPr>
        <w:t>35</w:t>
      </w:r>
      <w:r>
        <w:rPr>
          <w:rFonts w:hint="default" w:ascii="Times New Roman" w:hAnsi="Times New Roman" w:cs="Times New Roman"/>
          <w:bCs/>
          <w:szCs w:val="32"/>
        </w:rPr>
        <w:t>分，综合得分</w:t>
      </w:r>
      <w:r>
        <w:rPr>
          <w:rFonts w:hint="default" w:ascii="Times New Roman" w:hAnsi="Times New Roman" w:cs="Times New Roman"/>
          <w:bCs/>
          <w:szCs w:val="32"/>
          <w:lang w:val="en-US" w:eastAsia="zh-CN"/>
        </w:rPr>
        <w:t>27</w:t>
      </w:r>
      <w:r>
        <w:rPr>
          <w:rFonts w:hint="default" w:ascii="Times New Roman" w:hAnsi="Times New Roman" w:cs="Times New Roman"/>
          <w:bCs/>
          <w:szCs w:val="32"/>
        </w:rPr>
        <w:t>分</w:t>
      </w:r>
      <w:r>
        <w:rPr>
          <w:rFonts w:hint="default" w:ascii="Times New Roman" w:hAnsi="Times New Roman" w:cs="Times New Roman"/>
          <w:szCs w:val="32"/>
        </w:rPr>
        <w:t>。</w:t>
      </w:r>
    </w:p>
    <w:p w14:paraId="5650B1BE">
      <w:pPr>
        <w:overflowPunct w:val="0"/>
        <w:spacing w:line="560" w:lineRule="exact"/>
        <w:ind w:firstLine="643"/>
        <w:rPr>
          <w:rFonts w:hint="default" w:ascii="Times New Roman" w:hAnsi="Times New Roman" w:cs="Times New Roman"/>
          <w:b w:val="0"/>
          <w:bCs w:val="0"/>
          <w:szCs w:val="32"/>
          <w:lang w:val="en-US" w:eastAsia="zh-CN"/>
        </w:rPr>
      </w:pPr>
      <w:bookmarkStart w:id="101" w:name="_Hlk83735246"/>
      <w:r>
        <w:rPr>
          <w:rFonts w:hint="default" w:ascii="Times New Roman" w:hAnsi="Times New Roman" w:cs="Times New Roman"/>
          <w:b/>
          <w:bCs/>
          <w:szCs w:val="32"/>
          <w:highlight w:val="none"/>
          <w:lang w:val="en-US" w:eastAsia="zh-CN"/>
        </w:rPr>
        <w:t>1.产出数量：</w:t>
      </w:r>
      <w:r>
        <w:rPr>
          <w:rFonts w:hint="default" w:ascii="Times New Roman" w:hAnsi="Times New Roman" w:cs="Times New Roman"/>
          <w:b w:val="0"/>
          <w:bCs w:val="0"/>
          <w:szCs w:val="32"/>
          <w:highlight w:val="none"/>
          <w:lang w:val="en-US" w:eastAsia="zh-CN"/>
        </w:rPr>
        <w:t>主</w:t>
      </w:r>
      <w:r>
        <w:rPr>
          <w:rFonts w:hint="default" w:ascii="Times New Roman" w:hAnsi="Times New Roman" w:cs="Times New Roman"/>
          <w:b w:val="0"/>
          <w:bCs w:val="0"/>
          <w:szCs w:val="32"/>
          <w:lang w:val="en-US" w:eastAsia="zh-CN"/>
        </w:rPr>
        <w:t>要评价项目实际完成率情况</w:t>
      </w:r>
      <w:r>
        <w:rPr>
          <w:rFonts w:hint="default" w:ascii="Times New Roman" w:hAnsi="Times New Roman" w:cs="Times New Roman"/>
          <w:b w:val="0"/>
          <w:bCs w:val="0"/>
          <w:szCs w:val="32"/>
        </w:rPr>
        <w:t>。</w:t>
      </w:r>
      <w:r>
        <w:rPr>
          <w:rFonts w:hint="default" w:ascii="Times New Roman" w:hAnsi="Times New Roman" w:cs="Times New Roman"/>
          <w:b w:val="0"/>
          <w:bCs w:val="0"/>
          <w:szCs w:val="32"/>
          <w:lang w:val="en-US" w:eastAsia="zh-CN"/>
        </w:rPr>
        <w:t>指标赋值12分，评分得分12分。</w:t>
      </w:r>
    </w:p>
    <w:p w14:paraId="5F604F3F">
      <w:pPr>
        <w:overflowPunct w:val="0"/>
        <w:spacing w:line="560" w:lineRule="exact"/>
        <w:ind w:firstLine="643"/>
        <w:rPr>
          <w:rFonts w:hint="default" w:ascii="Times New Roman" w:hAnsi="Times New Roman" w:cs="Times New Roman"/>
          <w:b/>
          <w:bCs/>
          <w:szCs w:val="32"/>
          <w:highlight w:val="yellow"/>
        </w:rPr>
      </w:pPr>
      <w:r>
        <w:rPr>
          <w:rFonts w:hint="default" w:ascii="Times New Roman" w:hAnsi="Times New Roman" w:cs="Times New Roman"/>
          <w:szCs w:val="32"/>
        </w:rPr>
        <w:t>项目计划通过</w:t>
      </w:r>
      <w:r>
        <w:rPr>
          <w:rFonts w:hint="default" w:ascii="Times New Roman" w:hAnsi="Times New Roman" w:cs="Times New Roman"/>
          <w:szCs w:val="32"/>
          <w:lang w:val="en-US" w:eastAsia="zh-CN"/>
        </w:rPr>
        <w:t>土地平整、</w:t>
      </w:r>
      <w:r>
        <w:rPr>
          <w:rFonts w:hint="default" w:ascii="Times New Roman" w:hAnsi="Times New Roman" w:cs="Times New Roman"/>
          <w:szCs w:val="32"/>
        </w:rPr>
        <w:t>土壤改良、灌溉</w:t>
      </w:r>
      <w:r>
        <w:rPr>
          <w:rFonts w:hint="default" w:ascii="Times New Roman" w:hAnsi="Times New Roman" w:cs="Times New Roman"/>
          <w:szCs w:val="32"/>
          <w:lang w:val="en-US" w:eastAsia="zh-CN"/>
        </w:rPr>
        <w:t>和</w:t>
      </w:r>
      <w:r>
        <w:rPr>
          <w:rFonts w:hint="default" w:ascii="Times New Roman" w:hAnsi="Times New Roman" w:cs="Times New Roman"/>
          <w:szCs w:val="32"/>
        </w:rPr>
        <w:t>排水、田间道路建设、科技推广等</w:t>
      </w:r>
      <w:r>
        <w:rPr>
          <w:rFonts w:hint="default" w:ascii="Times New Roman" w:hAnsi="Times New Roman" w:cs="Times New Roman"/>
          <w:szCs w:val="32"/>
          <w:lang w:val="en-US" w:eastAsia="zh-CN"/>
        </w:rPr>
        <w:t>措施</w:t>
      </w:r>
      <w:r>
        <w:rPr>
          <w:rFonts w:hint="default" w:ascii="Times New Roman" w:hAnsi="Times New Roman" w:cs="Times New Roman"/>
          <w:szCs w:val="32"/>
        </w:rPr>
        <w:t>，对</w:t>
      </w:r>
      <w:r>
        <w:rPr>
          <w:rFonts w:hint="default" w:ascii="Times New Roman" w:hAnsi="Times New Roman" w:cs="Times New Roman"/>
          <w:szCs w:val="32"/>
          <w:lang w:val="en-US" w:eastAsia="zh-CN"/>
        </w:rPr>
        <w:t>新盛镇金龙村、罗汉村、老君村和金山镇茅庵堂村</w:t>
      </w:r>
      <w:r>
        <w:rPr>
          <w:rFonts w:hint="default" w:ascii="Times New Roman" w:hAnsi="Times New Roman" w:cs="Times New Roman"/>
          <w:szCs w:val="32"/>
        </w:rPr>
        <w:t>共</w:t>
      </w:r>
      <w:r>
        <w:rPr>
          <w:rFonts w:hint="default" w:ascii="Times New Roman" w:hAnsi="Times New Roman" w:cs="Times New Roman"/>
          <w:szCs w:val="32"/>
          <w:lang w:val="en-US" w:eastAsia="zh-CN"/>
        </w:rPr>
        <w:t>4</w:t>
      </w:r>
      <w:r>
        <w:rPr>
          <w:rFonts w:hint="default" w:ascii="Times New Roman" w:hAnsi="Times New Roman" w:cs="Times New Roman"/>
          <w:szCs w:val="32"/>
        </w:rPr>
        <w:t>个村规划建设</w:t>
      </w:r>
      <w:r>
        <w:rPr>
          <w:rFonts w:hint="default" w:ascii="Times New Roman" w:hAnsi="Times New Roman" w:cs="Times New Roman"/>
          <w:szCs w:val="32"/>
          <w:lang w:val="en-US" w:eastAsia="zh-CN"/>
        </w:rPr>
        <w:t>0.7万亩（含高效节水灌溉0.1万亩）</w:t>
      </w:r>
      <w:r>
        <w:rPr>
          <w:rFonts w:hint="default" w:ascii="Times New Roman" w:hAnsi="Times New Roman" w:cs="Times New Roman"/>
          <w:szCs w:val="32"/>
        </w:rPr>
        <w:t>高标准农田</w:t>
      </w:r>
      <w:r>
        <w:rPr>
          <w:rFonts w:hint="default" w:ascii="Times New Roman" w:hAnsi="Times New Roman" w:cs="Times New Roman"/>
          <w:szCs w:val="32"/>
          <w:lang w:eastAsia="zh-CN"/>
        </w:rPr>
        <w:t>。</w:t>
      </w:r>
      <w:r>
        <w:rPr>
          <w:rFonts w:hint="default" w:ascii="Times New Roman" w:hAnsi="Times New Roman" w:cs="Times New Roman"/>
          <w:szCs w:val="32"/>
          <w:highlight w:val="none"/>
        </w:rPr>
        <w:t>经核查，实际完成新盛镇罗汉村2</w:t>
      </w:r>
      <w:r>
        <w:rPr>
          <w:rFonts w:hint="default" w:ascii="Times New Roman" w:hAnsi="Times New Roman" w:cs="Times New Roman"/>
          <w:szCs w:val="32"/>
          <w:highlight w:val="none"/>
          <w:lang w:val="en-US" w:eastAsia="zh-CN"/>
        </w:rPr>
        <w:t>.</w:t>
      </w:r>
      <w:r>
        <w:rPr>
          <w:rFonts w:hint="default" w:ascii="Times New Roman" w:hAnsi="Times New Roman" w:cs="Times New Roman"/>
          <w:szCs w:val="32"/>
          <w:highlight w:val="none"/>
        </w:rPr>
        <w:t>8</w:t>
      </w:r>
      <w:r>
        <w:rPr>
          <w:rFonts w:hint="default" w:ascii="Times New Roman" w:hAnsi="Times New Roman" w:cs="Times New Roman"/>
          <w:szCs w:val="32"/>
          <w:highlight w:val="none"/>
          <w:lang w:val="en-US" w:eastAsia="zh-CN"/>
        </w:rPr>
        <w:t>万</w:t>
      </w:r>
      <w:r>
        <w:rPr>
          <w:rFonts w:hint="default" w:ascii="Times New Roman" w:hAnsi="Times New Roman" w:cs="Times New Roman"/>
          <w:szCs w:val="32"/>
          <w:highlight w:val="none"/>
        </w:rPr>
        <w:t>亩，金龙村3</w:t>
      </w:r>
      <w:r>
        <w:rPr>
          <w:rFonts w:hint="default" w:ascii="Times New Roman" w:hAnsi="Times New Roman" w:cs="Times New Roman"/>
          <w:szCs w:val="32"/>
          <w:highlight w:val="none"/>
          <w:lang w:val="en-US" w:eastAsia="zh-CN"/>
        </w:rPr>
        <w:t>万</w:t>
      </w:r>
      <w:r>
        <w:rPr>
          <w:rFonts w:hint="default" w:ascii="Times New Roman" w:hAnsi="Times New Roman" w:cs="Times New Roman"/>
          <w:szCs w:val="32"/>
          <w:highlight w:val="none"/>
        </w:rPr>
        <w:t>亩，老君村1</w:t>
      </w:r>
      <w:r>
        <w:rPr>
          <w:rFonts w:hint="default" w:ascii="Times New Roman" w:hAnsi="Times New Roman" w:cs="Times New Roman"/>
          <w:szCs w:val="32"/>
          <w:highlight w:val="none"/>
          <w:lang w:val="en-US" w:eastAsia="zh-CN"/>
        </w:rPr>
        <w:t>.</w:t>
      </w:r>
      <w:r>
        <w:rPr>
          <w:rFonts w:hint="default" w:ascii="Times New Roman" w:hAnsi="Times New Roman" w:cs="Times New Roman"/>
          <w:szCs w:val="32"/>
          <w:highlight w:val="none"/>
        </w:rPr>
        <w:t>2</w:t>
      </w:r>
      <w:r>
        <w:rPr>
          <w:rFonts w:hint="default" w:ascii="Times New Roman" w:hAnsi="Times New Roman" w:cs="Times New Roman"/>
          <w:szCs w:val="32"/>
          <w:highlight w:val="none"/>
          <w:lang w:val="en-US" w:eastAsia="zh-CN"/>
        </w:rPr>
        <w:t>万</w:t>
      </w:r>
      <w:r>
        <w:rPr>
          <w:rFonts w:hint="default" w:ascii="Times New Roman" w:hAnsi="Times New Roman" w:cs="Times New Roman"/>
          <w:szCs w:val="32"/>
          <w:highlight w:val="none"/>
        </w:rPr>
        <w:t>亩</w:t>
      </w:r>
      <w:r>
        <w:rPr>
          <w:rFonts w:hint="default" w:ascii="Times New Roman" w:hAnsi="Times New Roman" w:cs="Times New Roman"/>
          <w:szCs w:val="32"/>
          <w:highlight w:val="none"/>
          <w:lang w:eastAsia="zh-CN"/>
        </w:rPr>
        <w:t>，</w:t>
      </w:r>
      <w:r>
        <w:rPr>
          <w:rFonts w:hint="default" w:ascii="Times New Roman" w:hAnsi="Times New Roman" w:cs="Times New Roman"/>
          <w:szCs w:val="32"/>
          <w:highlight w:val="none"/>
        </w:rPr>
        <w:t>金山镇茅庵堂村</w:t>
      </w:r>
      <w:r>
        <w:rPr>
          <w:rFonts w:hint="default" w:ascii="Times New Roman" w:hAnsi="Times New Roman" w:cs="Times New Roman"/>
          <w:szCs w:val="32"/>
          <w:highlight w:val="none"/>
          <w:lang w:val="en-US" w:eastAsia="zh-CN"/>
        </w:rPr>
        <w:t>0.5万</w:t>
      </w:r>
      <w:r>
        <w:rPr>
          <w:rFonts w:hint="default" w:ascii="Times New Roman" w:hAnsi="Times New Roman" w:cs="Times New Roman"/>
          <w:szCs w:val="32"/>
          <w:highlight w:val="none"/>
        </w:rPr>
        <w:t>亩</w:t>
      </w:r>
      <w:r>
        <w:rPr>
          <w:rFonts w:hint="default" w:ascii="Times New Roman" w:hAnsi="Times New Roman" w:cs="Times New Roman"/>
          <w:szCs w:val="32"/>
          <w:highlight w:val="none"/>
          <w:lang w:eastAsia="zh-CN"/>
        </w:rPr>
        <w:t>（</w:t>
      </w:r>
      <w:r>
        <w:rPr>
          <w:rFonts w:hint="default" w:ascii="Times New Roman" w:hAnsi="Times New Roman" w:cs="Times New Roman"/>
          <w:szCs w:val="32"/>
          <w:highlight w:val="none"/>
          <w:lang w:val="en-US" w:eastAsia="zh-CN"/>
        </w:rPr>
        <w:t>自筹资金</w:t>
      </w:r>
      <w:r>
        <w:rPr>
          <w:rFonts w:hint="default" w:ascii="Times New Roman" w:hAnsi="Times New Roman" w:cs="Times New Roman"/>
          <w:szCs w:val="32"/>
          <w:highlight w:val="none"/>
          <w:lang w:eastAsia="zh-CN"/>
        </w:rPr>
        <w:t>），</w:t>
      </w:r>
      <w:r>
        <w:rPr>
          <w:rFonts w:hint="default" w:ascii="Times New Roman" w:hAnsi="Times New Roman" w:cs="Times New Roman"/>
          <w:szCs w:val="32"/>
          <w:highlight w:val="none"/>
          <w:lang w:val="en-US" w:eastAsia="zh-CN"/>
        </w:rPr>
        <w:t>共0.75万亩</w:t>
      </w:r>
      <w:r>
        <w:rPr>
          <w:rFonts w:hint="default" w:ascii="Times New Roman" w:hAnsi="Times New Roman" w:cs="Times New Roman"/>
          <w:szCs w:val="32"/>
          <w:highlight w:val="none"/>
        </w:rPr>
        <w:t>高标准农田规划建设任务，目标任务完成率</w:t>
      </w:r>
      <w:r>
        <w:rPr>
          <w:rFonts w:hint="default" w:ascii="Times New Roman" w:hAnsi="Times New Roman" w:cs="Times New Roman"/>
          <w:szCs w:val="32"/>
          <w:highlight w:val="none"/>
          <w:lang w:val="en-US" w:eastAsia="zh-CN"/>
        </w:rPr>
        <w:t>超</w:t>
      </w:r>
      <w:r>
        <w:rPr>
          <w:rFonts w:hint="default" w:ascii="Times New Roman" w:hAnsi="Times New Roman" w:cs="Times New Roman"/>
          <w:szCs w:val="32"/>
          <w:highlight w:val="none"/>
        </w:rPr>
        <w:t>100%。</w:t>
      </w:r>
      <w:r>
        <w:rPr>
          <w:rFonts w:hint="default" w:ascii="Times New Roman" w:hAnsi="Times New Roman" w:cs="Times New Roman"/>
          <w:highlight w:val="none"/>
        </w:rPr>
        <w:t>项目计划与实际完成详情见下表。</w:t>
      </w:r>
      <w:bookmarkEnd w:id="101"/>
    </w:p>
    <w:p w14:paraId="38473361">
      <w:pPr>
        <w:widowControl/>
        <w:spacing w:line="560" w:lineRule="exact"/>
        <w:ind w:firstLine="0" w:firstLineChars="0"/>
        <w:jc w:val="center"/>
        <w:rPr>
          <w:rFonts w:hint="default" w:ascii="Times New Roman" w:hAnsi="Times New Roman" w:eastAsia="楷体" w:cs="Times New Roman"/>
          <w:b/>
          <w:sz w:val="30"/>
          <w:szCs w:val="30"/>
        </w:rPr>
      </w:pPr>
      <w:r>
        <w:rPr>
          <w:rFonts w:hint="default" w:ascii="Times New Roman" w:hAnsi="Times New Roman" w:eastAsia="楷体" w:cs="Times New Roman"/>
          <w:b/>
          <w:sz w:val="30"/>
          <w:szCs w:val="30"/>
        </w:rPr>
        <w:t>表4-1：项目计划与实际完成情况明细表</w:t>
      </w:r>
    </w:p>
    <w:tbl>
      <w:tblPr>
        <w:tblStyle w:val="29"/>
        <w:tblW w:w="8813" w:type="dxa"/>
        <w:jc w:val="center"/>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autofit"/>
        <w:tblCellMar>
          <w:top w:w="0" w:type="dxa"/>
          <w:left w:w="108" w:type="dxa"/>
          <w:bottom w:w="0" w:type="dxa"/>
          <w:right w:w="108" w:type="dxa"/>
        </w:tblCellMar>
      </w:tblPr>
      <w:tblGrid>
        <w:gridCol w:w="1261"/>
        <w:gridCol w:w="3204"/>
        <w:gridCol w:w="3410"/>
        <w:gridCol w:w="938"/>
      </w:tblGrid>
      <w:tr w14:paraId="121BC6A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tblHeader/>
          <w:jc w:val="center"/>
        </w:trPr>
        <w:tc>
          <w:tcPr>
            <w:tcW w:w="1261" w:type="dxa"/>
            <w:tcBorders>
              <w:tl2br w:val="nil"/>
              <w:tr2bl w:val="nil"/>
            </w:tcBorders>
            <w:shd w:val="clear" w:color="auto" w:fill="auto"/>
            <w:vAlign w:val="center"/>
          </w:tcPr>
          <w:p w14:paraId="29C44C2C">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建设方向</w:t>
            </w:r>
          </w:p>
        </w:tc>
        <w:tc>
          <w:tcPr>
            <w:tcW w:w="3204" w:type="dxa"/>
            <w:tcBorders>
              <w:tl2br w:val="nil"/>
              <w:tr2bl w:val="nil"/>
            </w:tcBorders>
            <w:shd w:val="clear" w:color="auto" w:fill="auto"/>
            <w:vAlign w:val="center"/>
          </w:tcPr>
          <w:p w14:paraId="6F6A0EEB">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计划完成</w:t>
            </w:r>
          </w:p>
        </w:tc>
        <w:tc>
          <w:tcPr>
            <w:tcW w:w="3410" w:type="dxa"/>
            <w:tcBorders>
              <w:tl2br w:val="nil"/>
              <w:tr2bl w:val="nil"/>
            </w:tcBorders>
            <w:shd w:val="clear" w:color="auto" w:fill="auto"/>
            <w:vAlign w:val="center"/>
          </w:tcPr>
          <w:p w14:paraId="7B039BE6">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实际完成</w:t>
            </w:r>
          </w:p>
        </w:tc>
        <w:tc>
          <w:tcPr>
            <w:tcW w:w="938" w:type="dxa"/>
            <w:tcBorders>
              <w:tl2br w:val="nil"/>
              <w:tr2bl w:val="nil"/>
            </w:tcBorders>
            <w:shd w:val="clear" w:color="auto" w:fill="auto"/>
            <w:vAlign w:val="center"/>
          </w:tcPr>
          <w:p w14:paraId="4E1EC31F">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完成率</w:t>
            </w:r>
          </w:p>
        </w:tc>
      </w:tr>
      <w:tr w14:paraId="37EC28BE">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1261" w:type="dxa"/>
            <w:tcBorders>
              <w:tl2br w:val="nil"/>
              <w:tr2bl w:val="nil"/>
            </w:tcBorders>
            <w:shd w:val="clear" w:color="auto" w:fill="auto"/>
            <w:vAlign w:val="center"/>
          </w:tcPr>
          <w:p w14:paraId="15E036C1">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涉及</w:t>
            </w:r>
          </w:p>
          <w:p w14:paraId="6A7CCC4A">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行政村</w:t>
            </w:r>
          </w:p>
        </w:tc>
        <w:tc>
          <w:tcPr>
            <w:tcW w:w="3204" w:type="dxa"/>
            <w:tcBorders>
              <w:tl2br w:val="nil"/>
              <w:tr2bl w:val="nil"/>
            </w:tcBorders>
            <w:shd w:val="clear" w:color="auto" w:fill="auto"/>
            <w:vAlign w:val="center"/>
          </w:tcPr>
          <w:p w14:paraId="766119AA">
            <w:pPr>
              <w:widowControl/>
              <w:spacing w:line="240" w:lineRule="auto"/>
              <w:ind w:firstLine="0" w:firstLineChars="0"/>
              <w:jc w:val="left"/>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4</w:t>
            </w:r>
            <w:r>
              <w:rPr>
                <w:rFonts w:hint="default" w:ascii="Times New Roman" w:hAnsi="Times New Roman" w:cs="Times New Roman"/>
                <w:bCs/>
                <w:color w:val="000000"/>
                <w:kern w:val="0"/>
                <w:sz w:val="24"/>
              </w:rPr>
              <w:t>个行政村（</w:t>
            </w:r>
            <w:r>
              <w:rPr>
                <w:rFonts w:hint="default" w:ascii="Times New Roman" w:hAnsi="Times New Roman" w:cs="Times New Roman"/>
                <w:bCs/>
                <w:color w:val="000000"/>
                <w:kern w:val="0"/>
                <w:sz w:val="24"/>
                <w:lang w:val="en-US" w:eastAsia="zh-CN"/>
              </w:rPr>
              <w:t>金龙村</w:t>
            </w:r>
            <w:r>
              <w:rPr>
                <w:rFonts w:hint="default" w:ascii="Times New Roman" w:hAnsi="Times New Roman" w:cs="Times New Roman"/>
                <w:bCs/>
                <w:color w:val="000000"/>
                <w:kern w:val="0"/>
                <w:sz w:val="24"/>
              </w:rPr>
              <w:t>、</w:t>
            </w:r>
            <w:r>
              <w:rPr>
                <w:rFonts w:hint="default" w:ascii="Times New Roman" w:hAnsi="Times New Roman" w:cs="Times New Roman"/>
                <w:bCs/>
                <w:color w:val="000000"/>
                <w:kern w:val="0"/>
                <w:sz w:val="24"/>
                <w:lang w:val="en-US" w:eastAsia="zh-CN"/>
              </w:rPr>
              <w:t>罗汉村</w:t>
            </w:r>
            <w:r>
              <w:rPr>
                <w:rFonts w:hint="default" w:ascii="Times New Roman" w:hAnsi="Times New Roman" w:cs="Times New Roman"/>
                <w:bCs/>
                <w:color w:val="000000"/>
                <w:kern w:val="0"/>
                <w:sz w:val="24"/>
              </w:rPr>
              <w:t>、</w:t>
            </w:r>
            <w:r>
              <w:rPr>
                <w:rFonts w:hint="default" w:ascii="Times New Roman" w:hAnsi="Times New Roman" w:cs="Times New Roman"/>
                <w:bCs/>
                <w:color w:val="000000"/>
                <w:kern w:val="0"/>
                <w:sz w:val="24"/>
                <w:lang w:val="en-US" w:eastAsia="zh-CN"/>
              </w:rPr>
              <w:t>老君村</w:t>
            </w:r>
            <w:r>
              <w:rPr>
                <w:rFonts w:hint="default" w:ascii="Times New Roman" w:hAnsi="Times New Roman" w:cs="Times New Roman"/>
                <w:bCs/>
                <w:color w:val="000000"/>
                <w:kern w:val="0"/>
                <w:sz w:val="24"/>
              </w:rPr>
              <w:t>、</w:t>
            </w:r>
            <w:r>
              <w:rPr>
                <w:rFonts w:hint="default" w:ascii="Times New Roman" w:hAnsi="Times New Roman" w:cs="Times New Roman"/>
                <w:bCs/>
                <w:color w:val="000000"/>
                <w:kern w:val="0"/>
                <w:sz w:val="24"/>
                <w:lang w:val="en-US" w:eastAsia="zh-CN"/>
              </w:rPr>
              <w:t>茅庵堂村）</w:t>
            </w:r>
          </w:p>
        </w:tc>
        <w:tc>
          <w:tcPr>
            <w:tcW w:w="3410" w:type="dxa"/>
            <w:tcBorders>
              <w:tl2br w:val="nil"/>
              <w:tr2bl w:val="nil"/>
            </w:tcBorders>
            <w:shd w:val="clear" w:color="auto" w:fill="auto"/>
            <w:vAlign w:val="center"/>
          </w:tcPr>
          <w:p w14:paraId="7AD8F02C">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lang w:val="en-US" w:eastAsia="zh-CN"/>
              </w:rPr>
              <w:t>4</w:t>
            </w:r>
            <w:r>
              <w:rPr>
                <w:rFonts w:hint="default" w:ascii="Times New Roman" w:hAnsi="Times New Roman" w:cs="Times New Roman"/>
                <w:bCs/>
                <w:color w:val="000000"/>
                <w:kern w:val="0"/>
                <w:sz w:val="24"/>
              </w:rPr>
              <w:t>个行政村（</w:t>
            </w:r>
            <w:r>
              <w:rPr>
                <w:rFonts w:hint="default" w:ascii="Times New Roman" w:hAnsi="Times New Roman" w:cs="Times New Roman"/>
                <w:bCs/>
                <w:color w:val="000000"/>
                <w:kern w:val="0"/>
                <w:sz w:val="24"/>
                <w:lang w:val="en-US" w:eastAsia="zh-CN"/>
              </w:rPr>
              <w:t>金龙村</w:t>
            </w:r>
            <w:r>
              <w:rPr>
                <w:rFonts w:hint="default" w:ascii="Times New Roman" w:hAnsi="Times New Roman" w:cs="Times New Roman"/>
                <w:bCs/>
                <w:color w:val="000000"/>
                <w:kern w:val="0"/>
                <w:sz w:val="24"/>
              </w:rPr>
              <w:t>、</w:t>
            </w:r>
            <w:r>
              <w:rPr>
                <w:rFonts w:hint="default" w:ascii="Times New Roman" w:hAnsi="Times New Roman" w:cs="Times New Roman"/>
                <w:bCs/>
                <w:color w:val="000000"/>
                <w:kern w:val="0"/>
                <w:sz w:val="24"/>
                <w:lang w:val="en-US" w:eastAsia="zh-CN"/>
              </w:rPr>
              <w:t>罗汉村</w:t>
            </w:r>
            <w:r>
              <w:rPr>
                <w:rFonts w:hint="default" w:ascii="Times New Roman" w:hAnsi="Times New Roman" w:cs="Times New Roman"/>
                <w:bCs/>
                <w:color w:val="000000"/>
                <w:kern w:val="0"/>
                <w:sz w:val="24"/>
              </w:rPr>
              <w:t>、</w:t>
            </w:r>
            <w:r>
              <w:rPr>
                <w:rFonts w:hint="default" w:ascii="Times New Roman" w:hAnsi="Times New Roman" w:cs="Times New Roman"/>
                <w:bCs/>
                <w:color w:val="000000"/>
                <w:kern w:val="0"/>
                <w:sz w:val="24"/>
                <w:lang w:val="en-US" w:eastAsia="zh-CN"/>
              </w:rPr>
              <w:t>老君村</w:t>
            </w:r>
            <w:r>
              <w:rPr>
                <w:rFonts w:hint="default" w:ascii="Times New Roman" w:hAnsi="Times New Roman" w:cs="Times New Roman"/>
                <w:bCs/>
                <w:color w:val="000000"/>
                <w:kern w:val="0"/>
                <w:sz w:val="24"/>
              </w:rPr>
              <w:t>、</w:t>
            </w:r>
            <w:r>
              <w:rPr>
                <w:rFonts w:hint="default" w:ascii="Times New Roman" w:hAnsi="Times New Roman" w:cs="Times New Roman"/>
                <w:bCs/>
                <w:color w:val="000000"/>
                <w:kern w:val="0"/>
                <w:sz w:val="24"/>
                <w:lang w:val="en-US" w:eastAsia="zh-CN"/>
              </w:rPr>
              <w:t>茅庵堂村）</w:t>
            </w:r>
          </w:p>
        </w:tc>
        <w:tc>
          <w:tcPr>
            <w:tcW w:w="938" w:type="dxa"/>
            <w:tcBorders>
              <w:tl2br w:val="nil"/>
              <w:tr2bl w:val="nil"/>
            </w:tcBorders>
            <w:shd w:val="clear" w:color="auto" w:fill="auto"/>
            <w:vAlign w:val="center"/>
          </w:tcPr>
          <w:p w14:paraId="4DC32DD6">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100%</w:t>
            </w:r>
          </w:p>
        </w:tc>
      </w:tr>
      <w:tr w14:paraId="215C081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1261" w:type="dxa"/>
            <w:tcBorders>
              <w:tl2br w:val="nil"/>
              <w:tr2bl w:val="nil"/>
            </w:tcBorders>
            <w:shd w:val="clear" w:color="auto" w:fill="auto"/>
            <w:vAlign w:val="center"/>
          </w:tcPr>
          <w:p w14:paraId="55B70731">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建设规模</w:t>
            </w:r>
          </w:p>
        </w:tc>
        <w:tc>
          <w:tcPr>
            <w:tcW w:w="3204" w:type="dxa"/>
            <w:tcBorders>
              <w:tl2br w:val="nil"/>
              <w:tr2bl w:val="nil"/>
            </w:tcBorders>
            <w:shd w:val="clear" w:color="auto" w:fill="auto"/>
            <w:vAlign w:val="center"/>
          </w:tcPr>
          <w:p w14:paraId="0F276A56">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lang w:val="en-US" w:eastAsia="zh-CN"/>
              </w:rPr>
              <w:t>0.75万</w:t>
            </w:r>
            <w:r>
              <w:rPr>
                <w:rFonts w:hint="default" w:ascii="Times New Roman" w:hAnsi="Times New Roman" w:cs="Times New Roman"/>
                <w:bCs/>
                <w:color w:val="000000"/>
                <w:kern w:val="0"/>
                <w:sz w:val="24"/>
              </w:rPr>
              <w:t>亩</w:t>
            </w:r>
          </w:p>
        </w:tc>
        <w:tc>
          <w:tcPr>
            <w:tcW w:w="3410" w:type="dxa"/>
            <w:tcBorders>
              <w:tl2br w:val="nil"/>
              <w:tr2bl w:val="nil"/>
            </w:tcBorders>
            <w:shd w:val="clear" w:color="auto" w:fill="auto"/>
            <w:vAlign w:val="center"/>
          </w:tcPr>
          <w:p w14:paraId="684BC16F">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lang w:val="en-US" w:eastAsia="zh-CN"/>
              </w:rPr>
              <w:t>0.75</w:t>
            </w:r>
            <w:r>
              <w:rPr>
                <w:rFonts w:hint="default" w:ascii="Times New Roman" w:hAnsi="Times New Roman" w:cs="Times New Roman"/>
                <w:bCs/>
                <w:color w:val="000000"/>
                <w:kern w:val="0"/>
                <w:sz w:val="24"/>
              </w:rPr>
              <w:t>亩</w:t>
            </w:r>
          </w:p>
        </w:tc>
        <w:tc>
          <w:tcPr>
            <w:tcW w:w="938" w:type="dxa"/>
            <w:tcBorders>
              <w:tl2br w:val="nil"/>
              <w:tr2bl w:val="nil"/>
            </w:tcBorders>
            <w:shd w:val="clear" w:color="auto" w:fill="auto"/>
            <w:vAlign w:val="center"/>
          </w:tcPr>
          <w:p w14:paraId="2847D09B">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100%</w:t>
            </w:r>
          </w:p>
        </w:tc>
      </w:tr>
      <w:tr w14:paraId="46DDFF65">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1261" w:type="dxa"/>
            <w:tcBorders>
              <w:tl2br w:val="nil"/>
              <w:tr2bl w:val="nil"/>
            </w:tcBorders>
            <w:shd w:val="clear" w:color="auto" w:fill="auto"/>
            <w:vAlign w:val="center"/>
          </w:tcPr>
          <w:p w14:paraId="0C7C0639">
            <w:pPr>
              <w:widowControl/>
              <w:spacing w:line="240" w:lineRule="auto"/>
              <w:ind w:firstLine="0" w:firstLineChars="0"/>
              <w:jc w:val="center"/>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田块整治</w:t>
            </w:r>
          </w:p>
        </w:tc>
        <w:tc>
          <w:tcPr>
            <w:tcW w:w="3204" w:type="dxa"/>
            <w:tcBorders>
              <w:tl2br w:val="nil"/>
              <w:tr2bl w:val="nil"/>
            </w:tcBorders>
            <w:shd w:val="clear" w:color="auto" w:fill="auto"/>
            <w:vAlign w:val="center"/>
          </w:tcPr>
          <w:p w14:paraId="1F94A534">
            <w:pPr>
              <w:widowControl/>
              <w:spacing w:line="240" w:lineRule="auto"/>
              <w:ind w:firstLine="0" w:firstLineChars="0"/>
              <w:jc w:val="left"/>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调整田型906.14亩</w:t>
            </w:r>
          </w:p>
        </w:tc>
        <w:tc>
          <w:tcPr>
            <w:tcW w:w="3410" w:type="dxa"/>
            <w:tcBorders>
              <w:tl2br w:val="nil"/>
              <w:tr2bl w:val="nil"/>
            </w:tcBorders>
            <w:shd w:val="clear" w:color="auto" w:fill="auto"/>
            <w:vAlign w:val="center"/>
          </w:tcPr>
          <w:p w14:paraId="5FF67768">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lang w:val="en-US" w:eastAsia="zh-CN"/>
              </w:rPr>
              <w:t>调整田型906.14亩</w:t>
            </w:r>
          </w:p>
        </w:tc>
        <w:tc>
          <w:tcPr>
            <w:tcW w:w="938" w:type="dxa"/>
            <w:tcBorders>
              <w:tl2br w:val="nil"/>
              <w:tr2bl w:val="nil"/>
            </w:tcBorders>
            <w:shd w:val="clear" w:color="auto" w:fill="auto"/>
            <w:vAlign w:val="center"/>
          </w:tcPr>
          <w:p w14:paraId="3A7D8C53">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100%</w:t>
            </w:r>
          </w:p>
        </w:tc>
      </w:tr>
      <w:tr w14:paraId="04124B90">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97" w:hRule="atLeast"/>
          <w:jc w:val="center"/>
        </w:trPr>
        <w:tc>
          <w:tcPr>
            <w:tcW w:w="1261" w:type="dxa"/>
            <w:tcBorders>
              <w:tl2br w:val="nil"/>
              <w:tr2bl w:val="nil"/>
            </w:tcBorders>
            <w:shd w:val="clear" w:color="auto" w:fill="auto"/>
            <w:vAlign w:val="center"/>
          </w:tcPr>
          <w:p w14:paraId="5C358932">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土壤改良</w:t>
            </w:r>
          </w:p>
        </w:tc>
        <w:tc>
          <w:tcPr>
            <w:tcW w:w="3204" w:type="dxa"/>
            <w:tcBorders>
              <w:tl2br w:val="nil"/>
              <w:tr2bl w:val="nil"/>
            </w:tcBorders>
            <w:shd w:val="clear" w:color="auto" w:fill="auto"/>
            <w:vAlign w:val="center"/>
          </w:tcPr>
          <w:p w14:paraId="39F39CF3">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土壤改良</w:t>
            </w:r>
            <w:r>
              <w:rPr>
                <w:rFonts w:hint="default" w:ascii="Times New Roman" w:hAnsi="Times New Roman" w:cs="Times New Roman"/>
                <w:bCs/>
                <w:color w:val="000000"/>
                <w:kern w:val="0"/>
                <w:sz w:val="24"/>
                <w:lang w:val="en-US" w:eastAsia="zh-CN"/>
              </w:rPr>
              <w:t>0.75万</w:t>
            </w:r>
            <w:r>
              <w:rPr>
                <w:rFonts w:hint="default" w:ascii="Times New Roman" w:hAnsi="Times New Roman" w:cs="Times New Roman"/>
                <w:bCs/>
                <w:color w:val="000000"/>
                <w:kern w:val="0"/>
                <w:sz w:val="24"/>
              </w:rPr>
              <w:t>亩</w:t>
            </w:r>
          </w:p>
        </w:tc>
        <w:tc>
          <w:tcPr>
            <w:tcW w:w="3410" w:type="dxa"/>
            <w:tcBorders>
              <w:tl2br w:val="nil"/>
              <w:tr2bl w:val="nil"/>
            </w:tcBorders>
            <w:shd w:val="clear" w:color="auto" w:fill="auto"/>
            <w:vAlign w:val="center"/>
          </w:tcPr>
          <w:p w14:paraId="3AA1409C">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土壤改良</w:t>
            </w:r>
            <w:r>
              <w:rPr>
                <w:rFonts w:hint="default" w:ascii="Times New Roman" w:hAnsi="Times New Roman" w:cs="Times New Roman"/>
                <w:bCs/>
                <w:color w:val="000000"/>
                <w:kern w:val="0"/>
                <w:sz w:val="24"/>
                <w:lang w:val="en-US" w:eastAsia="zh-CN"/>
              </w:rPr>
              <w:t>0.75万</w:t>
            </w:r>
            <w:r>
              <w:rPr>
                <w:rFonts w:hint="default" w:ascii="Times New Roman" w:hAnsi="Times New Roman" w:cs="Times New Roman"/>
                <w:bCs/>
                <w:color w:val="000000"/>
                <w:kern w:val="0"/>
                <w:sz w:val="24"/>
              </w:rPr>
              <w:t>亩</w:t>
            </w:r>
          </w:p>
        </w:tc>
        <w:tc>
          <w:tcPr>
            <w:tcW w:w="938" w:type="dxa"/>
            <w:tcBorders>
              <w:tl2br w:val="nil"/>
              <w:tr2bl w:val="nil"/>
            </w:tcBorders>
            <w:shd w:val="clear" w:color="auto" w:fill="auto"/>
            <w:vAlign w:val="center"/>
          </w:tcPr>
          <w:p w14:paraId="45A2CCDE">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100%</w:t>
            </w:r>
          </w:p>
        </w:tc>
      </w:tr>
      <w:tr w14:paraId="40E460F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762" w:hRule="atLeast"/>
          <w:jc w:val="center"/>
        </w:trPr>
        <w:tc>
          <w:tcPr>
            <w:tcW w:w="1261" w:type="dxa"/>
            <w:tcBorders>
              <w:tl2br w:val="nil"/>
              <w:tr2bl w:val="nil"/>
            </w:tcBorders>
            <w:shd w:val="clear" w:color="auto" w:fill="auto"/>
            <w:vAlign w:val="center"/>
          </w:tcPr>
          <w:p w14:paraId="38694A4F">
            <w:pPr>
              <w:widowControl/>
              <w:spacing w:line="240" w:lineRule="auto"/>
              <w:ind w:firstLine="0" w:firstLineChars="0"/>
              <w:jc w:val="center"/>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灌溉与排水</w:t>
            </w:r>
          </w:p>
        </w:tc>
        <w:tc>
          <w:tcPr>
            <w:tcW w:w="3204" w:type="dxa"/>
            <w:tcBorders>
              <w:tl2br w:val="nil"/>
              <w:tr2bl w:val="nil"/>
            </w:tcBorders>
            <w:shd w:val="clear" w:color="auto" w:fill="auto"/>
            <w:vAlign w:val="center"/>
          </w:tcPr>
          <w:p w14:paraId="4DBF541F">
            <w:pPr>
              <w:widowControl/>
              <w:spacing w:line="240" w:lineRule="auto"/>
              <w:ind w:firstLine="0" w:firstLineChars="0"/>
              <w:jc w:val="left"/>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建设衬砌渠道30.91km、高效节水灌溉0.1万亩</w:t>
            </w:r>
          </w:p>
        </w:tc>
        <w:tc>
          <w:tcPr>
            <w:tcW w:w="3410" w:type="dxa"/>
            <w:tcBorders>
              <w:tl2br w:val="nil"/>
              <w:tr2bl w:val="nil"/>
            </w:tcBorders>
            <w:shd w:val="clear" w:color="auto" w:fill="auto"/>
            <w:vAlign w:val="center"/>
          </w:tcPr>
          <w:p w14:paraId="2C0B7027">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lang w:val="en-US" w:eastAsia="zh-CN"/>
              </w:rPr>
              <w:t>建设衬砌渠道30.91km、高效节水灌溉0.1万亩</w:t>
            </w:r>
          </w:p>
        </w:tc>
        <w:tc>
          <w:tcPr>
            <w:tcW w:w="938" w:type="dxa"/>
            <w:tcBorders>
              <w:tl2br w:val="nil"/>
              <w:tr2bl w:val="nil"/>
            </w:tcBorders>
            <w:shd w:val="clear" w:color="auto" w:fill="auto"/>
            <w:vAlign w:val="center"/>
          </w:tcPr>
          <w:p w14:paraId="54913EC9">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100%</w:t>
            </w:r>
          </w:p>
        </w:tc>
      </w:tr>
      <w:tr w14:paraId="798455B8">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1535" w:hRule="atLeast"/>
          <w:jc w:val="center"/>
        </w:trPr>
        <w:tc>
          <w:tcPr>
            <w:tcW w:w="1261" w:type="dxa"/>
            <w:tcBorders>
              <w:tl2br w:val="nil"/>
              <w:tr2bl w:val="nil"/>
            </w:tcBorders>
            <w:shd w:val="clear" w:color="auto" w:fill="auto"/>
            <w:vAlign w:val="center"/>
          </w:tcPr>
          <w:p w14:paraId="1440C34D">
            <w:pPr>
              <w:widowControl/>
              <w:spacing w:line="240" w:lineRule="auto"/>
              <w:ind w:firstLine="0" w:firstLineChars="0"/>
              <w:jc w:val="center"/>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田间道路</w:t>
            </w:r>
          </w:p>
        </w:tc>
        <w:tc>
          <w:tcPr>
            <w:tcW w:w="3204" w:type="dxa"/>
            <w:tcBorders>
              <w:tl2br w:val="nil"/>
              <w:tr2bl w:val="nil"/>
            </w:tcBorders>
            <w:shd w:val="clear" w:color="auto" w:fill="auto"/>
            <w:vAlign w:val="center"/>
          </w:tcPr>
          <w:p w14:paraId="0A70D816">
            <w:pPr>
              <w:widowControl/>
              <w:spacing w:line="240" w:lineRule="auto"/>
              <w:ind w:firstLine="0" w:firstLineChars="0"/>
              <w:jc w:val="left"/>
              <w:textAlignment w:val="center"/>
              <w:rPr>
                <w:rFonts w:hint="default" w:ascii="Times New Roman" w:hAnsi="Times New Roman" w:eastAsia="仿宋" w:cs="Times New Roman"/>
                <w:bCs/>
                <w:color w:val="000000"/>
                <w:kern w:val="0"/>
                <w:sz w:val="24"/>
                <w:lang w:val="en-US" w:eastAsia="zh-CN"/>
              </w:rPr>
            </w:pPr>
            <w:r>
              <w:rPr>
                <w:rFonts w:hint="default" w:ascii="Times New Roman" w:hAnsi="Times New Roman" w:cs="Times New Roman"/>
                <w:bCs/>
                <w:color w:val="000000"/>
                <w:kern w:val="0"/>
                <w:sz w:val="24"/>
                <w:lang w:val="en-US" w:eastAsia="zh-CN"/>
              </w:rPr>
              <w:t>建设机耕道2.23km、建设生产道路8.54km、其他田间道路6.63km（道路补烂4.32km、田间道路加宽2.31km）</w:t>
            </w:r>
          </w:p>
        </w:tc>
        <w:tc>
          <w:tcPr>
            <w:tcW w:w="3410" w:type="dxa"/>
            <w:tcBorders>
              <w:tl2br w:val="nil"/>
              <w:tr2bl w:val="nil"/>
            </w:tcBorders>
            <w:shd w:val="clear" w:color="auto" w:fill="auto"/>
            <w:vAlign w:val="center"/>
          </w:tcPr>
          <w:p w14:paraId="1173F59B">
            <w:pPr>
              <w:widowControl/>
              <w:spacing w:line="240" w:lineRule="auto"/>
              <w:ind w:firstLine="0" w:firstLineChars="0"/>
              <w:jc w:val="left"/>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lang w:val="en-US" w:eastAsia="zh-CN"/>
              </w:rPr>
              <w:t>建设机耕道2.23km、建设生产道路8.54km、其他田间道路6.63km（道路补烂4.32km、田间道路加宽2.31km）</w:t>
            </w:r>
          </w:p>
        </w:tc>
        <w:tc>
          <w:tcPr>
            <w:tcW w:w="938" w:type="dxa"/>
            <w:tcBorders>
              <w:tl2br w:val="nil"/>
              <w:tr2bl w:val="nil"/>
            </w:tcBorders>
            <w:shd w:val="clear" w:color="auto" w:fill="auto"/>
            <w:vAlign w:val="center"/>
          </w:tcPr>
          <w:p w14:paraId="187D0B95">
            <w:pPr>
              <w:widowControl/>
              <w:spacing w:line="240" w:lineRule="auto"/>
              <w:ind w:firstLine="0" w:firstLineChars="0"/>
              <w:jc w:val="center"/>
              <w:textAlignment w:val="center"/>
              <w:rPr>
                <w:rFonts w:hint="default" w:ascii="Times New Roman" w:hAnsi="Times New Roman" w:cs="Times New Roman"/>
                <w:bCs/>
                <w:color w:val="000000"/>
                <w:kern w:val="0"/>
                <w:sz w:val="24"/>
              </w:rPr>
            </w:pPr>
            <w:r>
              <w:rPr>
                <w:rFonts w:hint="default" w:ascii="Times New Roman" w:hAnsi="Times New Roman" w:cs="Times New Roman"/>
                <w:bCs/>
                <w:color w:val="000000"/>
                <w:kern w:val="0"/>
                <w:sz w:val="24"/>
              </w:rPr>
              <w:t>100%</w:t>
            </w:r>
          </w:p>
        </w:tc>
      </w:tr>
    </w:tbl>
    <w:p w14:paraId="50D10D7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cs="Times New Roman"/>
          <w:b w:val="0"/>
          <w:bCs w:val="0"/>
          <w:szCs w:val="32"/>
        </w:rPr>
      </w:pPr>
      <w:r>
        <w:rPr>
          <w:rFonts w:hint="default" w:ascii="Times New Roman" w:hAnsi="Times New Roman" w:cs="Times New Roman"/>
          <w:b/>
          <w:bCs/>
          <w:szCs w:val="32"/>
          <w:lang w:val="en-US" w:eastAsia="zh-CN"/>
        </w:rPr>
        <w:t>2.产出</w:t>
      </w:r>
      <w:r>
        <w:rPr>
          <w:rFonts w:hint="default" w:ascii="Times New Roman" w:hAnsi="Times New Roman" w:cs="Times New Roman"/>
          <w:b/>
          <w:bCs/>
          <w:szCs w:val="32"/>
        </w:rPr>
        <w:t>质量</w:t>
      </w:r>
      <w:r>
        <w:rPr>
          <w:rFonts w:hint="default" w:ascii="Times New Roman" w:hAnsi="Times New Roman" w:cs="Times New Roman"/>
          <w:b/>
          <w:bCs/>
          <w:szCs w:val="32"/>
          <w:lang w:eastAsia="zh-CN"/>
        </w:rPr>
        <w:t>：</w:t>
      </w:r>
      <w:r>
        <w:rPr>
          <w:rFonts w:hint="default" w:ascii="Times New Roman" w:hAnsi="Times New Roman" w:cs="Times New Roman"/>
          <w:b w:val="0"/>
          <w:bCs w:val="0"/>
          <w:szCs w:val="32"/>
          <w:lang w:val="en-US" w:eastAsia="zh-CN"/>
        </w:rPr>
        <w:t>主要评价项目质量达标率情况。指标赋值10分，评价得分8分</w:t>
      </w:r>
      <w:r>
        <w:rPr>
          <w:rFonts w:hint="default" w:ascii="Times New Roman" w:hAnsi="Times New Roman" w:cs="Times New Roman"/>
          <w:b w:val="0"/>
          <w:bCs w:val="0"/>
          <w:szCs w:val="32"/>
        </w:rPr>
        <w:t>。</w:t>
      </w:r>
    </w:p>
    <w:p w14:paraId="1A60BD4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2312" w:cs="Times New Roman"/>
          <w:sz w:val="32"/>
          <w:szCs w:val="32"/>
          <w:highlight w:val="none"/>
          <w:lang w:val="en-US" w:eastAsia="zh-CN"/>
        </w:rPr>
      </w:pPr>
      <w:r>
        <w:rPr>
          <w:rFonts w:hint="default" w:ascii="Times New Roman" w:hAnsi="Times New Roman" w:eastAsia="方正仿宋_GB2312" w:cs="Times New Roman"/>
          <w:sz w:val="32"/>
          <w:szCs w:val="32"/>
          <w:highlight w:val="none"/>
          <w:lang w:val="en-US" w:eastAsia="zh-CN"/>
        </w:rPr>
        <w:t>工程质量标准严格执行《高标准农田建设通则》《灌溉与排水工程设计规范》《农田排水工程技术规范》等有关规程、规范。按照有关行业质量标准制定详细的评价方法和评定标准进行质量检查和评定并形成《质量安全检查记录表》，对项目质量实行无条件地检查和监督。</w:t>
      </w:r>
    </w:p>
    <w:p w14:paraId="758EEEE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2312" w:cs="Times New Roman"/>
          <w:b w:val="0"/>
          <w:bCs w:val="0"/>
          <w:sz w:val="32"/>
          <w:szCs w:val="32"/>
          <w:highlight w:val="none"/>
          <w:lang w:val="en-US" w:eastAsia="zh-CN"/>
        </w:rPr>
      </w:pPr>
      <w:r>
        <w:rPr>
          <w:rFonts w:hint="default" w:ascii="Times New Roman" w:hAnsi="Times New Roman" w:eastAsia="方正仿宋_GB2312" w:cs="Times New Roman"/>
          <w:b/>
          <w:bCs/>
          <w:sz w:val="32"/>
          <w:szCs w:val="32"/>
          <w:highlight w:val="none"/>
          <w:lang w:val="en-US" w:eastAsia="zh-CN"/>
        </w:rPr>
        <w:t>主要存在问题：</w:t>
      </w:r>
      <w:r>
        <w:rPr>
          <w:rFonts w:hint="default" w:ascii="Times New Roman" w:hAnsi="Times New Roman" w:eastAsia="仿宋" w:cs="Times New Roman"/>
          <w:b w:val="0"/>
          <w:bCs w:val="0"/>
          <w:sz w:val="32"/>
          <w:szCs w:val="32"/>
          <w:highlight w:val="none"/>
          <w:lang w:val="en-US" w:eastAsia="zh-CN"/>
        </w:rPr>
        <w:t>截至评价日项目未验收</w:t>
      </w:r>
      <w:r>
        <w:rPr>
          <w:rFonts w:hint="default" w:ascii="Times New Roman" w:hAnsi="Times New Roman" w:cs="Times New Roman"/>
          <w:b w:val="0"/>
          <w:bCs w:val="0"/>
          <w:sz w:val="32"/>
          <w:szCs w:val="32"/>
          <w:highlight w:val="none"/>
          <w:lang w:val="en-US" w:eastAsia="zh-CN"/>
        </w:rPr>
        <w:t>，其总体工程质量合格情况难以保证</w:t>
      </w:r>
      <w:r>
        <w:rPr>
          <w:rFonts w:hint="default" w:ascii="Times New Roman" w:hAnsi="Times New Roman" w:eastAsia="仿宋" w:cs="Times New Roman"/>
          <w:b w:val="0"/>
          <w:bCs w:val="0"/>
          <w:sz w:val="32"/>
          <w:szCs w:val="32"/>
          <w:highlight w:val="none"/>
          <w:lang w:val="en-US" w:eastAsia="zh-CN"/>
        </w:rPr>
        <w:t>。</w:t>
      </w:r>
      <w:r>
        <w:rPr>
          <w:rFonts w:hint="default" w:ascii="Times New Roman" w:hAnsi="Times New Roman" w:cs="Times New Roman"/>
          <w:b w:val="0"/>
          <w:bCs w:val="0"/>
          <w:sz w:val="32"/>
          <w:szCs w:val="32"/>
          <w:highlight w:val="none"/>
          <w:lang w:val="en-US" w:eastAsia="zh-CN"/>
        </w:rPr>
        <w:t>扣减2分</w:t>
      </w:r>
    </w:p>
    <w:p w14:paraId="2E7DADF9">
      <w:pPr>
        <w:pStyle w:val="2"/>
        <w:spacing w:line="560" w:lineRule="exact"/>
        <w:ind w:firstLine="643"/>
        <w:rPr>
          <w:rFonts w:hint="default" w:ascii="Times New Roman" w:hAnsi="Times New Roman" w:eastAsia="仿宋" w:cs="Times New Roman"/>
          <w:b w:val="0"/>
          <w:bCs w:val="0"/>
          <w:szCs w:val="32"/>
          <w:lang w:val="en-US" w:eastAsia="zh-CN"/>
        </w:rPr>
      </w:pPr>
      <w:r>
        <w:rPr>
          <w:rFonts w:hint="default" w:ascii="Times New Roman" w:hAnsi="Times New Roman" w:eastAsia="仿宋" w:cs="Times New Roman"/>
          <w:b/>
          <w:bCs/>
          <w:szCs w:val="32"/>
          <w:lang w:val="en-US" w:eastAsia="zh-CN"/>
        </w:rPr>
        <w:t>3.产出时效：</w:t>
      </w:r>
      <w:r>
        <w:rPr>
          <w:rFonts w:hint="default" w:ascii="Times New Roman" w:hAnsi="Times New Roman" w:eastAsia="仿宋" w:cs="Times New Roman"/>
          <w:b w:val="0"/>
          <w:bCs w:val="0"/>
          <w:szCs w:val="32"/>
          <w:lang w:val="en-US" w:eastAsia="zh-CN"/>
        </w:rPr>
        <w:t>主要评价项目完成及时率情况</w:t>
      </w:r>
      <w:r>
        <w:rPr>
          <w:rFonts w:hint="default" w:ascii="Times New Roman" w:hAnsi="Times New Roman" w:eastAsia="仿宋" w:cs="Times New Roman"/>
          <w:b w:val="0"/>
          <w:bCs w:val="0"/>
          <w:szCs w:val="32"/>
        </w:rPr>
        <w:t>。</w:t>
      </w:r>
      <w:r>
        <w:rPr>
          <w:rFonts w:hint="default" w:ascii="Times New Roman" w:hAnsi="Times New Roman" w:eastAsia="仿宋" w:cs="Times New Roman"/>
          <w:b w:val="0"/>
          <w:bCs w:val="0"/>
          <w:szCs w:val="32"/>
          <w:lang w:val="en-US" w:eastAsia="zh-CN"/>
        </w:rPr>
        <w:t>指标赋值7分，评价得分5分。</w:t>
      </w:r>
    </w:p>
    <w:p w14:paraId="7B1275A6">
      <w:pPr>
        <w:pStyle w:val="2"/>
        <w:spacing w:line="560" w:lineRule="exact"/>
        <w:ind w:firstLine="643"/>
        <w:rPr>
          <w:rFonts w:hint="default" w:ascii="Times New Roman" w:hAnsi="Times New Roman" w:eastAsia="仿宋" w:cs="Times New Roman"/>
          <w:color w:val="auto"/>
          <w:szCs w:val="32"/>
          <w:lang w:val="en-US" w:eastAsia="zh-CN"/>
        </w:rPr>
      </w:pPr>
      <w:r>
        <w:rPr>
          <w:rFonts w:hint="default" w:ascii="Times New Roman" w:hAnsi="Times New Roman" w:eastAsia="仿宋" w:cs="Times New Roman"/>
          <w:bCs/>
          <w:color w:val="auto"/>
          <w:szCs w:val="32"/>
        </w:rPr>
        <w:t>根据</w:t>
      </w:r>
      <w:r>
        <w:rPr>
          <w:rFonts w:hint="default" w:ascii="Times New Roman" w:hAnsi="Times New Roman" w:eastAsia="仿宋" w:cs="Times New Roman"/>
          <w:bCs/>
          <w:color w:val="auto"/>
          <w:szCs w:val="32"/>
          <w:lang w:val="en-US" w:eastAsia="zh-CN"/>
        </w:rPr>
        <w:t>德农农建〔2023〕9号文件批复，项目建设期限为2023年9月-12月，</w:t>
      </w:r>
      <w:r>
        <w:rPr>
          <w:rFonts w:hint="default" w:ascii="Times New Roman" w:hAnsi="Times New Roman" w:eastAsia="仿宋" w:cs="Times New Roman"/>
          <w:color w:val="auto"/>
          <w:szCs w:val="32"/>
          <w:lang w:val="en-US" w:eastAsia="zh-CN"/>
        </w:rPr>
        <w:t>罗江区农业农村局</w:t>
      </w:r>
      <w:r>
        <w:rPr>
          <w:rFonts w:hint="default" w:ascii="Times New Roman" w:hAnsi="Times New Roman" w:eastAsia="仿宋" w:cs="Times New Roman"/>
          <w:color w:val="auto"/>
          <w:szCs w:val="32"/>
        </w:rPr>
        <w:t>与</w:t>
      </w:r>
      <w:r>
        <w:rPr>
          <w:rFonts w:hint="default" w:ascii="Times New Roman" w:hAnsi="Times New Roman" w:eastAsia="仿宋" w:cs="Times New Roman"/>
          <w:color w:val="auto"/>
          <w:szCs w:val="32"/>
          <w:lang w:val="en-US" w:eastAsia="zh-CN"/>
        </w:rPr>
        <w:t>四川衡信建设</w:t>
      </w:r>
      <w:r>
        <w:rPr>
          <w:rFonts w:hint="default" w:ascii="Times New Roman" w:hAnsi="Times New Roman" w:eastAsia="仿宋" w:cs="Times New Roman"/>
          <w:color w:val="auto"/>
          <w:szCs w:val="32"/>
        </w:rPr>
        <w:t>工程有限公司于202</w:t>
      </w:r>
      <w:r>
        <w:rPr>
          <w:rFonts w:hint="default" w:ascii="Times New Roman" w:hAnsi="Times New Roman" w:eastAsia="仿宋" w:cs="Times New Roman"/>
          <w:color w:val="auto"/>
          <w:szCs w:val="32"/>
          <w:lang w:val="en-US" w:eastAsia="zh-CN"/>
        </w:rPr>
        <w:t>3</w:t>
      </w:r>
      <w:r>
        <w:rPr>
          <w:rFonts w:hint="default" w:ascii="Times New Roman" w:hAnsi="Times New Roman" w:eastAsia="仿宋" w:cs="Times New Roman"/>
          <w:color w:val="auto"/>
          <w:szCs w:val="32"/>
        </w:rPr>
        <w:t>年10月</w:t>
      </w:r>
      <w:r>
        <w:rPr>
          <w:rFonts w:hint="default" w:ascii="Times New Roman" w:hAnsi="Times New Roman" w:eastAsia="仿宋" w:cs="Times New Roman"/>
          <w:color w:val="auto"/>
          <w:szCs w:val="32"/>
          <w:lang w:val="en-US" w:eastAsia="zh-CN"/>
        </w:rPr>
        <w:t>16</w:t>
      </w:r>
      <w:r>
        <w:rPr>
          <w:rFonts w:hint="default" w:ascii="Times New Roman" w:hAnsi="Times New Roman" w:eastAsia="仿宋" w:cs="Times New Roman"/>
          <w:color w:val="auto"/>
          <w:szCs w:val="32"/>
        </w:rPr>
        <w:t>日签订的</w:t>
      </w:r>
      <w:r>
        <w:rPr>
          <w:rFonts w:hint="default" w:ascii="Times New Roman" w:hAnsi="Times New Roman" w:eastAsia="仿宋" w:cs="Times New Roman"/>
          <w:color w:val="auto"/>
        </w:rPr>
        <w:t>高标准农田建设项目施工合同，</w:t>
      </w:r>
      <w:r>
        <w:rPr>
          <w:rFonts w:hint="default" w:ascii="Times New Roman" w:hAnsi="Times New Roman" w:eastAsia="仿宋" w:cs="Times New Roman"/>
          <w:color w:val="auto"/>
          <w:szCs w:val="32"/>
        </w:rPr>
        <w:t>项目计划开工日期为202</w:t>
      </w:r>
      <w:r>
        <w:rPr>
          <w:rFonts w:hint="default" w:ascii="Times New Roman" w:hAnsi="Times New Roman" w:eastAsia="仿宋" w:cs="Times New Roman"/>
          <w:color w:val="auto"/>
          <w:szCs w:val="32"/>
          <w:lang w:val="en-US" w:eastAsia="zh-CN"/>
        </w:rPr>
        <w:t>3</w:t>
      </w:r>
      <w:r>
        <w:rPr>
          <w:rFonts w:hint="default" w:ascii="Times New Roman" w:hAnsi="Times New Roman" w:eastAsia="仿宋" w:cs="Times New Roman"/>
          <w:color w:val="auto"/>
          <w:szCs w:val="32"/>
        </w:rPr>
        <w:t>年10月</w:t>
      </w:r>
      <w:r>
        <w:rPr>
          <w:rFonts w:hint="default" w:ascii="Times New Roman" w:hAnsi="Times New Roman" w:eastAsia="仿宋" w:cs="Times New Roman"/>
          <w:color w:val="auto"/>
          <w:szCs w:val="32"/>
          <w:lang w:val="en-US" w:eastAsia="zh-CN"/>
        </w:rPr>
        <w:t>18日</w:t>
      </w:r>
      <w:r>
        <w:rPr>
          <w:rFonts w:hint="default" w:ascii="Times New Roman" w:hAnsi="Times New Roman" w:eastAsia="仿宋" w:cs="Times New Roman"/>
          <w:color w:val="auto"/>
          <w:szCs w:val="32"/>
        </w:rPr>
        <w:t>，计划竣工日期为202</w:t>
      </w:r>
      <w:r>
        <w:rPr>
          <w:rFonts w:hint="default" w:ascii="Times New Roman" w:hAnsi="Times New Roman" w:eastAsia="仿宋" w:cs="Times New Roman"/>
          <w:color w:val="auto"/>
          <w:szCs w:val="32"/>
          <w:lang w:val="en-US" w:eastAsia="zh-CN"/>
        </w:rPr>
        <w:t>4</w:t>
      </w:r>
      <w:r>
        <w:rPr>
          <w:rFonts w:hint="default" w:ascii="Times New Roman" w:hAnsi="Times New Roman" w:eastAsia="仿宋" w:cs="Times New Roman"/>
          <w:color w:val="auto"/>
          <w:szCs w:val="32"/>
        </w:rPr>
        <w:t>年</w:t>
      </w:r>
      <w:r>
        <w:rPr>
          <w:rFonts w:hint="default" w:ascii="Times New Roman" w:hAnsi="Times New Roman" w:eastAsia="仿宋" w:cs="Times New Roman"/>
          <w:color w:val="auto"/>
          <w:szCs w:val="32"/>
          <w:lang w:val="en-US" w:eastAsia="zh-CN"/>
        </w:rPr>
        <w:t>1</w:t>
      </w:r>
      <w:r>
        <w:rPr>
          <w:rFonts w:hint="default" w:ascii="Times New Roman" w:hAnsi="Times New Roman" w:eastAsia="仿宋" w:cs="Times New Roman"/>
          <w:color w:val="auto"/>
          <w:szCs w:val="32"/>
        </w:rPr>
        <w:t>月</w:t>
      </w:r>
      <w:r>
        <w:rPr>
          <w:rFonts w:hint="default" w:ascii="Times New Roman" w:hAnsi="Times New Roman" w:eastAsia="仿宋" w:cs="Times New Roman"/>
          <w:color w:val="auto"/>
          <w:szCs w:val="32"/>
          <w:lang w:val="en-US" w:eastAsia="zh-CN"/>
        </w:rPr>
        <w:t>16日，总工期90天。《四川省德阳市罗江区2023年高标准农田改造提升项目实施方案》计划2024年1月—2月建安工程初检及整改、2024年3月项目审计、竣工结算及区级验收。2024年4月底以前完成软件资料归档立卷及上图入库工作。但</w:t>
      </w:r>
      <w:r>
        <w:rPr>
          <w:rFonts w:hint="default" w:ascii="Times New Roman" w:hAnsi="Times New Roman" w:eastAsia="仿宋" w:cs="Times New Roman"/>
          <w:color w:val="auto"/>
          <w:szCs w:val="32"/>
          <w:lang w:eastAsia="zh-CN"/>
        </w:rPr>
        <w:t>截至</w:t>
      </w:r>
      <w:r>
        <w:rPr>
          <w:rFonts w:hint="default" w:ascii="Times New Roman" w:hAnsi="Times New Roman" w:eastAsia="仿宋" w:cs="Times New Roman"/>
          <w:color w:val="auto"/>
          <w:szCs w:val="32"/>
          <w:lang w:val="en-US" w:eastAsia="zh-CN"/>
        </w:rPr>
        <w:t>评价日，项目尚未竣工验收，综合扣减2分。</w:t>
      </w:r>
    </w:p>
    <w:p w14:paraId="6EE487C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 w:cs="Times New Roman"/>
          <w:b w:val="0"/>
          <w:bCs w:val="0"/>
          <w:color w:val="auto"/>
          <w:szCs w:val="32"/>
          <w:highlight w:val="none"/>
          <w:lang w:val="en-US" w:eastAsia="zh-CN"/>
        </w:rPr>
      </w:pPr>
      <w:r>
        <w:rPr>
          <w:rFonts w:hint="default" w:ascii="Times New Roman" w:hAnsi="Times New Roman" w:eastAsia="仿宋" w:cs="Times New Roman"/>
          <w:b/>
          <w:bCs/>
          <w:color w:val="auto"/>
          <w:szCs w:val="32"/>
          <w:lang w:val="en-US" w:eastAsia="zh-CN"/>
        </w:rPr>
        <w:t>4.产出</w:t>
      </w:r>
      <w:r>
        <w:rPr>
          <w:rFonts w:hint="default" w:ascii="Times New Roman" w:hAnsi="Times New Roman" w:eastAsia="仿宋" w:cs="Times New Roman"/>
          <w:b/>
          <w:bCs/>
          <w:color w:val="auto"/>
          <w:szCs w:val="32"/>
        </w:rPr>
        <w:t>成本</w:t>
      </w:r>
      <w:r>
        <w:rPr>
          <w:rFonts w:hint="default" w:ascii="Times New Roman" w:hAnsi="Times New Roman" w:eastAsia="仿宋" w:cs="Times New Roman"/>
          <w:b/>
          <w:bCs/>
          <w:color w:val="auto"/>
          <w:szCs w:val="32"/>
          <w:lang w:eastAsia="zh-CN"/>
        </w:rPr>
        <w:t>：</w:t>
      </w:r>
      <w:r>
        <w:rPr>
          <w:rFonts w:hint="default" w:ascii="Times New Roman" w:hAnsi="Times New Roman" w:eastAsia="仿宋" w:cs="Times New Roman"/>
          <w:b w:val="0"/>
          <w:bCs w:val="0"/>
          <w:color w:val="auto"/>
          <w:szCs w:val="32"/>
          <w:lang w:val="en-US" w:eastAsia="zh-CN"/>
        </w:rPr>
        <w:t>主要评价项目总成本偏离度、单项成本偏离度</w:t>
      </w:r>
      <w:r>
        <w:rPr>
          <w:rFonts w:hint="default" w:ascii="Times New Roman" w:hAnsi="Times New Roman" w:eastAsia="仿宋" w:cs="Times New Roman"/>
          <w:b w:val="0"/>
          <w:bCs w:val="0"/>
          <w:color w:val="auto"/>
          <w:szCs w:val="32"/>
          <w:highlight w:val="none"/>
          <w:lang w:val="en-US" w:eastAsia="zh-CN"/>
        </w:rPr>
        <w:t>情况</w:t>
      </w:r>
      <w:r>
        <w:rPr>
          <w:rFonts w:hint="default" w:ascii="Times New Roman" w:hAnsi="Times New Roman" w:eastAsia="仿宋" w:cs="Times New Roman"/>
          <w:b w:val="0"/>
          <w:bCs w:val="0"/>
          <w:color w:val="auto"/>
          <w:szCs w:val="32"/>
          <w:highlight w:val="none"/>
        </w:rPr>
        <w:t>。</w:t>
      </w:r>
      <w:r>
        <w:rPr>
          <w:rFonts w:hint="default" w:ascii="Times New Roman" w:hAnsi="Times New Roman" w:eastAsia="仿宋" w:cs="Times New Roman"/>
          <w:b w:val="0"/>
          <w:bCs w:val="0"/>
          <w:color w:val="auto"/>
          <w:szCs w:val="32"/>
          <w:highlight w:val="none"/>
          <w:lang w:val="en-US" w:eastAsia="zh-CN"/>
        </w:rPr>
        <w:t>指标赋值6分，评价得分2分。</w:t>
      </w:r>
    </w:p>
    <w:p w14:paraId="6FDD3A8B">
      <w:pPr>
        <w:pStyle w:val="2"/>
        <w:numPr>
          <w:ilvl w:val="0"/>
          <w:numId w:val="0"/>
        </w:num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 w:cs="Times New Roman"/>
          <w:b w:val="0"/>
          <w:bCs w:val="0"/>
          <w:color w:val="auto"/>
          <w:szCs w:val="32"/>
          <w:highlight w:val="none"/>
          <w:lang w:val="en-US" w:eastAsia="zh-CN"/>
        </w:rPr>
        <w:t>项目计划总投资2968.68万元，实际签订合同总金额2370.01万元。由于项目尚未进行决算，审定金额未确定。评价组以计划投资额与合同总金额对比，总成本偏离度为20.17%，项目整体成本控制情况较差。项目单项成本包括工程、设计、监理、代理、管理费等。其中：项目工程概算2367.86万元，合同签订金额2305.78万元，工程单项成本偏离度为2.62%，项目成本控制基本合理。</w:t>
      </w:r>
    </w:p>
    <w:p w14:paraId="48EE3584">
      <w:pPr>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仿宋" w:cs="Times New Roman"/>
          <w:lang w:val="en-US" w:eastAsia="zh-CN"/>
        </w:rPr>
      </w:pPr>
      <w:r>
        <w:rPr>
          <w:rFonts w:hint="default" w:ascii="Times New Roman" w:hAnsi="Times New Roman" w:cs="Times New Roman"/>
          <w:b/>
          <w:bCs/>
          <w:lang w:val="en-US" w:eastAsia="zh-CN"/>
        </w:rPr>
        <w:t>主要存在问题：</w:t>
      </w:r>
      <w:r>
        <w:rPr>
          <w:rFonts w:hint="default" w:ascii="Times New Roman" w:hAnsi="Times New Roman" w:cs="Times New Roman"/>
          <w:b w:val="0"/>
          <w:bCs w:val="0"/>
          <w:lang w:val="en-US" w:eastAsia="zh-CN"/>
        </w:rPr>
        <w:t>项目总</w:t>
      </w:r>
      <w:r>
        <w:rPr>
          <w:rFonts w:hint="default" w:ascii="Times New Roman" w:hAnsi="Times New Roman" w:cs="Times New Roman"/>
          <w:lang w:val="en-US" w:eastAsia="zh-CN"/>
        </w:rPr>
        <w:t>成本偏离度较高，成本控制情况较差；2023年高标准农田建设项目资金2500万元仅8.82万元用于当年高标准农田建设，项目支出当年金额比例较低，详见表1-3。综合扣减4分</w:t>
      </w:r>
    </w:p>
    <w:p w14:paraId="57ED28E0">
      <w:pPr>
        <w:pStyle w:val="4"/>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rPr>
      </w:pPr>
      <w:bookmarkStart w:id="102" w:name="_Toc2110"/>
      <w:bookmarkStart w:id="103" w:name="_Toc31490"/>
      <w:r>
        <w:rPr>
          <w:rFonts w:hint="default" w:ascii="Times New Roman" w:hAnsi="Times New Roman" w:cs="Times New Roman"/>
          <w:lang w:eastAsia="zh-CN"/>
        </w:rPr>
        <w:t>（</w:t>
      </w:r>
      <w:r>
        <w:rPr>
          <w:rFonts w:hint="default" w:ascii="Times New Roman" w:hAnsi="Times New Roman" w:cs="Times New Roman"/>
          <w:lang w:val="en-US" w:eastAsia="zh-CN"/>
        </w:rPr>
        <w:t>四</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val="en-US" w:eastAsia="zh-CN"/>
        </w:rPr>
        <w:t>类</w:t>
      </w:r>
      <w:r>
        <w:rPr>
          <w:rFonts w:hint="default" w:ascii="Times New Roman" w:hAnsi="Times New Roman" w:cs="Times New Roman"/>
        </w:rPr>
        <w:t>指标</w:t>
      </w:r>
      <w:bookmarkEnd w:id="102"/>
    </w:p>
    <w:p w14:paraId="6FE4520B">
      <w:pPr>
        <w:pageBreakBefore w:val="0"/>
        <w:widowControl w:val="0"/>
        <w:kinsoku/>
        <w:wordWrap/>
        <w:topLinePunct w:val="0"/>
        <w:autoSpaceDE/>
        <w:autoSpaceDN/>
        <w:bidi w:val="0"/>
        <w:adjustRightInd w:val="0"/>
        <w:snapToGrid w:val="0"/>
        <w:spacing w:line="560" w:lineRule="exact"/>
        <w:ind w:firstLine="643"/>
        <w:textAlignment w:val="auto"/>
        <w:rPr>
          <w:rFonts w:hint="default" w:ascii="Times New Roman" w:hAnsi="Times New Roman" w:cs="Times New Roman"/>
          <w:szCs w:val="32"/>
        </w:rPr>
      </w:pPr>
      <w:r>
        <w:rPr>
          <w:rFonts w:hint="default" w:ascii="Times New Roman" w:hAnsi="Times New Roman" w:cs="Times New Roman"/>
          <w:szCs w:val="32"/>
        </w:rPr>
        <w:t>主要评价项目实施</w:t>
      </w:r>
      <w:r>
        <w:rPr>
          <w:rFonts w:hint="default" w:ascii="Times New Roman" w:hAnsi="Times New Roman" w:cs="Times New Roman"/>
          <w:szCs w:val="32"/>
          <w:lang w:val="en-US" w:eastAsia="zh-CN"/>
        </w:rPr>
        <w:t>社会</w:t>
      </w:r>
      <w:r>
        <w:rPr>
          <w:rFonts w:hint="default" w:ascii="Times New Roman" w:hAnsi="Times New Roman" w:cs="Times New Roman"/>
          <w:bCs/>
          <w:szCs w:val="32"/>
        </w:rPr>
        <w:t>效益</w:t>
      </w:r>
      <w:r>
        <w:rPr>
          <w:rFonts w:hint="default" w:ascii="Times New Roman" w:hAnsi="Times New Roman" w:cs="Times New Roman"/>
          <w:bCs/>
          <w:szCs w:val="32"/>
          <w:lang w:eastAsia="zh-CN"/>
        </w:rPr>
        <w:t>、</w:t>
      </w:r>
      <w:r>
        <w:rPr>
          <w:rFonts w:hint="default" w:ascii="Times New Roman" w:hAnsi="Times New Roman" w:cs="Times New Roman"/>
          <w:bCs/>
          <w:szCs w:val="32"/>
          <w:lang w:val="en-US" w:eastAsia="zh-CN"/>
        </w:rPr>
        <w:t>经济效益、生态效益、可持续性影响</w:t>
      </w:r>
      <w:r>
        <w:rPr>
          <w:rFonts w:hint="default" w:ascii="Times New Roman" w:hAnsi="Times New Roman" w:cs="Times New Roman"/>
          <w:bCs/>
          <w:szCs w:val="32"/>
        </w:rPr>
        <w:t>和服务对象满意度情况</w:t>
      </w:r>
      <w:r>
        <w:rPr>
          <w:rFonts w:hint="default" w:ascii="Times New Roman" w:hAnsi="Times New Roman" w:cs="Times New Roman"/>
          <w:szCs w:val="32"/>
        </w:rPr>
        <w:t>。指标赋值</w:t>
      </w:r>
      <w:r>
        <w:rPr>
          <w:rFonts w:hint="default" w:ascii="Times New Roman" w:hAnsi="Times New Roman" w:cs="Times New Roman"/>
          <w:szCs w:val="32"/>
          <w:lang w:val="en-US" w:eastAsia="zh-CN"/>
        </w:rPr>
        <w:t>30</w:t>
      </w:r>
      <w:r>
        <w:rPr>
          <w:rFonts w:hint="default" w:ascii="Times New Roman" w:hAnsi="Times New Roman" w:cs="Times New Roman"/>
          <w:szCs w:val="32"/>
        </w:rPr>
        <w:t>分，综合得分</w:t>
      </w:r>
      <w:r>
        <w:rPr>
          <w:rFonts w:hint="default" w:ascii="Times New Roman" w:hAnsi="Times New Roman" w:cs="Times New Roman"/>
          <w:szCs w:val="32"/>
          <w:lang w:val="en-US" w:eastAsia="zh-CN"/>
        </w:rPr>
        <w:t>30</w:t>
      </w:r>
      <w:r>
        <w:rPr>
          <w:rFonts w:hint="default" w:ascii="Times New Roman" w:hAnsi="Times New Roman" w:cs="Times New Roman"/>
          <w:szCs w:val="32"/>
        </w:rPr>
        <w:t>分。</w:t>
      </w:r>
    </w:p>
    <w:p w14:paraId="626D4A4A">
      <w:pPr>
        <w:overflowPunct w:val="0"/>
        <w:spacing w:line="560" w:lineRule="exact"/>
        <w:ind w:firstLine="643"/>
        <w:rPr>
          <w:rFonts w:hint="default" w:ascii="Times New Roman" w:hAnsi="Times New Roman" w:cs="Times New Roman"/>
          <w:b w:val="0"/>
          <w:bCs w:val="0"/>
          <w:lang w:val="en-US" w:eastAsia="zh-CN"/>
        </w:rPr>
      </w:pPr>
      <w:r>
        <w:rPr>
          <w:rFonts w:hint="default" w:ascii="Times New Roman" w:hAnsi="Times New Roman" w:cs="Times New Roman"/>
          <w:b/>
          <w:bCs/>
          <w:szCs w:val="32"/>
          <w:lang w:val="en-US" w:eastAsia="zh-CN"/>
        </w:rPr>
        <w:t>1.</w:t>
      </w:r>
      <w:r>
        <w:rPr>
          <w:rFonts w:hint="default" w:ascii="Times New Roman" w:hAnsi="Times New Roman" w:cs="Times New Roman"/>
          <w:b/>
          <w:bCs/>
          <w:szCs w:val="32"/>
        </w:rPr>
        <w:t>社会效益</w:t>
      </w:r>
      <w:r>
        <w:rPr>
          <w:rFonts w:hint="default" w:ascii="Times New Roman" w:hAnsi="Times New Roman" w:cs="Times New Roman"/>
          <w:b/>
          <w:bCs/>
          <w:szCs w:val="32"/>
          <w:lang w:eastAsia="zh-CN"/>
        </w:rPr>
        <w:t>：</w:t>
      </w:r>
      <w:r>
        <w:rPr>
          <w:rFonts w:hint="default" w:ascii="Times New Roman" w:hAnsi="Times New Roman" w:cs="Times New Roman"/>
          <w:b w:val="0"/>
          <w:bCs w:val="0"/>
          <w:lang w:val="en-US" w:eastAsia="zh-CN"/>
        </w:rPr>
        <w:t>指标赋值6分，评价得分6分。</w:t>
      </w:r>
    </w:p>
    <w:p w14:paraId="68B58BB0">
      <w:pPr>
        <w:overflowPunct w:val="0"/>
        <w:spacing w:line="560" w:lineRule="exact"/>
        <w:ind w:firstLine="643"/>
        <w:rPr>
          <w:rFonts w:hint="default" w:ascii="Times New Roman" w:hAnsi="Times New Roman" w:cs="Times New Roman"/>
          <w:szCs w:val="32"/>
        </w:rPr>
      </w:pPr>
      <w:r>
        <w:rPr>
          <w:rFonts w:hint="default" w:ascii="Times New Roman" w:hAnsi="Times New Roman" w:cs="Times New Roman"/>
          <w:szCs w:val="32"/>
        </w:rPr>
        <w:t>通过高标准农田建设，给区域农田水利注入了新的活力，进一步提高了灌排建筑物的配套率，并通过科学技术措施应用，</w:t>
      </w:r>
      <w:r>
        <w:rPr>
          <w:rFonts w:hint="default" w:ascii="Times New Roman" w:hAnsi="Times New Roman" w:cs="Times New Roman"/>
          <w:szCs w:val="32"/>
          <w:lang w:val="en-US" w:eastAsia="zh-CN"/>
        </w:rPr>
        <w:t>有效</w:t>
      </w:r>
      <w:r>
        <w:rPr>
          <w:rFonts w:hint="default" w:ascii="Times New Roman" w:hAnsi="Times New Roman" w:cs="Times New Roman"/>
          <w:szCs w:val="32"/>
        </w:rPr>
        <w:t>改善了农业生产环境与基础条件，促进农田水利再上新台阶，有利于逐步实现传统农业向现代农业转变。</w:t>
      </w:r>
    </w:p>
    <w:p w14:paraId="7FD0B78A">
      <w:pPr>
        <w:pStyle w:val="2"/>
        <w:spacing w:line="560" w:lineRule="exact"/>
        <w:ind w:firstLine="643"/>
        <w:rPr>
          <w:rFonts w:hint="default" w:ascii="Times New Roman" w:hAnsi="Times New Roman" w:eastAsia="仿宋" w:cs="Times New Roman"/>
          <w:b/>
          <w:bCs/>
          <w:lang w:val="en-US" w:eastAsia="zh-CN"/>
        </w:rPr>
      </w:pPr>
      <w:r>
        <w:rPr>
          <w:rFonts w:hint="default" w:ascii="Times New Roman" w:hAnsi="Times New Roman" w:eastAsia="仿宋" w:cs="Times New Roman"/>
          <w:b/>
          <w:bCs/>
          <w:lang w:val="en-US" w:eastAsia="zh-CN"/>
        </w:rPr>
        <w:t>2.</w:t>
      </w:r>
      <w:r>
        <w:rPr>
          <w:rFonts w:hint="default" w:ascii="Times New Roman" w:hAnsi="Times New Roman" w:eastAsia="仿宋" w:cs="Times New Roman"/>
          <w:b/>
          <w:bCs/>
        </w:rPr>
        <w:t>经济效益</w:t>
      </w:r>
      <w:r>
        <w:rPr>
          <w:rFonts w:hint="default" w:ascii="Times New Roman" w:hAnsi="Times New Roman" w:eastAsia="仿宋" w:cs="Times New Roman"/>
          <w:b/>
          <w:bCs/>
          <w:lang w:eastAsia="zh-CN"/>
        </w:rPr>
        <w:t>：</w:t>
      </w:r>
      <w:r>
        <w:rPr>
          <w:rFonts w:hint="default" w:ascii="Times New Roman" w:hAnsi="Times New Roman" w:eastAsia="仿宋" w:cs="Times New Roman"/>
          <w:b w:val="0"/>
          <w:bCs w:val="0"/>
          <w:lang w:val="en-US" w:eastAsia="zh-CN"/>
        </w:rPr>
        <w:t>指标赋值6分，评价得分6分。</w:t>
      </w:r>
    </w:p>
    <w:p w14:paraId="58047CA9">
      <w:pPr>
        <w:pStyle w:val="2"/>
        <w:spacing w:line="560" w:lineRule="exact"/>
        <w:ind w:firstLine="643"/>
        <w:rPr>
          <w:rFonts w:hint="default" w:ascii="Times New Roman" w:hAnsi="Times New Roman" w:eastAsia="仿宋" w:cs="Times New Roman"/>
          <w:szCs w:val="32"/>
        </w:rPr>
      </w:pPr>
      <w:r>
        <w:rPr>
          <w:rFonts w:hint="default" w:ascii="Times New Roman" w:hAnsi="Times New Roman" w:eastAsia="仿宋" w:cs="Times New Roman"/>
          <w:szCs w:val="32"/>
        </w:rPr>
        <w:t>通过高标准农田示范工程的建设，农田基础设施条件得到较大改善，提高了农田灌溉设计保证率、农田抗旱能力、农作物产量和品质，从而促进农业增产、农民增收，粮食及经济作物产量明显增加，农村经济得到快速发展，切实把农民增收落到了实处。</w:t>
      </w:r>
    </w:p>
    <w:p w14:paraId="0FECE70C">
      <w:pPr>
        <w:overflowPunct w:val="0"/>
        <w:spacing w:line="560" w:lineRule="exact"/>
        <w:ind w:firstLine="643"/>
        <w:rPr>
          <w:rFonts w:hint="default" w:ascii="Times New Roman" w:hAnsi="Times New Roman" w:cs="Times New Roman"/>
          <w:b w:val="0"/>
          <w:bCs w:val="0"/>
          <w:szCs w:val="32"/>
        </w:rPr>
      </w:pPr>
      <w:r>
        <w:rPr>
          <w:rFonts w:hint="default" w:ascii="Times New Roman" w:hAnsi="Times New Roman" w:cs="Times New Roman"/>
          <w:b/>
          <w:bCs/>
          <w:szCs w:val="32"/>
          <w:lang w:val="en-US" w:eastAsia="zh-CN"/>
        </w:rPr>
        <w:t>3.</w:t>
      </w:r>
      <w:r>
        <w:rPr>
          <w:rFonts w:hint="default" w:ascii="Times New Roman" w:hAnsi="Times New Roman" w:cs="Times New Roman"/>
          <w:b/>
          <w:bCs/>
          <w:szCs w:val="32"/>
        </w:rPr>
        <w:t>生态效益</w:t>
      </w:r>
      <w:r>
        <w:rPr>
          <w:rFonts w:hint="default" w:ascii="Times New Roman" w:hAnsi="Times New Roman" w:cs="Times New Roman"/>
          <w:b/>
          <w:bCs/>
          <w:szCs w:val="32"/>
          <w:lang w:eastAsia="zh-CN"/>
        </w:rPr>
        <w:t>：</w:t>
      </w:r>
      <w:r>
        <w:rPr>
          <w:rFonts w:hint="default" w:ascii="Times New Roman" w:hAnsi="Times New Roman" w:cs="Times New Roman"/>
          <w:b w:val="0"/>
          <w:bCs w:val="0"/>
          <w:szCs w:val="32"/>
          <w:lang w:val="en-US" w:eastAsia="zh-CN"/>
        </w:rPr>
        <w:t>指标赋值6分，评价得分6分</w:t>
      </w:r>
      <w:r>
        <w:rPr>
          <w:rFonts w:hint="default" w:ascii="Times New Roman" w:hAnsi="Times New Roman" w:cs="Times New Roman"/>
          <w:b w:val="0"/>
          <w:bCs w:val="0"/>
          <w:szCs w:val="32"/>
        </w:rPr>
        <w:t>。</w:t>
      </w:r>
    </w:p>
    <w:p w14:paraId="1A05C235">
      <w:pPr>
        <w:overflowPunct w:val="0"/>
        <w:spacing w:line="560" w:lineRule="exact"/>
        <w:ind w:firstLine="643"/>
        <w:rPr>
          <w:rFonts w:hint="default" w:ascii="Times New Roman" w:hAnsi="Times New Roman" w:cs="Times New Roman"/>
          <w:szCs w:val="32"/>
        </w:rPr>
      </w:pPr>
      <w:r>
        <w:rPr>
          <w:rFonts w:hint="default" w:ascii="Times New Roman" w:hAnsi="Times New Roman" w:cs="Times New Roman"/>
          <w:b w:val="0"/>
          <w:bCs w:val="0"/>
          <w:szCs w:val="32"/>
        </w:rPr>
        <w:t>高标</w:t>
      </w:r>
      <w:r>
        <w:rPr>
          <w:rFonts w:hint="default" w:ascii="Times New Roman" w:hAnsi="Times New Roman" w:cs="Times New Roman"/>
          <w:szCs w:val="32"/>
        </w:rPr>
        <w:t>准农田建设是生态灌区建设的需要。进行高标准农田建设的同时，推广农业节水灌溉和科学施肥、用药，有效减少了农田水分流失量和农田降雨期的排水量，避免农田中化肥、农药等有害物质的流失，从而减轻农业面污染源负荷量，有利于地区水环境的改善。</w:t>
      </w:r>
    </w:p>
    <w:p w14:paraId="437AA001">
      <w:pPr>
        <w:spacing w:line="560" w:lineRule="exact"/>
        <w:ind w:firstLine="643"/>
        <w:rPr>
          <w:rFonts w:hint="default" w:ascii="Times New Roman" w:hAnsi="Times New Roman" w:cs="Times New Roman"/>
          <w:b w:val="0"/>
          <w:bCs w:val="0"/>
          <w:szCs w:val="32"/>
        </w:rPr>
      </w:pPr>
      <w:r>
        <w:rPr>
          <w:rFonts w:hint="default" w:ascii="Times New Roman" w:hAnsi="Times New Roman" w:cs="Times New Roman"/>
          <w:b/>
          <w:bCs/>
          <w:szCs w:val="32"/>
          <w:lang w:val="en-US" w:eastAsia="zh-CN"/>
        </w:rPr>
        <w:t>4.</w:t>
      </w:r>
      <w:r>
        <w:rPr>
          <w:rFonts w:hint="default" w:ascii="Times New Roman" w:hAnsi="Times New Roman" w:cs="Times New Roman"/>
          <w:b/>
          <w:bCs/>
          <w:szCs w:val="32"/>
        </w:rPr>
        <w:t>可持续影响</w:t>
      </w:r>
      <w:r>
        <w:rPr>
          <w:rFonts w:hint="default" w:ascii="Times New Roman" w:hAnsi="Times New Roman" w:cs="Times New Roman"/>
          <w:b/>
          <w:bCs/>
          <w:szCs w:val="32"/>
          <w:lang w:eastAsia="zh-CN"/>
        </w:rPr>
        <w:t>：</w:t>
      </w:r>
      <w:r>
        <w:rPr>
          <w:rFonts w:hint="default" w:ascii="Times New Roman" w:hAnsi="Times New Roman" w:cs="Times New Roman"/>
          <w:b w:val="0"/>
          <w:bCs w:val="0"/>
          <w:szCs w:val="32"/>
          <w:lang w:val="en-US" w:eastAsia="zh-CN"/>
        </w:rPr>
        <w:t>指标赋值6分，评价得分6分</w:t>
      </w:r>
      <w:r>
        <w:rPr>
          <w:rFonts w:hint="default" w:ascii="Times New Roman" w:hAnsi="Times New Roman" w:cs="Times New Roman"/>
          <w:b w:val="0"/>
          <w:bCs w:val="0"/>
          <w:szCs w:val="32"/>
        </w:rPr>
        <w:t>。</w:t>
      </w:r>
    </w:p>
    <w:p w14:paraId="68856404">
      <w:pPr>
        <w:spacing w:line="560" w:lineRule="exact"/>
        <w:ind w:firstLine="643"/>
        <w:rPr>
          <w:rFonts w:hint="default" w:ascii="Times New Roman" w:hAnsi="Times New Roman" w:cs="Times New Roman"/>
          <w:szCs w:val="32"/>
        </w:rPr>
      </w:pPr>
      <w:r>
        <w:rPr>
          <w:rFonts w:hint="default" w:ascii="Times New Roman" w:hAnsi="Times New Roman" w:cs="Times New Roman"/>
          <w:bCs/>
          <w:szCs w:val="32"/>
        </w:rPr>
        <w:t>项目</w:t>
      </w:r>
      <w:r>
        <w:rPr>
          <w:rFonts w:hint="default" w:ascii="Times New Roman" w:hAnsi="Times New Roman" w:cs="Times New Roman"/>
          <w:szCs w:val="32"/>
        </w:rPr>
        <w:t>实施后，在改善农田基础设施条件，提升耕地质量和粮食综合生产能力，促进现代农业的发展及帮助农民增产增收等方面效益初显，符合时代的发展需求，在可预见时期内具有一定的不可替代性，具备中长期内的持续影响。</w:t>
      </w:r>
    </w:p>
    <w:p w14:paraId="34CEB5E7">
      <w:pPr>
        <w:spacing w:line="560" w:lineRule="exact"/>
        <w:ind w:firstLine="643"/>
        <w:rPr>
          <w:rFonts w:hint="default" w:ascii="Times New Roman" w:hAnsi="Times New Roman" w:cs="Times New Roman"/>
          <w:b w:val="0"/>
          <w:bCs/>
        </w:rPr>
      </w:pPr>
      <w:r>
        <w:rPr>
          <w:rFonts w:hint="default" w:ascii="Times New Roman" w:hAnsi="Times New Roman" w:cs="Times New Roman"/>
          <w:b/>
          <w:lang w:val="en-US" w:eastAsia="zh-CN"/>
        </w:rPr>
        <w:t>5.服务对象</w:t>
      </w:r>
      <w:r>
        <w:rPr>
          <w:rFonts w:hint="default" w:ascii="Times New Roman" w:hAnsi="Times New Roman" w:cs="Times New Roman"/>
          <w:b/>
        </w:rPr>
        <w:t>满意度</w:t>
      </w:r>
      <w:r>
        <w:rPr>
          <w:rFonts w:hint="default" w:ascii="Times New Roman" w:hAnsi="Times New Roman" w:cs="Times New Roman"/>
          <w:b/>
          <w:lang w:eastAsia="zh-CN"/>
        </w:rPr>
        <w:t>：</w:t>
      </w:r>
      <w:r>
        <w:rPr>
          <w:rFonts w:hint="default" w:ascii="Times New Roman" w:hAnsi="Times New Roman" w:cs="Times New Roman"/>
          <w:b w:val="0"/>
          <w:bCs/>
          <w:lang w:val="en-US" w:eastAsia="zh-CN"/>
        </w:rPr>
        <w:t>指标赋值6分，评价得分6分</w:t>
      </w:r>
      <w:r>
        <w:rPr>
          <w:rFonts w:hint="default" w:ascii="Times New Roman" w:hAnsi="Times New Roman" w:cs="Times New Roman"/>
          <w:b w:val="0"/>
          <w:bCs/>
        </w:rPr>
        <w:t>。</w:t>
      </w:r>
    </w:p>
    <w:p w14:paraId="027DB24E">
      <w:pPr>
        <w:spacing w:line="560" w:lineRule="exact"/>
        <w:ind w:firstLine="643"/>
        <w:rPr>
          <w:rFonts w:hint="default" w:ascii="Times New Roman" w:hAnsi="Times New Roman" w:cs="Times New Roman"/>
        </w:rPr>
      </w:pPr>
      <w:r>
        <w:rPr>
          <w:rFonts w:hint="default" w:ascii="Times New Roman" w:hAnsi="Times New Roman" w:cs="Times New Roman"/>
        </w:rPr>
        <w:t>绩效评价组通过线下调研及线上问卷星方式，共获取有效问卷</w:t>
      </w:r>
      <w:r>
        <w:rPr>
          <w:rFonts w:hint="default" w:ascii="Times New Roman" w:hAnsi="Times New Roman" w:cs="Times New Roman"/>
          <w:highlight w:val="none"/>
          <w:lang w:val="en-US" w:eastAsia="zh-CN"/>
        </w:rPr>
        <w:t>27</w:t>
      </w:r>
      <w:r>
        <w:rPr>
          <w:rFonts w:hint="default" w:ascii="Times New Roman" w:hAnsi="Times New Roman" w:cs="Times New Roman"/>
          <w:highlight w:val="none"/>
        </w:rPr>
        <w:t>份，当地受益群众对项目实施整体满意度较高，其中：①</w:t>
      </w:r>
      <w:r>
        <w:rPr>
          <w:rFonts w:hint="default" w:ascii="Times New Roman" w:hAnsi="Times New Roman" w:cs="Times New Roman"/>
          <w:highlight w:val="none"/>
          <w:lang w:val="en-US" w:eastAsia="zh-CN"/>
        </w:rPr>
        <w:t>77.78%</w:t>
      </w:r>
      <w:r>
        <w:rPr>
          <w:rFonts w:hint="default" w:ascii="Times New Roman" w:hAnsi="Times New Roman" w:cs="Times New Roman"/>
          <w:highlight w:val="none"/>
        </w:rPr>
        <w:t>的受访者对项目工程质量非常满意；②</w:t>
      </w:r>
      <w:r>
        <w:rPr>
          <w:rFonts w:hint="default" w:ascii="Times New Roman" w:hAnsi="Times New Roman" w:cs="Times New Roman"/>
          <w:highlight w:val="none"/>
          <w:lang w:val="en-US" w:eastAsia="zh-CN"/>
        </w:rPr>
        <w:t>74.07%</w:t>
      </w:r>
      <w:r>
        <w:rPr>
          <w:rFonts w:hint="default" w:ascii="Times New Roman" w:hAnsi="Times New Roman" w:cs="Times New Roman"/>
          <w:highlight w:val="none"/>
        </w:rPr>
        <w:t>的受访者对项目</w:t>
      </w:r>
      <w:r>
        <w:rPr>
          <w:rFonts w:hint="default" w:ascii="Times New Roman" w:hAnsi="Times New Roman" w:cs="Times New Roman"/>
          <w:highlight w:val="none"/>
          <w:lang w:val="en-US" w:eastAsia="zh-CN"/>
        </w:rPr>
        <w:t>在改善生产条件方面的作用</w:t>
      </w:r>
      <w:r>
        <w:rPr>
          <w:rFonts w:hint="default" w:ascii="Times New Roman" w:hAnsi="Times New Roman" w:cs="Times New Roman"/>
          <w:highlight w:val="none"/>
        </w:rPr>
        <w:t>非常满意；④</w:t>
      </w:r>
      <w:r>
        <w:rPr>
          <w:rFonts w:hint="default" w:ascii="Times New Roman" w:hAnsi="Times New Roman" w:cs="Times New Roman"/>
          <w:highlight w:val="none"/>
          <w:lang w:val="en-US" w:eastAsia="zh-CN"/>
        </w:rPr>
        <w:t>74.07%</w:t>
      </w:r>
      <w:r>
        <w:rPr>
          <w:rFonts w:hint="default" w:ascii="Times New Roman" w:hAnsi="Times New Roman" w:cs="Times New Roman"/>
          <w:highlight w:val="none"/>
        </w:rPr>
        <w:t>的受访者认为项目实施后农作物单产明显提高；⑤</w:t>
      </w:r>
      <w:r>
        <w:rPr>
          <w:rFonts w:hint="default" w:ascii="Times New Roman" w:hAnsi="Times New Roman" w:cs="Times New Roman"/>
          <w:highlight w:val="none"/>
          <w:lang w:val="en-US" w:eastAsia="zh-CN"/>
        </w:rPr>
        <w:t>92.59</w:t>
      </w:r>
      <w:r>
        <w:rPr>
          <w:rFonts w:hint="default" w:ascii="Times New Roman" w:hAnsi="Times New Roman" w:cs="Times New Roman"/>
          <w:highlight w:val="none"/>
        </w:rPr>
        <w:t>%</w:t>
      </w:r>
      <w:r>
        <w:rPr>
          <w:rFonts w:hint="default" w:ascii="Times New Roman" w:hAnsi="Times New Roman" w:cs="Times New Roman"/>
        </w:rPr>
        <w:t>的受访者认为项目实施后灌溉、排水、节水等高效节水方面明显优化。</w:t>
      </w:r>
    </w:p>
    <w:p w14:paraId="557AE069">
      <w:pPr>
        <w:keepNext w:val="0"/>
        <w:keepLines w:val="0"/>
        <w:pageBreakBefore w:val="0"/>
        <w:widowControl/>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仿宋" w:cs="Times New Roman"/>
          <w:kern w:val="2"/>
          <w:sz w:val="32"/>
          <w:szCs w:val="24"/>
          <w:highlight w:val="none"/>
          <w:lang w:val="en-US" w:eastAsia="zh-CN" w:bidi="ar-SA"/>
        </w:rPr>
      </w:pPr>
      <w:r>
        <w:rPr>
          <w:rFonts w:hint="default" w:ascii="Times New Roman" w:hAnsi="Times New Roman" w:eastAsia="楷体" w:cs="Times New Roman"/>
          <w:b/>
          <w:sz w:val="30"/>
          <w:szCs w:val="30"/>
          <w:highlight w:val="none"/>
          <w:lang w:val="en-US" w:eastAsia="zh-CN"/>
        </w:rPr>
        <w:t>表4-2问卷调查统计表</w:t>
      </w:r>
    </w:p>
    <w:tbl>
      <w:tblPr>
        <w:tblStyle w:val="29"/>
        <w:tblW w:w="0" w:type="auto"/>
        <w:tblInd w:w="0" w:type="dxa"/>
        <w:tblBorders>
          <w:top w:val="none" w:color="auto" w:sz="0" w:space="0"/>
          <w:left w:val="none" w:color="auto" w:sz="0" w:space="0"/>
          <w:bottom w:val="none" w:color="auto" w:sz="0" w:space="0"/>
          <w:right w:val="none" w:color="auto" w:sz="0" w:space="0"/>
          <w:insideH w:val="dotted" w:color="auto" w:sz="4" w:space="0"/>
          <w:insideV w:val="dotted" w:color="auto" w:sz="4" w:space="0"/>
        </w:tblBorders>
        <w:shd w:val="clear" w:color="auto" w:fill="auto"/>
        <w:tblLayout w:type="autofit"/>
        <w:tblCellMar>
          <w:top w:w="0" w:type="dxa"/>
          <w:left w:w="108" w:type="dxa"/>
          <w:bottom w:w="0" w:type="dxa"/>
          <w:right w:w="108" w:type="dxa"/>
        </w:tblCellMar>
      </w:tblPr>
      <w:tblGrid>
        <w:gridCol w:w="3305"/>
        <w:gridCol w:w="3034"/>
        <w:gridCol w:w="1076"/>
        <w:gridCol w:w="1645"/>
      </w:tblGrid>
      <w:tr w14:paraId="1D227EB1">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shd w:val="clear" w:color="auto" w:fill="auto"/>
          <w:tblCellMar>
            <w:top w:w="0" w:type="dxa"/>
            <w:left w:w="108" w:type="dxa"/>
            <w:bottom w:w="0" w:type="dxa"/>
            <w:right w:w="108" w:type="dxa"/>
          </w:tblCellMar>
        </w:tblPrEx>
        <w:trPr>
          <w:trHeight w:val="278" w:hRule="atLeast"/>
          <w:tblHeader/>
        </w:trPr>
        <w:tc>
          <w:tcPr>
            <w:tcW w:w="0" w:type="auto"/>
            <w:tcBorders>
              <w:top w:val="single" w:color="auto" w:sz="12" w:space="0"/>
              <w:bottom w:val="single" w:color="auto" w:sz="12" w:space="0"/>
              <w:tl2br w:val="nil"/>
              <w:tr2bl w:val="nil"/>
            </w:tcBorders>
            <w:shd w:val="clear" w:color="auto" w:fill="auto"/>
            <w:noWrap/>
            <w:vAlign w:val="center"/>
          </w:tcPr>
          <w:p w14:paraId="0FBB5A0E">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调查内容</w:t>
            </w:r>
          </w:p>
        </w:tc>
        <w:tc>
          <w:tcPr>
            <w:tcW w:w="0" w:type="auto"/>
            <w:tcBorders>
              <w:top w:val="single" w:color="auto" w:sz="12" w:space="0"/>
              <w:bottom w:val="single" w:color="auto" w:sz="12" w:space="0"/>
              <w:tl2br w:val="nil"/>
              <w:tr2bl w:val="nil"/>
            </w:tcBorders>
            <w:shd w:val="clear" w:color="auto" w:fill="auto"/>
            <w:noWrap/>
            <w:vAlign w:val="center"/>
          </w:tcPr>
          <w:p w14:paraId="0F9FEA68">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选项</w:t>
            </w:r>
          </w:p>
        </w:tc>
        <w:tc>
          <w:tcPr>
            <w:tcW w:w="0" w:type="auto"/>
            <w:tcBorders>
              <w:top w:val="single" w:color="auto" w:sz="12" w:space="0"/>
              <w:bottom w:val="single" w:color="auto" w:sz="12" w:space="0"/>
              <w:tl2br w:val="nil"/>
              <w:tr2bl w:val="nil"/>
            </w:tcBorders>
            <w:shd w:val="clear" w:color="auto" w:fill="auto"/>
            <w:noWrap/>
            <w:vAlign w:val="center"/>
          </w:tcPr>
          <w:p w14:paraId="1A180F52">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数量</w:t>
            </w:r>
          </w:p>
        </w:tc>
        <w:tc>
          <w:tcPr>
            <w:tcW w:w="0" w:type="auto"/>
            <w:tcBorders>
              <w:top w:val="single" w:color="auto" w:sz="12" w:space="0"/>
              <w:bottom w:val="single" w:color="auto" w:sz="12" w:space="0"/>
              <w:tl2br w:val="nil"/>
              <w:tr2bl w:val="nil"/>
            </w:tcBorders>
            <w:shd w:val="clear" w:color="auto" w:fill="auto"/>
            <w:noWrap/>
            <w:vAlign w:val="center"/>
          </w:tcPr>
          <w:p w14:paraId="5319DCB6">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占比</w:t>
            </w:r>
          </w:p>
        </w:tc>
      </w:tr>
      <w:tr w14:paraId="14A2974A">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06" w:hRule="atLeast"/>
        </w:trPr>
        <w:tc>
          <w:tcPr>
            <w:tcW w:w="0" w:type="auto"/>
            <w:tcBorders>
              <w:top w:val="single" w:color="auto" w:sz="12" w:space="0"/>
              <w:tl2br w:val="nil"/>
              <w:tr2bl w:val="nil"/>
            </w:tcBorders>
            <w:shd w:val="clear" w:color="auto" w:fill="auto"/>
            <w:vAlign w:val="center"/>
          </w:tcPr>
          <w:p w14:paraId="763E3610">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1.您所居住的乡镇是</w:t>
            </w:r>
            <w:r>
              <w:rPr>
                <w:rFonts w:hint="default" w:ascii="Times New Roman" w:hAnsi="Times New Roman" w:eastAsia="仿宋" w:cs="Times New Roman"/>
                <w:i w:val="0"/>
                <w:iCs w:val="0"/>
                <w:color w:val="000000"/>
                <w:kern w:val="0"/>
                <w:sz w:val="22"/>
                <w:szCs w:val="22"/>
                <w:u w:val="single"/>
                <w:lang w:val="en-US" w:eastAsia="zh-CN" w:bidi="ar"/>
              </w:rPr>
              <w:t xml:space="preserve">  </w:t>
            </w:r>
            <w:r>
              <w:rPr>
                <w:rFonts w:hint="default" w:ascii="Times New Roman" w:hAnsi="Times New Roman" w:eastAsia="仿宋" w:cs="Times New Roman"/>
                <w:i w:val="0"/>
                <w:iCs w:val="0"/>
                <w:color w:val="000000"/>
                <w:kern w:val="0"/>
                <w:sz w:val="22"/>
                <w:szCs w:val="22"/>
                <w:u w:val="none"/>
                <w:lang w:val="en-US" w:eastAsia="zh-CN" w:bidi="ar"/>
              </w:rPr>
              <w:t>？</w:t>
            </w:r>
          </w:p>
        </w:tc>
        <w:tc>
          <w:tcPr>
            <w:tcW w:w="0" w:type="auto"/>
            <w:tcBorders>
              <w:top w:val="single" w:color="auto" w:sz="12" w:space="0"/>
              <w:tl2br w:val="nil"/>
              <w:tr2bl w:val="nil"/>
            </w:tcBorders>
            <w:shd w:val="clear" w:color="auto" w:fill="auto"/>
            <w:noWrap/>
            <w:vAlign w:val="center"/>
          </w:tcPr>
          <w:p w14:paraId="55C1A1D0">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新盛镇</w:t>
            </w:r>
          </w:p>
        </w:tc>
        <w:tc>
          <w:tcPr>
            <w:tcW w:w="0" w:type="auto"/>
            <w:tcBorders>
              <w:top w:val="single" w:color="auto" w:sz="12" w:space="0"/>
              <w:tl2br w:val="nil"/>
              <w:tr2bl w:val="nil"/>
            </w:tcBorders>
            <w:shd w:val="clear" w:color="auto" w:fill="auto"/>
            <w:noWrap/>
            <w:vAlign w:val="center"/>
          </w:tcPr>
          <w:p w14:paraId="2E142312">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27</w:t>
            </w:r>
          </w:p>
        </w:tc>
        <w:tc>
          <w:tcPr>
            <w:tcW w:w="0" w:type="auto"/>
            <w:tcBorders>
              <w:top w:val="single" w:color="auto" w:sz="12" w:space="0"/>
              <w:tl2br w:val="nil"/>
              <w:tr2bl w:val="nil"/>
            </w:tcBorders>
            <w:shd w:val="clear" w:color="auto" w:fill="auto"/>
            <w:noWrap/>
            <w:vAlign w:val="center"/>
          </w:tcPr>
          <w:p w14:paraId="338121D3">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100.00%</w:t>
            </w:r>
          </w:p>
        </w:tc>
      </w:tr>
      <w:tr w14:paraId="1D968C04">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033C7CB3">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2.您所从事的职业是？</w:t>
            </w:r>
          </w:p>
        </w:tc>
        <w:tc>
          <w:tcPr>
            <w:tcW w:w="0" w:type="auto"/>
            <w:tcBorders>
              <w:tl2br w:val="nil"/>
              <w:tr2bl w:val="nil"/>
            </w:tcBorders>
            <w:shd w:val="clear" w:color="auto" w:fill="auto"/>
            <w:noWrap/>
            <w:vAlign w:val="center"/>
          </w:tcPr>
          <w:p w14:paraId="25B0FC71">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A.纯农业</w:t>
            </w:r>
          </w:p>
        </w:tc>
        <w:tc>
          <w:tcPr>
            <w:tcW w:w="0" w:type="auto"/>
            <w:tcBorders>
              <w:tl2br w:val="nil"/>
              <w:tr2bl w:val="nil"/>
            </w:tcBorders>
            <w:shd w:val="clear" w:color="auto" w:fill="auto"/>
            <w:noWrap/>
            <w:vAlign w:val="center"/>
          </w:tcPr>
          <w:p w14:paraId="34FFBCD9">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20</w:t>
            </w:r>
          </w:p>
        </w:tc>
        <w:tc>
          <w:tcPr>
            <w:tcW w:w="0" w:type="auto"/>
            <w:tcBorders>
              <w:tl2br w:val="nil"/>
              <w:tr2bl w:val="nil"/>
            </w:tcBorders>
            <w:shd w:val="clear" w:color="auto" w:fill="auto"/>
            <w:noWrap/>
            <w:vAlign w:val="center"/>
          </w:tcPr>
          <w:p w14:paraId="380104D4">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74.07%</w:t>
            </w:r>
          </w:p>
        </w:tc>
      </w:tr>
      <w:tr w14:paraId="2E39C99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E890C98">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A54E319">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B.以农业为主兼业</w:t>
            </w:r>
          </w:p>
        </w:tc>
        <w:tc>
          <w:tcPr>
            <w:tcW w:w="0" w:type="auto"/>
            <w:tcBorders>
              <w:tl2br w:val="nil"/>
              <w:tr2bl w:val="nil"/>
            </w:tcBorders>
            <w:shd w:val="clear" w:color="auto" w:fill="auto"/>
            <w:noWrap/>
            <w:vAlign w:val="center"/>
          </w:tcPr>
          <w:p w14:paraId="458AD4E3">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w:t>
            </w:r>
          </w:p>
        </w:tc>
        <w:tc>
          <w:tcPr>
            <w:tcW w:w="0" w:type="auto"/>
            <w:tcBorders>
              <w:tl2br w:val="nil"/>
              <w:tr2bl w:val="nil"/>
            </w:tcBorders>
            <w:shd w:val="clear" w:color="auto" w:fill="auto"/>
            <w:noWrap/>
            <w:vAlign w:val="center"/>
          </w:tcPr>
          <w:p w14:paraId="3B5AAF6E">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14.81%</w:t>
            </w:r>
          </w:p>
        </w:tc>
      </w:tr>
      <w:tr w14:paraId="63F6D262">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21D9421A">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9B00792">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C.非农业为主兼业</w:t>
            </w:r>
          </w:p>
        </w:tc>
        <w:tc>
          <w:tcPr>
            <w:tcW w:w="0" w:type="auto"/>
            <w:tcBorders>
              <w:tl2br w:val="nil"/>
              <w:tr2bl w:val="nil"/>
            </w:tcBorders>
            <w:shd w:val="clear" w:color="auto" w:fill="auto"/>
            <w:noWrap/>
            <w:vAlign w:val="center"/>
          </w:tcPr>
          <w:p w14:paraId="1B814320">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0" w:type="auto"/>
            <w:tcBorders>
              <w:tl2br w:val="nil"/>
              <w:tr2bl w:val="nil"/>
            </w:tcBorders>
            <w:shd w:val="clear" w:color="auto" w:fill="auto"/>
            <w:noWrap/>
            <w:vAlign w:val="center"/>
          </w:tcPr>
          <w:p w14:paraId="072382C9">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3.70%</w:t>
            </w:r>
          </w:p>
        </w:tc>
      </w:tr>
      <w:tr w14:paraId="62D8EEA0">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7AF0D15E">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4904AFA0">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D.非农业</w:t>
            </w:r>
          </w:p>
        </w:tc>
        <w:tc>
          <w:tcPr>
            <w:tcW w:w="0" w:type="auto"/>
            <w:tcBorders>
              <w:tl2br w:val="nil"/>
              <w:tr2bl w:val="nil"/>
            </w:tcBorders>
            <w:shd w:val="clear" w:color="auto" w:fill="auto"/>
            <w:noWrap/>
            <w:vAlign w:val="center"/>
          </w:tcPr>
          <w:p w14:paraId="6CC582F6">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0" w:type="auto"/>
            <w:tcBorders>
              <w:tl2br w:val="nil"/>
              <w:tr2bl w:val="nil"/>
            </w:tcBorders>
            <w:shd w:val="clear" w:color="auto" w:fill="auto"/>
            <w:noWrap/>
            <w:vAlign w:val="center"/>
          </w:tcPr>
          <w:p w14:paraId="6D10022F">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7.41%</w:t>
            </w:r>
          </w:p>
        </w:tc>
      </w:tr>
      <w:tr w14:paraId="52B1CBFA">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0868221A">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3.您是如何知道高标准农田建设项目？</w:t>
            </w:r>
          </w:p>
        </w:tc>
        <w:tc>
          <w:tcPr>
            <w:tcW w:w="0" w:type="auto"/>
            <w:tcBorders>
              <w:tl2br w:val="nil"/>
              <w:tr2bl w:val="nil"/>
            </w:tcBorders>
            <w:shd w:val="clear" w:color="auto" w:fill="auto"/>
            <w:noWrap/>
            <w:vAlign w:val="center"/>
          </w:tcPr>
          <w:p w14:paraId="03F98AB5">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A.村干部宣传</w:t>
            </w:r>
          </w:p>
        </w:tc>
        <w:tc>
          <w:tcPr>
            <w:tcW w:w="0" w:type="auto"/>
            <w:tcBorders>
              <w:tl2br w:val="nil"/>
              <w:tr2bl w:val="nil"/>
            </w:tcBorders>
            <w:shd w:val="clear" w:color="auto" w:fill="auto"/>
            <w:noWrap/>
            <w:vAlign w:val="center"/>
          </w:tcPr>
          <w:p w14:paraId="5DA4702C">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27</w:t>
            </w:r>
          </w:p>
        </w:tc>
        <w:tc>
          <w:tcPr>
            <w:tcW w:w="0" w:type="auto"/>
            <w:tcBorders>
              <w:tl2br w:val="nil"/>
              <w:tr2bl w:val="nil"/>
            </w:tcBorders>
            <w:shd w:val="clear" w:color="auto" w:fill="auto"/>
            <w:noWrap/>
            <w:vAlign w:val="center"/>
          </w:tcPr>
          <w:p w14:paraId="019A9208">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100.00%</w:t>
            </w:r>
          </w:p>
        </w:tc>
      </w:tr>
      <w:tr w14:paraId="1C7C82F4">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3AB0A383">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41CFADDD">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B.新闻报道</w:t>
            </w:r>
          </w:p>
        </w:tc>
        <w:tc>
          <w:tcPr>
            <w:tcW w:w="0" w:type="auto"/>
            <w:tcBorders>
              <w:tl2br w:val="nil"/>
              <w:tr2bl w:val="nil"/>
            </w:tcBorders>
            <w:shd w:val="clear" w:color="auto" w:fill="auto"/>
            <w:noWrap/>
            <w:vAlign w:val="center"/>
          </w:tcPr>
          <w:p w14:paraId="7FA83DD4">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40F95D84">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4EC1C6D3">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27F8056E">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3187BC45">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C.邻居</w:t>
            </w:r>
          </w:p>
        </w:tc>
        <w:tc>
          <w:tcPr>
            <w:tcW w:w="0" w:type="auto"/>
            <w:tcBorders>
              <w:tl2br w:val="nil"/>
              <w:tr2bl w:val="nil"/>
            </w:tcBorders>
            <w:shd w:val="clear" w:color="auto" w:fill="auto"/>
            <w:noWrap/>
            <w:vAlign w:val="center"/>
          </w:tcPr>
          <w:p w14:paraId="10A227D6">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25B582C5">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5529BB53">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1C481F32">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0154953B">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D.其他</w:t>
            </w:r>
          </w:p>
        </w:tc>
        <w:tc>
          <w:tcPr>
            <w:tcW w:w="0" w:type="auto"/>
            <w:tcBorders>
              <w:tl2br w:val="nil"/>
              <w:tr2bl w:val="nil"/>
            </w:tcBorders>
            <w:shd w:val="clear" w:color="auto" w:fill="auto"/>
            <w:noWrap/>
            <w:vAlign w:val="center"/>
          </w:tcPr>
          <w:p w14:paraId="01E2BFB2">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0F3EF9E6">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7E1D778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95" w:hRule="atLeast"/>
        </w:trPr>
        <w:tc>
          <w:tcPr>
            <w:tcW w:w="0" w:type="auto"/>
            <w:vMerge w:val="restart"/>
            <w:tcBorders>
              <w:tl2br w:val="nil"/>
              <w:tr2bl w:val="nil"/>
            </w:tcBorders>
            <w:shd w:val="clear" w:color="auto" w:fill="auto"/>
            <w:vAlign w:val="center"/>
          </w:tcPr>
          <w:p w14:paraId="02AF1E6B">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4.您认为项目实施后生产和运输是否更加便利？</w:t>
            </w:r>
          </w:p>
        </w:tc>
        <w:tc>
          <w:tcPr>
            <w:tcW w:w="0" w:type="auto"/>
            <w:tcBorders>
              <w:tl2br w:val="nil"/>
              <w:tr2bl w:val="nil"/>
            </w:tcBorders>
            <w:shd w:val="clear" w:color="auto" w:fill="auto"/>
            <w:noWrap/>
            <w:vAlign w:val="center"/>
          </w:tcPr>
          <w:p w14:paraId="7BC60855">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A.是</w:t>
            </w:r>
          </w:p>
        </w:tc>
        <w:tc>
          <w:tcPr>
            <w:tcW w:w="0" w:type="auto"/>
            <w:tcBorders>
              <w:tl2br w:val="nil"/>
              <w:tr2bl w:val="nil"/>
            </w:tcBorders>
            <w:shd w:val="clear" w:color="auto" w:fill="auto"/>
            <w:noWrap/>
            <w:vAlign w:val="center"/>
          </w:tcPr>
          <w:p w14:paraId="5D309229">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27</w:t>
            </w:r>
          </w:p>
        </w:tc>
        <w:tc>
          <w:tcPr>
            <w:tcW w:w="0" w:type="auto"/>
            <w:tcBorders>
              <w:tl2br w:val="nil"/>
              <w:tr2bl w:val="nil"/>
            </w:tcBorders>
            <w:shd w:val="clear" w:color="auto" w:fill="auto"/>
            <w:noWrap/>
            <w:vAlign w:val="center"/>
          </w:tcPr>
          <w:p w14:paraId="02BD5D00">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100.00%</w:t>
            </w:r>
          </w:p>
        </w:tc>
      </w:tr>
      <w:tr w14:paraId="466D21EE">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80" w:hRule="atLeast"/>
        </w:trPr>
        <w:tc>
          <w:tcPr>
            <w:tcW w:w="0" w:type="auto"/>
            <w:vMerge w:val="continue"/>
            <w:tcBorders>
              <w:tl2br w:val="nil"/>
              <w:tr2bl w:val="nil"/>
            </w:tcBorders>
            <w:shd w:val="clear" w:color="auto" w:fill="auto"/>
            <w:vAlign w:val="center"/>
          </w:tcPr>
          <w:p w14:paraId="0651316C">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1F49E495">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B.否</w:t>
            </w:r>
          </w:p>
        </w:tc>
        <w:tc>
          <w:tcPr>
            <w:tcW w:w="0" w:type="auto"/>
            <w:tcBorders>
              <w:tl2br w:val="nil"/>
              <w:tr2bl w:val="nil"/>
            </w:tcBorders>
            <w:shd w:val="clear" w:color="auto" w:fill="auto"/>
            <w:noWrap/>
            <w:vAlign w:val="center"/>
          </w:tcPr>
          <w:p w14:paraId="3ECD263D">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29D9C189">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5B9D1750">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43D3F275">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5.您认为项目实施后灌溉、排水、节水等高效节水方面是否优化？</w:t>
            </w:r>
          </w:p>
        </w:tc>
        <w:tc>
          <w:tcPr>
            <w:tcW w:w="0" w:type="auto"/>
            <w:tcBorders>
              <w:tl2br w:val="nil"/>
              <w:tr2bl w:val="nil"/>
            </w:tcBorders>
            <w:shd w:val="clear" w:color="auto" w:fill="auto"/>
            <w:noWrap/>
            <w:vAlign w:val="center"/>
          </w:tcPr>
          <w:p w14:paraId="4AC623C4">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A.有明显优化</w:t>
            </w:r>
          </w:p>
        </w:tc>
        <w:tc>
          <w:tcPr>
            <w:tcW w:w="0" w:type="auto"/>
            <w:tcBorders>
              <w:tl2br w:val="nil"/>
              <w:tr2bl w:val="nil"/>
            </w:tcBorders>
            <w:shd w:val="clear" w:color="auto" w:fill="auto"/>
            <w:noWrap/>
            <w:vAlign w:val="center"/>
          </w:tcPr>
          <w:p w14:paraId="4A235F2F">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25</w:t>
            </w:r>
          </w:p>
        </w:tc>
        <w:tc>
          <w:tcPr>
            <w:tcW w:w="0" w:type="auto"/>
            <w:tcBorders>
              <w:tl2br w:val="nil"/>
              <w:tr2bl w:val="nil"/>
            </w:tcBorders>
            <w:shd w:val="clear" w:color="auto" w:fill="auto"/>
            <w:noWrap/>
            <w:vAlign w:val="center"/>
          </w:tcPr>
          <w:p w14:paraId="0F2D1787">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92.59%</w:t>
            </w:r>
          </w:p>
        </w:tc>
      </w:tr>
      <w:tr w14:paraId="164952E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1932ADF9">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4E623B3E">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B.比较优化</w:t>
            </w:r>
          </w:p>
        </w:tc>
        <w:tc>
          <w:tcPr>
            <w:tcW w:w="0" w:type="auto"/>
            <w:tcBorders>
              <w:tl2br w:val="nil"/>
              <w:tr2bl w:val="nil"/>
            </w:tcBorders>
            <w:shd w:val="clear" w:color="auto" w:fill="auto"/>
            <w:noWrap/>
            <w:vAlign w:val="center"/>
          </w:tcPr>
          <w:p w14:paraId="1703E776">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0" w:type="auto"/>
            <w:tcBorders>
              <w:tl2br w:val="nil"/>
              <w:tr2bl w:val="nil"/>
            </w:tcBorders>
            <w:shd w:val="clear" w:color="auto" w:fill="auto"/>
            <w:noWrap/>
            <w:vAlign w:val="center"/>
          </w:tcPr>
          <w:p w14:paraId="4E5A1911">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3.70%</w:t>
            </w:r>
          </w:p>
        </w:tc>
      </w:tr>
      <w:tr w14:paraId="650E65B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33F86999">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4B0B0474">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C.一般</w:t>
            </w:r>
          </w:p>
        </w:tc>
        <w:tc>
          <w:tcPr>
            <w:tcW w:w="0" w:type="auto"/>
            <w:tcBorders>
              <w:tl2br w:val="nil"/>
              <w:tr2bl w:val="nil"/>
            </w:tcBorders>
            <w:shd w:val="clear" w:color="auto" w:fill="auto"/>
            <w:noWrap/>
            <w:vAlign w:val="center"/>
          </w:tcPr>
          <w:p w14:paraId="61227A64">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0" w:type="auto"/>
            <w:tcBorders>
              <w:tl2br w:val="nil"/>
              <w:tr2bl w:val="nil"/>
            </w:tcBorders>
            <w:shd w:val="clear" w:color="auto" w:fill="auto"/>
            <w:noWrap/>
            <w:vAlign w:val="center"/>
          </w:tcPr>
          <w:p w14:paraId="489A798C">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3.70%</w:t>
            </w:r>
          </w:p>
        </w:tc>
      </w:tr>
      <w:tr w14:paraId="57C9B30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17E01C27">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EFAF42E">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D.否</w:t>
            </w:r>
          </w:p>
        </w:tc>
        <w:tc>
          <w:tcPr>
            <w:tcW w:w="0" w:type="auto"/>
            <w:tcBorders>
              <w:tl2br w:val="nil"/>
              <w:tr2bl w:val="nil"/>
            </w:tcBorders>
            <w:shd w:val="clear" w:color="auto" w:fill="auto"/>
            <w:noWrap/>
            <w:vAlign w:val="center"/>
          </w:tcPr>
          <w:p w14:paraId="583F8927">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514ED517">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7BC2A33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0BB82729">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6.您认为项目实施后，农机使用是否更加便利？</w:t>
            </w:r>
          </w:p>
        </w:tc>
        <w:tc>
          <w:tcPr>
            <w:tcW w:w="0" w:type="auto"/>
            <w:tcBorders>
              <w:tl2br w:val="nil"/>
              <w:tr2bl w:val="nil"/>
            </w:tcBorders>
            <w:shd w:val="clear" w:color="auto" w:fill="auto"/>
            <w:noWrap/>
            <w:vAlign w:val="center"/>
          </w:tcPr>
          <w:p w14:paraId="6EE21065">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A.是</w:t>
            </w:r>
          </w:p>
        </w:tc>
        <w:tc>
          <w:tcPr>
            <w:tcW w:w="0" w:type="auto"/>
            <w:tcBorders>
              <w:tl2br w:val="nil"/>
              <w:tr2bl w:val="nil"/>
            </w:tcBorders>
            <w:shd w:val="clear" w:color="auto" w:fill="auto"/>
            <w:noWrap/>
            <w:vAlign w:val="center"/>
          </w:tcPr>
          <w:p w14:paraId="264B5CC8">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27</w:t>
            </w:r>
          </w:p>
        </w:tc>
        <w:tc>
          <w:tcPr>
            <w:tcW w:w="0" w:type="auto"/>
            <w:tcBorders>
              <w:tl2br w:val="nil"/>
              <w:tr2bl w:val="nil"/>
            </w:tcBorders>
            <w:shd w:val="clear" w:color="auto" w:fill="auto"/>
            <w:noWrap/>
            <w:vAlign w:val="center"/>
          </w:tcPr>
          <w:p w14:paraId="5BFF2348">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100.00%</w:t>
            </w:r>
          </w:p>
        </w:tc>
      </w:tr>
      <w:tr w14:paraId="6FB2F2AC">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7B5D68BB">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D0D7CBC">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B.否</w:t>
            </w:r>
          </w:p>
        </w:tc>
        <w:tc>
          <w:tcPr>
            <w:tcW w:w="0" w:type="auto"/>
            <w:tcBorders>
              <w:tl2br w:val="nil"/>
              <w:tr2bl w:val="nil"/>
            </w:tcBorders>
            <w:shd w:val="clear" w:color="auto" w:fill="auto"/>
            <w:noWrap/>
            <w:vAlign w:val="center"/>
          </w:tcPr>
          <w:p w14:paraId="28DA1797">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7C3ADBAF">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46DD5AC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41305539">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7.项目实施后农作物单产是否提高？</w:t>
            </w:r>
          </w:p>
        </w:tc>
        <w:tc>
          <w:tcPr>
            <w:tcW w:w="0" w:type="auto"/>
            <w:tcBorders>
              <w:tl2br w:val="nil"/>
              <w:tr2bl w:val="nil"/>
            </w:tcBorders>
            <w:shd w:val="clear" w:color="auto" w:fill="auto"/>
            <w:noWrap/>
            <w:vAlign w:val="center"/>
          </w:tcPr>
          <w:p w14:paraId="71B8183A">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A.提高明显</w:t>
            </w:r>
          </w:p>
        </w:tc>
        <w:tc>
          <w:tcPr>
            <w:tcW w:w="0" w:type="auto"/>
            <w:tcBorders>
              <w:tl2br w:val="nil"/>
              <w:tr2bl w:val="nil"/>
            </w:tcBorders>
            <w:shd w:val="clear" w:color="auto" w:fill="auto"/>
            <w:noWrap/>
            <w:vAlign w:val="center"/>
          </w:tcPr>
          <w:p w14:paraId="5C026016">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20</w:t>
            </w:r>
          </w:p>
        </w:tc>
        <w:tc>
          <w:tcPr>
            <w:tcW w:w="0" w:type="auto"/>
            <w:tcBorders>
              <w:tl2br w:val="nil"/>
              <w:tr2bl w:val="nil"/>
            </w:tcBorders>
            <w:shd w:val="clear" w:color="auto" w:fill="auto"/>
            <w:noWrap/>
            <w:vAlign w:val="center"/>
          </w:tcPr>
          <w:p w14:paraId="738DBD42">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74.07%</w:t>
            </w:r>
          </w:p>
        </w:tc>
      </w:tr>
      <w:tr w14:paraId="560E86D4">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79E140E2">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1BEED2B6">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B.比较明显</w:t>
            </w:r>
          </w:p>
        </w:tc>
        <w:tc>
          <w:tcPr>
            <w:tcW w:w="0" w:type="auto"/>
            <w:tcBorders>
              <w:tl2br w:val="nil"/>
              <w:tr2bl w:val="nil"/>
            </w:tcBorders>
            <w:shd w:val="clear" w:color="auto" w:fill="auto"/>
            <w:noWrap/>
            <w:vAlign w:val="center"/>
          </w:tcPr>
          <w:p w14:paraId="35E66278">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0" w:type="auto"/>
            <w:tcBorders>
              <w:tl2br w:val="nil"/>
              <w:tr2bl w:val="nil"/>
            </w:tcBorders>
            <w:shd w:val="clear" w:color="auto" w:fill="auto"/>
            <w:noWrap/>
            <w:vAlign w:val="center"/>
          </w:tcPr>
          <w:p w14:paraId="4FF596DA">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18.52%</w:t>
            </w:r>
          </w:p>
        </w:tc>
      </w:tr>
      <w:tr w14:paraId="6A06459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1ECAF865">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1CDE6C6F">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C.一般</w:t>
            </w:r>
          </w:p>
        </w:tc>
        <w:tc>
          <w:tcPr>
            <w:tcW w:w="0" w:type="auto"/>
            <w:tcBorders>
              <w:tl2br w:val="nil"/>
              <w:tr2bl w:val="nil"/>
            </w:tcBorders>
            <w:shd w:val="clear" w:color="auto" w:fill="auto"/>
            <w:noWrap/>
            <w:vAlign w:val="center"/>
          </w:tcPr>
          <w:p w14:paraId="444D3832">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0" w:type="auto"/>
            <w:tcBorders>
              <w:tl2br w:val="nil"/>
              <w:tr2bl w:val="nil"/>
            </w:tcBorders>
            <w:shd w:val="clear" w:color="auto" w:fill="auto"/>
            <w:noWrap/>
            <w:vAlign w:val="center"/>
          </w:tcPr>
          <w:p w14:paraId="5AC63DD4">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7.41%</w:t>
            </w:r>
          </w:p>
        </w:tc>
      </w:tr>
      <w:tr w14:paraId="4350C9F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92E35C9">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54CA28A">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D.没有</w:t>
            </w:r>
          </w:p>
        </w:tc>
        <w:tc>
          <w:tcPr>
            <w:tcW w:w="0" w:type="auto"/>
            <w:tcBorders>
              <w:tl2br w:val="nil"/>
              <w:tr2bl w:val="nil"/>
            </w:tcBorders>
            <w:shd w:val="clear" w:color="auto" w:fill="auto"/>
            <w:noWrap/>
            <w:vAlign w:val="center"/>
          </w:tcPr>
          <w:p w14:paraId="614B4070">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6AB10299">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3F247034">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6AD06F27">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8.项目实施后农药和化肥使用量减少率？</w:t>
            </w:r>
          </w:p>
        </w:tc>
        <w:tc>
          <w:tcPr>
            <w:tcW w:w="0" w:type="auto"/>
            <w:tcBorders>
              <w:tl2br w:val="nil"/>
              <w:tr2bl w:val="nil"/>
            </w:tcBorders>
            <w:shd w:val="clear" w:color="auto" w:fill="auto"/>
            <w:noWrap/>
            <w:vAlign w:val="center"/>
          </w:tcPr>
          <w:p w14:paraId="4564AAC6">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A.50%以上（含）</w:t>
            </w:r>
          </w:p>
        </w:tc>
        <w:tc>
          <w:tcPr>
            <w:tcW w:w="0" w:type="auto"/>
            <w:tcBorders>
              <w:tl2br w:val="nil"/>
              <w:tr2bl w:val="nil"/>
            </w:tcBorders>
            <w:shd w:val="clear" w:color="auto" w:fill="auto"/>
            <w:noWrap/>
            <w:vAlign w:val="center"/>
          </w:tcPr>
          <w:p w14:paraId="47A50825">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16</w:t>
            </w:r>
          </w:p>
        </w:tc>
        <w:tc>
          <w:tcPr>
            <w:tcW w:w="0" w:type="auto"/>
            <w:tcBorders>
              <w:tl2br w:val="nil"/>
              <w:tr2bl w:val="nil"/>
            </w:tcBorders>
            <w:shd w:val="clear" w:color="auto" w:fill="auto"/>
            <w:noWrap/>
            <w:vAlign w:val="center"/>
          </w:tcPr>
          <w:p w14:paraId="326A3CAA">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59.26%</w:t>
            </w:r>
          </w:p>
        </w:tc>
      </w:tr>
      <w:tr w14:paraId="433AC19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30B0E27A">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4CB10480">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B.30%（含）-50%</w:t>
            </w:r>
          </w:p>
        </w:tc>
        <w:tc>
          <w:tcPr>
            <w:tcW w:w="0" w:type="auto"/>
            <w:tcBorders>
              <w:tl2br w:val="nil"/>
              <w:tr2bl w:val="nil"/>
            </w:tcBorders>
            <w:shd w:val="clear" w:color="auto" w:fill="auto"/>
            <w:noWrap/>
            <w:vAlign w:val="center"/>
          </w:tcPr>
          <w:p w14:paraId="031B69DB">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w:t>
            </w:r>
          </w:p>
        </w:tc>
        <w:tc>
          <w:tcPr>
            <w:tcW w:w="0" w:type="auto"/>
            <w:tcBorders>
              <w:tl2br w:val="nil"/>
              <w:tr2bl w:val="nil"/>
            </w:tcBorders>
            <w:shd w:val="clear" w:color="auto" w:fill="auto"/>
            <w:noWrap/>
            <w:vAlign w:val="center"/>
          </w:tcPr>
          <w:p w14:paraId="42E5DC8D">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22.22%</w:t>
            </w:r>
          </w:p>
        </w:tc>
      </w:tr>
      <w:tr w14:paraId="19656551">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2C922166">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34EC13D">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C.10%（含）-30%</w:t>
            </w:r>
          </w:p>
        </w:tc>
        <w:tc>
          <w:tcPr>
            <w:tcW w:w="0" w:type="auto"/>
            <w:tcBorders>
              <w:tl2br w:val="nil"/>
              <w:tr2bl w:val="nil"/>
            </w:tcBorders>
            <w:shd w:val="clear" w:color="auto" w:fill="auto"/>
            <w:noWrap/>
            <w:vAlign w:val="center"/>
          </w:tcPr>
          <w:p w14:paraId="7B6FABDF">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w:t>
            </w:r>
          </w:p>
        </w:tc>
        <w:tc>
          <w:tcPr>
            <w:tcW w:w="0" w:type="auto"/>
            <w:tcBorders>
              <w:tl2br w:val="nil"/>
              <w:tr2bl w:val="nil"/>
            </w:tcBorders>
            <w:shd w:val="clear" w:color="auto" w:fill="auto"/>
            <w:noWrap/>
            <w:vAlign w:val="center"/>
          </w:tcPr>
          <w:p w14:paraId="46BC6130">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14.81%</w:t>
            </w:r>
          </w:p>
        </w:tc>
      </w:tr>
      <w:tr w14:paraId="182EE290">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60872AA3">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3BBDAB92">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D.没有减少</w:t>
            </w:r>
          </w:p>
        </w:tc>
        <w:tc>
          <w:tcPr>
            <w:tcW w:w="0" w:type="auto"/>
            <w:tcBorders>
              <w:tl2br w:val="nil"/>
              <w:tr2bl w:val="nil"/>
            </w:tcBorders>
            <w:shd w:val="clear" w:color="auto" w:fill="auto"/>
            <w:noWrap/>
            <w:vAlign w:val="center"/>
          </w:tcPr>
          <w:p w14:paraId="2A927B5C">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0" w:type="auto"/>
            <w:tcBorders>
              <w:tl2br w:val="nil"/>
              <w:tr2bl w:val="nil"/>
            </w:tcBorders>
            <w:shd w:val="clear" w:color="auto" w:fill="auto"/>
            <w:noWrap/>
            <w:vAlign w:val="center"/>
          </w:tcPr>
          <w:p w14:paraId="36028811">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3.70%</w:t>
            </w:r>
          </w:p>
        </w:tc>
      </w:tr>
      <w:tr w14:paraId="495BA62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7A03BBB9">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9.您认为当地高标准农田建设的有限措施有哪些？</w:t>
            </w:r>
          </w:p>
        </w:tc>
        <w:tc>
          <w:tcPr>
            <w:tcW w:w="0" w:type="auto"/>
            <w:tcBorders>
              <w:tl2br w:val="nil"/>
              <w:tr2bl w:val="nil"/>
            </w:tcBorders>
            <w:shd w:val="clear" w:color="auto" w:fill="auto"/>
            <w:noWrap/>
            <w:vAlign w:val="center"/>
          </w:tcPr>
          <w:p w14:paraId="699BBD35">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A.加大政府投资力度</w:t>
            </w:r>
          </w:p>
        </w:tc>
        <w:tc>
          <w:tcPr>
            <w:tcW w:w="0" w:type="auto"/>
            <w:tcBorders>
              <w:tl2br w:val="nil"/>
              <w:tr2bl w:val="nil"/>
            </w:tcBorders>
            <w:shd w:val="clear" w:color="auto" w:fill="auto"/>
            <w:noWrap/>
            <w:vAlign w:val="center"/>
          </w:tcPr>
          <w:p w14:paraId="5A119AF6">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23</w:t>
            </w:r>
          </w:p>
        </w:tc>
        <w:tc>
          <w:tcPr>
            <w:tcW w:w="0" w:type="auto"/>
            <w:tcBorders>
              <w:tl2br w:val="nil"/>
              <w:tr2bl w:val="nil"/>
            </w:tcBorders>
            <w:shd w:val="clear" w:color="auto" w:fill="auto"/>
            <w:noWrap/>
            <w:vAlign w:val="center"/>
          </w:tcPr>
          <w:p w14:paraId="41FAF2B2">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85.19%</w:t>
            </w:r>
          </w:p>
        </w:tc>
      </w:tr>
      <w:tr w14:paraId="5B85589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5D99A4A7">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E628C72">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B.应用相关技术</w:t>
            </w:r>
          </w:p>
        </w:tc>
        <w:tc>
          <w:tcPr>
            <w:tcW w:w="0" w:type="auto"/>
            <w:tcBorders>
              <w:tl2br w:val="nil"/>
              <w:tr2bl w:val="nil"/>
            </w:tcBorders>
            <w:shd w:val="clear" w:color="auto" w:fill="auto"/>
            <w:noWrap/>
            <w:vAlign w:val="center"/>
          </w:tcPr>
          <w:p w14:paraId="1C51F8BE">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21</w:t>
            </w:r>
          </w:p>
        </w:tc>
        <w:tc>
          <w:tcPr>
            <w:tcW w:w="0" w:type="auto"/>
            <w:tcBorders>
              <w:tl2br w:val="nil"/>
              <w:tr2bl w:val="nil"/>
            </w:tcBorders>
            <w:shd w:val="clear" w:color="auto" w:fill="auto"/>
            <w:noWrap/>
            <w:vAlign w:val="center"/>
          </w:tcPr>
          <w:p w14:paraId="1E9A6958">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77.78%</w:t>
            </w:r>
          </w:p>
        </w:tc>
      </w:tr>
      <w:tr w14:paraId="1FA50BC5">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39" w:hRule="atLeast"/>
        </w:trPr>
        <w:tc>
          <w:tcPr>
            <w:tcW w:w="0" w:type="auto"/>
            <w:vMerge w:val="continue"/>
            <w:tcBorders>
              <w:tl2br w:val="nil"/>
              <w:tr2bl w:val="nil"/>
            </w:tcBorders>
            <w:shd w:val="clear" w:color="auto" w:fill="auto"/>
            <w:vAlign w:val="center"/>
          </w:tcPr>
          <w:p w14:paraId="186D6CFF">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34D63247">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C.出台相关有力政策</w:t>
            </w:r>
          </w:p>
        </w:tc>
        <w:tc>
          <w:tcPr>
            <w:tcW w:w="0" w:type="auto"/>
            <w:tcBorders>
              <w:tl2br w:val="nil"/>
              <w:tr2bl w:val="nil"/>
            </w:tcBorders>
            <w:shd w:val="clear" w:color="auto" w:fill="auto"/>
            <w:noWrap/>
            <w:vAlign w:val="center"/>
          </w:tcPr>
          <w:p w14:paraId="287B1FA3">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22</w:t>
            </w:r>
          </w:p>
        </w:tc>
        <w:tc>
          <w:tcPr>
            <w:tcW w:w="0" w:type="auto"/>
            <w:tcBorders>
              <w:tl2br w:val="nil"/>
              <w:tr2bl w:val="nil"/>
            </w:tcBorders>
            <w:shd w:val="clear" w:color="auto" w:fill="auto"/>
            <w:noWrap/>
            <w:vAlign w:val="center"/>
          </w:tcPr>
          <w:p w14:paraId="6BA6C2EA">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81.48%</w:t>
            </w:r>
          </w:p>
        </w:tc>
      </w:tr>
      <w:tr w14:paraId="21FE997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906BE97">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3851FE9">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D.提升农户素质</w:t>
            </w:r>
          </w:p>
        </w:tc>
        <w:tc>
          <w:tcPr>
            <w:tcW w:w="0" w:type="auto"/>
            <w:tcBorders>
              <w:tl2br w:val="nil"/>
              <w:tr2bl w:val="nil"/>
            </w:tcBorders>
            <w:shd w:val="clear" w:color="auto" w:fill="auto"/>
            <w:noWrap/>
            <w:vAlign w:val="center"/>
          </w:tcPr>
          <w:p w14:paraId="0C258752">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20</w:t>
            </w:r>
          </w:p>
        </w:tc>
        <w:tc>
          <w:tcPr>
            <w:tcW w:w="0" w:type="auto"/>
            <w:tcBorders>
              <w:tl2br w:val="nil"/>
              <w:tr2bl w:val="nil"/>
            </w:tcBorders>
            <w:shd w:val="clear" w:color="auto" w:fill="auto"/>
            <w:noWrap/>
            <w:vAlign w:val="center"/>
          </w:tcPr>
          <w:p w14:paraId="4EBCBB77">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74.07%</w:t>
            </w:r>
          </w:p>
        </w:tc>
      </w:tr>
      <w:tr w14:paraId="0792231E">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263258D5">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B5F4106">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E.增加农户经济收入</w:t>
            </w:r>
          </w:p>
        </w:tc>
        <w:tc>
          <w:tcPr>
            <w:tcW w:w="0" w:type="auto"/>
            <w:tcBorders>
              <w:tl2br w:val="nil"/>
              <w:tr2bl w:val="nil"/>
            </w:tcBorders>
            <w:shd w:val="clear" w:color="auto" w:fill="auto"/>
            <w:noWrap/>
            <w:vAlign w:val="center"/>
          </w:tcPr>
          <w:p w14:paraId="45D67A25">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17</w:t>
            </w:r>
          </w:p>
        </w:tc>
        <w:tc>
          <w:tcPr>
            <w:tcW w:w="0" w:type="auto"/>
            <w:tcBorders>
              <w:tl2br w:val="nil"/>
              <w:tr2bl w:val="nil"/>
            </w:tcBorders>
            <w:shd w:val="clear" w:color="auto" w:fill="auto"/>
            <w:noWrap/>
            <w:vAlign w:val="center"/>
          </w:tcPr>
          <w:p w14:paraId="73A3A7CB">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62.96%</w:t>
            </w:r>
          </w:p>
        </w:tc>
      </w:tr>
      <w:tr w14:paraId="57D5030A">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BF89DE9">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BEE4F09">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F.加强高标准农田建设宣传</w:t>
            </w:r>
          </w:p>
        </w:tc>
        <w:tc>
          <w:tcPr>
            <w:tcW w:w="0" w:type="auto"/>
            <w:tcBorders>
              <w:tl2br w:val="nil"/>
              <w:tr2bl w:val="nil"/>
            </w:tcBorders>
            <w:shd w:val="clear" w:color="auto" w:fill="auto"/>
            <w:noWrap/>
            <w:vAlign w:val="center"/>
          </w:tcPr>
          <w:p w14:paraId="37EE936F">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17</w:t>
            </w:r>
          </w:p>
        </w:tc>
        <w:tc>
          <w:tcPr>
            <w:tcW w:w="0" w:type="auto"/>
            <w:tcBorders>
              <w:tl2br w:val="nil"/>
              <w:tr2bl w:val="nil"/>
            </w:tcBorders>
            <w:shd w:val="clear" w:color="auto" w:fill="auto"/>
            <w:noWrap/>
            <w:vAlign w:val="center"/>
          </w:tcPr>
          <w:p w14:paraId="265E6DE9">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62.96%</w:t>
            </w:r>
          </w:p>
        </w:tc>
      </w:tr>
      <w:tr w14:paraId="6D6BC8D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02EFDD87">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C0519CF">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G.其他</w:t>
            </w:r>
          </w:p>
        </w:tc>
        <w:tc>
          <w:tcPr>
            <w:tcW w:w="0" w:type="auto"/>
            <w:tcBorders>
              <w:tl2br w:val="nil"/>
              <w:tr2bl w:val="nil"/>
            </w:tcBorders>
            <w:shd w:val="clear" w:color="auto" w:fill="auto"/>
            <w:noWrap/>
            <w:vAlign w:val="center"/>
          </w:tcPr>
          <w:p w14:paraId="5794D16A">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0" w:type="auto"/>
            <w:tcBorders>
              <w:tl2br w:val="nil"/>
              <w:tr2bl w:val="nil"/>
            </w:tcBorders>
            <w:shd w:val="clear" w:color="auto" w:fill="auto"/>
            <w:noWrap/>
            <w:vAlign w:val="center"/>
          </w:tcPr>
          <w:p w14:paraId="7AB73B2F">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3.70%</w:t>
            </w:r>
          </w:p>
        </w:tc>
      </w:tr>
      <w:tr w14:paraId="177E99BB">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47D7CBC2">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10.您认为影响当地高标准农田建设的主要障碍</w:t>
            </w:r>
            <w:r>
              <w:rPr>
                <w:rFonts w:hint="default" w:ascii="Times New Roman" w:hAnsi="Times New Roman" w:cs="Times New Roman"/>
                <w:i w:val="0"/>
                <w:iCs w:val="0"/>
                <w:color w:val="000000"/>
                <w:kern w:val="0"/>
                <w:sz w:val="22"/>
                <w:szCs w:val="22"/>
                <w:u w:val="none"/>
                <w:lang w:val="en-US" w:eastAsia="zh-CN" w:bidi="ar"/>
              </w:rPr>
              <w:t>有哪些</w:t>
            </w:r>
          </w:p>
        </w:tc>
        <w:tc>
          <w:tcPr>
            <w:tcW w:w="0" w:type="auto"/>
            <w:tcBorders>
              <w:tl2br w:val="nil"/>
              <w:tr2bl w:val="nil"/>
            </w:tcBorders>
            <w:shd w:val="clear" w:color="auto" w:fill="auto"/>
            <w:noWrap/>
            <w:vAlign w:val="center"/>
          </w:tcPr>
          <w:p w14:paraId="0CF4BAA7">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A.政府投资力度小</w:t>
            </w:r>
          </w:p>
        </w:tc>
        <w:tc>
          <w:tcPr>
            <w:tcW w:w="0" w:type="auto"/>
            <w:tcBorders>
              <w:tl2br w:val="nil"/>
              <w:tr2bl w:val="nil"/>
            </w:tcBorders>
            <w:shd w:val="clear" w:color="auto" w:fill="auto"/>
            <w:noWrap/>
            <w:vAlign w:val="center"/>
          </w:tcPr>
          <w:p w14:paraId="4EDAE4B9">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12</w:t>
            </w:r>
          </w:p>
        </w:tc>
        <w:tc>
          <w:tcPr>
            <w:tcW w:w="0" w:type="auto"/>
            <w:tcBorders>
              <w:tl2br w:val="nil"/>
              <w:tr2bl w:val="nil"/>
            </w:tcBorders>
            <w:shd w:val="clear" w:color="auto" w:fill="auto"/>
            <w:noWrap/>
            <w:vAlign w:val="center"/>
          </w:tcPr>
          <w:p w14:paraId="5CABD0FD">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44.44%</w:t>
            </w:r>
          </w:p>
        </w:tc>
      </w:tr>
      <w:tr w14:paraId="1951FB8C">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D467427">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3B3AC604">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B.缺少相关先进技术</w:t>
            </w:r>
          </w:p>
        </w:tc>
        <w:tc>
          <w:tcPr>
            <w:tcW w:w="0" w:type="auto"/>
            <w:tcBorders>
              <w:tl2br w:val="nil"/>
              <w:tr2bl w:val="nil"/>
            </w:tcBorders>
            <w:shd w:val="clear" w:color="auto" w:fill="auto"/>
            <w:noWrap/>
            <w:vAlign w:val="center"/>
          </w:tcPr>
          <w:p w14:paraId="34DD278E">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21</w:t>
            </w:r>
          </w:p>
        </w:tc>
        <w:tc>
          <w:tcPr>
            <w:tcW w:w="0" w:type="auto"/>
            <w:tcBorders>
              <w:tl2br w:val="nil"/>
              <w:tr2bl w:val="nil"/>
            </w:tcBorders>
            <w:shd w:val="clear" w:color="auto" w:fill="auto"/>
            <w:noWrap/>
            <w:vAlign w:val="center"/>
          </w:tcPr>
          <w:p w14:paraId="79BBEF43">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77.78%</w:t>
            </w:r>
          </w:p>
        </w:tc>
      </w:tr>
      <w:tr w14:paraId="69E914CE">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6DB28802">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D7B80FD">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C.缺乏相关有力政策</w:t>
            </w:r>
          </w:p>
        </w:tc>
        <w:tc>
          <w:tcPr>
            <w:tcW w:w="0" w:type="auto"/>
            <w:tcBorders>
              <w:tl2br w:val="nil"/>
              <w:tr2bl w:val="nil"/>
            </w:tcBorders>
            <w:shd w:val="clear" w:color="auto" w:fill="auto"/>
            <w:noWrap/>
            <w:vAlign w:val="center"/>
          </w:tcPr>
          <w:p w14:paraId="57AAF299">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13</w:t>
            </w:r>
          </w:p>
        </w:tc>
        <w:tc>
          <w:tcPr>
            <w:tcW w:w="0" w:type="auto"/>
            <w:tcBorders>
              <w:tl2br w:val="nil"/>
              <w:tr2bl w:val="nil"/>
            </w:tcBorders>
            <w:shd w:val="clear" w:color="auto" w:fill="auto"/>
            <w:noWrap/>
            <w:vAlign w:val="center"/>
          </w:tcPr>
          <w:p w14:paraId="7D54C616">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48.15%</w:t>
            </w:r>
          </w:p>
        </w:tc>
      </w:tr>
      <w:tr w14:paraId="6AE8731E">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586059EA">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0385737D">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D.农户综合素质不高</w:t>
            </w:r>
          </w:p>
        </w:tc>
        <w:tc>
          <w:tcPr>
            <w:tcW w:w="0" w:type="auto"/>
            <w:tcBorders>
              <w:tl2br w:val="nil"/>
              <w:tr2bl w:val="nil"/>
            </w:tcBorders>
            <w:shd w:val="clear" w:color="auto" w:fill="auto"/>
            <w:noWrap/>
            <w:vAlign w:val="center"/>
          </w:tcPr>
          <w:p w14:paraId="3F5E44F1">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18</w:t>
            </w:r>
          </w:p>
        </w:tc>
        <w:tc>
          <w:tcPr>
            <w:tcW w:w="0" w:type="auto"/>
            <w:tcBorders>
              <w:tl2br w:val="nil"/>
              <w:tr2bl w:val="nil"/>
            </w:tcBorders>
            <w:shd w:val="clear" w:color="auto" w:fill="auto"/>
            <w:noWrap/>
            <w:vAlign w:val="center"/>
          </w:tcPr>
          <w:p w14:paraId="6E73CF07">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66.67%</w:t>
            </w:r>
          </w:p>
        </w:tc>
      </w:tr>
      <w:tr w14:paraId="399B750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3076DB5C">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630E0CA0">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E.农户经济收入低</w:t>
            </w:r>
          </w:p>
        </w:tc>
        <w:tc>
          <w:tcPr>
            <w:tcW w:w="0" w:type="auto"/>
            <w:tcBorders>
              <w:tl2br w:val="nil"/>
              <w:tr2bl w:val="nil"/>
            </w:tcBorders>
            <w:shd w:val="clear" w:color="auto" w:fill="auto"/>
            <w:noWrap/>
            <w:vAlign w:val="center"/>
          </w:tcPr>
          <w:p w14:paraId="66136525">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16</w:t>
            </w:r>
          </w:p>
        </w:tc>
        <w:tc>
          <w:tcPr>
            <w:tcW w:w="0" w:type="auto"/>
            <w:tcBorders>
              <w:tl2br w:val="nil"/>
              <w:tr2bl w:val="nil"/>
            </w:tcBorders>
            <w:shd w:val="clear" w:color="auto" w:fill="auto"/>
            <w:noWrap/>
            <w:vAlign w:val="center"/>
          </w:tcPr>
          <w:p w14:paraId="08EBA9C0">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59.26%</w:t>
            </w:r>
          </w:p>
        </w:tc>
      </w:tr>
      <w:tr w14:paraId="22EEBEF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676CFE2C">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0E1D2754">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F.高标准农田建设宣传不到位</w:t>
            </w:r>
          </w:p>
        </w:tc>
        <w:tc>
          <w:tcPr>
            <w:tcW w:w="0" w:type="auto"/>
            <w:tcBorders>
              <w:tl2br w:val="nil"/>
              <w:tr2bl w:val="nil"/>
            </w:tcBorders>
            <w:shd w:val="clear" w:color="auto" w:fill="auto"/>
            <w:noWrap/>
            <w:vAlign w:val="center"/>
          </w:tcPr>
          <w:p w14:paraId="1F58C57B">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5</w:t>
            </w:r>
          </w:p>
        </w:tc>
        <w:tc>
          <w:tcPr>
            <w:tcW w:w="0" w:type="auto"/>
            <w:tcBorders>
              <w:tl2br w:val="nil"/>
              <w:tr2bl w:val="nil"/>
            </w:tcBorders>
            <w:shd w:val="clear" w:color="auto" w:fill="auto"/>
            <w:noWrap/>
            <w:vAlign w:val="center"/>
          </w:tcPr>
          <w:p w14:paraId="30B37CF6">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18.52%</w:t>
            </w:r>
          </w:p>
        </w:tc>
      </w:tr>
      <w:tr w14:paraId="33FCC470">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2056CDA">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7D682DED">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G.其他</w:t>
            </w:r>
          </w:p>
        </w:tc>
        <w:tc>
          <w:tcPr>
            <w:tcW w:w="0" w:type="auto"/>
            <w:tcBorders>
              <w:tl2br w:val="nil"/>
              <w:tr2bl w:val="nil"/>
            </w:tcBorders>
            <w:shd w:val="clear" w:color="auto" w:fill="auto"/>
            <w:noWrap/>
            <w:vAlign w:val="center"/>
          </w:tcPr>
          <w:p w14:paraId="51FEA641">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0" w:type="auto"/>
            <w:tcBorders>
              <w:tl2br w:val="nil"/>
              <w:tr2bl w:val="nil"/>
            </w:tcBorders>
            <w:shd w:val="clear" w:color="auto" w:fill="auto"/>
            <w:noWrap/>
            <w:vAlign w:val="center"/>
          </w:tcPr>
          <w:p w14:paraId="73563B75">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11.11%</w:t>
            </w:r>
          </w:p>
        </w:tc>
      </w:tr>
      <w:tr w14:paraId="2CBAA4A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5050D053">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11.您对项目在改善生产条件方面是否满意？</w:t>
            </w:r>
          </w:p>
        </w:tc>
        <w:tc>
          <w:tcPr>
            <w:tcW w:w="0" w:type="auto"/>
            <w:tcBorders>
              <w:tl2br w:val="nil"/>
              <w:tr2bl w:val="nil"/>
            </w:tcBorders>
            <w:shd w:val="clear" w:color="auto" w:fill="auto"/>
            <w:noWrap/>
            <w:vAlign w:val="center"/>
          </w:tcPr>
          <w:p w14:paraId="4DDDC096">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A.非常满意</w:t>
            </w:r>
          </w:p>
        </w:tc>
        <w:tc>
          <w:tcPr>
            <w:tcW w:w="0" w:type="auto"/>
            <w:tcBorders>
              <w:tl2br w:val="nil"/>
              <w:tr2bl w:val="nil"/>
            </w:tcBorders>
            <w:shd w:val="clear" w:color="auto" w:fill="auto"/>
            <w:noWrap/>
            <w:vAlign w:val="center"/>
          </w:tcPr>
          <w:p w14:paraId="7A385ADB">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20</w:t>
            </w:r>
          </w:p>
        </w:tc>
        <w:tc>
          <w:tcPr>
            <w:tcW w:w="0" w:type="auto"/>
            <w:tcBorders>
              <w:tl2br w:val="nil"/>
              <w:tr2bl w:val="nil"/>
            </w:tcBorders>
            <w:shd w:val="clear" w:color="auto" w:fill="auto"/>
            <w:noWrap/>
            <w:vAlign w:val="center"/>
          </w:tcPr>
          <w:p w14:paraId="1FB3F9F2">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74.07%</w:t>
            </w:r>
          </w:p>
        </w:tc>
      </w:tr>
      <w:tr w14:paraId="7FED3621">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DDC70D5">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62BBA96">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B.比较满意</w:t>
            </w:r>
          </w:p>
        </w:tc>
        <w:tc>
          <w:tcPr>
            <w:tcW w:w="0" w:type="auto"/>
            <w:tcBorders>
              <w:tl2br w:val="nil"/>
              <w:tr2bl w:val="nil"/>
            </w:tcBorders>
            <w:shd w:val="clear" w:color="auto" w:fill="auto"/>
            <w:noWrap/>
            <w:vAlign w:val="center"/>
          </w:tcPr>
          <w:p w14:paraId="70297AFF">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6</w:t>
            </w:r>
          </w:p>
        </w:tc>
        <w:tc>
          <w:tcPr>
            <w:tcW w:w="0" w:type="auto"/>
            <w:tcBorders>
              <w:tl2br w:val="nil"/>
              <w:tr2bl w:val="nil"/>
            </w:tcBorders>
            <w:shd w:val="clear" w:color="auto" w:fill="auto"/>
            <w:noWrap/>
            <w:vAlign w:val="center"/>
          </w:tcPr>
          <w:p w14:paraId="6439E038">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22.22%</w:t>
            </w:r>
          </w:p>
        </w:tc>
      </w:tr>
      <w:tr w14:paraId="45440BD1">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7A8497B3">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CB93F47">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C.基本满意</w:t>
            </w:r>
          </w:p>
        </w:tc>
        <w:tc>
          <w:tcPr>
            <w:tcW w:w="0" w:type="auto"/>
            <w:tcBorders>
              <w:tl2br w:val="nil"/>
              <w:tr2bl w:val="nil"/>
            </w:tcBorders>
            <w:shd w:val="clear" w:color="auto" w:fill="auto"/>
            <w:noWrap/>
            <w:vAlign w:val="center"/>
          </w:tcPr>
          <w:p w14:paraId="1B475A10">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w:t>
            </w:r>
          </w:p>
        </w:tc>
        <w:tc>
          <w:tcPr>
            <w:tcW w:w="0" w:type="auto"/>
            <w:tcBorders>
              <w:tl2br w:val="nil"/>
              <w:tr2bl w:val="nil"/>
            </w:tcBorders>
            <w:shd w:val="clear" w:color="auto" w:fill="auto"/>
            <w:noWrap/>
            <w:vAlign w:val="center"/>
          </w:tcPr>
          <w:p w14:paraId="03620552">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3.70%</w:t>
            </w:r>
          </w:p>
        </w:tc>
      </w:tr>
      <w:tr w14:paraId="39027B4E">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79F312DF">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5233E45B">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D.不满意</w:t>
            </w:r>
          </w:p>
        </w:tc>
        <w:tc>
          <w:tcPr>
            <w:tcW w:w="0" w:type="auto"/>
            <w:tcBorders>
              <w:tl2br w:val="nil"/>
              <w:tr2bl w:val="nil"/>
            </w:tcBorders>
            <w:shd w:val="clear" w:color="auto" w:fill="auto"/>
            <w:noWrap/>
            <w:vAlign w:val="center"/>
          </w:tcPr>
          <w:p w14:paraId="721DA734">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65EB5126">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302DCA8F">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17CD5E04">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12.您对高标准农田建设项目的工程质量是否满意？</w:t>
            </w:r>
          </w:p>
        </w:tc>
        <w:tc>
          <w:tcPr>
            <w:tcW w:w="0" w:type="auto"/>
            <w:tcBorders>
              <w:tl2br w:val="nil"/>
              <w:tr2bl w:val="nil"/>
            </w:tcBorders>
            <w:shd w:val="clear" w:color="auto" w:fill="auto"/>
            <w:noWrap/>
            <w:vAlign w:val="center"/>
          </w:tcPr>
          <w:p w14:paraId="50BE743D">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A.非常满意</w:t>
            </w:r>
          </w:p>
        </w:tc>
        <w:tc>
          <w:tcPr>
            <w:tcW w:w="0" w:type="auto"/>
            <w:tcBorders>
              <w:tl2br w:val="nil"/>
              <w:tr2bl w:val="nil"/>
            </w:tcBorders>
            <w:shd w:val="clear" w:color="auto" w:fill="auto"/>
            <w:noWrap/>
            <w:vAlign w:val="center"/>
          </w:tcPr>
          <w:p w14:paraId="4C94B801">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22</w:t>
            </w:r>
          </w:p>
        </w:tc>
        <w:tc>
          <w:tcPr>
            <w:tcW w:w="0" w:type="auto"/>
            <w:tcBorders>
              <w:tl2br w:val="nil"/>
              <w:tr2bl w:val="nil"/>
            </w:tcBorders>
            <w:shd w:val="clear" w:color="auto" w:fill="auto"/>
            <w:noWrap/>
            <w:vAlign w:val="center"/>
          </w:tcPr>
          <w:p w14:paraId="21C6A57B">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81.48%</w:t>
            </w:r>
          </w:p>
        </w:tc>
      </w:tr>
      <w:tr w14:paraId="202834F2">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012389F3">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227D577E">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B.比较满意</w:t>
            </w:r>
          </w:p>
        </w:tc>
        <w:tc>
          <w:tcPr>
            <w:tcW w:w="0" w:type="auto"/>
            <w:tcBorders>
              <w:tl2br w:val="nil"/>
              <w:tr2bl w:val="nil"/>
            </w:tcBorders>
            <w:shd w:val="clear" w:color="auto" w:fill="auto"/>
            <w:noWrap/>
            <w:vAlign w:val="center"/>
          </w:tcPr>
          <w:p w14:paraId="78429C40">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0" w:type="auto"/>
            <w:tcBorders>
              <w:tl2br w:val="nil"/>
              <w:tr2bl w:val="nil"/>
            </w:tcBorders>
            <w:shd w:val="clear" w:color="auto" w:fill="auto"/>
            <w:noWrap/>
            <w:vAlign w:val="center"/>
          </w:tcPr>
          <w:p w14:paraId="3DE2360B">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7.41%</w:t>
            </w:r>
          </w:p>
        </w:tc>
      </w:tr>
      <w:tr w14:paraId="6BC0131F">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2597EB3">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0541CD1E">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C.基本满意</w:t>
            </w:r>
          </w:p>
        </w:tc>
        <w:tc>
          <w:tcPr>
            <w:tcW w:w="0" w:type="auto"/>
            <w:tcBorders>
              <w:tl2br w:val="nil"/>
              <w:tr2bl w:val="nil"/>
            </w:tcBorders>
            <w:shd w:val="clear" w:color="auto" w:fill="auto"/>
            <w:noWrap/>
            <w:vAlign w:val="center"/>
          </w:tcPr>
          <w:p w14:paraId="4832E601">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3</w:t>
            </w:r>
          </w:p>
        </w:tc>
        <w:tc>
          <w:tcPr>
            <w:tcW w:w="0" w:type="auto"/>
            <w:tcBorders>
              <w:tl2br w:val="nil"/>
              <w:tr2bl w:val="nil"/>
            </w:tcBorders>
            <w:shd w:val="clear" w:color="auto" w:fill="auto"/>
            <w:noWrap/>
            <w:vAlign w:val="center"/>
          </w:tcPr>
          <w:p w14:paraId="155A6219">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11.11%</w:t>
            </w:r>
          </w:p>
        </w:tc>
      </w:tr>
      <w:tr w14:paraId="528E09A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604C2D2B">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13F0B77F">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D.不满意</w:t>
            </w:r>
          </w:p>
        </w:tc>
        <w:tc>
          <w:tcPr>
            <w:tcW w:w="0" w:type="auto"/>
            <w:tcBorders>
              <w:tl2br w:val="nil"/>
              <w:tr2bl w:val="nil"/>
            </w:tcBorders>
            <w:shd w:val="clear" w:color="auto" w:fill="auto"/>
            <w:noWrap/>
            <w:vAlign w:val="center"/>
          </w:tcPr>
          <w:p w14:paraId="04412562">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tl2br w:val="nil"/>
              <w:tr2bl w:val="nil"/>
            </w:tcBorders>
            <w:shd w:val="clear" w:color="auto" w:fill="auto"/>
            <w:noWrap/>
            <w:vAlign w:val="center"/>
          </w:tcPr>
          <w:p w14:paraId="2F359380">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tr w14:paraId="799512DE">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restart"/>
            <w:tcBorders>
              <w:tl2br w:val="nil"/>
              <w:tr2bl w:val="nil"/>
            </w:tcBorders>
            <w:shd w:val="clear" w:color="auto" w:fill="auto"/>
            <w:vAlign w:val="center"/>
          </w:tcPr>
          <w:p w14:paraId="28CBD6D4">
            <w:pPr>
              <w:keepNext w:val="0"/>
              <w:keepLines w:val="0"/>
              <w:widowControl/>
              <w:suppressLineNumbers w:val="0"/>
              <w:ind w:left="0" w:leftChars="0" w:firstLine="0" w:firstLineChars="0"/>
              <w:jc w:val="lef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13.您对高标准农田建设项目的总体满意度？</w:t>
            </w:r>
          </w:p>
        </w:tc>
        <w:tc>
          <w:tcPr>
            <w:tcW w:w="0" w:type="auto"/>
            <w:tcBorders>
              <w:tl2br w:val="nil"/>
              <w:tr2bl w:val="nil"/>
            </w:tcBorders>
            <w:shd w:val="clear" w:color="auto" w:fill="auto"/>
            <w:noWrap/>
            <w:vAlign w:val="center"/>
          </w:tcPr>
          <w:p w14:paraId="4683B8C0">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A.非常满意</w:t>
            </w:r>
          </w:p>
        </w:tc>
        <w:tc>
          <w:tcPr>
            <w:tcW w:w="0" w:type="auto"/>
            <w:tcBorders>
              <w:tl2br w:val="nil"/>
              <w:tr2bl w:val="nil"/>
            </w:tcBorders>
            <w:shd w:val="clear" w:color="auto" w:fill="auto"/>
            <w:noWrap/>
            <w:vAlign w:val="center"/>
          </w:tcPr>
          <w:p w14:paraId="651588C1">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21</w:t>
            </w:r>
          </w:p>
        </w:tc>
        <w:tc>
          <w:tcPr>
            <w:tcW w:w="0" w:type="auto"/>
            <w:tcBorders>
              <w:tl2br w:val="nil"/>
              <w:tr2bl w:val="nil"/>
            </w:tcBorders>
            <w:shd w:val="clear" w:color="auto" w:fill="auto"/>
            <w:noWrap/>
            <w:vAlign w:val="center"/>
          </w:tcPr>
          <w:p w14:paraId="24D91089">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77.78%</w:t>
            </w:r>
          </w:p>
        </w:tc>
      </w:tr>
      <w:tr w14:paraId="6F13304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309A9FF8">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02DE7420">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B.比较满意</w:t>
            </w:r>
          </w:p>
        </w:tc>
        <w:tc>
          <w:tcPr>
            <w:tcW w:w="0" w:type="auto"/>
            <w:tcBorders>
              <w:tl2br w:val="nil"/>
              <w:tr2bl w:val="nil"/>
            </w:tcBorders>
            <w:shd w:val="clear" w:color="auto" w:fill="auto"/>
            <w:noWrap/>
            <w:vAlign w:val="center"/>
          </w:tcPr>
          <w:p w14:paraId="4FEBAC7E">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4</w:t>
            </w:r>
          </w:p>
        </w:tc>
        <w:tc>
          <w:tcPr>
            <w:tcW w:w="0" w:type="auto"/>
            <w:tcBorders>
              <w:tl2br w:val="nil"/>
              <w:tr2bl w:val="nil"/>
            </w:tcBorders>
            <w:shd w:val="clear" w:color="auto" w:fill="auto"/>
            <w:noWrap/>
            <w:vAlign w:val="center"/>
          </w:tcPr>
          <w:p w14:paraId="76308C06">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14.81%</w:t>
            </w:r>
          </w:p>
        </w:tc>
      </w:tr>
      <w:tr w14:paraId="3C7C99FB">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tl2br w:val="nil"/>
              <w:tr2bl w:val="nil"/>
            </w:tcBorders>
            <w:shd w:val="clear" w:color="auto" w:fill="auto"/>
            <w:vAlign w:val="center"/>
          </w:tcPr>
          <w:p w14:paraId="4B8FE1B7">
            <w:pPr>
              <w:jc w:val="left"/>
              <w:rPr>
                <w:rFonts w:hint="default" w:ascii="Times New Roman" w:hAnsi="Times New Roman" w:eastAsia="仿宋" w:cs="Times New Roman"/>
                <w:i w:val="0"/>
                <w:iCs w:val="0"/>
                <w:color w:val="000000"/>
                <w:sz w:val="22"/>
                <w:szCs w:val="22"/>
                <w:u w:val="none"/>
              </w:rPr>
            </w:pPr>
          </w:p>
        </w:tc>
        <w:tc>
          <w:tcPr>
            <w:tcW w:w="0" w:type="auto"/>
            <w:tcBorders>
              <w:tl2br w:val="nil"/>
              <w:tr2bl w:val="nil"/>
            </w:tcBorders>
            <w:shd w:val="clear" w:color="auto" w:fill="auto"/>
            <w:noWrap/>
            <w:vAlign w:val="center"/>
          </w:tcPr>
          <w:p w14:paraId="0544242B">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C.基本满意</w:t>
            </w:r>
          </w:p>
        </w:tc>
        <w:tc>
          <w:tcPr>
            <w:tcW w:w="0" w:type="auto"/>
            <w:tcBorders>
              <w:tl2br w:val="nil"/>
              <w:tr2bl w:val="nil"/>
            </w:tcBorders>
            <w:shd w:val="clear" w:color="auto" w:fill="auto"/>
            <w:noWrap/>
            <w:vAlign w:val="center"/>
          </w:tcPr>
          <w:p w14:paraId="00BFA564">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2</w:t>
            </w:r>
          </w:p>
        </w:tc>
        <w:tc>
          <w:tcPr>
            <w:tcW w:w="0" w:type="auto"/>
            <w:tcBorders>
              <w:tl2br w:val="nil"/>
              <w:tr2bl w:val="nil"/>
            </w:tcBorders>
            <w:shd w:val="clear" w:color="auto" w:fill="auto"/>
            <w:noWrap/>
            <w:vAlign w:val="center"/>
          </w:tcPr>
          <w:p w14:paraId="29DAF236">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7.41%</w:t>
            </w:r>
          </w:p>
        </w:tc>
      </w:tr>
      <w:tr w14:paraId="7F58F97A">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0" w:hRule="atLeast"/>
        </w:trPr>
        <w:tc>
          <w:tcPr>
            <w:tcW w:w="0" w:type="auto"/>
            <w:vMerge w:val="continue"/>
            <w:tcBorders>
              <w:bottom w:val="single" w:color="auto" w:sz="12" w:space="0"/>
              <w:tl2br w:val="nil"/>
              <w:tr2bl w:val="nil"/>
            </w:tcBorders>
            <w:shd w:val="clear" w:color="auto" w:fill="auto"/>
            <w:vAlign w:val="center"/>
          </w:tcPr>
          <w:p w14:paraId="3BA58CDF">
            <w:pPr>
              <w:jc w:val="left"/>
              <w:rPr>
                <w:rFonts w:hint="default" w:ascii="Times New Roman" w:hAnsi="Times New Roman" w:eastAsia="仿宋" w:cs="Times New Roman"/>
                <w:i w:val="0"/>
                <w:iCs w:val="0"/>
                <w:color w:val="000000"/>
                <w:sz w:val="22"/>
                <w:szCs w:val="22"/>
                <w:u w:val="none"/>
              </w:rPr>
            </w:pPr>
          </w:p>
        </w:tc>
        <w:tc>
          <w:tcPr>
            <w:tcW w:w="0" w:type="auto"/>
            <w:tcBorders>
              <w:bottom w:val="single" w:color="auto" w:sz="12" w:space="0"/>
              <w:tl2br w:val="nil"/>
              <w:tr2bl w:val="nil"/>
            </w:tcBorders>
            <w:shd w:val="clear" w:color="auto" w:fill="auto"/>
            <w:noWrap/>
            <w:vAlign w:val="center"/>
          </w:tcPr>
          <w:p w14:paraId="7818E83E">
            <w:pPr>
              <w:keepNext w:val="0"/>
              <w:keepLines w:val="0"/>
              <w:widowControl/>
              <w:suppressLineNumbers w:val="0"/>
              <w:ind w:left="0" w:leftChars="0" w:firstLine="0" w:firstLineChars="0"/>
              <w:jc w:val="both"/>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D.不满意</w:t>
            </w:r>
          </w:p>
        </w:tc>
        <w:tc>
          <w:tcPr>
            <w:tcW w:w="0" w:type="auto"/>
            <w:tcBorders>
              <w:bottom w:val="single" w:color="auto" w:sz="12" w:space="0"/>
              <w:tl2br w:val="nil"/>
              <w:tr2bl w:val="nil"/>
            </w:tcBorders>
            <w:shd w:val="clear" w:color="auto" w:fill="auto"/>
            <w:noWrap/>
            <w:vAlign w:val="center"/>
          </w:tcPr>
          <w:p w14:paraId="69490B90">
            <w:pPr>
              <w:keepNext w:val="0"/>
              <w:keepLines w:val="0"/>
              <w:widowControl/>
              <w:suppressLineNumbers w:val="0"/>
              <w:jc w:val="center"/>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w:t>
            </w:r>
          </w:p>
        </w:tc>
        <w:tc>
          <w:tcPr>
            <w:tcW w:w="0" w:type="auto"/>
            <w:tcBorders>
              <w:bottom w:val="single" w:color="auto" w:sz="12" w:space="0"/>
              <w:tl2br w:val="nil"/>
              <w:tr2bl w:val="nil"/>
            </w:tcBorders>
            <w:shd w:val="clear" w:color="auto" w:fill="auto"/>
            <w:noWrap/>
            <w:vAlign w:val="center"/>
          </w:tcPr>
          <w:p w14:paraId="1E0CDB58">
            <w:pPr>
              <w:keepNext w:val="0"/>
              <w:keepLines w:val="0"/>
              <w:widowControl/>
              <w:suppressLineNumbers w:val="0"/>
              <w:jc w:val="right"/>
              <w:textAlignment w:val="center"/>
              <w:rPr>
                <w:rFonts w:hint="default" w:ascii="Times New Roman" w:hAnsi="Times New Roman" w:eastAsia="仿宋" w:cs="Times New Roman"/>
                <w:i w:val="0"/>
                <w:iCs w:val="0"/>
                <w:color w:val="000000"/>
                <w:sz w:val="22"/>
                <w:szCs w:val="22"/>
                <w:u w:val="none"/>
              </w:rPr>
            </w:pPr>
            <w:r>
              <w:rPr>
                <w:rFonts w:hint="default" w:ascii="Times New Roman" w:hAnsi="Times New Roman" w:eastAsia="仿宋" w:cs="Times New Roman"/>
                <w:i w:val="0"/>
                <w:iCs w:val="0"/>
                <w:color w:val="000000"/>
                <w:kern w:val="0"/>
                <w:sz w:val="22"/>
                <w:szCs w:val="22"/>
                <w:u w:val="none"/>
                <w:lang w:val="en-US" w:eastAsia="zh-CN" w:bidi="ar"/>
              </w:rPr>
              <w:t>0.00%</w:t>
            </w:r>
          </w:p>
        </w:tc>
      </w:tr>
      <w:bookmarkEnd w:id="77"/>
      <w:bookmarkEnd w:id="103"/>
    </w:tbl>
    <w:p w14:paraId="626A25F3">
      <w:pPr>
        <w:spacing w:line="560" w:lineRule="exact"/>
        <w:ind w:firstLine="640"/>
        <w:outlineLvl w:val="0"/>
        <w:rPr>
          <w:rFonts w:hint="default" w:ascii="Times New Roman" w:hAnsi="Times New Roman" w:eastAsia="黑体" w:cs="Times New Roman"/>
          <w:b/>
          <w:bCs/>
          <w:szCs w:val="22"/>
        </w:rPr>
      </w:pPr>
      <w:bookmarkStart w:id="104" w:name="_Toc86224151"/>
      <w:bookmarkStart w:id="105" w:name="_Toc48503673"/>
      <w:bookmarkStart w:id="106" w:name="_Toc18808"/>
      <w:bookmarkStart w:id="107" w:name="_Toc136706216"/>
      <w:bookmarkStart w:id="108" w:name="_Toc23093329"/>
      <w:r>
        <w:rPr>
          <w:rFonts w:hint="default" w:ascii="Times New Roman" w:hAnsi="Times New Roman" w:eastAsia="黑体" w:cs="Times New Roman"/>
          <w:b/>
          <w:bCs/>
          <w:szCs w:val="22"/>
        </w:rPr>
        <w:t>五、评价中发现的问题或不足</w:t>
      </w:r>
      <w:bookmarkEnd w:id="104"/>
      <w:bookmarkEnd w:id="105"/>
      <w:bookmarkEnd w:id="106"/>
      <w:bookmarkEnd w:id="107"/>
      <w:bookmarkEnd w:id="108"/>
    </w:p>
    <w:p w14:paraId="0A91E1E8">
      <w:pPr>
        <w:pStyle w:val="4"/>
        <w:keepNext/>
        <w:keepLines/>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rPr>
      </w:pPr>
      <w:bookmarkStart w:id="109" w:name="_Toc5465"/>
      <w:bookmarkStart w:id="110" w:name="_Toc136706219"/>
      <w:r>
        <w:rPr>
          <w:rFonts w:hint="default" w:ascii="Times New Roman" w:hAnsi="Times New Roman" w:cs="Times New Roman"/>
        </w:rPr>
        <w:t>（</w:t>
      </w:r>
      <w:r>
        <w:rPr>
          <w:rFonts w:hint="default" w:ascii="Times New Roman" w:hAnsi="Times New Roman" w:cs="Times New Roman"/>
          <w:lang w:val="en-US" w:eastAsia="zh-CN"/>
        </w:rPr>
        <w:t>一</w:t>
      </w:r>
      <w:r>
        <w:rPr>
          <w:rFonts w:hint="default" w:ascii="Times New Roman" w:hAnsi="Times New Roman" w:cs="Times New Roman"/>
        </w:rPr>
        <w:t>）年度绩效目标管理不规范</w:t>
      </w:r>
      <w:bookmarkEnd w:id="109"/>
      <w:bookmarkEnd w:id="110"/>
    </w:p>
    <w:p w14:paraId="37BCFD90">
      <w:pPr>
        <w:spacing w:line="560" w:lineRule="exact"/>
        <w:ind w:firstLine="640"/>
        <w:rPr>
          <w:rFonts w:hint="default" w:ascii="Times New Roman" w:hAnsi="Times New Roman" w:cs="Times New Roman"/>
        </w:rPr>
      </w:pPr>
      <w:r>
        <w:rPr>
          <w:rFonts w:hint="default" w:ascii="Times New Roman" w:hAnsi="Times New Roman" w:cs="Times New Roman"/>
        </w:rPr>
        <w:t>根据财政部门要求，</w:t>
      </w:r>
      <w:r>
        <w:rPr>
          <w:rFonts w:hint="default" w:ascii="Times New Roman" w:hAnsi="Times New Roman" w:cs="Times New Roman"/>
          <w:szCs w:val="32"/>
          <w:lang w:val="en-US" w:eastAsia="zh-CN"/>
        </w:rPr>
        <w:t>罗江区</w:t>
      </w:r>
      <w:r>
        <w:rPr>
          <w:rFonts w:hint="default" w:ascii="Times New Roman" w:hAnsi="Times New Roman" w:cs="Times New Roman"/>
          <w:szCs w:val="32"/>
        </w:rPr>
        <w:t>农业农村局</w:t>
      </w:r>
      <w:r>
        <w:rPr>
          <w:rFonts w:hint="default" w:ascii="Times New Roman" w:hAnsi="Times New Roman" w:cs="Times New Roman"/>
          <w:bCs/>
          <w:szCs w:val="32"/>
        </w:rPr>
        <w:t>填报了《202</w:t>
      </w:r>
      <w:r>
        <w:rPr>
          <w:rFonts w:hint="default" w:ascii="Times New Roman" w:hAnsi="Times New Roman" w:cs="Times New Roman"/>
          <w:bCs/>
          <w:szCs w:val="32"/>
          <w:lang w:val="en-US" w:eastAsia="zh-CN"/>
        </w:rPr>
        <w:t>3</w:t>
      </w:r>
      <w:r>
        <w:rPr>
          <w:rFonts w:hint="default" w:ascii="Times New Roman" w:hAnsi="Times New Roman" w:cs="Times New Roman"/>
          <w:bCs/>
          <w:szCs w:val="32"/>
        </w:rPr>
        <w:t>年高标准农田建设项目</w:t>
      </w:r>
      <w:r>
        <w:rPr>
          <w:rFonts w:hint="default" w:ascii="Times New Roman" w:hAnsi="Times New Roman" w:cs="Times New Roman"/>
          <w:szCs w:val="32"/>
        </w:rPr>
        <w:t>绩效目标申报表</w:t>
      </w:r>
      <w:r>
        <w:rPr>
          <w:rFonts w:hint="default" w:ascii="Times New Roman" w:hAnsi="Times New Roman" w:cs="Times New Roman"/>
          <w:bCs/>
          <w:szCs w:val="32"/>
        </w:rPr>
        <w:t>》</w:t>
      </w:r>
      <w:r>
        <w:rPr>
          <w:rFonts w:hint="default" w:ascii="Times New Roman" w:hAnsi="Times New Roman" w:cs="Times New Roman"/>
          <w:szCs w:val="32"/>
        </w:rPr>
        <w:t>，</w:t>
      </w:r>
      <w:r>
        <w:rPr>
          <w:rFonts w:hint="default" w:ascii="Times New Roman" w:hAnsi="Times New Roman" w:cs="Times New Roman"/>
        </w:rPr>
        <w:t>指标填报内容基本完整，但整体填报质量不高，主要表现为数量指标设置</w:t>
      </w:r>
      <w:r>
        <w:rPr>
          <w:rFonts w:hint="default" w:ascii="Times New Roman" w:hAnsi="Times New Roman" w:cs="Times New Roman"/>
          <w:lang w:val="en-US" w:eastAsia="zh-CN"/>
        </w:rPr>
        <w:t>不准确</w:t>
      </w:r>
      <w:r>
        <w:rPr>
          <w:rFonts w:hint="default" w:ascii="Times New Roman" w:hAnsi="Times New Roman" w:cs="Times New Roman"/>
        </w:rPr>
        <w:t>、成本指标未细化，项目整体计划与目标未反映在绩效目标申报表中等，无法如实反映项目目标计划。</w:t>
      </w:r>
    </w:p>
    <w:p w14:paraId="1416CF48">
      <w:pPr>
        <w:spacing w:line="560" w:lineRule="exact"/>
        <w:ind w:firstLine="643"/>
        <w:outlineLvl w:val="1"/>
        <w:rPr>
          <w:rFonts w:hint="default" w:ascii="Times New Roman" w:hAnsi="Times New Roman" w:eastAsia="楷体" w:cs="Times New Roman"/>
          <w:b/>
          <w:bCs/>
          <w:color w:val="auto"/>
          <w:szCs w:val="22"/>
          <w:lang w:val="en-US" w:eastAsia="zh-CN"/>
        </w:rPr>
      </w:pPr>
      <w:bookmarkStart w:id="111" w:name="_Toc136706221"/>
      <w:bookmarkStart w:id="112" w:name="_Toc18432"/>
      <w:r>
        <w:rPr>
          <w:rFonts w:hint="default" w:ascii="Times New Roman" w:hAnsi="Times New Roman" w:eastAsia="楷体" w:cs="Times New Roman"/>
          <w:b/>
          <w:bCs/>
          <w:color w:val="auto"/>
          <w:szCs w:val="22"/>
        </w:rPr>
        <w:t>（</w:t>
      </w:r>
      <w:r>
        <w:rPr>
          <w:rFonts w:hint="default" w:ascii="Times New Roman" w:hAnsi="Times New Roman" w:eastAsia="楷体" w:cs="Times New Roman"/>
          <w:b/>
          <w:bCs/>
          <w:color w:val="auto"/>
          <w:szCs w:val="22"/>
          <w:lang w:val="en-US" w:eastAsia="zh-CN"/>
        </w:rPr>
        <w:t>二</w:t>
      </w:r>
      <w:r>
        <w:rPr>
          <w:rFonts w:hint="default" w:ascii="Times New Roman" w:hAnsi="Times New Roman" w:eastAsia="楷体" w:cs="Times New Roman"/>
          <w:b/>
          <w:bCs/>
          <w:color w:val="auto"/>
          <w:szCs w:val="22"/>
        </w:rPr>
        <w:t>）</w:t>
      </w:r>
      <w:bookmarkEnd w:id="111"/>
      <w:r>
        <w:rPr>
          <w:rFonts w:hint="default" w:ascii="Times New Roman" w:hAnsi="Times New Roman" w:eastAsia="楷体" w:cs="Times New Roman"/>
          <w:b/>
          <w:bCs/>
          <w:color w:val="auto"/>
          <w:szCs w:val="22"/>
          <w:lang w:val="en-US" w:eastAsia="zh-CN"/>
        </w:rPr>
        <w:t>项目未按计划时间及时完成</w:t>
      </w:r>
      <w:bookmarkEnd w:id="112"/>
    </w:p>
    <w:p w14:paraId="4D17A156">
      <w:pPr>
        <w:pStyle w:val="2"/>
        <w:spacing w:line="560" w:lineRule="exact"/>
        <w:ind w:firstLine="640"/>
        <w:rPr>
          <w:rFonts w:hint="default" w:ascii="Times New Roman" w:hAnsi="Times New Roman" w:eastAsia="仿宋" w:cs="Times New Roman"/>
        </w:rPr>
      </w:pPr>
      <w:bookmarkStart w:id="113" w:name="_Toc136706222"/>
      <w:r>
        <w:rPr>
          <w:rFonts w:hint="default" w:ascii="Times New Roman" w:hAnsi="Times New Roman" w:eastAsia="仿宋" w:cs="Times New Roman"/>
          <w:szCs w:val="32"/>
          <w:lang w:val="en-US" w:eastAsia="zh-CN"/>
        </w:rPr>
        <w:t>项目主管单位未及时组织区级验收。根据《四川省德阳市罗江区2023年高标准农田改造提升项目实施方案》，高标准农田建设项目本应在2024年3月完成区级验收，截至</w:t>
      </w:r>
      <w:r>
        <w:rPr>
          <w:rFonts w:hint="default" w:ascii="Times New Roman" w:hAnsi="Times New Roman" w:eastAsia="仿宋" w:cs="Times New Roman"/>
          <w:szCs w:val="32"/>
        </w:rPr>
        <w:t>评价日，</w:t>
      </w:r>
      <w:r>
        <w:rPr>
          <w:rFonts w:hint="default" w:ascii="Times New Roman" w:hAnsi="Times New Roman" w:eastAsia="仿宋" w:cs="Times New Roman"/>
          <w:szCs w:val="32"/>
          <w:lang w:val="en-US" w:eastAsia="zh-CN"/>
        </w:rPr>
        <w:t>罗江</w:t>
      </w:r>
      <w:r>
        <w:rPr>
          <w:rFonts w:hint="default" w:ascii="Times New Roman" w:hAnsi="Times New Roman" w:eastAsia="仿宋" w:cs="Times New Roman"/>
          <w:szCs w:val="32"/>
        </w:rPr>
        <w:t>农业农村局</w:t>
      </w:r>
      <w:r>
        <w:rPr>
          <w:rFonts w:hint="default" w:ascii="Times New Roman" w:hAnsi="Times New Roman" w:eastAsia="仿宋" w:cs="Times New Roman"/>
        </w:rPr>
        <w:t>尚未组织区级相关部门进行联合初步验收。</w:t>
      </w:r>
    </w:p>
    <w:p w14:paraId="250C5AC3">
      <w:pPr>
        <w:pStyle w:val="4"/>
        <w:keepNext/>
        <w:keepLines/>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highlight w:val="none"/>
          <w:lang w:val="en-US" w:eastAsia="zh-CN"/>
        </w:rPr>
      </w:pPr>
      <w:bookmarkStart w:id="114" w:name="_Toc24154"/>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三</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总成本控制情况较差</w:t>
      </w:r>
      <w:bookmarkEnd w:id="114"/>
    </w:p>
    <w:p w14:paraId="3F2C9C4D">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项目总成本偏离度为20.17%，总成本控制情况较差；项目资金用于2023年高标准农田建设支出共计8.82万元，剩余资金全部用于支付往年工程尾款，可能导致当年项目进度延误、预期目标无法实现，影响后续资金拨付和项目绩效考核，进一步降低财政资源的整体效益。</w:t>
      </w:r>
    </w:p>
    <w:bookmarkEnd w:id="113"/>
    <w:p w14:paraId="6EAD8030">
      <w:pPr>
        <w:spacing w:line="560" w:lineRule="exact"/>
        <w:ind w:firstLine="640"/>
        <w:outlineLvl w:val="0"/>
        <w:rPr>
          <w:rFonts w:hint="default" w:ascii="Times New Roman" w:hAnsi="Times New Roman" w:eastAsia="黑体" w:cs="Times New Roman"/>
          <w:b/>
          <w:bCs/>
          <w:szCs w:val="22"/>
        </w:rPr>
      </w:pPr>
      <w:bookmarkStart w:id="115" w:name="_Toc136706224"/>
      <w:bookmarkStart w:id="116" w:name="_Toc31946"/>
      <w:bookmarkStart w:id="117" w:name="_Toc86224156"/>
      <w:r>
        <w:rPr>
          <w:rFonts w:hint="default" w:ascii="Times New Roman" w:hAnsi="Times New Roman" w:eastAsia="黑体" w:cs="Times New Roman"/>
          <w:b/>
          <w:bCs/>
          <w:szCs w:val="22"/>
        </w:rPr>
        <w:t>六、评价建议</w:t>
      </w:r>
      <w:bookmarkEnd w:id="115"/>
      <w:bookmarkEnd w:id="116"/>
      <w:bookmarkEnd w:id="117"/>
    </w:p>
    <w:p w14:paraId="68D0F973">
      <w:pPr>
        <w:spacing w:line="560" w:lineRule="exact"/>
        <w:ind w:firstLine="643"/>
        <w:outlineLvl w:val="1"/>
        <w:rPr>
          <w:rFonts w:hint="default" w:ascii="Times New Roman" w:hAnsi="Times New Roman" w:eastAsia="楷体" w:cs="Times New Roman"/>
          <w:b/>
          <w:bCs/>
          <w:szCs w:val="22"/>
        </w:rPr>
      </w:pPr>
      <w:bookmarkStart w:id="118" w:name="_Toc136706227"/>
      <w:bookmarkStart w:id="119" w:name="_Toc30639"/>
      <w:r>
        <w:rPr>
          <w:rFonts w:hint="default" w:ascii="Times New Roman" w:hAnsi="Times New Roman" w:eastAsia="楷体" w:cs="Times New Roman"/>
          <w:b/>
          <w:bCs/>
          <w:szCs w:val="22"/>
        </w:rPr>
        <w:t>（</w:t>
      </w:r>
      <w:r>
        <w:rPr>
          <w:rFonts w:hint="default" w:ascii="Times New Roman" w:hAnsi="Times New Roman" w:eastAsia="楷体" w:cs="Times New Roman"/>
          <w:b/>
          <w:bCs/>
          <w:szCs w:val="22"/>
          <w:lang w:val="en-US" w:eastAsia="zh-CN"/>
        </w:rPr>
        <w:t>一</w:t>
      </w:r>
      <w:r>
        <w:rPr>
          <w:rFonts w:hint="default" w:ascii="Times New Roman" w:hAnsi="Times New Roman" w:eastAsia="楷体" w:cs="Times New Roman"/>
          <w:b/>
          <w:bCs/>
          <w:szCs w:val="22"/>
        </w:rPr>
        <w:t>）提升项目绩效目标申报质量</w:t>
      </w:r>
      <w:bookmarkEnd w:id="118"/>
      <w:bookmarkEnd w:id="119"/>
    </w:p>
    <w:p w14:paraId="178B5425">
      <w:pPr>
        <w:overflowPunct w:val="0"/>
        <w:spacing w:line="560" w:lineRule="exact"/>
        <w:ind w:firstLine="640"/>
        <w:rPr>
          <w:rFonts w:hint="default" w:ascii="Times New Roman" w:hAnsi="Times New Roman" w:cs="Times New Roman"/>
        </w:rPr>
      </w:pPr>
      <w:r>
        <w:rPr>
          <w:rFonts w:hint="default" w:ascii="Times New Roman" w:hAnsi="Times New Roman" w:cs="Times New Roman"/>
        </w:rPr>
        <w:t>针对年度绩效目标管理不规范问题，建议</w:t>
      </w:r>
      <w:r>
        <w:rPr>
          <w:rFonts w:hint="default" w:ascii="Times New Roman" w:hAnsi="Times New Roman" w:cs="Times New Roman"/>
          <w:szCs w:val="32"/>
          <w:lang w:val="en-US" w:eastAsia="zh-CN"/>
        </w:rPr>
        <w:t>罗江区</w:t>
      </w:r>
      <w:r>
        <w:rPr>
          <w:rFonts w:hint="default" w:ascii="Times New Roman" w:hAnsi="Times New Roman" w:cs="Times New Roman"/>
          <w:szCs w:val="32"/>
        </w:rPr>
        <w:t>农业农村局</w:t>
      </w:r>
      <w:r>
        <w:rPr>
          <w:rFonts w:hint="default" w:ascii="Times New Roman" w:hAnsi="Times New Roman" w:cs="Times New Roman"/>
        </w:rPr>
        <w:t>进一步提升项目绩效目标申报质量，在保障完整性的同时，细化分解各类指标，使其明确、合理、可衡量，为项目监控、后期监督检查与绩效评价提供参考依据；建议</w:t>
      </w:r>
      <w:r>
        <w:rPr>
          <w:rFonts w:hint="default" w:ascii="Times New Roman" w:hAnsi="Times New Roman" w:cs="Times New Roman"/>
          <w:lang w:val="en-US" w:eastAsia="zh-CN"/>
        </w:rPr>
        <w:t>罗江区</w:t>
      </w:r>
      <w:r>
        <w:rPr>
          <w:rFonts w:hint="default" w:ascii="Times New Roman" w:hAnsi="Times New Roman" w:cs="Times New Roman"/>
        </w:rPr>
        <w:t>财政局加强绩效目标申报培训和质量审核，填报不完整、质量不达标的应不予通过，经预算部门完善后方可进入预算编制的下一个流程，以提高绩效观念和资金使用效率。</w:t>
      </w:r>
    </w:p>
    <w:p w14:paraId="092A6F6B">
      <w:pPr>
        <w:pStyle w:val="4"/>
        <w:keepNext/>
        <w:keepLines/>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lang w:val="en-US" w:eastAsia="zh-CN"/>
        </w:rPr>
      </w:pPr>
      <w:bookmarkStart w:id="120" w:name="_Toc136706228"/>
      <w:bookmarkStart w:id="121" w:name="_Toc21588"/>
      <w:r>
        <w:rPr>
          <w:rFonts w:hint="default" w:ascii="Times New Roman" w:hAnsi="Times New Roman" w:cs="Times New Roman"/>
        </w:rPr>
        <w:t>（</w:t>
      </w:r>
      <w:r>
        <w:rPr>
          <w:rFonts w:hint="default" w:ascii="Times New Roman" w:hAnsi="Times New Roman" w:cs="Times New Roman"/>
          <w:lang w:val="en-US" w:eastAsia="zh-CN"/>
        </w:rPr>
        <w:t>二</w:t>
      </w:r>
      <w:r>
        <w:rPr>
          <w:rFonts w:hint="default" w:ascii="Times New Roman" w:hAnsi="Times New Roman" w:cs="Times New Roman"/>
        </w:rPr>
        <w:t>）</w:t>
      </w:r>
      <w:bookmarkEnd w:id="120"/>
      <w:r>
        <w:rPr>
          <w:rFonts w:hint="default" w:ascii="Times New Roman" w:hAnsi="Times New Roman" w:cs="Times New Roman"/>
        </w:rPr>
        <w:t>加快督促项目实施进度</w:t>
      </w:r>
      <w:bookmarkEnd w:id="121"/>
    </w:p>
    <w:p w14:paraId="4D2A19B1">
      <w:pPr>
        <w:pStyle w:val="2"/>
        <w:spacing w:line="560" w:lineRule="exact"/>
        <w:ind w:firstLine="640"/>
        <w:rPr>
          <w:rFonts w:hint="default" w:ascii="Times New Roman" w:hAnsi="Times New Roman" w:eastAsia="仿宋" w:cs="Times New Roman"/>
          <w:szCs w:val="32"/>
          <w:lang w:eastAsia="zh-CN"/>
        </w:rPr>
      </w:pPr>
      <w:bookmarkStart w:id="122" w:name="_Toc136706230"/>
      <w:r>
        <w:rPr>
          <w:rFonts w:hint="default" w:ascii="Times New Roman" w:hAnsi="Times New Roman" w:eastAsia="仿宋" w:cs="Times New Roman"/>
        </w:rPr>
        <w:t>针对项目未按计划时间及时完成</w:t>
      </w:r>
      <w:r>
        <w:rPr>
          <w:rFonts w:hint="default" w:ascii="Times New Roman" w:hAnsi="Times New Roman" w:eastAsia="仿宋" w:cs="Times New Roman"/>
          <w:lang w:eastAsia="zh-CN"/>
        </w:rPr>
        <w:t>的</w:t>
      </w:r>
      <w:r>
        <w:rPr>
          <w:rFonts w:hint="default" w:ascii="Times New Roman" w:hAnsi="Times New Roman" w:eastAsia="仿宋" w:cs="Times New Roman"/>
          <w:lang w:val="en-US" w:eastAsia="zh-CN"/>
        </w:rPr>
        <w:t>问题，</w:t>
      </w:r>
      <w:r>
        <w:rPr>
          <w:rFonts w:hint="default" w:ascii="Times New Roman" w:hAnsi="Times New Roman" w:eastAsia="仿宋" w:cs="Times New Roman"/>
        </w:rPr>
        <w:t>建议</w:t>
      </w:r>
      <w:r>
        <w:rPr>
          <w:rFonts w:hint="default" w:ascii="Times New Roman" w:hAnsi="Times New Roman" w:eastAsia="仿宋" w:cs="Times New Roman"/>
          <w:szCs w:val="32"/>
          <w:lang w:val="en-US" w:eastAsia="zh-CN"/>
        </w:rPr>
        <w:t>罗江区</w:t>
      </w:r>
      <w:r>
        <w:rPr>
          <w:rFonts w:hint="default" w:ascii="Times New Roman" w:hAnsi="Times New Roman" w:eastAsia="仿宋" w:cs="Times New Roman"/>
          <w:szCs w:val="32"/>
        </w:rPr>
        <w:t>农业农村局：一是在以后的项目实施中，加强统筹安排，把握项目总体施工进度，如出现施工进度偏离计划的情况，应及时与施工、监理等单位进行沟通，对于不可抗力导致的进度滞后，应及时分析原因并同相关部门及时沟通，进行合理调整，确保项目按时、保质保量完工；二是项目建设完成后应及时组织开展验收及审计结算工作</w:t>
      </w:r>
      <w:r>
        <w:rPr>
          <w:rFonts w:hint="default" w:ascii="Times New Roman" w:hAnsi="Times New Roman" w:eastAsia="仿宋" w:cs="Times New Roman"/>
          <w:szCs w:val="32"/>
          <w:lang w:eastAsia="zh-CN"/>
        </w:rPr>
        <w:t>。</w:t>
      </w:r>
    </w:p>
    <w:bookmarkEnd w:id="122"/>
    <w:p w14:paraId="36028114">
      <w:pPr>
        <w:pStyle w:val="4"/>
        <w:keepNext/>
        <w:keepLines/>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cs="Times New Roman"/>
          <w:highlight w:val="none"/>
          <w:lang w:val="en-US" w:eastAsia="zh-CN"/>
        </w:rPr>
      </w:pPr>
      <w:bookmarkStart w:id="123" w:name="_Toc9875"/>
      <w:r>
        <w:rPr>
          <w:rFonts w:hint="default" w:ascii="Times New Roman" w:hAnsi="Times New Roman" w:eastAsia="楷体" w:cs="Times New Roman"/>
          <w:b/>
          <w:bCs/>
          <w:kern w:val="2"/>
          <w:sz w:val="32"/>
          <w:szCs w:val="32"/>
          <w:highlight w:val="none"/>
          <w:lang w:val="en-US" w:eastAsia="zh-CN" w:bidi="ar-SA"/>
        </w:rPr>
        <w:t>（三）</w:t>
      </w:r>
      <w:r>
        <w:rPr>
          <w:rFonts w:hint="default" w:ascii="Times New Roman" w:hAnsi="Times New Roman" w:cs="Times New Roman"/>
          <w:highlight w:val="none"/>
          <w:lang w:val="en-US" w:eastAsia="zh-CN"/>
        </w:rPr>
        <w:t>合理控制成本，提高资金使用效率</w:t>
      </w:r>
      <w:bookmarkEnd w:id="123"/>
    </w:p>
    <w:p w14:paraId="023AC898">
      <w:pPr>
        <w:keepNext w:val="0"/>
        <w:keepLines w:val="0"/>
        <w:pageBreakBefore w:val="0"/>
        <w:widowControl w:val="0"/>
        <w:tabs>
          <w:tab w:val="left" w:pos="637"/>
        </w:tabs>
        <w:kinsoku/>
        <w:wordWrap/>
        <w:overflowPunct/>
        <w:topLinePunct w:val="0"/>
        <w:autoSpaceDE/>
        <w:autoSpaceDN/>
        <w:bidi w:val="0"/>
        <w:adjustRightInd w:val="0"/>
        <w:snapToGrid w:val="0"/>
        <w:spacing w:line="560" w:lineRule="exact"/>
        <w:jc w:val="left"/>
        <w:textAlignment w:val="auto"/>
        <w:rPr>
          <w:rFonts w:hint="default" w:ascii="Times New Roman" w:hAnsi="Times New Roman" w:cs="Times New Roman"/>
          <w:kern w:val="2"/>
          <w:sz w:val="32"/>
          <w:szCs w:val="24"/>
          <w:lang w:val="en-US" w:eastAsia="zh-CN" w:bidi="ar-SA"/>
        </w:rPr>
      </w:pPr>
      <w:r>
        <w:rPr>
          <w:rFonts w:hint="default" w:ascii="Times New Roman" w:hAnsi="Times New Roman" w:cs="Times New Roman"/>
          <w:kern w:val="2"/>
          <w:sz w:val="32"/>
          <w:szCs w:val="24"/>
          <w:lang w:val="en-US" w:eastAsia="zh-CN" w:bidi="ar-SA"/>
        </w:rPr>
        <w:tab/>
      </w:r>
      <w:r>
        <w:rPr>
          <w:rFonts w:hint="default" w:ascii="Times New Roman" w:hAnsi="Times New Roman" w:cs="Times New Roman"/>
          <w:kern w:val="2"/>
          <w:sz w:val="32"/>
          <w:szCs w:val="24"/>
          <w:lang w:val="en-US" w:eastAsia="zh-CN" w:bidi="ar-SA"/>
        </w:rPr>
        <w:t>针对成本控制情况较差问题，建议加强预算编制和执行的精细化管理，确保资金优先用于当年项目，优化项目审批流程以加快进度，建立动态绩效跟踪机制，及时发现和纠正资金使用偏差，并加强与财政部门的沟通，确保资金及时拨付和合理分配。通过这些措施，可以有效控制成本，提高资金使用效率，避免项目进度延误和目标偏离，确保财政资源的整体效益最大化。</w:t>
      </w:r>
    </w:p>
    <w:p w14:paraId="25F7F308">
      <w:pPr>
        <w:pStyle w:val="2"/>
        <w:rPr>
          <w:rFonts w:hint="default" w:ascii="Times New Roman" w:hAnsi="Times New Roman" w:cs="Times New Roman"/>
          <w:kern w:val="2"/>
          <w:sz w:val="32"/>
          <w:szCs w:val="24"/>
          <w:lang w:val="en-US" w:eastAsia="zh-CN" w:bidi="ar-SA"/>
        </w:rPr>
      </w:pPr>
    </w:p>
    <w:p w14:paraId="12634264">
      <w:pPr>
        <w:rPr>
          <w:rFonts w:hint="default"/>
          <w:lang w:val="en-US" w:eastAsia="zh-CN"/>
        </w:rPr>
      </w:pPr>
    </w:p>
    <w:p w14:paraId="78D1CF2D">
      <w:pPr>
        <w:rPr>
          <w:rFonts w:hint="default" w:ascii="Times New Roman" w:hAnsi="Times New Roman" w:cs="Times New Roman"/>
          <w:kern w:val="2"/>
          <w:sz w:val="32"/>
          <w:szCs w:val="24"/>
          <w:lang w:val="en-US" w:eastAsia="zh-CN" w:bidi="ar-SA"/>
        </w:rPr>
      </w:pPr>
    </w:p>
    <w:p w14:paraId="45ECA75A">
      <w:pPr>
        <w:rPr>
          <w:rFonts w:hint="default"/>
          <w:lang w:val="en-US" w:eastAsia="zh-CN"/>
        </w:rPr>
        <w:sectPr>
          <w:footerReference r:id="rId12" w:type="default"/>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B1E2A35">
      <w:pPr>
        <w:ind w:left="0" w:leftChars="0" w:firstLine="0" w:firstLineChars="0"/>
        <w:rPr>
          <w:rFonts w:hint="default" w:ascii="Times New Roman" w:hAnsi="Times New Roman" w:cs="Times New Roman"/>
          <w:lang w:val="en-US" w:eastAsia="zh-CN"/>
        </w:rPr>
      </w:pPr>
    </w:p>
    <w:sectPr>
      <w:footerReference r:id="rId13" w:type="default"/>
      <w:pgSz w:w="16838" w:h="11906" w:orient="landscape"/>
      <w:pgMar w:top="1588" w:right="2098" w:bottom="1474" w:left="1985"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90A733-54AC-4BA1-9FC7-038FBAD5FCB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8303B74C-215F-4045-A27C-E8148043E11F}"/>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embedRegular r:id="rId3" w:fontKey="{B54F65D8-3920-456F-8C2E-FE8EEEA593FE}"/>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4" w:fontKey="{89174457-7EB3-40E3-BC4B-96F222CA5CAE}"/>
  </w:font>
  <w:font w:name="方正仿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embedRegular r:id="rId5" w:fontKey="{5C48B8BA-3B56-4128-A21C-DBEA79AA17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CB8A1">
    <w:pPr>
      <w:pStyle w:val="20"/>
      <w:ind w:firstLine="420"/>
      <w:rPr>
        <w:caps/>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B86EA">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02C30">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6091E">
    <w:pPr>
      <w:pStyle w:val="20"/>
      <w:ind w:firstLine="360"/>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0F62F">
    <w:pPr>
      <w:pStyle w:val="20"/>
      <w:ind w:firstLine="360"/>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1DF73">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031DF73">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688D">
    <w:pPr>
      <w:pStyle w:val="20"/>
      <w:ind w:firstLine="36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9E4D1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9E4D1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8C692">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208AB">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0F17F">
    <w:pPr>
      <w:pStyle w:val="2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4ZjZiZWUyMWY3NGEwZTJlNTkxODY4MDIyMTY4YmMifQ=="/>
  </w:docVars>
  <w:rsids>
    <w:rsidRoot w:val="00372F16"/>
    <w:rsid w:val="00005210"/>
    <w:rsid w:val="0001575A"/>
    <w:rsid w:val="00022C73"/>
    <w:rsid w:val="000235E4"/>
    <w:rsid w:val="000308EC"/>
    <w:rsid w:val="00033184"/>
    <w:rsid w:val="00034F44"/>
    <w:rsid w:val="0004145B"/>
    <w:rsid w:val="0004188E"/>
    <w:rsid w:val="00045081"/>
    <w:rsid w:val="00045DE4"/>
    <w:rsid w:val="00051042"/>
    <w:rsid w:val="0005485C"/>
    <w:rsid w:val="00063057"/>
    <w:rsid w:val="0006685E"/>
    <w:rsid w:val="00070557"/>
    <w:rsid w:val="00077D79"/>
    <w:rsid w:val="000817A8"/>
    <w:rsid w:val="0008611B"/>
    <w:rsid w:val="00093A65"/>
    <w:rsid w:val="00096B20"/>
    <w:rsid w:val="00097770"/>
    <w:rsid w:val="000A03C1"/>
    <w:rsid w:val="000B31CB"/>
    <w:rsid w:val="000B39F2"/>
    <w:rsid w:val="000B40BF"/>
    <w:rsid w:val="000B652D"/>
    <w:rsid w:val="000B7C0B"/>
    <w:rsid w:val="000C0434"/>
    <w:rsid w:val="000C06BB"/>
    <w:rsid w:val="000C452C"/>
    <w:rsid w:val="000D02FB"/>
    <w:rsid w:val="000D1EFA"/>
    <w:rsid w:val="000E6C03"/>
    <w:rsid w:val="000F4CF8"/>
    <w:rsid w:val="000F62FF"/>
    <w:rsid w:val="00100E59"/>
    <w:rsid w:val="00102684"/>
    <w:rsid w:val="00115623"/>
    <w:rsid w:val="00115EBE"/>
    <w:rsid w:val="00120965"/>
    <w:rsid w:val="0012141F"/>
    <w:rsid w:val="0012168A"/>
    <w:rsid w:val="00122A8C"/>
    <w:rsid w:val="00127269"/>
    <w:rsid w:val="001303D4"/>
    <w:rsid w:val="00130BFE"/>
    <w:rsid w:val="00142C4D"/>
    <w:rsid w:val="001469A7"/>
    <w:rsid w:val="0014780D"/>
    <w:rsid w:val="001503AD"/>
    <w:rsid w:val="00152B8B"/>
    <w:rsid w:val="00154E64"/>
    <w:rsid w:val="00155452"/>
    <w:rsid w:val="001637F1"/>
    <w:rsid w:val="0016400F"/>
    <w:rsid w:val="001663D5"/>
    <w:rsid w:val="001707E4"/>
    <w:rsid w:val="00182B25"/>
    <w:rsid w:val="001852E0"/>
    <w:rsid w:val="00187545"/>
    <w:rsid w:val="00192881"/>
    <w:rsid w:val="00196D51"/>
    <w:rsid w:val="001B02C3"/>
    <w:rsid w:val="001B099A"/>
    <w:rsid w:val="001B0BCD"/>
    <w:rsid w:val="001B5761"/>
    <w:rsid w:val="001C033B"/>
    <w:rsid w:val="001C1CD1"/>
    <w:rsid w:val="001C46C5"/>
    <w:rsid w:val="001C5AA1"/>
    <w:rsid w:val="001D0DCC"/>
    <w:rsid w:val="001D1153"/>
    <w:rsid w:val="001D3A23"/>
    <w:rsid w:val="001D4AE7"/>
    <w:rsid w:val="001D4EE4"/>
    <w:rsid w:val="001D6CA3"/>
    <w:rsid w:val="001E0490"/>
    <w:rsid w:val="001E2F0F"/>
    <w:rsid w:val="001E5188"/>
    <w:rsid w:val="001F11F3"/>
    <w:rsid w:val="001F22A2"/>
    <w:rsid w:val="001F34FE"/>
    <w:rsid w:val="001F41C2"/>
    <w:rsid w:val="001F4FC8"/>
    <w:rsid w:val="00200959"/>
    <w:rsid w:val="002024D0"/>
    <w:rsid w:val="00203FF5"/>
    <w:rsid w:val="00212943"/>
    <w:rsid w:val="002148F8"/>
    <w:rsid w:val="00215C8B"/>
    <w:rsid w:val="0022348D"/>
    <w:rsid w:val="00225E86"/>
    <w:rsid w:val="0023363F"/>
    <w:rsid w:val="002422A1"/>
    <w:rsid w:val="0024324B"/>
    <w:rsid w:val="00245614"/>
    <w:rsid w:val="002466CE"/>
    <w:rsid w:val="00252A7E"/>
    <w:rsid w:val="00252FE3"/>
    <w:rsid w:val="00260206"/>
    <w:rsid w:val="002769D6"/>
    <w:rsid w:val="0028096E"/>
    <w:rsid w:val="002813EF"/>
    <w:rsid w:val="00282712"/>
    <w:rsid w:val="00294AFD"/>
    <w:rsid w:val="002979E5"/>
    <w:rsid w:val="002A73BC"/>
    <w:rsid w:val="002B22FC"/>
    <w:rsid w:val="002B3DAB"/>
    <w:rsid w:val="002B6FB0"/>
    <w:rsid w:val="002C13C9"/>
    <w:rsid w:val="002C4D52"/>
    <w:rsid w:val="002C6402"/>
    <w:rsid w:val="002C6523"/>
    <w:rsid w:val="002D2A1A"/>
    <w:rsid w:val="002D3CEC"/>
    <w:rsid w:val="002D447C"/>
    <w:rsid w:val="002D6AFD"/>
    <w:rsid w:val="002D6D79"/>
    <w:rsid w:val="002E12D9"/>
    <w:rsid w:val="002E1FCD"/>
    <w:rsid w:val="002E242F"/>
    <w:rsid w:val="002E5E6B"/>
    <w:rsid w:val="002F559E"/>
    <w:rsid w:val="002F7EF4"/>
    <w:rsid w:val="0030295D"/>
    <w:rsid w:val="00305932"/>
    <w:rsid w:val="00306A70"/>
    <w:rsid w:val="00322DFA"/>
    <w:rsid w:val="00323588"/>
    <w:rsid w:val="0032416B"/>
    <w:rsid w:val="00325120"/>
    <w:rsid w:val="0032632B"/>
    <w:rsid w:val="00330B08"/>
    <w:rsid w:val="00336F42"/>
    <w:rsid w:val="00342D7A"/>
    <w:rsid w:val="00344E25"/>
    <w:rsid w:val="00352143"/>
    <w:rsid w:val="0035279E"/>
    <w:rsid w:val="00353F96"/>
    <w:rsid w:val="00361F2B"/>
    <w:rsid w:val="00362AAF"/>
    <w:rsid w:val="00362D82"/>
    <w:rsid w:val="0036798C"/>
    <w:rsid w:val="003707BB"/>
    <w:rsid w:val="00372F16"/>
    <w:rsid w:val="00382DA9"/>
    <w:rsid w:val="00386057"/>
    <w:rsid w:val="0039216D"/>
    <w:rsid w:val="00393D7B"/>
    <w:rsid w:val="00394E67"/>
    <w:rsid w:val="00397767"/>
    <w:rsid w:val="003A3172"/>
    <w:rsid w:val="003A3D69"/>
    <w:rsid w:val="003B6E39"/>
    <w:rsid w:val="003C018E"/>
    <w:rsid w:val="003C3C8E"/>
    <w:rsid w:val="003C4E69"/>
    <w:rsid w:val="003D507E"/>
    <w:rsid w:val="003D61E9"/>
    <w:rsid w:val="003D7CCC"/>
    <w:rsid w:val="003E003A"/>
    <w:rsid w:val="003E7733"/>
    <w:rsid w:val="003F4805"/>
    <w:rsid w:val="00405E55"/>
    <w:rsid w:val="0040739E"/>
    <w:rsid w:val="00413354"/>
    <w:rsid w:val="0041603E"/>
    <w:rsid w:val="004208E7"/>
    <w:rsid w:val="004218C9"/>
    <w:rsid w:val="004234AF"/>
    <w:rsid w:val="004258D6"/>
    <w:rsid w:val="00430A2F"/>
    <w:rsid w:val="00432667"/>
    <w:rsid w:val="004378F6"/>
    <w:rsid w:val="004402BF"/>
    <w:rsid w:val="00444687"/>
    <w:rsid w:val="00444E68"/>
    <w:rsid w:val="00445FCB"/>
    <w:rsid w:val="00447954"/>
    <w:rsid w:val="00451C53"/>
    <w:rsid w:val="00454E0C"/>
    <w:rsid w:val="00455DC9"/>
    <w:rsid w:val="004657D6"/>
    <w:rsid w:val="00471C9C"/>
    <w:rsid w:val="00477824"/>
    <w:rsid w:val="004806E8"/>
    <w:rsid w:val="00481F57"/>
    <w:rsid w:val="00487D69"/>
    <w:rsid w:val="00490763"/>
    <w:rsid w:val="004919CF"/>
    <w:rsid w:val="00492535"/>
    <w:rsid w:val="00493B66"/>
    <w:rsid w:val="00493D36"/>
    <w:rsid w:val="00497713"/>
    <w:rsid w:val="004A08C5"/>
    <w:rsid w:val="004B69D8"/>
    <w:rsid w:val="004C2BF9"/>
    <w:rsid w:val="004D0773"/>
    <w:rsid w:val="004D0A30"/>
    <w:rsid w:val="004D2BC3"/>
    <w:rsid w:val="004D504C"/>
    <w:rsid w:val="004D5DD2"/>
    <w:rsid w:val="004D705A"/>
    <w:rsid w:val="004E6226"/>
    <w:rsid w:val="004F308A"/>
    <w:rsid w:val="004F618F"/>
    <w:rsid w:val="004F7AFD"/>
    <w:rsid w:val="00500763"/>
    <w:rsid w:val="00503F3B"/>
    <w:rsid w:val="00504D37"/>
    <w:rsid w:val="00506CAD"/>
    <w:rsid w:val="005114EF"/>
    <w:rsid w:val="00513DA1"/>
    <w:rsid w:val="00516A31"/>
    <w:rsid w:val="00526019"/>
    <w:rsid w:val="0053623D"/>
    <w:rsid w:val="005416FE"/>
    <w:rsid w:val="00545095"/>
    <w:rsid w:val="0054737F"/>
    <w:rsid w:val="00547AED"/>
    <w:rsid w:val="00552E03"/>
    <w:rsid w:val="005535C2"/>
    <w:rsid w:val="00554E3E"/>
    <w:rsid w:val="00556751"/>
    <w:rsid w:val="005600A5"/>
    <w:rsid w:val="0056462E"/>
    <w:rsid w:val="00565F0B"/>
    <w:rsid w:val="00567186"/>
    <w:rsid w:val="00567C9E"/>
    <w:rsid w:val="0057060D"/>
    <w:rsid w:val="00573ABC"/>
    <w:rsid w:val="005763FD"/>
    <w:rsid w:val="00580311"/>
    <w:rsid w:val="00586054"/>
    <w:rsid w:val="00586F65"/>
    <w:rsid w:val="005A0618"/>
    <w:rsid w:val="005A0ED7"/>
    <w:rsid w:val="005A22B2"/>
    <w:rsid w:val="005A4DA0"/>
    <w:rsid w:val="005A6F28"/>
    <w:rsid w:val="005B0B7A"/>
    <w:rsid w:val="005B6244"/>
    <w:rsid w:val="005C35C9"/>
    <w:rsid w:val="005C4B52"/>
    <w:rsid w:val="005C5342"/>
    <w:rsid w:val="005C7D5D"/>
    <w:rsid w:val="005E08FE"/>
    <w:rsid w:val="005E16C1"/>
    <w:rsid w:val="005E3510"/>
    <w:rsid w:val="005E44A8"/>
    <w:rsid w:val="005E4AEB"/>
    <w:rsid w:val="005E6B99"/>
    <w:rsid w:val="005E7E65"/>
    <w:rsid w:val="005F2707"/>
    <w:rsid w:val="005F6F4E"/>
    <w:rsid w:val="00601BCC"/>
    <w:rsid w:val="00614674"/>
    <w:rsid w:val="006146ED"/>
    <w:rsid w:val="00615ABD"/>
    <w:rsid w:val="006226EE"/>
    <w:rsid w:val="006373FF"/>
    <w:rsid w:val="00637DD0"/>
    <w:rsid w:val="00641A02"/>
    <w:rsid w:val="00645B70"/>
    <w:rsid w:val="00654998"/>
    <w:rsid w:val="00654C3E"/>
    <w:rsid w:val="00660682"/>
    <w:rsid w:val="00663BB0"/>
    <w:rsid w:val="00664EE4"/>
    <w:rsid w:val="00667882"/>
    <w:rsid w:val="00670A09"/>
    <w:rsid w:val="0067743C"/>
    <w:rsid w:val="00686284"/>
    <w:rsid w:val="00690921"/>
    <w:rsid w:val="00693028"/>
    <w:rsid w:val="00693C94"/>
    <w:rsid w:val="006A0132"/>
    <w:rsid w:val="006A731F"/>
    <w:rsid w:val="006B34BF"/>
    <w:rsid w:val="006B3A48"/>
    <w:rsid w:val="006B5588"/>
    <w:rsid w:val="006C4AC2"/>
    <w:rsid w:val="006D390E"/>
    <w:rsid w:val="006D7DC1"/>
    <w:rsid w:val="006E37E9"/>
    <w:rsid w:val="006E53F3"/>
    <w:rsid w:val="006E792C"/>
    <w:rsid w:val="006F7EE0"/>
    <w:rsid w:val="00713D0E"/>
    <w:rsid w:val="00715498"/>
    <w:rsid w:val="00715C89"/>
    <w:rsid w:val="00721395"/>
    <w:rsid w:val="0072268E"/>
    <w:rsid w:val="007300F7"/>
    <w:rsid w:val="00730ED3"/>
    <w:rsid w:val="00737E9E"/>
    <w:rsid w:val="007405EC"/>
    <w:rsid w:val="007415CF"/>
    <w:rsid w:val="00745470"/>
    <w:rsid w:val="007459C4"/>
    <w:rsid w:val="007507A3"/>
    <w:rsid w:val="007567E1"/>
    <w:rsid w:val="007613C9"/>
    <w:rsid w:val="00762C8E"/>
    <w:rsid w:val="00766ED4"/>
    <w:rsid w:val="00777F58"/>
    <w:rsid w:val="0078487E"/>
    <w:rsid w:val="007862A0"/>
    <w:rsid w:val="00787478"/>
    <w:rsid w:val="00791760"/>
    <w:rsid w:val="00793CAE"/>
    <w:rsid w:val="00795DBE"/>
    <w:rsid w:val="007A3581"/>
    <w:rsid w:val="007A7D64"/>
    <w:rsid w:val="007B11BC"/>
    <w:rsid w:val="007B129B"/>
    <w:rsid w:val="007B1681"/>
    <w:rsid w:val="007B6A69"/>
    <w:rsid w:val="007B6CE9"/>
    <w:rsid w:val="007C1A87"/>
    <w:rsid w:val="007C6DC4"/>
    <w:rsid w:val="007D0D1D"/>
    <w:rsid w:val="007D0FCA"/>
    <w:rsid w:val="007D1308"/>
    <w:rsid w:val="007D4C81"/>
    <w:rsid w:val="007E024E"/>
    <w:rsid w:val="007E31D1"/>
    <w:rsid w:val="007E578A"/>
    <w:rsid w:val="007F308A"/>
    <w:rsid w:val="007F4130"/>
    <w:rsid w:val="007F4E34"/>
    <w:rsid w:val="007F690F"/>
    <w:rsid w:val="00801B10"/>
    <w:rsid w:val="00806B1B"/>
    <w:rsid w:val="00811177"/>
    <w:rsid w:val="008143DF"/>
    <w:rsid w:val="00816643"/>
    <w:rsid w:val="00816F4D"/>
    <w:rsid w:val="00817B2A"/>
    <w:rsid w:val="00822852"/>
    <w:rsid w:val="00823FBF"/>
    <w:rsid w:val="00826028"/>
    <w:rsid w:val="00837887"/>
    <w:rsid w:val="008379FA"/>
    <w:rsid w:val="00841DA1"/>
    <w:rsid w:val="00842DF3"/>
    <w:rsid w:val="00843FEF"/>
    <w:rsid w:val="008506B0"/>
    <w:rsid w:val="00852594"/>
    <w:rsid w:val="008556E2"/>
    <w:rsid w:val="00857F4A"/>
    <w:rsid w:val="00862B3E"/>
    <w:rsid w:val="00864731"/>
    <w:rsid w:val="00864952"/>
    <w:rsid w:val="00881828"/>
    <w:rsid w:val="00887CBE"/>
    <w:rsid w:val="00895608"/>
    <w:rsid w:val="008A74AA"/>
    <w:rsid w:val="008B0C09"/>
    <w:rsid w:val="008C04E4"/>
    <w:rsid w:val="008C65B8"/>
    <w:rsid w:val="008D47E6"/>
    <w:rsid w:val="008D71F7"/>
    <w:rsid w:val="008D7FCE"/>
    <w:rsid w:val="008E334D"/>
    <w:rsid w:val="008E405B"/>
    <w:rsid w:val="008F514E"/>
    <w:rsid w:val="00900576"/>
    <w:rsid w:val="00901364"/>
    <w:rsid w:val="009173AC"/>
    <w:rsid w:val="00921259"/>
    <w:rsid w:val="009228AB"/>
    <w:rsid w:val="00922D98"/>
    <w:rsid w:val="00925B58"/>
    <w:rsid w:val="00931721"/>
    <w:rsid w:val="00932FE2"/>
    <w:rsid w:val="00937172"/>
    <w:rsid w:val="00941737"/>
    <w:rsid w:val="009473E1"/>
    <w:rsid w:val="00950CDD"/>
    <w:rsid w:val="009545FF"/>
    <w:rsid w:val="0095605E"/>
    <w:rsid w:val="0096682D"/>
    <w:rsid w:val="00967CCF"/>
    <w:rsid w:val="009714D7"/>
    <w:rsid w:val="00972040"/>
    <w:rsid w:val="00972A81"/>
    <w:rsid w:val="00973473"/>
    <w:rsid w:val="00980936"/>
    <w:rsid w:val="00980FD3"/>
    <w:rsid w:val="00982796"/>
    <w:rsid w:val="0098728E"/>
    <w:rsid w:val="00990F2B"/>
    <w:rsid w:val="0099313F"/>
    <w:rsid w:val="0099392A"/>
    <w:rsid w:val="009B2344"/>
    <w:rsid w:val="009B5B6A"/>
    <w:rsid w:val="009B6BBB"/>
    <w:rsid w:val="009C0A9A"/>
    <w:rsid w:val="009C2447"/>
    <w:rsid w:val="009C3EB7"/>
    <w:rsid w:val="009C47F8"/>
    <w:rsid w:val="009D5167"/>
    <w:rsid w:val="009D7C0C"/>
    <w:rsid w:val="009E1B21"/>
    <w:rsid w:val="009E49DC"/>
    <w:rsid w:val="009E4A30"/>
    <w:rsid w:val="009F56CB"/>
    <w:rsid w:val="009F6EDA"/>
    <w:rsid w:val="009F7350"/>
    <w:rsid w:val="00A05B65"/>
    <w:rsid w:val="00A11ECD"/>
    <w:rsid w:val="00A16AC6"/>
    <w:rsid w:val="00A3312E"/>
    <w:rsid w:val="00A3656B"/>
    <w:rsid w:val="00A369DA"/>
    <w:rsid w:val="00A370F4"/>
    <w:rsid w:val="00A500AC"/>
    <w:rsid w:val="00A52F9F"/>
    <w:rsid w:val="00A54456"/>
    <w:rsid w:val="00A6240E"/>
    <w:rsid w:val="00A64B38"/>
    <w:rsid w:val="00A70546"/>
    <w:rsid w:val="00A71AFC"/>
    <w:rsid w:val="00A74776"/>
    <w:rsid w:val="00A754AD"/>
    <w:rsid w:val="00A75582"/>
    <w:rsid w:val="00A7595E"/>
    <w:rsid w:val="00A874ED"/>
    <w:rsid w:val="00A918BD"/>
    <w:rsid w:val="00A91E4B"/>
    <w:rsid w:val="00A9276D"/>
    <w:rsid w:val="00A97D96"/>
    <w:rsid w:val="00AA0A1A"/>
    <w:rsid w:val="00AA32E7"/>
    <w:rsid w:val="00AA6F73"/>
    <w:rsid w:val="00AB5DD1"/>
    <w:rsid w:val="00AB7ED8"/>
    <w:rsid w:val="00AC1538"/>
    <w:rsid w:val="00AD2705"/>
    <w:rsid w:val="00AD5440"/>
    <w:rsid w:val="00AD596B"/>
    <w:rsid w:val="00AD7650"/>
    <w:rsid w:val="00AE14EB"/>
    <w:rsid w:val="00AE1D5A"/>
    <w:rsid w:val="00AF279E"/>
    <w:rsid w:val="00AF346B"/>
    <w:rsid w:val="00B0604A"/>
    <w:rsid w:val="00B0680E"/>
    <w:rsid w:val="00B10804"/>
    <w:rsid w:val="00B10B55"/>
    <w:rsid w:val="00B116A2"/>
    <w:rsid w:val="00B178D5"/>
    <w:rsid w:val="00B204A0"/>
    <w:rsid w:val="00B21550"/>
    <w:rsid w:val="00B21971"/>
    <w:rsid w:val="00B21E33"/>
    <w:rsid w:val="00B34942"/>
    <w:rsid w:val="00B37D3B"/>
    <w:rsid w:val="00B40176"/>
    <w:rsid w:val="00B5379F"/>
    <w:rsid w:val="00B60193"/>
    <w:rsid w:val="00B66027"/>
    <w:rsid w:val="00B668C8"/>
    <w:rsid w:val="00B74584"/>
    <w:rsid w:val="00B77C76"/>
    <w:rsid w:val="00B80FBE"/>
    <w:rsid w:val="00B81F5C"/>
    <w:rsid w:val="00B90085"/>
    <w:rsid w:val="00B97A2D"/>
    <w:rsid w:val="00B97C28"/>
    <w:rsid w:val="00BA1383"/>
    <w:rsid w:val="00BB2068"/>
    <w:rsid w:val="00BB2150"/>
    <w:rsid w:val="00BB2944"/>
    <w:rsid w:val="00BC1FE4"/>
    <w:rsid w:val="00BC7387"/>
    <w:rsid w:val="00BD001B"/>
    <w:rsid w:val="00BD0599"/>
    <w:rsid w:val="00BD6D64"/>
    <w:rsid w:val="00BE128B"/>
    <w:rsid w:val="00BE2C49"/>
    <w:rsid w:val="00BE6F05"/>
    <w:rsid w:val="00BF295B"/>
    <w:rsid w:val="00BF3DFD"/>
    <w:rsid w:val="00C00651"/>
    <w:rsid w:val="00C026AE"/>
    <w:rsid w:val="00C06E94"/>
    <w:rsid w:val="00C12E38"/>
    <w:rsid w:val="00C14B29"/>
    <w:rsid w:val="00C167F6"/>
    <w:rsid w:val="00C16AE2"/>
    <w:rsid w:val="00C25D5C"/>
    <w:rsid w:val="00C33D54"/>
    <w:rsid w:val="00C3538D"/>
    <w:rsid w:val="00C37356"/>
    <w:rsid w:val="00C37F34"/>
    <w:rsid w:val="00C5059A"/>
    <w:rsid w:val="00C53D9C"/>
    <w:rsid w:val="00C54DCA"/>
    <w:rsid w:val="00C63D18"/>
    <w:rsid w:val="00C73DA9"/>
    <w:rsid w:val="00C81A93"/>
    <w:rsid w:val="00C828C8"/>
    <w:rsid w:val="00C83D67"/>
    <w:rsid w:val="00C86780"/>
    <w:rsid w:val="00C919CD"/>
    <w:rsid w:val="00C9470E"/>
    <w:rsid w:val="00CA037F"/>
    <w:rsid w:val="00CA3F2C"/>
    <w:rsid w:val="00CA604D"/>
    <w:rsid w:val="00CA73C3"/>
    <w:rsid w:val="00CB22C6"/>
    <w:rsid w:val="00CB2655"/>
    <w:rsid w:val="00CB6346"/>
    <w:rsid w:val="00CB64C8"/>
    <w:rsid w:val="00CC03AE"/>
    <w:rsid w:val="00CD0E00"/>
    <w:rsid w:val="00CD1BF6"/>
    <w:rsid w:val="00CD3AF9"/>
    <w:rsid w:val="00CD3EA0"/>
    <w:rsid w:val="00CD6171"/>
    <w:rsid w:val="00CD77CE"/>
    <w:rsid w:val="00CE00DA"/>
    <w:rsid w:val="00CE2DE3"/>
    <w:rsid w:val="00CF069E"/>
    <w:rsid w:val="00CF4584"/>
    <w:rsid w:val="00CF777D"/>
    <w:rsid w:val="00D00B6F"/>
    <w:rsid w:val="00D05B48"/>
    <w:rsid w:val="00D07C1B"/>
    <w:rsid w:val="00D1039F"/>
    <w:rsid w:val="00D1162B"/>
    <w:rsid w:val="00D120DB"/>
    <w:rsid w:val="00D17DB0"/>
    <w:rsid w:val="00D225DC"/>
    <w:rsid w:val="00D22AE3"/>
    <w:rsid w:val="00D303D6"/>
    <w:rsid w:val="00D3622E"/>
    <w:rsid w:val="00D37269"/>
    <w:rsid w:val="00D41ED3"/>
    <w:rsid w:val="00D4204D"/>
    <w:rsid w:val="00D469B5"/>
    <w:rsid w:val="00D544D2"/>
    <w:rsid w:val="00D620C0"/>
    <w:rsid w:val="00D6285D"/>
    <w:rsid w:val="00D6292D"/>
    <w:rsid w:val="00D65678"/>
    <w:rsid w:val="00D65BF7"/>
    <w:rsid w:val="00D65CBE"/>
    <w:rsid w:val="00D73D26"/>
    <w:rsid w:val="00D81381"/>
    <w:rsid w:val="00D827D5"/>
    <w:rsid w:val="00D86898"/>
    <w:rsid w:val="00D9702A"/>
    <w:rsid w:val="00DA0D1D"/>
    <w:rsid w:val="00DA2906"/>
    <w:rsid w:val="00DC3739"/>
    <w:rsid w:val="00DD3E56"/>
    <w:rsid w:val="00DD63F1"/>
    <w:rsid w:val="00DD6A90"/>
    <w:rsid w:val="00DD76B4"/>
    <w:rsid w:val="00DE0E8F"/>
    <w:rsid w:val="00DE4DCD"/>
    <w:rsid w:val="00DE4DE4"/>
    <w:rsid w:val="00DE57FD"/>
    <w:rsid w:val="00DF0C99"/>
    <w:rsid w:val="00DF1CB5"/>
    <w:rsid w:val="00DF2AB5"/>
    <w:rsid w:val="00E072B2"/>
    <w:rsid w:val="00E11095"/>
    <w:rsid w:val="00E15107"/>
    <w:rsid w:val="00E164BB"/>
    <w:rsid w:val="00E17BDB"/>
    <w:rsid w:val="00E20366"/>
    <w:rsid w:val="00E22692"/>
    <w:rsid w:val="00E30F62"/>
    <w:rsid w:val="00E320DA"/>
    <w:rsid w:val="00E32D5A"/>
    <w:rsid w:val="00E44873"/>
    <w:rsid w:val="00E460F6"/>
    <w:rsid w:val="00E54E30"/>
    <w:rsid w:val="00E5539A"/>
    <w:rsid w:val="00E55D01"/>
    <w:rsid w:val="00E60323"/>
    <w:rsid w:val="00E62454"/>
    <w:rsid w:val="00E63758"/>
    <w:rsid w:val="00E6720C"/>
    <w:rsid w:val="00E678BE"/>
    <w:rsid w:val="00E77D09"/>
    <w:rsid w:val="00E82835"/>
    <w:rsid w:val="00E83E34"/>
    <w:rsid w:val="00E90561"/>
    <w:rsid w:val="00E916F1"/>
    <w:rsid w:val="00E95E7B"/>
    <w:rsid w:val="00E962D1"/>
    <w:rsid w:val="00EA352A"/>
    <w:rsid w:val="00EA4078"/>
    <w:rsid w:val="00EA783E"/>
    <w:rsid w:val="00EB2737"/>
    <w:rsid w:val="00EC0AFA"/>
    <w:rsid w:val="00EC239C"/>
    <w:rsid w:val="00EC2A42"/>
    <w:rsid w:val="00EC7AEA"/>
    <w:rsid w:val="00ED0482"/>
    <w:rsid w:val="00EE0020"/>
    <w:rsid w:val="00EE1C26"/>
    <w:rsid w:val="00EE296A"/>
    <w:rsid w:val="00EE2BAC"/>
    <w:rsid w:val="00EE6705"/>
    <w:rsid w:val="00EE6E67"/>
    <w:rsid w:val="00EF2548"/>
    <w:rsid w:val="00EF70E9"/>
    <w:rsid w:val="00F04E30"/>
    <w:rsid w:val="00F07B87"/>
    <w:rsid w:val="00F137FD"/>
    <w:rsid w:val="00F24E94"/>
    <w:rsid w:val="00F326E1"/>
    <w:rsid w:val="00F342EB"/>
    <w:rsid w:val="00F374DF"/>
    <w:rsid w:val="00F37724"/>
    <w:rsid w:val="00F41EEE"/>
    <w:rsid w:val="00F44C85"/>
    <w:rsid w:val="00F455B8"/>
    <w:rsid w:val="00F46DA2"/>
    <w:rsid w:val="00F51190"/>
    <w:rsid w:val="00F57DA2"/>
    <w:rsid w:val="00F61615"/>
    <w:rsid w:val="00F61A72"/>
    <w:rsid w:val="00F61F16"/>
    <w:rsid w:val="00F6430A"/>
    <w:rsid w:val="00F653EC"/>
    <w:rsid w:val="00F6779B"/>
    <w:rsid w:val="00F72605"/>
    <w:rsid w:val="00F73D0B"/>
    <w:rsid w:val="00F74907"/>
    <w:rsid w:val="00F756A2"/>
    <w:rsid w:val="00F7652D"/>
    <w:rsid w:val="00F943AB"/>
    <w:rsid w:val="00F94962"/>
    <w:rsid w:val="00FA0FDC"/>
    <w:rsid w:val="00FA2297"/>
    <w:rsid w:val="00FA244F"/>
    <w:rsid w:val="00FA3E18"/>
    <w:rsid w:val="00FB35E2"/>
    <w:rsid w:val="00FB3BEB"/>
    <w:rsid w:val="00FB6CD4"/>
    <w:rsid w:val="00FC2853"/>
    <w:rsid w:val="00FC3F8C"/>
    <w:rsid w:val="00FD267C"/>
    <w:rsid w:val="00FD4597"/>
    <w:rsid w:val="00FE1F26"/>
    <w:rsid w:val="00FE4AA1"/>
    <w:rsid w:val="00FE5224"/>
    <w:rsid w:val="00FE710B"/>
    <w:rsid w:val="00FE735A"/>
    <w:rsid w:val="01C92511"/>
    <w:rsid w:val="027622E0"/>
    <w:rsid w:val="02D15189"/>
    <w:rsid w:val="03B94AB2"/>
    <w:rsid w:val="043B61E0"/>
    <w:rsid w:val="049C7F46"/>
    <w:rsid w:val="04FC4EE3"/>
    <w:rsid w:val="055B5C89"/>
    <w:rsid w:val="056B3FDB"/>
    <w:rsid w:val="06703459"/>
    <w:rsid w:val="07730E6C"/>
    <w:rsid w:val="084367D4"/>
    <w:rsid w:val="08CB12D3"/>
    <w:rsid w:val="09056744"/>
    <w:rsid w:val="091349FA"/>
    <w:rsid w:val="0970184A"/>
    <w:rsid w:val="0A686D32"/>
    <w:rsid w:val="0AB4564E"/>
    <w:rsid w:val="0B380424"/>
    <w:rsid w:val="0C064ACF"/>
    <w:rsid w:val="0C0E39B3"/>
    <w:rsid w:val="0CB83F37"/>
    <w:rsid w:val="0CFE188F"/>
    <w:rsid w:val="0D8A521A"/>
    <w:rsid w:val="0DA23CE7"/>
    <w:rsid w:val="0E9B5CC9"/>
    <w:rsid w:val="0F2D0ACD"/>
    <w:rsid w:val="0F4A523D"/>
    <w:rsid w:val="0FB65659"/>
    <w:rsid w:val="0FC53C53"/>
    <w:rsid w:val="0FC81C2D"/>
    <w:rsid w:val="10BA7AD1"/>
    <w:rsid w:val="11C04C06"/>
    <w:rsid w:val="12B8533D"/>
    <w:rsid w:val="130211D7"/>
    <w:rsid w:val="130D010A"/>
    <w:rsid w:val="139158EF"/>
    <w:rsid w:val="13AC7AE6"/>
    <w:rsid w:val="13D90836"/>
    <w:rsid w:val="14985A0E"/>
    <w:rsid w:val="150F0CC8"/>
    <w:rsid w:val="15806419"/>
    <w:rsid w:val="1619169E"/>
    <w:rsid w:val="176F20E8"/>
    <w:rsid w:val="17895171"/>
    <w:rsid w:val="18E26D91"/>
    <w:rsid w:val="1AC47549"/>
    <w:rsid w:val="1B0B42CD"/>
    <w:rsid w:val="1B42042A"/>
    <w:rsid w:val="1C1640D8"/>
    <w:rsid w:val="1C5914FC"/>
    <w:rsid w:val="1F2A3348"/>
    <w:rsid w:val="1FF83AFA"/>
    <w:rsid w:val="20867427"/>
    <w:rsid w:val="20AD2578"/>
    <w:rsid w:val="221C5C74"/>
    <w:rsid w:val="22517E60"/>
    <w:rsid w:val="229E793E"/>
    <w:rsid w:val="22E060E7"/>
    <w:rsid w:val="2335520E"/>
    <w:rsid w:val="23C7473B"/>
    <w:rsid w:val="23CF3DD8"/>
    <w:rsid w:val="23D20CE0"/>
    <w:rsid w:val="2413761A"/>
    <w:rsid w:val="24244F5F"/>
    <w:rsid w:val="242C3C56"/>
    <w:rsid w:val="24E74C81"/>
    <w:rsid w:val="25112F12"/>
    <w:rsid w:val="25354D16"/>
    <w:rsid w:val="2573672D"/>
    <w:rsid w:val="25BC3E16"/>
    <w:rsid w:val="26521E28"/>
    <w:rsid w:val="26A77227"/>
    <w:rsid w:val="2762548F"/>
    <w:rsid w:val="276627F8"/>
    <w:rsid w:val="281914E4"/>
    <w:rsid w:val="281C31A8"/>
    <w:rsid w:val="281E5C24"/>
    <w:rsid w:val="28A32835"/>
    <w:rsid w:val="29791986"/>
    <w:rsid w:val="29D56180"/>
    <w:rsid w:val="2A8435F3"/>
    <w:rsid w:val="2AD71E2D"/>
    <w:rsid w:val="2B505EEE"/>
    <w:rsid w:val="2BD55671"/>
    <w:rsid w:val="2C100BE0"/>
    <w:rsid w:val="2C3838EE"/>
    <w:rsid w:val="2D76218F"/>
    <w:rsid w:val="2DC1318D"/>
    <w:rsid w:val="2E79269E"/>
    <w:rsid w:val="2E916B5F"/>
    <w:rsid w:val="2EE13D8C"/>
    <w:rsid w:val="303A0261"/>
    <w:rsid w:val="312E2F68"/>
    <w:rsid w:val="312F7EF9"/>
    <w:rsid w:val="315F080F"/>
    <w:rsid w:val="31842005"/>
    <w:rsid w:val="33BD5C35"/>
    <w:rsid w:val="343B5C26"/>
    <w:rsid w:val="34520E88"/>
    <w:rsid w:val="34A50C7B"/>
    <w:rsid w:val="3522284D"/>
    <w:rsid w:val="352C6DD0"/>
    <w:rsid w:val="35654141"/>
    <w:rsid w:val="359B4CB0"/>
    <w:rsid w:val="35CC65B3"/>
    <w:rsid w:val="36EC74C6"/>
    <w:rsid w:val="37215DAE"/>
    <w:rsid w:val="37A73746"/>
    <w:rsid w:val="381430A4"/>
    <w:rsid w:val="38462B2F"/>
    <w:rsid w:val="388C66F6"/>
    <w:rsid w:val="38B22A36"/>
    <w:rsid w:val="38D759FB"/>
    <w:rsid w:val="390A1721"/>
    <w:rsid w:val="39305A1C"/>
    <w:rsid w:val="3A04304D"/>
    <w:rsid w:val="3A157DA2"/>
    <w:rsid w:val="3A386270"/>
    <w:rsid w:val="3A9C2D31"/>
    <w:rsid w:val="3A9D6F4F"/>
    <w:rsid w:val="3ABC683E"/>
    <w:rsid w:val="3ACD6694"/>
    <w:rsid w:val="3B023379"/>
    <w:rsid w:val="3B1A7AAE"/>
    <w:rsid w:val="3B2A4305"/>
    <w:rsid w:val="3B370112"/>
    <w:rsid w:val="3B5A7231"/>
    <w:rsid w:val="3B855440"/>
    <w:rsid w:val="3BEF2790"/>
    <w:rsid w:val="3C006572"/>
    <w:rsid w:val="3C2A63A2"/>
    <w:rsid w:val="3C42539B"/>
    <w:rsid w:val="3CB55CE6"/>
    <w:rsid w:val="3CC066AD"/>
    <w:rsid w:val="3CEE6DEF"/>
    <w:rsid w:val="3D004C75"/>
    <w:rsid w:val="3D19224D"/>
    <w:rsid w:val="3DC35513"/>
    <w:rsid w:val="3E7B4051"/>
    <w:rsid w:val="3EB711BA"/>
    <w:rsid w:val="3F084CF4"/>
    <w:rsid w:val="401A15ED"/>
    <w:rsid w:val="401D059D"/>
    <w:rsid w:val="41807818"/>
    <w:rsid w:val="42276FF1"/>
    <w:rsid w:val="42EF7208"/>
    <w:rsid w:val="4454649E"/>
    <w:rsid w:val="44781760"/>
    <w:rsid w:val="44BB636B"/>
    <w:rsid w:val="44F83F39"/>
    <w:rsid w:val="451056D1"/>
    <w:rsid w:val="45494BDC"/>
    <w:rsid w:val="455616EC"/>
    <w:rsid w:val="460B5BAF"/>
    <w:rsid w:val="46B34549"/>
    <w:rsid w:val="471A71DA"/>
    <w:rsid w:val="47367588"/>
    <w:rsid w:val="47530354"/>
    <w:rsid w:val="482145B2"/>
    <w:rsid w:val="48AB5A5D"/>
    <w:rsid w:val="492422C9"/>
    <w:rsid w:val="49D52C5F"/>
    <w:rsid w:val="4A153553"/>
    <w:rsid w:val="4A5509E6"/>
    <w:rsid w:val="4C0E45D9"/>
    <w:rsid w:val="4C3C4C30"/>
    <w:rsid w:val="4C471D4A"/>
    <w:rsid w:val="4CAD0D26"/>
    <w:rsid w:val="4D4144B0"/>
    <w:rsid w:val="4E357AD0"/>
    <w:rsid w:val="4E79477B"/>
    <w:rsid w:val="4ED1020B"/>
    <w:rsid w:val="4F065D68"/>
    <w:rsid w:val="4F524A0A"/>
    <w:rsid w:val="4F570A9C"/>
    <w:rsid w:val="50156116"/>
    <w:rsid w:val="50287042"/>
    <w:rsid w:val="50E37049"/>
    <w:rsid w:val="525C5A95"/>
    <w:rsid w:val="52B33E90"/>
    <w:rsid w:val="531F68DA"/>
    <w:rsid w:val="53893080"/>
    <w:rsid w:val="54580751"/>
    <w:rsid w:val="560346EE"/>
    <w:rsid w:val="56037C1E"/>
    <w:rsid w:val="56520467"/>
    <w:rsid w:val="565225E9"/>
    <w:rsid w:val="56F130C9"/>
    <w:rsid w:val="56FC08A9"/>
    <w:rsid w:val="57FC45C0"/>
    <w:rsid w:val="5857561C"/>
    <w:rsid w:val="58B370AF"/>
    <w:rsid w:val="58BC4603"/>
    <w:rsid w:val="597E0720"/>
    <w:rsid w:val="5A2F6836"/>
    <w:rsid w:val="5AA30C31"/>
    <w:rsid w:val="5ACB2D6D"/>
    <w:rsid w:val="5B1C4BAA"/>
    <w:rsid w:val="5B90055D"/>
    <w:rsid w:val="5C0E605C"/>
    <w:rsid w:val="5C44135B"/>
    <w:rsid w:val="5E3B0CF1"/>
    <w:rsid w:val="5E733AD6"/>
    <w:rsid w:val="5F1A3D4D"/>
    <w:rsid w:val="5F212C88"/>
    <w:rsid w:val="5F7F3360"/>
    <w:rsid w:val="5FA87FBA"/>
    <w:rsid w:val="5FEE3290"/>
    <w:rsid w:val="60C27E22"/>
    <w:rsid w:val="60DB1FBB"/>
    <w:rsid w:val="618429E0"/>
    <w:rsid w:val="618D17E4"/>
    <w:rsid w:val="62273DD5"/>
    <w:rsid w:val="62516B49"/>
    <w:rsid w:val="62781D88"/>
    <w:rsid w:val="63655C74"/>
    <w:rsid w:val="646213B4"/>
    <w:rsid w:val="64A9012C"/>
    <w:rsid w:val="64B87989"/>
    <w:rsid w:val="64C76921"/>
    <w:rsid w:val="656E33D6"/>
    <w:rsid w:val="657019E9"/>
    <w:rsid w:val="658C0D53"/>
    <w:rsid w:val="65C14135"/>
    <w:rsid w:val="66144F85"/>
    <w:rsid w:val="66814086"/>
    <w:rsid w:val="66850F5B"/>
    <w:rsid w:val="66A12057"/>
    <w:rsid w:val="66F916AD"/>
    <w:rsid w:val="67594B06"/>
    <w:rsid w:val="67AD07BE"/>
    <w:rsid w:val="67B5752B"/>
    <w:rsid w:val="67DA7730"/>
    <w:rsid w:val="67F421BC"/>
    <w:rsid w:val="67F95862"/>
    <w:rsid w:val="69667BB9"/>
    <w:rsid w:val="69D4452F"/>
    <w:rsid w:val="6A0C0C91"/>
    <w:rsid w:val="6A5854B5"/>
    <w:rsid w:val="6AD60CE4"/>
    <w:rsid w:val="6AE646FD"/>
    <w:rsid w:val="6B274210"/>
    <w:rsid w:val="6B543A7D"/>
    <w:rsid w:val="6B5A00FB"/>
    <w:rsid w:val="6BCB7CDB"/>
    <w:rsid w:val="6BF2469E"/>
    <w:rsid w:val="6DAA51E8"/>
    <w:rsid w:val="6EE63E18"/>
    <w:rsid w:val="6F0F60B4"/>
    <w:rsid w:val="6F1417A6"/>
    <w:rsid w:val="6F17248D"/>
    <w:rsid w:val="6F8C0A24"/>
    <w:rsid w:val="70134ABB"/>
    <w:rsid w:val="709A35F3"/>
    <w:rsid w:val="72CC1EBB"/>
    <w:rsid w:val="733D07FE"/>
    <w:rsid w:val="734D1BD3"/>
    <w:rsid w:val="73B62040"/>
    <w:rsid w:val="740D64F7"/>
    <w:rsid w:val="74940070"/>
    <w:rsid w:val="74B11CC4"/>
    <w:rsid w:val="74CE35A4"/>
    <w:rsid w:val="758D193E"/>
    <w:rsid w:val="75D7705D"/>
    <w:rsid w:val="7725204A"/>
    <w:rsid w:val="776544ED"/>
    <w:rsid w:val="77A16CBE"/>
    <w:rsid w:val="77C3455E"/>
    <w:rsid w:val="784E0831"/>
    <w:rsid w:val="78727E01"/>
    <w:rsid w:val="78D756FA"/>
    <w:rsid w:val="78E01EE5"/>
    <w:rsid w:val="79472A6C"/>
    <w:rsid w:val="7A110359"/>
    <w:rsid w:val="7A796ACB"/>
    <w:rsid w:val="7AA4633A"/>
    <w:rsid w:val="7B0B3950"/>
    <w:rsid w:val="7CE72390"/>
    <w:rsid w:val="7D255E37"/>
    <w:rsid w:val="7D412139"/>
    <w:rsid w:val="7E7A539B"/>
    <w:rsid w:val="7F466387"/>
    <w:rsid w:val="7F646D31"/>
    <w:rsid w:val="7F8B0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3">
    <w:name w:val="heading 1"/>
    <w:basedOn w:val="1"/>
    <w:link w:val="44"/>
    <w:qFormat/>
    <w:uiPriority w:val="9"/>
    <w:pPr>
      <w:keepNext/>
      <w:keepLines/>
      <w:spacing w:beforeLines="50" w:afterLines="50"/>
      <w:ind w:left="0" w:leftChars="0" w:firstLine="200"/>
      <w:outlineLvl w:val="0"/>
    </w:pPr>
    <w:rPr>
      <w:rFonts w:eastAsia="黑体"/>
      <w:bCs/>
      <w:kern w:val="44"/>
      <w:szCs w:val="44"/>
    </w:rPr>
  </w:style>
  <w:style w:type="paragraph" w:styleId="4">
    <w:name w:val="heading 2"/>
    <w:basedOn w:val="1"/>
    <w:next w:val="1"/>
    <w:link w:val="37"/>
    <w:qFormat/>
    <w:uiPriority w:val="0"/>
    <w:pPr>
      <w:keepNext/>
      <w:keepLines/>
      <w:outlineLvl w:val="1"/>
    </w:pPr>
    <w:rPr>
      <w:rFonts w:ascii="Cambria" w:hAnsi="Cambria" w:eastAsia="楷体"/>
      <w:b/>
      <w:bCs/>
      <w:szCs w:val="32"/>
    </w:rPr>
  </w:style>
  <w:style w:type="paragraph" w:styleId="5">
    <w:name w:val="heading 3"/>
    <w:basedOn w:val="1"/>
    <w:next w:val="1"/>
    <w:link w:val="45"/>
    <w:qFormat/>
    <w:uiPriority w:val="0"/>
    <w:pPr>
      <w:keepNext/>
      <w:keepLines/>
      <w:spacing w:before="260" w:after="260" w:line="413" w:lineRule="auto"/>
      <w:outlineLvl w:val="2"/>
    </w:pPr>
    <w:rPr>
      <w:rFonts w:eastAsia="宋体"/>
      <w:b/>
      <w:kern w:val="0"/>
      <w:szCs w:val="20"/>
    </w:rPr>
  </w:style>
  <w:style w:type="paragraph" w:styleId="6">
    <w:name w:val="heading 4"/>
    <w:basedOn w:val="1"/>
    <w:next w:val="1"/>
    <w:qFormat/>
    <w:uiPriority w:val="0"/>
    <w:pPr>
      <w:keepNext/>
      <w:spacing w:line="600" w:lineRule="exact"/>
      <w:jc w:val="center"/>
      <w:outlineLvl w:val="3"/>
    </w:pPr>
    <w:rPr>
      <w:rFonts w:ascii="楷体_GB2312" w:eastAsia="楷体_GB2312"/>
    </w:rPr>
  </w:style>
  <w:style w:type="paragraph" w:styleId="7">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9"/>
    <w:qFormat/>
    <w:uiPriority w:val="0"/>
    <w:pPr>
      <w:spacing w:line="520" w:lineRule="exact"/>
    </w:pPr>
    <w:rPr>
      <w:rFonts w:eastAsia="仿宋_GB2312"/>
    </w:rPr>
  </w:style>
  <w:style w:type="paragraph" w:styleId="8">
    <w:name w:val="toc 7"/>
    <w:basedOn w:val="1"/>
    <w:next w:val="1"/>
    <w:unhideWhenUsed/>
    <w:qFormat/>
    <w:uiPriority w:val="39"/>
    <w:pPr>
      <w:adjustRightInd/>
      <w:snapToGrid/>
      <w:spacing w:line="240" w:lineRule="auto"/>
      <w:ind w:left="2520" w:leftChars="1200" w:firstLine="0" w:firstLineChars="0"/>
    </w:pPr>
    <w:rPr>
      <w:rFonts w:asciiTheme="minorHAnsi" w:hAnsiTheme="minorHAnsi" w:eastAsiaTheme="minorEastAsia" w:cstheme="minorBidi"/>
      <w:sz w:val="21"/>
      <w:szCs w:val="22"/>
    </w:rPr>
  </w:style>
  <w:style w:type="paragraph" w:styleId="9">
    <w:name w:val="table of authorities"/>
    <w:basedOn w:val="1"/>
    <w:next w:val="1"/>
    <w:unhideWhenUsed/>
    <w:qFormat/>
    <w:uiPriority w:val="0"/>
    <w:pPr>
      <w:ind w:left="420" w:leftChars="200" w:firstLine="0"/>
    </w:pPr>
  </w:style>
  <w:style w:type="paragraph" w:styleId="10">
    <w:name w:val="Document Map"/>
    <w:basedOn w:val="1"/>
    <w:link w:val="46"/>
    <w:semiHidden/>
    <w:qFormat/>
    <w:uiPriority w:val="0"/>
    <w:pPr>
      <w:shd w:val="clear" w:color="auto" w:fill="000080"/>
    </w:pPr>
  </w:style>
  <w:style w:type="paragraph" w:styleId="11">
    <w:name w:val="annotation text"/>
    <w:basedOn w:val="1"/>
    <w:link w:val="48"/>
    <w:qFormat/>
    <w:uiPriority w:val="0"/>
    <w:pPr>
      <w:jc w:val="left"/>
    </w:pPr>
    <w:rPr>
      <w:rFonts w:eastAsia="宋体"/>
      <w:sz w:val="21"/>
    </w:rPr>
  </w:style>
  <w:style w:type="paragraph" w:styleId="12">
    <w:name w:val="Body Text Indent"/>
    <w:basedOn w:val="1"/>
    <w:next w:val="1"/>
    <w:qFormat/>
    <w:uiPriority w:val="0"/>
    <w:pPr>
      <w:spacing w:line="560" w:lineRule="exact"/>
    </w:pPr>
    <w:rPr>
      <w:rFonts w:ascii="方正仿宋简体"/>
      <w:spacing w:val="30"/>
      <w:w w:val="80"/>
    </w:rPr>
  </w:style>
  <w:style w:type="paragraph" w:styleId="13">
    <w:name w:val="toc 5"/>
    <w:basedOn w:val="1"/>
    <w:next w:val="1"/>
    <w:unhideWhenUsed/>
    <w:qFormat/>
    <w:uiPriority w:val="39"/>
    <w:pPr>
      <w:adjustRightInd/>
      <w:snapToGrid/>
      <w:spacing w:line="240" w:lineRule="auto"/>
      <w:ind w:left="1680" w:leftChars="800" w:firstLine="0" w:firstLineChars="0"/>
    </w:pPr>
    <w:rPr>
      <w:rFonts w:asciiTheme="minorHAnsi" w:hAnsiTheme="minorHAnsi" w:eastAsiaTheme="minorEastAsia" w:cstheme="minorBidi"/>
      <w:sz w:val="21"/>
      <w:szCs w:val="22"/>
    </w:rPr>
  </w:style>
  <w:style w:type="paragraph" w:styleId="14">
    <w:name w:val="toc 3"/>
    <w:basedOn w:val="1"/>
    <w:next w:val="1"/>
    <w:unhideWhenUsed/>
    <w:qFormat/>
    <w:uiPriority w:val="39"/>
    <w:pPr>
      <w:adjustRightInd/>
      <w:snapToGrid/>
      <w:spacing w:line="240" w:lineRule="auto"/>
      <w:ind w:left="840" w:leftChars="400" w:firstLine="0" w:firstLineChars="0"/>
    </w:pPr>
    <w:rPr>
      <w:rFonts w:asciiTheme="minorHAnsi" w:hAnsiTheme="minorHAnsi" w:eastAsiaTheme="minorEastAsia" w:cstheme="minorBidi"/>
      <w:sz w:val="21"/>
      <w:szCs w:val="22"/>
    </w:rPr>
  </w:style>
  <w:style w:type="paragraph" w:styleId="15">
    <w:name w:val="Plain Text"/>
    <w:basedOn w:val="1"/>
    <w:link w:val="50"/>
    <w:qFormat/>
    <w:uiPriority w:val="0"/>
    <w:rPr>
      <w:rFonts w:ascii="宋体" w:hAnsi="Courier New" w:cs="Courier New"/>
      <w:szCs w:val="21"/>
    </w:rPr>
  </w:style>
  <w:style w:type="paragraph" w:styleId="16">
    <w:name w:val="toc 8"/>
    <w:basedOn w:val="1"/>
    <w:next w:val="1"/>
    <w:unhideWhenUsed/>
    <w:qFormat/>
    <w:uiPriority w:val="39"/>
    <w:pPr>
      <w:adjustRightInd/>
      <w:snapToGrid/>
      <w:spacing w:line="240" w:lineRule="auto"/>
      <w:ind w:left="2940" w:leftChars="1400" w:firstLine="0" w:firstLineChars="0"/>
    </w:pPr>
    <w:rPr>
      <w:rFonts w:asciiTheme="minorHAnsi" w:hAnsiTheme="minorHAnsi" w:eastAsiaTheme="minorEastAsia" w:cstheme="minorBidi"/>
      <w:sz w:val="21"/>
      <w:szCs w:val="22"/>
    </w:rPr>
  </w:style>
  <w:style w:type="paragraph" w:styleId="17">
    <w:name w:val="Date"/>
    <w:basedOn w:val="1"/>
    <w:next w:val="1"/>
    <w:link w:val="51"/>
    <w:qFormat/>
    <w:uiPriority w:val="0"/>
    <w:pPr>
      <w:ind w:left="100" w:leftChars="2500"/>
    </w:pPr>
  </w:style>
  <w:style w:type="paragraph" w:styleId="18">
    <w:name w:val="Body Text Indent 2"/>
    <w:basedOn w:val="1"/>
    <w:link w:val="52"/>
    <w:qFormat/>
    <w:uiPriority w:val="0"/>
    <w:pPr>
      <w:spacing w:after="120" w:line="480" w:lineRule="auto"/>
      <w:ind w:left="420" w:leftChars="200"/>
    </w:pPr>
  </w:style>
  <w:style w:type="paragraph" w:styleId="19">
    <w:name w:val="Balloon Text"/>
    <w:basedOn w:val="1"/>
    <w:link w:val="54"/>
    <w:qFormat/>
    <w:uiPriority w:val="0"/>
    <w:rPr>
      <w:rFonts w:eastAsia="宋体"/>
      <w:sz w:val="18"/>
      <w:szCs w:val="18"/>
    </w:rPr>
  </w:style>
  <w:style w:type="paragraph" w:styleId="20">
    <w:name w:val="footer"/>
    <w:basedOn w:val="1"/>
    <w:link w:val="41"/>
    <w:unhideWhenUsed/>
    <w:qFormat/>
    <w:uiPriority w:val="99"/>
    <w:pPr>
      <w:tabs>
        <w:tab w:val="center" w:pos="4153"/>
        <w:tab w:val="right" w:pos="8306"/>
      </w:tabs>
      <w:jc w:val="left"/>
    </w:pPr>
    <w:rPr>
      <w:sz w:val="18"/>
      <w:szCs w:val="18"/>
    </w:rPr>
  </w:style>
  <w:style w:type="paragraph" w:styleId="21">
    <w:name w:val="header"/>
    <w:basedOn w:val="1"/>
    <w:link w:val="40"/>
    <w:unhideWhenUsed/>
    <w:qFormat/>
    <w:uiPriority w:val="0"/>
    <w:pPr>
      <w:pBdr>
        <w:bottom w:val="single" w:color="auto" w:sz="6" w:space="1"/>
      </w:pBdr>
      <w:tabs>
        <w:tab w:val="center" w:pos="4153"/>
        <w:tab w:val="right" w:pos="8306"/>
      </w:tabs>
      <w:jc w:val="center"/>
    </w:pPr>
    <w:rPr>
      <w:sz w:val="18"/>
      <w:szCs w:val="18"/>
    </w:rPr>
  </w:style>
  <w:style w:type="paragraph" w:styleId="22">
    <w:name w:val="toc 1"/>
    <w:basedOn w:val="1"/>
    <w:next w:val="1"/>
    <w:unhideWhenUsed/>
    <w:qFormat/>
    <w:uiPriority w:val="39"/>
  </w:style>
  <w:style w:type="paragraph" w:styleId="23">
    <w:name w:val="toc 4"/>
    <w:basedOn w:val="1"/>
    <w:next w:val="1"/>
    <w:unhideWhenUsed/>
    <w:qFormat/>
    <w:uiPriority w:val="39"/>
    <w:pPr>
      <w:adjustRightInd/>
      <w:snapToGrid/>
      <w:spacing w:line="240" w:lineRule="auto"/>
      <w:ind w:left="1260" w:leftChars="600" w:firstLine="0" w:firstLineChars="0"/>
    </w:pPr>
    <w:rPr>
      <w:rFonts w:asciiTheme="minorHAnsi" w:hAnsiTheme="minorHAnsi" w:eastAsiaTheme="minorEastAsia" w:cstheme="minorBidi"/>
      <w:sz w:val="21"/>
      <w:szCs w:val="22"/>
    </w:rPr>
  </w:style>
  <w:style w:type="paragraph" w:styleId="24">
    <w:name w:val="toc 6"/>
    <w:basedOn w:val="1"/>
    <w:next w:val="1"/>
    <w:unhideWhenUsed/>
    <w:qFormat/>
    <w:uiPriority w:val="39"/>
    <w:pPr>
      <w:adjustRightInd/>
      <w:snapToGrid/>
      <w:spacing w:line="240" w:lineRule="auto"/>
      <w:ind w:left="2100" w:leftChars="1000" w:firstLine="0" w:firstLineChars="0"/>
    </w:pPr>
    <w:rPr>
      <w:rFonts w:asciiTheme="minorHAnsi" w:hAnsiTheme="minorHAnsi" w:eastAsiaTheme="minorEastAsia" w:cstheme="minorBidi"/>
      <w:sz w:val="21"/>
      <w:szCs w:val="22"/>
    </w:rPr>
  </w:style>
  <w:style w:type="paragraph" w:styleId="25">
    <w:name w:val="toc 2"/>
    <w:basedOn w:val="1"/>
    <w:next w:val="1"/>
    <w:unhideWhenUsed/>
    <w:qFormat/>
    <w:uiPriority w:val="39"/>
    <w:pPr>
      <w:ind w:left="420" w:leftChars="200"/>
    </w:pPr>
  </w:style>
  <w:style w:type="paragraph" w:styleId="26">
    <w:name w:val="toc 9"/>
    <w:basedOn w:val="1"/>
    <w:next w:val="1"/>
    <w:unhideWhenUsed/>
    <w:qFormat/>
    <w:uiPriority w:val="39"/>
    <w:pPr>
      <w:adjustRightInd/>
      <w:snapToGrid/>
      <w:spacing w:line="240" w:lineRule="auto"/>
      <w:ind w:left="3360" w:leftChars="1600" w:firstLine="0" w:firstLineChars="0"/>
    </w:pPr>
    <w:rPr>
      <w:rFonts w:asciiTheme="minorHAnsi" w:hAnsiTheme="minorHAnsi" w:eastAsiaTheme="minorEastAsia" w:cstheme="minorBidi"/>
      <w:sz w:val="21"/>
      <w:szCs w:val="22"/>
    </w:rPr>
  </w:style>
  <w:style w:type="paragraph" w:styleId="27">
    <w:name w:val="Normal (Web)"/>
    <w:basedOn w:val="1"/>
    <w:qFormat/>
    <w:uiPriority w:val="0"/>
    <w:pPr>
      <w:spacing w:before="100" w:beforeAutospacing="1" w:after="100" w:afterAutospacing="1"/>
      <w:jc w:val="left"/>
    </w:pPr>
    <w:rPr>
      <w:kern w:val="0"/>
      <w:sz w:val="24"/>
    </w:rPr>
  </w:style>
  <w:style w:type="paragraph" w:styleId="28">
    <w:name w:val="annotation subject"/>
    <w:basedOn w:val="11"/>
    <w:next w:val="11"/>
    <w:link w:val="57"/>
    <w:qFormat/>
    <w:uiPriority w:val="0"/>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0"/>
    <w:rPr>
      <w:rFonts w:eastAsia="楷体"/>
      <w:b/>
      <w:bCs/>
      <w:sz w:val="21"/>
    </w:rPr>
  </w:style>
  <w:style w:type="character" w:styleId="33">
    <w:name w:val="page number"/>
    <w:qFormat/>
    <w:uiPriority w:val="0"/>
  </w:style>
  <w:style w:type="character" w:styleId="34">
    <w:name w:val="Emphasis"/>
    <w:qFormat/>
    <w:uiPriority w:val="20"/>
    <w:rPr>
      <w:i/>
      <w:iCs/>
    </w:rPr>
  </w:style>
  <w:style w:type="character" w:styleId="35">
    <w:name w:val="Hyperlink"/>
    <w:unhideWhenUsed/>
    <w:qFormat/>
    <w:uiPriority w:val="99"/>
    <w:rPr>
      <w:color w:val="0000FF"/>
      <w:u w:val="single"/>
    </w:rPr>
  </w:style>
  <w:style w:type="character" w:styleId="36">
    <w:name w:val="annotation reference"/>
    <w:qFormat/>
    <w:uiPriority w:val="0"/>
    <w:rPr>
      <w:sz w:val="21"/>
      <w:szCs w:val="21"/>
    </w:rPr>
  </w:style>
  <w:style w:type="character" w:customStyle="1" w:styleId="37">
    <w:name w:val="标题 2 Char1"/>
    <w:link w:val="4"/>
    <w:qFormat/>
    <w:uiPriority w:val="0"/>
    <w:rPr>
      <w:rFonts w:ascii="Cambria" w:hAnsi="Cambria" w:eastAsia="楷体" w:cs="Times New Roman"/>
      <w:b/>
      <w:bCs/>
      <w:sz w:val="32"/>
      <w:szCs w:val="32"/>
    </w:rPr>
  </w:style>
  <w:style w:type="character" w:customStyle="1" w:styleId="38">
    <w:name w:val="标题 1 Char"/>
    <w:basedOn w:val="31"/>
    <w:qFormat/>
    <w:uiPriority w:val="9"/>
    <w:rPr>
      <w:rFonts w:ascii="Times New Roman" w:hAnsi="Times New Roman" w:eastAsia="仿宋" w:cs="Times New Roman"/>
      <w:b/>
      <w:bCs/>
      <w:kern w:val="44"/>
      <w:sz w:val="44"/>
      <w:szCs w:val="44"/>
    </w:rPr>
  </w:style>
  <w:style w:type="character" w:customStyle="1" w:styleId="39">
    <w:name w:val="标题 3 Char"/>
    <w:basedOn w:val="31"/>
    <w:semiHidden/>
    <w:qFormat/>
    <w:uiPriority w:val="9"/>
    <w:rPr>
      <w:rFonts w:ascii="Times New Roman" w:hAnsi="Times New Roman" w:eastAsia="仿宋" w:cs="Times New Roman"/>
      <w:b/>
      <w:bCs/>
      <w:sz w:val="32"/>
      <w:szCs w:val="32"/>
    </w:rPr>
  </w:style>
  <w:style w:type="character" w:customStyle="1" w:styleId="40">
    <w:name w:val="页眉 Char"/>
    <w:basedOn w:val="31"/>
    <w:link w:val="21"/>
    <w:semiHidden/>
    <w:qFormat/>
    <w:uiPriority w:val="99"/>
    <w:rPr>
      <w:sz w:val="18"/>
      <w:szCs w:val="18"/>
    </w:rPr>
  </w:style>
  <w:style w:type="character" w:customStyle="1" w:styleId="41">
    <w:name w:val="页脚 Char"/>
    <w:basedOn w:val="31"/>
    <w:link w:val="20"/>
    <w:qFormat/>
    <w:uiPriority w:val="99"/>
    <w:rPr>
      <w:sz w:val="18"/>
      <w:szCs w:val="18"/>
    </w:rPr>
  </w:style>
  <w:style w:type="paragraph" w:customStyle="1" w:styleId="42">
    <w:name w:val="_Style 10"/>
    <w:basedOn w:val="1"/>
    <w:next w:val="1"/>
    <w:unhideWhenUsed/>
    <w:qFormat/>
    <w:uiPriority w:val="39"/>
    <w:pPr>
      <w:tabs>
        <w:tab w:val="left" w:pos="2230"/>
        <w:tab w:val="right" w:leader="dot" w:pos="8222"/>
      </w:tabs>
      <w:spacing w:line="500" w:lineRule="exact"/>
      <w:ind w:left="640" w:leftChars="200" w:right="-58" w:rightChars="-18" w:firstLine="560"/>
    </w:pPr>
  </w:style>
  <w:style w:type="character" w:customStyle="1" w:styleId="43">
    <w:name w:val="标题 2 Char"/>
    <w:basedOn w:val="31"/>
    <w:semiHidden/>
    <w:qFormat/>
    <w:uiPriority w:val="9"/>
    <w:rPr>
      <w:rFonts w:asciiTheme="majorHAnsi" w:hAnsiTheme="majorHAnsi" w:eastAsiaTheme="majorEastAsia" w:cstheme="majorBidi"/>
      <w:b/>
      <w:bCs/>
      <w:sz w:val="32"/>
      <w:szCs w:val="32"/>
    </w:rPr>
  </w:style>
  <w:style w:type="character" w:customStyle="1" w:styleId="44">
    <w:name w:val="标题 1 Char1"/>
    <w:link w:val="3"/>
    <w:qFormat/>
    <w:uiPriority w:val="9"/>
    <w:rPr>
      <w:rFonts w:ascii="Times New Roman" w:hAnsi="Times New Roman" w:eastAsia="黑体" w:cs="Times New Roman"/>
      <w:bCs/>
      <w:kern w:val="44"/>
      <w:sz w:val="32"/>
      <w:szCs w:val="44"/>
    </w:rPr>
  </w:style>
  <w:style w:type="character" w:customStyle="1" w:styleId="45">
    <w:name w:val="标题 3 Char1"/>
    <w:link w:val="5"/>
    <w:qFormat/>
    <w:uiPriority w:val="0"/>
    <w:rPr>
      <w:rFonts w:ascii="Times New Roman" w:hAnsi="Times New Roman" w:eastAsia="宋体" w:cs="Times New Roman"/>
      <w:b/>
      <w:kern w:val="0"/>
      <w:sz w:val="32"/>
      <w:szCs w:val="20"/>
    </w:rPr>
  </w:style>
  <w:style w:type="character" w:customStyle="1" w:styleId="46">
    <w:name w:val="文档结构图 Char"/>
    <w:basedOn w:val="31"/>
    <w:link w:val="10"/>
    <w:semiHidden/>
    <w:qFormat/>
    <w:uiPriority w:val="0"/>
    <w:rPr>
      <w:rFonts w:ascii="Times New Roman" w:hAnsi="Times New Roman" w:eastAsia="仿宋" w:cs="Times New Roman"/>
      <w:sz w:val="32"/>
      <w:szCs w:val="24"/>
      <w:shd w:val="clear" w:color="auto" w:fill="000080"/>
    </w:rPr>
  </w:style>
  <w:style w:type="character" w:customStyle="1" w:styleId="47">
    <w:name w:val="批注文字 Char"/>
    <w:basedOn w:val="31"/>
    <w:semiHidden/>
    <w:qFormat/>
    <w:uiPriority w:val="99"/>
    <w:rPr>
      <w:rFonts w:ascii="Times New Roman" w:hAnsi="Times New Roman" w:eastAsia="仿宋" w:cs="Times New Roman"/>
      <w:sz w:val="32"/>
      <w:szCs w:val="24"/>
    </w:rPr>
  </w:style>
  <w:style w:type="character" w:customStyle="1" w:styleId="48">
    <w:name w:val="批注文字 Char1"/>
    <w:link w:val="11"/>
    <w:qFormat/>
    <w:uiPriority w:val="0"/>
    <w:rPr>
      <w:rFonts w:ascii="Times New Roman" w:hAnsi="Times New Roman" w:eastAsia="宋体" w:cs="Times New Roman"/>
      <w:szCs w:val="24"/>
    </w:rPr>
  </w:style>
  <w:style w:type="character" w:customStyle="1" w:styleId="49">
    <w:name w:val="正文文本 Char"/>
    <w:basedOn w:val="31"/>
    <w:link w:val="2"/>
    <w:qFormat/>
    <w:uiPriority w:val="0"/>
    <w:rPr>
      <w:rFonts w:ascii="Times New Roman" w:hAnsi="Times New Roman" w:eastAsia="仿宋_GB2312" w:cs="Times New Roman"/>
      <w:sz w:val="32"/>
      <w:szCs w:val="24"/>
    </w:rPr>
  </w:style>
  <w:style w:type="character" w:customStyle="1" w:styleId="50">
    <w:name w:val="纯文本 Char"/>
    <w:basedOn w:val="31"/>
    <w:link w:val="15"/>
    <w:qFormat/>
    <w:uiPriority w:val="0"/>
    <w:rPr>
      <w:rFonts w:ascii="宋体" w:hAnsi="Courier New" w:eastAsia="仿宋" w:cs="Courier New"/>
      <w:sz w:val="32"/>
      <w:szCs w:val="21"/>
    </w:rPr>
  </w:style>
  <w:style w:type="character" w:customStyle="1" w:styleId="51">
    <w:name w:val="日期 Char"/>
    <w:basedOn w:val="31"/>
    <w:link w:val="17"/>
    <w:qFormat/>
    <w:uiPriority w:val="0"/>
    <w:rPr>
      <w:rFonts w:ascii="Times New Roman" w:hAnsi="Times New Roman" w:eastAsia="仿宋" w:cs="Times New Roman"/>
      <w:sz w:val="32"/>
      <w:szCs w:val="24"/>
    </w:rPr>
  </w:style>
  <w:style w:type="character" w:customStyle="1" w:styleId="52">
    <w:name w:val="正文文本缩进 2 Char"/>
    <w:basedOn w:val="31"/>
    <w:link w:val="18"/>
    <w:qFormat/>
    <w:uiPriority w:val="0"/>
    <w:rPr>
      <w:rFonts w:ascii="Times New Roman" w:hAnsi="Times New Roman" w:eastAsia="仿宋" w:cs="Times New Roman"/>
      <w:sz w:val="32"/>
      <w:szCs w:val="24"/>
    </w:rPr>
  </w:style>
  <w:style w:type="character" w:customStyle="1" w:styleId="53">
    <w:name w:val="批注框文本 Char"/>
    <w:basedOn w:val="31"/>
    <w:semiHidden/>
    <w:qFormat/>
    <w:uiPriority w:val="99"/>
    <w:rPr>
      <w:rFonts w:ascii="Times New Roman" w:hAnsi="Times New Roman" w:eastAsia="仿宋" w:cs="Times New Roman"/>
      <w:sz w:val="18"/>
      <w:szCs w:val="18"/>
    </w:rPr>
  </w:style>
  <w:style w:type="character" w:customStyle="1" w:styleId="54">
    <w:name w:val="批注框文本 Char1"/>
    <w:link w:val="19"/>
    <w:qFormat/>
    <w:uiPriority w:val="0"/>
    <w:rPr>
      <w:rFonts w:ascii="Times New Roman" w:hAnsi="Times New Roman" w:eastAsia="宋体" w:cs="Times New Roman"/>
      <w:sz w:val="18"/>
      <w:szCs w:val="18"/>
    </w:rPr>
  </w:style>
  <w:style w:type="character" w:customStyle="1" w:styleId="55">
    <w:name w:val="页脚 字符"/>
    <w:qFormat/>
    <w:uiPriority w:val="99"/>
    <w:rPr>
      <w:rFonts w:eastAsia="仿宋"/>
      <w:kern w:val="2"/>
      <w:sz w:val="18"/>
      <w:szCs w:val="18"/>
    </w:rPr>
  </w:style>
  <w:style w:type="character" w:customStyle="1" w:styleId="56">
    <w:name w:val="批注主题 Char"/>
    <w:basedOn w:val="47"/>
    <w:semiHidden/>
    <w:qFormat/>
    <w:uiPriority w:val="99"/>
    <w:rPr>
      <w:rFonts w:ascii="Times New Roman" w:hAnsi="Times New Roman" w:eastAsia="仿宋" w:cs="Times New Roman"/>
      <w:b/>
      <w:bCs/>
      <w:sz w:val="32"/>
      <w:szCs w:val="24"/>
    </w:rPr>
  </w:style>
  <w:style w:type="character" w:customStyle="1" w:styleId="57">
    <w:name w:val="批注主题 Char1"/>
    <w:link w:val="28"/>
    <w:qFormat/>
    <w:uiPriority w:val="0"/>
    <w:rPr>
      <w:rFonts w:ascii="Times New Roman" w:hAnsi="Times New Roman" w:eastAsia="宋体" w:cs="Times New Roman"/>
      <w:b/>
      <w:bCs/>
      <w:szCs w:val="24"/>
    </w:rPr>
  </w:style>
  <w:style w:type="character" w:customStyle="1" w:styleId="58">
    <w:name w:val="font61"/>
    <w:qFormat/>
    <w:uiPriority w:val="0"/>
    <w:rPr>
      <w:rFonts w:hint="default" w:ascii="Times New Roman" w:hAnsi="Times New Roman" w:cs="Times New Roman"/>
      <w:color w:val="000000"/>
      <w:sz w:val="22"/>
      <w:szCs w:val="22"/>
      <w:u w:val="none"/>
    </w:rPr>
  </w:style>
  <w:style w:type="character" w:customStyle="1" w:styleId="59">
    <w:name w:val="font51"/>
    <w:qFormat/>
    <w:uiPriority w:val="0"/>
    <w:rPr>
      <w:rFonts w:hint="default" w:ascii="Times New Roman" w:hAnsi="Times New Roman" w:cs="Times New Roman"/>
      <w:color w:val="000000"/>
      <w:sz w:val="22"/>
      <w:szCs w:val="22"/>
      <w:u w:val="none"/>
      <w:vertAlign w:val="superscript"/>
    </w:rPr>
  </w:style>
  <w:style w:type="character" w:customStyle="1" w:styleId="60">
    <w:name w:val="font01"/>
    <w:qFormat/>
    <w:uiPriority w:val="0"/>
    <w:rPr>
      <w:rFonts w:hint="eastAsia" w:ascii="宋体" w:hAnsi="宋体" w:eastAsia="宋体" w:cs="宋体"/>
      <w:color w:val="333333"/>
      <w:sz w:val="22"/>
      <w:szCs w:val="22"/>
      <w:u w:val="none"/>
    </w:rPr>
  </w:style>
  <w:style w:type="character" w:customStyle="1" w:styleId="61">
    <w:name w:val="font41"/>
    <w:qFormat/>
    <w:uiPriority w:val="0"/>
    <w:rPr>
      <w:rFonts w:hint="eastAsia" w:ascii="宋体" w:hAnsi="宋体" w:eastAsia="宋体" w:cs="宋体"/>
      <w:color w:val="333333"/>
      <w:sz w:val="22"/>
      <w:szCs w:val="22"/>
      <w:u w:val="none"/>
    </w:rPr>
  </w:style>
  <w:style w:type="character" w:customStyle="1" w:styleId="62">
    <w:name w:val="font11"/>
    <w:qFormat/>
    <w:uiPriority w:val="0"/>
    <w:rPr>
      <w:rFonts w:hint="default" w:ascii="Times New Roman" w:hAnsi="Times New Roman" w:cs="Times New Roman"/>
      <w:b/>
      <w:color w:val="000000"/>
      <w:sz w:val="21"/>
      <w:szCs w:val="21"/>
      <w:u w:val="none"/>
    </w:rPr>
  </w:style>
  <w:style w:type="paragraph" w:customStyle="1" w:styleId="63">
    <w:name w:val="TOC 标题1"/>
    <w:basedOn w:val="3"/>
    <w:next w:val="1"/>
    <w:unhideWhenUsed/>
    <w:qFormat/>
    <w:uiPriority w:val="39"/>
    <w:pPr>
      <w:widowControl/>
      <w:adjustRightInd/>
      <w:snapToGrid/>
      <w:spacing w:beforeLines="0" w:line="276" w:lineRule="auto"/>
      <w:ind w:firstLine="0" w:firstLineChars="0"/>
      <w:jc w:val="left"/>
      <w:outlineLvl w:val="9"/>
    </w:pPr>
    <w:rPr>
      <w:rFonts w:ascii="Cambria" w:hAnsi="Cambria" w:eastAsia="宋体"/>
      <w:b/>
      <w:color w:val="366091"/>
      <w:kern w:val="0"/>
      <w:sz w:val="28"/>
      <w:szCs w:val="28"/>
    </w:rPr>
  </w:style>
  <w:style w:type="paragraph" w:customStyle="1" w:styleId="64">
    <w:name w:val="TOC 标题2"/>
    <w:basedOn w:val="3"/>
    <w:next w:val="1"/>
    <w:qFormat/>
    <w:uiPriority w:val="39"/>
    <w:pPr>
      <w:widowControl/>
      <w:adjustRightInd/>
      <w:snapToGrid/>
      <w:spacing w:beforeLines="0" w:line="276" w:lineRule="auto"/>
      <w:ind w:firstLine="0" w:firstLineChars="0"/>
      <w:jc w:val="left"/>
      <w:outlineLvl w:val="9"/>
    </w:pPr>
    <w:rPr>
      <w:rFonts w:ascii="Cambria" w:hAnsi="Cambria" w:eastAsia="宋体"/>
      <w:b/>
      <w:color w:val="365F91"/>
      <w:kern w:val="0"/>
      <w:sz w:val="28"/>
      <w:szCs w:val="28"/>
    </w:rPr>
  </w:style>
  <w:style w:type="paragraph" w:customStyle="1" w:styleId="65">
    <w:name w:val="Char Char Char Char"/>
    <w:basedOn w:val="10"/>
    <w:qFormat/>
    <w:uiPriority w:val="0"/>
    <w:rPr>
      <w:rFonts w:ascii="Tahoma" w:hAnsi="Tahoma"/>
      <w:sz w:val="24"/>
    </w:rPr>
  </w:style>
  <w:style w:type="paragraph" w:styleId="66">
    <w:name w:val="List Paragraph"/>
    <w:basedOn w:val="1"/>
    <w:qFormat/>
    <w:uiPriority w:val="99"/>
    <w:pPr>
      <w:ind w:firstLine="420"/>
    </w:pPr>
  </w:style>
  <w:style w:type="character" w:customStyle="1" w:styleId="67">
    <w:name w:val="font31"/>
    <w:basedOn w:val="31"/>
    <w:qFormat/>
    <w:uiPriority w:val="0"/>
    <w:rPr>
      <w:rFonts w:hint="default" w:ascii="Times New Roman" w:hAnsi="Times New Roman" w:cs="Times New Roman"/>
      <w:color w:val="000000"/>
      <w:sz w:val="24"/>
      <w:szCs w:val="24"/>
      <w:u w:val="none"/>
    </w:rPr>
  </w:style>
  <w:style w:type="character" w:customStyle="1" w:styleId="68">
    <w:name w:val="font21"/>
    <w:basedOn w:val="31"/>
    <w:qFormat/>
    <w:uiPriority w:val="0"/>
    <w:rPr>
      <w:rFonts w:hint="eastAsia" w:ascii="宋体" w:hAnsi="宋体" w:eastAsia="宋体" w:cs="宋体"/>
      <w:color w:val="000000"/>
      <w:sz w:val="24"/>
      <w:szCs w:val="24"/>
      <w:u w:val="none"/>
    </w:rPr>
  </w:style>
  <w:style w:type="table" w:customStyle="1" w:styleId="69">
    <w:name w:val="样式1"/>
    <w:basedOn w:val="29"/>
    <w:qFormat/>
    <w:uiPriority w:val="99"/>
    <w:pPr>
      <w:jc w:val="center"/>
    </w:pPr>
    <w:rPr>
      <w:rFonts w:eastAsia="仿宋"/>
      <w:sz w:val="24"/>
    </w:rPr>
    <w:tblPr>
      <w:tblBorders>
        <w:top w:val="single" w:color="auto" w:sz="12" w:space="0"/>
        <w:bottom w:val="single" w:color="auto" w:sz="12" w:space="0"/>
        <w:insideH w:val="dotted" w:color="auto" w:sz="4" w:space="0"/>
        <w:insideV w:val="dotted" w:color="auto" w:sz="4" w:space="0"/>
      </w:tblBorders>
      <w:tblCellMar>
        <w:top w:w="0" w:type="dxa"/>
        <w:left w:w="108" w:type="dxa"/>
        <w:bottom w:w="0" w:type="dxa"/>
        <w:right w:w="108" w:type="dxa"/>
      </w:tblCellMar>
    </w:tblPr>
    <w:tcPr>
      <w:vAlign w:val="center"/>
    </w:tcPr>
    <w:tblStylePr w:type="firstRow">
      <w:rPr>
        <w:b/>
      </w:rPr>
    </w:tblStylePr>
  </w:style>
  <w:style w:type="paragraph" w:customStyle="1" w:styleId="70">
    <w:name w:val="Heading #1|1"/>
    <w:basedOn w:val="1"/>
    <w:qFormat/>
    <w:uiPriority w:val="0"/>
    <w:pPr>
      <w:spacing w:line="617" w:lineRule="exact"/>
      <w:ind w:firstLine="660"/>
      <w:outlineLvl w:val="0"/>
    </w:pPr>
    <w:rPr>
      <w:rFonts w:ascii="宋体" w:hAnsi="宋体" w:eastAsia="宋体" w:cs="宋体"/>
      <w:b/>
      <w:bCs/>
      <w:sz w:val="30"/>
      <w:szCs w:val="30"/>
      <w:lang w:val="zh-TW" w:eastAsia="zh-TW" w:bidi="zh-TW"/>
    </w:rPr>
  </w:style>
  <w:style w:type="character" w:customStyle="1" w:styleId="71">
    <w:name w:val="未处理的提及1"/>
    <w:basedOn w:val="31"/>
    <w:semiHidden/>
    <w:unhideWhenUsed/>
    <w:qFormat/>
    <w:uiPriority w:val="99"/>
    <w:rPr>
      <w:color w:val="605E5C"/>
      <w:shd w:val="clear" w:color="auto" w:fill="E1DFDD"/>
    </w:rPr>
  </w:style>
  <w:style w:type="paragraph" w:customStyle="1" w:styleId="72">
    <w:name w:val="WPSOffice手动目录 1"/>
    <w:qFormat/>
    <w:uiPriority w:val="0"/>
    <w:rPr>
      <w:rFonts w:ascii="Times New Roman" w:hAnsi="Times New Roman" w:eastAsia="宋体" w:cs="Times New Roman"/>
      <w:lang w:val="en-US" w:eastAsia="zh-CN" w:bidi="ar-SA"/>
    </w:rPr>
  </w:style>
  <w:style w:type="paragraph" w:customStyle="1" w:styleId="73">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86E5D-43BF-4021-A615-F0C26F504C41}">
  <ds:schemaRefs/>
</ds:datastoreItem>
</file>

<file path=docProps/app.xml><?xml version="1.0" encoding="utf-8"?>
<Properties xmlns="http://schemas.openxmlformats.org/officeDocument/2006/extended-properties" xmlns:vt="http://schemas.openxmlformats.org/officeDocument/2006/docPropsVTypes">
  <Template>Normal</Template>
  <Company>JXYSGLZX</Company>
  <Pages>25</Pages>
  <Words>6212</Words>
  <Characters>7260</Characters>
  <Lines>118</Lines>
  <Paragraphs>33</Paragraphs>
  <TotalTime>1</TotalTime>
  <ScaleCrop>false</ScaleCrop>
  <LinksUpToDate>false</LinksUpToDate>
  <CharactersWithSpaces>7477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2021-08-10T00:41:00Z</dcterms:created>
  <dc:creator>yongbin hua</dc:creator>
  <cp:lastModifiedBy>阁主</cp:lastModifiedBy>
  <dcterms:modified xsi:type="dcterms:W3CDTF">2025-03-05T03:42:14Z</dcterms:modified>
  <cp:revision>420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340D5C8F13584FFE8737994E35217D76_13</vt:lpwstr>
  </property>
  <property fmtid="{D5CDD505-2E9C-101B-9397-08002B2CF9AE}" pid="4" name="KSOTemplateDocerSaveRecord">
    <vt:lpwstr>eyJoZGlkIjoiMmFiM2I3MzNkMDJhYzQ4NTRhOGNmMjM3ZGM4YzViZGYiLCJ1c2VySWQiOiIyOTI2NjQ0ODUifQ==</vt:lpwstr>
  </property>
</Properties>
</file>