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7DF11">
      <w:pPr>
        <w:ind w:firstLine="0" w:firstLineChars="0"/>
        <w:jc w:val="center"/>
        <w:rPr>
          <w:rFonts w:hint="default" w:ascii="Times New Roman" w:hAnsi="Times New Roman" w:eastAsia="仿宋" w:cs="Times New Roman"/>
          <w:sz w:val="44"/>
          <w:szCs w:val="44"/>
        </w:rPr>
      </w:pPr>
    </w:p>
    <w:p w14:paraId="4FF5826A">
      <w:pPr>
        <w:pStyle w:val="2"/>
        <w:ind w:firstLine="640"/>
        <w:rPr>
          <w:rFonts w:hint="default" w:ascii="Times New Roman" w:hAnsi="Times New Roman" w:eastAsia="仿宋" w:cs="Times New Roman"/>
        </w:rPr>
      </w:pPr>
    </w:p>
    <w:p w14:paraId="41462DF3">
      <w:pPr>
        <w:widowControl/>
        <w:ind w:firstLine="0" w:firstLineChars="0"/>
        <w:jc w:val="center"/>
        <w:rPr>
          <w:rFonts w:hint="default" w:ascii="Times New Roman" w:hAnsi="Times New Roman" w:eastAsia="黑体" w:cs="Times New Roman"/>
          <w:b/>
          <w:bCs/>
          <w:sz w:val="44"/>
          <w:szCs w:val="44"/>
        </w:rPr>
      </w:pPr>
      <w:r>
        <w:rPr>
          <w:rFonts w:hint="default" w:ascii="Times New Roman" w:hAnsi="Times New Roman" w:eastAsia="黑体" w:cs="Times New Roman"/>
          <w:b/>
          <w:bCs/>
          <w:sz w:val="44"/>
          <w:szCs w:val="44"/>
        </w:rPr>
        <w:t>罗江区</w:t>
      </w:r>
      <w:r>
        <w:rPr>
          <w:rFonts w:hint="default" w:ascii="Times New Roman" w:hAnsi="Times New Roman" w:eastAsia="黑体" w:cs="Times New Roman"/>
          <w:b/>
          <w:bCs/>
          <w:sz w:val="44"/>
          <w:szCs w:val="44"/>
          <w:lang w:eastAsia="zh-CN"/>
        </w:rPr>
        <w:t>罗江中学运动场改造项目</w:t>
      </w:r>
    </w:p>
    <w:p w14:paraId="3C5D9D6B">
      <w:pPr>
        <w:widowControl/>
        <w:ind w:firstLine="0" w:firstLineChars="0"/>
        <w:jc w:val="center"/>
        <w:rPr>
          <w:rFonts w:hint="default" w:ascii="Times New Roman" w:hAnsi="Times New Roman" w:eastAsia="黑体" w:cs="Times New Roman"/>
          <w:b/>
          <w:bCs/>
          <w:sz w:val="44"/>
          <w:szCs w:val="44"/>
        </w:rPr>
      </w:pPr>
      <w:r>
        <w:rPr>
          <w:rFonts w:hint="default" w:ascii="Times New Roman" w:hAnsi="Times New Roman" w:eastAsia="黑体" w:cs="Times New Roman"/>
          <w:b/>
          <w:sz w:val="44"/>
          <w:szCs w:val="44"/>
        </w:rPr>
        <w:t>绩效评价报告</w:t>
      </w:r>
    </w:p>
    <w:p w14:paraId="6E6CD90D">
      <w:pPr>
        <w:spacing w:line="500" w:lineRule="exact"/>
        <w:ind w:firstLine="880"/>
        <w:jc w:val="center"/>
        <w:rPr>
          <w:rFonts w:hint="default" w:ascii="Times New Roman" w:hAnsi="Times New Roman" w:eastAsia="仿宋" w:cs="Times New Roman"/>
          <w:sz w:val="44"/>
          <w:szCs w:val="44"/>
        </w:rPr>
      </w:pPr>
    </w:p>
    <w:p w14:paraId="60CFB6FD">
      <w:pPr>
        <w:spacing w:line="500" w:lineRule="exact"/>
        <w:ind w:firstLine="880"/>
        <w:jc w:val="center"/>
        <w:rPr>
          <w:rFonts w:hint="default" w:ascii="Times New Roman" w:hAnsi="Times New Roman" w:eastAsia="仿宋" w:cs="Times New Roman"/>
          <w:sz w:val="44"/>
          <w:szCs w:val="44"/>
        </w:rPr>
      </w:pPr>
    </w:p>
    <w:p w14:paraId="1BABFE13">
      <w:pPr>
        <w:ind w:firstLine="720"/>
        <w:rPr>
          <w:rFonts w:hint="default" w:ascii="Times New Roman" w:hAnsi="Times New Roman" w:eastAsia="仿宋" w:cs="Times New Roman"/>
          <w:sz w:val="36"/>
          <w:szCs w:val="36"/>
        </w:rPr>
      </w:pPr>
    </w:p>
    <w:p w14:paraId="303EE38A">
      <w:pPr>
        <w:spacing w:line="480" w:lineRule="auto"/>
        <w:ind w:left="640" w:leftChars="200" w:firstLine="0" w:firstLineChars="0"/>
        <w:rPr>
          <w:rFonts w:hint="default" w:ascii="Times New Roman" w:hAnsi="Times New Roman" w:eastAsia="仿宋" w:cs="Times New Roman"/>
          <w:szCs w:val="32"/>
        </w:rPr>
      </w:pPr>
    </w:p>
    <w:p w14:paraId="77ABE74B">
      <w:pPr>
        <w:pStyle w:val="2"/>
        <w:ind w:firstLine="640"/>
        <w:rPr>
          <w:rFonts w:hint="default" w:ascii="Times New Roman" w:hAnsi="Times New Roman" w:eastAsia="仿宋" w:cs="Times New Roman"/>
          <w:szCs w:val="32"/>
        </w:rPr>
      </w:pPr>
    </w:p>
    <w:p w14:paraId="18D51100">
      <w:pPr>
        <w:ind w:left="640" w:leftChars="200" w:firstLine="0" w:firstLineChars="0"/>
        <w:rPr>
          <w:rFonts w:hint="default" w:ascii="Times New Roman" w:hAnsi="Times New Roman" w:eastAsia="仿宋" w:cs="Times New Roman"/>
          <w:szCs w:val="32"/>
        </w:rPr>
      </w:pPr>
    </w:p>
    <w:p w14:paraId="40F9DE14">
      <w:pPr>
        <w:pStyle w:val="2"/>
        <w:ind w:firstLine="640"/>
        <w:rPr>
          <w:rFonts w:hint="default" w:ascii="Times New Roman" w:hAnsi="Times New Roman" w:eastAsia="仿宋" w:cs="Times New Roman"/>
        </w:rPr>
      </w:pPr>
    </w:p>
    <w:p w14:paraId="4987F70F">
      <w:pPr>
        <w:rPr>
          <w:rFonts w:hint="default" w:ascii="Times New Roman" w:hAnsi="Times New Roman" w:eastAsia="仿宋" w:cs="Times New Roman"/>
        </w:rPr>
      </w:pPr>
    </w:p>
    <w:p w14:paraId="4C718758">
      <w:pPr>
        <w:pStyle w:val="2"/>
        <w:rPr>
          <w:rFonts w:hint="default" w:ascii="Times New Roman" w:hAnsi="Times New Roman" w:eastAsia="仿宋" w:cs="Times New Roman"/>
        </w:rPr>
      </w:pPr>
    </w:p>
    <w:p w14:paraId="4CC97E21">
      <w:pPr>
        <w:spacing w:line="480" w:lineRule="auto"/>
        <w:ind w:firstLine="1280" w:firstLineChars="400"/>
        <w:rPr>
          <w:rFonts w:hint="default" w:ascii="Times New Roman" w:hAnsi="Times New Roman" w:eastAsia="仿宋" w:cs="Times New Roman"/>
          <w:szCs w:val="32"/>
          <w:shd w:val="clear" w:color="auto" w:fill="FFFFFF"/>
        </w:rPr>
      </w:pPr>
      <w:r>
        <w:rPr>
          <w:rFonts w:hint="default" w:ascii="Times New Roman" w:hAnsi="Times New Roman" w:eastAsia="仿宋" w:cs="Times New Roman"/>
          <w:szCs w:val="32"/>
          <w:shd w:val="clear" w:color="auto" w:fill="FFFFFF"/>
        </w:rPr>
        <w:t>项目名称：</w:t>
      </w:r>
      <w:r>
        <w:rPr>
          <w:rFonts w:hint="default" w:ascii="Times New Roman" w:hAnsi="Times New Roman" w:eastAsia="仿宋" w:cs="Times New Roman"/>
          <w:szCs w:val="32"/>
          <w:shd w:val="clear" w:color="auto" w:fill="FFFFFF"/>
          <w:lang w:eastAsia="zh-CN"/>
        </w:rPr>
        <w:t>罗江中学运动场改造项目</w:t>
      </w:r>
    </w:p>
    <w:p w14:paraId="68F8A229">
      <w:pPr>
        <w:spacing w:line="480" w:lineRule="auto"/>
        <w:ind w:firstLine="1280" w:firstLineChars="400"/>
        <w:rPr>
          <w:rFonts w:hint="default" w:ascii="Times New Roman" w:hAnsi="Times New Roman" w:eastAsia="仿宋" w:cs="Times New Roman"/>
          <w:szCs w:val="32"/>
          <w:shd w:val="clear" w:color="auto" w:fill="FFFFFF"/>
          <w:lang w:eastAsia="zh-CN"/>
        </w:rPr>
      </w:pPr>
      <w:r>
        <w:rPr>
          <w:rFonts w:hint="default" w:ascii="Times New Roman" w:hAnsi="Times New Roman" w:eastAsia="仿宋" w:cs="Times New Roman"/>
          <w:szCs w:val="32"/>
          <w:shd w:val="clear" w:color="auto" w:fill="FFFFFF"/>
          <w:lang w:val="en-US" w:eastAsia="zh-CN"/>
        </w:rPr>
        <w:t>项目</w:t>
      </w:r>
      <w:r>
        <w:rPr>
          <w:rFonts w:hint="default" w:ascii="Times New Roman" w:hAnsi="Times New Roman" w:eastAsia="仿宋" w:cs="Times New Roman"/>
          <w:szCs w:val="32"/>
          <w:shd w:val="clear" w:color="auto" w:fill="FFFFFF"/>
        </w:rPr>
        <w:t>单位：</w:t>
      </w:r>
      <w:r>
        <w:rPr>
          <w:rFonts w:hint="default" w:ascii="Times New Roman" w:hAnsi="Times New Roman" w:eastAsia="仿宋" w:cs="Times New Roman"/>
          <w:szCs w:val="32"/>
          <w:shd w:val="clear" w:color="auto" w:fill="FFFFFF"/>
          <w:lang w:eastAsia="zh-CN"/>
        </w:rPr>
        <w:t>罗江区</w:t>
      </w:r>
      <w:r>
        <w:rPr>
          <w:rFonts w:hint="default" w:ascii="Times New Roman" w:hAnsi="Times New Roman" w:eastAsia="仿宋" w:cs="Times New Roman"/>
          <w:szCs w:val="32"/>
          <w:shd w:val="clear" w:color="auto" w:fill="FFFFFF"/>
          <w:lang w:val="en-US" w:eastAsia="zh-CN"/>
        </w:rPr>
        <w:t>罗江中学校</w:t>
      </w:r>
    </w:p>
    <w:p w14:paraId="1DCABC7E">
      <w:pPr>
        <w:spacing w:line="480" w:lineRule="auto"/>
        <w:ind w:firstLine="1280" w:firstLineChars="400"/>
        <w:rPr>
          <w:rFonts w:hint="default" w:ascii="Times New Roman" w:hAnsi="Times New Roman" w:eastAsia="仿宋" w:cs="Times New Roman"/>
          <w:szCs w:val="32"/>
          <w:shd w:val="clear" w:color="auto" w:fill="FFFFFF"/>
        </w:rPr>
      </w:pPr>
      <w:r>
        <w:rPr>
          <w:rFonts w:hint="default" w:ascii="Times New Roman" w:hAnsi="Times New Roman" w:eastAsia="仿宋" w:cs="Times New Roman"/>
          <w:szCs w:val="32"/>
          <w:shd w:val="clear" w:color="auto" w:fill="FFFFFF"/>
        </w:rPr>
        <w:t>中介机构：四川瑞政商业管理有限公司</w:t>
      </w:r>
    </w:p>
    <w:p w14:paraId="05AE00F3">
      <w:pPr>
        <w:ind w:right="640" w:firstLine="4480" w:firstLineChars="1400"/>
        <w:jc w:val="center"/>
        <w:rPr>
          <w:rFonts w:hint="default" w:ascii="Times New Roman" w:hAnsi="Times New Roman" w:eastAsia="仿宋" w:cs="Times New Roman"/>
          <w:szCs w:val="32"/>
        </w:rPr>
      </w:pPr>
    </w:p>
    <w:p w14:paraId="7F670F37">
      <w:pPr>
        <w:ind w:right="640" w:firstLine="4480" w:firstLineChars="1400"/>
        <w:jc w:val="center"/>
        <w:rPr>
          <w:rFonts w:hint="default" w:ascii="Times New Roman" w:hAnsi="Times New Roman" w:eastAsia="仿宋" w:cs="Times New Roman"/>
          <w:szCs w:val="32"/>
        </w:rPr>
      </w:pPr>
      <w:r>
        <w:rPr>
          <w:rFonts w:hint="default" w:ascii="Times New Roman" w:hAnsi="Times New Roman" w:eastAsia="仿宋" w:cs="Times New Roman"/>
          <w:szCs w:val="32"/>
        </w:rPr>
        <w:t>二〇二四年八月</w:t>
      </w:r>
    </w:p>
    <w:p w14:paraId="6B081344">
      <w:pPr>
        <w:pStyle w:val="2"/>
        <w:ind w:firstLine="0" w:firstLineChars="0"/>
        <w:jc w:val="center"/>
        <w:rPr>
          <w:rFonts w:hint="default" w:ascii="Times New Roman" w:hAnsi="Times New Roman" w:eastAsia="仿宋" w:cs="Times New Roman"/>
          <w:b/>
          <w:sz w:val="44"/>
          <w:szCs w:val="44"/>
          <w:lang w:val="zh-CN"/>
        </w:rPr>
      </w:pPr>
    </w:p>
    <w:p w14:paraId="6FF3C961">
      <w:pPr>
        <w:pStyle w:val="2"/>
        <w:ind w:firstLine="0" w:firstLineChars="0"/>
        <w:jc w:val="center"/>
        <w:rPr>
          <w:rFonts w:hint="default" w:ascii="Times New Roman" w:hAnsi="Times New Roman" w:eastAsia="仿宋" w:cs="Times New Roman"/>
          <w:b/>
          <w:sz w:val="44"/>
          <w:szCs w:val="44"/>
          <w:lang w:val="zh-CN"/>
        </w:rPr>
      </w:pPr>
    </w:p>
    <w:p w14:paraId="76E0FF72">
      <w:pPr>
        <w:pStyle w:val="2"/>
        <w:ind w:firstLine="0" w:firstLineChars="0"/>
        <w:jc w:val="center"/>
        <w:rPr>
          <w:rFonts w:hint="default" w:ascii="Times New Roman" w:hAnsi="Times New Roman" w:eastAsia="仿宋" w:cs="Times New Roman"/>
          <w:b/>
          <w:sz w:val="44"/>
          <w:szCs w:val="44"/>
          <w:lang w:val="zh-CN"/>
        </w:rPr>
        <w:sectPr>
          <w:headerReference r:id="rId5" w:type="default"/>
          <w:footerReference r:id="rId6" w:type="default"/>
          <w:pgSz w:w="11906" w:h="16838"/>
          <w:pgMar w:top="2098" w:right="1474" w:bottom="1985" w:left="1588"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2A010460">
      <w:pPr>
        <w:rPr>
          <w:rFonts w:hint="default" w:ascii="Times New Roman" w:hAnsi="Times New Roman" w:cs="Times New Roman"/>
          <w:lang w:val="zh-CN"/>
        </w:rPr>
      </w:pPr>
    </w:p>
    <w:p w14:paraId="2FBF9FE0">
      <w:pPr>
        <w:pStyle w:val="2"/>
        <w:ind w:firstLine="0" w:firstLineChars="0"/>
        <w:jc w:val="center"/>
        <w:rPr>
          <w:rFonts w:hint="default" w:ascii="Times New Roman" w:hAnsi="Times New Roman" w:eastAsia="仿宋" w:cs="Times New Roman"/>
          <w:szCs w:val="32"/>
        </w:rPr>
      </w:pPr>
      <w:r>
        <w:rPr>
          <w:rFonts w:hint="eastAsia" w:ascii="楷体" w:hAnsi="楷体" w:eastAsia="楷体" w:cs="楷体"/>
          <w:b/>
          <w:sz w:val="36"/>
          <w:szCs w:val="36"/>
          <w:lang w:val="zh-CN"/>
        </w:rPr>
        <w:t>目录</w:t>
      </w:r>
    </w:p>
    <w:sdt>
      <w:sdtPr>
        <w:rPr>
          <w:rFonts w:hint="default" w:ascii="Times New Roman" w:hAnsi="Times New Roman" w:eastAsia="仿宋" w:cs="Times New Roman"/>
          <w:sz w:val="21"/>
        </w:rPr>
        <w:id w:val="147455000"/>
        <w15:color w:val="DBDBDB"/>
        <w:docPartObj>
          <w:docPartGallery w:val="Table of Contents"/>
          <w:docPartUnique/>
        </w:docPartObj>
      </w:sdtPr>
      <w:sdtEndPr>
        <w:rPr>
          <w:rFonts w:hint="default" w:ascii="Times New Roman" w:hAnsi="Times New Roman" w:eastAsia="仿宋" w:cs="Times New Roman"/>
          <w:b/>
          <w:sz w:val="32"/>
        </w:rPr>
      </w:sdtEndPr>
      <w:sdtContent>
        <w:p w14:paraId="76B0A16E">
          <w:pPr>
            <w:tabs>
              <w:tab w:val="right" w:leader="dot" w:pos="8844"/>
            </w:tabs>
            <w:spacing w:line="288" w:lineRule="auto"/>
            <w:ind w:left="640" w:firstLine="0" w:firstLineChars="0"/>
            <w:jc w:val="center"/>
            <w:rPr>
              <w:rFonts w:hint="default" w:ascii="Times New Roman" w:hAnsi="Times New Roman" w:eastAsia="仿宋" w:cs="Times New Roman"/>
              <w:b/>
              <w:kern w:val="2"/>
              <w:sz w:val="28"/>
              <w:szCs w:val="28"/>
              <w:lang w:val="en-US" w:eastAsia="zh-CN" w:bidi="ar-SA"/>
            </w:rPr>
          </w:pPr>
          <w:r>
            <w:rPr>
              <w:rFonts w:hint="default" w:ascii="Times New Roman" w:hAnsi="Times New Roman" w:eastAsia="仿宋" w:cs="Times New Roman"/>
              <w:sz w:val="28"/>
              <w:szCs w:val="28"/>
            </w:rPr>
            <w:fldChar w:fldCharType="begin"/>
          </w:r>
          <w:r>
            <w:rPr>
              <w:rFonts w:hint="default" w:ascii="Times New Roman" w:hAnsi="Times New Roman" w:eastAsia="仿宋" w:cs="Times New Roman"/>
              <w:sz w:val="28"/>
              <w:szCs w:val="28"/>
            </w:rPr>
            <w:instrText xml:space="preserve">TOC \o "1-2" \h \u </w:instrText>
          </w:r>
          <w:r>
            <w:rPr>
              <w:rFonts w:hint="default" w:ascii="Times New Roman" w:hAnsi="Times New Roman" w:eastAsia="仿宋" w:cs="Times New Roman"/>
              <w:sz w:val="28"/>
              <w:szCs w:val="28"/>
            </w:rPr>
            <w:fldChar w:fldCharType="separate"/>
          </w:r>
        </w:p>
        <w:p w14:paraId="531A8D1B">
          <w:pPr>
            <w:pStyle w:val="19"/>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HYPERLINK \l _Toc12498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bCs/>
              <w:sz w:val="28"/>
              <w:szCs w:val="28"/>
            </w:rPr>
            <w:t>一、项目基本情况</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_Toc12498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1</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rPr>
            <w:fldChar w:fldCharType="end"/>
          </w:r>
        </w:p>
        <w:p w14:paraId="42E4982A">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_Toc22070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（一）项目背景</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_Toc22070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1</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7D9D84F9">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_Toc9297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（二）项目概况</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_Toc9297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2</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456CEDC1">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_Toc8607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（三）资金预算及使用情况</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_Toc8607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2</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72EC3E20">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_Toc19336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lang w:val="zh-CN"/>
            </w:rPr>
            <w:t>（四）项目整体绩效目标</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_Toc19336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3</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0A28ADB7">
          <w:pPr>
            <w:pStyle w:val="19"/>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HYPERLINK \l _Toc7743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bCs/>
              <w:sz w:val="28"/>
              <w:szCs w:val="28"/>
            </w:rPr>
            <w:t>二、项目评价依据</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_Toc7743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3</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rPr>
            <w:fldChar w:fldCharType="end"/>
          </w:r>
        </w:p>
        <w:p w14:paraId="454395CD">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_Toc21237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（一）规范性文件</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_Toc21237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3</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0A973645">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_Toc5043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（二）绩效评价管理文件</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_Toc5043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4</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1012AD92">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_Toc17544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（三）立项依据与资金文件</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_Toc17544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4</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069EA3C8">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_Toc27083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（四）技术质量标准文件</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_Toc27083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5</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1DF3501E">
          <w:pPr>
            <w:pStyle w:val="19"/>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HYPERLINK \l _Toc24559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bCs/>
              <w:sz w:val="28"/>
              <w:szCs w:val="28"/>
            </w:rPr>
            <w:t>三、总体评价</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_Toc24559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5</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rPr>
            <w:fldChar w:fldCharType="end"/>
          </w:r>
        </w:p>
        <w:p w14:paraId="4E6C4C6A">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_Toc25648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（一）主要绩效</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_Toc25648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5</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597F1AC8">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_Toc6674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（二）指标评分结果</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_Toc6674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6</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2B0AA095">
          <w:pPr>
            <w:pStyle w:val="19"/>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HYPERLINK \l _Toc3179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bCs/>
              <w:sz w:val="28"/>
              <w:szCs w:val="28"/>
            </w:rPr>
            <w:t>四、评价指标分析</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_Toc3179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7</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rPr>
            <w:fldChar w:fldCharType="end"/>
          </w:r>
        </w:p>
        <w:p w14:paraId="41DF9158">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_Toc9624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（一）投入类指标</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_Toc9624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7</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11B21503">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_Toc17625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（二）过程类指标</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_Toc17625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12</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10A0F67A">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_Toc13422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bCs/>
              <w:kern w:val="2"/>
              <w:sz w:val="28"/>
              <w:szCs w:val="28"/>
              <w:lang w:val="en-US" w:eastAsia="zh-CN" w:bidi="ar-SA"/>
            </w:rPr>
            <w:t>（三）</w:t>
          </w:r>
          <w:r>
            <w:rPr>
              <w:rFonts w:hint="default" w:ascii="Times New Roman" w:hAnsi="Times New Roman" w:eastAsia="楷体" w:cs="Times New Roman"/>
              <w:sz w:val="28"/>
              <w:szCs w:val="28"/>
            </w:rPr>
            <w:t>产出类指标</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_Toc13422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14</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3B8CFB9D">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_Toc5267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（四）效益类指标</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_Toc5267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17</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00674B22">
          <w:pPr>
            <w:pStyle w:val="19"/>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HYPERLINK \l _Toc25254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bCs w:val="0"/>
              <w:sz w:val="28"/>
              <w:szCs w:val="28"/>
            </w:rPr>
            <w:t>五、评价中发现的问题或不足</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_Toc25254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19</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rPr>
            <w:fldChar w:fldCharType="end"/>
          </w:r>
        </w:p>
        <w:p w14:paraId="5DC5AA8A">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_Toc31578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（一）项目绩效目标申报质量不高</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_Toc31578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19</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755D26AA">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_Toc32038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（二）项目未按合同支付合同款</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_Toc32038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19</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4EFD8C35">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_Toc22011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（三）改造后的运动场存在质量及增加设备设施问题</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_Toc22011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20</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7927D4AF">
          <w:pPr>
            <w:pStyle w:val="19"/>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HYPERLINK \l _Toc11008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bCs w:val="0"/>
              <w:sz w:val="28"/>
              <w:szCs w:val="28"/>
            </w:rPr>
            <w:t>六、评价建议</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_Toc11008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20</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rPr>
            <w:fldChar w:fldCharType="end"/>
          </w:r>
        </w:p>
        <w:p w14:paraId="50E911CC">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_Toc24273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（一）规范项目绩效目标申报管理</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_Toc24273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20</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6EE2C400">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_Toc30322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（二）</w:t>
          </w:r>
          <w:r>
            <w:rPr>
              <w:rFonts w:hint="default" w:ascii="Times New Roman" w:hAnsi="Times New Roman" w:eastAsia="楷体" w:cs="Times New Roman"/>
              <w:sz w:val="28"/>
              <w:szCs w:val="28"/>
              <w:lang w:val="en-US" w:eastAsia="zh-CN"/>
            </w:rPr>
            <w:t>严格按照</w:t>
          </w:r>
          <w:r>
            <w:rPr>
              <w:rFonts w:hint="default" w:ascii="Times New Roman" w:hAnsi="Times New Roman" w:eastAsia="楷体" w:cs="Times New Roman"/>
              <w:sz w:val="28"/>
              <w:szCs w:val="28"/>
            </w:rPr>
            <w:t>合同</w:t>
          </w:r>
          <w:r>
            <w:rPr>
              <w:rFonts w:hint="default" w:ascii="Times New Roman" w:hAnsi="Times New Roman" w:eastAsia="楷体" w:cs="Times New Roman"/>
              <w:sz w:val="28"/>
              <w:szCs w:val="28"/>
              <w:lang w:val="en-US" w:eastAsia="zh-CN"/>
            </w:rPr>
            <w:t>要求</w:t>
          </w:r>
          <w:r>
            <w:rPr>
              <w:rFonts w:hint="default" w:ascii="Times New Roman" w:hAnsi="Times New Roman" w:eastAsia="楷体" w:cs="Times New Roman"/>
              <w:sz w:val="28"/>
              <w:szCs w:val="28"/>
            </w:rPr>
            <w:t>支付款项</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_Toc30322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20</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00C9A7E3">
          <w:pPr>
            <w:pStyle w:val="22"/>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eastAsia="楷体" w:cs="Times New Roman"/>
              <w:sz w:val="28"/>
              <w:szCs w:val="28"/>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_Toc29510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（三）定期检查与维护</w:t>
          </w:r>
          <w:r>
            <w:rPr>
              <w:rFonts w:hint="default" w:ascii="Times New Roman" w:hAnsi="Times New Roman" w:eastAsia="楷体" w:cs="Times New Roman"/>
              <w:sz w:val="28"/>
              <w:szCs w:val="28"/>
              <w:lang w:val="en-US" w:eastAsia="zh-CN"/>
            </w:rPr>
            <w:t>运动场</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_Toc29510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21</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768370A8">
          <w:pPr>
            <w:pStyle w:val="19"/>
            <w:keepNext w:val="0"/>
            <w:keepLines w:val="0"/>
            <w:pageBreakBefore w:val="0"/>
            <w:widowControl w:val="0"/>
            <w:tabs>
              <w:tab w:val="right" w:leader="dot" w:pos="8844"/>
            </w:tabs>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HYPERLINK \l _Toc23249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lang w:val="en-US" w:eastAsia="zh-CN"/>
            </w:rPr>
            <w:t>附件1：2023年罗江中学运动场改造专项经费绩效评价指标评分表</w:t>
          </w:r>
          <w:r>
            <w:rPr>
              <w:rFonts w:hint="default" w:ascii="Times New Roman" w:hAnsi="Times New Roman" w:eastAsia="楷体" w:cs="Times New Roman"/>
              <w:sz w:val="28"/>
              <w:szCs w:val="28"/>
            </w:rPr>
            <w:tab/>
          </w: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PAGEREF _Toc23249 \h </w:instrText>
          </w:r>
          <w:r>
            <w:rPr>
              <w:rFonts w:hint="default" w:ascii="Times New Roman" w:hAnsi="Times New Roman" w:eastAsia="楷体" w:cs="Times New Roman"/>
              <w:sz w:val="28"/>
              <w:szCs w:val="28"/>
            </w:rPr>
            <w:fldChar w:fldCharType="separate"/>
          </w:r>
          <w:r>
            <w:rPr>
              <w:rFonts w:hint="default" w:ascii="Times New Roman" w:hAnsi="Times New Roman" w:eastAsia="楷体" w:cs="Times New Roman"/>
              <w:sz w:val="28"/>
              <w:szCs w:val="28"/>
            </w:rPr>
            <w:t>21</w:t>
          </w:r>
          <w:r>
            <w:rPr>
              <w:rFonts w:hint="default" w:ascii="Times New Roman" w:hAnsi="Times New Roman" w:eastAsia="楷体" w:cs="Times New Roman"/>
              <w:sz w:val="28"/>
              <w:szCs w:val="28"/>
            </w:rPr>
            <w:fldChar w:fldCharType="end"/>
          </w:r>
          <w:r>
            <w:rPr>
              <w:rFonts w:hint="default" w:ascii="Times New Roman" w:hAnsi="Times New Roman" w:eastAsia="楷体" w:cs="Times New Roman"/>
              <w:sz w:val="28"/>
              <w:szCs w:val="28"/>
            </w:rPr>
            <w:fldChar w:fldCharType="end"/>
          </w:r>
        </w:p>
        <w:p w14:paraId="0734ACDA">
          <w:pPr>
            <w:pStyle w:val="22"/>
            <w:tabs>
              <w:tab w:val="right" w:leader="dot" w:pos="8844"/>
            </w:tabs>
            <w:spacing w:line="288" w:lineRule="auto"/>
            <w:ind w:left="640" w:firstLine="420" w:firstLineChars="0"/>
            <w:jc w:val="center"/>
            <w:rPr>
              <w:rFonts w:hint="default" w:ascii="Times New Roman" w:hAnsi="Times New Roman" w:eastAsia="仿宋" w:cs="Times New Roman"/>
            </w:rPr>
          </w:pPr>
          <w:r>
            <w:rPr>
              <w:rFonts w:hint="default" w:ascii="Times New Roman" w:hAnsi="Times New Roman" w:eastAsia="仿宋" w:cs="Times New Roman"/>
              <w:b/>
              <w:sz w:val="28"/>
              <w:szCs w:val="28"/>
            </w:rPr>
            <w:fldChar w:fldCharType="end"/>
          </w:r>
        </w:p>
      </w:sdtContent>
    </w:sdt>
    <w:p w14:paraId="39B68169">
      <w:pPr>
        <w:tabs>
          <w:tab w:val="left" w:pos="1055"/>
          <w:tab w:val="center" w:pos="4422"/>
        </w:tabs>
        <w:spacing w:line="240" w:lineRule="auto"/>
        <w:ind w:firstLine="0" w:firstLineChars="0"/>
        <w:jc w:val="center"/>
        <w:rPr>
          <w:rFonts w:hint="default" w:ascii="Times New Roman" w:hAnsi="Times New Roman" w:eastAsia="仿宋" w:cs="Times New Roman"/>
          <w:b/>
          <w:bCs/>
          <w:sz w:val="44"/>
          <w:szCs w:val="44"/>
          <w:lang w:eastAsia="zh-CN"/>
        </w:rPr>
      </w:pPr>
    </w:p>
    <w:p w14:paraId="371AF062">
      <w:pPr>
        <w:tabs>
          <w:tab w:val="left" w:pos="1055"/>
          <w:tab w:val="center" w:pos="4422"/>
        </w:tabs>
        <w:spacing w:line="240" w:lineRule="auto"/>
        <w:ind w:firstLine="0" w:firstLineChars="0"/>
        <w:jc w:val="both"/>
        <w:rPr>
          <w:rFonts w:hint="default" w:ascii="Times New Roman" w:hAnsi="Times New Roman" w:eastAsia="仿宋" w:cs="Times New Roman"/>
          <w:b/>
          <w:bCs/>
          <w:sz w:val="44"/>
          <w:szCs w:val="44"/>
          <w:lang w:eastAsia="zh-CN"/>
        </w:rPr>
      </w:pPr>
    </w:p>
    <w:p w14:paraId="1E773E03">
      <w:pPr>
        <w:tabs>
          <w:tab w:val="left" w:pos="1055"/>
          <w:tab w:val="center" w:pos="4422"/>
        </w:tabs>
        <w:spacing w:line="240" w:lineRule="auto"/>
        <w:ind w:firstLine="0" w:firstLineChars="0"/>
        <w:jc w:val="center"/>
        <w:rPr>
          <w:rFonts w:hint="default" w:ascii="Times New Roman" w:hAnsi="Times New Roman" w:eastAsia="黑体" w:cs="Times New Roman"/>
          <w:b/>
          <w:bCs/>
          <w:sz w:val="44"/>
          <w:szCs w:val="44"/>
          <w:lang w:val="en-US" w:eastAsia="zh-CN"/>
        </w:rPr>
        <w:sectPr>
          <w:footerReference r:id="rId7" w:type="default"/>
          <w:pgSz w:w="11906" w:h="16838"/>
          <w:pgMar w:top="2098" w:right="1474" w:bottom="1985" w:left="1588"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0AD7E3F7">
      <w:pPr>
        <w:tabs>
          <w:tab w:val="left" w:pos="1055"/>
          <w:tab w:val="center" w:pos="4422"/>
        </w:tabs>
        <w:spacing w:line="240" w:lineRule="auto"/>
        <w:ind w:firstLine="0" w:firstLineChars="0"/>
        <w:jc w:val="center"/>
        <w:rPr>
          <w:rFonts w:hint="default" w:ascii="Times New Roman" w:hAnsi="Times New Roman" w:eastAsia="黑体" w:cs="Times New Roman"/>
          <w:b/>
          <w:bCs/>
          <w:sz w:val="44"/>
          <w:szCs w:val="44"/>
        </w:rPr>
      </w:pPr>
      <w:r>
        <w:rPr>
          <w:rFonts w:hint="default" w:ascii="Times New Roman" w:hAnsi="Times New Roman" w:eastAsia="黑体" w:cs="Times New Roman"/>
          <w:b/>
          <w:bCs/>
          <w:sz w:val="44"/>
          <w:szCs w:val="44"/>
          <w:lang w:val="en-US" w:eastAsia="zh-CN"/>
        </w:rPr>
        <w:t>罗江区罗</w:t>
      </w:r>
      <w:r>
        <w:rPr>
          <w:rFonts w:hint="default" w:ascii="Times New Roman" w:hAnsi="Times New Roman" w:eastAsia="黑体" w:cs="Times New Roman"/>
          <w:b/>
          <w:bCs/>
          <w:sz w:val="44"/>
          <w:szCs w:val="44"/>
        </w:rPr>
        <w:t>江中学运动场改造项目</w:t>
      </w:r>
    </w:p>
    <w:p w14:paraId="17513A1F">
      <w:pPr>
        <w:tabs>
          <w:tab w:val="left" w:pos="1055"/>
          <w:tab w:val="center" w:pos="4422"/>
        </w:tabs>
        <w:spacing w:line="240" w:lineRule="auto"/>
        <w:ind w:firstLine="0" w:firstLineChars="0"/>
        <w:jc w:val="center"/>
        <w:rPr>
          <w:rFonts w:hint="default" w:ascii="Times New Roman" w:hAnsi="Times New Roman" w:eastAsia="黑体" w:cs="Times New Roman"/>
          <w:b/>
          <w:bCs/>
          <w:sz w:val="44"/>
          <w:szCs w:val="44"/>
        </w:rPr>
      </w:pPr>
      <w:r>
        <w:rPr>
          <w:rFonts w:hint="default" w:ascii="Times New Roman" w:hAnsi="Times New Roman" w:eastAsia="黑体" w:cs="Times New Roman"/>
          <w:b/>
          <w:bCs/>
          <w:sz w:val="44"/>
          <w:szCs w:val="44"/>
        </w:rPr>
        <w:t>绩效评价</w:t>
      </w:r>
      <w:r>
        <w:rPr>
          <w:rFonts w:hint="default" w:ascii="Times New Roman" w:hAnsi="Times New Roman" w:eastAsia="黑体" w:cs="Times New Roman"/>
          <w:b/>
          <w:sz w:val="44"/>
          <w:szCs w:val="44"/>
        </w:rPr>
        <w:t>报告</w:t>
      </w:r>
    </w:p>
    <w:p w14:paraId="222F845D">
      <w:pPr>
        <w:keepNext w:val="0"/>
        <w:keepLines w:val="0"/>
        <w:pageBreakBefore w:val="0"/>
        <w:widowControl w:val="0"/>
        <w:kinsoku/>
        <w:wordWrap/>
        <w:overflowPunct/>
        <w:topLinePunct w:val="0"/>
        <w:autoSpaceDE/>
        <w:autoSpaceDN/>
        <w:bidi w:val="0"/>
        <w:adjustRightInd w:val="0"/>
        <w:snapToGrid w:val="0"/>
        <w:ind w:firstLine="640"/>
        <w:textAlignment w:val="auto"/>
        <w:rPr>
          <w:rFonts w:hint="default" w:ascii="Times New Roman" w:hAnsi="Times New Roman" w:eastAsia="仿宋" w:cs="Times New Roman"/>
          <w:szCs w:val="32"/>
        </w:rPr>
      </w:pPr>
      <w:r>
        <w:rPr>
          <w:rFonts w:hint="default" w:ascii="Times New Roman" w:hAnsi="Times New Roman" w:eastAsia="仿宋" w:cs="Times New Roman"/>
          <w:szCs w:val="32"/>
        </w:rPr>
        <w:t>为进一步加强项目资金管理，强化支出责任和效率意识，优化资源配置，控制节约成本，提升财政资金保障的公共产品质量和公共服务水平，提高财政资金使用效益，根据《预算法》第五十七条规定及《德阳市罗江区财政局关于开展2024年重点绩效评价工作的通知》（德市罗财绩〔2024〕5号）绩效评价工作计划，由罗江区财政局成立绩效评价组，对罗江区教育局主管实施的“</w:t>
      </w: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szCs w:val="32"/>
        </w:rPr>
        <w:t>”开展绩效评价。现将评价结果报告如下：</w:t>
      </w:r>
    </w:p>
    <w:p w14:paraId="13F5BA1B">
      <w:pPr>
        <w:pStyle w:val="3"/>
        <w:keepNext w:val="0"/>
        <w:keepLines w:val="0"/>
        <w:spacing w:line="560" w:lineRule="exact"/>
        <w:ind w:firstLine="640"/>
        <w:rPr>
          <w:rFonts w:hint="default" w:ascii="Times New Roman" w:hAnsi="Times New Roman" w:eastAsia="黑体" w:cs="Times New Roman"/>
          <w:b/>
          <w:bCs/>
        </w:rPr>
      </w:pPr>
      <w:bookmarkStart w:id="0" w:name="_Toc511879082"/>
      <w:bookmarkStart w:id="1" w:name="_Toc522785580"/>
      <w:bookmarkStart w:id="2" w:name="_Toc86224134"/>
      <w:bookmarkStart w:id="3" w:name="_Toc12498"/>
      <w:r>
        <w:rPr>
          <w:rFonts w:hint="default" w:ascii="Times New Roman" w:hAnsi="Times New Roman" w:eastAsia="黑体" w:cs="Times New Roman"/>
          <w:b/>
          <w:bCs/>
        </w:rPr>
        <w:t>一、项目基本情况</w:t>
      </w:r>
      <w:bookmarkEnd w:id="0"/>
      <w:bookmarkEnd w:id="1"/>
      <w:bookmarkEnd w:id="2"/>
      <w:bookmarkEnd w:id="3"/>
    </w:p>
    <w:p w14:paraId="54F15AE0">
      <w:pPr>
        <w:pStyle w:val="5"/>
        <w:keepNext w:val="0"/>
        <w:keepLines w:val="0"/>
        <w:ind w:firstLine="643"/>
        <w:rPr>
          <w:rFonts w:hint="default" w:ascii="Times New Roman" w:hAnsi="Times New Roman" w:eastAsia="仿宋" w:cs="Times New Roman"/>
        </w:rPr>
      </w:pPr>
      <w:bookmarkStart w:id="4" w:name="_Toc22070"/>
      <w:bookmarkStart w:id="5" w:name="_Toc86224135"/>
      <w:r>
        <w:rPr>
          <w:rFonts w:hint="default" w:ascii="Times New Roman" w:hAnsi="Times New Roman" w:eastAsia="仿宋" w:cs="Times New Roman"/>
        </w:rPr>
        <w:t>（一）项目背景</w:t>
      </w:r>
      <w:bookmarkEnd w:id="4"/>
      <w:bookmarkEnd w:id="5"/>
    </w:p>
    <w:p w14:paraId="4A381EA3">
      <w:pPr>
        <w:keepNext w:val="0"/>
        <w:keepLines w:val="0"/>
        <w:pageBreakBefore w:val="0"/>
        <w:widowControl w:val="0"/>
        <w:kinsoku/>
        <w:wordWrap/>
        <w:overflowPunct/>
        <w:topLinePunct w:val="0"/>
        <w:autoSpaceDE/>
        <w:autoSpaceDN/>
        <w:bidi w:val="0"/>
        <w:adjustRightInd w:val="0"/>
        <w:snapToGrid w:val="0"/>
        <w:ind w:firstLine="640"/>
        <w:textAlignment w:val="auto"/>
        <w:rPr>
          <w:rFonts w:hint="default" w:ascii="Times New Roman" w:hAnsi="Times New Roman" w:eastAsia="仿宋" w:cs="Times New Roman"/>
          <w:szCs w:val="32"/>
        </w:rPr>
      </w:pPr>
      <w:r>
        <w:rPr>
          <w:rFonts w:hint="default" w:ascii="Times New Roman" w:hAnsi="Times New Roman" w:eastAsia="仿宋" w:cs="Times New Roman"/>
          <w:szCs w:val="32"/>
        </w:rPr>
        <w:t>四川省</w:t>
      </w:r>
      <w:r>
        <w:rPr>
          <w:rFonts w:hint="default" w:ascii="Times New Roman" w:hAnsi="Times New Roman" w:eastAsia="仿宋" w:cs="Times New Roman"/>
          <w:szCs w:val="32"/>
          <w:lang w:eastAsia="zh-CN"/>
        </w:rPr>
        <w:t>罗江中学</w:t>
      </w:r>
      <w:r>
        <w:rPr>
          <w:rFonts w:hint="default" w:ascii="Times New Roman" w:hAnsi="Times New Roman" w:eastAsia="仿宋" w:cs="Times New Roman"/>
          <w:szCs w:val="32"/>
        </w:rPr>
        <w:t>校是罗江区唯一一所高中，是四川省首批省一级示范普通高中，在全市教育教学质量考核评比中连续五年以后名列前三名，办学社会效益不断提升，在老百姓心目中口碑越来越好。学校发展和办学硬件水平提升等基本建设资金只有靠财政拨款解决，无其他资金来源。故争取一般债券资金本金及利息只能依靠财政拨款来支付。项目主管部门是德阳市罗江区教育体育局</w:t>
      </w:r>
      <w:r>
        <w:rPr>
          <w:rFonts w:hint="default" w:ascii="Times New Roman" w:hAnsi="Times New Roman" w:eastAsia="仿宋" w:cs="Times New Roman"/>
          <w:szCs w:val="32"/>
          <w:lang w:eastAsia="zh-CN"/>
        </w:rPr>
        <w:t>（</w:t>
      </w:r>
      <w:r>
        <w:rPr>
          <w:rFonts w:hint="default" w:ascii="Times New Roman" w:hAnsi="Times New Roman" w:eastAsia="仿宋" w:cs="Times New Roman"/>
          <w:szCs w:val="32"/>
          <w:lang w:val="en-US" w:eastAsia="zh-CN"/>
        </w:rPr>
        <w:t>简称教育局</w:t>
      </w:r>
      <w:r>
        <w:rPr>
          <w:rFonts w:hint="default" w:ascii="Times New Roman" w:hAnsi="Times New Roman" w:eastAsia="仿宋" w:cs="Times New Roman"/>
          <w:szCs w:val="32"/>
          <w:lang w:eastAsia="zh-CN"/>
        </w:rPr>
        <w:t>）</w:t>
      </w:r>
      <w:r>
        <w:rPr>
          <w:rFonts w:hint="default" w:ascii="Times New Roman" w:hAnsi="Times New Roman" w:eastAsia="仿宋" w:cs="Times New Roman"/>
          <w:szCs w:val="32"/>
        </w:rPr>
        <w:t>,主要职责是：项目进行全程跟踪，建立健全管理制度，协调各部门解决项目实施中出现的问题，督促施工进度，监管项目资金的使用。</w:t>
      </w:r>
    </w:p>
    <w:p w14:paraId="65FC3631">
      <w:pPr>
        <w:spacing w:before="156" w:beforeLines="50"/>
        <w:ind w:firstLine="640"/>
        <w:rPr>
          <w:rFonts w:hint="default" w:ascii="Times New Roman" w:hAnsi="Times New Roman" w:eastAsia="仿宋" w:cs="Times New Roman"/>
        </w:rPr>
      </w:pPr>
      <w:r>
        <w:rPr>
          <w:rFonts w:hint="default" w:ascii="Times New Roman" w:hAnsi="Times New Roman" w:eastAsia="仿宋" w:cs="Times New Roman"/>
          <w:szCs w:val="32"/>
        </w:rPr>
        <w:t>德阳市罗江</w:t>
      </w:r>
      <w:r>
        <w:rPr>
          <w:rFonts w:hint="default" w:ascii="Times New Roman" w:hAnsi="Times New Roman" w:eastAsia="仿宋" w:cs="Times New Roman"/>
          <w:szCs w:val="32"/>
          <w:lang w:val="en-US" w:eastAsia="zh-CN"/>
        </w:rPr>
        <w:t>中学校</w:t>
      </w:r>
      <w:r>
        <w:rPr>
          <w:rFonts w:hint="default" w:ascii="Times New Roman" w:hAnsi="Times New Roman" w:eastAsia="仿宋" w:cs="Times New Roman"/>
          <w:szCs w:val="32"/>
        </w:rPr>
        <w:t>积极履行单位职能职责，实施高中学历教育、初中义务教育，促进基础教育发展。全面贯彻教育方针，维护教育者、受教育者的合法权益，为国家培养合格的建设者和接班人。</w:t>
      </w:r>
    </w:p>
    <w:p w14:paraId="17B7F3FC">
      <w:pPr>
        <w:pStyle w:val="5"/>
        <w:keepNext w:val="0"/>
        <w:keepLines w:val="0"/>
        <w:ind w:firstLine="643"/>
        <w:rPr>
          <w:rFonts w:hint="default" w:ascii="Times New Roman" w:hAnsi="Times New Roman" w:eastAsia="仿宋" w:cs="Times New Roman"/>
        </w:rPr>
      </w:pPr>
      <w:bookmarkStart w:id="6" w:name="_Toc86224136"/>
      <w:bookmarkStart w:id="7" w:name="_Toc9297"/>
      <w:r>
        <w:rPr>
          <w:rFonts w:hint="default" w:ascii="Times New Roman" w:hAnsi="Times New Roman" w:eastAsia="仿宋" w:cs="Times New Roman"/>
        </w:rPr>
        <w:t>（二）项目概况</w:t>
      </w:r>
      <w:bookmarkEnd w:id="6"/>
      <w:bookmarkEnd w:id="7"/>
    </w:p>
    <w:p w14:paraId="3435459D">
      <w:pPr>
        <w:kinsoku w:val="0"/>
        <w:overflowPunct w:val="0"/>
        <w:autoSpaceDE w:val="0"/>
        <w:autoSpaceDN w:val="0"/>
        <w:adjustRightInd/>
        <w:snapToGrid/>
        <w:ind w:firstLine="640"/>
        <w:rPr>
          <w:rFonts w:hint="default" w:ascii="Times New Roman" w:hAnsi="Times New Roman" w:eastAsia="仿宋" w:cs="Times New Roman"/>
          <w:b/>
          <w:szCs w:val="32"/>
        </w:rPr>
      </w:pPr>
      <w:r>
        <w:rPr>
          <w:rFonts w:hint="default" w:ascii="Times New Roman" w:hAnsi="Times New Roman" w:eastAsia="仿宋" w:cs="Times New Roman"/>
          <w:szCs w:val="32"/>
        </w:rPr>
        <w:t>本次绩效评价对象为</w:t>
      </w:r>
      <w:r>
        <w:rPr>
          <w:rFonts w:hint="default" w:ascii="Times New Roman" w:hAnsi="Times New Roman" w:eastAsia="仿宋" w:cs="Times New Roman"/>
          <w:szCs w:val="32"/>
          <w:lang w:eastAsia="zh-CN"/>
        </w:rPr>
        <w:t>罗江区</w:t>
      </w:r>
      <w:r>
        <w:rPr>
          <w:rFonts w:hint="default" w:ascii="Times New Roman" w:hAnsi="Times New Roman" w:eastAsia="仿宋" w:cs="Times New Roman"/>
          <w:szCs w:val="32"/>
        </w:rPr>
        <w:t>教育局主管实施的</w:t>
      </w: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szCs w:val="32"/>
        </w:rPr>
        <w:t>，资金来源为2023年区级财政资金。</w:t>
      </w:r>
    </w:p>
    <w:p w14:paraId="7ABC5C24">
      <w:pPr>
        <w:keepNext w:val="0"/>
        <w:keepLines w:val="0"/>
        <w:pageBreakBefore w:val="0"/>
        <w:widowControl w:val="0"/>
        <w:kinsoku/>
        <w:wordWrap/>
        <w:overflowPunct/>
        <w:topLinePunct w:val="0"/>
        <w:autoSpaceDE/>
        <w:autoSpaceDN/>
        <w:bidi w:val="0"/>
        <w:adjustRightInd w:val="0"/>
        <w:snapToGrid w:val="0"/>
        <w:ind w:firstLine="640"/>
        <w:textAlignment w:val="auto"/>
        <w:rPr>
          <w:rFonts w:hint="default" w:ascii="Times New Roman" w:hAnsi="Times New Roman" w:eastAsia="仿宋" w:cs="Times New Roman"/>
          <w:szCs w:val="32"/>
        </w:rPr>
      </w:pPr>
      <w:r>
        <w:rPr>
          <w:rFonts w:hint="default" w:ascii="Times New Roman" w:hAnsi="Times New Roman" w:eastAsia="仿宋" w:cs="Times New Roman"/>
          <w:szCs w:val="32"/>
        </w:rPr>
        <w:t>根据《四川省</w:t>
      </w:r>
      <w:r>
        <w:rPr>
          <w:rFonts w:hint="default" w:ascii="Times New Roman" w:hAnsi="Times New Roman" w:eastAsia="仿宋" w:cs="Times New Roman"/>
          <w:szCs w:val="32"/>
          <w:lang w:eastAsia="zh-CN"/>
        </w:rPr>
        <w:t>罗江中学校</w:t>
      </w:r>
      <w:r>
        <w:rPr>
          <w:rFonts w:hint="default" w:ascii="Times New Roman" w:hAnsi="Times New Roman" w:eastAsia="仿宋" w:cs="Times New Roman"/>
          <w:szCs w:val="32"/>
        </w:rPr>
        <w:t>校关于</w:t>
      </w: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szCs w:val="32"/>
        </w:rPr>
        <w:t>实施方案的请示》（罗中〔2023〕20号）文件，</w:t>
      </w:r>
      <w:r>
        <w:rPr>
          <w:rFonts w:hint="default" w:ascii="Times New Roman" w:hAnsi="Times New Roman" w:eastAsia="仿宋" w:cs="Times New Roman"/>
          <w:szCs w:val="32"/>
          <w:lang w:eastAsia="zh-CN"/>
        </w:rPr>
        <w:t>罗江中学校</w:t>
      </w:r>
      <w:r>
        <w:rPr>
          <w:rFonts w:hint="default" w:ascii="Times New Roman" w:hAnsi="Times New Roman" w:eastAsia="仿宋" w:cs="Times New Roman"/>
          <w:szCs w:val="32"/>
        </w:rPr>
        <w:t>运动场改造面积约27900平方米的建设，场内包括</w:t>
      </w:r>
      <w:r>
        <w:rPr>
          <w:rFonts w:hint="default" w:ascii="Times New Roman" w:hAnsi="Times New Roman" w:eastAsia="仿宋" w:cs="Times New Roman"/>
          <w:szCs w:val="32"/>
          <w:lang w:eastAsia="zh-CN"/>
        </w:rPr>
        <w:t>：</w:t>
      </w:r>
      <w:r>
        <w:rPr>
          <w:rFonts w:hint="default" w:ascii="Times New Roman" w:hAnsi="Times New Roman" w:eastAsia="仿宋" w:cs="Times New Roman"/>
          <w:szCs w:val="32"/>
        </w:rPr>
        <w:t>400米标准环形塑胶跑道，标准塑胶篮球场4个，塑胶网球场2个，人工草坪标准足球场8200平方米风雨球场1个，跳高跳远场地2处，器械运动场地1处以及相关建筑的配套设施、设备等。项目预计2023年6月开工建设，2023年12月竣工交付使用。</w:t>
      </w:r>
    </w:p>
    <w:p w14:paraId="2727D58E">
      <w:pPr>
        <w:pStyle w:val="5"/>
        <w:keepNext w:val="0"/>
        <w:keepLines w:val="0"/>
        <w:ind w:firstLine="643"/>
        <w:rPr>
          <w:rFonts w:hint="default" w:ascii="Times New Roman" w:hAnsi="Times New Roman" w:eastAsia="仿宋" w:cs="Times New Roman"/>
        </w:rPr>
      </w:pPr>
      <w:bookmarkStart w:id="8" w:name="_Toc8607"/>
      <w:bookmarkStart w:id="9" w:name="_Toc86224137"/>
      <w:r>
        <w:rPr>
          <w:rFonts w:hint="default" w:ascii="Times New Roman" w:hAnsi="Times New Roman" w:eastAsia="仿宋" w:cs="Times New Roman"/>
        </w:rPr>
        <w:t>（三）资金预算及使用情况</w:t>
      </w:r>
      <w:bookmarkEnd w:id="8"/>
      <w:bookmarkEnd w:id="9"/>
    </w:p>
    <w:p w14:paraId="3E386175">
      <w:pPr>
        <w:pStyle w:val="5"/>
        <w:keepNext w:val="0"/>
        <w:keepLines w:val="0"/>
        <w:ind w:firstLine="643"/>
        <w:rPr>
          <w:rFonts w:hint="default" w:ascii="Times New Roman" w:hAnsi="Times New Roman" w:eastAsia="仿宋" w:cs="Times New Roman"/>
          <w:lang w:val="en-US" w:eastAsia="zh-CN"/>
        </w:rPr>
      </w:pPr>
      <w:bookmarkStart w:id="10" w:name="_Toc81550677"/>
      <w:bookmarkStart w:id="11" w:name="_Toc86224138"/>
      <w:bookmarkStart w:id="12" w:name="_Toc41234175"/>
      <w:bookmarkStart w:id="13" w:name="_Toc51542585"/>
      <w:bookmarkStart w:id="14" w:name="_Toc10642468"/>
      <w:bookmarkStart w:id="15" w:name="_Toc45615464"/>
      <w:bookmarkStart w:id="16" w:name="_Toc51542595"/>
      <w:bookmarkStart w:id="17" w:name="_Toc45615463"/>
      <w:r>
        <w:rPr>
          <w:rFonts w:hint="default" w:ascii="Times New Roman" w:hAnsi="Times New Roman" w:eastAsia="仿宋" w:cs="Times New Roman"/>
          <w:b w:val="0"/>
          <w:bCs w:val="0"/>
        </w:rPr>
        <w:t>根据《德阳市罗江区发展和改革局关于</w:t>
      </w:r>
      <w:r>
        <w:rPr>
          <w:rFonts w:hint="default" w:ascii="Times New Roman" w:hAnsi="Times New Roman" w:eastAsia="仿宋" w:cs="Times New Roman"/>
          <w:b w:val="0"/>
          <w:bCs w:val="0"/>
          <w:lang w:eastAsia="zh-CN"/>
        </w:rPr>
        <w:t>罗江中学运动场改造</w:t>
      </w:r>
      <w:r>
        <w:rPr>
          <w:rFonts w:hint="default" w:ascii="Times New Roman" w:hAnsi="Times New Roman" w:eastAsia="仿宋" w:cs="Times New Roman"/>
          <w:b w:val="0"/>
          <w:bCs w:val="0"/>
          <w:szCs w:val="32"/>
          <w:lang w:eastAsia="zh-CN"/>
        </w:rPr>
        <w:t>项目</w:t>
      </w:r>
      <w:r>
        <w:rPr>
          <w:rFonts w:hint="default" w:ascii="Times New Roman" w:hAnsi="Times New Roman" w:eastAsia="仿宋" w:cs="Times New Roman"/>
          <w:b w:val="0"/>
          <w:bCs w:val="0"/>
          <w:szCs w:val="32"/>
        </w:rPr>
        <w:t>实施方案的批复》</w:t>
      </w:r>
      <w:r>
        <w:rPr>
          <w:rFonts w:hint="default" w:ascii="Times New Roman" w:hAnsi="Times New Roman" w:eastAsia="仿宋" w:cs="Times New Roman"/>
          <w:b w:val="0"/>
          <w:bCs w:val="0"/>
          <w:szCs w:val="32"/>
          <w:lang w:eastAsia="zh-CN"/>
        </w:rPr>
        <w:t>（</w:t>
      </w:r>
      <w:r>
        <w:rPr>
          <w:rFonts w:hint="default" w:ascii="Times New Roman" w:hAnsi="Times New Roman" w:eastAsia="仿宋" w:cs="Times New Roman"/>
          <w:b w:val="0"/>
          <w:bCs w:val="0"/>
          <w:szCs w:val="32"/>
        </w:rPr>
        <w:t>德市罗发改投资〔2023〕12号</w:t>
      </w:r>
      <w:r>
        <w:rPr>
          <w:rFonts w:hint="default" w:ascii="Times New Roman" w:hAnsi="Times New Roman" w:eastAsia="仿宋" w:cs="Times New Roman"/>
          <w:b w:val="0"/>
          <w:bCs w:val="0"/>
          <w:szCs w:val="32"/>
          <w:lang w:eastAsia="zh-CN"/>
        </w:rPr>
        <w:t>）</w:t>
      </w:r>
      <w:r>
        <w:rPr>
          <w:rFonts w:hint="default" w:ascii="Times New Roman" w:hAnsi="Times New Roman" w:eastAsia="仿宋" w:cs="Times New Roman"/>
          <w:b w:val="0"/>
          <w:bCs w:val="0"/>
          <w:szCs w:val="32"/>
        </w:rPr>
        <w:t>文件</w:t>
      </w:r>
      <w:r>
        <w:rPr>
          <w:rFonts w:hint="default" w:ascii="Times New Roman" w:hAnsi="Times New Roman" w:eastAsia="仿宋" w:cs="Times New Roman"/>
          <w:b w:val="0"/>
          <w:bCs w:val="0"/>
          <w:szCs w:val="32"/>
          <w:lang w:eastAsia="zh-CN"/>
        </w:rPr>
        <w:t>，</w:t>
      </w:r>
      <w:r>
        <w:rPr>
          <w:rFonts w:hint="default" w:ascii="Times New Roman" w:hAnsi="Times New Roman" w:eastAsia="仿宋" w:cs="Times New Roman"/>
          <w:b w:val="0"/>
          <w:bCs w:val="0"/>
          <w:szCs w:val="32"/>
          <w:lang w:val="en-US" w:eastAsia="zh-CN"/>
        </w:rPr>
        <w:t>项目实际到位</w:t>
      </w:r>
      <w:r>
        <w:rPr>
          <w:rFonts w:hint="default" w:ascii="Times New Roman" w:hAnsi="Times New Roman" w:eastAsia="仿宋" w:cs="Times New Roman"/>
          <w:b w:val="0"/>
          <w:bCs w:val="0"/>
          <w:szCs w:val="32"/>
        </w:rPr>
        <w:t>资金800万元，实际支出金额800万元。项目资金支出由</w:t>
      </w:r>
      <w:r>
        <w:rPr>
          <w:rFonts w:hint="default" w:ascii="Times New Roman" w:hAnsi="Times New Roman" w:eastAsia="仿宋" w:cs="Times New Roman"/>
          <w:b w:val="0"/>
          <w:bCs w:val="0"/>
          <w:szCs w:val="32"/>
          <w:lang w:val="en-US" w:eastAsia="zh-CN"/>
        </w:rPr>
        <w:t>罗江中学校（简称罗江中学</w:t>
      </w:r>
      <w:r>
        <w:rPr>
          <w:rFonts w:hint="default" w:ascii="Times New Roman" w:hAnsi="Times New Roman" w:eastAsia="仿宋" w:cs="Times New Roman"/>
          <w:b w:val="0"/>
          <w:bCs w:val="0"/>
          <w:color w:val="auto"/>
          <w:szCs w:val="32"/>
          <w:highlight w:val="none"/>
          <w:lang w:val="en-US" w:eastAsia="zh-CN"/>
        </w:rPr>
        <w:t>）</w:t>
      </w:r>
      <w:r>
        <w:rPr>
          <w:rFonts w:hint="default" w:ascii="Times New Roman" w:hAnsi="Times New Roman" w:eastAsia="仿宋" w:cs="Times New Roman"/>
          <w:b w:val="0"/>
          <w:bCs w:val="0"/>
          <w:color w:val="auto"/>
          <w:szCs w:val="32"/>
          <w:highlight w:val="none"/>
        </w:rPr>
        <w:t>向财政局提交预算申请，经</w:t>
      </w:r>
      <w:r>
        <w:rPr>
          <w:rFonts w:hint="default" w:ascii="Times New Roman" w:hAnsi="Times New Roman" w:eastAsia="仿宋" w:cs="Times New Roman"/>
          <w:b w:val="0"/>
          <w:bCs w:val="0"/>
          <w:color w:val="auto"/>
          <w:szCs w:val="32"/>
          <w:highlight w:val="none"/>
          <w:lang w:val="en-US" w:eastAsia="zh-CN"/>
        </w:rPr>
        <w:t>财政局</w:t>
      </w:r>
      <w:r>
        <w:rPr>
          <w:rFonts w:hint="default" w:ascii="Times New Roman" w:hAnsi="Times New Roman" w:eastAsia="仿宋" w:cs="Times New Roman"/>
          <w:b w:val="0"/>
          <w:bCs w:val="0"/>
          <w:color w:val="auto"/>
          <w:szCs w:val="32"/>
          <w:highlight w:val="none"/>
        </w:rPr>
        <w:t>进行评审后下达预算评审金额，最终金额</w:t>
      </w:r>
      <w:r>
        <w:rPr>
          <w:rFonts w:hint="default" w:ascii="Times New Roman" w:hAnsi="Times New Roman" w:eastAsia="仿宋" w:cs="Times New Roman"/>
          <w:b w:val="0"/>
          <w:bCs w:val="0"/>
          <w:szCs w:val="32"/>
        </w:rPr>
        <w:t>项目完工后实际支付金额为800万元。</w:t>
      </w:r>
      <w:r>
        <w:rPr>
          <w:rFonts w:hint="default" w:ascii="Times New Roman" w:hAnsi="Times New Roman" w:eastAsia="仿宋" w:cs="Times New Roman"/>
          <w:b w:val="0"/>
          <w:bCs w:val="0"/>
          <w:lang w:val="en-US" w:eastAsia="zh-CN"/>
        </w:rPr>
        <w:t>实际支出使用明细表如下：</w:t>
      </w:r>
    </w:p>
    <w:p w14:paraId="5A6F8DE7">
      <w:pPr>
        <w:pStyle w:val="2"/>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b/>
          <w:bCs/>
          <w:sz w:val="30"/>
          <w:szCs w:val="30"/>
          <w:lang w:val="en-US" w:eastAsia="zh-CN"/>
        </w:rPr>
      </w:pPr>
      <w:r>
        <w:rPr>
          <w:rFonts w:hint="default" w:ascii="Times New Roman" w:hAnsi="Times New Roman" w:eastAsia="仿宋" w:cs="Times New Roman"/>
          <w:b/>
          <w:bCs/>
          <w:sz w:val="30"/>
          <w:szCs w:val="30"/>
          <w:lang w:val="en-US" w:eastAsia="zh-CN"/>
        </w:rPr>
        <w:t>表3-1实际支出使用明细</w:t>
      </w:r>
    </w:p>
    <w:p w14:paraId="54CAD806">
      <w:pPr>
        <w:pStyle w:val="2"/>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right"/>
        <w:textAlignment w:val="auto"/>
        <w:rPr>
          <w:rFonts w:hint="default" w:ascii="Times New Roman" w:hAnsi="Times New Roman" w:eastAsia="仿宋" w:cs="Times New Roman"/>
          <w:b/>
          <w:bCs/>
          <w:sz w:val="30"/>
          <w:szCs w:val="30"/>
          <w:lang w:val="en-US" w:eastAsia="zh-CN"/>
        </w:rPr>
      </w:pPr>
      <w:r>
        <w:rPr>
          <w:rFonts w:hint="default" w:ascii="Times New Roman" w:hAnsi="Times New Roman" w:eastAsia="仿宋" w:cs="Times New Roman"/>
          <w:b/>
          <w:bCs/>
          <w:sz w:val="30"/>
          <w:szCs w:val="30"/>
          <w:lang w:val="en-US" w:eastAsia="zh-CN"/>
        </w:rPr>
        <w:t>单位：元</w:t>
      </w:r>
    </w:p>
    <w:tbl>
      <w:tblPr>
        <w:tblStyle w:val="26"/>
        <w:tblW w:w="4997" w:type="pct"/>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773"/>
        <w:gridCol w:w="3678"/>
        <w:gridCol w:w="3000"/>
        <w:gridCol w:w="1605"/>
      </w:tblGrid>
      <w:tr w14:paraId="1426888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426" w:type="pct"/>
            <w:tcBorders>
              <w:tl2br w:val="nil"/>
              <w:tr2bl w:val="nil"/>
            </w:tcBorders>
            <w:shd w:val="clear" w:color="auto" w:fill="auto"/>
            <w:noWrap/>
            <w:vAlign w:val="center"/>
          </w:tcPr>
          <w:p w14:paraId="63924DCF">
            <w:pPr>
              <w:widowControl/>
              <w:spacing w:line="240" w:lineRule="auto"/>
              <w:ind w:left="0" w:leftChars="0" w:firstLine="0" w:firstLineChars="0"/>
              <w:jc w:val="center"/>
              <w:rPr>
                <w:rFonts w:hint="default" w:ascii="Times New Roman" w:hAnsi="Times New Roman" w:eastAsia="仿宋" w:cs="Times New Roman"/>
                <w:color w:val="000000"/>
                <w:kern w:val="0"/>
                <w:sz w:val="24"/>
                <w:szCs w:val="24"/>
                <w:lang w:val="en-US" w:eastAsia="zh-CN"/>
                <w14:ligatures w14:val="none"/>
              </w:rPr>
            </w:pPr>
            <w:r>
              <w:rPr>
                <w:rFonts w:hint="default" w:ascii="Times New Roman" w:hAnsi="Times New Roman" w:eastAsia="仿宋" w:cs="Times New Roman"/>
                <w:color w:val="000000"/>
                <w:kern w:val="0"/>
                <w:sz w:val="24"/>
                <w:szCs w:val="24"/>
                <w:lang w:val="en-US" w:eastAsia="zh-CN"/>
                <w14:ligatures w14:val="none"/>
              </w:rPr>
              <w:t>序号</w:t>
            </w:r>
          </w:p>
        </w:tc>
        <w:tc>
          <w:tcPr>
            <w:tcW w:w="2030" w:type="pct"/>
            <w:tcBorders>
              <w:tl2br w:val="nil"/>
              <w:tr2bl w:val="nil"/>
            </w:tcBorders>
            <w:shd w:val="clear" w:color="auto" w:fill="auto"/>
            <w:vAlign w:val="center"/>
          </w:tcPr>
          <w:p w14:paraId="548A5094">
            <w:pPr>
              <w:widowControl/>
              <w:spacing w:line="240" w:lineRule="auto"/>
              <w:ind w:left="0" w:leftChars="0" w:firstLine="0" w:firstLineChars="0"/>
              <w:jc w:val="center"/>
              <w:rPr>
                <w:rFonts w:hint="default" w:ascii="Times New Roman" w:hAnsi="Times New Roman" w:eastAsia="仿宋" w:cs="Times New Roman"/>
                <w:b w:val="0"/>
                <w:bCs w:val="0"/>
                <w:color w:val="060607"/>
                <w:kern w:val="0"/>
                <w:sz w:val="24"/>
                <w:szCs w:val="24"/>
                <w:lang w:val="en-US" w:eastAsia="zh-CN"/>
                <w14:ligatures w14:val="none"/>
              </w:rPr>
            </w:pPr>
            <w:r>
              <w:rPr>
                <w:rFonts w:hint="default" w:ascii="Times New Roman" w:hAnsi="Times New Roman" w:eastAsia="仿宋" w:cs="Times New Roman"/>
                <w:b w:val="0"/>
                <w:bCs w:val="0"/>
                <w:color w:val="060607"/>
                <w:kern w:val="0"/>
                <w:sz w:val="24"/>
                <w:szCs w:val="24"/>
                <w:lang w:val="en-US" w:eastAsia="zh-CN"/>
                <w14:ligatures w14:val="none"/>
              </w:rPr>
              <w:t>单位名称</w:t>
            </w:r>
          </w:p>
        </w:tc>
        <w:tc>
          <w:tcPr>
            <w:tcW w:w="1656" w:type="pct"/>
            <w:tcBorders>
              <w:tl2br w:val="nil"/>
              <w:tr2bl w:val="nil"/>
            </w:tcBorders>
            <w:shd w:val="clear" w:color="auto" w:fill="auto"/>
            <w:noWrap/>
            <w:vAlign w:val="center"/>
          </w:tcPr>
          <w:p w14:paraId="4FE48F44">
            <w:pPr>
              <w:widowControl/>
              <w:spacing w:line="240" w:lineRule="auto"/>
              <w:ind w:left="0" w:leftChars="0" w:firstLine="0" w:firstLineChars="0"/>
              <w:jc w:val="center"/>
              <w:rPr>
                <w:rFonts w:hint="default" w:ascii="Times New Roman" w:hAnsi="Times New Roman" w:eastAsia="仿宋" w:cs="Times New Roman"/>
                <w:b w:val="0"/>
                <w:bCs w:val="0"/>
                <w:color w:val="060607"/>
                <w:kern w:val="0"/>
                <w:sz w:val="24"/>
                <w:szCs w:val="24"/>
                <w:lang w:val="en-US" w:eastAsia="zh-CN"/>
                <w14:ligatures w14:val="none"/>
              </w:rPr>
            </w:pPr>
            <w:r>
              <w:rPr>
                <w:rFonts w:hint="default" w:ascii="Times New Roman" w:hAnsi="Times New Roman" w:eastAsia="仿宋" w:cs="Times New Roman"/>
                <w:b w:val="0"/>
                <w:bCs w:val="0"/>
                <w:color w:val="060607"/>
                <w:kern w:val="0"/>
                <w:sz w:val="24"/>
                <w:szCs w:val="24"/>
                <w:lang w:val="en-US" w:eastAsia="zh-CN"/>
                <w14:ligatures w14:val="none"/>
              </w:rPr>
              <w:t>项目名称</w:t>
            </w:r>
          </w:p>
        </w:tc>
        <w:tc>
          <w:tcPr>
            <w:tcW w:w="886" w:type="pct"/>
            <w:tcBorders>
              <w:tl2br w:val="nil"/>
              <w:tr2bl w:val="nil"/>
            </w:tcBorders>
            <w:shd w:val="clear" w:color="auto" w:fill="auto"/>
            <w:noWrap/>
            <w:vAlign w:val="center"/>
          </w:tcPr>
          <w:p w14:paraId="188B0C29">
            <w:pPr>
              <w:widowControl/>
              <w:spacing w:line="240" w:lineRule="auto"/>
              <w:jc w:val="center"/>
              <w:rPr>
                <w:rFonts w:hint="default" w:ascii="Times New Roman" w:hAnsi="Times New Roman" w:eastAsia="仿宋" w:cs="Times New Roman"/>
                <w:color w:val="060607"/>
                <w:kern w:val="0"/>
                <w:sz w:val="24"/>
                <w:szCs w:val="24"/>
                <w:lang w:val="en-US" w:eastAsia="zh-CN"/>
                <w14:ligatures w14:val="none"/>
              </w:rPr>
            </w:pPr>
            <w:r>
              <w:rPr>
                <w:rFonts w:hint="default" w:ascii="Times New Roman" w:hAnsi="Times New Roman" w:eastAsia="仿宋" w:cs="Times New Roman"/>
                <w:color w:val="060607"/>
                <w:kern w:val="0"/>
                <w:sz w:val="24"/>
                <w:szCs w:val="24"/>
                <w:lang w:val="en-US" w:eastAsia="zh-CN"/>
                <w14:ligatures w14:val="none"/>
              </w:rPr>
              <w:t>金额</w:t>
            </w:r>
          </w:p>
        </w:tc>
      </w:tr>
      <w:tr w14:paraId="513BFF8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426" w:type="pct"/>
            <w:tcBorders>
              <w:tl2br w:val="nil"/>
              <w:tr2bl w:val="nil"/>
            </w:tcBorders>
            <w:shd w:val="clear" w:color="auto" w:fill="auto"/>
            <w:noWrap/>
            <w:vAlign w:val="center"/>
          </w:tcPr>
          <w:p w14:paraId="3A084DE3">
            <w:pPr>
              <w:widowControl/>
              <w:spacing w:line="240" w:lineRule="auto"/>
              <w:ind w:left="0" w:leftChars="0" w:firstLine="0" w:firstLineChars="0"/>
              <w:jc w:val="center"/>
              <w:rPr>
                <w:rFonts w:hint="default" w:ascii="Times New Roman" w:hAnsi="Times New Roman" w:eastAsia="仿宋" w:cs="Times New Roman"/>
                <w:color w:val="000000"/>
                <w:kern w:val="0"/>
                <w:sz w:val="24"/>
                <w:szCs w:val="24"/>
                <w14:ligatures w14:val="none"/>
              </w:rPr>
            </w:pPr>
            <w:r>
              <w:rPr>
                <w:rFonts w:hint="default" w:ascii="Times New Roman" w:hAnsi="Times New Roman" w:eastAsia="仿宋" w:cs="Times New Roman"/>
                <w:color w:val="000000"/>
                <w:kern w:val="0"/>
                <w:sz w:val="24"/>
                <w:szCs w:val="24"/>
                <w14:ligatures w14:val="none"/>
              </w:rPr>
              <w:t>1</w:t>
            </w:r>
          </w:p>
        </w:tc>
        <w:tc>
          <w:tcPr>
            <w:tcW w:w="2030" w:type="pct"/>
            <w:tcBorders>
              <w:tl2br w:val="nil"/>
              <w:tr2bl w:val="nil"/>
            </w:tcBorders>
            <w:shd w:val="clear" w:color="auto" w:fill="auto"/>
            <w:vAlign w:val="center"/>
          </w:tcPr>
          <w:p w14:paraId="6BA0CD7C">
            <w:pPr>
              <w:widowControl/>
              <w:spacing w:line="240" w:lineRule="auto"/>
              <w:ind w:left="0" w:leftChars="0" w:firstLine="0" w:firstLineChars="0"/>
              <w:jc w:val="left"/>
              <w:rPr>
                <w:rFonts w:hint="default" w:ascii="Times New Roman" w:hAnsi="Times New Roman" w:eastAsia="仿宋" w:cs="Times New Roman"/>
                <w:b w:val="0"/>
                <w:bCs w:val="0"/>
                <w:color w:val="060607"/>
                <w:kern w:val="0"/>
                <w:sz w:val="24"/>
                <w:szCs w:val="24"/>
                <w:lang w:val="en-US" w:eastAsia="zh-CN"/>
                <w14:ligatures w14:val="none"/>
              </w:rPr>
            </w:pPr>
            <w:r>
              <w:rPr>
                <w:rFonts w:hint="default" w:ascii="Times New Roman" w:hAnsi="Times New Roman" w:eastAsia="仿宋" w:cs="Times New Roman"/>
                <w:b w:val="0"/>
                <w:bCs w:val="0"/>
                <w:color w:val="060607"/>
                <w:kern w:val="0"/>
                <w:sz w:val="24"/>
                <w:szCs w:val="24"/>
                <w14:ligatures w14:val="none"/>
              </w:rPr>
              <w:t>四川川田联体育发展有限公司</w:t>
            </w:r>
          </w:p>
        </w:tc>
        <w:tc>
          <w:tcPr>
            <w:tcW w:w="1656" w:type="pct"/>
            <w:tcBorders>
              <w:tl2br w:val="nil"/>
              <w:tr2bl w:val="nil"/>
            </w:tcBorders>
            <w:shd w:val="clear" w:color="auto" w:fill="auto"/>
            <w:noWrap/>
            <w:vAlign w:val="center"/>
          </w:tcPr>
          <w:p w14:paraId="7D072F3F">
            <w:pPr>
              <w:widowControl/>
              <w:spacing w:line="240" w:lineRule="auto"/>
              <w:ind w:left="0" w:leftChars="0" w:firstLine="0" w:firstLineChars="0"/>
              <w:jc w:val="center"/>
              <w:rPr>
                <w:rFonts w:hint="default" w:ascii="Times New Roman" w:hAnsi="Times New Roman" w:eastAsia="仿宋" w:cs="Times New Roman"/>
                <w:b w:val="0"/>
                <w:bCs w:val="0"/>
                <w:color w:val="060607"/>
                <w:kern w:val="0"/>
                <w:sz w:val="24"/>
                <w:szCs w:val="24"/>
                <w14:ligatures w14:val="none"/>
              </w:rPr>
            </w:pPr>
            <w:r>
              <w:rPr>
                <w:rFonts w:hint="default" w:ascii="Times New Roman" w:hAnsi="Times New Roman" w:eastAsia="仿宋" w:cs="Times New Roman"/>
                <w:b w:val="0"/>
                <w:bCs w:val="0"/>
                <w:color w:val="060607"/>
                <w:kern w:val="0"/>
                <w:sz w:val="24"/>
                <w:szCs w:val="24"/>
                <w:lang w:val="en-US" w:eastAsia="zh-CN"/>
                <w14:ligatures w14:val="none"/>
              </w:rPr>
              <w:t>工程咨询服务费</w:t>
            </w:r>
          </w:p>
        </w:tc>
        <w:tc>
          <w:tcPr>
            <w:tcW w:w="886" w:type="pct"/>
            <w:tcBorders>
              <w:tl2br w:val="nil"/>
              <w:tr2bl w:val="nil"/>
            </w:tcBorders>
            <w:shd w:val="clear" w:color="auto" w:fill="auto"/>
            <w:noWrap/>
            <w:vAlign w:val="center"/>
          </w:tcPr>
          <w:p w14:paraId="12F80DF4">
            <w:pPr>
              <w:widowControl/>
              <w:spacing w:line="240" w:lineRule="auto"/>
              <w:ind w:left="0" w:leftChars="0" w:firstLine="0" w:firstLineChars="0"/>
              <w:jc w:val="both"/>
              <w:rPr>
                <w:rFonts w:hint="default" w:ascii="Times New Roman" w:hAnsi="Times New Roman" w:eastAsia="仿宋" w:cs="Times New Roman"/>
                <w:color w:val="060607"/>
                <w:kern w:val="0"/>
                <w:sz w:val="24"/>
                <w:szCs w:val="24"/>
                <w:lang w:eastAsia="zh-CN"/>
                <w14:ligatures w14:val="none"/>
              </w:rPr>
            </w:pPr>
            <w:r>
              <w:rPr>
                <w:rFonts w:hint="default" w:ascii="Times New Roman" w:hAnsi="Times New Roman" w:eastAsia="仿宋" w:cs="Times New Roman"/>
                <w:color w:val="060607"/>
                <w:kern w:val="0"/>
                <w:sz w:val="24"/>
                <w:szCs w:val="24"/>
                <w14:ligatures w14:val="none"/>
              </w:rPr>
              <w:t>30000.00</w:t>
            </w:r>
          </w:p>
        </w:tc>
      </w:tr>
      <w:tr w14:paraId="6BFFF1F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426" w:type="pct"/>
            <w:tcBorders>
              <w:tl2br w:val="nil"/>
              <w:tr2bl w:val="nil"/>
            </w:tcBorders>
            <w:shd w:val="clear" w:color="auto" w:fill="auto"/>
            <w:noWrap/>
            <w:vAlign w:val="center"/>
          </w:tcPr>
          <w:p w14:paraId="05C63570">
            <w:pPr>
              <w:widowControl/>
              <w:spacing w:line="240" w:lineRule="auto"/>
              <w:ind w:left="0" w:leftChars="0" w:firstLine="0" w:firstLineChars="0"/>
              <w:jc w:val="center"/>
              <w:rPr>
                <w:rFonts w:hint="default" w:ascii="Times New Roman" w:hAnsi="Times New Roman" w:eastAsia="仿宋" w:cs="Times New Roman"/>
                <w:color w:val="000000"/>
                <w:kern w:val="0"/>
                <w:sz w:val="24"/>
                <w:szCs w:val="24"/>
                <w14:ligatures w14:val="none"/>
              </w:rPr>
            </w:pPr>
            <w:r>
              <w:rPr>
                <w:rFonts w:hint="default" w:ascii="Times New Roman" w:hAnsi="Times New Roman" w:eastAsia="仿宋" w:cs="Times New Roman"/>
                <w:color w:val="000000"/>
                <w:kern w:val="0"/>
                <w:sz w:val="24"/>
                <w:szCs w:val="24"/>
                <w14:ligatures w14:val="none"/>
              </w:rPr>
              <w:t>2</w:t>
            </w:r>
          </w:p>
        </w:tc>
        <w:tc>
          <w:tcPr>
            <w:tcW w:w="2030" w:type="pct"/>
            <w:tcBorders>
              <w:tl2br w:val="nil"/>
              <w:tr2bl w:val="nil"/>
            </w:tcBorders>
            <w:shd w:val="clear" w:color="auto" w:fill="auto"/>
            <w:vAlign w:val="center"/>
          </w:tcPr>
          <w:p w14:paraId="1FFCABEF">
            <w:pPr>
              <w:widowControl/>
              <w:spacing w:line="240" w:lineRule="auto"/>
              <w:ind w:left="0" w:leftChars="0" w:firstLine="0" w:firstLineChars="0"/>
              <w:jc w:val="left"/>
              <w:rPr>
                <w:rFonts w:hint="default" w:ascii="Times New Roman" w:hAnsi="Times New Roman" w:eastAsia="仿宋" w:cs="Times New Roman"/>
                <w:b w:val="0"/>
                <w:bCs w:val="0"/>
                <w:color w:val="060607"/>
                <w:kern w:val="0"/>
                <w:sz w:val="24"/>
                <w:szCs w:val="24"/>
                <w14:ligatures w14:val="none"/>
              </w:rPr>
            </w:pPr>
            <w:r>
              <w:rPr>
                <w:rFonts w:hint="default" w:ascii="Times New Roman" w:hAnsi="Times New Roman" w:eastAsia="仿宋" w:cs="Times New Roman"/>
                <w:b w:val="0"/>
                <w:bCs w:val="0"/>
                <w:color w:val="060607"/>
                <w:kern w:val="0"/>
                <w:sz w:val="24"/>
                <w:szCs w:val="24"/>
                <w14:ligatures w14:val="none"/>
              </w:rPr>
              <w:t>四川盛世乾坤建筑程有限公司</w:t>
            </w:r>
          </w:p>
        </w:tc>
        <w:tc>
          <w:tcPr>
            <w:tcW w:w="1656" w:type="pct"/>
            <w:tcBorders>
              <w:tl2br w:val="nil"/>
              <w:tr2bl w:val="nil"/>
            </w:tcBorders>
            <w:shd w:val="clear" w:color="auto" w:fill="auto"/>
            <w:noWrap/>
            <w:vAlign w:val="center"/>
          </w:tcPr>
          <w:p w14:paraId="71101650">
            <w:pPr>
              <w:widowControl/>
              <w:spacing w:line="240" w:lineRule="auto"/>
              <w:ind w:left="0" w:leftChars="0" w:firstLine="0" w:firstLineChars="0"/>
              <w:jc w:val="center"/>
              <w:rPr>
                <w:rFonts w:hint="default" w:ascii="Times New Roman" w:hAnsi="Times New Roman" w:eastAsia="仿宋" w:cs="Times New Roman"/>
                <w:b w:val="0"/>
                <w:bCs w:val="0"/>
                <w:color w:val="060607"/>
                <w:kern w:val="0"/>
                <w:sz w:val="24"/>
                <w:szCs w:val="24"/>
                <w:lang w:val="en-US" w:eastAsia="zh-CN"/>
                <w14:ligatures w14:val="none"/>
              </w:rPr>
            </w:pPr>
            <w:r>
              <w:rPr>
                <w:rFonts w:hint="default" w:ascii="Times New Roman" w:hAnsi="Times New Roman" w:eastAsia="仿宋" w:cs="Times New Roman"/>
                <w:b w:val="0"/>
                <w:bCs w:val="0"/>
                <w:color w:val="060607"/>
                <w:kern w:val="0"/>
                <w:sz w:val="24"/>
                <w:szCs w:val="24"/>
                <w14:ligatures w14:val="none"/>
              </w:rPr>
              <w:t>改造及绿化调整</w:t>
            </w:r>
            <w:r>
              <w:rPr>
                <w:rFonts w:hint="default" w:ascii="Times New Roman" w:hAnsi="Times New Roman" w:eastAsia="仿宋" w:cs="Times New Roman"/>
                <w:b w:val="0"/>
                <w:bCs w:val="0"/>
                <w:color w:val="060607"/>
                <w:kern w:val="0"/>
                <w:sz w:val="24"/>
                <w:szCs w:val="24"/>
                <w:lang w:val="en-US" w:eastAsia="zh-CN"/>
                <w14:ligatures w14:val="none"/>
              </w:rPr>
              <w:t>工程施工</w:t>
            </w:r>
          </w:p>
        </w:tc>
        <w:tc>
          <w:tcPr>
            <w:tcW w:w="886" w:type="pct"/>
            <w:tcBorders>
              <w:tl2br w:val="nil"/>
              <w:tr2bl w:val="nil"/>
            </w:tcBorders>
            <w:shd w:val="clear" w:color="auto" w:fill="auto"/>
            <w:noWrap/>
            <w:vAlign w:val="center"/>
          </w:tcPr>
          <w:p w14:paraId="3B5CA3AD">
            <w:pPr>
              <w:widowControl/>
              <w:spacing w:line="240" w:lineRule="auto"/>
              <w:ind w:left="0" w:leftChars="0" w:firstLine="0" w:firstLineChars="0"/>
              <w:jc w:val="both"/>
              <w:rPr>
                <w:rFonts w:hint="default" w:ascii="Times New Roman" w:hAnsi="Times New Roman" w:eastAsia="仿宋" w:cs="Times New Roman"/>
                <w:color w:val="060607"/>
                <w:kern w:val="0"/>
                <w:sz w:val="24"/>
                <w:szCs w:val="24"/>
                <w:lang w:eastAsia="zh-CN"/>
                <w14:ligatures w14:val="none"/>
              </w:rPr>
            </w:pPr>
            <w:r>
              <w:rPr>
                <w:rFonts w:hint="default" w:ascii="Times New Roman" w:hAnsi="Times New Roman" w:eastAsia="仿宋" w:cs="Times New Roman"/>
                <w:color w:val="060607"/>
                <w:kern w:val="0"/>
                <w:sz w:val="24"/>
                <w:szCs w:val="24"/>
                <w14:ligatures w14:val="none"/>
              </w:rPr>
              <w:t>422668.29</w:t>
            </w:r>
          </w:p>
        </w:tc>
      </w:tr>
      <w:tr w14:paraId="2BEDD19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426" w:type="pct"/>
            <w:tcBorders>
              <w:tl2br w:val="nil"/>
              <w:tr2bl w:val="nil"/>
            </w:tcBorders>
            <w:shd w:val="clear" w:color="auto" w:fill="auto"/>
            <w:noWrap/>
            <w:vAlign w:val="center"/>
          </w:tcPr>
          <w:p w14:paraId="54F3AEC9">
            <w:pPr>
              <w:widowControl/>
              <w:spacing w:line="240" w:lineRule="auto"/>
              <w:ind w:left="0" w:leftChars="0" w:firstLine="0" w:firstLineChars="0"/>
              <w:jc w:val="center"/>
              <w:rPr>
                <w:rFonts w:hint="default" w:ascii="Times New Roman" w:hAnsi="Times New Roman" w:eastAsia="仿宋" w:cs="Times New Roman"/>
                <w:color w:val="000000"/>
                <w:kern w:val="0"/>
                <w:sz w:val="24"/>
                <w:szCs w:val="24"/>
                <w14:ligatures w14:val="none"/>
              </w:rPr>
            </w:pPr>
            <w:r>
              <w:rPr>
                <w:rFonts w:hint="default" w:ascii="Times New Roman" w:hAnsi="Times New Roman" w:eastAsia="仿宋" w:cs="Times New Roman"/>
                <w:color w:val="000000"/>
                <w:kern w:val="0"/>
                <w:sz w:val="24"/>
                <w:szCs w:val="24"/>
                <w14:ligatures w14:val="none"/>
              </w:rPr>
              <w:t>3</w:t>
            </w:r>
          </w:p>
        </w:tc>
        <w:tc>
          <w:tcPr>
            <w:tcW w:w="2030" w:type="pct"/>
            <w:tcBorders>
              <w:tl2br w:val="nil"/>
              <w:tr2bl w:val="nil"/>
            </w:tcBorders>
            <w:shd w:val="clear" w:color="auto" w:fill="auto"/>
            <w:vAlign w:val="center"/>
          </w:tcPr>
          <w:p w14:paraId="23852545">
            <w:pPr>
              <w:widowControl/>
              <w:spacing w:line="240" w:lineRule="auto"/>
              <w:ind w:left="0" w:leftChars="0" w:firstLine="0" w:firstLineChars="0"/>
              <w:jc w:val="left"/>
              <w:rPr>
                <w:rFonts w:hint="default" w:ascii="Times New Roman" w:hAnsi="Times New Roman" w:eastAsia="仿宋" w:cs="Times New Roman"/>
                <w:b w:val="0"/>
                <w:bCs w:val="0"/>
                <w:color w:val="060607"/>
                <w:kern w:val="0"/>
                <w:sz w:val="24"/>
                <w:szCs w:val="24"/>
                <w:lang w:val="en-US" w:eastAsia="zh-CN"/>
                <w14:ligatures w14:val="none"/>
              </w:rPr>
            </w:pPr>
            <w:r>
              <w:rPr>
                <w:rFonts w:hint="default" w:ascii="Times New Roman" w:hAnsi="Times New Roman" w:eastAsia="仿宋" w:cs="Times New Roman"/>
                <w:b w:val="0"/>
                <w:bCs w:val="0"/>
                <w:color w:val="060607"/>
                <w:kern w:val="0"/>
                <w:sz w:val="24"/>
                <w:szCs w:val="24"/>
                <w14:ligatures w14:val="none"/>
              </w:rPr>
              <w:t>四川正益工程项目管理有限公司</w:t>
            </w:r>
          </w:p>
        </w:tc>
        <w:tc>
          <w:tcPr>
            <w:tcW w:w="1656" w:type="pct"/>
            <w:tcBorders>
              <w:tl2br w:val="nil"/>
              <w:tr2bl w:val="nil"/>
            </w:tcBorders>
            <w:shd w:val="clear" w:color="auto" w:fill="auto"/>
            <w:noWrap/>
            <w:vAlign w:val="center"/>
          </w:tcPr>
          <w:p w14:paraId="13B28E94">
            <w:pPr>
              <w:widowControl/>
              <w:spacing w:line="240" w:lineRule="auto"/>
              <w:ind w:left="0" w:leftChars="0" w:firstLine="0" w:firstLineChars="0"/>
              <w:jc w:val="center"/>
              <w:rPr>
                <w:rFonts w:hint="default" w:ascii="Times New Roman" w:hAnsi="Times New Roman" w:eastAsia="仿宋" w:cs="Times New Roman"/>
                <w:b w:val="0"/>
                <w:bCs w:val="0"/>
                <w:color w:val="060607"/>
                <w:kern w:val="0"/>
                <w:sz w:val="24"/>
                <w:szCs w:val="24"/>
                <w14:ligatures w14:val="none"/>
              </w:rPr>
            </w:pPr>
            <w:r>
              <w:rPr>
                <w:rFonts w:hint="default" w:ascii="Times New Roman" w:hAnsi="Times New Roman" w:eastAsia="仿宋" w:cs="Times New Roman"/>
                <w:b w:val="0"/>
                <w:bCs w:val="0"/>
                <w:color w:val="060607"/>
                <w:kern w:val="0"/>
                <w:sz w:val="24"/>
                <w:szCs w:val="24"/>
                <w:lang w:val="en-US" w:eastAsia="zh-CN"/>
                <w14:ligatures w14:val="none"/>
              </w:rPr>
              <w:t>建设工程造价咨询</w:t>
            </w:r>
          </w:p>
        </w:tc>
        <w:tc>
          <w:tcPr>
            <w:tcW w:w="886" w:type="pct"/>
            <w:tcBorders>
              <w:tl2br w:val="nil"/>
              <w:tr2bl w:val="nil"/>
            </w:tcBorders>
            <w:shd w:val="clear" w:color="auto" w:fill="auto"/>
            <w:noWrap/>
            <w:vAlign w:val="center"/>
          </w:tcPr>
          <w:p w14:paraId="45F39026">
            <w:pPr>
              <w:widowControl/>
              <w:spacing w:line="240" w:lineRule="auto"/>
              <w:ind w:left="0" w:leftChars="0" w:firstLine="0" w:firstLineChars="0"/>
              <w:jc w:val="both"/>
              <w:rPr>
                <w:rFonts w:hint="default" w:ascii="Times New Roman" w:hAnsi="Times New Roman" w:eastAsia="仿宋" w:cs="Times New Roman"/>
                <w:color w:val="060607"/>
                <w:kern w:val="0"/>
                <w:sz w:val="24"/>
                <w:szCs w:val="24"/>
                <w:lang w:eastAsia="zh-CN"/>
                <w14:ligatures w14:val="none"/>
              </w:rPr>
            </w:pPr>
            <w:r>
              <w:rPr>
                <w:rFonts w:hint="default" w:ascii="Times New Roman" w:hAnsi="Times New Roman" w:eastAsia="仿宋" w:cs="Times New Roman"/>
                <w:color w:val="060607"/>
                <w:kern w:val="0"/>
                <w:sz w:val="24"/>
                <w:szCs w:val="24"/>
                <w14:ligatures w14:val="none"/>
              </w:rPr>
              <w:t>14600.00</w:t>
            </w:r>
          </w:p>
        </w:tc>
      </w:tr>
      <w:tr w14:paraId="77D347F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808" w:hRule="atLeast"/>
        </w:trPr>
        <w:tc>
          <w:tcPr>
            <w:tcW w:w="426" w:type="pct"/>
            <w:tcBorders>
              <w:tl2br w:val="nil"/>
              <w:tr2bl w:val="nil"/>
            </w:tcBorders>
            <w:shd w:val="clear" w:color="auto" w:fill="auto"/>
            <w:noWrap/>
            <w:vAlign w:val="center"/>
          </w:tcPr>
          <w:p w14:paraId="5D8EEBF1">
            <w:pPr>
              <w:widowControl/>
              <w:spacing w:line="240" w:lineRule="auto"/>
              <w:ind w:left="0" w:leftChars="0" w:firstLine="0" w:firstLineChars="0"/>
              <w:jc w:val="center"/>
              <w:rPr>
                <w:rFonts w:hint="default" w:ascii="Times New Roman" w:hAnsi="Times New Roman" w:eastAsia="仿宋" w:cs="Times New Roman"/>
                <w:color w:val="000000"/>
                <w:kern w:val="0"/>
                <w:sz w:val="24"/>
                <w:szCs w:val="24"/>
                <w14:ligatures w14:val="none"/>
              </w:rPr>
            </w:pPr>
            <w:r>
              <w:rPr>
                <w:rFonts w:hint="default" w:ascii="Times New Roman" w:hAnsi="Times New Roman" w:eastAsia="仿宋" w:cs="Times New Roman"/>
                <w:color w:val="000000"/>
                <w:kern w:val="0"/>
                <w:sz w:val="24"/>
                <w:szCs w:val="24"/>
                <w14:ligatures w14:val="none"/>
              </w:rPr>
              <w:t>4</w:t>
            </w:r>
          </w:p>
        </w:tc>
        <w:tc>
          <w:tcPr>
            <w:tcW w:w="2030" w:type="pct"/>
            <w:tcBorders>
              <w:tl2br w:val="nil"/>
              <w:tr2bl w:val="nil"/>
            </w:tcBorders>
            <w:shd w:val="clear" w:color="auto" w:fill="auto"/>
            <w:vAlign w:val="center"/>
          </w:tcPr>
          <w:p w14:paraId="4EFE6513">
            <w:pPr>
              <w:widowControl/>
              <w:spacing w:line="240" w:lineRule="auto"/>
              <w:ind w:left="0" w:leftChars="0" w:firstLine="0" w:firstLineChars="0"/>
              <w:jc w:val="left"/>
              <w:rPr>
                <w:rFonts w:hint="default" w:ascii="Times New Roman" w:hAnsi="Times New Roman" w:eastAsia="仿宋" w:cs="Times New Roman"/>
                <w:b w:val="0"/>
                <w:bCs w:val="0"/>
                <w:color w:val="060607"/>
                <w:kern w:val="0"/>
                <w:sz w:val="24"/>
                <w:szCs w:val="24"/>
                <w14:ligatures w14:val="none"/>
              </w:rPr>
            </w:pPr>
            <w:r>
              <w:rPr>
                <w:rFonts w:hint="default" w:ascii="Times New Roman" w:hAnsi="Times New Roman" w:eastAsia="仿宋" w:cs="Times New Roman"/>
                <w:b w:val="0"/>
                <w:bCs w:val="0"/>
                <w:color w:val="060607"/>
                <w:kern w:val="0"/>
                <w:sz w:val="24"/>
                <w:szCs w:val="24"/>
                <w14:ligatures w14:val="none"/>
              </w:rPr>
              <w:t>四川纹江致远建筑开发工程有限公司</w:t>
            </w:r>
          </w:p>
        </w:tc>
        <w:tc>
          <w:tcPr>
            <w:tcW w:w="1656" w:type="pct"/>
            <w:tcBorders>
              <w:tl2br w:val="nil"/>
              <w:tr2bl w:val="nil"/>
            </w:tcBorders>
            <w:shd w:val="clear" w:color="auto" w:fill="auto"/>
            <w:noWrap/>
            <w:vAlign w:val="center"/>
          </w:tcPr>
          <w:p w14:paraId="2F889AB3">
            <w:pPr>
              <w:widowControl/>
              <w:spacing w:line="240" w:lineRule="auto"/>
              <w:ind w:left="0" w:leftChars="0" w:firstLine="0" w:firstLineChars="0"/>
              <w:jc w:val="center"/>
              <w:rPr>
                <w:rFonts w:hint="default" w:ascii="Times New Roman" w:hAnsi="Times New Roman" w:eastAsia="仿宋" w:cs="Times New Roman"/>
                <w:b w:val="0"/>
                <w:bCs w:val="0"/>
                <w:color w:val="060607"/>
                <w:kern w:val="0"/>
                <w:sz w:val="24"/>
                <w:szCs w:val="24"/>
                <w14:ligatures w14:val="none"/>
              </w:rPr>
            </w:pPr>
            <w:r>
              <w:rPr>
                <w:rFonts w:hint="default" w:ascii="Times New Roman" w:hAnsi="Times New Roman" w:eastAsia="仿宋" w:cs="Times New Roman"/>
                <w:b w:val="0"/>
                <w:bCs w:val="0"/>
                <w:color w:val="060607"/>
                <w:kern w:val="0"/>
                <w:sz w:val="24"/>
                <w:szCs w:val="24"/>
                <w14:ligatures w14:val="none"/>
              </w:rPr>
              <w:t>建设工程施工</w:t>
            </w:r>
          </w:p>
        </w:tc>
        <w:tc>
          <w:tcPr>
            <w:tcW w:w="886" w:type="pct"/>
            <w:tcBorders>
              <w:tl2br w:val="nil"/>
              <w:tr2bl w:val="nil"/>
            </w:tcBorders>
            <w:shd w:val="clear" w:color="auto" w:fill="auto"/>
            <w:noWrap/>
            <w:vAlign w:val="center"/>
          </w:tcPr>
          <w:p w14:paraId="107872A8">
            <w:pPr>
              <w:widowControl/>
              <w:spacing w:line="240" w:lineRule="auto"/>
              <w:ind w:left="0" w:leftChars="0" w:firstLine="0" w:firstLineChars="0"/>
              <w:jc w:val="both"/>
              <w:rPr>
                <w:rFonts w:hint="default" w:ascii="Times New Roman" w:hAnsi="Times New Roman" w:eastAsia="仿宋" w:cs="Times New Roman"/>
                <w:color w:val="060607"/>
                <w:kern w:val="0"/>
                <w:sz w:val="24"/>
                <w:szCs w:val="24"/>
                <w:lang w:eastAsia="zh-CN"/>
                <w14:ligatures w14:val="none"/>
              </w:rPr>
            </w:pPr>
            <w:r>
              <w:rPr>
                <w:rFonts w:hint="default" w:ascii="Times New Roman" w:hAnsi="Times New Roman" w:eastAsia="仿宋" w:cs="Times New Roman"/>
                <w:color w:val="060607"/>
                <w:kern w:val="0"/>
                <w:sz w:val="24"/>
                <w:szCs w:val="24"/>
                <w14:ligatures w14:val="none"/>
              </w:rPr>
              <w:t>7083347.71</w:t>
            </w:r>
          </w:p>
        </w:tc>
      </w:tr>
      <w:tr w14:paraId="56B4B62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426" w:type="pct"/>
            <w:tcBorders>
              <w:tl2br w:val="nil"/>
              <w:tr2bl w:val="nil"/>
            </w:tcBorders>
            <w:shd w:val="clear" w:color="auto" w:fill="auto"/>
            <w:noWrap/>
            <w:vAlign w:val="center"/>
          </w:tcPr>
          <w:p w14:paraId="7F7C734B">
            <w:pPr>
              <w:widowControl/>
              <w:spacing w:line="240" w:lineRule="auto"/>
              <w:ind w:left="0" w:leftChars="0" w:firstLine="0" w:firstLineChars="0"/>
              <w:jc w:val="center"/>
              <w:rPr>
                <w:rFonts w:hint="default" w:ascii="Times New Roman" w:hAnsi="Times New Roman" w:eastAsia="仿宋" w:cs="Times New Roman"/>
                <w:color w:val="000000"/>
                <w:kern w:val="0"/>
                <w:sz w:val="24"/>
                <w:szCs w:val="24"/>
                <w14:ligatures w14:val="none"/>
              </w:rPr>
            </w:pPr>
            <w:r>
              <w:rPr>
                <w:rFonts w:hint="default" w:ascii="Times New Roman" w:hAnsi="Times New Roman" w:eastAsia="仿宋" w:cs="Times New Roman"/>
                <w:color w:val="000000"/>
                <w:kern w:val="0"/>
                <w:sz w:val="24"/>
                <w:szCs w:val="24"/>
                <w14:ligatures w14:val="none"/>
              </w:rPr>
              <w:t>5</w:t>
            </w:r>
          </w:p>
        </w:tc>
        <w:tc>
          <w:tcPr>
            <w:tcW w:w="2030" w:type="pct"/>
            <w:tcBorders>
              <w:tl2br w:val="nil"/>
              <w:tr2bl w:val="nil"/>
            </w:tcBorders>
            <w:shd w:val="clear" w:color="auto" w:fill="auto"/>
            <w:vAlign w:val="center"/>
          </w:tcPr>
          <w:p w14:paraId="645FF6A9">
            <w:pPr>
              <w:widowControl/>
              <w:spacing w:line="240" w:lineRule="auto"/>
              <w:ind w:left="0" w:leftChars="0" w:firstLine="0" w:firstLineChars="0"/>
              <w:jc w:val="left"/>
              <w:rPr>
                <w:rFonts w:hint="default" w:ascii="Times New Roman" w:hAnsi="Times New Roman" w:eastAsia="仿宋" w:cs="Times New Roman"/>
                <w:b w:val="0"/>
                <w:bCs w:val="0"/>
                <w:color w:val="060607"/>
                <w:kern w:val="0"/>
                <w:sz w:val="24"/>
                <w:szCs w:val="24"/>
                <w14:ligatures w14:val="none"/>
              </w:rPr>
            </w:pPr>
            <w:r>
              <w:rPr>
                <w:rFonts w:hint="default" w:ascii="Times New Roman" w:hAnsi="Times New Roman" w:eastAsia="仿宋" w:cs="Times New Roman"/>
                <w:b w:val="0"/>
                <w:bCs w:val="0"/>
                <w:color w:val="060607"/>
                <w:kern w:val="0"/>
                <w:sz w:val="24"/>
                <w:szCs w:val="24"/>
                <w14:ligatures w14:val="none"/>
              </w:rPr>
              <w:t>四川同创宏业建筑设计有限公司</w:t>
            </w:r>
          </w:p>
        </w:tc>
        <w:tc>
          <w:tcPr>
            <w:tcW w:w="1656" w:type="pct"/>
            <w:tcBorders>
              <w:tl2br w:val="nil"/>
              <w:tr2bl w:val="nil"/>
            </w:tcBorders>
            <w:shd w:val="clear" w:color="auto" w:fill="auto"/>
            <w:noWrap/>
            <w:vAlign w:val="center"/>
          </w:tcPr>
          <w:p w14:paraId="6698B603">
            <w:pPr>
              <w:widowControl/>
              <w:spacing w:line="240" w:lineRule="auto"/>
              <w:ind w:left="0" w:leftChars="0" w:firstLine="0" w:firstLineChars="0"/>
              <w:jc w:val="center"/>
              <w:rPr>
                <w:rFonts w:hint="default" w:ascii="Times New Roman" w:hAnsi="Times New Roman" w:eastAsia="仿宋" w:cs="Times New Roman"/>
                <w:b w:val="0"/>
                <w:bCs w:val="0"/>
                <w:color w:val="060607"/>
                <w:kern w:val="0"/>
                <w:sz w:val="24"/>
                <w:szCs w:val="24"/>
                <w:lang w:val="en-US" w:eastAsia="zh-CN"/>
                <w14:ligatures w14:val="none"/>
              </w:rPr>
            </w:pPr>
            <w:r>
              <w:rPr>
                <w:rFonts w:hint="default" w:ascii="Times New Roman" w:hAnsi="Times New Roman" w:eastAsia="仿宋" w:cs="Times New Roman"/>
                <w:b w:val="0"/>
                <w:bCs w:val="0"/>
                <w:color w:val="060607"/>
                <w:kern w:val="0"/>
                <w:sz w:val="24"/>
                <w:szCs w:val="24"/>
                <w14:ligatures w14:val="none"/>
              </w:rPr>
              <w:t>设计</w:t>
            </w:r>
            <w:r>
              <w:rPr>
                <w:rFonts w:hint="default" w:ascii="Times New Roman" w:hAnsi="Times New Roman" w:eastAsia="仿宋" w:cs="Times New Roman"/>
                <w:b w:val="0"/>
                <w:bCs w:val="0"/>
                <w:color w:val="060607"/>
                <w:kern w:val="0"/>
                <w:sz w:val="24"/>
                <w:szCs w:val="24"/>
                <w:lang w:val="en-US" w:eastAsia="zh-CN"/>
                <w14:ligatures w14:val="none"/>
              </w:rPr>
              <w:t>费</w:t>
            </w:r>
          </w:p>
        </w:tc>
        <w:tc>
          <w:tcPr>
            <w:tcW w:w="886" w:type="pct"/>
            <w:tcBorders>
              <w:tl2br w:val="nil"/>
              <w:tr2bl w:val="nil"/>
            </w:tcBorders>
            <w:shd w:val="clear" w:color="auto" w:fill="auto"/>
            <w:noWrap/>
            <w:vAlign w:val="center"/>
          </w:tcPr>
          <w:p w14:paraId="50869952">
            <w:pPr>
              <w:widowControl/>
              <w:spacing w:line="240" w:lineRule="auto"/>
              <w:ind w:left="0" w:leftChars="0" w:firstLine="0" w:firstLineChars="0"/>
              <w:jc w:val="both"/>
              <w:rPr>
                <w:rFonts w:hint="default" w:ascii="Times New Roman" w:hAnsi="Times New Roman" w:eastAsia="仿宋" w:cs="Times New Roman"/>
                <w:color w:val="060607"/>
                <w:kern w:val="0"/>
                <w:sz w:val="24"/>
                <w:szCs w:val="24"/>
                <w:lang w:eastAsia="zh-CN"/>
                <w14:ligatures w14:val="none"/>
              </w:rPr>
            </w:pPr>
            <w:r>
              <w:rPr>
                <w:rFonts w:hint="default" w:ascii="Times New Roman" w:hAnsi="Times New Roman" w:eastAsia="仿宋" w:cs="Times New Roman"/>
                <w:color w:val="060607"/>
                <w:kern w:val="0"/>
                <w:sz w:val="24"/>
                <w:szCs w:val="24"/>
                <w14:ligatures w14:val="none"/>
              </w:rPr>
              <w:t>154718.19</w:t>
            </w:r>
          </w:p>
        </w:tc>
      </w:tr>
      <w:tr w14:paraId="420C0DF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426" w:type="pct"/>
            <w:tcBorders>
              <w:tl2br w:val="nil"/>
              <w:tr2bl w:val="nil"/>
            </w:tcBorders>
            <w:shd w:val="clear" w:color="auto" w:fill="auto"/>
            <w:noWrap/>
            <w:vAlign w:val="center"/>
          </w:tcPr>
          <w:p w14:paraId="6DBCEE6D">
            <w:pPr>
              <w:widowControl/>
              <w:spacing w:line="240" w:lineRule="auto"/>
              <w:ind w:left="0" w:leftChars="0" w:firstLine="0" w:firstLineChars="0"/>
              <w:jc w:val="center"/>
              <w:rPr>
                <w:rFonts w:hint="default" w:ascii="Times New Roman" w:hAnsi="Times New Roman" w:eastAsia="仿宋" w:cs="Times New Roman"/>
                <w:color w:val="000000"/>
                <w:kern w:val="0"/>
                <w:sz w:val="24"/>
                <w:szCs w:val="24"/>
                <w14:ligatures w14:val="none"/>
              </w:rPr>
            </w:pPr>
            <w:r>
              <w:rPr>
                <w:rFonts w:hint="default" w:ascii="Times New Roman" w:hAnsi="Times New Roman" w:eastAsia="仿宋" w:cs="Times New Roman"/>
                <w:color w:val="000000"/>
                <w:kern w:val="0"/>
                <w:sz w:val="24"/>
                <w:szCs w:val="24"/>
                <w14:ligatures w14:val="none"/>
              </w:rPr>
              <w:t>6</w:t>
            </w:r>
          </w:p>
        </w:tc>
        <w:tc>
          <w:tcPr>
            <w:tcW w:w="2030" w:type="pct"/>
            <w:tcBorders>
              <w:tl2br w:val="nil"/>
              <w:tr2bl w:val="nil"/>
            </w:tcBorders>
            <w:shd w:val="clear" w:color="auto" w:fill="auto"/>
            <w:vAlign w:val="center"/>
          </w:tcPr>
          <w:p w14:paraId="0413B9E5">
            <w:pPr>
              <w:widowControl/>
              <w:spacing w:line="240" w:lineRule="auto"/>
              <w:ind w:left="0" w:leftChars="0" w:firstLine="0" w:firstLineChars="0"/>
              <w:jc w:val="left"/>
              <w:rPr>
                <w:rFonts w:hint="default" w:ascii="Times New Roman" w:hAnsi="Times New Roman" w:eastAsia="仿宋" w:cs="Times New Roman"/>
                <w:b w:val="0"/>
                <w:bCs w:val="0"/>
                <w:color w:val="060607"/>
                <w:kern w:val="0"/>
                <w:sz w:val="24"/>
                <w:szCs w:val="24"/>
                <w14:ligatures w14:val="none"/>
              </w:rPr>
            </w:pPr>
            <w:r>
              <w:rPr>
                <w:rFonts w:hint="default" w:ascii="Times New Roman" w:hAnsi="Times New Roman" w:eastAsia="仿宋" w:cs="Times New Roman"/>
                <w:b w:val="0"/>
                <w:bCs w:val="0"/>
                <w:color w:val="060607"/>
                <w:kern w:val="0"/>
                <w:sz w:val="24"/>
                <w:szCs w:val="24"/>
                <w14:ligatures w14:val="none"/>
              </w:rPr>
              <w:t>德阳鑫华建工集团有限公司</w:t>
            </w:r>
          </w:p>
        </w:tc>
        <w:tc>
          <w:tcPr>
            <w:tcW w:w="1656" w:type="pct"/>
            <w:tcBorders>
              <w:tl2br w:val="nil"/>
              <w:tr2bl w:val="nil"/>
            </w:tcBorders>
            <w:shd w:val="clear" w:color="auto" w:fill="auto"/>
            <w:noWrap/>
            <w:vAlign w:val="center"/>
          </w:tcPr>
          <w:p w14:paraId="3DB78A1D">
            <w:pPr>
              <w:widowControl/>
              <w:spacing w:line="240" w:lineRule="auto"/>
              <w:ind w:left="0" w:leftChars="0" w:firstLine="0" w:firstLineChars="0"/>
              <w:jc w:val="center"/>
              <w:rPr>
                <w:rFonts w:hint="default" w:ascii="Times New Roman" w:hAnsi="Times New Roman" w:eastAsia="仿宋" w:cs="Times New Roman"/>
                <w:b w:val="0"/>
                <w:bCs w:val="0"/>
                <w:color w:val="060607"/>
                <w:kern w:val="0"/>
                <w:sz w:val="24"/>
                <w:szCs w:val="24"/>
                <w14:ligatures w14:val="none"/>
              </w:rPr>
            </w:pPr>
            <w:r>
              <w:rPr>
                <w:rFonts w:hint="default" w:ascii="Times New Roman" w:hAnsi="Times New Roman" w:eastAsia="仿宋" w:cs="Times New Roman"/>
                <w:b w:val="0"/>
                <w:bCs w:val="0"/>
                <w:color w:val="060607"/>
                <w:kern w:val="0"/>
                <w:sz w:val="24"/>
                <w:szCs w:val="24"/>
                <w14:ligatures w14:val="none"/>
              </w:rPr>
              <w:t>建设工程监理</w:t>
            </w:r>
          </w:p>
        </w:tc>
        <w:tc>
          <w:tcPr>
            <w:tcW w:w="886" w:type="pct"/>
            <w:tcBorders>
              <w:tl2br w:val="nil"/>
              <w:tr2bl w:val="nil"/>
            </w:tcBorders>
            <w:shd w:val="clear" w:color="auto" w:fill="auto"/>
            <w:noWrap/>
            <w:vAlign w:val="center"/>
          </w:tcPr>
          <w:p w14:paraId="03CF480F">
            <w:pPr>
              <w:widowControl/>
              <w:spacing w:line="240" w:lineRule="auto"/>
              <w:ind w:left="0" w:leftChars="0" w:firstLine="0" w:firstLineChars="0"/>
              <w:jc w:val="both"/>
              <w:rPr>
                <w:rFonts w:hint="default" w:ascii="Times New Roman" w:hAnsi="Times New Roman" w:eastAsia="仿宋" w:cs="Times New Roman"/>
                <w:color w:val="060607"/>
                <w:kern w:val="0"/>
                <w:sz w:val="24"/>
                <w:szCs w:val="24"/>
                <w:lang w:eastAsia="zh-CN"/>
                <w14:ligatures w14:val="none"/>
              </w:rPr>
            </w:pPr>
            <w:r>
              <w:rPr>
                <w:rFonts w:hint="default" w:ascii="Times New Roman" w:hAnsi="Times New Roman" w:eastAsia="仿宋" w:cs="Times New Roman"/>
                <w:color w:val="060607"/>
                <w:kern w:val="0"/>
                <w:sz w:val="24"/>
                <w:szCs w:val="24"/>
                <w14:ligatures w14:val="none"/>
              </w:rPr>
              <w:t>45333.42</w:t>
            </w:r>
          </w:p>
        </w:tc>
      </w:tr>
      <w:tr w14:paraId="7C7A1A5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426" w:type="pct"/>
            <w:tcBorders>
              <w:tl2br w:val="nil"/>
              <w:tr2bl w:val="nil"/>
            </w:tcBorders>
            <w:shd w:val="clear" w:color="auto" w:fill="auto"/>
            <w:noWrap/>
            <w:vAlign w:val="center"/>
          </w:tcPr>
          <w:p w14:paraId="63807E24">
            <w:pPr>
              <w:widowControl/>
              <w:spacing w:line="240" w:lineRule="auto"/>
              <w:ind w:left="0" w:leftChars="0" w:firstLine="0" w:firstLineChars="0"/>
              <w:jc w:val="center"/>
              <w:rPr>
                <w:rFonts w:hint="default" w:ascii="Times New Roman" w:hAnsi="Times New Roman" w:eastAsia="仿宋" w:cs="Times New Roman"/>
                <w:color w:val="000000"/>
                <w:kern w:val="0"/>
                <w:sz w:val="24"/>
                <w:szCs w:val="24"/>
                <w14:ligatures w14:val="none"/>
              </w:rPr>
            </w:pPr>
            <w:r>
              <w:rPr>
                <w:rFonts w:hint="default" w:ascii="Times New Roman" w:hAnsi="Times New Roman" w:eastAsia="仿宋" w:cs="Times New Roman"/>
                <w:color w:val="000000"/>
                <w:kern w:val="0"/>
                <w:sz w:val="24"/>
                <w:szCs w:val="24"/>
                <w14:ligatures w14:val="none"/>
              </w:rPr>
              <w:t>7</w:t>
            </w:r>
          </w:p>
        </w:tc>
        <w:tc>
          <w:tcPr>
            <w:tcW w:w="2030" w:type="pct"/>
            <w:tcBorders>
              <w:tl2br w:val="nil"/>
              <w:tr2bl w:val="nil"/>
            </w:tcBorders>
            <w:shd w:val="clear" w:color="auto" w:fill="auto"/>
            <w:vAlign w:val="center"/>
          </w:tcPr>
          <w:p w14:paraId="53741ADF">
            <w:pPr>
              <w:widowControl/>
              <w:spacing w:line="240" w:lineRule="auto"/>
              <w:ind w:left="0" w:leftChars="0" w:firstLine="0" w:firstLineChars="0"/>
              <w:jc w:val="left"/>
              <w:rPr>
                <w:rFonts w:hint="default" w:ascii="Times New Roman" w:hAnsi="Times New Roman" w:eastAsia="仿宋" w:cs="Times New Roman"/>
                <w:b w:val="0"/>
                <w:bCs w:val="0"/>
                <w:color w:val="060607"/>
                <w:kern w:val="0"/>
                <w:sz w:val="24"/>
                <w:szCs w:val="24"/>
                <w14:ligatures w14:val="none"/>
              </w:rPr>
            </w:pPr>
            <w:r>
              <w:rPr>
                <w:rFonts w:hint="default" w:ascii="Times New Roman" w:hAnsi="Times New Roman" w:eastAsia="仿宋" w:cs="Times New Roman"/>
                <w:b w:val="0"/>
                <w:bCs w:val="0"/>
                <w:color w:val="060607"/>
                <w:kern w:val="0"/>
                <w:sz w:val="24"/>
                <w:szCs w:val="24"/>
                <w14:ligatures w14:val="none"/>
              </w:rPr>
              <w:t>成都宇宙元新材料有限公司</w:t>
            </w:r>
          </w:p>
        </w:tc>
        <w:tc>
          <w:tcPr>
            <w:tcW w:w="1656" w:type="pct"/>
            <w:tcBorders>
              <w:tl2br w:val="nil"/>
              <w:tr2bl w:val="nil"/>
            </w:tcBorders>
            <w:shd w:val="clear" w:color="auto" w:fill="auto"/>
            <w:noWrap/>
            <w:vAlign w:val="center"/>
          </w:tcPr>
          <w:p w14:paraId="59F8A958">
            <w:pPr>
              <w:widowControl/>
              <w:spacing w:line="240" w:lineRule="auto"/>
              <w:ind w:left="0" w:leftChars="0" w:firstLine="0" w:firstLineChars="0"/>
              <w:jc w:val="center"/>
              <w:rPr>
                <w:rFonts w:hint="default" w:ascii="Times New Roman" w:hAnsi="Times New Roman" w:eastAsia="仿宋" w:cs="Times New Roman"/>
                <w:b w:val="0"/>
                <w:bCs w:val="0"/>
                <w:color w:val="060607"/>
                <w:kern w:val="0"/>
                <w:sz w:val="24"/>
                <w:szCs w:val="24"/>
                <w14:ligatures w14:val="none"/>
              </w:rPr>
            </w:pPr>
            <w:r>
              <w:rPr>
                <w:rFonts w:hint="default" w:ascii="Times New Roman" w:hAnsi="Times New Roman" w:eastAsia="仿宋" w:cs="Times New Roman"/>
                <w:b w:val="0"/>
                <w:bCs w:val="0"/>
                <w:color w:val="060607"/>
                <w:kern w:val="0"/>
                <w:sz w:val="24"/>
                <w:szCs w:val="24"/>
                <w14:ligatures w14:val="none"/>
              </w:rPr>
              <w:t>维修(清洗篮球场)</w:t>
            </w:r>
          </w:p>
        </w:tc>
        <w:tc>
          <w:tcPr>
            <w:tcW w:w="886" w:type="pct"/>
            <w:tcBorders>
              <w:tl2br w:val="nil"/>
              <w:tr2bl w:val="nil"/>
            </w:tcBorders>
            <w:shd w:val="clear" w:color="auto" w:fill="auto"/>
            <w:noWrap/>
            <w:vAlign w:val="center"/>
          </w:tcPr>
          <w:p w14:paraId="2837B727">
            <w:pPr>
              <w:widowControl/>
              <w:spacing w:line="240" w:lineRule="auto"/>
              <w:ind w:left="0" w:leftChars="0" w:firstLine="0" w:firstLineChars="0"/>
              <w:jc w:val="both"/>
              <w:rPr>
                <w:rFonts w:hint="default" w:ascii="Times New Roman" w:hAnsi="Times New Roman" w:eastAsia="仿宋" w:cs="Times New Roman"/>
                <w:color w:val="060607"/>
                <w:kern w:val="0"/>
                <w:sz w:val="24"/>
                <w:szCs w:val="24"/>
                <w:lang w:eastAsia="zh-CN"/>
                <w14:ligatures w14:val="none"/>
              </w:rPr>
            </w:pPr>
            <w:r>
              <w:rPr>
                <w:rFonts w:hint="default" w:ascii="Times New Roman" w:hAnsi="Times New Roman" w:eastAsia="仿宋" w:cs="Times New Roman"/>
                <w:color w:val="060607"/>
                <w:kern w:val="0"/>
                <w:sz w:val="24"/>
                <w:szCs w:val="24"/>
                <w14:ligatures w14:val="none"/>
              </w:rPr>
              <w:t>9900.00</w:t>
            </w:r>
          </w:p>
        </w:tc>
      </w:tr>
      <w:tr w14:paraId="3546AA3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426" w:type="pct"/>
            <w:tcBorders>
              <w:tl2br w:val="nil"/>
              <w:tr2bl w:val="nil"/>
            </w:tcBorders>
            <w:shd w:val="clear" w:color="auto" w:fill="auto"/>
            <w:noWrap/>
            <w:vAlign w:val="center"/>
          </w:tcPr>
          <w:p w14:paraId="7351B799">
            <w:pPr>
              <w:widowControl/>
              <w:spacing w:line="240" w:lineRule="auto"/>
              <w:ind w:left="0" w:leftChars="0" w:firstLine="0" w:firstLineChars="0"/>
              <w:jc w:val="center"/>
              <w:rPr>
                <w:rFonts w:hint="default" w:ascii="Times New Roman" w:hAnsi="Times New Roman" w:eastAsia="仿宋" w:cs="Times New Roman"/>
                <w:color w:val="000000"/>
                <w:kern w:val="0"/>
                <w:sz w:val="24"/>
                <w:szCs w:val="24"/>
                <w14:ligatures w14:val="none"/>
              </w:rPr>
            </w:pPr>
            <w:r>
              <w:rPr>
                <w:rFonts w:hint="default" w:ascii="Times New Roman" w:hAnsi="Times New Roman" w:eastAsia="仿宋" w:cs="Times New Roman"/>
                <w:color w:val="000000"/>
                <w:kern w:val="0"/>
                <w:sz w:val="24"/>
                <w:szCs w:val="24"/>
                <w14:ligatures w14:val="none"/>
              </w:rPr>
              <w:t>8</w:t>
            </w:r>
          </w:p>
        </w:tc>
        <w:tc>
          <w:tcPr>
            <w:tcW w:w="2030" w:type="pct"/>
            <w:tcBorders>
              <w:tl2br w:val="nil"/>
              <w:tr2bl w:val="nil"/>
            </w:tcBorders>
            <w:shd w:val="clear" w:color="auto" w:fill="auto"/>
            <w:vAlign w:val="center"/>
          </w:tcPr>
          <w:p w14:paraId="20FD5EBF">
            <w:pPr>
              <w:widowControl/>
              <w:spacing w:line="240" w:lineRule="auto"/>
              <w:ind w:left="0" w:leftChars="0" w:firstLine="0" w:firstLineChars="0"/>
              <w:jc w:val="left"/>
              <w:rPr>
                <w:rFonts w:hint="default" w:ascii="Times New Roman" w:hAnsi="Times New Roman" w:eastAsia="仿宋" w:cs="Times New Roman"/>
                <w:b w:val="0"/>
                <w:bCs w:val="0"/>
                <w:color w:val="060607"/>
                <w:kern w:val="0"/>
                <w:sz w:val="24"/>
                <w:szCs w:val="24"/>
                <w:lang w:val="en-US" w:eastAsia="zh-CN"/>
                <w14:ligatures w14:val="none"/>
              </w:rPr>
            </w:pPr>
            <w:r>
              <w:rPr>
                <w:rFonts w:hint="default" w:ascii="Times New Roman" w:hAnsi="Times New Roman" w:eastAsia="仿宋" w:cs="Times New Roman"/>
                <w:b w:val="0"/>
                <w:bCs w:val="0"/>
                <w:color w:val="060607"/>
                <w:kern w:val="0"/>
                <w:sz w:val="24"/>
                <w:szCs w:val="24"/>
                <w14:ligatures w14:val="none"/>
              </w:rPr>
              <w:t>邓富平（个人）</w:t>
            </w:r>
            <w:r>
              <w:rPr>
                <w:rFonts w:hint="default" w:ascii="Times New Roman" w:hAnsi="Times New Roman" w:eastAsia="仿宋" w:cs="Times New Roman"/>
                <w:b w:val="0"/>
                <w:bCs w:val="0"/>
                <w:color w:val="060607"/>
                <w:kern w:val="0"/>
                <w:sz w:val="24"/>
                <w:szCs w:val="24"/>
                <w:lang w:val="en-US" w:eastAsia="zh-CN"/>
                <w14:ligatures w14:val="none"/>
              </w:rPr>
              <w:t>零星维修施工费</w:t>
            </w:r>
          </w:p>
        </w:tc>
        <w:tc>
          <w:tcPr>
            <w:tcW w:w="1656" w:type="pct"/>
            <w:tcBorders>
              <w:tl2br w:val="nil"/>
              <w:tr2bl w:val="nil"/>
            </w:tcBorders>
            <w:shd w:val="clear" w:color="auto" w:fill="auto"/>
            <w:noWrap/>
            <w:vAlign w:val="center"/>
          </w:tcPr>
          <w:p w14:paraId="5CB626AE">
            <w:pPr>
              <w:widowControl/>
              <w:spacing w:line="240" w:lineRule="auto"/>
              <w:ind w:left="0" w:leftChars="0" w:firstLine="0" w:firstLineChars="0"/>
              <w:jc w:val="center"/>
              <w:rPr>
                <w:rFonts w:hint="default" w:ascii="Times New Roman" w:hAnsi="Times New Roman" w:eastAsia="仿宋" w:cs="Times New Roman"/>
                <w:b w:val="0"/>
                <w:bCs w:val="0"/>
                <w:color w:val="060607"/>
                <w:kern w:val="0"/>
                <w:sz w:val="24"/>
                <w:szCs w:val="24"/>
                <w14:ligatures w14:val="none"/>
              </w:rPr>
            </w:pPr>
            <w:r>
              <w:rPr>
                <w:rFonts w:hint="default" w:ascii="Times New Roman" w:hAnsi="Times New Roman" w:eastAsia="仿宋" w:cs="Times New Roman"/>
                <w:b w:val="0"/>
                <w:bCs w:val="0"/>
                <w:color w:val="060607"/>
                <w:kern w:val="0"/>
                <w:sz w:val="24"/>
                <w:szCs w:val="24"/>
                <w14:ligatures w14:val="none"/>
              </w:rPr>
              <w:t>维修(铺花岗岩)</w:t>
            </w:r>
          </w:p>
        </w:tc>
        <w:tc>
          <w:tcPr>
            <w:tcW w:w="886" w:type="pct"/>
            <w:tcBorders>
              <w:tl2br w:val="nil"/>
              <w:tr2bl w:val="nil"/>
            </w:tcBorders>
            <w:shd w:val="clear" w:color="auto" w:fill="auto"/>
            <w:noWrap/>
            <w:vAlign w:val="center"/>
          </w:tcPr>
          <w:p w14:paraId="33288A19">
            <w:pPr>
              <w:widowControl/>
              <w:spacing w:line="240" w:lineRule="auto"/>
              <w:ind w:left="0" w:leftChars="0" w:firstLine="0" w:firstLineChars="0"/>
              <w:jc w:val="both"/>
              <w:rPr>
                <w:rFonts w:hint="default" w:ascii="Times New Roman" w:hAnsi="Times New Roman" w:eastAsia="仿宋" w:cs="Times New Roman"/>
                <w:color w:val="060607"/>
                <w:kern w:val="0"/>
                <w:sz w:val="24"/>
                <w:szCs w:val="24"/>
                <w:lang w:eastAsia="zh-CN"/>
                <w14:ligatures w14:val="none"/>
              </w:rPr>
            </w:pPr>
            <w:r>
              <w:rPr>
                <w:rFonts w:hint="default" w:ascii="Times New Roman" w:hAnsi="Times New Roman" w:eastAsia="仿宋" w:cs="Times New Roman"/>
                <w:color w:val="060607"/>
                <w:kern w:val="0"/>
                <w:sz w:val="24"/>
                <w:szCs w:val="24"/>
                <w14:ligatures w14:val="none"/>
              </w:rPr>
              <w:t>40025.99</w:t>
            </w:r>
          </w:p>
        </w:tc>
      </w:tr>
      <w:tr w14:paraId="41B201D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426" w:type="pct"/>
            <w:tcBorders>
              <w:tl2br w:val="nil"/>
              <w:tr2bl w:val="nil"/>
            </w:tcBorders>
            <w:shd w:val="clear" w:color="auto" w:fill="auto"/>
            <w:noWrap/>
            <w:vAlign w:val="center"/>
          </w:tcPr>
          <w:p w14:paraId="72FCBE3E">
            <w:pPr>
              <w:widowControl/>
              <w:spacing w:line="240" w:lineRule="auto"/>
              <w:ind w:left="0" w:leftChars="0" w:firstLine="0" w:firstLineChars="0"/>
              <w:jc w:val="center"/>
              <w:rPr>
                <w:rFonts w:hint="default" w:ascii="Times New Roman" w:hAnsi="Times New Roman" w:eastAsia="仿宋" w:cs="Times New Roman"/>
                <w:color w:val="000000"/>
                <w:kern w:val="0"/>
                <w:sz w:val="24"/>
                <w:szCs w:val="24"/>
                <w14:ligatures w14:val="none"/>
              </w:rPr>
            </w:pPr>
            <w:r>
              <w:rPr>
                <w:rFonts w:hint="default" w:ascii="Times New Roman" w:hAnsi="Times New Roman" w:eastAsia="仿宋" w:cs="Times New Roman"/>
                <w:color w:val="000000"/>
                <w:kern w:val="0"/>
                <w:sz w:val="24"/>
                <w:szCs w:val="24"/>
                <w14:ligatures w14:val="none"/>
              </w:rPr>
              <w:t>9</w:t>
            </w:r>
          </w:p>
        </w:tc>
        <w:tc>
          <w:tcPr>
            <w:tcW w:w="2030" w:type="pct"/>
            <w:tcBorders>
              <w:tl2br w:val="nil"/>
              <w:tr2bl w:val="nil"/>
            </w:tcBorders>
            <w:shd w:val="clear" w:color="auto" w:fill="auto"/>
            <w:vAlign w:val="center"/>
          </w:tcPr>
          <w:p w14:paraId="651B4E8D">
            <w:pPr>
              <w:widowControl/>
              <w:spacing w:line="240" w:lineRule="auto"/>
              <w:ind w:left="0" w:leftChars="0" w:firstLine="0" w:firstLineChars="0"/>
              <w:jc w:val="left"/>
              <w:rPr>
                <w:rFonts w:hint="default" w:ascii="Times New Roman" w:hAnsi="Times New Roman" w:eastAsia="仿宋" w:cs="Times New Roman"/>
                <w:b w:val="0"/>
                <w:bCs w:val="0"/>
                <w:color w:val="060607"/>
                <w:kern w:val="0"/>
                <w:sz w:val="24"/>
                <w:szCs w:val="24"/>
                <w14:ligatures w14:val="none"/>
              </w:rPr>
            </w:pPr>
            <w:r>
              <w:rPr>
                <w:rFonts w:hint="default" w:ascii="Times New Roman" w:hAnsi="Times New Roman" w:eastAsia="仿宋" w:cs="Times New Roman"/>
                <w:b w:val="0"/>
                <w:bCs w:val="0"/>
                <w:color w:val="060607"/>
                <w:kern w:val="0"/>
                <w:sz w:val="24"/>
                <w:szCs w:val="24"/>
                <w14:ligatures w14:val="none"/>
              </w:rPr>
              <w:t>四川鑫科瑞鸿工程科技有限公司</w:t>
            </w:r>
          </w:p>
        </w:tc>
        <w:tc>
          <w:tcPr>
            <w:tcW w:w="1656" w:type="pct"/>
            <w:tcBorders>
              <w:tl2br w:val="nil"/>
              <w:tr2bl w:val="nil"/>
            </w:tcBorders>
            <w:shd w:val="clear" w:color="auto" w:fill="auto"/>
            <w:noWrap/>
            <w:vAlign w:val="center"/>
          </w:tcPr>
          <w:p w14:paraId="52876B3B">
            <w:pPr>
              <w:widowControl/>
              <w:spacing w:line="240" w:lineRule="auto"/>
              <w:ind w:left="0" w:leftChars="0" w:firstLine="0" w:firstLineChars="0"/>
              <w:jc w:val="center"/>
              <w:rPr>
                <w:rFonts w:hint="default" w:ascii="Times New Roman" w:hAnsi="Times New Roman" w:eastAsia="仿宋" w:cs="Times New Roman"/>
                <w:b w:val="0"/>
                <w:bCs w:val="0"/>
                <w:color w:val="060607"/>
                <w:kern w:val="0"/>
                <w:sz w:val="24"/>
                <w:szCs w:val="24"/>
                <w14:ligatures w14:val="none"/>
              </w:rPr>
            </w:pPr>
            <w:r>
              <w:rPr>
                <w:rFonts w:hint="default" w:ascii="Times New Roman" w:hAnsi="Times New Roman" w:eastAsia="仿宋" w:cs="Times New Roman"/>
                <w:b w:val="0"/>
                <w:bCs w:val="0"/>
                <w:color w:val="060607"/>
                <w:kern w:val="0"/>
                <w:sz w:val="24"/>
                <w:szCs w:val="24"/>
                <w14:ligatures w14:val="none"/>
              </w:rPr>
              <w:t>采购旗杆</w:t>
            </w:r>
          </w:p>
        </w:tc>
        <w:tc>
          <w:tcPr>
            <w:tcW w:w="886" w:type="pct"/>
            <w:tcBorders>
              <w:tl2br w:val="nil"/>
              <w:tr2bl w:val="nil"/>
            </w:tcBorders>
            <w:shd w:val="clear" w:color="auto" w:fill="auto"/>
            <w:noWrap/>
            <w:vAlign w:val="center"/>
          </w:tcPr>
          <w:p w14:paraId="63A16524">
            <w:pPr>
              <w:widowControl/>
              <w:spacing w:line="240" w:lineRule="auto"/>
              <w:ind w:left="0" w:leftChars="0" w:firstLine="0" w:firstLineChars="0"/>
              <w:jc w:val="both"/>
              <w:rPr>
                <w:rFonts w:hint="default" w:ascii="Times New Roman" w:hAnsi="Times New Roman" w:eastAsia="仿宋" w:cs="Times New Roman"/>
                <w:color w:val="060607"/>
                <w:kern w:val="0"/>
                <w:sz w:val="24"/>
                <w:szCs w:val="24"/>
                <w:lang w:eastAsia="zh-CN"/>
                <w14:ligatures w14:val="none"/>
              </w:rPr>
            </w:pPr>
            <w:r>
              <w:rPr>
                <w:rFonts w:hint="default" w:ascii="Times New Roman" w:hAnsi="Times New Roman" w:eastAsia="仿宋" w:cs="Times New Roman"/>
                <w:color w:val="060607"/>
                <w:kern w:val="0"/>
                <w:sz w:val="24"/>
                <w:szCs w:val="24"/>
                <w14:ligatures w14:val="none"/>
              </w:rPr>
              <w:t>13682.16</w:t>
            </w:r>
          </w:p>
        </w:tc>
      </w:tr>
      <w:tr w14:paraId="0529CBB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426" w:type="pct"/>
            <w:tcBorders>
              <w:tl2br w:val="nil"/>
              <w:tr2bl w:val="nil"/>
            </w:tcBorders>
            <w:shd w:val="clear" w:color="auto" w:fill="auto"/>
            <w:noWrap/>
            <w:vAlign w:val="center"/>
          </w:tcPr>
          <w:p w14:paraId="64FCDD22">
            <w:pPr>
              <w:widowControl/>
              <w:spacing w:line="240" w:lineRule="auto"/>
              <w:ind w:left="0" w:leftChars="0" w:firstLine="0" w:firstLineChars="0"/>
              <w:jc w:val="center"/>
              <w:rPr>
                <w:rFonts w:hint="default" w:ascii="Times New Roman" w:hAnsi="Times New Roman" w:eastAsia="仿宋" w:cs="Times New Roman"/>
                <w:color w:val="000000"/>
                <w:kern w:val="0"/>
                <w:sz w:val="24"/>
                <w:szCs w:val="24"/>
                <w14:ligatures w14:val="none"/>
              </w:rPr>
            </w:pPr>
            <w:r>
              <w:rPr>
                <w:rFonts w:hint="default" w:ascii="Times New Roman" w:hAnsi="Times New Roman" w:eastAsia="仿宋" w:cs="Times New Roman"/>
                <w:color w:val="000000"/>
                <w:kern w:val="0"/>
                <w:sz w:val="24"/>
                <w:szCs w:val="24"/>
                <w14:ligatures w14:val="none"/>
              </w:rPr>
              <w:t>10</w:t>
            </w:r>
          </w:p>
        </w:tc>
        <w:tc>
          <w:tcPr>
            <w:tcW w:w="2030" w:type="pct"/>
            <w:tcBorders>
              <w:tl2br w:val="nil"/>
              <w:tr2bl w:val="nil"/>
            </w:tcBorders>
            <w:shd w:val="clear" w:color="auto" w:fill="auto"/>
            <w:vAlign w:val="center"/>
          </w:tcPr>
          <w:p w14:paraId="53BC4741">
            <w:pPr>
              <w:widowControl/>
              <w:spacing w:line="240" w:lineRule="auto"/>
              <w:ind w:left="0" w:leftChars="0" w:firstLine="0" w:firstLineChars="0"/>
              <w:jc w:val="left"/>
              <w:rPr>
                <w:rFonts w:hint="default" w:ascii="Times New Roman" w:hAnsi="Times New Roman" w:eastAsia="仿宋" w:cs="Times New Roman"/>
                <w:b w:val="0"/>
                <w:bCs w:val="0"/>
                <w:color w:val="060607"/>
                <w:kern w:val="0"/>
                <w:sz w:val="24"/>
                <w:szCs w:val="24"/>
                <w14:ligatures w14:val="none"/>
              </w:rPr>
            </w:pPr>
            <w:r>
              <w:rPr>
                <w:rFonts w:hint="default" w:ascii="Times New Roman" w:hAnsi="Times New Roman" w:eastAsia="仿宋" w:cs="Times New Roman"/>
                <w:b w:val="0"/>
                <w:bCs w:val="0"/>
                <w:color w:val="060607"/>
                <w:kern w:val="0"/>
                <w:sz w:val="24"/>
                <w:szCs w:val="24"/>
                <w14:ligatures w14:val="none"/>
              </w:rPr>
              <w:t>绵阳兄弟联手文体设备有限公司</w:t>
            </w:r>
          </w:p>
        </w:tc>
        <w:tc>
          <w:tcPr>
            <w:tcW w:w="1656" w:type="pct"/>
            <w:tcBorders>
              <w:tl2br w:val="nil"/>
              <w:tr2bl w:val="nil"/>
            </w:tcBorders>
            <w:shd w:val="clear" w:color="auto" w:fill="auto"/>
            <w:noWrap/>
            <w:vAlign w:val="center"/>
          </w:tcPr>
          <w:p w14:paraId="70D1FE79">
            <w:pPr>
              <w:widowControl/>
              <w:spacing w:line="240" w:lineRule="auto"/>
              <w:ind w:left="0" w:leftChars="0" w:firstLine="0" w:firstLineChars="0"/>
              <w:jc w:val="center"/>
              <w:rPr>
                <w:rFonts w:hint="default" w:ascii="Times New Roman" w:hAnsi="Times New Roman" w:eastAsia="仿宋" w:cs="Times New Roman"/>
                <w:b w:val="0"/>
                <w:bCs w:val="0"/>
                <w:color w:val="060607"/>
                <w:kern w:val="0"/>
                <w:sz w:val="24"/>
                <w:szCs w:val="24"/>
                <w14:ligatures w14:val="none"/>
              </w:rPr>
            </w:pPr>
            <w:r>
              <w:rPr>
                <w:rFonts w:hint="default" w:ascii="Times New Roman" w:hAnsi="Times New Roman" w:eastAsia="仿宋" w:cs="Times New Roman"/>
                <w:b w:val="0"/>
                <w:bCs w:val="0"/>
                <w:color w:val="060607"/>
                <w:kern w:val="0"/>
                <w:sz w:val="24"/>
                <w:szCs w:val="24"/>
                <w14:ligatures w14:val="none"/>
              </w:rPr>
              <w:t>采购</w:t>
            </w:r>
            <w:r>
              <w:rPr>
                <w:rFonts w:hint="eastAsia" w:cs="Times New Roman"/>
                <w:b w:val="0"/>
                <w:bCs w:val="0"/>
                <w:color w:val="060607"/>
                <w:kern w:val="0"/>
                <w:sz w:val="24"/>
                <w:szCs w:val="24"/>
                <w:lang w:eastAsia="zh-CN"/>
                <w14:ligatures w14:val="none"/>
              </w:rPr>
              <w:t>乒乓球</w:t>
            </w:r>
            <w:r>
              <w:rPr>
                <w:rFonts w:hint="default" w:ascii="Times New Roman" w:hAnsi="Times New Roman" w:eastAsia="仿宋" w:cs="Times New Roman"/>
                <w:b w:val="0"/>
                <w:bCs w:val="0"/>
                <w:color w:val="060607"/>
                <w:kern w:val="0"/>
                <w:sz w:val="24"/>
                <w:szCs w:val="24"/>
                <w14:ligatures w14:val="none"/>
              </w:rPr>
              <w:t>台、跳水台</w:t>
            </w:r>
          </w:p>
        </w:tc>
        <w:tc>
          <w:tcPr>
            <w:tcW w:w="886" w:type="pct"/>
            <w:tcBorders>
              <w:tl2br w:val="nil"/>
              <w:tr2bl w:val="nil"/>
            </w:tcBorders>
            <w:shd w:val="clear" w:color="auto" w:fill="auto"/>
            <w:noWrap/>
            <w:vAlign w:val="center"/>
          </w:tcPr>
          <w:p w14:paraId="790663A6">
            <w:pPr>
              <w:widowControl/>
              <w:spacing w:line="240" w:lineRule="auto"/>
              <w:ind w:left="0" w:leftChars="0" w:firstLine="0" w:firstLineChars="0"/>
              <w:jc w:val="both"/>
              <w:rPr>
                <w:rFonts w:hint="default" w:ascii="Times New Roman" w:hAnsi="Times New Roman" w:eastAsia="仿宋" w:cs="Times New Roman"/>
                <w:color w:val="060607"/>
                <w:kern w:val="0"/>
                <w:sz w:val="24"/>
                <w:szCs w:val="24"/>
                <w:lang w:eastAsia="zh-CN"/>
                <w14:ligatures w14:val="none"/>
              </w:rPr>
            </w:pPr>
            <w:r>
              <w:rPr>
                <w:rFonts w:hint="default" w:ascii="Times New Roman" w:hAnsi="Times New Roman" w:eastAsia="仿宋" w:cs="Times New Roman"/>
                <w:color w:val="060607"/>
                <w:kern w:val="0"/>
                <w:sz w:val="24"/>
                <w:szCs w:val="24"/>
                <w14:ligatures w14:val="none"/>
              </w:rPr>
              <w:t>45500.00</w:t>
            </w:r>
          </w:p>
        </w:tc>
      </w:tr>
      <w:tr w14:paraId="0467196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426" w:type="pct"/>
            <w:tcBorders>
              <w:tl2br w:val="nil"/>
              <w:tr2bl w:val="nil"/>
            </w:tcBorders>
            <w:shd w:val="clear" w:color="auto" w:fill="auto"/>
            <w:noWrap/>
            <w:vAlign w:val="center"/>
          </w:tcPr>
          <w:p w14:paraId="2F7A1C5B">
            <w:pPr>
              <w:widowControl/>
              <w:spacing w:line="240" w:lineRule="auto"/>
              <w:ind w:left="0" w:leftChars="0" w:firstLine="0" w:firstLineChars="0"/>
              <w:jc w:val="center"/>
              <w:rPr>
                <w:rFonts w:hint="default" w:ascii="Times New Roman" w:hAnsi="Times New Roman" w:eastAsia="仿宋" w:cs="Times New Roman"/>
                <w:color w:val="000000"/>
                <w:kern w:val="0"/>
                <w:sz w:val="24"/>
                <w:szCs w:val="24"/>
                <w14:ligatures w14:val="none"/>
              </w:rPr>
            </w:pPr>
            <w:r>
              <w:rPr>
                <w:rFonts w:hint="default" w:ascii="Times New Roman" w:hAnsi="Times New Roman" w:eastAsia="仿宋" w:cs="Times New Roman"/>
                <w:color w:val="000000"/>
                <w:kern w:val="0"/>
                <w:sz w:val="24"/>
                <w:szCs w:val="24"/>
                <w14:ligatures w14:val="none"/>
              </w:rPr>
              <w:t>11</w:t>
            </w:r>
          </w:p>
        </w:tc>
        <w:tc>
          <w:tcPr>
            <w:tcW w:w="2030" w:type="pct"/>
            <w:tcBorders>
              <w:tl2br w:val="nil"/>
              <w:tr2bl w:val="nil"/>
            </w:tcBorders>
            <w:shd w:val="clear" w:color="auto" w:fill="auto"/>
            <w:vAlign w:val="center"/>
          </w:tcPr>
          <w:p w14:paraId="7A9E8AD9">
            <w:pPr>
              <w:widowControl/>
              <w:spacing w:line="240" w:lineRule="auto"/>
              <w:ind w:left="0" w:leftChars="0" w:firstLine="0" w:firstLineChars="0"/>
              <w:jc w:val="left"/>
              <w:rPr>
                <w:rFonts w:hint="default" w:ascii="Times New Roman" w:hAnsi="Times New Roman" w:eastAsia="仿宋" w:cs="Times New Roman"/>
                <w:b w:val="0"/>
                <w:bCs w:val="0"/>
                <w:color w:val="060607"/>
                <w:kern w:val="0"/>
                <w:sz w:val="24"/>
                <w:szCs w:val="24"/>
                <w14:ligatures w14:val="none"/>
              </w:rPr>
            </w:pPr>
            <w:r>
              <w:rPr>
                <w:rFonts w:hint="default" w:ascii="Times New Roman" w:hAnsi="Times New Roman" w:eastAsia="仿宋" w:cs="Times New Roman"/>
                <w:b w:val="0"/>
                <w:bCs w:val="0"/>
                <w:color w:val="060607"/>
                <w:kern w:val="0"/>
                <w:sz w:val="24"/>
                <w:szCs w:val="24"/>
                <w14:ligatures w14:val="none"/>
              </w:rPr>
              <w:t>德阳鑫顺劳务有限公司</w:t>
            </w:r>
          </w:p>
        </w:tc>
        <w:tc>
          <w:tcPr>
            <w:tcW w:w="1656" w:type="pct"/>
            <w:tcBorders>
              <w:tl2br w:val="nil"/>
              <w:tr2bl w:val="nil"/>
            </w:tcBorders>
            <w:shd w:val="clear" w:color="auto" w:fill="auto"/>
            <w:noWrap/>
            <w:vAlign w:val="center"/>
          </w:tcPr>
          <w:p w14:paraId="729492CF">
            <w:pPr>
              <w:widowControl/>
              <w:spacing w:line="240" w:lineRule="auto"/>
              <w:ind w:left="0" w:leftChars="0" w:firstLine="0" w:firstLineChars="0"/>
              <w:jc w:val="center"/>
              <w:rPr>
                <w:rFonts w:hint="default" w:ascii="Times New Roman" w:hAnsi="Times New Roman" w:eastAsia="仿宋" w:cs="Times New Roman"/>
                <w:b w:val="0"/>
                <w:bCs w:val="0"/>
                <w:color w:val="060607"/>
                <w:kern w:val="0"/>
                <w:sz w:val="24"/>
                <w:szCs w:val="24"/>
                <w:lang w:val="en-US" w:eastAsia="zh-CN"/>
                <w14:ligatures w14:val="none"/>
              </w:rPr>
            </w:pPr>
            <w:r>
              <w:rPr>
                <w:rFonts w:hint="default" w:ascii="Times New Roman" w:hAnsi="Times New Roman" w:eastAsia="仿宋" w:cs="Times New Roman"/>
                <w:b w:val="0"/>
                <w:bCs w:val="0"/>
                <w:color w:val="060607"/>
                <w:kern w:val="0"/>
                <w:sz w:val="24"/>
                <w:szCs w:val="24"/>
                <w:lang w:val="en-US" w:eastAsia="zh-CN"/>
                <w14:ligatures w14:val="none"/>
              </w:rPr>
              <w:t>绿植采购、补种、人工费</w:t>
            </w:r>
          </w:p>
        </w:tc>
        <w:tc>
          <w:tcPr>
            <w:tcW w:w="886" w:type="pct"/>
            <w:tcBorders>
              <w:tl2br w:val="nil"/>
              <w:tr2bl w:val="nil"/>
            </w:tcBorders>
            <w:shd w:val="clear" w:color="auto" w:fill="auto"/>
            <w:noWrap/>
            <w:vAlign w:val="center"/>
          </w:tcPr>
          <w:p w14:paraId="2F41A516">
            <w:pPr>
              <w:widowControl/>
              <w:spacing w:line="240" w:lineRule="auto"/>
              <w:ind w:left="0" w:leftChars="0" w:firstLine="0" w:firstLineChars="0"/>
              <w:jc w:val="both"/>
              <w:rPr>
                <w:rFonts w:hint="default" w:ascii="Times New Roman" w:hAnsi="Times New Roman" w:eastAsia="仿宋" w:cs="Times New Roman"/>
                <w:color w:val="060607"/>
                <w:kern w:val="0"/>
                <w:sz w:val="24"/>
                <w:szCs w:val="24"/>
                <w:lang w:eastAsia="zh-CN"/>
                <w14:ligatures w14:val="none"/>
              </w:rPr>
            </w:pPr>
            <w:r>
              <w:rPr>
                <w:rFonts w:hint="default" w:ascii="Times New Roman" w:hAnsi="Times New Roman" w:eastAsia="仿宋" w:cs="Times New Roman"/>
                <w:color w:val="060607"/>
                <w:kern w:val="0"/>
                <w:sz w:val="24"/>
                <w:szCs w:val="24"/>
                <w14:ligatures w14:val="none"/>
              </w:rPr>
              <w:t>140224.24</w:t>
            </w:r>
          </w:p>
        </w:tc>
      </w:tr>
      <w:tr w14:paraId="512A572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8" w:hRule="atLeast"/>
        </w:trPr>
        <w:tc>
          <w:tcPr>
            <w:tcW w:w="426" w:type="pct"/>
            <w:tcBorders>
              <w:tl2br w:val="nil"/>
              <w:tr2bl w:val="nil"/>
            </w:tcBorders>
            <w:shd w:val="clear" w:color="auto" w:fill="auto"/>
            <w:noWrap/>
            <w:vAlign w:val="center"/>
          </w:tcPr>
          <w:p w14:paraId="024576A8">
            <w:pPr>
              <w:widowControl/>
              <w:spacing w:line="240" w:lineRule="auto"/>
              <w:jc w:val="center"/>
              <w:rPr>
                <w:rFonts w:hint="default" w:ascii="Times New Roman" w:hAnsi="Times New Roman" w:eastAsia="仿宋" w:cs="Times New Roman"/>
                <w:color w:val="000000"/>
                <w:kern w:val="0"/>
                <w:sz w:val="24"/>
                <w:szCs w:val="24"/>
                <w14:ligatures w14:val="none"/>
              </w:rPr>
            </w:pPr>
          </w:p>
        </w:tc>
        <w:tc>
          <w:tcPr>
            <w:tcW w:w="2030" w:type="pct"/>
            <w:tcBorders>
              <w:tl2br w:val="nil"/>
              <w:tr2bl w:val="nil"/>
            </w:tcBorders>
            <w:shd w:val="clear" w:color="auto" w:fill="auto"/>
            <w:vAlign w:val="center"/>
          </w:tcPr>
          <w:p w14:paraId="3DE5CB65">
            <w:pPr>
              <w:widowControl/>
              <w:spacing w:line="240" w:lineRule="auto"/>
              <w:jc w:val="center"/>
              <w:rPr>
                <w:rFonts w:hint="default" w:ascii="Times New Roman" w:hAnsi="Times New Roman" w:eastAsia="仿宋" w:cs="Times New Roman"/>
                <w:b/>
                <w:bCs/>
                <w:color w:val="060607"/>
                <w:kern w:val="0"/>
                <w:sz w:val="24"/>
                <w:szCs w:val="24"/>
                <w14:ligatures w14:val="none"/>
              </w:rPr>
            </w:pPr>
            <w:r>
              <w:rPr>
                <w:rFonts w:hint="default" w:ascii="Times New Roman" w:hAnsi="Times New Roman" w:eastAsia="仿宋" w:cs="Times New Roman"/>
                <w:b/>
                <w:bCs/>
                <w:color w:val="060607"/>
                <w:kern w:val="0"/>
                <w:sz w:val="24"/>
                <w:szCs w:val="24"/>
                <w14:ligatures w14:val="none"/>
              </w:rPr>
              <w:t>合计</w:t>
            </w:r>
          </w:p>
        </w:tc>
        <w:tc>
          <w:tcPr>
            <w:tcW w:w="1656" w:type="pct"/>
            <w:tcBorders>
              <w:tl2br w:val="nil"/>
              <w:tr2bl w:val="nil"/>
            </w:tcBorders>
            <w:shd w:val="clear" w:color="auto" w:fill="auto"/>
            <w:noWrap/>
            <w:vAlign w:val="center"/>
          </w:tcPr>
          <w:p w14:paraId="45376220">
            <w:pPr>
              <w:widowControl/>
              <w:spacing w:line="240" w:lineRule="auto"/>
              <w:jc w:val="center"/>
              <w:rPr>
                <w:rFonts w:hint="default" w:ascii="Times New Roman" w:hAnsi="Times New Roman" w:eastAsia="仿宋" w:cs="Times New Roman"/>
                <w:b/>
                <w:bCs/>
                <w:color w:val="060607"/>
                <w:kern w:val="0"/>
                <w:sz w:val="24"/>
                <w:szCs w:val="24"/>
                <w14:ligatures w14:val="none"/>
              </w:rPr>
            </w:pPr>
          </w:p>
        </w:tc>
        <w:tc>
          <w:tcPr>
            <w:tcW w:w="886" w:type="pct"/>
            <w:tcBorders>
              <w:tl2br w:val="nil"/>
              <w:tr2bl w:val="nil"/>
            </w:tcBorders>
            <w:shd w:val="clear" w:color="auto" w:fill="auto"/>
            <w:noWrap/>
            <w:vAlign w:val="center"/>
          </w:tcPr>
          <w:p w14:paraId="33B8BCA8">
            <w:pPr>
              <w:widowControl/>
              <w:spacing w:line="240" w:lineRule="auto"/>
              <w:ind w:left="0" w:leftChars="0" w:firstLine="0" w:firstLineChars="0"/>
              <w:jc w:val="both"/>
              <w:rPr>
                <w:rFonts w:hint="default" w:ascii="Times New Roman" w:hAnsi="Times New Roman" w:eastAsia="仿宋" w:cs="Times New Roman"/>
                <w:color w:val="000000"/>
                <w:kern w:val="0"/>
                <w:sz w:val="24"/>
                <w:szCs w:val="24"/>
                <w:lang w:eastAsia="zh-CN"/>
                <w14:ligatures w14:val="none"/>
              </w:rPr>
            </w:pPr>
            <w:r>
              <w:rPr>
                <w:rFonts w:hint="default" w:ascii="Times New Roman" w:hAnsi="Times New Roman" w:eastAsia="仿宋" w:cs="Times New Roman"/>
                <w:color w:val="000000"/>
                <w:kern w:val="0"/>
                <w:sz w:val="24"/>
                <w:szCs w:val="24"/>
                <w14:ligatures w14:val="none"/>
              </w:rPr>
              <w:t>8000000.00</w:t>
            </w:r>
          </w:p>
        </w:tc>
      </w:tr>
    </w:tbl>
    <w:p w14:paraId="13FF9A2D">
      <w:pPr>
        <w:pStyle w:val="5"/>
        <w:ind w:firstLine="643"/>
        <w:rPr>
          <w:rFonts w:hint="default" w:ascii="Times New Roman" w:hAnsi="Times New Roman" w:eastAsia="仿宋" w:cs="Times New Roman"/>
          <w:lang w:val="zh-CN"/>
        </w:rPr>
      </w:pPr>
      <w:bookmarkStart w:id="18" w:name="_Toc19336"/>
      <w:r>
        <w:rPr>
          <w:rFonts w:hint="default" w:ascii="Times New Roman" w:hAnsi="Times New Roman" w:eastAsia="仿宋" w:cs="Times New Roman"/>
          <w:lang w:val="zh-CN"/>
        </w:rPr>
        <w:t>（四）项目整体绩效目标</w:t>
      </w:r>
      <w:bookmarkEnd w:id="18"/>
    </w:p>
    <w:p w14:paraId="4FCA6D90">
      <w:pPr>
        <w:pStyle w:val="2"/>
        <w:ind w:firstLine="640"/>
        <w:rPr>
          <w:rFonts w:hint="default" w:ascii="Times New Roman" w:hAnsi="Times New Roman" w:eastAsia="仿宋" w:cs="Times New Roman"/>
          <w:highlight w:val="yellow"/>
        </w:rPr>
      </w:pPr>
      <w:r>
        <w:rPr>
          <w:rFonts w:hint="default" w:ascii="Times New Roman" w:hAnsi="Times New Roman" w:eastAsia="仿宋" w:cs="Times New Roman"/>
          <w:szCs w:val="32"/>
        </w:rPr>
        <w:t>为</w:t>
      </w:r>
      <w:r>
        <w:rPr>
          <w:rFonts w:hint="default" w:ascii="Times New Roman" w:hAnsi="Times New Roman" w:eastAsia="仿宋" w:cs="Times New Roman"/>
          <w:szCs w:val="32"/>
          <w:lang w:eastAsia="zh-CN"/>
        </w:rPr>
        <w:t>提</w:t>
      </w:r>
      <w:r>
        <w:rPr>
          <w:rFonts w:hint="default" w:ascii="Times New Roman" w:hAnsi="Times New Roman" w:eastAsia="仿宋" w:cs="Times New Roman"/>
          <w:szCs w:val="32"/>
          <w:lang w:val="en-US" w:eastAsia="zh-CN"/>
        </w:rPr>
        <w:t>升</w:t>
      </w:r>
      <w:r>
        <w:rPr>
          <w:rFonts w:hint="default" w:ascii="Times New Roman" w:hAnsi="Times New Roman" w:eastAsia="仿宋" w:cs="Times New Roman"/>
          <w:szCs w:val="32"/>
        </w:rPr>
        <w:t>运动环境质量、促进全民健身、推动学校发展，根据使用需求，设计并建设多功能运动区域，如足球场、篮球场、跑道等。体育运动场地的建设，是充分落实国家“科教兴国、教育强国”的战略，有助于培养学生勇敢顽强的性格、超越自我的品质、迎接挑战的意志和承担风险的能力。培养学生的竞争意识、协作精神和公平观念，丰富学生的文体生活，弘扬集体主义、爱国主义精神，增强国家和民族的向心力、凝聚力。</w:t>
      </w:r>
    </w:p>
    <w:p w14:paraId="23DA1684">
      <w:pPr>
        <w:pStyle w:val="3"/>
        <w:keepNext w:val="0"/>
        <w:keepLines w:val="0"/>
        <w:ind w:firstLine="640"/>
        <w:rPr>
          <w:rFonts w:hint="default" w:ascii="Times New Roman" w:hAnsi="Times New Roman" w:eastAsia="黑体" w:cs="Times New Roman"/>
          <w:b/>
          <w:bCs/>
        </w:rPr>
      </w:pPr>
      <w:bookmarkStart w:id="19" w:name="_Toc7743"/>
      <w:r>
        <w:rPr>
          <w:rFonts w:hint="default" w:ascii="Times New Roman" w:hAnsi="Times New Roman" w:eastAsia="黑体" w:cs="Times New Roman"/>
          <w:b/>
          <w:bCs/>
        </w:rPr>
        <w:t>二、项目评价依据</w:t>
      </w:r>
      <w:bookmarkEnd w:id="10"/>
      <w:bookmarkEnd w:id="11"/>
      <w:bookmarkEnd w:id="19"/>
    </w:p>
    <w:p w14:paraId="009E7A55">
      <w:pPr>
        <w:pStyle w:val="5"/>
        <w:keepNext w:val="0"/>
        <w:keepLines w:val="0"/>
        <w:ind w:firstLine="643"/>
        <w:rPr>
          <w:rFonts w:hint="default" w:ascii="Times New Roman" w:hAnsi="Times New Roman" w:eastAsia="仿宋" w:cs="Times New Roman"/>
        </w:rPr>
      </w:pPr>
      <w:bookmarkStart w:id="20" w:name="_Toc86224139"/>
      <w:bookmarkStart w:id="21" w:name="_Toc21237"/>
      <w:r>
        <w:rPr>
          <w:rFonts w:hint="default" w:ascii="Times New Roman" w:hAnsi="Times New Roman" w:eastAsia="仿宋" w:cs="Times New Roman"/>
        </w:rPr>
        <w:t>（一）规范性文件</w:t>
      </w:r>
      <w:bookmarkEnd w:id="20"/>
      <w:bookmarkEnd w:id="21"/>
    </w:p>
    <w:p w14:paraId="5AC7C114">
      <w:pPr>
        <w:ind w:firstLine="640"/>
        <w:rPr>
          <w:rFonts w:hint="default" w:ascii="Times New Roman" w:hAnsi="Times New Roman" w:eastAsia="仿宋" w:cs="Times New Roman"/>
          <w:szCs w:val="32"/>
        </w:rPr>
      </w:pPr>
      <w:r>
        <w:rPr>
          <w:rFonts w:hint="default" w:ascii="Times New Roman" w:hAnsi="Times New Roman" w:eastAsia="仿宋" w:cs="Times New Roman"/>
          <w:szCs w:val="32"/>
        </w:rPr>
        <w:t>1.《中华人民共和国预算法》。</w:t>
      </w:r>
      <w:bookmarkStart w:id="82" w:name="_GoBack"/>
      <w:bookmarkEnd w:id="82"/>
    </w:p>
    <w:p w14:paraId="3C4710EE">
      <w:pPr>
        <w:ind w:firstLine="640"/>
        <w:rPr>
          <w:rFonts w:hint="default" w:ascii="Times New Roman" w:hAnsi="Times New Roman" w:eastAsia="仿宋" w:cs="Times New Roman"/>
          <w:szCs w:val="32"/>
        </w:rPr>
      </w:pPr>
      <w:r>
        <w:rPr>
          <w:rFonts w:hint="default" w:ascii="Times New Roman" w:hAnsi="Times New Roman" w:eastAsia="仿宋" w:cs="Times New Roman"/>
          <w:szCs w:val="32"/>
        </w:rPr>
        <w:t>2.《中华人民共和国预算法实施条例》。</w:t>
      </w:r>
    </w:p>
    <w:p w14:paraId="0D6158A6">
      <w:pPr>
        <w:ind w:firstLine="640"/>
        <w:rPr>
          <w:rFonts w:hint="default" w:ascii="Times New Roman" w:hAnsi="Times New Roman" w:eastAsia="仿宋" w:cs="Times New Roman"/>
          <w:szCs w:val="32"/>
        </w:rPr>
      </w:pPr>
      <w:r>
        <w:rPr>
          <w:rFonts w:hint="default" w:ascii="Times New Roman" w:hAnsi="Times New Roman" w:eastAsia="仿宋" w:cs="Times New Roman"/>
          <w:szCs w:val="32"/>
        </w:rPr>
        <w:t>3.《中华人民共和国会计法》。</w:t>
      </w:r>
    </w:p>
    <w:p w14:paraId="6A929824">
      <w:pPr>
        <w:ind w:firstLine="640"/>
        <w:rPr>
          <w:rFonts w:hint="default" w:ascii="Times New Roman" w:hAnsi="Times New Roman" w:eastAsia="仿宋" w:cs="Times New Roman"/>
          <w:szCs w:val="32"/>
        </w:rPr>
      </w:pPr>
      <w:r>
        <w:rPr>
          <w:rFonts w:hint="default" w:ascii="Times New Roman" w:hAnsi="Times New Roman" w:eastAsia="仿宋" w:cs="Times New Roman"/>
          <w:szCs w:val="32"/>
        </w:rPr>
        <w:t>4.《中华人民共和国政府采购法》。</w:t>
      </w:r>
    </w:p>
    <w:p w14:paraId="14E393FE">
      <w:pPr>
        <w:ind w:firstLine="640"/>
        <w:rPr>
          <w:rFonts w:hint="default" w:ascii="Times New Roman" w:hAnsi="Times New Roman" w:eastAsia="仿宋" w:cs="Times New Roman"/>
          <w:szCs w:val="32"/>
        </w:rPr>
      </w:pPr>
      <w:r>
        <w:rPr>
          <w:rFonts w:hint="default" w:ascii="Times New Roman" w:hAnsi="Times New Roman" w:eastAsia="仿宋" w:cs="Times New Roman"/>
          <w:szCs w:val="32"/>
        </w:rPr>
        <w:t>5.《中华人民共和国招标投标法》。</w:t>
      </w:r>
    </w:p>
    <w:p w14:paraId="79B134DC">
      <w:pPr>
        <w:ind w:firstLine="640"/>
        <w:rPr>
          <w:rFonts w:hint="eastAsia" w:ascii="Times New Roman" w:hAnsi="Times New Roman" w:eastAsia="仿宋" w:cs="Times New Roman"/>
          <w:szCs w:val="32"/>
          <w:lang w:eastAsia="zh-CN"/>
        </w:rPr>
      </w:pPr>
      <w:r>
        <w:rPr>
          <w:rFonts w:hint="default" w:ascii="Times New Roman" w:hAnsi="Times New Roman" w:eastAsia="仿宋" w:cs="Times New Roman"/>
          <w:szCs w:val="32"/>
        </w:rPr>
        <w:t>6.《关于做好政府投资工程建设项目招标文件会商工作的通知》</w:t>
      </w:r>
      <w:r>
        <w:rPr>
          <w:rFonts w:hint="eastAsia" w:ascii="Times New Roman" w:hAnsi="Times New Roman" w:cs="Times New Roman"/>
          <w:szCs w:val="32"/>
          <w:lang w:eastAsia="zh-CN"/>
        </w:rPr>
        <w:t>（</w:t>
      </w:r>
      <w:r>
        <w:rPr>
          <w:rFonts w:hint="default" w:ascii="Times New Roman" w:hAnsi="Times New Roman" w:eastAsia="仿宋" w:cs="Times New Roman"/>
          <w:szCs w:val="32"/>
        </w:rPr>
        <w:t>德市罗发改发〔2021〕20号</w:t>
      </w:r>
      <w:r>
        <w:rPr>
          <w:rFonts w:hint="eastAsia" w:ascii="Times New Roman" w:hAnsi="Times New Roman" w:cs="Times New Roman"/>
          <w:szCs w:val="32"/>
          <w:lang w:eastAsia="zh-CN"/>
        </w:rPr>
        <w:t>）。</w:t>
      </w:r>
    </w:p>
    <w:p w14:paraId="1E45E7F7">
      <w:pPr>
        <w:pStyle w:val="5"/>
        <w:keepNext w:val="0"/>
        <w:keepLines w:val="0"/>
        <w:ind w:firstLine="643"/>
        <w:rPr>
          <w:rFonts w:hint="default" w:ascii="Times New Roman" w:hAnsi="Times New Roman" w:eastAsia="仿宋" w:cs="Times New Roman"/>
        </w:rPr>
      </w:pPr>
      <w:bookmarkStart w:id="22" w:name="_Toc86224140"/>
      <w:bookmarkStart w:id="23" w:name="_Toc5043"/>
      <w:bookmarkStart w:id="24" w:name="_Hlk81386887"/>
      <w:r>
        <w:rPr>
          <w:rFonts w:hint="default" w:ascii="Times New Roman" w:hAnsi="Times New Roman" w:eastAsia="仿宋" w:cs="Times New Roman"/>
        </w:rPr>
        <w:t>（二）绩效评价管理文件</w:t>
      </w:r>
      <w:bookmarkEnd w:id="22"/>
      <w:bookmarkEnd w:id="23"/>
    </w:p>
    <w:bookmarkEnd w:id="24"/>
    <w:p w14:paraId="7AE0B4EF">
      <w:pPr>
        <w:spacing w:line="578" w:lineRule="exact"/>
        <w:ind w:firstLine="640"/>
        <w:rPr>
          <w:rFonts w:hint="default" w:ascii="Times New Roman" w:hAnsi="Times New Roman" w:eastAsia="仿宋" w:cs="Times New Roman"/>
          <w:szCs w:val="32"/>
        </w:rPr>
      </w:pPr>
      <w:bookmarkStart w:id="25" w:name="_Toc86224141"/>
      <w:r>
        <w:rPr>
          <w:rFonts w:hint="default" w:ascii="Times New Roman" w:hAnsi="Times New Roman" w:eastAsia="仿宋" w:cs="Times New Roman"/>
          <w:szCs w:val="32"/>
        </w:rPr>
        <w:t>1．财政部《财政支出绩效评价管理暂行办法》（财预〔2020〕10号）。</w:t>
      </w:r>
    </w:p>
    <w:p w14:paraId="198A3C99">
      <w:pPr>
        <w:spacing w:line="578" w:lineRule="exact"/>
        <w:ind w:firstLine="640"/>
        <w:rPr>
          <w:rFonts w:hint="default" w:ascii="Times New Roman" w:hAnsi="Times New Roman" w:eastAsia="仿宋" w:cs="Times New Roman"/>
          <w:szCs w:val="32"/>
        </w:rPr>
      </w:pPr>
      <w:r>
        <w:rPr>
          <w:rFonts w:hint="default" w:ascii="Times New Roman" w:hAnsi="Times New Roman" w:eastAsia="仿宋" w:cs="Times New Roman"/>
          <w:szCs w:val="32"/>
        </w:rPr>
        <w:t>2.《中共四川省委四川省人民政府关于全面实施预算绩</w:t>
      </w:r>
    </w:p>
    <w:p w14:paraId="67437227">
      <w:pPr>
        <w:spacing w:line="578" w:lineRule="exact"/>
        <w:ind w:firstLine="640"/>
        <w:rPr>
          <w:rFonts w:hint="default" w:ascii="Times New Roman" w:hAnsi="Times New Roman" w:eastAsia="仿宋" w:cs="Times New Roman"/>
          <w:szCs w:val="32"/>
        </w:rPr>
      </w:pPr>
      <w:r>
        <w:rPr>
          <w:rFonts w:hint="default" w:ascii="Times New Roman" w:hAnsi="Times New Roman" w:eastAsia="仿宋" w:cs="Times New Roman"/>
          <w:szCs w:val="32"/>
        </w:rPr>
        <w:t>效管理的实施意见》（川委发〔2019〕8号）。</w:t>
      </w:r>
    </w:p>
    <w:p w14:paraId="217F2154">
      <w:pPr>
        <w:spacing w:line="578" w:lineRule="exact"/>
        <w:ind w:firstLine="640"/>
        <w:rPr>
          <w:rFonts w:hint="default" w:ascii="Times New Roman" w:hAnsi="Times New Roman" w:eastAsia="仿宋" w:cs="Times New Roman"/>
          <w:szCs w:val="32"/>
        </w:rPr>
      </w:pPr>
      <w:r>
        <w:rPr>
          <w:rFonts w:hint="default" w:ascii="Times New Roman" w:hAnsi="Times New Roman" w:eastAsia="仿宋" w:cs="Times New Roman"/>
          <w:szCs w:val="32"/>
        </w:rPr>
        <w:t>3.《项目支出绩效评价管理办法》（财预〔2020〕10号）。</w:t>
      </w:r>
    </w:p>
    <w:p w14:paraId="252E6138">
      <w:pPr>
        <w:spacing w:line="578" w:lineRule="exact"/>
        <w:ind w:firstLine="640"/>
        <w:rPr>
          <w:rFonts w:hint="default" w:ascii="Times New Roman" w:hAnsi="Times New Roman" w:eastAsia="仿宋" w:cs="Times New Roman"/>
          <w:szCs w:val="32"/>
        </w:rPr>
      </w:pPr>
      <w:r>
        <w:rPr>
          <w:rFonts w:hint="default" w:ascii="Times New Roman" w:hAnsi="Times New Roman" w:eastAsia="仿宋" w:cs="Times New Roman"/>
          <w:szCs w:val="32"/>
        </w:rPr>
        <w:t>4.《德阳市罗江区财政局关于开展2024年重点绩效评价工作的通知》（德市罗财绩〔2024〕5号）。</w:t>
      </w:r>
    </w:p>
    <w:p w14:paraId="7F5462AD">
      <w:pPr>
        <w:pStyle w:val="5"/>
        <w:keepNext w:val="0"/>
        <w:keepLines w:val="0"/>
        <w:ind w:firstLine="643"/>
        <w:rPr>
          <w:rFonts w:hint="default" w:ascii="Times New Roman" w:hAnsi="Times New Roman" w:eastAsia="仿宋" w:cs="Times New Roman"/>
        </w:rPr>
      </w:pPr>
      <w:bookmarkStart w:id="26" w:name="_Toc17544"/>
      <w:r>
        <w:rPr>
          <w:rFonts w:hint="default" w:ascii="Times New Roman" w:hAnsi="Times New Roman" w:eastAsia="仿宋" w:cs="Times New Roman"/>
        </w:rPr>
        <w:t>（三）立项依据与资金文件</w:t>
      </w:r>
      <w:bookmarkEnd w:id="25"/>
      <w:bookmarkEnd w:id="26"/>
    </w:p>
    <w:p w14:paraId="635A9609">
      <w:pPr>
        <w:ind w:firstLine="640"/>
        <w:rPr>
          <w:rFonts w:hint="default" w:ascii="Times New Roman" w:hAnsi="Times New Roman" w:eastAsia="仿宋" w:cs="Times New Roman"/>
          <w:szCs w:val="32"/>
        </w:rPr>
      </w:pPr>
      <w:bookmarkStart w:id="27" w:name="_Toc86224142"/>
      <w:r>
        <w:rPr>
          <w:rFonts w:hint="default" w:ascii="Times New Roman" w:hAnsi="Times New Roman" w:eastAsia="仿宋" w:cs="Times New Roman"/>
          <w:szCs w:val="32"/>
        </w:rPr>
        <w:t>1.《关于调整德阳市罗江区经开区基础设施提档升级建设2023年新增专项债券资金的通知》</w:t>
      </w:r>
      <w:r>
        <w:rPr>
          <w:rFonts w:hint="eastAsia" w:ascii="Times New Roman" w:hAnsi="Times New Roman" w:cs="Times New Roman"/>
          <w:szCs w:val="32"/>
          <w:lang w:eastAsia="zh-CN"/>
        </w:rPr>
        <w:t>（</w:t>
      </w:r>
      <w:r>
        <w:rPr>
          <w:rFonts w:hint="default" w:ascii="Times New Roman" w:hAnsi="Times New Roman" w:eastAsia="仿宋" w:cs="Times New Roman"/>
          <w:szCs w:val="32"/>
        </w:rPr>
        <w:t>德市罗财金〔2023〕18号）。</w:t>
      </w:r>
    </w:p>
    <w:p w14:paraId="253AB59B">
      <w:pPr>
        <w:ind w:firstLine="640"/>
        <w:rPr>
          <w:rFonts w:hint="default" w:ascii="Times New Roman" w:hAnsi="Times New Roman" w:eastAsia="仿宋" w:cs="Times New Roman"/>
          <w:szCs w:val="32"/>
        </w:rPr>
      </w:pPr>
      <w:r>
        <w:rPr>
          <w:rFonts w:hint="default" w:ascii="Times New Roman" w:hAnsi="Times New Roman" w:eastAsia="仿宋" w:cs="Times New Roman"/>
          <w:szCs w:val="32"/>
        </w:rPr>
        <w:t>2.《德阳市罗江区财政局关于调整德阳市罗江区经开区基础设施提档升级建设2023年新增专项债券资金的通知》</w:t>
      </w:r>
      <w:r>
        <w:rPr>
          <w:rFonts w:hint="eastAsia" w:ascii="Times New Roman" w:hAnsi="Times New Roman" w:cs="Times New Roman"/>
          <w:szCs w:val="32"/>
          <w:lang w:eastAsia="zh-CN"/>
        </w:rPr>
        <w:t>（</w:t>
      </w:r>
      <w:r>
        <w:rPr>
          <w:rFonts w:hint="default" w:ascii="Times New Roman" w:hAnsi="Times New Roman" w:eastAsia="仿宋" w:cs="Times New Roman"/>
          <w:szCs w:val="32"/>
        </w:rPr>
        <w:t>德市罗财金〔2023〕18号）。</w:t>
      </w:r>
    </w:p>
    <w:p w14:paraId="5855C915">
      <w:pPr>
        <w:ind w:firstLine="640"/>
        <w:rPr>
          <w:rFonts w:hint="default" w:ascii="Times New Roman" w:hAnsi="Times New Roman" w:eastAsia="仿宋" w:cs="Times New Roman"/>
          <w:szCs w:val="32"/>
        </w:rPr>
      </w:pPr>
      <w:r>
        <w:rPr>
          <w:rFonts w:hint="default" w:ascii="Times New Roman" w:hAnsi="Times New Roman" w:eastAsia="仿宋" w:cs="Times New Roman"/>
          <w:szCs w:val="32"/>
        </w:rPr>
        <w:t>3.《德阳市罗江区发展和改革局关于</w:t>
      </w: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szCs w:val="32"/>
        </w:rPr>
        <w:t>实施方案的批复》（德市罗发改投资〔2023〕12号）。</w:t>
      </w:r>
    </w:p>
    <w:p w14:paraId="6E10194C">
      <w:pPr>
        <w:ind w:firstLine="640"/>
        <w:rPr>
          <w:rFonts w:hint="default" w:ascii="Times New Roman" w:hAnsi="Times New Roman" w:eastAsia="仿宋" w:cs="Times New Roman"/>
          <w:szCs w:val="32"/>
          <w:lang w:eastAsia="zh-CN"/>
        </w:rPr>
      </w:pPr>
      <w:r>
        <w:rPr>
          <w:rFonts w:hint="default" w:ascii="Times New Roman" w:hAnsi="Times New Roman" w:eastAsia="仿宋" w:cs="Times New Roman"/>
          <w:szCs w:val="32"/>
        </w:rPr>
        <w:t>4.《四川省</w:t>
      </w:r>
      <w:r>
        <w:rPr>
          <w:rFonts w:hint="default" w:ascii="Times New Roman" w:hAnsi="Times New Roman" w:eastAsia="仿宋" w:cs="Times New Roman"/>
          <w:szCs w:val="32"/>
          <w:lang w:eastAsia="zh-CN"/>
        </w:rPr>
        <w:t>罗江中学校</w:t>
      </w:r>
      <w:r>
        <w:rPr>
          <w:rFonts w:hint="default" w:ascii="Times New Roman" w:hAnsi="Times New Roman" w:eastAsia="仿宋" w:cs="Times New Roman"/>
          <w:szCs w:val="32"/>
        </w:rPr>
        <w:t>校关于</w:t>
      </w: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szCs w:val="32"/>
        </w:rPr>
        <w:t>实施方案的请示》（罗中〔2023〕20号）。</w:t>
      </w:r>
    </w:p>
    <w:p w14:paraId="01B3A4B3">
      <w:pPr>
        <w:ind w:firstLine="640"/>
        <w:rPr>
          <w:rFonts w:hint="default" w:ascii="Times New Roman" w:hAnsi="Times New Roman" w:eastAsia="仿宋" w:cs="Times New Roman"/>
          <w:szCs w:val="32"/>
        </w:rPr>
      </w:pPr>
      <w:r>
        <w:rPr>
          <w:rFonts w:hint="default" w:ascii="Times New Roman" w:hAnsi="Times New Roman" w:eastAsia="仿宋" w:cs="Times New Roman"/>
          <w:szCs w:val="32"/>
        </w:rPr>
        <w:t>5.《四川省</w:t>
      </w:r>
      <w:r>
        <w:rPr>
          <w:rFonts w:hint="default" w:ascii="Times New Roman" w:hAnsi="Times New Roman" w:eastAsia="仿宋" w:cs="Times New Roman"/>
          <w:szCs w:val="32"/>
          <w:lang w:eastAsia="zh-CN"/>
        </w:rPr>
        <w:t>罗江中学校</w:t>
      </w:r>
      <w:r>
        <w:rPr>
          <w:rFonts w:hint="default" w:ascii="Times New Roman" w:hAnsi="Times New Roman" w:eastAsia="仿宋" w:cs="Times New Roman"/>
          <w:szCs w:val="32"/>
        </w:rPr>
        <w:t>校关于成立运动场改造项目工作专班的决定》（罗中〔2023〕36号）。</w:t>
      </w:r>
    </w:p>
    <w:p w14:paraId="2AE0FD1F">
      <w:pPr>
        <w:pStyle w:val="5"/>
        <w:ind w:firstLine="643"/>
        <w:rPr>
          <w:rFonts w:hint="default" w:ascii="Times New Roman" w:hAnsi="Times New Roman" w:eastAsia="仿宋" w:cs="Times New Roman"/>
        </w:rPr>
      </w:pPr>
      <w:bookmarkStart w:id="28" w:name="_Toc26173"/>
      <w:bookmarkStart w:id="29" w:name="_Toc136706206"/>
      <w:bookmarkStart w:id="30" w:name="_Toc27083"/>
      <w:bookmarkStart w:id="31" w:name="_Toc14079"/>
      <w:bookmarkStart w:id="32" w:name="_Toc25458"/>
      <w:r>
        <w:rPr>
          <w:rFonts w:hint="default" w:ascii="Times New Roman" w:hAnsi="Times New Roman" w:eastAsia="仿宋" w:cs="Times New Roman"/>
        </w:rPr>
        <w:t>（四）技术质量标准文件</w:t>
      </w:r>
      <w:bookmarkEnd w:id="28"/>
      <w:bookmarkEnd w:id="29"/>
      <w:bookmarkEnd w:id="30"/>
      <w:bookmarkEnd w:id="31"/>
      <w:bookmarkEnd w:id="32"/>
    </w:p>
    <w:p w14:paraId="145B60FC">
      <w:pPr>
        <w:ind w:firstLine="640"/>
        <w:rPr>
          <w:rFonts w:hint="default" w:ascii="Times New Roman" w:hAnsi="Times New Roman" w:eastAsia="仿宋" w:cs="Times New Roman"/>
          <w:szCs w:val="32"/>
        </w:rPr>
      </w:pPr>
      <w:r>
        <w:rPr>
          <w:rFonts w:hint="default" w:ascii="Times New Roman" w:hAnsi="Times New Roman" w:eastAsia="仿宋" w:cs="Times New Roman"/>
          <w:szCs w:val="32"/>
        </w:rPr>
        <w:t>1.《建设工程工程量清单计价规范》GB50500-2013。</w:t>
      </w:r>
    </w:p>
    <w:p w14:paraId="10A46B68">
      <w:pPr>
        <w:ind w:firstLine="640"/>
        <w:rPr>
          <w:rFonts w:hint="default" w:ascii="Times New Roman" w:hAnsi="Times New Roman" w:eastAsia="仿宋" w:cs="Times New Roman"/>
          <w:szCs w:val="32"/>
        </w:rPr>
      </w:pPr>
      <w:r>
        <w:rPr>
          <w:rFonts w:hint="default" w:ascii="Times New Roman" w:hAnsi="Times New Roman" w:eastAsia="仿宋" w:cs="Times New Roman"/>
          <w:szCs w:val="32"/>
        </w:rPr>
        <w:t>2.《四川省建设工程工程量清单计价定额》。</w:t>
      </w:r>
    </w:p>
    <w:p w14:paraId="7166D0D8">
      <w:pPr>
        <w:ind w:firstLine="640"/>
        <w:rPr>
          <w:rFonts w:hint="default" w:ascii="Times New Roman" w:hAnsi="Times New Roman" w:eastAsia="仿宋" w:cs="Times New Roman"/>
          <w:szCs w:val="32"/>
          <w:lang w:eastAsia="zh-CN"/>
        </w:rPr>
      </w:pPr>
      <w:r>
        <w:rPr>
          <w:rFonts w:hint="default" w:ascii="Times New Roman" w:hAnsi="Times New Roman" w:eastAsia="仿宋" w:cs="Times New Roman"/>
          <w:szCs w:val="32"/>
          <w:lang w:val="en-US" w:eastAsia="zh-CN"/>
        </w:rPr>
        <w:t>3</w:t>
      </w:r>
      <w:r>
        <w:rPr>
          <w:rFonts w:hint="default" w:ascii="Times New Roman" w:hAnsi="Times New Roman" w:eastAsia="仿宋" w:cs="Times New Roman"/>
          <w:szCs w:val="32"/>
        </w:rPr>
        <w:t>.《公共建筑节能设计标准》GB50189-2005</w:t>
      </w:r>
      <w:r>
        <w:rPr>
          <w:rFonts w:hint="default" w:ascii="Times New Roman" w:hAnsi="Times New Roman" w:eastAsia="仿宋" w:cs="Times New Roman"/>
          <w:szCs w:val="32"/>
          <w:lang w:eastAsia="zh-CN"/>
        </w:rPr>
        <w:t>。</w:t>
      </w:r>
    </w:p>
    <w:p w14:paraId="1066D5DF">
      <w:pPr>
        <w:ind w:firstLine="640"/>
        <w:rPr>
          <w:rFonts w:hint="default" w:ascii="Times New Roman" w:hAnsi="Times New Roman" w:eastAsia="仿宋" w:cs="Times New Roman"/>
          <w:szCs w:val="32"/>
        </w:rPr>
      </w:pPr>
      <w:r>
        <w:rPr>
          <w:rFonts w:hint="default" w:ascii="Times New Roman" w:hAnsi="Times New Roman" w:eastAsia="仿宋" w:cs="Times New Roman"/>
          <w:szCs w:val="32"/>
          <w:lang w:val="en-US" w:eastAsia="zh-CN"/>
        </w:rPr>
        <w:t>4</w:t>
      </w:r>
      <w:r>
        <w:rPr>
          <w:rFonts w:hint="default" w:ascii="Times New Roman" w:hAnsi="Times New Roman" w:eastAsia="仿宋" w:cs="Times New Roman"/>
          <w:szCs w:val="32"/>
        </w:rPr>
        <w:t>.《民用建筑热工设计规范》GB50176-93。</w:t>
      </w:r>
    </w:p>
    <w:p w14:paraId="542798F6">
      <w:pPr>
        <w:ind w:firstLine="640"/>
        <w:rPr>
          <w:rFonts w:hint="default" w:ascii="Times New Roman" w:hAnsi="Times New Roman" w:eastAsia="仿宋" w:cs="Times New Roman"/>
          <w:szCs w:val="32"/>
        </w:rPr>
      </w:pPr>
      <w:r>
        <w:rPr>
          <w:rFonts w:hint="default" w:ascii="Times New Roman" w:hAnsi="Times New Roman" w:eastAsia="仿宋" w:cs="Times New Roman"/>
          <w:szCs w:val="32"/>
          <w:lang w:val="en-US" w:eastAsia="zh-CN"/>
        </w:rPr>
        <w:t>5</w:t>
      </w:r>
      <w:r>
        <w:rPr>
          <w:rFonts w:hint="default" w:ascii="Times New Roman" w:hAnsi="Times New Roman" w:eastAsia="仿宋" w:cs="Times New Roman"/>
          <w:szCs w:val="32"/>
        </w:rPr>
        <w:t>.《房屋建筑与装饰工程工程量清单计价规范》(GB50854-2013)。</w:t>
      </w:r>
    </w:p>
    <w:p w14:paraId="0E24041D">
      <w:pPr>
        <w:ind w:firstLine="640"/>
        <w:rPr>
          <w:rFonts w:hint="default" w:ascii="Times New Roman" w:hAnsi="Times New Roman" w:eastAsia="仿宋" w:cs="Times New Roman"/>
          <w:szCs w:val="32"/>
        </w:rPr>
      </w:pPr>
      <w:r>
        <w:rPr>
          <w:rFonts w:hint="default" w:ascii="Times New Roman" w:hAnsi="Times New Roman" w:eastAsia="仿宋" w:cs="Times New Roman"/>
          <w:szCs w:val="32"/>
          <w:lang w:val="en-US" w:eastAsia="zh-CN"/>
        </w:rPr>
        <w:t>6</w:t>
      </w:r>
      <w:r>
        <w:rPr>
          <w:rFonts w:hint="default" w:ascii="Times New Roman" w:hAnsi="Times New Roman" w:eastAsia="仿宋" w:cs="Times New Roman"/>
          <w:szCs w:val="32"/>
        </w:rPr>
        <w:t>.《通用安装工程工程量计算</w:t>
      </w:r>
      <w:r>
        <w:rPr>
          <w:rFonts w:hint="default" w:ascii="Times New Roman" w:hAnsi="Times New Roman" w:eastAsia="仿宋" w:cs="Times New Roman"/>
          <w:szCs w:val="32"/>
          <w:lang w:eastAsia="zh-CN"/>
        </w:rPr>
        <w:t>规范</w:t>
      </w:r>
      <w:r>
        <w:rPr>
          <w:rFonts w:hint="default" w:ascii="Times New Roman" w:hAnsi="Times New Roman" w:eastAsia="仿宋" w:cs="Times New Roman"/>
          <w:szCs w:val="32"/>
        </w:rPr>
        <w:t>》(GB50856-2013)。</w:t>
      </w:r>
    </w:p>
    <w:bookmarkEnd w:id="27"/>
    <w:p w14:paraId="16BE91D9">
      <w:pPr>
        <w:pStyle w:val="3"/>
        <w:keepNext w:val="0"/>
        <w:keepLines w:val="0"/>
        <w:ind w:firstLine="640"/>
        <w:rPr>
          <w:rFonts w:hint="default" w:ascii="Times New Roman" w:hAnsi="Times New Roman" w:eastAsia="黑体" w:cs="Times New Roman"/>
          <w:b/>
          <w:bCs/>
        </w:rPr>
      </w:pPr>
      <w:bookmarkStart w:id="33" w:name="_Toc86224143"/>
      <w:bookmarkStart w:id="34" w:name="_Toc24559"/>
      <w:r>
        <w:rPr>
          <w:rFonts w:hint="default" w:ascii="Times New Roman" w:hAnsi="Times New Roman" w:eastAsia="黑体" w:cs="Times New Roman"/>
          <w:b/>
          <w:bCs/>
        </w:rPr>
        <w:t>三、总体评价</w:t>
      </w:r>
      <w:bookmarkEnd w:id="33"/>
      <w:bookmarkEnd w:id="34"/>
    </w:p>
    <w:p w14:paraId="27EDE5FC">
      <w:pPr>
        <w:pStyle w:val="5"/>
        <w:keepNext w:val="0"/>
        <w:keepLines w:val="0"/>
        <w:ind w:firstLine="643"/>
        <w:rPr>
          <w:rFonts w:hint="default" w:ascii="Times New Roman" w:hAnsi="Times New Roman" w:eastAsia="仿宋" w:cs="Times New Roman"/>
        </w:rPr>
      </w:pPr>
      <w:bookmarkStart w:id="35" w:name="_Toc81550679"/>
      <w:bookmarkStart w:id="36" w:name="_Toc86224144"/>
      <w:bookmarkStart w:id="37" w:name="_Toc25648"/>
      <w:r>
        <w:rPr>
          <w:rFonts w:hint="default" w:ascii="Times New Roman" w:hAnsi="Times New Roman" w:eastAsia="仿宋" w:cs="Times New Roman"/>
        </w:rPr>
        <w:t>（一）主要绩效</w:t>
      </w:r>
      <w:bookmarkEnd w:id="35"/>
      <w:bookmarkEnd w:id="36"/>
      <w:bookmarkEnd w:id="37"/>
    </w:p>
    <w:p w14:paraId="6C9CB834">
      <w:pPr>
        <w:pStyle w:val="2"/>
        <w:spacing w:line="560" w:lineRule="exact"/>
        <w:ind w:firstLine="640"/>
        <w:rPr>
          <w:rFonts w:hint="default" w:ascii="Times New Roman" w:hAnsi="Times New Roman" w:eastAsia="仿宋" w:cs="Times New Roman"/>
          <w:szCs w:val="32"/>
          <w:highlight w:val="none"/>
        </w:rPr>
      </w:pPr>
      <w:r>
        <w:rPr>
          <w:rFonts w:hint="default" w:ascii="Times New Roman" w:hAnsi="Times New Roman" w:eastAsia="仿宋" w:cs="Times New Roman"/>
          <w:szCs w:val="32"/>
          <w:highlight w:val="none"/>
          <w:lang w:val="en-US" w:eastAsia="zh-CN"/>
        </w:rPr>
        <w:t>整体目标：</w:t>
      </w:r>
      <w:r>
        <w:rPr>
          <w:rFonts w:hint="default" w:ascii="Times New Roman" w:hAnsi="Times New Roman" w:eastAsia="仿宋" w:cs="Times New Roman"/>
          <w:szCs w:val="32"/>
          <w:highlight w:val="none"/>
        </w:rPr>
        <w:t>德阳市罗江区教育局作为区级主管部门，负责对申报项目进行上报，最终由财政局评审，争取区级资金800万元。项目立项依据充分，绩效目标基本明确，资金使用较为规范</w:t>
      </w:r>
      <w:bookmarkStart w:id="38" w:name="_Hlk82541056"/>
      <w:r>
        <w:rPr>
          <w:rFonts w:hint="default" w:ascii="Times New Roman" w:hAnsi="Times New Roman" w:eastAsia="仿宋" w:cs="Times New Roman"/>
          <w:szCs w:val="32"/>
          <w:highlight w:val="none"/>
        </w:rPr>
        <w:t>。</w:t>
      </w:r>
      <w:bookmarkEnd w:id="38"/>
      <w:bookmarkStart w:id="39" w:name="_Toc79394811"/>
      <w:bookmarkStart w:id="40" w:name="_Toc81550680"/>
      <w:bookmarkStart w:id="41" w:name="_Toc86224145"/>
      <w:r>
        <w:rPr>
          <w:rFonts w:hint="default" w:ascii="Times New Roman" w:hAnsi="Times New Roman" w:eastAsia="仿宋" w:cs="Times New Roman"/>
          <w:szCs w:val="32"/>
          <w:highlight w:val="none"/>
        </w:rPr>
        <w:t>项目实施取得了良好的经济效益，主要表现为提升体育设施水平，改善运动环境，提高学生教师全民健身的便利性和舒适度，提升省一级示范学校的学习环境档次。</w:t>
      </w:r>
    </w:p>
    <w:p w14:paraId="5353A3EB">
      <w:pPr>
        <w:pStyle w:val="2"/>
        <w:spacing w:line="560" w:lineRule="exact"/>
        <w:ind w:firstLine="640"/>
        <w:rPr>
          <w:rFonts w:hint="default" w:ascii="Times New Roman" w:hAnsi="Times New Roman" w:eastAsia="仿宋" w:cs="Times New Roman"/>
          <w:szCs w:val="32"/>
        </w:rPr>
      </w:pPr>
      <w:r>
        <w:rPr>
          <w:rFonts w:hint="default" w:ascii="Times New Roman" w:hAnsi="Times New Roman" w:eastAsia="仿宋" w:cs="Times New Roman"/>
          <w:szCs w:val="32"/>
          <w:lang w:val="en-US" w:eastAsia="zh-CN"/>
        </w:rPr>
        <w:t>具体目标：</w:t>
      </w: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szCs w:val="32"/>
        </w:rPr>
        <w:t>运动场改造面积约27900平方米的建设，场内包括400米标准环形塑胶跑道，标准塑胶篮球场4个，塑胶网球场2个，人工草坪标准足球场8200平方米，风雨球场1个，跳高跳远场地2处，器械运动场地1处以及相关建筑的配套设施、设备等，完成率100%；项目实施受益学生数3800人，项目建设期限120天（计划2023年4月开工，2023年8月完工），项目经费服务对象满意度≥95%。</w:t>
      </w:r>
    </w:p>
    <w:p w14:paraId="4AC4401E">
      <w:pPr>
        <w:pStyle w:val="5"/>
        <w:keepNext w:val="0"/>
        <w:keepLines w:val="0"/>
        <w:spacing w:line="578" w:lineRule="exact"/>
        <w:ind w:firstLine="643"/>
        <w:rPr>
          <w:rFonts w:hint="default" w:ascii="Times New Roman" w:hAnsi="Times New Roman" w:eastAsia="仿宋" w:cs="Times New Roman"/>
        </w:rPr>
      </w:pPr>
      <w:bookmarkStart w:id="42" w:name="_Toc6674"/>
      <w:r>
        <w:rPr>
          <w:rFonts w:hint="default" w:ascii="Times New Roman" w:hAnsi="Times New Roman" w:eastAsia="仿宋" w:cs="Times New Roman"/>
        </w:rPr>
        <w:t>（二）</w:t>
      </w:r>
      <w:bookmarkEnd w:id="39"/>
      <w:r>
        <w:rPr>
          <w:rFonts w:hint="default" w:ascii="Times New Roman" w:hAnsi="Times New Roman" w:eastAsia="仿宋" w:cs="Times New Roman"/>
        </w:rPr>
        <w:t>指标评分结果</w:t>
      </w:r>
      <w:bookmarkEnd w:id="40"/>
      <w:bookmarkEnd w:id="41"/>
      <w:bookmarkEnd w:id="42"/>
    </w:p>
    <w:p w14:paraId="65DC9F41">
      <w:pPr>
        <w:keepNext w:val="0"/>
        <w:keepLines w:val="0"/>
        <w:pageBreakBefore w:val="0"/>
        <w:widowControl w:val="0"/>
        <w:kinsoku/>
        <w:wordWrap/>
        <w:overflowPunct w:val="0"/>
        <w:topLinePunct w:val="0"/>
        <w:autoSpaceDE/>
        <w:autoSpaceDN/>
        <w:bidi w:val="0"/>
        <w:adjustRightInd w:val="0"/>
        <w:snapToGrid w:val="0"/>
        <w:ind w:firstLine="640"/>
        <w:textAlignment w:val="auto"/>
        <w:rPr>
          <w:rFonts w:hint="default" w:ascii="Times New Roman" w:hAnsi="Times New Roman" w:eastAsia="仿宋" w:cs="Times New Roman"/>
          <w:szCs w:val="32"/>
        </w:rPr>
      </w:pPr>
      <w:r>
        <w:rPr>
          <w:rFonts w:hint="default" w:ascii="Times New Roman" w:hAnsi="Times New Roman" w:eastAsia="仿宋" w:cs="Times New Roman"/>
          <w:szCs w:val="32"/>
        </w:rPr>
        <w:t>根据《财政支出绩效评价管理暂行办法》（财预〔2020〕10号）和《项目支出绩效评价管理办法》（财预〔2020〕10号）规定，按照财政项目支出绩效评价共性指标体系框架和评分标准，评价指标体系设置为决策、过程、产出及效益4大类一级指标，11项二级指标和1</w:t>
      </w:r>
      <w:r>
        <w:rPr>
          <w:rFonts w:hint="default" w:ascii="Times New Roman" w:hAnsi="Times New Roman" w:eastAsia="仿宋" w:cs="Times New Roman"/>
          <w:szCs w:val="32"/>
          <w:lang w:val="en-US" w:eastAsia="zh-CN"/>
        </w:rPr>
        <w:t>8</w:t>
      </w:r>
      <w:r>
        <w:rPr>
          <w:rFonts w:hint="default" w:ascii="Times New Roman" w:hAnsi="Times New Roman" w:eastAsia="仿宋" w:cs="Times New Roman"/>
          <w:szCs w:val="32"/>
        </w:rPr>
        <w:t>项三级指标。一级指标权重分别为20%、20%、30%、30%。</w:t>
      </w:r>
    </w:p>
    <w:p w14:paraId="5BD67114">
      <w:pPr>
        <w:keepNext w:val="0"/>
        <w:keepLines w:val="0"/>
        <w:pageBreakBefore w:val="0"/>
        <w:widowControl w:val="0"/>
        <w:kinsoku/>
        <w:wordWrap/>
        <w:overflowPunct/>
        <w:topLinePunct w:val="0"/>
        <w:autoSpaceDE/>
        <w:autoSpaceDN/>
        <w:bidi w:val="0"/>
        <w:adjustRightInd w:val="0"/>
        <w:snapToGrid w:val="0"/>
        <w:ind w:firstLine="640"/>
        <w:textAlignment w:val="auto"/>
        <w:rPr>
          <w:rFonts w:hint="default" w:ascii="Times New Roman" w:hAnsi="Times New Roman" w:eastAsia="仿宋" w:cs="Times New Roman"/>
          <w:szCs w:val="32"/>
        </w:rPr>
      </w:pPr>
      <w:r>
        <w:rPr>
          <w:rFonts w:hint="default" w:ascii="Times New Roman" w:hAnsi="Times New Roman" w:eastAsia="仿宋" w:cs="Times New Roman"/>
          <w:szCs w:val="32"/>
        </w:rPr>
        <w:t>经过综合评价与指标评分，“</w:t>
      </w: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szCs w:val="32"/>
        </w:rPr>
        <w:t>”绩效评价综合得分：</w:t>
      </w:r>
      <w:r>
        <w:rPr>
          <w:rFonts w:hint="default" w:ascii="Times New Roman" w:hAnsi="Times New Roman" w:eastAsia="仿宋" w:cs="Times New Roman"/>
          <w:b/>
          <w:bCs/>
          <w:szCs w:val="32"/>
        </w:rPr>
        <w:t>92.</w:t>
      </w:r>
      <w:r>
        <w:rPr>
          <w:rFonts w:hint="default" w:ascii="Times New Roman" w:hAnsi="Times New Roman" w:eastAsia="仿宋" w:cs="Times New Roman"/>
          <w:b/>
          <w:bCs/>
          <w:szCs w:val="32"/>
          <w:lang w:val="en-US" w:eastAsia="zh-CN"/>
        </w:rPr>
        <w:t>1</w:t>
      </w:r>
      <w:r>
        <w:rPr>
          <w:rFonts w:hint="default" w:ascii="Times New Roman" w:hAnsi="Times New Roman" w:eastAsia="仿宋" w:cs="Times New Roman"/>
          <w:szCs w:val="32"/>
        </w:rPr>
        <w:t>分。根据级别划分标准，项目评价结果为“</w:t>
      </w:r>
      <w:r>
        <w:rPr>
          <w:rFonts w:hint="default" w:ascii="Times New Roman" w:hAnsi="Times New Roman" w:eastAsia="仿宋" w:cs="Times New Roman"/>
          <w:b/>
          <w:bCs/>
          <w:szCs w:val="32"/>
        </w:rPr>
        <w:t>优</w:t>
      </w:r>
      <w:r>
        <w:rPr>
          <w:rFonts w:hint="default" w:ascii="Times New Roman" w:hAnsi="Times New Roman" w:eastAsia="仿宋" w:cs="Times New Roman"/>
          <w:szCs w:val="32"/>
        </w:rPr>
        <w:t>”。</w:t>
      </w:r>
      <w:bookmarkStart w:id="43" w:name="_Hlk55896026"/>
      <w:r>
        <w:rPr>
          <w:rFonts w:hint="default" w:ascii="Times New Roman" w:hAnsi="Times New Roman" w:eastAsia="仿宋" w:cs="Times New Roman"/>
          <w:szCs w:val="32"/>
        </w:rPr>
        <w:t>各项指标设置及得分详细情况如下表所示。</w:t>
      </w:r>
    </w:p>
    <w:p w14:paraId="4CBCFEC1">
      <w:pPr>
        <w:widowControl/>
        <w:ind w:firstLine="0" w:firstLineChars="0"/>
        <w:jc w:val="center"/>
        <w:rPr>
          <w:rFonts w:hint="default" w:ascii="Times New Roman" w:hAnsi="Times New Roman" w:eastAsia="仿宋" w:cs="Times New Roman"/>
          <w:b/>
          <w:sz w:val="30"/>
          <w:szCs w:val="30"/>
        </w:rPr>
      </w:pPr>
      <w:r>
        <w:rPr>
          <w:rFonts w:hint="default" w:ascii="Times New Roman" w:hAnsi="Times New Roman" w:eastAsia="仿宋" w:cs="Times New Roman"/>
          <w:b/>
          <w:sz w:val="30"/>
          <w:szCs w:val="30"/>
        </w:rPr>
        <w:t>表3-1：项目绩效评价指标评分表</w:t>
      </w:r>
    </w:p>
    <w:tbl>
      <w:tblPr>
        <w:tblStyle w:val="67"/>
        <w:tblW w:w="8931" w:type="dxa"/>
        <w:tblInd w:w="108"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851"/>
        <w:gridCol w:w="1417"/>
        <w:gridCol w:w="993"/>
        <w:gridCol w:w="1026"/>
        <w:gridCol w:w="2659"/>
        <w:gridCol w:w="992"/>
        <w:gridCol w:w="993"/>
      </w:tblGrid>
      <w:tr w14:paraId="2D684E2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blHeader/>
        </w:trPr>
        <w:tc>
          <w:tcPr>
            <w:tcW w:w="851" w:type="dxa"/>
            <w:tcBorders>
              <w:tl2br w:val="nil"/>
              <w:tr2bl w:val="nil"/>
            </w:tcBorders>
            <w:vAlign w:val="center"/>
          </w:tcPr>
          <w:p w14:paraId="098620F0">
            <w:pPr>
              <w:widowControl/>
              <w:spacing w:line="240" w:lineRule="auto"/>
              <w:ind w:firstLine="0" w:firstLineChars="0"/>
              <w:jc w:val="center"/>
              <w:textAlignment w:val="bottom"/>
              <w:rPr>
                <w:rFonts w:hint="default" w:ascii="Times New Roman" w:hAnsi="Times New Roman" w:eastAsia="仿宋" w:cs="Times New Roman"/>
                <w:b w:val="0"/>
                <w:bCs/>
                <w:color w:val="000000"/>
                <w:kern w:val="0"/>
                <w:sz w:val="24"/>
                <w:lang w:bidi="ar"/>
              </w:rPr>
            </w:pPr>
            <w:r>
              <w:rPr>
                <w:rFonts w:hint="default" w:ascii="Times New Roman" w:hAnsi="Times New Roman" w:eastAsia="仿宋" w:cs="Times New Roman"/>
                <w:b w:val="0"/>
                <w:bCs/>
                <w:color w:val="000000"/>
                <w:kern w:val="0"/>
                <w:sz w:val="24"/>
                <w:lang w:bidi="ar"/>
              </w:rPr>
              <w:t>一级指标</w:t>
            </w:r>
          </w:p>
        </w:tc>
        <w:tc>
          <w:tcPr>
            <w:tcW w:w="1417" w:type="dxa"/>
            <w:tcBorders>
              <w:tl2br w:val="nil"/>
              <w:tr2bl w:val="nil"/>
            </w:tcBorders>
            <w:vAlign w:val="center"/>
          </w:tcPr>
          <w:p w14:paraId="79AA3D19">
            <w:pPr>
              <w:widowControl/>
              <w:spacing w:line="240" w:lineRule="auto"/>
              <w:ind w:firstLine="0" w:firstLineChars="0"/>
              <w:jc w:val="center"/>
              <w:textAlignment w:val="bottom"/>
              <w:rPr>
                <w:rFonts w:hint="default" w:ascii="Times New Roman" w:hAnsi="Times New Roman" w:eastAsia="仿宋" w:cs="Times New Roman"/>
                <w:b w:val="0"/>
                <w:bCs/>
                <w:color w:val="000000"/>
                <w:kern w:val="0"/>
                <w:sz w:val="24"/>
                <w:lang w:bidi="ar"/>
              </w:rPr>
            </w:pPr>
            <w:r>
              <w:rPr>
                <w:rFonts w:hint="default" w:ascii="Times New Roman" w:hAnsi="Times New Roman" w:eastAsia="仿宋" w:cs="Times New Roman"/>
                <w:b w:val="0"/>
                <w:bCs/>
                <w:color w:val="000000"/>
                <w:kern w:val="0"/>
                <w:sz w:val="24"/>
                <w:lang w:bidi="ar"/>
              </w:rPr>
              <w:t>二级指标</w:t>
            </w:r>
          </w:p>
        </w:tc>
        <w:tc>
          <w:tcPr>
            <w:tcW w:w="993" w:type="dxa"/>
            <w:tcBorders>
              <w:tl2br w:val="nil"/>
              <w:tr2bl w:val="nil"/>
            </w:tcBorders>
            <w:vAlign w:val="center"/>
          </w:tcPr>
          <w:p w14:paraId="12F6E4D7">
            <w:pPr>
              <w:widowControl/>
              <w:spacing w:line="240" w:lineRule="auto"/>
              <w:ind w:firstLine="0" w:firstLineChars="0"/>
              <w:jc w:val="center"/>
              <w:textAlignment w:val="bottom"/>
              <w:rPr>
                <w:rFonts w:hint="default" w:ascii="Times New Roman" w:hAnsi="Times New Roman" w:eastAsia="仿宋" w:cs="Times New Roman"/>
                <w:b w:val="0"/>
                <w:bCs/>
                <w:color w:val="000000"/>
                <w:kern w:val="0"/>
                <w:sz w:val="24"/>
                <w:lang w:bidi="ar"/>
              </w:rPr>
            </w:pPr>
            <w:r>
              <w:rPr>
                <w:rFonts w:hint="default" w:ascii="Times New Roman" w:hAnsi="Times New Roman" w:eastAsia="仿宋" w:cs="Times New Roman"/>
                <w:b w:val="0"/>
                <w:bCs/>
                <w:color w:val="000000"/>
                <w:kern w:val="0"/>
                <w:sz w:val="24"/>
                <w:lang w:bidi="ar"/>
              </w:rPr>
              <w:t>标准分值</w:t>
            </w:r>
          </w:p>
        </w:tc>
        <w:tc>
          <w:tcPr>
            <w:tcW w:w="1026" w:type="dxa"/>
            <w:tcBorders>
              <w:tl2br w:val="nil"/>
              <w:tr2bl w:val="nil"/>
            </w:tcBorders>
            <w:vAlign w:val="center"/>
          </w:tcPr>
          <w:p w14:paraId="24B5D038">
            <w:pPr>
              <w:widowControl/>
              <w:spacing w:line="240" w:lineRule="auto"/>
              <w:ind w:firstLine="0" w:firstLineChars="0"/>
              <w:jc w:val="center"/>
              <w:textAlignment w:val="bottom"/>
              <w:rPr>
                <w:rFonts w:hint="default" w:ascii="Times New Roman" w:hAnsi="Times New Roman" w:eastAsia="仿宋" w:cs="Times New Roman"/>
                <w:b w:val="0"/>
                <w:bCs/>
                <w:color w:val="000000"/>
                <w:kern w:val="0"/>
                <w:sz w:val="24"/>
                <w:lang w:bidi="ar"/>
              </w:rPr>
            </w:pPr>
            <w:r>
              <w:rPr>
                <w:rFonts w:hint="default" w:ascii="Times New Roman" w:hAnsi="Times New Roman" w:eastAsia="仿宋" w:cs="Times New Roman"/>
                <w:b w:val="0"/>
                <w:bCs/>
                <w:color w:val="000000"/>
                <w:kern w:val="0"/>
                <w:sz w:val="24"/>
                <w:lang w:bidi="ar"/>
              </w:rPr>
              <w:t>评价得分</w:t>
            </w:r>
          </w:p>
        </w:tc>
        <w:tc>
          <w:tcPr>
            <w:tcW w:w="2659" w:type="dxa"/>
            <w:tcBorders>
              <w:tl2br w:val="nil"/>
              <w:tr2bl w:val="nil"/>
            </w:tcBorders>
            <w:vAlign w:val="center"/>
          </w:tcPr>
          <w:p w14:paraId="6E01AC17">
            <w:pPr>
              <w:widowControl/>
              <w:spacing w:line="240" w:lineRule="auto"/>
              <w:ind w:firstLine="0" w:firstLineChars="0"/>
              <w:jc w:val="center"/>
              <w:textAlignment w:val="bottom"/>
              <w:rPr>
                <w:rFonts w:hint="default" w:ascii="Times New Roman" w:hAnsi="Times New Roman" w:eastAsia="仿宋" w:cs="Times New Roman"/>
                <w:b w:val="0"/>
                <w:bCs/>
                <w:color w:val="000000"/>
                <w:kern w:val="0"/>
                <w:sz w:val="24"/>
                <w:lang w:bidi="ar"/>
              </w:rPr>
            </w:pPr>
            <w:r>
              <w:rPr>
                <w:rFonts w:hint="default" w:ascii="Times New Roman" w:hAnsi="Times New Roman" w:eastAsia="仿宋" w:cs="Times New Roman"/>
                <w:b w:val="0"/>
                <w:bCs/>
                <w:color w:val="000000"/>
                <w:kern w:val="0"/>
                <w:sz w:val="24"/>
                <w:lang w:bidi="ar"/>
              </w:rPr>
              <w:t>三级指标</w:t>
            </w:r>
          </w:p>
        </w:tc>
        <w:tc>
          <w:tcPr>
            <w:tcW w:w="992" w:type="dxa"/>
            <w:tcBorders>
              <w:tl2br w:val="nil"/>
              <w:tr2bl w:val="nil"/>
            </w:tcBorders>
            <w:vAlign w:val="center"/>
          </w:tcPr>
          <w:p w14:paraId="5133CD97">
            <w:pPr>
              <w:widowControl/>
              <w:spacing w:line="240" w:lineRule="auto"/>
              <w:ind w:firstLine="0" w:firstLineChars="0"/>
              <w:jc w:val="center"/>
              <w:textAlignment w:val="bottom"/>
              <w:rPr>
                <w:rFonts w:hint="default" w:ascii="Times New Roman" w:hAnsi="Times New Roman" w:eastAsia="仿宋" w:cs="Times New Roman"/>
                <w:b w:val="0"/>
                <w:bCs/>
                <w:color w:val="000000"/>
                <w:kern w:val="0"/>
                <w:sz w:val="24"/>
                <w:lang w:bidi="ar"/>
              </w:rPr>
            </w:pPr>
            <w:r>
              <w:rPr>
                <w:rFonts w:hint="default" w:ascii="Times New Roman" w:hAnsi="Times New Roman" w:eastAsia="仿宋" w:cs="Times New Roman"/>
                <w:b w:val="0"/>
                <w:bCs/>
                <w:color w:val="000000"/>
                <w:kern w:val="0"/>
                <w:sz w:val="24"/>
                <w:lang w:bidi="ar"/>
              </w:rPr>
              <w:t>标准分值</w:t>
            </w:r>
          </w:p>
        </w:tc>
        <w:tc>
          <w:tcPr>
            <w:tcW w:w="993" w:type="dxa"/>
            <w:tcBorders>
              <w:tl2br w:val="nil"/>
              <w:tr2bl w:val="nil"/>
            </w:tcBorders>
            <w:vAlign w:val="center"/>
          </w:tcPr>
          <w:p w14:paraId="4B62EE99">
            <w:pPr>
              <w:widowControl/>
              <w:spacing w:line="240" w:lineRule="auto"/>
              <w:ind w:firstLine="0" w:firstLineChars="0"/>
              <w:jc w:val="center"/>
              <w:textAlignment w:val="bottom"/>
              <w:rPr>
                <w:rFonts w:hint="default" w:ascii="Times New Roman" w:hAnsi="Times New Roman" w:eastAsia="仿宋" w:cs="Times New Roman"/>
                <w:b w:val="0"/>
                <w:bCs/>
                <w:color w:val="000000"/>
                <w:kern w:val="0"/>
                <w:sz w:val="24"/>
                <w:lang w:bidi="ar"/>
              </w:rPr>
            </w:pPr>
            <w:r>
              <w:rPr>
                <w:rFonts w:hint="default" w:ascii="Times New Roman" w:hAnsi="Times New Roman" w:eastAsia="仿宋" w:cs="Times New Roman"/>
                <w:b w:val="0"/>
                <w:bCs/>
                <w:color w:val="000000"/>
                <w:kern w:val="0"/>
                <w:sz w:val="24"/>
                <w:lang w:bidi="ar"/>
              </w:rPr>
              <w:t>评价得分</w:t>
            </w:r>
          </w:p>
        </w:tc>
      </w:tr>
      <w:tr w14:paraId="7B125D8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restart"/>
            <w:tcBorders>
              <w:tl2br w:val="nil"/>
              <w:tr2bl w:val="nil"/>
            </w:tcBorders>
            <w:noWrap/>
            <w:vAlign w:val="center"/>
          </w:tcPr>
          <w:p w14:paraId="158A2D12">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决策20分</w:t>
            </w:r>
          </w:p>
        </w:tc>
        <w:tc>
          <w:tcPr>
            <w:tcW w:w="1417" w:type="dxa"/>
            <w:vMerge w:val="restart"/>
            <w:tcBorders>
              <w:tl2br w:val="nil"/>
              <w:tr2bl w:val="nil"/>
            </w:tcBorders>
            <w:noWrap/>
            <w:vAlign w:val="center"/>
          </w:tcPr>
          <w:p w14:paraId="70EFC049">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项目立项</w:t>
            </w:r>
          </w:p>
        </w:tc>
        <w:tc>
          <w:tcPr>
            <w:tcW w:w="993" w:type="dxa"/>
            <w:vMerge w:val="restart"/>
            <w:tcBorders>
              <w:tl2br w:val="nil"/>
              <w:tr2bl w:val="nil"/>
            </w:tcBorders>
            <w:vAlign w:val="center"/>
          </w:tcPr>
          <w:p w14:paraId="38B0ABED">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8.00</w:t>
            </w:r>
          </w:p>
        </w:tc>
        <w:tc>
          <w:tcPr>
            <w:tcW w:w="1026" w:type="dxa"/>
            <w:vMerge w:val="restart"/>
            <w:tcBorders>
              <w:tl2br w:val="nil"/>
              <w:tr2bl w:val="nil"/>
            </w:tcBorders>
            <w:vAlign w:val="center"/>
          </w:tcPr>
          <w:p w14:paraId="6CC0833A">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8.00</w:t>
            </w:r>
          </w:p>
        </w:tc>
        <w:tc>
          <w:tcPr>
            <w:tcW w:w="2659" w:type="dxa"/>
            <w:tcBorders>
              <w:tl2br w:val="nil"/>
              <w:tr2bl w:val="nil"/>
            </w:tcBorders>
            <w:vAlign w:val="center"/>
          </w:tcPr>
          <w:p w14:paraId="307749FF">
            <w:pPr>
              <w:widowControl/>
              <w:spacing w:line="240" w:lineRule="auto"/>
              <w:ind w:firstLine="0" w:firstLineChars="0"/>
              <w:jc w:val="lef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1、立项依据充分性</w:t>
            </w:r>
          </w:p>
        </w:tc>
        <w:tc>
          <w:tcPr>
            <w:tcW w:w="992" w:type="dxa"/>
            <w:tcBorders>
              <w:tl2br w:val="nil"/>
              <w:tr2bl w:val="nil"/>
            </w:tcBorders>
            <w:vAlign w:val="center"/>
          </w:tcPr>
          <w:p w14:paraId="6B5E9446">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4.00</w:t>
            </w:r>
          </w:p>
        </w:tc>
        <w:tc>
          <w:tcPr>
            <w:tcW w:w="993" w:type="dxa"/>
            <w:tcBorders>
              <w:tl2br w:val="nil"/>
              <w:tr2bl w:val="nil"/>
            </w:tcBorders>
            <w:vAlign w:val="center"/>
          </w:tcPr>
          <w:p w14:paraId="266B3D10">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4.00</w:t>
            </w:r>
          </w:p>
        </w:tc>
      </w:tr>
      <w:tr w14:paraId="586F23D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tcBorders>
              <w:tl2br w:val="nil"/>
              <w:tr2bl w:val="nil"/>
            </w:tcBorders>
            <w:noWrap/>
            <w:vAlign w:val="center"/>
          </w:tcPr>
          <w:p w14:paraId="0A9C337C">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1417" w:type="dxa"/>
            <w:vMerge w:val="continue"/>
            <w:tcBorders>
              <w:tl2br w:val="nil"/>
              <w:tr2bl w:val="nil"/>
            </w:tcBorders>
            <w:noWrap/>
            <w:vAlign w:val="center"/>
          </w:tcPr>
          <w:p w14:paraId="256FCB54">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993" w:type="dxa"/>
            <w:vMerge w:val="continue"/>
            <w:tcBorders>
              <w:tl2br w:val="nil"/>
              <w:tr2bl w:val="nil"/>
            </w:tcBorders>
            <w:vAlign w:val="center"/>
          </w:tcPr>
          <w:p w14:paraId="4CD82098">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p>
        </w:tc>
        <w:tc>
          <w:tcPr>
            <w:tcW w:w="1026" w:type="dxa"/>
            <w:vMerge w:val="continue"/>
            <w:tcBorders>
              <w:tl2br w:val="nil"/>
              <w:tr2bl w:val="nil"/>
            </w:tcBorders>
            <w:vAlign w:val="center"/>
          </w:tcPr>
          <w:p w14:paraId="1A674136">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p>
        </w:tc>
        <w:tc>
          <w:tcPr>
            <w:tcW w:w="2659" w:type="dxa"/>
            <w:tcBorders>
              <w:tl2br w:val="nil"/>
              <w:tr2bl w:val="nil"/>
            </w:tcBorders>
            <w:vAlign w:val="center"/>
          </w:tcPr>
          <w:p w14:paraId="063D6DDE">
            <w:pPr>
              <w:widowControl/>
              <w:spacing w:line="240" w:lineRule="auto"/>
              <w:ind w:firstLine="0" w:firstLineChars="0"/>
              <w:jc w:val="lef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2、立项程序规范性</w:t>
            </w:r>
          </w:p>
        </w:tc>
        <w:tc>
          <w:tcPr>
            <w:tcW w:w="992" w:type="dxa"/>
            <w:tcBorders>
              <w:tl2br w:val="nil"/>
              <w:tr2bl w:val="nil"/>
            </w:tcBorders>
            <w:vAlign w:val="center"/>
          </w:tcPr>
          <w:p w14:paraId="7DAC886E">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4.00</w:t>
            </w:r>
          </w:p>
        </w:tc>
        <w:tc>
          <w:tcPr>
            <w:tcW w:w="993" w:type="dxa"/>
            <w:tcBorders>
              <w:tl2br w:val="nil"/>
              <w:tr2bl w:val="nil"/>
            </w:tcBorders>
            <w:vAlign w:val="center"/>
          </w:tcPr>
          <w:p w14:paraId="5EFAD94C">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4.00</w:t>
            </w:r>
          </w:p>
        </w:tc>
      </w:tr>
      <w:tr w14:paraId="31EDF80C">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tcBorders>
              <w:tl2br w:val="nil"/>
              <w:tr2bl w:val="nil"/>
            </w:tcBorders>
            <w:noWrap/>
            <w:vAlign w:val="center"/>
          </w:tcPr>
          <w:p w14:paraId="3ABE7972">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1417" w:type="dxa"/>
            <w:vMerge w:val="restart"/>
            <w:tcBorders>
              <w:tl2br w:val="nil"/>
              <w:tr2bl w:val="nil"/>
            </w:tcBorders>
            <w:noWrap/>
            <w:vAlign w:val="center"/>
          </w:tcPr>
          <w:p w14:paraId="3845E6CD">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绩效目标</w:t>
            </w:r>
          </w:p>
        </w:tc>
        <w:tc>
          <w:tcPr>
            <w:tcW w:w="993" w:type="dxa"/>
            <w:vMerge w:val="restart"/>
            <w:tcBorders>
              <w:tl2br w:val="nil"/>
              <w:tr2bl w:val="nil"/>
            </w:tcBorders>
            <w:vAlign w:val="center"/>
          </w:tcPr>
          <w:p w14:paraId="6CB41EE3">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6.00</w:t>
            </w:r>
          </w:p>
        </w:tc>
        <w:tc>
          <w:tcPr>
            <w:tcW w:w="1026" w:type="dxa"/>
            <w:vMerge w:val="restart"/>
            <w:tcBorders>
              <w:tl2br w:val="nil"/>
              <w:tr2bl w:val="nil"/>
            </w:tcBorders>
            <w:vAlign w:val="center"/>
          </w:tcPr>
          <w:p w14:paraId="5511D131">
            <w:pPr>
              <w:widowControl/>
              <w:spacing w:line="240" w:lineRule="auto"/>
              <w:ind w:firstLine="0" w:firstLineChars="0"/>
              <w:jc w:val="right"/>
              <w:textAlignment w:val="bottom"/>
              <w:rPr>
                <w:rFonts w:hint="default" w:ascii="Times New Roman" w:hAnsi="Times New Roman" w:eastAsia="仿宋" w:cs="Times New Roman"/>
                <w:color w:val="000000"/>
                <w:kern w:val="0"/>
                <w:sz w:val="24"/>
                <w:lang w:val="en-US" w:eastAsia="zh-CN"/>
              </w:rPr>
            </w:pPr>
            <w:r>
              <w:rPr>
                <w:rFonts w:hint="default" w:ascii="Times New Roman" w:hAnsi="Times New Roman" w:eastAsia="仿宋" w:cs="Times New Roman"/>
                <w:color w:val="000000"/>
                <w:kern w:val="0"/>
                <w:sz w:val="24"/>
              </w:rPr>
              <w:t>4</w:t>
            </w:r>
            <w:r>
              <w:rPr>
                <w:rFonts w:hint="default" w:ascii="Times New Roman" w:hAnsi="Times New Roman" w:eastAsia="仿宋" w:cs="Times New Roman"/>
                <w:color w:val="000000"/>
                <w:kern w:val="0"/>
                <w:sz w:val="24"/>
                <w:lang w:eastAsia="zh-CN"/>
              </w:rPr>
              <w:t>.</w:t>
            </w:r>
            <w:r>
              <w:rPr>
                <w:rFonts w:hint="default" w:ascii="Times New Roman" w:hAnsi="Times New Roman" w:eastAsia="仿宋" w:cs="Times New Roman"/>
                <w:color w:val="000000"/>
                <w:kern w:val="0"/>
                <w:sz w:val="24"/>
                <w:lang w:val="en-US" w:eastAsia="zh-CN"/>
              </w:rPr>
              <w:t>00</w:t>
            </w:r>
          </w:p>
        </w:tc>
        <w:tc>
          <w:tcPr>
            <w:tcW w:w="2659" w:type="dxa"/>
            <w:tcBorders>
              <w:tl2br w:val="nil"/>
              <w:tr2bl w:val="nil"/>
            </w:tcBorders>
            <w:vAlign w:val="center"/>
          </w:tcPr>
          <w:p w14:paraId="27931FD7">
            <w:pPr>
              <w:widowControl/>
              <w:spacing w:line="240" w:lineRule="auto"/>
              <w:ind w:firstLine="0" w:firstLineChars="0"/>
              <w:jc w:val="lef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3、绩效目标合理性</w:t>
            </w:r>
          </w:p>
        </w:tc>
        <w:tc>
          <w:tcPr>
            <w:tcW w:w="992" w:type="dxa"/>
            <w:tcBorders>
              <w:tl2br w:val="nil"/>
              <w:tr2bl w:val="nil"/>
            </w:tcBorders>
            <w:vAlign w:val="center"/>
          </w:tcPr>
          <w:p w14:paraId="5239492E">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3.00</w:t>
            </w:r>
          </w:p>
        </w:tc>
        <w:tc>
          <w:tcPr>
            <w:tcW w:w="993" w:type="dxa"/>
            <w:tcBorders>
              <w:tl2br w:val="nil"/>
              <w:tr2bl w:val="nil"/>
            </w:tcBorders>
            <w:vAlign w:val="center"/>
          </w:tcPr>
          <w:p w14:paraId="7AB94DE3">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3.00</w:t>
            </w:r>
          </w:p>
        </w:tc>
      </w:tr>
      <w:tr w14:paraId="650101D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tcBorders>
              <w:tl2br w:val="nil"/>
              <w:tr2bl w:val="nil"/>
            </w:tcBorders>
            <w:noWrap/>
            <w:vAlign w:val="center"/>
          </w:tcPr>
          <w:p w14:paraId="1151C47F">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1417" w:type="dxa"/>
            <w:vMerge w:val="continue"/>
            <w:tcBorders>
              <w:tl2br w:val="nil"/>
              <w:tr2bl w:val="nil"/>
            </w:tcBorders>
            <w:noWrap/>
            <w:vAlign w:val="center"/>
          </w:tcPr>
          <w:p w14:paraId="08EBF157">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993" w:type="dxa"/>
            <w:vMerge w:val="continue"/>
            <w:tcBorders>
              <w:tl2br w:val="nil"/>
              <w:tr2bl w:val="nil"/>
            </w:tcBorders>
            <w:vAlign w:val="center"/>
          </w:tcPr>
          <w:p w14:paraId="5E9648BB">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p>
        </w:tc>
        <w:tc>
          <w:tcPr>
            <w:tcW w:w="1026" w:type="dxa"/>
            <w:vMerge w:val="continue"/>
            <w:tcBorders>
              <w:tl2br w:val="nil"/>
              <w:tr2bl w:val="nil"/>
            </w:tcBorders>
            <w:vAlign w:val="center"/>
          </w:tcPr>
          <w:p w14:paraId="46711BA1">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p>
        </w:tc>
        <w:tc>
          <w:tcPr>
            <w:tcW w:w="2659" w:type="dxa"/>
            <w:tcBorders>
              <w:tl2br w:val="nil"/>
              <w:tr2bl w:val="nil"/>
            </w:tcBorders>
            <w:vAlign w:val="center"/>
          </w:tcPr>
          <w:p w14:paraId="7C3DC654">
            <w:pPr>
              <w:widowControl/>
              <w:spacing w:line="240" w:lineRule="auto"/>
              <w:ind w:firstLine="0" w:firstLineChars="0"/>
              <w:jc w:val="lef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4、绩效指标明确性</w:t>
            </w:r>
          </w:p>
        </w:tc>
        <w:tc>
          <w:tcPr>
            <w:tcW w:w="992" w:type="dxa"/>
            <w:tcBorders>
              <w:tl2br w:val="nil"/>
              <w:tr2bl w:val="nil"/>
            </w:tcBorders>
            <w:vAlign w:val="center"/>
          </w:tcPr>
          <w:p w14:paraId="68EE725C">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3.00</w:t>
            </w:r>
          </w:p>
        </w:tc>
        <w:tc>
          <w:tcPr>
            <w:tcW w:w="993" w:type="dxa"/>
            <w:tcBorders>
              <w:tl2br w:val="nil"/>
              <w:tr2bl w:val="nil"/>
            </w:tcBorders>
            <w:vAlign w:val="center"/>
          </w:tcPr>
          <w:p w14:paraId="1EA6185A">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1.00</w:t>
            </w:r>
          </w:p>
        </w:tc>
      </w:tr>
      <w:tr w14:paraId="6745CCC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tcBorders>
              <w:tl2br w:val="nil"/>
              <w:tr2bl w:val="nil"/>
            </w:tcBorders>
            <w:noWrap/>
            <w:vAlign w:val="center"/>
          </w:tcPr>
          <w:p w14:paraId="72B1A54B">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1417" w:type="dxa"/>
            <w:vMerge w:val="restart"/>
            <w:tcBorders>
              <w:tl2br w:val="nil"/>
              <w:tr2bl w:val="nil"/>
            </w:tcBorders>
            <w:noWrap/>
            <w:vAlign w:val="center"/>
          </w:tcPr>
          <w:p w14:paraId="241F33EC">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资金投入</w:t>
            </w:r>
          </w:p>
        </w:tc>
        <w:tc>
          <w:tcPr>
            <w:tcW w:w="993" w:type="dxa"/>
            <w:vMerge w:val="restart"/>
            <w:tcBorders>
              <w:tl2br w:val="nil"/>
              <w:tr2bl w:val="nil"/>
            </w:tcBorders>
            <w:vAlign w:val="center"/>
          </w:tcPr>
          <w:p w14:paraId="5C179A02">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6.00</w:t>
            </w:r>
          </w:p>
        </w:tc>
        <w:tc>
          <w:tcPr>
            <w:tcW w:w="1026" w:type="dxa"/>
            <w:vMerge w:val="restart"/>
            <w:tcBorders>
              <w:tl2br w:val="nil"/>
              <w:tr2bl w:val="nil"/>
            </w:tcBorders>
            <w:vAlign w:val="center"/>
          </w:tcPr>
          <w:p w14:paraId="107C1E30">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6.00</w:t>
            </w:r>
          </w:p>
        </w:tc>
        <w:tc>
          <w:tcPr>
            <w:tcW w:w="2659" w:type="dxa"/>
            <w:tcBorders>
              <w:tl2br w:val="nil"/>
              <w:tr2bl w:val="nil"/>
            </w:tcBorders>
            <w:vAlign w:val="center"/>
          </w:tcPr>
          <w:p w14:paraId="049EDAA7">
            <w:pPr>
              <w:widowControl/>
              <w:spacing w:line="240" w:lineRule="auto"/>
              <w:ind w:firstLine="0" w:firstLineChars="0"/>
              <w:jc w:val="lef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5、预算编制科学性</w:t>
            </w:r>
          </w:p>
        </w:tc>
        <w:tc>
          <w:tcPr>
            <w:tcW w:w="992" w:type="dxa"/>
            <w:tcBorders>
              <w:tl2br w:val="nil"/>
              <w:tr2bl w:val="nil"/>
            </w:tcBorders>
            <w:vAlign w:val="center"/>
          </w:tcPr>
          <w:p w14:paraId="5D36E985">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3.00</w:t>
            </w:r>
          </w:p>
        </w:tc>
        <w:tc>
          <w:tcPr>
            <w:tcW w:w="993" w:type="dxa"/>
            <w:tcBorders>
              <w:tl2br w:val="nil"/>
              <w:tr2bl w:val="nil"/>
            </w:tcBorders>
            <w:vAlign w:val="center"/>
          </w:tcPr>
          <w:p w14:paraId="1EA97DA4">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3.00</w:t>
            </w:r>
          </w:p>
        </w:tc>
      </w:tr>
      <w:tr w14:paraId="1131415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tcBorders>
              <w:tl2br w:val="nil"/>
              <w:tr2bl w:val="nil"/>
            </w:tcBorders>
            <w:noWrap/>
            <w:vAlign w:val="center"/>
          </w:tcPr>
          <w:p w14:paraId="7BCCC939">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1417" w:type="dxa"/>
            <w:vMerge w:val="continue"/>
            <w:tcBorders>
              <w:tl2br w:val="nil"/>
              <w:tr2bl w:val="nil"/>
            </w:tcBorders>
            <w:noWrap/>
            <w:vAlign w:val="center"/>
          </w:tcPr>
          <w:p w14:paraId="7A5089FD">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993" w:type="dxa"/>
            <w:vMerge w:val="continue"/>
            <w:tcBorders>
              <w:tl2br w:val="nil"/>
              <w:tr2bl w:val="nil"/>
            </w:tcBorders>
            <w:vAlign w:val="center"/>
          </w:tcPr>
          <w:p w14:paraId="7ECA9988">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p>
        </w:tc>
        <w:tc>
          <w:tcPr>
            <w:tcW w:w="1026" w:type="dxa"/>
            <w:vMerge w:val="continue"/>
            <w:tcBorders>
              <w:tl2br w:val="nil"/>
              <w:tr2bl w:val="nil"/>
            </w:tcBorders>
            <w:vAlign w:val="center"/>
          </w:tcPr>
          <w:p w14:paraId="3D70E287">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p>
        </w:tc>
        <w:tc>
          <w:tcPr>
            <w:tcW w:w="2659" w:type="dxa"/>
            <w:tcBorders>
              <w:tl2br w:val="nil"/>
              <w:tr2bl w:val="nil"/>
            </w:tcBorders>
            <w:vAlign w:val="center"/>
          </w:tcPr>
          <w:p w14:paraId="2EAF3314">
            <w:pPr>
              <w:widowControl/>
              <w:spacing w:line="240" w:lineRule="auto"/>
              <w:ind w:firstLine="0" w:firstLineChars="0"/>
              <w:jc w:val="lef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6、资金分配合理性</w:t>
            </w:r>
          </w:p>
        </w:tc>
        <w:tc>
          <w:tcPr>
            <w:tcW w:w="992" w:type="dxa"/>
            <w:tcBorders>
              <w:tl2br w:val="nil"/>
              <w:tr2bl w:val="nil"/>
            </w:tcBorders>
            <w:vAlign w:val="center"/>
          </w:tcPr>
          <w:p w14:paraId="12475E89">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3.00</w:t>
            </w:r>
          </w:p>
        </w:tc>
        <w:tc>
          <w:tcPr>
            <w:tcW w:w="993" w:type="dxa"/>
            <w:tcBorders>
              <w:tl2br w:val="nil"/>
              <w:tr2bl w:val="nil"/>
            </w:tcBorders>
            <w:vAlign w:val="center"/>
          </w:tcPr>
          <w:p w14:paraId="57026032">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3.00</w:t>
            </w:r>
          </w:p>
        </w:tc>
      </w:tr>
      <w:tr w14:paraId="41F509C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restart"/>
            <w:tcBorders>
              <w:tl2br w:val="nil"/>
              <w:tr2bl w:val="nil"/>
            </w:tcBorders>
            <w:noWrap/>
            <w:vAlign w:val="center"/>
          </w:tcPr>
          <w:p w14:paraId="29A59FDF">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过程20分</w:t>
            </w:r>
          </w:p>
        </w:tc>
        <w:tc>
          <w:tcPr>
            <w:tcW w:w="1417" w:type="dxa"/>
            <w:vMerge w:val="restart"/>
            <w:tcBorders>
              <w:tl2br w:val="nil"/>
              <w:tr2bl w:val="nil"/>
            </w:tcBorders>
            <w:noWrap/>
            <w:vAlign w:val="center"/>
          </w:tcPr>
          <w:p w14:paraId="51F2F6FE">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资金管理</w:t>
            </w:r>
          </w:p>
        </w:tc>
        <w:tc>
          <w:tcPr>
            <w:tcW w:w="993" w:type="dxa"/>
            <w:vMerge w:val="restart"/>
            <w:tcBorders>
              <w:tl2br w:val="nil"/>
              <w:tr2bl w:val="nil"/>
            </w:tcBorders>
            <w:vAlign w:val="center"/>
          </w:tcPr>
          <w:p w14:paraId="70FA44F6">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lang w:val="en-US" w:eastAsia="zh-CN"/>
              </w:rPr>
              <w:t>8</w:t>
            </w:r>
            <w:r>
              <w:rPr>
                <w:rFonts w:hint="default" w:ascii="Times New Roman" w:hAnsi="Times New Roman" w:eastAsia="仿宋" w:cs="Times New Roman"/>
                <w:color w:val="000000"/>
                <w:kern w:val="0"/>
                <w:sz w:val="24"/>
              </w:rPr>
              <w:t>.00</w:t>
            </w:r>
          </w:p>
        </w:tc>
        <w:tc>
          <w:tcPr>
            <w:tcW w:w="1026" w:type="dxa"/>
            <w:vMerge w:val="restart"/>
            <w:tcBorders>
              <w:tl2br w:val="nil"/>
              <w:tr2bl w:val="nil"/>
            </w:tcBorders>
            <w:vAlign w:val="center"/>
          </w:tcPr>
          <w:p w14:paraId="4C3497A3">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lang w:val="en-US" w:eastAsia="zh-CN"/>
              </w:rPr>
              <w:t>7</w:t>
            </w:r>
            <w:r>
              <w:rPr>
                <w:rFonts w:hint="default" w:ascii="Times New Roman" w:hAnsi="Times New Roman" w:eastAsia="仿宋" w:cs="Times New Roman"/>
                <w:color w:val="000000"/>
                <w:kern w:val="0"/>
                <w:sz w:val="24"/>
              </w:rPr>
              <w:t>.00</w:t>
            </w:r>
          </w:p>
        </w:tc>
        <w:tc>
          <w:tcPr>
            <w:tcW w:w="2659" w:type="dxa"/>
            <w:tcBorders>
              <w:tl2br w:val="nil"/>
              <w:tr2bl w:val="nil"/>
            </w:tcBorders>
            <w:vAlign w:val="center"/>
          </w:tcPr>
          <w:p w14:paraId="18AA353D">
            <w:pPr>
              <w:widowControl/>
              <w:spacing w:line="240" w:lineRule="auto"/>
              <w:ind w:firstLine="0" w:firstLineChars="0"/>
              <w:jc w:val="lef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7、资金到位率</w:t>
            </w:r>
          </w:p>
        </w:tc>
        <w:tc>
          <w:tcPr>
            <w:tcW w:w="992" w:type="dxa"/>
            <w:tcBorders>
              <w:tl2br w:val="nil"/>
              <w:tr2bl w:val="nil"/>
            </w:tcBorders>
            <w:vAlign w:val="center"/>
          </w:tcPr>
          <w:p w14:paraId="54C923A6">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lang w:val="en-US" w:eastAsia="zh-CN"/>
              </w:rPr>
              <w:t>2</w:t>
            </w:r>
            <w:r>
              <w:rPr>
                <w:rFonts w:hint="default" w:ascii="Times New Roman" w:hAnsi="Times New Roman" w:eastAsia="仿宋" w:cs="Times New Roman"/>
                <w:color w:val="000000"/>
                <w:kern w:val="0"/>
                <w:sz w:val="24"/>
              </w:rPr>
              <w:t>.00</w:t>
            </w:r>
          </w:p>
        </w:tc>
        <w:tc>
          <w:tcPr>
            <w:tcW w:w="993" w:type="dxa"/>
            <w:tcBorders>
              <w:tl2br w:val="nil"/>
              <w:tr2bl w:val="nil"/>
            </w:tcBorders>
            <w:vAlign w:val="center"/>
          </w:tcPr>
          <w:p w14:paraId="436983E0">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lang w:val="en-US" w:eastAsia="zh-CN"/>
              </w:rPr>
              <w:t>2</w:t>
            </w:r>
            <w:r>
              <w:rPr>
                <w:rFonts w:hint="default" w:ascii="Times New Roman" w:hAnsi="Times New Roman" w:eastAsia="仿宋" w:cs="Times New Roman"/>
                <w:color w:val="000000"/>
                <w:kern w:val="0"/>
                <w:sz w:val="24"/>
              </w:rPr>
              <w:t>.00</w:t>
            </w:r>
          </w:p>
        </w:tc>
      </w:tr>
      <w:tr w14:paraId="3E91C06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tcBorders>
              <w:tl2br w:val="nil"/>
              <w:tr2bl w:val="nil"/>
            </w:tcBorders>
            <w:noWrap/>
            <w:vAlign w:val="center"/>
          </w:tcPr>
          <w:p w14:paraId="70851C96">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1417" w:type="dxa"/>
            <w:vMerge w:val="continue"/>
            <w:tcBorders>
              <w:tl2br w:val="nil"/>
              <w:tr2bl w:val="nil"/>
            </w:tcBorders>
            <w:noWrap/>
            <w:vAlign w:val="center"/>
          </w:tcPr>
          <w:p w14:paraId="3DA6AC04">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993" w:type="dxa"/>
            <w:vMerge w:val="continue"/>
            <w:tcBorders>
              <w:tl2br w:val="nil"/>
              <w:tr2bl w:val="nil"/>
            </w:tcBorders>
            <w:vAlign w:val="center"/>
          </w:tcPr>
          <w:p w14:paraId="3E21E34E">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p>
        </w:tc>
        <w:tc>
          <w:tcPr>
            <w:tcW w:w="1026" w:type="dxa"/>
            <w:vMerge w:val="continue"/>
            <w:tcBorders>
              <w:tl2br w:val="nil"/>
              <w:tr2bl w:val="nil"/>
            </w:tcBorders>
            <w:vAlign w:val="center"/>
          </w:tcPr>
          <w:p w14:paraId="3519F69C">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p>
        </w:tc>
        <w:tc>
          <w:tcPr>
            <w:tcW w:w="2659" w:type="dxa"/>
            <w:tcBorders>
              <w:tl2br w:val="nil"/>
              <w:tr2bl w:val="nil"/>
            </w:tcBorders>
            <w:vAlign w:val="center"/>
          </w:tcPr>
          <w:p w14:paraId="40169F41">
            <w:pPr>
              <w:widowControl/>
              <w:spacing w:line="240" w:lineRule="auto"/>
              <w:ind w:firstLine="0" w:firstLineChars="0"/>
              <w:jc w:val="lef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8、预算执行率</w:t>
            </w:r>
          </w:p>
        </w:tc>
        <w:tc>
          <w:tcPr>
            <w:tcW w:w="992" w:type="dxa"/>
            <w:tcBorders>
              <w:tl2br w:val="nil"/>
              <w:tr2bl w:val="nil"/>
            </w:tcBorders>
            <w:vAlign w:val="center"/>
          </w:tcPr>
          <w:p w14:paraId="3EE85F9F">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lang w:val="en-US" w:eastAsia="zh-CN"/>
              </w:rPr>
              <w:t>2</w:t>
            </w:r>
            <w:r>
              <w:rPr>
                <w:rFonts w:hint="default" w:ascii="Times New Roman" w:hAnsi="Times New Roman" w:eastAsia="仿宋" w:cs="Times New Roman"/>
                <w:color w:val="000000"/>
                <w:kern w:val="0"/>
                <w:sz w:val="24"/>
              </w:rPr>
              <w:t>.00</w:t>
            </w:r>
          </w:p>
        </w:tc>
        <w:tc>
          <w:tcPr>
            <w:tcW w:w="993" w:type="dxa"/>
            <w:tcBorders>
              <w:tl2br w:val="nil"/>
              <w:tr2bl w:val="nil"/>
            </w:tcBorders>
            <w:vAlign w:val="center"/>
          </w:tcPr>
          <w:p w14:paraId="73A93CE3">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lang w:val="en-US" w:eastAsia="zh-CN"/>
              </w:rPr>
              <w:t>2</w:t>
            </w:r>
            <w:r>
              <w:rPr>
                <w:rFonts w:hint="default" w:ascii="Times New Roman" w:hAnsi="Times New Roman" w:eastAsia="仿宋" w:cs="Times New Roman"/>
                <w:color w:val="000000"/>
                <w:kern w:val="0"/>
                <w:sz w:val="24"/>
              </w:rPr>
              <w:t>.00</w:t>
            </w:r>
          </w:p>
        </w:tc>
      </w:tr>
      <w:tr w14:paraId="106F5D8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tcBorders>
              <w:tl2br w:val="nil"/>
              <w:tr2bl w:val="nil"/>
            </w:tcBorders>
            <w:noWrap/>
            <w:vAlign w:val="center"/>
          </w:tcPr>
          <w:p w14:paraId="788F3E01">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1417" w:type="dxa"/>
            <w:vMerge w:val="continue"/>
            <w:tcBorders>
              <w:tl2br w:val="nil"/>
              <w:tr2bl w:val="nil"/>
            </w:tcBorders>
            <w:noWrap/>
            <w:vAlign w:val="center"/>
          </w:tcPr>
          <w:p w14:paraId="2A4A9F9B">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993" w:type="dxa"/>
            <w:vMerge w:val="continue"/>
            <w:tcBorders>
              <w:tl2br w:val="nil"/>
              <w:tr2bl w:val="nil"/>
            </w:tcBorders>
            <w:vAlign w:val="center"/>
          </w:tcPr>
          <w:p w14:paraId="0BD9BEE0">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p>
        </w:tc>
        <w:tc>
          <w:tcPr>
            <w:tcW w:w="1026" w:type="dxa"/>
            <w:vMerge w:val="continue"/>
            <w:tcBorders>
              <w:tl2br w:val="nil"/>
              <w:tr2bl w:val="nil"/>
            </w:tcBorders>
            <w:vAlign w:val="center"/>
          </w:tcPr>
          <w:p w14:paraId="3B7C4861">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p>
        </w:tc>
        <w:tc>
          <w:tcPr>
            <w:tcW w:w="2659" w:type="dxa"/>
            <w:tcBorders>
              <w:tl2br w:val="nil"/>
              <w:tr2bl w:val="nil"/>
            </w:tcBorders>
            <w:vAlign w:val="center"/>
          </w:tcPr>
          <w:p w14:paraId="29F18323">
            <w:pPr>
              <w:widowControl/>
              <w:spacing w:line="240" w:lineRule="auto"/>
              <w:ind w:firstLine="0" w:firstLineChars="0"/>
              <w:jc w:val="lef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9、资金使用合规性</w:t>
            </w:r>
          </w:p>
        </w:tc>
        <w:tc>
          <w:tcPr>
            <w:tcW w:w="992" w:type="dxa"/>
            <w:tcBorders>
              <w:tl2br w:val="nil"/>
              <w:tr2bl w:val="nil"/>
            </w:tcBorders>
            <w:vAlign w:val="center"/>
          </w:tcPr>
          <w:p w14:paraId="31409DA6">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4.00</w:t>
            </w:r>
          </w:p>
        </w:tc>
        <w:tc>
          <w:tcPr>
            <w:tcW w:w="993" w:type="dxa"/>
            <w:tcBorders>
              <w:tl2br w:val="nil"/>
              <w:tr2bl w:val="nil"/>
            </w:tcBorders>
            <w:vAlign w:val="center"/>
          </w:tcPr>
          <w:p w14:paraId="16ECAB2B">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3.00</w:t>
            </w:r>
          </w:p>
        </w:tc>
      </w:tr>
      <w:tr w14:paraId="0A75678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tcBorders>
              <w:tl2br w:val="nil"/>
              <w:tr2bl w:val="nil"/>
            </w:tcBorders>
            <w:noWrap/>
            <w:vAlign w:val="center"/>
          </w:tcPr>
          <w:p w14:paraId="1B62B8EA">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1417" w:type="dxa"/>
            <w:vMerge w:val="restart"/>
            <w:tcBorders>
              <w:tl2br w:val="nil"/>
              <w:tr2bl w:val="nil"/>
            </w:tcBorders>
            <w:noWrap/>
            <w:vAlign w:val="center"/>
          </w:tcPr>
          <w:p w14:paraId="355CB270">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组织实施</w:t>
            </w:r>
          </w:p>
        </w:tc>
        <w:tc>
          <w:tcPr>
            <w:tcW w:w="993" w:type="dxa"/>
            <w:vMerge w:val="restart"/>
            <w:tcBorders>
              <w:tl2br w:val="nil"/>
              <w:tr2bl w:val="nil"/>
            </w:tcBorders>
            <w:vAlign w:val="center"/>
          </w:tcPr>
          <w:p w14:paraId="40364CD4">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1</w:t>
            </w:r>
            <w:r>
              <w:rPr>
                <w:rFonts w:hint="default" w:ascii="Times New Roman" w:hAnsi="Times New Roman" w:eastAsia="仿宋" w:cs="Times New Roman"/>
                <w:color w:val="000000"/>
                <w:kern w:val="0"/>
                <w:sz w:val="24"/>
                <w:lang w:val="en-US" w:eastAsia="zh-CN"/>
              </w:rPr>
              <w:t>2</w:t>
            </w:r>
            <w:r>
              <w:rPr>
                <w:rFonts w:hint="default" w:ascii="Times New Roman" w:hAnsi="Times New Roman" w:eastAsia="仿宋" w:cs="Times New Roman"/>
                <w:color w:val="000000"/>
                <w:kern w:val="0"/>
                <w:sz w:val="24"/>
              </w:rPr>
              <w:t>.00</w:t>
            </w:r>
          </w:p>
        </w:tc>
        <w:tc>
          <w:tcPr>
            <w:tcW w:w="1026" w:type="dxa"/>
            <w:vMerge w:val="restart"/>
            <w:tcBorders>
              <w:tl2br w:val="nil"/>
              <w:tr2bl w:val="nil"/>
            </w:tcBorders>
            <w:vAlign w:val="center"/>
          </w:tcPr>
          <w:p w14:paraId="7E2E2832">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1</w:t>
            </w:r>
            <w:r>
              <w:rPr>
                <w:rFonts w:hint="default" w:ascii="Times New Roman" w:hAnsi="Times New Roman" w:eastAsia="仿宋" w:cs="Times New Roman"/>
                <w:color w:val="000000"/>
                <w:kern w:val="0"/>
                <w:sz w:val="24"/>
                <w:lang w:val="en-US" w:eastAsia="zh-CN"/>
              </w:rPr>
              <w:t>2</w:t>
            </w:r>
            <w:r>
              <w:rPr>
                <w:rFonts w:hint="default" w:ascii="Times New Roman" w:hAnsi="Times New Roman" w:eastAsia="仿宋" w:cs="Times New Roman"/>
                <w:color w:val="000000"/>
                <w:kern w:val="0"/>
                <w:sz w:val="24"/>
              </w:rPr>
              <w:t>.00</w:t>
            </w:r>
          </w:p>
        </w:tc>
        <w:tc>
          <w:tcPr>
            <w:tcW w:w="2659" w:type="dxa"/>
            <w:tcBorders>
              <w:tl2br w:val="nil"/>
              <w:tr2bl w:val="nil"/>
            </w:tcBorders>
            <w:vAlign w:val="center"/>
          </w:tcPr>
          <w:p w14:paraId="4BC8F56F">
            <w:pPr>
              <w:widowControl/>
              <w:spacing w:line="240" w:lineRule="auto"/>
              <w:ind w:firstLine="0" w:firstLineChars="0"/>
              <w:jc w:val="lef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10、管理制度健全性</w:t>
            </w:r>
          </w:p>
        </w:tc>
        <w:tc>
          <w:tcPr>
            <w:tcW w:w="992" w:type="dxa"/>
            <w:tcBorders>
              <w:tl2br w:val="nil"/>
              <w:tr2bl w:val="nil"/>
            </w:tcBorders>
            <w:vAlign w:val="center"/>
          </w:tcPr>
          <w:p w14:paraId="777C731F">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4.00</w:t>
            </w:r>
          </w:p>
        </w:tc>
        <w:tc>
          <w:tcPr>
            <w:tcW w:w="993" w:type="dxa"/>
            <w:tcBorders>
              <w:tl2br w:val="nil"/>
              <w:tr2bl w:val="nil"/>
            </w:tcBorders>
            <w:vAlign w:val="center"/>
          </w:tcPr>
          <w:p w14:paraId="7C595742">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4.00</w:t>
            </w:r>
          </w:p>
        </w:tc>
      </w:tr>
      <w:tr w14:paraId="2D416C89">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tcBorders>
              <w:tl2br w:val="nil"/>
              <w:tr2bl w:val="nil"/>
            </w:tcBorders>
            <w:noWrap/>
            <w:vAlign w:val="center"/>
          </w:tcPr>
          <w:p w14:paraId="55108253">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1417" w:type="dxa"/>
            <w:vMerge w:val="continue"/>
            <w:tcBorders>
              <w:tl2br w:val="nil"/>
              <w:tr2bl w:val="nil"/>
            </w:tcBorders>
            <w:noWrap/>
            <w:vAlign w:val="center"/>
          </w:tcPr>
          <w:p w14:paraId="75648869">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993" w:type="dxa"/>
            <w:vMerge w:val="continue"/>
            <w:tcBorders>
              <w:tl2br w:val="nil"/>
              <w:tr2bl w:val="nil"/>
            </w:tcBorders>
            <w:vAlign w:val="center"/>
          </w:tcPr>
          <w:p w14:paraId="2CD21151">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p>
        </w:tc>
        <w:tc>
          <w:tcPr>
            <w:tcW w:w="1026" w:type="dxa"/>
            <w:vMerge w:val="continue"/>
            <w:tcBorders>
              <w:tl2br w:val="nil"/>
              <w:tr2bl w:val="nil"/>
            </w:tcBorders>
            <w:vAlign w:val="center"/>
          </w:tcPr>
          <w:p w14:paraId="11EF1CEE">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p>
        </w:tc>
        <w:tc>
          <w:tcPr>
            <w:tcW w:w="2659" w:type="dxa"/>
            <w:tcBorders>
              <w:tl2br w:val="nil"/>
              <w:tr2bl w:val="nil"/>
            </w:tcBorders>
            <w:vAlign w:val="center"/>
          </w:tcPr>
          <w:p w14:paraId="1D359B66">
            <w:pPr>
              <w:widowControl/>
              <w:spacing w:line="240" w:lineRule="auto"/>
              <w:ind w:firstLine="0" w:firstLineChars="0"/>
              <w:jc w:val="lef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11、制度执行有效性</w:t>
            </w:r>
          </w:p>
        </w:tc>
        <w:tc>
          <w:tcPr>
            <w:tcW w:w="992" w:type="dxa"/>
            <w:tcBorders>
              <w:tl2br w:val="nil"/>
              <w:tr2bl w:val="nil"/>
            </w:tcBorders>
            <w:vAlign w:val="center"/>
          </w:tcPr>
          <w:p w14:paraId="2C974FBA">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lang w:val="en-US" w:eastAsia="zh-CN"/>
              </w:rPr>
              <w:t>8</w:t>
            </w:r>
            <w:r>
              <w:rPr>
                <w:rFonts w:hint="default" w:ascii="Times New Roman" w:hAnsi="Times New Roman" w:eastAsia="仿宋" w:cs="Times New Roman"/>
                <w:color w:val="000000"/>
                <w:kern w:val="0"/>
                <w:sz w:val="24"/>
              </w:rPr>
              <w:t>.00</w:t>
            </w:r>
          </w:p>
        </w:tc>
        <w:tc>
          <w:tcPr>
            <w:tcW w:w="993" w:type="dxa"/>
            <w:tcBorders>
              <w:tl2br w:val="nil"/>
              <w:tr2bl w:val="nil"/>
            </w:tcBorders>
            <w:vAlign w:val="center"/>
          </w:tcPr>
          <w:p w14:paraId="43DA6AD6">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lang w:val="en-US" w:eastAsia="zh-CN"/>
              </w:rPr>
              <w:t>8</w:t>
            </w:r>
            <w:r>
              <w:rPr>
                <w:rFonts w:hint="default" w:ascii="Times New Roman" w:hAnsi="Times New Roman" w:eastAsia="仿宋" w:cs="Times New Roman"/>
                <w:color w:val="000000"/>
                <w:kern w:val="0"/>
                <w:sz w:val="24"/>
              </w:rPr>
              <w:t>.00</w:t>
            </w:r>
          </w:p>
        </w:tc>
      </w:tr>
      <w:tr w14:paraId="58F1900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restart"/>
            <w:tcBorders>
              <w:tl2br w:val="nil"/>
              <w:tr2bl w:val="nil"/>
            </w:tcBorders>
            <w:noWrap/>
            <w:vAlign w:val="center"/>
          </w:tcPr>
          <w:p w14:paraId="41ED809D">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产出30分</w:t>
            </w:r>
          </w:p>
        </w:tc>
        <w:tc>
          <w:tcPr>
            <w:tcW w:w="1417" w:type="dxa"/>
            <w:tcBorders>
              <w:tl2br w:val="nil"/>
              <w:tr2bl w:val="nil"/>
            </w:tcBorders>
            <w:noWrap/>
            <w:vAlign w:val="center"/>
          </w:tcPr>
          <w:p w14:paraId="4F6BCD64">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产出数量</w:t>
            </w:r>
          </w:p>
        </w:tc>
        <w:tc>
          <w:tcPr>
            <w:tcW w:w="993" w:type="dxa"/>
            <w:tcBorders>
              <w:tl2br w:val="nil"/>
              <w:tr2bl w:val="nil"/>
            </w:tcBorders>
            <w:vAlign w:val="center"/>
          </w:tcPr>
          <w:p w14:paraId="75B364AB">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9.00</w:t>
            </w:r>
          </w:p>
        </w:tc>
        <w:tc>
          <w:tcPr>
            <w:tcW w:w="1026" w:type="dxa"/>
            <w:tcBorders>
              <w:tl2br w:val="nil"/>
              <w:tr2bl w:val="nil"/>
            </w:tcBorders>
            <w:vAlign w:val="center"/>
          </w:tcPr>
          <w:p w14:paraId="7E29F12C">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9.00</w:t>
            </w:r>
          </w:p>
        </w:tc>
        <w:tc>
          <w:tcPr>
            <w:tcW w:w="2659" w:type="dxa"/>
            <w:tcBorders>
              <w:tl2br w:val="nil"/>
              <w:tr2bl w:val="nil"/>
            </w:tcBorders>
            <w:vAlign w:val="center"/>
          </w:tcPr>
          <w:p w14:paraId="2A162B55">
            <w:pPr>
              <w:widowControl/>
              <w:spacing w:line="240" w:lineRule="auto"/>
              <w:ind w:firstLine="0" w:firstLineChars="0"/>
              <w:jc w:val="lef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12、实际完成率</w:t>
            </w:r>
          </w:p>
        </w:tc>
        <w:tc>
          <w:tcPr>
            <w:tcW w:w="992" w:type="dxa"/>
            <w:tcBorders>
              <w:tl2br w:val="nil"/>
              <w:tr2bl w:val="nil"/>
            </w:tcBorders>
            <w:vAlign w:val="center"/>
          </w:tcPr>
          <w:p w14:paraId="2F892995">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9.00</w:t>
            </w:r>
          </w:p>
        </w:tc>
        <w:tc>
          <w:tcPr>
            <w:tcW w:w="993" w:type="dxa"/>
            <w:tcBorders>
              <w:tl2br w:val="nil"/>
              <w:tr2bl w:val="nil"/>
            </w:tcBorders>
            <w:vAlign w:val="center"/>
          </w:tcPr>
          <w:p w14:paraId="3C0CFA78">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9.00</w:t>
            </w:r>
          </w:p>
        </w:tc>
      </w:tr>
      <w:tr w14:paraId="15395BF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tcBorders>
              <w:tl2br w:val="nil"/>
              <w:tr2bl w:val="nil"/>
            </w:tcBorders>
            <w:noWrap/>
            <w:vAlign w:val="center"/>
          </w:tcPr>
          <w:p w14:paraId="46304758">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1417" w:type="dxa"/>
            <w:tcBorders>
              <w:tl2br w:val="nil"/>
              <w:tr2bl w:val="nil"/>
            </w:tcBorders>
            <w:noWrap/>
            <w:vAlign w:val="center"/>
          </w:tcPr>
          <w:p w14:paraId="452DE824">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产出质量</w:t>
            </w:r>
          </w:p>
        </w:tc>
        <w:tc>
          <w:tcPr>
            <w:tcW w:w="993" w:type="dxa"/>
            <w:tcBorders>
              <w:tl2br w:val="nil"/>
              <w:tr2bl w:val="nil"/>
            </w:tcBorders>
            <w:vAlign w:val="center"/>
          </w:tcPr>
          <w:p w14:paraId="0D2F7982">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9.00</w:t>
            </w:r>
          </w:p>
        </w:tc>
        <w:tc>
          <w:tcPr>
            <w:tcW w:w="1026" w:type="dxa"/>
            <w:tcBorders>
              <w:tl2br w:val="nil"/>
              <w:tr2bl w:val="nil"/>
            </w:tcBorders>
            <w:vAlign w:val="center"/>
          </w:tcPr>
          <w:p w14:paraId="71552E31">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7.00</w:t>
            </w:r>
          </w:p>
        </w:tc>
        <w:tc>
          <w:tcPr>
            <w:tcW w:w="2659" w:type="dxa"/>
            <w:tcBorders>
              <w:tl2br w:val="nil"/>
              <w:tr2bl w:val="nil"/>
            </w:tcBorders>
            <w:vAlign w:val="center"/>
          </w:tcPr>
          <w:p w14:paraId="6BD9EFF4">
            <w:pPr>
              <w:widowControl/>
              <w:spacing w:line="240" w:lineRule="auto"/>
              <w:ind w:firstLine="0" w:firstLineChars="0"/>
              <w:jc w:val="lef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13、质量达标率</w:t>
            </w:r>
          </w:p>
        </w:tc>
        <w:tc>
          <w:tcPr>
            <w:tcW w:w="992" w:type="dxa"/>
            <w:tcBorders>
              <w:tl2br w:val="nil"/>
              <w:tr2bl w:val="nil"/>
            </w:tcBorders>
            <w:vAlign w:val="center"/>
          </w:tcPr>
          <w:p w14:paraId="22D7620C">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9.00</w:t>
            </w:r>
          </w:p>
        </w:tc>
        <w:tc>
          <w:tcPr>
            <w:tcW w:w="993" w:type="dxa"/>
            <w:tcBorders>
              <w:tl2br w:val="nil"/>
              <w:tr2bl w:val="nil"/>
            </w:tcBorders>
            <w:vAlign w:val="center"/>
          </w:tcPr>
          <w:p w14:paraId="3BD92A52">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7.00</w:t>
            </w:r>
          </w:p>
        </w:tc>
      </w:tr>
      <w:tr w14:paraId="420CBAD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tcBorders>
              <w:tl2br w:val="nil"/>
              <w:tr2bl w:val="nil"/>
            </w:tcBorders>
            <w:noWrap/>
            <w:vAlign w:val="center"/>
          </w:tcPr>
          <w:p w14:paraId="5489D3D8">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1417" w:type="dxa"/>
            <w:tcBorders>
              <w:tl2br w:val="nil"/>
              <w:tr2bl w:val="nil"/>
            </w:tcBorders>
            <w:noWrap/>
            <w:vAlign w:val="center"/>
          </w:tcPr>
          <w:p w14:paraId="4690D963">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产出时效</w:t>
            </w:r>
          </w:p>
        </w:tc>
        <w:tc>
          <w:tcPr>
            <w:tcW w:w="993" w:type="dxa"/>
            <w:tcBorders>
              <w:tl2br w:val="nil"/>
              <w:tr2bl w:val="nil"/>
            </w:tcBorders>
            <w:vAlign w:val="center"/>
          </w:tcPr>
          <w:p w14:paraId="3DF09597">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6.00</w:t>
            </w:r>
          </w:p>
        </w:tc>
        <w:tc>
          <w:tcPr>
            <w:tcW w:w="1026" w:type="dxa"/>
            <w:tcBorders>
              <w:tl2br w:val="nil"/>
              <w:tr2bl w:val="nil"/>
            </w:tcBorders>
            <w:vAlign w:val="center"/>
          </w:tcPr>
          <w:p w14:paraId="51A7878A">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6.00</w:t>
            </w:r>
          </w:p>
        </w:tc>
        <w:tc>
          <w:tcPr>
            <w:tcW w:w="2659" w:type="dxa"/>
            <w:tcBorders>
              <w:tl2br w:val="nil"/>
              <w:tr2bl w:val="nil"/>
            </w:tcBorders>
            <w:vAlign w:val="center"/>
          </w:tcPr>
          <w:p w14:paraId="23079020">
            <w:pPr>
              <w:widowControl/>
              <w:spacing w:line="240" w:lineRule="auto"/>
              <w:ind w:firstLine="0" w:firstLineChars="0"/>
              <w:jc w:val="lef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14、完成及时率</w:t>
            </w:r>
          </w:p>
        </w:tc>
        <w:tc>
          <w:tcPr>
            <w:tcW w:w="992" w:type="dxa"/>
            <w:tcBorders>
              <w:tl2br w:val="nil"/>
              <w:tr2bl w:val="nil"/>
            </w:tcBorders>
            <w:vAlign w:val="center"/>
          </w:tcPr>
          <w:p w14:paraId="7430F10A">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6.00</w:t>
            </w:r>
          </w:p>
        </w:tc>
        <w:tc>
          <w:tcPr>
            <w:tcW w:w="993" w:type="dxa"/>
            <w:tcBorders>
              <w:tl2br w:val="nil"/>
              <w:tr2bl w:val="nil"/>
            </w:tcBorders>
            <w:vAlign w:val="center"/>
          </w:tcPr>
          <w:p w14:paraId="149C0F89">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6.00</w:t>
            </w:r>
          </w:p>
        </w:tc>
      </w:tr>
      <w:tr w14:paraId="254D931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tcBorders>
              <w:tl2br w:val="nil"/>
              <w:tr2bl w:val="nil"/>
            </w:tcBorders>
            <w:noWrap/>
            <w:vAlign w:val="center"/>
          </w:tcPr>
          <w:p w14:paraId="7D6862D4">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1417" w:type="dxa"/>
            <w:tcBorders>
              <w:tl2br w:val="nil"/>
              <w:tr2bl w:val="nil"/>
            </w:tcBorders>
            <w:noWrap/>
            <w:vAlign w:val="center"/>
          </w:tcPr>
          <w:p w14:paraId="28A45CF9">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产出成本</w:t>
            </w:r>
          </w:p>
        </w:tc>
        <w:tc>
          <w:tcPr>
            <w:tcW w:w="993" w:type="dxa"/>
            <w:tcBorders>
              <w:tl2br w:val="nil"/>
              <w:tr2bl w:val="nil"/>
            </w:tcBorders>
            <w:vAlign w:val="center"/>
          </w:tcPr>
          <w:p w14:paraId="448F7CF8">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6.00</w:t>
            </w:r>
          </w:p>
        </w:tc>
        <w:tc>
          <w:tcPr>
            <w:tcW w:w="1026" w:type="dxa"/>
            <w:tcBorders>
              <w:tl2br w:val="nil"/>
              <w:tr2bl w:val="nil"/>
            </w:tcBorders>
            <w:vAlign w:val="center"/>
          </w:tcPr>
          <w:p w14:paraId="4FBA1EFE">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6.00</w:t>
            </w:r>
          </w:p>
        </w:tc>
        <w:tc>
          <w:tcPr>
            <w:tcW w:w="2659" w:type="dxa"/>
            <w:tcBorders>
              <w:tl2br w:val="nil"/>
              <w:tr2bl w:val="nil"/>
            </w:tcBorders>
            <w:vAlign w:val="center"/>
          </w:tcPr>
          <w:p w14:paraId="3243DB81">
            <w:pPr>
              <w:widowControl/>
              <w:spacing w:line="240" w:lineRule="auto"/>
              <w:ind w:firstLine="0" w:firstLineChars="0"/>
              <w:jc w:val="lef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15、成本节约率</w:t>
            </w:r>
          </w:p>
        </w:tc>
        <w:tc>
          <w:tcPr>
            <w:tcW w:w="992" w:type="dxa"/>
            <w:tcBorders>
              <w:tl2br w:val="nil"/>
              <w:tr2bl w:val="nil"/>
            </w:tcBorders>
            <w:vAlign w:val="center"/>
          </w:tcPr>
          <w:p w14:paraId="7048A68C">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6.00</w:t>
            </w:r>
          </w:p>
        </w:tc>
        <w:tc>
          <w:tcPr>
            <w:tcW w:w="993" w:type="dxa"/>
            <w:tcBorders>
              <w:tl2br w:val="nil"/>
              <w:tr2bl w:val="nil"/>
            </w:tcBorders>
            <w:vAlign w:val="center"/>
          </w:tcPr>
          <w:p w14:paraId="2E2A3C07">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6.00</w:t>
            </w:r>
          </w:p>
        </w:tc>
      </w:tr>
      <w:tr w14:paraId="4EDE864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restart"/>
            <w:tcBorders>
              <w:tl2br w:val="nil"/>
              <w:tr2bl w:val="nil"/>
            </w:tcBorders>
            <w:noWrap/>
            <w:vAlign w:val="center"/>
          </w:tcPr>
          <w:p w14:paraId="2C0FA155">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效益30分</w:t>
            </w:r>
          </w:p>
        </w:tc>
        <w:tc>
          <w:tcPr>
            <w:tcW w:w="1417" w:type="dxa"/>
            <w:tcBorders>
              <w:tl2br w:val="nil"/>
              <w:tr2bl w:val="nil"/>
            </w:tcBorders>
            <w:noWrap/>
            <w:vAlign w:val="center"/>
          </w:tcPr>
          <w:p w14:paraId="6EAD0F85">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实施效益</w:t>
            </w:r>
          </w:p>
        </w:tc>
        <w:tc>
          <w:tcPr>
            <w:tcW w:w="993" w:type="dxa"/>
            <w:tcBorders>
              <w:tl2br w:val="nil"/>
              <w:tr2bl w:val="nil"/>
            </w:tcBorders>
            <w:vAlign w:val="center"/>
          </w:tcPr>
          <w:p w14:paraId="003952C3">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10.00</w:t>
            </w:r>
          </w:p>
        </w:tc>
        <w:tc>
          <w:tcPr>
            <w:tcW w:w="1026" w:type="dxa"/>
            <w:tcBorders>
              <w:tl2br w:val="nil"/>
              <w:tr2bl w:val="nil"/>
            </w:tcBorders>
            <w:vAlign w:val="center"/>
          </w:tcPr>
          <w:p w14:paraId="3228B69E">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10.00</w:t>
            </w:r>
          </w:p>
        </w:tc>
        <w:tc>
          <w:tcPr>
            <w:tcW w:w="2659" w:type="dxa"/>
            <w:tcBorders>
              <w:tl2br w:val="nil"/>
              <w:tr2bl w:val="nil"/>
            </w:tcBorders>
            <w:vAlign w:val="center"/>
          </w:tcPr>
          <w:p w14:paraId="5EF29295">
            <w:pPr>
              <w:widowControl/>
              <w:spacing w:line="240" w:lineRule="auto"/>
              <w:ind w:firstLine="0" w:firstLineChars="0"/>
              <w:jc w:val="lef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16、社会效益</w:t>
            </w:r>
          </w:p>
        </w:tc>
        <w:tc>
          <w:tcPr>
            <w:tcW w:w="992" w:type="dxa"/>
            <w:tcBorders>
              <w:tl2br w:val="nil"/>
              <w:tr2bl w:val="nil"/>
            </w:tcBorders>
            <w:noWrap/>
            <w:vAlign w:val="center"/>
          </w:tcPr>
          <w:p w14:paraId="1AEE356C">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10.00</w:t>
            </w:r>
          </w:p>
        </w:tc>
        <w:tc>
          <w:tcPr>
            <w:tcW w:w="993" w:type="dxa"/>
            <w:tcBorders>
              <w:tl2br w:val="nil"/>
              <w:tr2bl w:val="nil"/>
            </w:tcBorders>
            <w:vAlign w:val="center"/>
          </w:tcPr>
          <w:p w14:paraId="3F843B2A">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10.00</w:t>
            </w:r>
          </w:p>
        </w:tc>
      </w:tr>
      <w:tr w14:paraId="55E6D55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tcBorders>
              <w:tl2br w:val="nil"/>
              <w:tr2bl w:val="nil"/>
            </w:tcBorders>
            <w:noWrap/>
            <w:vAlign w:val="center"/>
          </w:tcPr>
          <w:p w14:paraId="49D36C8D">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1417" w:type="dxa"/>
            <w:tcBorders>
              <w:tl2br w:val="nil"/>
              <w:tr2bl w:val="nil"/>
            </w:tcBorders>
            <w:noWrap/>
            <w:vAlign w:val="center"/>
          </w:tcPr>
          <w:p w14:paraId="4EF82D9F">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实施效益</w:t>
            </w:r>
          </w:p>
        </w:tc>
        <w:tc>
          <w:tcPr>
            <w:tcW w:w="993" w:type="dxa"/>
            <w:tcBorders>
              <w:tl2br w:val="nil"/>
              <w:tr2bl w:val="nil"/>
            </w:tcBorders>
            <w:vAlign w:val="center"/>
          </w:tcPr>
          <w:p w14:paraId="21FB02C8">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10.00</w:t>
            </w:r>
          </w:p>
        </w:tc>
        <w:tc>
          <w:tcPr>
            <w:tcW w:w="1026" w:type="dxa"/>
            <w:tcBorders>
              <w:tl2br w:val="nil"/>
              <w:tr2bl w:val="nil"/>
            </w:tcBorders>
            <w:vAlign w:val="center"/>
          </w:tcPr>
          <w:p w14:paraId="35A67A37">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9.00</w:t>
            </w:r>
          </w:p>
        </w:tc>
        <w:tc>
          <w:tcPr>
            <w:tcW w:w="2659" w:type="dxa"/>
            <w:tcBorders>
              <w:tl2br w:val="nil"/>
              <w:tr2bl w:val="nil"/>
            </w:tcBorders>
            <w:vAlign w:val="center"/>
          </w:tcPr>
          <w:p w14:paraId="4EAB555D">
            <w:pPr>
              <w:widowControl/>
              <w:spacing w:line="240" w:lineRule="auto"/>
              <w:ind w:firstLine="0" w:firstLineChars="0"/>
              <w:jc w:val="lef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17</w:t>
            </w:r>
            <w:r>
              <w:rPr>
                <w:rFonts w:hint="default" w:ascii="Times New Roman" w:hAnsi="Times New Roman" w:eastAsia="仿宋" w:cs="Times New Roman"/>
                <w:color w:val="000000"/>
                <w:kern w:val="0"/>
                <w:sz w:val="24"/>
                <w:lang w:eastAsia="zh-CN"/>
              </w:rPr>
              <w:t>、</w:t>
            </w:r>
            <w:r>
              <w:rPr>
                <w:rFonts w:hint="default" w:ascii="Times New Roman" w:hAnsi="Times New Roman" w:eastAsia="仿宋" w:cs="Times New Roman"/>
                <w:color w:val="000000"/>
                <w:kern w:val="0"/>
                <w:sz w:val="24"/>
              </w:rPr>
              <w:t>可持续影响效益</w:t>
            </w:r>
          </w:p>
        </w:tc>
        <w:tc>
          <w:tcPr>
            <w:tcW w:w="992" w:type="dxa"/>
            <w:tcBorders>
              <w:tl2br w:val="nil"/>
              <w:tr2bl w:val="nil"/>
            </w:tcBorders>
            <w:vAlign w:val="center"/>
          </w:tcPr>
          <w:p w14:paraId="1DF6B245">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10.00</w:t>
            </w:r>
          </w:p>
        </w:tc>
        <w:tc>
          <w:tcPr>
            <w:tcW w:w="993" w:type="dxa"/>
            <w:tcBorders>
              <w:tl2br w:val="nil"/>
              <w:tr2bl w:val="nil"/>
            </w:tcBorders>
            <w:vAlign w:val="center"/>
          </w:tcPr>
          <w:p w14:paraId="1C21C09C">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9.00</w:t>
            </w:r>
          </w:p>
        </w:tc>
      </w:tr>
      <w:tr w14:paraId="183A9D1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851" w:type="dxa"/>
            <w:vMerge w:val="continue"/>
            <w:tcBorders>
              <w:tl2br w:val="nil"/>
              <w:tr2bl w:val="nil"/>
            </w:tcBorders>
            <w:noWrap/>
            <w:vAlign w:val="center"/>
          </w:tcPr>
          <w:p w14:paraId="13938569">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p>
        </w:tc>
        <w:tc>
          <w:tcPr>
            <w:tcW w:w="1417" w:type="dxa"/>
            <w:tcBorders>
              <w:tl2br w:val="nil"/>
              <w:tr2bl w:val="nil"/>
            </w:tcBorders>
            <w:shd w:val="clear" w:color="auto" w:fill="auto"/>
            <w:noWrap/>
            <w:vAlign w:val="center"/>
          </w:tcPr>
          <w:p w14:paraId="1D71CAF6">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满意度</w:t>
            </w:r>
          </w:p>
        </w:tc>
        <w:tc>
          <w:tcPr>
            <w:tcW w:w="993" w:type="dxa"/>
            <w:tcBorders>
              <w:tl2br w:val="nil"/>
              <w:tr2bl w:val="nil"/>
            </w:tcBorders>
            <w:shd w:val="clear" w:color="auto" w:fill="auto"/>
            <w:noWrap/>
            <w:vAlign w:val="center"/>
          </w:tcPr>
          <w:p w14:paraId="31841396">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10.00</w:t>
            </w:r>
          </w:p>
        </w:tc>
        <w:tc>
          <w:tcPr>
            <w:tcW w:w="1026" w:type="dxa"/>
            <w:tcBorders>
              <w:tl2br w:val="nil"/>
              <w:tr2bl w:val="nil"/>
            </w:tcBorders>
            <w:shd w:val="clear" w:color="auto" w:fill="auto"/>
            <w:noWrap/>
            <w:vAlign w:val="center"/>
          </w:tcPr>
          <w:p w14:paraId="32F041A0">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8.10</w:t>
            </w:r>
          </w:p>
        </w:tc>
        <w:tc>
          <w:tcPr>
            <w:tcW w:w="2659" w:type="dxa"/>
            <w:tcBorders>
              <w:tl2br w:val="nil"/>
              <w:tr2bl w:val="nil"/>
            </w:tcBorders>
            <w:shd w:val="clear" w:color="auto" w:fill="auto"/>
            <w:noWrap/>
            <w:vAlign w:val="center"/>
          </w:tcPr>
          <w:p w14:paraId="461272B0">
            <w:pPr>
              <w:widowControl/>
              <w:spacing w:line="240" w:lineRule="auto"/>
              <w:ind w:firstLine="0" w:firstLineChars="0"/>
              <w:jc w:val="lef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18、服务对象满意度</w:t>
            </w:r>
          </w:p>
        </w:tc>
        <w:tc>
          <w:tcPr>
            <w:tcW w:w="992" w:type="dxa"/>
            <w:tcBorders>
              <w:tl2br w:val="nil"/>
              <w:tr2bl w:val="nil"/>
            </w:tcBorders>
            <w:shd w:val="clear" w:color="auto" w:fill="auto"/>
            <w:noWrap/>
            <w:vAlign w:val="center"/>
          </w:tcPr>
          <w:p w14:paraId="4CC6A26D">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10.00</w:t>
            </w:r>
          </w:p>
        </w:tc>
        <w:tc>
          <w:tcPr>
            <w:tcW w:w="993" w:type="dxa"/>
            <w:tcBorders>
              <w:tl2br w:val="nil"/>
              <w:tr2bl w:val="nil"/>
            </w:tcBorders>
            <w:shd w:val="clear" w:color="auto" w:fill="auto"/>
            <w:noWrap/>
            <w:vAlign w:val="center"/>
          </w:tcPr>
          <w:p w14:paraId="7B521D4A">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8.10</w:t>
            </w:r>
          </w:p>
        </w:tc>
      </w:tr>
      <w:tr w14:paraId="418110A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97" w:hRule="atLeast"/>
        </w:trPr>
        <w:tc>
          <w:tcPr>
            <w:tcW w:w="2268" w:type="dxa"/>
            <w:gridSpan w:val="2"/>
            <w:tcBorders>
              <w:tl2br w:val="nil"/>
              <w:tr2bl w:val="nil"/>
            </w:tcBorders>
            <w:shd w:val="clear" w:color="auto" w:fill="auto"/>
            <w:noWrap/>
            <w:vAlign w:val="center"/>
          </w:tcPr>
          <w:p w14:paraId="1BA942EA">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bookmarkStart w:id="44" w:name="_Toc86224146"/>
            <w:r>
              <w:rPr>
                <w:rFonts w:hint="default" w:ascii="Times New Roman" w:hAnsi="Times New Roman" w:eastAsia="仿宋" w:cs="Times New Roman"/>
                <w:color w:val="000000"/>
                <w:kern w:val="0"/>
                <w:sz w:val="24"/>
              </w:rPr>
              <w:t>合计</w:t>
            </w:r>
          </w:p>
        </w:tc>
        <w:tc>
          <w:tcPr>
            <w:tcW w:w="993" w:type="dxa"/>
            <w:tcBorders>
              <w:tl2br w:val="nil"/>
              <w:tr2bl w:val="nil"/>
            </w:tcBorders>
            <w:shd w:val="clear" w:color="auto" w:fill="auto"/>
            <w:noWrap/>
            <w:vAlign w:val="center"/>
          </w:tcPr>
          <w:p w14:paraId="4778D064">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100.00</w:t>
            </w:r>
          </w:p>
        </w:tc>
        <w:tc>
          <w:tcPr>
            <w:tcW w:w="1026" w:type="dxa"/>
            <w:tcBorders>
              <w:tl2br w:val="nil"/>
              <w:tr2bl w:val="nil"/>
            </w:tcBorders>
            <w:shd w:val="clear" w:color="auto" w:fill="auto"/>
            <w:noWrap/>
            <w:vAlign w:val="center"/>
          </w:tcPr>
          <w:p w14:paraId="00DF6DD0">
            <w:pPr>
              <w:widowControl/>
              <w:spacing w:line="240" w:lineRule="auto"/>
              <w:ind w:firstLine="0" w:firstLineChars="0"/>
              <w:jc w:val="right"/>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92.1</w:t>
            </w:r>
          </w:p>
        </w:tc>
        <w:tc>
          <w:tcPr>
            <w:tcW w:w="2659" w:type="dxa"/>
            <w:tcBorders>
              <w:tl2br w:val="nil"/>
              <w:tr2bl w:val="nil"/>
            </w:tcBorders>
            <w:shd w:val="clear" w:color="auto" w:fill="auto"/>
            <w:noWrap/>
            <w:vAlign w:val="center"/>
          </w:tcPr>
          <w:p w14:paraId="1684841B">
            <w:pPr>
              <w:widowControl/>
              <w:spacing w:line="240" w:lineRule="auto"/>
              <w:ind w:firstLine="0" w:firstLineChars="0"/>
              <w:jc w:val="center"/>
              <w:textAlignment w:val="bottom"/>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w:t>
            </w:r>
          </w:p>
        </w:tc>
        <w:tc>
          <w:tcPr>
            <w:tcW w:w="992" w:type="dxa"/>
            <w:tcBorders>
              <w:tl2br w:val="nil"/>
              <w:tr2bl w:val="nil"/>
            </w:tcBorders>
            <w:shd w:val="clear" w:color="auto" w:fill="auto"/>
            <w:noWrap/>
            <w:vAlign w:val="center"/>
          </w:tcPr>
          <w:p w14:paraId="74CCB47B">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100.00</w:t>
            </w:r>
          </w:p>
        </w:tc>
        <w:tc>
          <w:tcPr>
            <w:tcW w:w="993" w:type="dxa"/>
            <w:tcBorders>
              <w:tl2br w:val="nil"/>
              <w:tr2bl w:val="nil"/>
            </w:tcBorders>
            <w:shd w:val="clear" w:color="auto" w:fill="auto"/>
            <w:noWrap/>
            <w:vAlign w:val="center"/>
          </w:tcPr>
          <w:p w14:paraId="6C34D29F">
            <w:pPr>
              <w:widowControl/>
              <w:spacing w:line="240" w:lineRule="auto"/>
              <w:ind w:firstLine="0" w:firstLineChars="0"/>
              <w:jc w:val="right"/>
              <w:textAlignment w:val="bottom"/>
              <w:rPr>
                <w:rFonts w:hint="default" w:ascii="Times New Roman" w:hAnsi="Times New Roman" w:eastAsia="仿宋" w:cs="Times New Roman"/>
                <w:color w:val="000000"/>
                <w:kern w:val="0"/>
                <w:sz w:val="24"/>
                <w:lang w:eastAsia="zh-CN"/>
              </w:rPr>
            </w:pPr>
            <w:r>
              <w:rPr>
                <w:rFonts w:hint="default" w:ascii="Times New Roman" w:hAnsi="Times New Roman" w:eastAsia="仿宋" w:cs="Times New Roman"/>
                <w:color w:val="000000"/>
                <w:kern w:val="0"/>
                <w:sz w:val="24"/>
              </w:rPr>
              <w:t>92.1</w:t>
            </w:r>
          </w:p>
        </w:tc>
      </w:tr>
      <w:bookmarkEnd w:id="43"/>
    </w:tbl>
    <w:p w14:paraId="0F67B580">
      <w:pPr>
        <w:pStyle w:val="3"/>
        <w:keepNext w:val="0"/>
        <w:keepLines w:val="0"/>
        <w:ind w:firstLine="640"/>
        <w:rPr>
          <w:rFonts w:hint="default" w:ascii="Times New Roman" w:hAnsi="Times New Roman" w:eastAsia="黑体" w:cs="Times New Roman"/>
          <w:b/>
          <w:bCs/>
        </w:rPr>
      </w:pPr>
      <w:bookmarkStart w:id="45" w:name="_Toc3179"/>
      <w:r>
        <w:rPr>
          <w:rFonts w:hint="default" w:ascii="Times New Roman" w:hAnsi="Times New Roman" w:eastAsia="黑体" w:cs="Times New Roman"/>
          <w:b/>
          <w:bCs/>
        </w:rPr>
        <w:t>四、评价指标分析</w:t>
      </w:r>
      <w:bookmarkEnd w:id="12"/>
      <w:bookmarkEnd w:id="44"/>
      <w:bookmarkEnd w:id="45"/>
    </w:p>
    <w:p w14:paraId="18AAAE25">
      <w:pPr>
        <w:pStyle w:val="5"/>
        <w:spacing w:line="578" w:lineRule="exact"/>
        <w:ind w:firstLine="643"/>
        <w:rPr>
          <w:rFonts w:hint="default" w:ascii="Times New Roman" w:hAnsi="Times New Roman" w:eastAsia="仿宋" w:cs="Times New Roman"/>
        </w:rPr>
      </w:pPr>
      <w:bookmarkStart w:id="46" w:name="_Toc23628"/>
      <w:bookmarkStart w:id="47" w:name="_Toc9624"/>
      <w:bookmarkStart w:id="48" w:name="_Toc22720331"/>
      <w:r>
        <w:rPr>
          <w:rFonts w:hint="default" w:ascii="Times New Roman" w:hAnsi="Times New Roman" w:eastAsia="仿宋" w:cs="Times New Roman"/>
        </w:rPr>
        <w:t>（一）投入类指标</w:t>
      </w:r>
      <w:bookmarkEnd w:id="46"/>
      <w:bookmarkEnd w:id="47"/>
      <w:bookmarkEnd w:id="48"/>
    </w:p>
    <w:p w14:paraId="66E76F38">
      <w:pPr>
        <w:keepNext w:val="0"/>
        <w:keepLines w:val="0"/>
        <w:pageBreakBefore w:val="0"/>
        <w:widowControl w:val="0"/>
        <w:kinsoku/>
        <w:wordWrap/>
        <w:overflowPunct/>
        <w:topLinePunct w:val="0"/>
        <w:autoSpaceDE/>
        <w:autoSpaceDN/>
        <w:bidi w:val="0"/>
        <w:adjustRightInd w:val="0"/>
        <w:snapToGrid w:val="0"/>
        <w:ind w:firstLine="640"/>
        <w:textAlignment w:val="auto"/>
        <w:rPr>
          <w:rFonts w:hint="default" w:ascii="Times New Roman" w:hAnsi="Times New Roman" w:eastAsia="仿宋" w:cs="Times New Roman"/>
          <w:szCs w:val="32"/>
        </w:rPr>
      </w:pPr>
      <w:r>
        <w:rPr>
          <w:rFonts w:hint="default" w:ascii="Times New Roman" w:hAnsi="Times New Roman" w:eastAsia="仿宋" w:cs="Times New Roman"/>
          <w:szCs w:val="32"/>
        </w:rPr>
        <w:t>主要评价项目立项、绩效目标和资金投入情况。指标赋值20分，综合得分18分。</w:t>
      </w:r>
    </w:p>
    <w:p w14:paraId="57A2B6DF">
      <w:pPr>
        <w:ind w:firstLine="643"/>
        <w:rPr>
          <w:rFonts w:hint="default" w:ascii="Times New Roman" w:hAnsi="Times New Roman" w:eastAsia="仿宋" w:cs="Times New Roman"/>
          <w:szCs w:val="32"/>
        </w:rPr>
      </w:pPr>
      <w:r>
        <w:rPr>
          <w:rFonts w:hint="default" w:ascii="Times New Roman" w:hAnsi="Times New Roman" w:eastAsia="仿宋" w:cs="Times New Roman"/>
          <w:b/>
          <w:szCs w:val="32"/>
        </w:rPr>
        <w:t>1.项目立项：</w:t>
      </w:r>
      <w:r>
        <w:rPr>
          <w:rFonts w:hint="default" w:ascii="Times New Roman" w:hAnsi="Times New Roman" w:eastAsia="仿宋" w:cs="Times New Roman"/>
          <w:bCs/>
          <w:szCs w:val="32"/>
        </w:rPr>
        <w:t>主要评价立项依据充分性和立项程序规范性情况。</w:t>
      </w:r>
      <w:r>
        <w:rPr>
          <w:rFonts w:hint="default" w:ascii="Times New Roman" w:hAnsi="Times New Roman" w:eastAsia="仿宋" w:cs="Times New Roman"/>
          <w:szCs w:val="32"/>
        </w:rPr>
        <w:t>指标赋值8</w:t>
      </w:r>
      <w:r>
        <w:rPr>
          <w:rFonts w:hint="default" w:ascii="Times New Roman" w:hAnsi="Times New Roman" w:eastAsia="仿宋" w:cs="Times New Roman"/>
          <w:bCs/>
          <w:szCs w:val="32"/>
        </w:rPr>
        <w:t>分，评价得分8分。</w:t>
      </w:r>
    </w:p>
    <w:p w14:paraId="184E68B3">
      <w:pPr>
        <w:ind w:firstLine="643"/>
        <w:rPr>
          <w:rFonts w:hint="default" w:ascii="Times New Roman" w:hAnsi="Times New Roman" w:eastAsia="仿宋" w:cs="Times New Roman"/>
          <w:szCs w:val="32"/>
        </w:rPr>
      </w:pPr>
      <w:r>
        <w:rPr>
          <w:rFonts w:hint="default" w:ascii="Times New Roman" w:hAnsi="Times New Roman" w:eastAsia="仿宋" w:cs="Times New Roman"/>
          <w:b/>
          <w:szCs w:val="32"/>
        </w:rPr>
        <w:t>（1）立项依据充分性：</w:t>
      </w:r>
      <w:r>
        <w:rPr>
          <w:rFonts w:hint="default" w:ascii="Times New Roman" w:hAnsi="Times New Roman" w:eastAsia="仿宋" w:cs="Times New Roman"/>
          <w:szCs w:val="32"/>
        </w:rPr>
        <w:t>指标赋值4分，得分4分。</w:t>
      </w:r>
    </w:p>
    <w:p w14:paraId="13134CC8">
      <w:pPr>
        <w:ind w:firstLine="640"/>
        <w:rPr>
          <w:rFonts w:hint="default" w:ascii="Times New Roman" w:hAnsi="Times New Roman" w:eastAsia="仿宋" w:cs="Times New Roman"/>
          <w:szCs w:val="32"/>
        </w:rPr>
      </w:pP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szCs w:val="32"/>
        </w:rPr>
        <w:t>依照区级文件设立，申请内容符合文件要求，立项依据充分：</w:t>
      </w:r>
    </w:p>
    <w:p w14:paraId="66755F82">
      <w:pPr>
        <w:ind w:firstLine="643"/>
        <w:rPr>
          <w:rFonts w:hint="default" w:ascii="Times New Roman" w:hAnsi="Times New Roman" w:eastAsia="仿宋" w:cs="Times New Roman"/>
          <w:szCs w:val="32"/>
        </w:rPr>
      </w:pPr>
      <w:r>
        <w:rPr>
          <w:rFonts w:hint="default" w:ascii="Times New Roman" w:hAnsi="Times New Roman" w:eastAsia="仿宋" w:cs="Times New Roman"/>
          <w:b/>
          <w:bCs/>
          <w:szCs w:val="32"/>
        </w:rPr>
        <w:t>一是项目立项符合发展规划步骤。</w:t>
      </w:r>
      <w:r>
        <w:rPr>
          <w:rFonts w:hint="default" w:ascii="Times New Roman" w:hAnsi="Times New Roman" w:eastAsia="仿宋" w:cs="Times New Roman"/>
          <w:szCs w:val="32"/>
        </w:rPr>
        <w:t>为确保学生和老师运动场地安全为近4000名师生提供安全的工作和学习环境，配合新课程改革提供硬件保障，提升省一级示范学校的学习环境档次。根据《四川省</w:t>
      </w:r>
      <w:r>
        <w:rPr>
          <w:rFonts w:hint="default" w:ascii="Times New Roman" w:hAnsi="Times New Roman" w:eastAsia="仿宋" w:cs="Times New Roman"/>
          <w:szCs w:val="32"/>
          <w:lang w:eastAsia="zh-CN"/>
        </w:rPr>
        <w:t>罗江中学校</w:t>
      </w:r>
      <w:r>
        <w:rPr>
          <w:rFonts w:hint="default" w:ascii="Times New Roman" w:hAnsi="Times New Roman" w:eastAsia="仿宋" w:cs="Times New Roman"/>
          <w:szCs w:val="32"/>
        </w:rPr>
        <w:t>校关于运动场改造项目的请示》</w:t>
      </w:r>
      <w:r>
        <w:rPr>
          <w:rFonts w:hint="default" w:ascii="Times New Roman" w:hAnsi="Times New Roman" w:eastAsia="仿宋" w:cs="Times New Roman"/>
          <w:szCs w:val="32"/>
          <w:lang w:eastAsia="zh-CN"/>
        </w:rPr>
        <w:t>（</w:t>
      </w:r>
      <w:r>
        <w:rPr>
          <w:rFonts w:hint="default" w:ascii="Times New Roman" w:hAnsi="Times New Roman" w:eastAsia="仿宋" w:cs="Times New Roman"/>
          <w:szCs w:val="32"/>
        </w:rPr>
        <w:t>罗中〔2022〕60号</w:t>
      </w:r>
      <w:r>
        <w:rPr>
          <w:rFonts w:hint="default" w:ascii="Times New Roman" w:hAnsi="Times New Roman" w:eastAsia="仿宋" w:cs="Times New Roman"/>
          <w:szCs w:val="32"/>
          <w:lang w:eastAsia="zh-CN"/>
        </w:rPr>
        <w:t>）</w:t>
      </w:r>
      <w:r>
        <w:rPr>
          <w:rFonts w:hint="default" w:ascii="Times New Roman" w:hAnsi="Times New Roman" w:eastAsia="仿宋" w:cs="Times New Roman"/>
          <w:szCs w:val="32"/>
        </w:rPr>
        <w:t>依据充分，项目立项符合市、区工作发展规划步骤，且具有一定的必要性和紧迫性。</w:t>
      </w:r>
    </w:p>
    <w:p w14:paraId="3FDDE9AD">
      <w:pPr>
        <w:overflowPunct w:val="0"/>
        <w:ind w:firstLine="643"/>
        <w:rPr>
          <w:rFonts w:hint="default" w:ascii="Times New Roman" w:hAnsi="Times New Roman" w:eastAsia="仿宋" w:cs="Times New Roman"/>
        </w:rPr>
      </w:pPr>
      <w:r>
        <w:rPr>
          <w:rFonts w:hint="default" w:ascii="Times New Roman" w:hAnsi="Times New Roman" w:eastAsia="仿宋" w:cs="Times New Roman"/>
          <w:b/>
          <w:bCs/>
          <w:szCs w:val="32"/>
        </w:rPr>
        <w:t>二是项目立项与部门职责一致。</w:t>
      </w:r>
      <w:r>
        <w:rPr>
          <w:rFonts w:hint="default" w:ascii="Times New Roman" w:hAnsi="Times New Roman" w:eastAsia="仿宋" w:cs="Times New Roman"/>
          <w:b/>
          <w:bCs/>
          <w:szCs w:val="32"/>
          <w:lang w:val="en-US" w:eastAsia="zh-CN"/>
        </w:rPr>
        <w:t>罗江中学</w:t>
      </w:r>
      <w:r>
        <w:rPr>
          <w:rFonts w:hint="default" w:ascii="Times New Roman" w:hAnsi="Times New Roman" w:eastAsia="仿宋" w:cs="Times New Roman"/>
        </w:rPr>
        <w:t>负责布局结构的调整；指导各级各类学校的教育教学改革和中小学布局结构的调整；负责全区教体系统基本信息的统计、分析、发布工作，指导教体信息化建设工作，加强体育公共服务，促进多元化体育服务体系建设，规范体育服务管理，负责推动全民健身计划，实施国家体育锻炼标准。项目立项与部门职责范围相符，属于部门履职所需。</w:t>
      </w:r>
    </w:p>
    <w:p w14:paraId="3F5A5775">
      <w:pPr>
        <w:overflowPunct w:val="0"/>
        <w:ind w:firstLine="643"/>
        <w:rPr>
          <w:rFonts w:hint="default" w:ascii="Times New Roman" w:hAnsi="Times New Roman" w:eastAsia="仿宋" w:cs="Times New Roman"/>
          <w:lang w:val="en-US" w:eastAsia="zh-CN"/>
        </w:rPr>
      </w:pPr>
      <w:r>
        <w:rPr>
          <w:rFonts w:hint="default" w:ascii="Times New Roman" w:hAnsi="Times New Roman" w:eastAsia="仿宋" w:cs="Times New Roman"/>
          <w:b/>
          <w:szCs w:val="32"/>
        </w:rPr>
        <w:t>三是项目实施具有较强的可行性。</w:t>
      </w:r>
      <w:r>
        <w:rPr>
          <w:rFonts w:hint="default" w:ascii="Times New Roman" w:hAnsi="Times New Roman" w:eastAsia="仿宋" w:cs="Times New Roman"/>
          <w:bCs/>
          <w:szCs w:val="32"/>
        </w:rPr>
        <w:t>根据“《德阳市罗江区发展和改革局关于</w:t>
      </w:r>
      <w:r>
        <w:rPr>
          <w:rFonts w:hint="default" w:ascii="Times New Roman" w:hAnsi="Times New Roman" w:eastAsia="仿宋" w:cs="Times New Roman"/>
          <w:bCs/>
          <w:szCs w:val="32"/>
          <w:lang w:eastAsia="zh-CN"/>
        </w:rPr>
        <w:t>罗江中学运动场改造项目</w:t>
      </w:r>
      <w:r>
        <w:rPr>
          <w:rFonts w:hint="default" w:ascii="Times New Roman" w:hAnsi="Times New Roman" w:eastAsia="仿宋" w:cs="Times New Roman"/>
          <w:bCs/>
          <w:szCs w:val="32"/>
        </w:rPr>
        <w:t>实施方案的批复》德市罗发改投资</w:t>
      </w:r>
      <w:r>
        <w:rPr>
          <w:rFonts w:hint="default" w:ascii="Times New Roman" w:hAnsi="Times New Roman" w:eastAsia="仿宋" w:cs="Times New Roman"/>
          <w:szCs w:val="32"/>
        </w:rPr>
        <w:t>〔2023〕</w:t>
      </w:r>
      <w:r>
        <w:rPr>
          <w:rFonts w:hint="default" w:ascii="Times New Roman" w:hAnsi="Times New Roman" w:eastAsia="仿宋" w:cs="Times New Roman"/>
          <w:bCs/>
          <w:szCs w:val="32"/>
        </w:rPr>
        <w:t>12号</w:t>
      </w:r>
      <w:r>
        <w:rPr>
          <w:rFonts w:hint="default" w:ascii="Times New Roman" w:hAnsi="Times New Roman" w:eastAsia="仿宋" w:cs="Times New Roman"/>
          <w:szCs w:val="32"/>
        </w:rPr>
        <w:t>”文件</w:t>
      </w:r>
      <w:r>
        <w:rPr>
          <w:rFonts w:hint="default" w:ascii="Times New Roman" w:hAnsi="Times New Roman" w:eastAsia="仿宋" w:cs="Times New Roman"/>
          <w:color w:val="000000"/>
          <w:kern w:val="0"/>
          <w:szCs w:val="32"/>
          <w:lang w:bidi="zh-TW"/>
        </w:rPr>
        <w:t>和</w:t>
      </w:r>
      <w:r>
        <w:rPr>
          <w:rFonts w:hint="default" w:ascii="Times New Roman" w:hAnsi="Times New Roman" w:eastAsia="仿宋" w:cs="Times New Roman"/>
          <w:szCs w:val="32"/>
        </w:rPr>
        <w:t>罗江区2023年第2次项目联席会议纪要、2021年3月17日总支（扩大）会议纪要，明确了关于</w:t>
      </w:r>
      <w:r>
        <w:rPr>
          <w:rFonts w:hint="default" w:ascii="Times New Roman" w:hAnsi="Times New Roman" w:eastAsia="仿宋" w:cs="Times New Roman"/>
          <w:kern w:val="0"/>
          <w:szCs w:val="32"/>
          <w:lang w:eastAsia="zh-CN" w:bidi="zh-TW"/>
        </w:rPr>
        <w:t>罗江中学运动场改造项目</w:t>
      </w:r>
      <w:r>
        <w:rPr>
          <w:rFonts w:hint="default" w:ascii="Times New Roman" w:hAnsi="Times New Roman" w:eastAsia="仿宋" w:cs="Times New Roman"/>
          <w:kern w:val="0"/>
          <w:szCs w:val="32"/>
          <w:lang w:bidi="zh-TW"/>
        </w:rPr>
        <w:t>的各项工作安排和责任分工</w:t>
      </w:r>
      <w:r>
        <w:rPr>
          <w:rFonts w:hint="default" w:ascii="Times New Roman" w:hAnsi="Times New Roman" w:eastAsia="仿宋" w:cs="Times New Roman"/>
          <w:kern w:val="0"/>
          <w:szCs w:val="32"/>
          <w:lang w:eastAsia="zh-CN" w:bidi="zh-TW"/>
        </w:rPr>
        <w:t>、</w:t>
      </w:r>
      <w:r>
        <w:rPr>
          <w:rFonts w:hint="default" w:ascii="Times New Roman" w:hAnsi="Times New Roman" w:eastAsia="仿宋" w:cs="Times New Roman"/>
          <w:kern w:val="0"/>
          <w:szCs w:val="32"/>
          <w:lang w:bidi="zh-TW"/>
        </w:rPr>
        <w:t>资金的来源和分配</w:t>
      </w:r>
      <w:r>
        <w:rPr>
          <w:rFonts w:hint="default" w:ascii="Times New Roman" w:hAnsi="Times New Roman" w:eastAsia="仿宋" w:cs="Times New Roman"/>
          <w:kern w:val="0"/>
          <w:szCs w:val="32"/>
          <w:lang w:eastAsia="zh-CN" w:bidi="zh-TW"/>
        </w:rPr>
        <w:t>，</w:t>
      </w:r>
      <w:r>
        <w:rPr>
          <w:rFonts w:hint="default" w:ascii="Times New Roman" w:hAnsi="Times New Roman" w:eastAsia="仿宋" w:cs="Times New Roman"/>
          <w:kern w:val="0"/>
          <w:szCs w:val="32"/>
          <w:lang w:bidi="zh-TW"/>
        </w:rPr>
        <w:t>财政拨款将作为主要资金支持，确保项目资金充足</w:t>
      </w:r>
      <w:r>
        <w:rPr>
          <w:rFonts w:hint="default" w:ascii="Times New Roman" w:hAnsi="Times New Roman" w:eastAsia="仿宋" w:cs="Times New Roman"/>
          <w:kern w:val="0"/>
          <w:szCs w:val="32"/>
          <w:lang w:eastAsia="zh-CN" w:bidi="zh-TW"/>
        </w:rPr>
        <w:t>。</w:t>
      </w:r>
      <w:r>
        <w:rPr>
          <w:rFonts w:hint="default" w:ascii="Times New Roman" w:hAnsi="Times New Roman" w:eastAsia="仿宋" w:cs="Times New Roman"/>
          <w:kern w:val="0"/>
          <w:szCs w:val="32"/>
          <w:lang w:bidi="zh-TW"/>
        </w:rPr>
        <w:t>其次</w:t>
      </w:r>
      <w:r>
        <w:rPr>
          <w:rFonts w:hint="default" w:ascii="Times New Roman" w:hAnsi="Times New Roman" w:eastAsia="仿宋" w:cs="Times New Roman"/>
          <w:kern w:val="0"/>
          <w:szCs w:val="32"/>
          <w:lang w:eastAsia="zh-CN" w:bidi="zh-TW"/>
        </w:rPr>
        <w:t>，</w:t>
      </w:r>
      <w:r>
        <w:rPr>
          <w:rFonts w:hint="default" w:ascii="Times New Roman" w:hAnsi="Times New Roman" w:eastAsia="仿宋" w:cs="Times New Roman"/>
          <w:kern w:val="0"/>
          <w:szCs w:val="32"/>
          <w:lang w:bidi="zh-TW"/>
        </w:rPr>
        <w:t>设计</w:t>
      </w:r>
      <w:r>
        <w:rPr>
          <w:rFonts w:hint="default" w:ascii="Times New Roman" w:hAnsi="Times New Roman" w:eastAsia="仿宋" w:cs="Times New Roman"/>
          <w:kern w:val="0"/>
          <w:szCs w:val="32"/>
          <w:lang w:val="en-US" w:eastAsia="zh-CN" w:bidi="zh-TW"/>
        </w:rPr>
        <w:t>单位</w:t>
      </w:r>
      <w:r>
        <w:rPr>
          <w:rFonts w:hint="default" w:ascii="Times New Roman" w:hAnsi="Times New Roman" w:eastAsia="仿宋" w:cs="Times New Roman"/>
          <w:kern w:val="0"/>
          <w:szCs w:val="32"/>
          <w:lang w:eastAsia="zh-CN" w:bidi="zh-TW"/>
        </w:rPr>
        <w:t>、</w:t>
      </w:r>
      <w:r>
        <w:rPr>
          <w:rFonts w:hint="default" w:ascii="Times New Roman" w:hAnsi="Times New Roman" w:eastAsia="仿宋" w:cs="Times New Roman"/>
          <w:kern w:val="0"/>
          <w:szCs w:val="32"/>
          <w:lang w:bidi="zh-TW"/>
        </w:rPr>
        <w:t>施工</w:t>
      </w:r>
      <w:r>
        <w:rPr>
          <w:rFonts w:hint="default" w:ascii="Times New Roman" w:hAnsi="Times New Roman" w:eastAsia="仿宋" w:cs="Times New Roman"/>
          <w:kern w:val="0"/>
          <w:szCs w:val="32"/>
          <w:lang w:val="en-US" w:eastAsia="zh-CN" w:bidi="zh-TW"/>
        </w:rPr>
        <w:t>单位</w:t>
      </w:r>
      <w:r>
        <w:rPr>
          <w:rFonts w:hint="default" w:ascii="Times New Roman" w:hAnsi="Times New Roman" w:eastAsia="仿宋" w:cs="Times New Roman"/>
          <w:kern w:val="0"/>
          <w:szCs w:val="32"/>
          <w:lang w:bidi="zh-TW"/>
        </w:rPr>
        <w:t>根据</w:t>
      </w:r>
      <w:r>
        <w:rPr>
          <w:rFonts w:hint="default" w:ascii="Times New Roman" w:hAnsi="Times New Roman" w:eastAsia="仿宋" w:cs="Times New Roman"/>
          <w:kern w:val="0"/>
          <w:szCs w:val="32"/>
          <w:lang w:eastAsia="zh-CN" w:bidi="zh-TW"/>
        </w:rPr>
        <w:t>罗江中学校</w:t>
      </w:r>
      <w:r>
        <w:rPr>
          <w:rFonts w:hint="default" w:ascii="Times New Roman" w:hAnsi="Times New Roman" w:eastAsia="仿宋" w:cs="Times New Roman"/>
          <w:kern w:val="0"/>
          <w:szCs w:val="32"/>
          <w:lang w:bidi="zh-TW"/>
        </w:rPr>
        <w:t>的实际需求和场地条件，制定</w:t>
      </w:r>
      <w:r>
        <w:rPr>
          <w:rFonts w:hint="default" w:ascii="Times New Roman" w:hAnsi="Times New Roman" w:eastAsia="仿宋" w:cs="Times New Roman"/>
          <w:kern w:val="0"/>
          <w:szCs w:val="32"/>
          <w:lang w:eastAsia="zh-CN" w:bidi="zh-TW"/>
        </w:rPr>
        <w:t>了</w:t>
      </w:r>
      <w:r>
        <w:rPr>
          <w:rFonts w:hint="default" w:ascii="Times New Roman" w:hAnsi="Times New Roman" w:eastAsia="仿宋" w:cs="Times New Roman"/>
          <w:kern w:val="0"/>
          <w:szCs w:val="32"/>
          <w:lang w:bidi="zh-TW"/>
        </w:rPr>
        <w:t>科学合理的改造方案。从场地测量、设计规划到施工建设，都有严格的技术标准和操作流程，以保证项目的高质量完成。该项目的实施将改善</w:t>
      </w:r>
      <w:r>
        <w:rPr>
          <w:rFonts w:hint="default" w:ascii="Times New Roman" w:hAnsi="Times New Roman" w:eastAsia="仿宋" w:cs="Times New Roman"/>
          <w:kern w:val="0"/>
          <w:szCs w:val="32"/>
          <w:lang w:eastAsia="zh-CN" w:bidi="zh-TW"/>
        </w:rPr>
        <w:t>罗江中学校</w:t>
      </w:r>
      <w:r>
        <w:rPr>
          <w:rFonts w:hint="default" w:ascii="Times New Roman" w:hAnsi="Times New Roman" w:eastAsia="仿宋" w:cs="Times New Roman"/>
          <w:kern w:val="0"/>
          <w:szCs w:val="32"/>
          <w:lang w:bidi="zh-TW"/>
        </w:rPr>
        <w:t>的运动设施条件，提升学校的体育教学质量和学生的体育活动体验。改造后的运动场将更好地满足学生日常体育锻炼和举办各类体育赛事的需求，有助于培养学生的运动兴趣和体育精神</w:t>
      </w:r>
      <w:r>
        <w:rPr>
          <w:rFonts w:hint="default" w:ascii="Times New Roman" w:hAnsi="Times New Roman" w:eastAsia="仿宋" w:cs="Times New Roman"/>
          <w:szCs w:val="32"/>
        </w:rPr>
        <w:t>。</w:t>
      </w:r>
    </w:p>
    <w:p w14:paraId="07D9F388">
      <w:pPr>
        <w:ind w:firstLine="643"/>
        <w:rPr>
          <w:rFonts w:hint="default" w:ascii="Times New Roman" w:hAnsi="Times New Roman" w:eastAsia="仿宋" w:cs="Times New Roman"/>
          <w:bCs/>
          <w:szCs w:val="32"/>
        </w:rPr>
      </w:pPr>
      <w:r>
        <w:rPr>
          <w:rFonts w:hint="default" w:ascii="Times New Roman" w:hAnsi="Times New Roman" w:eastAsia="仿宋" w:cs="Times New Roman"/>
          <w:b/>
          <w:szCs w:val="32"/>
        </w:rPr>
        <w:t>（2）立项程序规范性：</w:t>
      </w:r>
      <w:r>
        <w:rPr>
          <w:rFonts w:hint="default" w:ascii="Times New Roman" w:hAnsi="Times New Roman" w:eastAsia="仿宋" w:cs="Times New Roman"/>
          <w:szCs w:val="32"/>
        </w:rPr>
        <w:t>指标赋值4分，得分4分。</w:t>
      </w:r>
    </w:p>
    <w:p w14:paraId="70B5CCA8">
      <w:pPr>
        <w:keepNext w:val="0"/>
        <w:keepLines w:val="0"/>
        <w:pageBreakBefore w:val="0"/>
        <w:widowControl w:val="0"/>
        <w:kinsoku/>
        <w:wordWrap/>
        <w:overflowPunct/>
        <w:topLinePunct w:val="0"/>
        <w:autoSpaceDE/>
        <w:autoSpaceDN/>
        <w:bidi w:val="0"/>
        <w:adjustRightInd w:val="0"/>
        <w:snapToGrid w:val="0"/>
        <w:ind w:firstLine="640"/>
        <w:textAlignment w:val="auto"/>
        <w:rPr>
          <w:rFonts w:hint="default" w:ascii="Times New Roman" w:hAnsi="Times New Roman" w:eastAsia="仿宋" w:cs="Times New Roman"/>
          <w:bCs/>
          <w:szCs w:val="32"/>
          <w:lang w:val="en-US" w:eastAsia="zh-CN"/>
        </w:rPr>
      </w:pPr>
      <w:r>
        <w:rPr>
          <w:rFonts w:hint="default" w:ascii="Times New Roman" w:hAnsi="Times New Roman" w:eastAsia="仿宋" w:cs="Times New Roman"/>
          <w:bCs/>
          <w:szCs w:val="32"/>
        </w:rPr>
        <w:t>根据</w:t>
      </w:r>
      <w:r>
        <w:rPr>
          <w:rFonts w:hint="default" w:ascii="Times New Roman" w:hAnsi="Times New Roman" w:eastAsia="仿宋" w:cs="Times New Roman"/>
          <w:color w:val="000000"/>
          <w:sz w:val="31"/>
          <w:szCs w:val="31"/>
        </w:rPr>
        <w:t>《四川省</w:t>
      </w:r>
      <w:r>
        <w:rPr>
          <w:rFonts w:hint="default" w:ascii="Times New Roman" w:hAnsi="Times New Roman" w:eastAsia="仿宋" w:cs="Times New Roman"/>
          <w:color w:val="000000"/>
          <w:sz w:val="31"/>
          <w:szCs w:val="31"/>
          <w:lang w:eastAsia="zh-CN"/>
        </w:rPr>
        <w:t>罗江中学校</w:t>
      </w:r>
      <w:r>
        <w:rPr>
          <w:rFonts w:hint="default" w:ascii="Times New Roman" w:hAnsi="Times New Roman" w:eastAsia="仿宋" w:cs="Times New Roman"/>
          <w:color w:val="000000"/>
          <w:sz w:val="31"/>
          <w:szCs w:val="31"/>
        </w:rPr>
        <w:t>校关于运动场改造项目的请示》</w:t>
      </w:r>
      <w:r>
        <w:rPr>
          <w:rFonts w:hint="default" w:ascii="Times New Roman" w:hAnsi="Times New Roman" w:eastAsia="仿宋" w:cs="Times New Roman"/>
          <w:color w:val="000000"/>
          <w:sz w:val="31"/>
          <w:szCs w:val="31"/>
          <w:lang w:eastAsia="zh-CN"/>
        </w:rPr>
        <w:t>（</w:t>
      </w:r>
      <w:r>
        <w:rPr>
          <w:rFonts w:hint="default" w:ascii="Times New Roman" w:hAnsi="Times New Roman" w:eastAsia="仿宋" w:cs="Times New Roman"/>
          <w:color w:val="000000"/>
          <w:sz w:val="31"/>
          <w:szCs w:val="31"/>
        </w:rPr>
        <w:t>罗中〔2022〕60号</w:t>
      </w:r>
      <w:r>
        <w:rPr>
          <w:rFonts w:hint="default" w:ascii="Times New Roman" w:hAnsi="Times New Roman" w:eastAsia="仿宋" w:cs="Times New Roman"/>
          <w:color w:val="000000"/>
          <w:sz w:val="31"/>
          <w:szCs w:val="31"/>
          <w:lang w:eastAsia="zh-CN"/>
        </w:rPr>
        <w:t>）、</w:t>
      </w:r>
      <w:r>
        <w:rPr>
          <w:rFonts w:hint="default" w:ascii="Times New Roman" w:hAnsi="Times New Roman" w:eastAsia="仿宋" w:cs="Times New Roman"/>
          <w:bCs/>
          <w:szCs w:val="32"/>
        </w:rPr>
        <w:t>《德阳市罗江区发展和改革局关于</w:t>
      </w:r>
      <w:r>
        <w:rPr>
          <w:rFonts w:hint="default" w:ascii="Times New Roman" w:hAnsi="Times New Roman" w:eastAsia="仿宋" w:cs="Times New Roman"/>
          <w:bCs/>
          <w:szCs w:val="32"/>
          <w:lang w:eastAsia="zh-CN"/>
        </w:rPr>
        <w:t>罗江中学运动场改造项目</w:t>
      </w:r>
      <w:r>
        <w:rPr>
          <w:rFonts w:hint="default" w:ascii="Times New Roman" w:hAnsi="Times New Roman" w:eastAsia="仿宋" w:cs="Times New Roman"/>
          <w:bCs/>
          <w:szCs w:val="32"/>
        </w:rPr>
        <w:t>实施方案的批复》</w:t>
      </w:r>
      <w:r>
        <w:rPr>
          <w:rFonts w:hint="default" w:ascii="Times New Roman" w:hAnsi="Times New Roman" w:eastAsia="仿宋" w:cs="Times New Roman"/>
          <w:bCs/>
          <w:szCs w:val="32"/>
          <w:lang w:eastAsia="zh-CN"/>
        </w:rPr>
        <w:t>（</w:t>
      </w:r>
      <w:r>
        <w:rPr>
          <w:rFonts w:hint="default" w:ascii="Times New Roman" w:hAnsi="Times New Roman" w:eastAsia="仿宋" w:cs="Times New Roman"/>
          <w:bCs/>
          <w:szCs w:val="32"/>
        </w:rPr>
        <w:t>德市罗发改投资〔2023〕12号</w:t>
      </w:r>
      <w:r>
        <w:rPr>
          <w:rFonts w:hint="default" w:ascii="Times New Roman" w:hAnsi="Times New Roman" w:eastAsia="仿宋" w:cs="Times New Roman"/>
          <w:bCs/>
          <w:szCs w:val="32"/>
          <w:lang w:eastAsia="zh-CN"/>
        </w:rPr>
        <w:t>）</w:t>
      </w:r>
      <w:r>
        <w:rPr>
          <w:rFonts w:hint="default" w:ascii="Times New Roman" w:hAnsi="Times New Roman" w:eastAsia="仿宋" w:cs="Times New Roman"/>
          <w:bCs/>
          <w:szCs w:val="32"/>
        </w:rPr>
        <w:t>文件，遵循了相关的政策法规和审批流程。</w:t>
      </w:r>
      <w:r>
        <w:rPr>
          <w:rFonts w:hint="default" w:ascii="Times New Roman" w:hAnsi="Times New Roman" w:eastAsia="仿宋" w:cs="Times New Roman"/>
          <w:bCs/>
          <w:szCs w:val="32"/>
          <w:lang w:eastAsia="zh-CN"/>
        </w:rPr>
        <w:t>罗江中学校</w:t>
      </w:r>
      <w:r>
        <w:rPr>
          <w:rFonts w:hint="default" w:ascii="Times New Roman" w:hAnsi="Times New Roman" w:eastAsia="仿宋" w:cs="Times New Roman"/>
          <w:bCs/>
          <w:szCs w:val="32"/>
        </w:rPr>
        <w:t>作为该项目的实施单位，对项目实施方案进行了申报取得了财政的</w:t>
      </w:r>
      <w:r>
        <w:rPr>
          <w:rFonts w:hint="default" w:ascii="Times New Roman" w:hAnsi="Times New Roman" w:eastAsia="仿宋" w:cs="Times New Roman"/>
          <w:bCs/>
          <w:szCs w:val="32"/>
          <w:lang w:val="en-US" w:eastAsia="zh-CN"/>
        </w:rPr>
        <w:t>评审</w:t>
      </w:r>
      <w:r>
        <w:rPr>
          <w:rFonts w:hint="default" w:ascii="Times New Roman" w:hAnsi="Times New Roman" w:eastAsia="仿宋" w:cs="Times New Roman"/>
          <w:bCs/>
          <w:szCs w:val="32"/>
        </w:rPr>
        <w:t>，确保其符合</w:t>
      </w:r>
      <w:r>
        <w:rPr>
          <w:rFonts w:hint="default" w:ascii="Times New Roman" w:hAnsi="Times New Roman" w:eastAsia="仿宋" w:cs="Times New Roman"/>
          <w:bCs/>
          <w:szCs w:val="32"/>
          <w:lang w:val="en-US" w:eastAsia="zh-CN"/>
        </w:rPr>
        <w:t>学校</w:t>
      </w:r>
      <w:r>
        <w:rPr>
          <w:rFonts w:hint="default" w:ascii="Times New Roman" w:hAnsi="Times New Roman" w:eastAsia="仿宋" w:cs="Times New Roman"/>
          <w:bCs/>
          <w:szCs w:val="32"/>
        </w:rPr>
        <w:t>发展规划</w:t>
      </w:r>
      <w:r>
        <w:rPr>
          <w:rFonts w:hint="default" w:ascii="Times New Roman" w:hAnsi="Times New Roman" w:eastAsia="仿宋" w:cs="Times New Roman"/>
          <w:bCs/>
          <w:szCs w:val="32"/>
          <w:lang w:eastAsia="zh-CN"/>
        </w:rPr>
        <w:t>。</w:t>
      </w:r>
      <w:r>
        <w:rPr>
          <w:rFonts w:hint="default" w:ascii="Times New Roman" w:hAnsi="Times New Roman" w:eastAsia="仿宋" w:cs="Times New Roman"/>
          <w:bCs/>
          <w:szCs w:val="32"/>
        </w:rPr>
        <w:t>其中项目内容详细，包括运动场看台改造塑胶跑道修整、足球场草坪改造、塑胶运动场改造等，以及工程量清单、施工图纸涵盖的所有内容</w:t>
      </w:r>
      <w:r>
        <w:rPr>
          <w:rFonts w:hint="default" w:ascii="Times New Roman" w:hAnsi="Times New Roman" w:eastAsia="仿宋" w:cs="Times New Roman"/>
          <w:bCs/>
          <w:szCs w:val="32"/>
          <w:lang w:eastAsia="zh-CN"/>
        </w:rPr>
        <w:t>，</w:t>
      </w:r>
      <w:r>
        <w:rPr>
          <w:rFonts w:hint="default" w:ascii="Times New Roman" w:hAnsi="Times New Roman" w:eastAsia="仿宋" w:cs="Times New Roman"/>
          <w:bCs/>
          <w:szCs w:val="32"/>
        </w:rPr>
        <w:t>这显示了项目立项的充分性和细致性。该项目计划于2023年4月开工，2023年8月完工，明确了项目的建设时间节点，有利于项目的有序推进。</w:t>
      </w:r>
      <w:r>
        <w:rPr>
          <w:rFonts w:hint="default" w:ascii="Times New Roman" w:hAnsi="Times New Roman" w:eastAsia="仿宋" w:cs="Times New Roman"/>
          <w:bCs/>
          <w:szCs w:val="32"/>
          <w:lang w:val="en-US" w:eastAsia="zh-CN"/>
        </w:rPr>
        <w:t xml:space="preserve">  </w:t>
      </w:r>
    </w:p>
    <w:p w14:paraId="3EA63F4B">
      <w:pPr>
        <w:ind w:firstLine="643"/>
        <w:rPr>
          <w:rFonts w:hint="default" w:ascii="Times New Roman" w:hAnsi="Times New Roman" w:eastAsia="仿宋" w:cs="Times New Roman"/>
          <w:szCs w:val="32"/>
        </w:rPr>
      </w:pPr>
      <w:r>
        <w:rPr>
          <w:rFonts w:hint="default" w:ascii="Times New Roman" w:hAnsi="Times New Roman" w:eastAsia="仿宋" w:cs="Times New Roman"/>
          <w:b/>
          <w:bCs/>
          <w:szCs w:val="32"/>
        </w:rPr>
        <w:t>2</w:t>
      </w:r>
      <w:r>
        <w:rPr>
          <w:rFonts w:hint="default" w:ascii="Times New Roman" w:hAnsi="Times New Roman" w:eastAsia="仿宋" w:cs="Times New Roman"/>
          <w:b/>
          <w:szCs w:val="32"/>
        </w:rPr>
        <w:t>.</w:t>
      </w:r>
      <w:r>
        <w:rPr>
          <w:rFonts w:hint="default" w:ascii="Times New Roman" w:hAnsi="Times New Roman" w:eastAsia="仿宋" w:cs="Times New Roman"/>
          <w:b/>
          <w:bCs/>
          <w:szCs w:val="32"/>
        </w:rPr>
        <w:t>绩效目标：</w:t>
      </w:r>
      <w:r>
        <w:rPr>
          <w:rFonts w:hint="default" w:ascii="Times New Roman" w:hAnsi="Times New Roman" w:eastAsia="仿宋" w:cs="Times New Roman"/>
          <w:bCs/>
          <w:szCs w:val="32"/>
        </w:rPr>
        <w:t>主要评价绩效目标合理性和绩效指标明确性情况。指标赋值6分，评价得分</w:t>
      </w:r>
      <w:r>
        <w:rPr>
          <w:rFonts w:hint="default" w:ascii="Times New Roman" w:hAnsi="Times New Roman" w:eastAsia="仿宋" w:cs="Times New Roman"/>
          <w:bCs/>
          <w:szCs w:val="32"/>
          <w:lang w:val="en-US" w:eastAsia="zh-CN"/>
        </w:rPr>
        <w:t>4</w:t>
      </w:r>
      <w:r>
        <w:rPr>
          <w:rFonts w:hint="default" w:ascii="Times New Roman" w:hAnsi="Times New Roman" w:eastAsia="仿宋" w:cs="Times New Roman"/>
          <w:bCs/>
          <w:szCs w:val="32"/>
        </w:rPr>
        <w:t>分。</w:t>
      </w:r>
    </w:p>
    <w:p w14:paraId="0AD6E3C3">
      <w:pPr>
        <w:ind w:firstLine="643"/>
        <w:rPr>
          <w:rFonts w:hint="default" w:ascii="Times New Roman" w:hAnsi="Times New Roman" w:eastAsia="仿宋" w:cs="Times New Roman"/>
          <w:b/>
          <w:bCs/>
          <w:szCs w:val="32"/>
        </w:rPr>
      </w:pPr>
      <w:r>
        <w:rPr>
          <w:rFonts w:hint="default" w:ascii="Times New Roman" w:hAnsi="Times New Roman" w:eastAsia="仿宋" w:cs="Times New Roman"/>
          <w:b/>
          <w:szCs w:val="32"/>
        </w:rPr>
        <w:t>（1）绩效目标合理性：</w:t>
      </w:r>
      <w:r>
        <w:rPr>
          <w:rFonts w:hint="default" w:ascii="Times New Roman" w:hAnsi="Times New Roman" w:eastAsia="仿宋" w:cs="Times New Roman"/>
          <w:szCs w:val="32"/>
        </w:rPr>
        <w:t>指标赋值3分，得分3分</w:t>
      </w:r>
      <w:bookmarkEnd w:id="13"/>
      <w:bookmarkEnd w:id="14"/>
      <w:bookmarkEnd w:id="15"/>
      <w:bookmarkEnd w:id="16"/>
      <w:r>
        <w:rPr>
          <w:rFonts w:hint="default" w:ascii="Times New Roman" w:hAnsi="Times New Roman" w:eastAsia="仿宋" w:cs="Times New Roman"/>
          <w:szCs w:val="32"/>
        </w:rPr>
        <w:t>。</w:t>
      </w:r>
    </w:p>
    <w:p w14:paraId="70EC5633">
      <w:pPr>
        <w:pStyle w:val="2"/>
        <w:spacing w:line="560" w:lineRule="exact"/>
        <w:ind w:firstLine="640"/>
        <w:rPr>
          <w:rFonts w:hint="default" w:ascii="Times New Roman" w:hAnsi="Times New Roman" w:eastAsia="仿宋" w:cs="Times New Roman"/>
          <w:szCs w:val="32"/>
        </w:rPr>
      </w:pPr>
      <w:r>
        <w:rPr>
          <w:rFonts w:hint="default" w:ascii="Times New Roman" w:hAnsi="Times New Roman" w:eastAsia="仿宋" w:cs="Times New Roman"/>
          <w:szCs w:val="32"/>
        </w:rPr>
        <w:t>2023年</w:t>
      </w: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szCs w:val="32"/>
        </w:rPr>
        <w:t>绩效目标符合区域经济和社会发展规划，整体较为合理：</w:t>
      </w:r>
    </w:p>
    <w:p w14:paraId="35B3E2BB">
      <w:pPr>
        <w:ind w:firstLine="643"/>
        <w:rPr>
          <w:rFonts w:hint="default" w:ascii="Times New Roman" w:hAnsi="Times New Roman" w:eastAsia="仿宋" w:cs="Times New Roman"/>
          <w:szCs w:val="32"/>
        </w:rPr>
      </w:pPr>
      <w:r>
        <w:rPr>
          <w:rFonts w:hint="default" w:ascii="Times New Roman" w:hAnsi="Times New Roman" w:eastAsia="仿宋" w:cs="Times New Roman"/>
          <w:b/>
          <w:bCs/>
          <w:szCs w:val="32"/>
        </w:rPr>
        <w:t>一是项目绩效目标合理可行。</w:t>
      </w:r>
      <w:r>
        <w:rPr>
          <w:rFonts w:hint="default" w:ascii="Times New Roman" w:hAnsi="Times New Roman" w:eastAsia="仿宋" w:cs="Times New Roman"/>
          <w:szCs w:val="32"/>
          <w:lang w:eastAsia="zh-CN"/>
        </w:rPr>
        <w:t>罗江中学校</w:t>
      </w:r>
      <w:r>
        <w:rPr>
          <w:rFonts w:hint="default" w:ascii="Times New Roman" w:hAnsi="Times New Roman" w:eastAsia="仿宋" w:cs="Times New Roman"/>
          <w:szCs w:val="32"/>
        </w:rPr>
        <w:t>填报了绩效目标申报表，设立的年度绩效目标与实际工作内容相关性较强，目标值设定基本可行，项目整体绩效目标较为合理。</w:t>
      </w:r>
    </w:p>
    <w:p w14:paraId="510DF1AE">
      <w:pPr>
        <w:rPr>
          <w:rFonts w:hint="default" w:ascii="Times New Roman" w:hAnsi="Times New Roman" w:eastAsia="仿宋" w:cs="Times New Roman"/>
          <w:color w:val="FF0000"/>
          <w:szCs w:val="32"/>
        </w:rPr>
      </w:pPr>
      <w:r>
        <w:rPr>
          <w:rFonts w:hint="default" w:ascii="Times New Roman" w:hAnsi="Times New Roman" w:eastAsia="仿宋" w:cs="Times New Roman"/>
          <w:b/>
          <w:bCs/>
          <w:szCs w:val="32"/>
        </w:rPr>
        <w:t>二是预算资金与实际需求基本匹配。</w:t>
      </w:r>
      <w:r>
        <w:rPr>
          <w:rFonts w:hint="default" w:ascii="Times New Roman" w:hAnsi="Times New Roman" w:eastAsia="仿宋" w:cs="Times New Roman"/>
          <w:szCs w:val="32"/>
        </w:rPr>
        <w:t>在此次学校运动场改造项目中，针对学校运动场基础设施长期以来的老旧与破损问题</w:t>
      </w:r>
      <w:r>
        <w:rPr>
          <w:rFonts w:hint="default" w:ascii="Times New Roman" w:hAnsi="Times New Roman" w:eastAsia="仿宋" w:cs="Times New Roman"/>
          <w:szCs w:val="32"/>
          <w:lang w:eastAsia="zh-CN"/>
        </w:rPr>
        <w:t>，</w:t>
      </w:r>
      <w:r>
        <w:rPr>
          <w:rFonts w:hint="default" w:ascii="Times New Roman" w:hAnsi="Times New Roman" w:eastAsia="仿宋" w:cs="Times New Roman"/>
          <w:szCs w:val="32"/>
        </w:rPr>
        <w:t>这些问题不仅影响了教学环境的整体质量，也对学生的日常学习与生活造成了诸多不便。为了从根本上改善这一状况，学校管理层积极行动，向相关部门提交了运动场改造申请。施工单位</w:t>
      </w:r>
      <w:r>
        <w:rPr>
          <w:rFonts w:hint="default" w:ascii="Times New Roman" w:hAnsi="Times New Roman" w:eastAsia="仿宋" w:cs="Times New Roman"/>
          <w:szCs w:val="32"/>
          <w:lang w:val="en-US" w:eastAsia="zh-CN"/>
        </w:rPr>
        <w:t>经过深入研究</w:t>
      </w:r>
      <w:r>
        <w:rPr>
          <w:rFonts w:hint="default" w:ascii="Times New Roman" w:hAnsi="Times New Roman" w:eastAsia="仿宋" w:cs="Times New Roman"/>
          <w:szCs w:val="32"/>
        </w:rPr>
        <w:t>编制了改造项目的预算方案。该方案充分考虑了当前学校设施的实际情况，签订合同约定施工价为749万元但在实施过程中</w:t>
      </w:r>
      <w:r>
        <w:rPr>
          <w:rFonts w:hint="default" w:ascii="Times New Roman" w:hAnsi="Times New Roman" w:eastAsia="仿宋" w:cs="Times New Roman"/>
          <w:szCs w:val="32"/>
          <w:lang w:eastAsia="zh-CN"/>
        </w:rPr>
        <w:t>，</w:t>
      </w:r>
      <w:r>
        <w:rPr>
          <w:rFonts w:hint="default" w:ascii="Times New Roman" w:hAnsi="Times New Roman" w:eastAsia="仿宋" w:cs="Times New Roman"/>
          <w:szCs w:val="32"/>
        </w:rPr>
        <w:t>因本工程是改造项目</w:t>
      </w:r>
      <w:r>
        <w:rPr>
          <w:rFonts w:hint="default" w:ascii="Times New Roman" w:hAnsi="Times New Roman" w:eastAsia="仿宋" w:cs="Times New Roman"/>
          <w:szCs w:val="32"/>
          <w:lang w:eastAsia="zh-CN"/>
        </w:rPr>
        <w:t>，</w:t>
      </w:r>
      <w:r>
        <w:rPr>
          <w:rFonts w:hint="default" w:ascii="Times New Roman" w:hAnsi="Times New Roman" w:eastAsia="仿宋" w:cs="Times New Roman"/>
          <w:szCs w:val="32"/>
        </w:rPr>
        <w:t>为节约开支</w:t>
      </w:r>
      <w:r>
        <w:rPr>
          <w:rFonts w:hint="default" w:ascii="Times New Roman" w:hAnsi="Times New Roman" w:eastAsia="仿宋" w:cs="Times New Roman"/>
          <w:szCs w:val="32"/>
          <w:lang w:eastAsia="zh-CN"/>
        </w:rPr>
        <w:t>，</w:t>
      </w:r>
      <w:r>
        <w:rPr>
          <w:rFonts w:hint="default" w:ascii="Times New Roman" w:hAnsi="Times New Roman" w:eastAsia="仿宋" w:cs="Times New Roman"/>
          <w:szCs w:val="32"/>
        </w:rPr>
        <w:t>设计前未做地勘钍探等工作</w:t>
      </w:r>
      <w:r>
        <w:rPr>
          <w:rFonts w:hint="default" w:ascii="Times New Roman" w:hAnsi="Times New Roman" w:eastAsia="仿宋" w:cs="Times New Roman"/>
          <w:szCs w:val="32"/>
          <w:lang w:eastAsia="zh-CN"/>
        </w:rPr>
        <w:t>，</w:t>
      </w:r>
      <w:r>
        <w:rPr>
          <w:rFonts w:hint="default" w:ascii="Times New Roman" w:hAnsi="Times New Roman" w:eastAsia="仿宋" w:cs="Times New Roman"/>
          <w:szCs w:val="32"/>
        </w:rPr>
        <w:t>在具体施工中发现增加工程量才能确保工程质量。根据审议区教体局《关于</w:t>
      </w: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szCs w:val="32"/>
        </w:rPr>
        <w:t>工程变更的请示》</w:t>
      </w:r>
      <w:r>
        <w:rPr>
          <w:rFonts w:hint="default" w:ascii="Times New Roman" w:hAnsi="Times New Roman" w:eastAsia="仿宋" w:cs="Times New Roman"/>
          <w:szCs w:val="32"/>
          <w:lang w:eastAsia="zh-CN"/>
        </w:rPr>
        <w:t>（</w:t>
      </w:r>
      <w:r>
        <w:rPr>
          <w:rFonts w:hint="default" w:ascii="Times New Roman" w:hAnsi="Times New Roman" w:eastAsia="仿宋" w:cs="Times New Roman"/>
          <w:szCs w:val="32"/>
        </w:rPr>
        <w:t>德市罗教体</w:t>
      </w:r>
      <w:r>
        <w:rPr>
          <w:rFonts w:hint="default" w:ascii="Times New Roman" w:hAnsi="Times New Roman" w:eastAsia="仿宋" w:cs="Times New Roman"/>
          <w:color w:val="000000"/>
          <w:sz w:val="31"/>
          <w:szCs w:val="31"/>
        </w:rPr>
        <w:t>〔</w:t>
      </w:r>
      <w:r>
        <w:rPr>
          <w:rFonts w:hint="default" w:ascii="Times New Roman" w:hAnsi="Times New Roman" w:eastAsia="仿宋" w:cs="Times New Roman"/>
          <w:szCs w:val="32"/>
        </w:rPr>
        <w:t>2023</w:t>
      </w:r>
      <w:r>
        <w:rPr>
          <w:rFonts w:hint="default" w:ascii="Times New Roman" w:hAnsi="Times New Roman" w:eastAsia="仿宋" w:cs="Times New Roman"/>
          <w:color w:val="000000"/>
          <w:sz w:val="31"/>
          <w:szCs w:val="31"/>
        </w:rPr>
        <w:t>〕</w:t>
      </w:r>
      <w:r>
        <w:rPr>
          <w:rFonts w:hint="default" w:ascii="Times New Roman" w:hAnsi="Times New Roman" w:eastAsia="仿宋" w:cs="Times New Roman"/>
          <w:szCs w:val="32"/>
        </w:rPr>
        <w:t>29号</w:t>
      </w:r>
      <w:r>
        <w:rPr>
          <w:rFonts w:hint="default" w:ascii="Times New Roman" w:hAnsi="Times New Roman" w:eastAsia="仿宋" w:cs="Times New Roman"/>
          <w:szCs w:val="32"/>
          <w:lang w:eastAsia="zh-CN"/>
        </w:rPr>
        <w:t>）</w:t>
      </w:r>
      <w:r>
        <w:rPr>
          <w:rFonts w:hint="default" w:ascii="Times New Roman" w:hAnsi="Times New Roman" w:eastAsia="仿宋" w:cs="Times New Roman"/>
          <w:szCs w:val="32"/>
        </w:rPr>
        <w:t>、《德阳市罗江区教育和体育局关于“</w:t>
      </w: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szCs w:val="32"/>
        </w:rPr>
        <w:t>”工程变更的情况说明》</w:t>
      </w:r>
      <w:r>
        <w:rPr>
          <w:rFonts w:hint="default" w:ascii="Times New Roman" w:hAnsi="Times New Roman" w:eastAsia="仿宋" w:cs="Times New Roman"/>
          <w:szCs w:val="32"/>
          <w:lang w:eastAsia="zh-CN"/>
        </w:rPr>
        <w:t>（</w:t>
      </w:r>
      <w:r>
        <w:rPr>
          <w:rFonts w:hint="default" w:ascii="Times New Roman" w:hAnsi="Times New Roman" w:eastAsia="仿宋" w:cs="Times New Roman"/>
          <w:szCs w:val="32"/>
        </w:rPr>
        <w:t>德市罗教体〔2023〕30号</w:t>
      </w:r>
      <w:r>
        <w:rPr>
          <w:rFonts w:hint="default" w:ascii="Times New Roman" w:hAnsi="Times New Roman" w:eastAsia="仿宋" w:cs="Times New Roman"/>
          <w:szCs w:val="32"/>
          <w:lang w:eastAsia="zh-CN"/>
        </w:rPr>
        <w:t>）</w:t>
      </w:r>
      <w:r>
        <w:rPr>
          <w:rFonts w:hint="default" w:ascii="Times New Roman" w:hAnsi="Times New Roman" w:eastAsia="仿宋" w:cs="Times New Roman"/>
          <w:szCs w:val="32"/>
        </w:rPr>
        <w:t>文件，2023年8月7日</w:t>
      </w:r>
      <w:r>
        <w:rPr>
          <w:rFonts w:hint="default" w:ascii="Times New Roman" w:hAnsi="Times New Roman" w:eastAsia="仿宋" w:cs="Times New Roman"/>
          <w:szCs w:val="32"/>
          <w:lang w:eastAsia="zh-CN"/>
        </w:rPr>
        <w:t>罗江中学校</w:t>
      </w:r>
      <w:r>
        <w:rPr>
          <w:rFonts w:hint="default" w:ascii="Times New Roman" w:hAnsi="Times New Roman" w:eastAsia="仿宋" w:cs="Times New Roman"/>
          <w:szCs w:val="32"/>
        </w:rPr>
        <w:t>分别组织区教育局、区基建办、监理单位、施工单位</w:t>
      </w:r>
      <w:r>
        <w:rPr>
          <w:rFonts w:hint="default" w:ascii="Times New Roman" w:hAnsi="Times New Roman" w:eastAsia="仿宋" w:cs="Times New Roman"/>
          <w:color w:val="auto"/>
          <w:szCs w:val="32"/>
        </w:rPr>
        <w:t>共同对现场进行核实确定依据现场实际情况，在拆除彩砖后，发现原基层被黄葛树树根破坏严重，突兀不平，无法利用原基层在上面铺设透水混凝土</w:t>
      </w:r>
      <w:r>
        <w:rPr>
          <w:rFonts w:hint="default" w:ascii="Times New Roman" w:hAnsi="Times New Roman" w:eastAsia="仿宋" w:cs="Times New Roman"/>
          <w:color w:val="auto"/>
          <w:szCs w:val="32"/>
          <w:lang w:eastAsia="zh-CN"/>
        </w:rPr>
        <w:t>，根据现场评估30mm厚细粒式沥青已经失效，大面积沥青颗粒松散、脱落，受损严重</w:t>
      </w:r>
      <w:r>
        <w:rPr>
          <w:rFonts w:hint="default" w:ascii="Times New Roman" w:hAnsi="Times New Roman" w:eastAsia="仿宋" w:cs="Times New Roman"/>
          <w:color w:val="auto"/>
          <w:szCs w:val="32"/>
        </w:rPr>
        <w:t>需要变更的工程量，</w:t>
      </w:r>
      <w:r>
        <w:rPr>
          <w:rFonts w:hint="default" w:ascii="Times New Roman" w:hAnsi="Times New Roman" w:eastAsia="仿宋" w:cs="Times New Roman"/>
          <w:color w:val="auto"/>
          <w:szCs w:val="32"/>
          <w:lang w:val="en-US" w:eastAsia="zh-CN"/>
        </w:rPr>
        <w:t>经</w:t>
      </w:r>
      <w:r>
        <w:rPr>
          <w:rFonts w:hint="default" w:ascii="Times New Roman" w:hAnsi="Times New Roman" w:eastAsia="仿宋" w:cs="Times New Roman"/>
          <w:color w:val="auto"/>
          <w:szCs w:val="32"/>
        </w:rPr>
        <w:t>2023年教育工委第26次</w:t>
      </w:r>
      <w:r>
        <w:rPr>
          <w:rFonts w:hint="default" w:ascii="Times New Roman" w:hAnsi="Times New Roman" w:eastAsia="仿宋" w:cs="Times New Roman"/>
          <w:color w:val="auto"/>
          <w:szCs w:val="32"/>
          <w:lang w:eastAsia="zh-CN"/>
        </w:rPr>
        <w:t>会</w:t>
      </w:r>
      <w:r>
        <w:rPr>
          <w:rFonts w:hint="default" w:ascii="Times New Roman" w:hAnsi="Times New Roman" w:eastAsia="仿宋" w:cs="Times New Roman"/>
          <w:color w:val="auto"/>
          <w:szCs w:val="32"/>
          <w:lang w:val="en-US" w:eastAsia="zh-CN"/>
        </w:rPr>
        <w:t>议纪要</w:t>
      </w:r>
      <w:r>
        <w:rPr>
          <w:rFonts w:hint="default" w:ascii="Times New Roman" w:hAnsi="Times New Roman" w:eastAsia="仿宋" w:cs="Times New Roman"/>
          <w:color w:val="auto"/>
          <w:szCs w:val="32"/>
        </w:rPr>
        <w:t>区教体局党组第13次会议</w:t>
      </w:r>
      <w:r>
        <w:rPr>
          <w:rFonts w:hint="default" w:ascii="Times New Roman" w:hAnsi="Times New Roman" w:eastAsia="仿宋" w:cs="Times New Roman"/>
          <w:color w:val="auto"/>
          <w:szCs w:val="32"/>
          <w:lang w:val="en-US" w:eastAsia="zh-CN"/>
        </w:rPr>
        <w:t>审议决议审议关于罗江中学运动场改造项目工程增加工程量的相关事宜</w:t>
      </w:r>
      <w:r>
        <w:rPr>
          <w:rFonts w:hint="default" w:ascii="Times New Roman" w:hAnsi="Times New Roman" w:eastAsia="仿宋" w:cs="Times New Roman"/>
          <w:color w:val="auto"/>
          <w:szCs w:val="32"/>
        </w:rPr>
        <w:t>使其变更增加投资控制在51万元以内，变更实施方式为原单位实施。</w:t>
      </w:r>
      <w:r>
        <w:rPr>
          <w:rFonts w:hint="default" w:ascii="Times New Roman" w:hAnsi="Times New Roman" w:eastAsia="仿宋" w:cs="Times New Roman"/>
          <w:szCs w:val="32"/>
        </w:rPr>
        <w:t>该项目预算资金与实际需求基本匹配，通过工程量变更，确保了工程质量，满足了学校运动场改造的实际需求。</w:t>
      </w:r>
    </w:p>
    <w:p w14:paraId="1EFD8092">
      <w:pPr>
        <w:ind w:firstLine="643"/>
        <w:rPr>
          <w:rFonts w:hint="default" w:ascii="Times New Roman" w:hAnsi="Times New Roman" w:eastAsia="仿宋" w:cs="Times New Roman"/>
        </w:rPr>
      </w:pPr>
      <w:r>
        <w:rPr>
          <w:rFonts w:hint="default" w:ascii="Times New Roman" w:hAnsi="Times New Roman" w:eastAsia="仿宋" w:cs="Times New Roman"/>
          <w:b/>
          <w:szCs w:val="32"/>
        </w:rPr>
        <w:t>（2）绩效指标明确性：</w:t>
      </w:r>
      <w:r>
        <w:rPr>
          <w:rFonts w:hint="default" w:ascii="Times New Roman" w:hAnsi="Times New Roman" w:eastAsia="仿宋" w:cs="Times New Roman"/>
          <w:bCs/>
          <w:szCs w:val="32"/>
        </w:rPr>
        <w:t>指标赋值3分，得分1分。</w:t>
      </w:r>
    </w:p>
    <w:p w14:paraId="31E15CAB">
      <w:pPr>
        <w:ind w:firstLine="640"/>
        <w:rPr>
          <w:rFonts w:hint="default" w:ascii="Times New Roman" w:hAnsi="Times New Roman" w:eastAsia="仿宋" w:cs="Times New Roman"/>
          <w:szCs w:val="32"/>
          <w:lang w:val="en-US" w:eastAsia="zh-CN"/>
        </w:rPr>
      </w:pPr>
      <w:r>
        <w:rPr>
          <w:rFonts w:hint="default" w:ascii="Times New Roman" w:hAnsi="Times New Roman" w:eastAsia="仿宋" w:cs="Times New Roman"/>
          <w:szCs w:val="32"/>
        </w:rPr>
        <w:t>评价组查看四川省</w:t>
      </w:r>
      <w:r>
        <w:rPr>
          <w:rFonts w:hint="default" w:ascii="Times New Roman" w:hAnsi="Times New Roman" w:eastAsia="仿宋" w:cs="Times New Roman"/>
          <w:szCs w:val="32"/>
          <w:lang w:eastAsia="zh-CN"/>
        </w:rPr>
        <w:t>罗江中学校</w:t>
      </w:r>
      <w:r>
        <w:rPr>
          <w:rFonts w:hint="default" w:ascii="Times New Roman" w:hAnsi="Times New Roman" w:eastAsia="仿宋" w:cs="Times New Roman"/>
          <w:szCs w:val="32"/>
        </w:rPr>
        <w:t>校填报的《</w:t>
      </w: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szCs w:val="32"/>
        </w:rPr>
        <w:t>绩效申报表》，指标填报不完整，申报表中的数量指标设置不准确、质量指标填写不准确问题、项目绩效目标未明确，整体目标设置较差。</w:t>
      </w:r>
      <w:r>
        <w:rPr>
          <w:rFonts w:hint="default" w:ascii="Times New Roman" w:hAnsi="Times New Roman" w:eastAsia="仿宋" w:cs="Times New Roman"/>
          <w:szCs w:val="32"/>
          <w:lang w:val="en-US" w:eastAsia="zh-CN"/>
        </w:rPr>
        <w:t>综合扣减2分。</w:t>
      </w:r>
    </w:p>
    <w:p w14:paraId="20518B4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b/>
          <w:snapToGrid/>
          <w:kern w:val="2"/>
          <w:sz w:val="28"/>
          <w:szCs w:val="28"/>
          <w:highlight w:val="none"/>
          <w:lang w:eastAsia="zh-CN"/>
        </w:rPr>
      </w:pPr>
      <w:r>
        <w:rPr>
          <w:rFonts w:hint="default" w:ascii="Times New Roman" w:hAnsi="Times New Roman" w:eastAsia="仿宋" w:cs="Times New Roman"/>
          <w:szCs w:val="32"/>
        </w:rPr>
        <w:t>绩效小组对该绩效目标申报表进行了重新</w:t>
      </w:r>
      <w:r>
        <w:rPr>
          <w:rFonts w:hint="default" w:ascii="Times New Roman" w:hAnsi="Times New Roman" w:eastAsia="仿宋" w:cs="Times New Roman"/>
          <w:szCs w:val="32"/>
          <w:lang w:val="en-US" w:eastAsia="zh-CN"/>
        </w:rPr>
        <w:t>梳理</w:t>
      </w:r>
      <w:r>
        <w:rPr>
          <w:rFonts w:hint="default" w:ascii="Times New Roman" w:hAnsi="Times New Roman" w:eastAsia="仿宋" w:cs="Times New Roman"/>
          <w:szCs w:val="32"/>
        </w:rPr>
        <w:t>编制，详情见下表。</w:t>
      </w:r>
      <w:r>
        <w:rPr>
          <w:rFonts w:hint="default" w:ascii="Times New Roman" w:hAnsi="Times New Roman" w:eastAsia="仿宋" w:cs="Times New Roman"/>
          <w:b/>
          <w:snapToGrid/>
          <w:kern w:val="2"/>
          <w:sz w:val="28"/>
          <w:szCs w:val="28"/>
          <w:highlight w:val="none"/>
          <w:lang w:val="en-US" w:eastAsia="zh-CN"/>
        </w:rPr>
        <w:t>表4-1</w:t>
      </w:r>
      <w:r>
        <w:rPr>
          <w:rFonts w:hint="default" w:ascii="Times New Roman" w:hAnsi="Times New Roman" w:eastAsia="仿宋" w:cs="Times New Roman"/>
          <w:b/>
          <w:snapToGrid/>
          <w:kern w:val="2"/>
          <w:sz w:val="28"/>
          <w:szCs w:val="28"/>
          <w:highlight w:val="none"/>
          <w:lang w:eastAsia="zh-CN"/>
        </w:rPr>
        <w:t>项目绩效目标申报表</w:t>
      </w:r>
    </w:p>
    <w:tbl>
      <w:tblPr>
        <w:tblStyle w:val="26"/>
        <w:tblW w:w="5000" w:type="pct"/>
        <w:tblInd w:w="0" w:type="dxa"/>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Layout w:type="fixed"/>
        <w:tblCellMar>
          <w:top w:w="0" w:type="dxa"/>
          <w:left w:w="108" w:type="dxa"/>
          <w:bottom w:w="0" w:type="dxa"/>
          <w:right w:w="108" w:type="dxa"/>
        </w:tblCellMar>
      </w:tblPr>
      <w:tblGrid>
        <w:gridCol w:w="774"/>
        <w:gridCol w:w="1371"/>
        <w:gridCol w:w="2597"/>
        <w:gridCol w:w="2709"/>
        <w:gridCol w:w="1609"/>
      </w:tblGrid>
      <w:tr w14:paraId="7043DB59">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719" w:hRule="atLeast"/>
        </w:trPr>
        <w:tc>
          <w:tcPr>
            <w:tcW w:w="427" w:type="pct"/>
            <w:vMerge w:val="restart"/>
            <w:tcBorders>
              <w:tl2br w:val="nil"/>
              <w:tr2bl w:val="nil"/>
            </w:tcBorders>
            <w:shd w:val="clear" w:color="auto" w:fill="auto"/>
            <w:vAlign w:val="center"/>
          </w:tcPr>
          <w:p w14:paraId="10F2BC06">
            <w:pPr>
              <w:pStyle w:val="74"/>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绩效目标</w:t>
            </w:r>
          </w:p>
        </w:tc>
        <w:tc>
          <w:tcPr>
            <w:tcW w:w="756" w:type="pct"/>
            <w:tcBorders>
              <w:tl2br w:val="nil"/>
              <w:tr2bl w:val="nil"/>
            </w:tcBorders>
            <w:shd w:val="clear" w:color="auto" w:fill="auto"/>
            <w:vAlign w:val="center"/>
          </w:tcPr>
          <w:p w14:paraId="18EFAB75">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一级指标</w:t>
            </w:r>
          </w:p>
        </w:tc>
        <w:tc>
          <w:tcPr>
            <w:tcW w:w="1433" w:type="pct"/>
            <w:tcBorders>
              <w:tl2br w:val="nil"/>
              <w:tr2bl w:val="nil"/>
            </w:tcBorders>
            <w:shd w:val="clear" w:color="auto" w:fill="auto"/>
            <w:vAlign w:val="center"/>
          </w:tcPr>
          <w:p w14:paraId="3D91671E">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二级指标</w:t>
            </w:r>
          </w:p>
        </w:tc>
        <w:tc>
          <w:tcPr>
            <w:tcW w:w="1495" w:type="pct"/>
            <w:tcBorders>
              <w:tl2br w:val="nil"/>
              <w:tr2bl w:val="nil"/>
            </w:tcBorders>
            <w:shd w:val="clear" w:color="auto" w:fill="auto"/>
            <w:vAlign w:val="center"/>
          </w:tcPr>
          <w:p w14:paraId="0E2DCBE8">
            <w:pPr>
              <w:pStyle w:val="74"/>
              <w:spacing w:before="83" w:line="240" w:lineRule="auto"/>
              <w:ind w:left="0" w:leftChars="0" w:firstLine="0" w:firstLineChars="0"/>
              <w:jc w:val="center"/>
              <w:rPr>
                <w:rFonts w:hint="default" w:ascii="Times New Roman" w:hAnsi="Times New Roman" w:eastAsia="仿宋" w:cs="Times New Roman"/>
                <w:spacing w:val="-5"/>
                <w:sz w:val="24"/>
                <w:szCs w:val="24"/>
                <w:lang w:val="en-US" w:eastAsia="zh-CN"/>
              </w:rPr>
            </w:pPr>
            <w:r>
              <w:rPr>
                <w:rFonts w:hint="default" w:ascii="Times New Roman" w:hAnsi="Times New Roman" w:eastAsia="仿宋" w:cs="Times New Roman"/>
                <w:spacing w:val="-5"/>
                <w:sz w:val="24"/>
                <w:szCs w:val="24"/>
                <w:lang w:val="en-US" w:eastAsia="zh-CN"/>
              </w:rPr>
              <w:t>指标内容</w:t>
            </w:r>
          </w:p>
        </w:tc>
        <w:tc>
          <w:tcPr>
            <w:tcW w:w="887" w:type="pct"/>
            <w:tcBorders>
              <w:tl2br w:val="nil"/>
              <w:tr2bl w:val="nil"/>
            </w:tcBorders>
            <w:shd w:val="clear" w:color="auto" w:fill="auto"/>
            <w:vAlign w:val="center"/>
          </w:tcPr>
          <w:p w14:paraId="0DF44D3D">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指标值</w:t>
            </w:r>
          </w:p>
        </w:tc>
      </w:tr>
      <w:tr w14:paraId="3D739F96">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600" w:hRule="atLeast"/>
        </w:trPr>
        <w:tc>
          <w:tcPr>
            <w:tcW w:w="427" w:type="pct"/>
            <w:vMerge w:val="continue"/>
            <w:tcBorders>
              <w:tl2br w:val="nil"/>
              <w:tr2bl w:val="nil"/>
            </w:tcBorders>
            <w:shd w:val="clear" w:color="auto" w:fill="auto"/>
            <w:vAlign w:val="center"/>
          </w:tcPr>
          <w:p w14:paraId="7642DC64">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p>
        </w:tc>
        <w:tc>
          <w:tcPr>
            <w:tcW w:w="756" w:type="pct"/>
            <w:vMerge w:val="restart"/>
            <w:tcBorders>
              <w:tl2br w:val="nil"/>
              <w:tr2bl w:val="nil"/>
            </w:tcBorders>
            <w:shd w:val="clear" w:color="auto" w:fill="auto"/>
            <w:vAlign w:val="center"/>
          </w:tcPr>
          <w:p w14:paraId="7E0DDA4A">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产出指标</w:t>
            </w:r>
          </w:p>
        </w:tc>
        <w:tc>
          <w:tcPr>
            <w:tcW w:w="1433" w:type="pct"/>
            <w:tcBorders>
              <w:tl2br w:val="nil"/>
              <w:tr2bl w:val="nil"/>
            </w:tcBorders>
            <w:shd w:val="clear" w:color="auto" w:fill="auto"/>
            <w:vAlign w:val="center"/>
          </w:tcPr>
          <w:p w14:paraId="747C53B9">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数量指标</w:t>
            </w:r>
          </w:p>
        </w:tc>
        <w:tc>
          <w:tcPr>
            <w:tcW w:w="1495" w:type="pct"/>
            <w:tcBorders>
              <w:tl2br w:val="nil"/>
              <w:tr2bl w:val="nil"/>
            </w:tcBorders>
            <w:shd w:val="clear" w:color="auto" w:fill="auto"/>
            <w:vAlign w:val="center"/>
          </w:tcPr>
          <w:p w14:paraId="60A4D05F">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运动场改造面积</w:t>
            </w:r>
          </w:p>
        </w:tc>
        <w:tc>
          <w:tcPr>
            <w:tcW w:w="887" w:type="pct"/>
            <w:tcBorders>
              <w:tl2br w:val="nil"/>
              <w:tr2bl w:val="nil"/>
            </w:tcBorders>
            <w:shd w:val="clear" w:color="auto" w:fill="auto"/>
            <w:vAlign w:val="center"/>
          </w:tcPr>
          <w:p w14:paraId="2DDAC992">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27900平方米</w:t>
            </w:r>
          </w:p>
        </w:tc>
      </w:tr>
      <w:tr w14:paraId="6A437C89">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667" w:hRule="atLeast"/>
        </w:trPr>
        <w:tc>
          <w:tcPr>
            <w:tcW w:w="427" w:type="pct"/>
            <w:vMerge w:val="continue"/>
            <w:tcBorders>
              <w:tl2br w:val="nil"/>
              <w:tr2bl w:val="nil"/>
            </w:tcBorders>
            <w:shd w:val="clear" w:color="auto" w:fill="auto"/>
            <w:vAlign w:val="center"/>
          </w:tcPr>
          <w:p w14:paraId="17BE0427">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p>
        </w:tc>
        <w:tc>
          <w:tcPr>
            <w:tcW w:w="756" w:type="pct"/>
            <w:vMerge w:val="continue"/>
            <w:tcBorders>
              <w:tl2br w:val="nil"/>
              <w:tr2bl w:val="nil"/>
            </w:tcBorders>
            <w:shd w:val="clear" w:color="auto" w:fill="auto"/>
            <w:vAlign w:val="center"/>
          </w:tcPr>
          <w:p w14:paraId="6FB20AA8">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p>
        </w:tc>
        <w:tc>
          <w:tcPr>
            <w:tcW w:w="1433" w:type="pct"/>
            <w:tcBorders>
              <w:tl2br w:val="nil"/>
              <w:tr2bl w:val="nil"/>
            </w:tcBorders>
            <w:shd w:val="clear" w:color="auto" w:fill="auto"/>
            <w:vAlign w:val="center"/>
          </w:tcPr>
          <w:p w14:paraId="1C4FBB9B">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数量指标</w:t>
            </w:r>
          </w:p>
        </w:tc>
        <w:tc>
          <w:tcPr>
            <w:tcW w:w="1495" w:type="pct"/>
            <w:tcBorders>
              <w:tl2br w:val="nil"/>
              <w:tr2bl w:val="nil"/>
            </w:tcBorders>
            <w:shd w:val="clear" w:color="auto" w:fill="auto"/>
            <w:vAlign w:val="center"/>
          </w:tcPr>
          <w:p w14:paraId="39DCE46D">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受益师生数</w:t>
            </w:r>
          </w:p>
        </w:tc>
        <w:tc>
          <w:tcPr>
            <w:tcW w:w="887" w:type="pct"/>
            <w:tcBorders>
              <w:tl2br w:val="nil"/>
              <w:tr2bl w:val="nil"/>
            </w:tcBorders>
            <w:shd w:val="clear" w:color="auto" w:fill="auto"/>
            <w:vAlign w:val="center"/>
          </w:tcPr>
          <w:p w14:paraId="6A340F7F">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3800人</w:t>
            </w:r>
          </w:p>
        </w:tc>
      </w:tr>
      <w:tr w14:paraId="7A1FC636">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647" w:hRule="atLeast"/>
        </w:trPr>
        <w:tc>
          <w:tcPr>
            <w:tcW w:w="427" w:type="pct"/>
            <w:vMerge w:val="continue"/>
            <w:tcBorders>
              <w:tl2br w:val="nil"/>
              <w:tr2bl w:val="nil"/>
            </w:tcBorders>
            <w:shd w:val="clear" w:color="auto" w:fill="auto"/>
            <w:vAlign w:val="center"/>
          </w:tcPr>
          <w:p w14:paraId="3A0D8835">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p>
        </w:tc>
        <w:tc>
          <w:tcPr>
            <w:tcW w:w="756" w:type="pct"/>
            <w:vMerge w:val="continue"/>
            <w:tcBorders>
              <w:tl2br w:val="nil"/>
              <w:tr2bl w:val="nil"/>
            </w:tcBorders>
            <w:shd w:val="clear" w:color="auto" w:fill="auto"/>
            <w:vAlign w:val="center"/>
          </w:tcPr>
          <w:p w14:paraId="342F3D6F">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p>
        </w:tc>
        <w:tc>
          <w:tcPr>
            <w:tcW w:w="1433" w:type="pct"/>
            <w:tcBorders>
              <w:tl2br w:val="nil"/>
              <w:tr2bl w:val="nil"/>
            </w:tcBorders>
            <w:shd w:val="clear" w:color="auto" w:fill="auto"/>
            <w:vAlign w:val="center"/>
          </w:tcPr>
          <w:p w14:paraId="13549F8C">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质量指标</w:t>
            </w:r>
          </w:p>
        </w:tc>
        <w:tc>
          <w:tcPr>
            <w:tcW w:w="1495" w:type="pct"/>
            <w:tcBorders>
              <w:tl2br w:val="nil"/>
              <w:tr2bl w:val="nil"/>
            </w:tcBorders>
            <w:shd w:val="clear" w:color="auto" w:fill="auto"/>
            <w:vAlign w:val="center"/>
          </w:tcPr>
          <w:p w14:paraId="307977A1">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验收合格率</w:t>
            </w:r>
          </w:p>
        </w:tc>
        <w:tc>
          <w:tcPr>
            <w:tcW w:w="887" w:type="pct"/>
            <w:tcBorders>
              <w:tl2br w:val="nil"/>
              <w:tr2bl w:val="nil"/>
            </w:tcBorders>
            <w:shd w:val="clear" w:color="auto" w:fill="auto"/>
            <w:vAlign w:val="center"/>
          </w:tcPr>
          <w:p w14:paraId="3EEF370D">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100%</w:t>
            </w:r>
          </w:p>
        </w:tc>
      </w:tr>
      <w:tr w14:paraId="316D0287">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599" w:hRule="atLeast"/>
        </w:trPr>
        <w:tc>
          <w:tcPr>
            <w:tcW w:w="427" w:type="pct"/>
            <w:vMerge w:val="continue"/>
            <w:tcBorders>
              <w:tl2br w:val="nil"/>
              <w:tr2bl w:val="nil"/>
            </w:tcBorders>
            <w:shd w:val="clear" w:color="auto" w:fill="auto"/>
            <w:vAlign w:val="center"/>
          </w:tcPr>
          <w:p w14:paraId="3003F350">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p>
        </w:tc>
        <w:tc>
          <w:tcPr>
            <w:tcW w:w="756" w:type="pct"/>
            <w:vMerge w:val="continue"/>
            <w:tcBorders>
              <w:tl2br w:val="nil"/>
              <w:tr2bl w:val="nil"/>
            </w:tcBorders>
            <w:shd w:val="clear" w:color="auto" w:fill="auto"/>
            <w:vAlign w:val="center"/>
          </w:tcPr>
          <w:p w14:paraId="229A1AE8">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p>
        </w:tc>
        <w:tc>
          <w:tcPr>
            <w:tcW w:w="1433" w:type="pct"/>
            <w:tcBorders>
              <w:tl2br w:val="nil"/>
              <w:tr2bl w:val="nil"/>
            </w:tcBorders>
            <w:shd w:val="clear" w:color="auto" w:fill="auto"/>
            <w:vAlign w:val="center"/>
          </w:tcPr>
          <w:p w14:paraId="0D06FDC4">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时效指标</w:t>
            </w:r>
          </w:p>
        </w:tc>
        <w:tc>
          <w:tcPr>
            <w:tcW w:w="1495" w:type="pct"/>
            <w:tcBorders>
              <w:tl2br w:val="nil"/>
              <w:tr2bl w:val="nil"/>
            </w:tcBorders>
            <w:shd w:val="clear" w:color="auto" w:fill="auto"/>
            <w:vAlign w:val="center"/>
          </w:tcPr>
          <w:p w14:paraId="6042069E">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预计施工时间</w:t>
            </w:r>
          </w:p>
        </w:tc>
        <w:tc>
          <w:tcPr>
            <w:tcW w:w="887" w:type="pct"/>
            <w:tcBorders>
              <w:tl2br w:val="nil"/>
              <w:tr2bl w:val="nil"/>
            </w:tcBorders>
            <w:shd w:val="clear" w:color="auto" w:fill="auto"/>
            <w:vAlign w:val="center"/>
          </w:tcPr>
          <w:p w14:paraId="6004C100">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5个月</w:t>
            </w:r>
          </w:p>
        </w:tc>
      </w:tr>
      <w:tr w14:paraId="1A60CB36">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90" w:hRule="atLeast"/>
        </w:trPr>
        <w:tc>
          <w:tcPr>
            <w:tcW w:w="427" w:type="pct"/>
            <w:vMerge w:val="continue"/>
            <w:tcBorders>
              <w:tl2br w:val="nil"/>
              <w:tr2bl w:val="nil"/>
            </w:tcBorders>
            <w:shd w:val="clear" w:color="auto" w:fill="auto"/>
            <w:vAlign w:val="center"/>
          </w:tcPr>
          <w:p w14:paraId="3E06D39A">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p>
        </w:tc>
        <w:tc>
          <w:tcPr>
            <w:tcW w:w="756" w:type="pct"/>
            <w:vMerge w:val="continue"/>
            <w:tcBorders>
              <w:tl2br w:val="nil"/>
              <w:tr2bl w:val="nil"/>
            </w:tcBorders>
            <w:shd w:val="clear" w:color="auto" w:fill="auto"/>
            <w:vAlign w:val="center"/>
          </w:tcPr>
          <w:p w14:paraId="26F09DA1">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p>
        </w:tc>
        <w:tc>
          <w:tcPr>
            <w:tcW w:w="1433" w:type="pct"/>
            <w:tcBorders>
              <w:tl2br w:val="nil"/>
              <w:tr2bl w:val="nil"/>
            </w:tcBorders>
            <w:shd w:val="clear" w:color="auto" w:fill="auto"/>
            <w:vAlign w:val="center"/>
          </w:tcPr>
          <w:p w14:paraId="77DBE56E">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成本指标</w:t>
            </w:r>
          </w:p>
        </w:tc>
        <w:tc>
          <w:tcPr>
            <w:tcW w:w="1495" w:type="pct"/>
            <w:tcBorders>
              <w:tl2br w:val="nil"/>
              <w:tr2bl w:val="nil"/>
            </w:tcBorders>
            <w:shd w:val="clear" w:color="auto" w:fill="auto"/>
          </w:tcPr>
          <w:p w14:paraId="49FD92CA">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预算总成本</w:t>
            </w:r>
          </w:p>
        </w:tc>
        <w:tc>
          <w:tcPr>
            <w:tcW w:w="887" w:type="pct"/>
            <w:tcBorders>
              <w:tl2br w:val="nil"/>
              <w:tr2bl w:val="nil"/>
            </w:tcBorders>
            <w:shd w:val="clear" w:color="auto" w:fill="auto"/>
          </w:tcPr>
          <w:p w14:paraId="1FF52388">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800万</w:t>
            </w:r>
          </w:p>
        </w:tc>
      </w:tr>
      <w:tr w14:paraId="15A38FBF">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889" w:hRule="atLeast"/>
        </w:trPr>
        <w:tc>
          <w:tcPr>
            <w:tcW w:w="427" w:type="pct"/>
            <w:vMerge w:val="continue"/>
            <w:tcBorders>
              <w:tl2br w:val="nil"/>
              <w:tr2bl w:val="nil"/>
            </w:tcBorders>
            <w:shd w:val="clear" w:color="auto" w:fill="auto"/>
            <w:vAlign w:val="center"/>
          </w:tcPr>
          <w:p w14:paraId="0E608FF1">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p>
        </w:tc>
        <w:tc>
          <w:tcPr>
            <w:tcW w:w="756" w:type="pct"/>
            <w:vMerge w:val="restart"/>
            <w:tcBorders>
              <w:tl2br w:val="nil"/>
              <w:tr2bl w:val="nil"/>
            </w:tcBorders>
            <w:shd w:val="clear" w:color="auto" w:fill="auto"/>
            <w:vAlign w:val="center"/>
          </w:tcPr>
          <w:p w14:paraId="297EC24E">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效益指标</w:t>
            </w:r>
          </w:p>
        </w:tc>
        <w:tc>
          <w:tcPr>
            <w:tcW w:w="1433" w:type="pct"/>
            <w:tcBorders>
              <w:tl2br w:val="nil"/>
              <w:tr2bl w:val="nil"/>
            </w:tcBorders>
            <w:shd w:val="clear" w:color="auto" w:fill="auto"/>
            <w:vAlign w:val="center"/>
          </w:tcPr>
          <w:p w14:paraId="7EF0F530">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社会效益指标</w:t>
            </w:r>
          </w:p>
        </w:tc>
        <w:tc>
          <w:tcPr>
            <w:tcW w:w="1495" w:type="pct"/>
            <w:tcBorders>
              <w:tl2br w:val="nil"/>
              <w:tr2bl w:val="nil"/>
            </w:tcBorders>
            <w:shd w:val="clear" w:color="auto" w:fill="auto"/>
            <w:vAlign w:val="center"/>
          </w:tcPr>
          <w:p w14:paraId="7CFB1DE2">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提升学生活动环境</w:t>
            </w:r>
          </w:p>
        </w:tc>
        <w:tc>
          <w:tcPr>
            <w:tcW w:w="887" w:type="pct"/>
            <w:tcBorders>
              <w:tl2br w:val="nil"/>
              <w:tr2bl w:val="nil"/>
            </w:tcBorders>
            <w:shd w:val="clear" w:color="auto" w:fill="auto"/>
            <w:vAlign w:val="center"/>
          </w:tcPr>
          <w:p w14:paraId="48B65339">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提升</w:t>
            </w:r>
          </w:p>
        </w:tc>
      </w:tr>
      <w:tr w14:paraId="26737192">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81" w:hRule="atLeast"/>
        </w:trPr>
        <w:tc>
          <w:tcPr>
            <w:tcW w:w="427" w:type="pct"/>
            <w:vMerge w:val="continue"/>
            <w:tcBorders>
              <w:tl2br w:val="nil"/>
              <w:tr2bl w:val="nil"/>
            </w:tcBorders>
            <w:shd w:val="clear" w:color="auto" w:fill="auto"/>
            <w:vAlign w:val="center"/>
          </w:tcPr>
          <w:p w14:paraId="3ECE444A">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p>
        </w:tc>
        <w:tc>
          <w:tcPr>
            <w:tcW w:w="756" w:type="pct"/>
            <w:vMerge w:val="continue"/>
            <w:tcBorders>
              <w:tl2br w:val="nil"/>
              <w:tr2bl w:val="nil"/>
            </w:tcBorders>
            <w:shd w:val="clear" w:color="auto" w:fill="auto"/>
            <w:vAlign w:val="center"/>
          </w:tcPr>
          <w:p w14:paraId="0A1EA3AD">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p>
        </w:tc>
        <w:tc>
          <w:tcPr>
            <w:tcW w:w="1433" w:type="pct"/>
            <w:tcBorders>
              <w:tl2br w:val="nil"/>
              <w:tr2bl w:val="nil"/>
            </w:tcBorders>
            <w:shd w:val="clear" w:color="auto" w:fill="auto"/>
            <w:vAlign w:val="center"/>
          </w:tcPr>
          <w:p w14:paraId="5479E0B0">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可持续影响指标</w:t>
            </w:r>
          </w:p>
        </w:tc>
        <w:tc>
          <w:tcPr>
            <w:tcW w:w="1495" w:type="pct"/>
            <w:tcBorders>
              <w:tl2br w:val="nil"/>
              <w:tr2bl w:val="nil"/>
            </w:tcBorders>
            <w:shd w:val="clear" w:color="auto" w:fill="auto"/>
            <w:vAlign w:val="center"/>
          </w:tcPr>
          <w:p w14:paraId="62ADACA8">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师生健康与运动参与度</w:t>
            </w:r>
          </w:p>
        </w:tc>
        <w:tc>
          <w:tcPr>
            <w:tcW w:w="887" w:type="pct"/>
            <w:tcBorders>
              <w:tl2br w:val="nil"/>
              <w:tr2bl w:val="nil"/>
            </w:tcBorders>
            <w:shd w:val="clear" w:color="auto" w:fill="auto"/>
            <w:vAlign w:val="center"/>
          </w:tcPr>
          <w:p w14:paraId="3BC59860">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有效促进</w:t>
            </w:r>
          </w:p>
        </w:tc>
      </w:tr>
      <w:tr w14:paraId="019997A2">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90" w:hRule="atLeast"/>
        </w:trPr>
        <w:tc>
          <w:tcPr>
            <w:tcW w:w="427" w:type="pct"/>
            <w:vMerge w:val="continue"/>
            <w:tcBorders>
              <w:tl2br w:val="nil"/>
              <w:tr2bl w:val="nil"/>
            </w:tcBorders>
            <w:shd w:val="clear" w:color="auto" w:fill="auto"/>
            <w:vAlign w:val="center"/>
          </w:tcPr>
          <w:p w14:paraId="35D8A796">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p>
        </w:tc>
        <w:tc>
          <w:tcPr>
            <w:tcW w:w="756" w:type="pct"/>
            <w:tcBorders>
              <w:tl2br w:val="nil"/>
              <w:tr2bl w:val="nil"/>
            </w:tcBorders>
            <w:shd w:val="clear" w:color="auto" w:fill="auto"/>
            <w:vAlign w:val="center"/>
          </w:tcPr>
          <w:p w14:paraId="53A1EC26">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满意度指标</w:t>
            </w:r>
          </w:p>
        </w:tc>
        <w:tc>
          <w:tcPr>
            <w:tcW w:w="1433" w:type="pct"/>
            <w:tcBorders>
              <w:tl2br w:val="nil"/>
              <w:tr2bl w:val="nil"/>
            </w:tcBorders>
            <w:shd w:val="clear" w:color="auto" w:fill="auto"/>
            <w:vAlign w:val="center"/>
          </w:tcPr>
          <w:p w14:paraId="05ED52A9">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服务对象满意度指标</w:t>
            </w:r>
          </w:p>
        </w:tc>
        <w:tc>
          <w:tcPr>
            <w:tcW w:w="1495" w:type="pct"/>
            <w:tcBorders>
              <w:tl2br w:val="nil"/>
              <w:tr2bl w:val="nil"/>
            </w:tcBorders>
            <w:shd w:val="clear" w:color="auto" w:fill="auto"/>
            <w:vAlign w:val="center"/>
          </w:tcPr>
          <w:p w14:paraId="7C88E399">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服务对象满意度</w:t>
            </w:r>
          </w:p>
        </w:tc>
        <w:tc>
          <w:tcPr>
            <w:tcW w:w="887" w:type="pct"/>
            <w:tcBorders>
              <w:tl2br w:val="nil"/>
              <w:tr2bl w:val="nil"/>
            </w:tcBorders>
            <w:shd w:val="clear" w:color="auto" w:fill="auto"/>
            <w:vAlign w:val="center"/>
          </w:tcPr>
          <w:p w14:paraId="2A906C5B">
            <w:pPr>
              <w:pStyle w:val="74"/>
              <w:spacing w:before="83" w:line="240" w:lineRule="auto"/>
              <w:ind w:left="0" w:leftChars="0" w:firstLine="0" w:firstLineChars="0"/>
              <w:jc w:val="center"/>
              <w:rPr>
                <w:rFonts w:hint="default" w:ascii="Times New Roman" w:hAnsi="Times New Roman" w:eastAsia="仿宋" w:cs="Times New Roman"/>
                <w:spacing w:val="-5"/>
                <w:sz w:val="24"/>
                <w:szCs w:val="24"/>
              </w:rPr>
            </w:pPr>
            <w:r>
              <w:rPr>
                <w:rFonts w:hint="default" w:ascii="Times New Roman" w:hAnsi="Times New Roman" w:eastAsia="仿宋" w:cs="Times New Roman"/>
                <w:spacing w:val="-5"/>
                <w:sz w:val="24"/>
                <w:szCs w:val="24"/>
              </w:rPr>
              <w:t>≥95%</w:t>
            </w:r>
          </w:p>
        </w:tc>
      </w:tr>
    </w:tbl>
    <w:p w14:paraId="4482E002">
      <w:pPr>
        <w:ind w:firstLine="643"/>
        <w:rPr>
          <w:rFonts w:hint="default" w:ascii="Times New Roman" w:hAnsi="Times New Roman" w:eastAsia="仿宋" w:cs="Times New Roman"/>
          <w:b/>
          <w:bCs/>
          <w:szCs w:val="32"/>
        </w:rPr>
      </w:pPr>
      <w:r>
        <w:rPr>
          <w:rFonts w:hint="default" w:ascii="Times New Roman" w:hAnsi="Times New Roman" w:eastAsia="仿宋" w:cs="Times New Roman"/>
          <w:b/>
          <w:bCs/>
          <w:szCs w:val="32"/>
        </w:rPr>
        <w:t>3</w:t>
      </w:r>
      <w:r>
        <w:rPr>
          <w:rFonts w:hint="default" w:ascii="Times New Roman" w:hAnsi="Times New Roman" w:eastAsia="仿宋" w:cs="Times New Roman"/>
          <w:b/>
          <w:szCs w:val="32"/>
        </w:rPr>
        <w:t>.</w:t>
      </w:r>
      <w:r>
        <w:rPr>
          <w:rFonts w:hint="default" w:ascii="Times New Roman" w:hAnsi="Times New Roman" w:eastAsia="仿宋" w:cs="Times New Roman"/>
          <w:b/>
          <w:bCs/>
          <w:szCs w:val="32"/>
        </w:rPr>
        <w:t>资金投入：</w:t>
      </w:r>
      <w:r>
        <w:rPr>
          <w:rFonts w:hint="default" w:ascii="Times New Roman" w:hAnsi="Times New Roman" w:eastAsia="仿宋" w:cs="Times New Roman"/>
          <w:bCs/>
          <w:szCs w:val="32"/>
        </w:rPr>
        <w:t>主要评价预算编制科学性和资金分配合理性情况。指标赋值6分，评价得分6分。</w:t>
      </w:r>
    </w:p>
    <w:p w14:paraId="6BD879AD">
      <w:pPr>
        <w:ind w:firstLine="643"/>
        <w:rPr>
          <w:rFonts w:hint="default" w:ascii="Times New Roman" w:hAnsi="Times New Roman" w:eastAsia="仿宋" w:cs="Times New Roman"/>
          <w:bCs/>
          <w:szCs w:val="32"/>
        </w:rPr>
      </w:pPr>
      <w:r>
        <w:rPr>
          <w:rFonts w:hint="default" w:ascii="Times New Roman" w:hAnsi="Times New Roman" w:eastAsia="仿宋" w:cs="Times New Roman"/>
          <w:b/>
          <w:bCs/>
          <w:szCs w:val="32"/>
        </w:rPr>
        <w:t>（1）预算编制科学性：</w:t>
      </w:r>
      <w:r>
        <w:rPr>
          <w:rFonts w:hint="default" w:ascii="Times New Roman" w:hAnsi="Times New Roman" w:eastAsia="仿宋" w:cs="Times New Roman"/>
          <w:bCs/>
          <w:szCs w:val="32"/>
        </w:rPr>
        <w:t>指标赋值3分，得分3分。</w:t>
      </w:r>
    </w:p>
    <w:p w14:paraId="6AC0D097">
      <w:pPr>
        <w:ind w:firstLine="640"/>
        <w:rPr>
          <w:rFonts w:hint="default" w:ascii="Times New Roman" w:hAnsi="Times New Roman" w:eastAsia="仿宋" w:cs="Times New Roman"/>
          <w:szCs w:val="32"/>
        </w:rPr>
      </w:pPr>
      <w:bookmarkStart w:id="49" w:name="OLE_LINK3"/>
      <w:r>
        <w:rPr>
          <w:rFonts w:hint="default" w:ascii="Times New Roman" w:hAnsi="Times New Roman" w:eastAsia="仿宋" w:cs="Times New Roman"/>
          <w:szCs w:val="32"/>
          <w:lang w:eastAsia="zh-CN"/>
        </w:rPr>
        <w:t>罗江中学校</w:t>
      </w:r>
      <w:r>
        <w:rPr>
          <w:rFonts w:hint="default" w:ascii="Times New Roman" w:hAnsi="Times New Roman" w:eastAsia="仿宋" w:cs="Times New Roman"/>
          <w:szCs w:val="32"/>
        </w:rPr>
        <w:t>作为项目预算申报部门，以文件为依据进行年度预算编制，资金测算充分，编制内容科学合理，预算投资额与项目计划数量较为匹配</w:t>
      </w:r>
      <w:bookmarkEnd w:id="49"/>
      <w:r>
        <w:rPr>
          <w:rFonts w:hint="default" w:ascii="Times New Roman" w:hAnsi="Times New Roman" w:eastAsia="仿宋" w:cs="Times New Roman"/>
          <w:szCs w:val="32"/>
        </w:rPr>
        <w:t>。</w:t>
      </w:r>
    </w:p>
    <w:p w14:paraId="020F1CAE">
      <w:pPr>
        <w:ind w:firstLine="643"/>
        <w:rPr>
          <w:rFonts w:hint="default" w:ascii="Times New Roman" w:hAnsi="Times New Roman" w:eastAsia="仿宋" w:cs="Times New Roman"/>
          <w:szCs w:val="32"/>
        </w:rPr>
      </w:pPr>
      <w:r>
        <w:rPr>
          <w:rFonts w:hint="default" w:ascii="Times New Roman" w:hAnsi="Times New Roman" w:eastAsia="仿宋" w:cs="Times New Roman"/>
          <w:b/>
          <w:bCs/>
          <w:szCs w:val="32"/>
        </w:rPr>
        <w:t>（2）资金分配合理性：</w:t>
      </w:r>
      <w:r>
        <w:rPr>
          <w:rFonts w:hint="default" w:ascii="Times New Roman" w:hAnsi="Times New Roman" w:eastAsia="仿宋" w:cs="Times New Roman"/>
          <w:szCs w:val="32"/>
        </w:rPr>
        <w:t>指标赋值3分，得分3分。</w:t>
      </w:r>
    </w:p>
    <w:p w14:paraId="18CC014D">
      <w:pPr>
        <w:ind w:firstLine="640"/>
        <w:rPr>
          <w:rFonts w:hint="default" w:ascii="Times New Roman" w:hAnsi="Times New Roman" w:eastAsia="仿宋" w:cs="Times New Roman"/>
          <w:szCs w:val="32"/>
        </w:rPr>
      </w:pP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szCs w:val="32"/>
        </w:rPr>
        <w:t>根据相关政策与上级文件进行分配：一是主管部门根据一般债券资金支持项目的类别、规模和产生的社会经济效益给予不同额度的支持，资金分配符合相关政策规定；二是项目经过了资金明细测算、财政评审。其中项目财评预算控制总价(含所有</w:t>
      </w:r>
      <w:r>
        <w:rPr>
          <w:rFonts w:hint="default" w:ascii="Times New Roman" w:hAnsi="Times New Roman" w:eastAsia="仿宋" w:cs="Times New Roman"/>
          <w:szCs w:val="32"/>
          <w:lang w:val="en-US" w:eastAsia="zh-CN"/>
        </w:rPr>
        <w:t>资金</w:t>
      </w:r>
      <w:r>
        <w:rPr>
          <w:rFonts w:hint="default" w:ascii="Times New Roman" w:hAnsi="Times New Roman" w:eastAsia="仿宋" w:cs="Times New Roman"/>
          <w:szCs w:val="32"/>
        </w:rPr>
        <w:t>)为824.898642万元，经过财政评审后，送审预算金额为8611335.08元，审定预算金额为8248986.42元，</w:t>
      </w:r>
      <w:r>
        <w:rPr>
          <w:rFonts w:hint="default" w:ascii="Times New Roman" w:hAnsi="Times New Roman" w:eastAsia="仿宋" w:cs="Times New Roman"/>
          <w:szCs w:val="32"/>
          <w:lang w:val="en-US" w:eastAsia="zh-CN"/>
        </w:rPr>
        <w:t>三</w:t>
      </w:r>
      <w:r>
        <w:rPr>
          <w:rFonts w:hint="default" w:ascii="Times New Roman" w:hAnsi="Times New Roman" w:eastAsia="仿宋" w:cs="Times New Roman"/>
          <w:szCs w:val="32"/>
        </w:rPr>
        <w:t>是</w:t>
      </w:r>
      <w:r>
        <w:rPr>
          <w:rFonts w:hint="default" w:ascii="Times New Roman" w:hAnsi="Times New Roman" w:eastAsia="仿宋" w:cs="Times New Roman"/>
          <w:szCs w:val="32"/>
          <w:lang w:eastAsia="zh-CN"/>
        </w:rPr>
        <w:t>罗江中学校</w:t>
      </w:r>
      <w:r>
        <w:rPr>
          <w:rFonts w:hint="default" w:ascii="Times New Roman" w:hAnsi="Times New Roman" w:eastAsia="仿宋" w:cs="Times New Roman"/>
          <w:szCs w:val="32"/>
        </w:rPr>
        <w:t>根据“</w:t>
      </w:r>
      <w:r>
        <w:rPr>
          <w:rFonts w:hint="default" w:ascii="Times New Roman" w:hAnsi="Times New Roman" w:eastAsia="仿宋" w:cs="Times New Roman"/>
          <w:color w:val="000000"/>
          <w:sz w:val="31"/>
          <w:szCs w:val="31"/>
        </w:rPr>
        <w:t>《关于调整德阳市罗江区经开区基础设施提档升级建设2023年新增专项债券资金的通知》德市罗财金〔2023〕18号”</w:t>
      </w:r>
      <w:r>
        <w:rPr>
          <w:rFonts w:hint="default" w:ascii="Times New Roman" w:hAnsi="Times New Roman" w:eastAsia="仿宋" w:cs="Times New Roman"/>
          <w:szCs w:val="32"/>
        </w:rPr>
        <w:t>资金下发文件，分配入选项目预算资金，资金分配科学、合理，符合上级文件精神，与设立目的及年度工作重点一致。</w:t>
      </w:r>
    </w:p>
    <w:p w14:paraId="655AA264">
      <w:pPr>
        <w:pStyle w:val="5"/>
        <w:keepNext w:val="0"/>
        <w:keepLines w:val="0"/>
        <w:spacing w:line="578" w:lineRule="exact"/>
        <w:ind w:firstLine="643"/>
        <w:rPr>
          <w:rFonts w:hint="default" w:ascii="Times New Roman" w:hAnsi="Times New Roman" w:eastAsia="仿宋" w:cs="Times New Roman"/>
        </w:rPr>
      </w:pPr>
      <w:bookmarkStart w:id="50" w:name="_Toc17625"/>
      <w:bookmarkStart w:id="51" w:name="_Toc86224148"/>
      <w:r>
        <w:rPr>
          <w:rFonts w:hint="default" w:ascii="Times New Roman" w:hAnsi="Times New Roman" w:eastAsia="仿宋" w:cs="Times New Roman"/>
        </w:rPr>
        <w:t>（二）过程类指标</w:t>
      </w:r>
      <w:bookmarkEnd w:id="50"/>
      <w:bookmarkEnd w:id="51"/>
      <w:r>
        <w:rPr>
          <w:rFonts w:hint="default" w:ascii="Times New Roman" w:hAnsi="Times New Roman" w:eastAsia="仿宋" w:cs="Times New Roman"/>
        </w:rPr>
        <w:tab/>
      </w:r>
    </w:p>
    <w:p w14:paraId="6114C8BE">
      <w:pPr>
        <w:ind w:firstLine="640"/>
        <w:rPr>
          <w:rFonts w:hint="default" w:ascii="Times New Roman" w:hAnsi="Times New Roman" w:eastAsia="仿宋" w:cs="Times New Roman"/>
          <w:szCs w:val="32"/>
        </w:rPr>
      </w:pPr>
      <w:r>
        <w:rPr>
          <w:rFonts w:hint="default" w:ascii="Times New Roman" w:hAnsi="Times New Roman" w:eastAsia="仿宋" w:cs="Times New Roman"/>
          <w:szCs w:val="32"/>
        </w:rPr>
        <w:t>主要评价项目资金管理和组织实施情况。指标赋值20分，综合得分1</w:t>
      </w:r>
      <w:r>
        <w:rPr>
          <w:rFonts w:hint="default" w:ascii="Times New Roman" w:hAnsi="Times New Roman" w:eastAsia="仿宋" w:cs="Times New Roman"/>
          <w:szCs w:val="32"/>
          <w:lang w:val="en-US" w:eastAsia="zh-CN"/>
        </w:rPr>
        <w:t>8</w:t>
      </w:r>
      <w:r>
        <w:rPr>
          <w:rFonts w:hint="default" w:ascii="Times New Roman" w:hAnsi="Times New Roman" w:eastAsia="仿宋" w:cs="Times New Roman"/>
          <w:szCs w:val="32"/>
        </w:rPr>
        <w:t>分。</w:t>
      </w:r>
    </w:p>
    <w:p w14:paraId="756608DF">
      <w:pPr>
        <w:ind w:firstLine="643"/>
        <w:rPr>
          <w:rFonts w:hint="default" w:ascii="Times New Roman" w:hAnsi="Times New Roman" w:eastAsia="仿宋" w:cs="Times New Roman"/>
          <w:szCs w:val="32"/>
        </w:rPr>
      </w:pPr>
      <w:r>
        <w:rPr>
          <w:rFonts w:hint="default" w:ascii="Times New Roman" w:hAnsi="Times New Roman" w:eastAsia="仿宋" w:cs="Times New Roman"/>
          <w:b/>
          <w:bCs/>
          <w:szCs w:val="32"/>
        </w:rPr>
        <w:t>1.资金管理：</w:t>
      </w:r>
      <w:r>
        <w:rPr>
          <w:rFonts w:hint="default" w:ascii="Times New Roman" w:hAnsi="Times New Roman" w:eastAsia="仿宋" w:cs="Times New Roman"/>
          <w:bCs/>
          <w:szCs w:val="32"/>
        </w:rPr>
        <w:t>主要评价资金到位率、预算执行率和资金使用合规性情况。</w:t>
      </w:r>
      <w:r>
        <w:rPr>
          <w:rFonts w:hint="default" w:ascii="Times New Roman" w:hAnsi="Times New Roman" w:eastAsia="仿宋" w:cs="Times New Roman"/>
          <w:szCs w:val="32"/>
        </w:rPr>
        <w:t>指标赋值</w:t>
      </w:r>
      <w:r>
        <w:rPr>
          <w:rFonts w:hint="default" w:ascii="Times New Roman" w:hAnsi="Times New Roman" w:eastAsia="仿宋" w:cs="Times New Roman"/>
          <w:szCs w:val="32"/>
          <w:lang w:val="en-US" w:eastAsia="zh-CN"/>
        </w:rPr>
        <w:t>8</w:t>
      </w:r>
      <w:r>
        <w:rPr>
          <w:rFonts w:hint="default" w:ascii="Times New Roman" w:hAnsi="Times New Roman" w:eastAsia="仿宋" w:cs="Times New Roman"/>
          <w:bCs/>
          <w:szCs w:val="32"/>
        </w:rPr>
        <w:t>分，评价得分</w:t>
      </w:r>
      <w:r>
        <w:rPr>
          <w:rFonts w:hint="default" w:ascii="Times New Roman" w:hAnsi="Times New Roman" w:eastAsia="仿宋" w:cs="Times New Roman"/>
          <w:bCs/>
          <w:szCs w:val="32"/>
          <w:lang w:val="en-US" w:eastAsia="zh-CN"/>
        </w:rPr>
        <w:t>8</w:t>
      </w:r>
      <w:r>
        <w:rPr>
          <w:rFonts w:hint="default" w:ascii="Times New Roman" w:hAnsi="Times New Roman" w:eastAsia="仿宋" w:cs="Times New Roman"/>
          <w:bCs/>
          <w:szCs w:val="32"/>
        </w:rPr>
        <w:t>分。</w:t>
      </w:r>
    </w:p>
    <w:p w14:paraId="666F49C5">
      <w:pPr>
        <w:ind w:firstLine="643"/>
        <w:rPr>
          <w:rFonts w:hint="default" w:ascii="Times New Roman" w:hAnsi="Times New Roman" w:eastAsia="仿宋" w:cs="Times New Roman"/>
          <w:b/>
          <w:bCs/>
          <w:szCs w:val="32"/>
        </w:rPr>
      </w:pPr>
      <w:r>
        <w:rPr>
          <w:rFonts w:hint="default" w:ascii="Times New Roman" w:hAnsi="Times New Roman" w:eastAsia="仿宋" w:cs="Times New Roman"/>
          <w:b/>
          <w:bCs/>
        </w:rPr>
        <w:t>（1）</w:t>
      </w:r>
      <w:r>
        <w:rPr>
          <w:rFonts w:hint="default" w:ascii="Times New Roman" w:hAnsi="Times New Roman" w:eastAsia="仿宋" w:cs="Times New Roman"/>
          <w:b/>
          <w:bCs/>
          <w:szCs w:val="32"/>
        </w:rPr>
        <w:t>资金到位率</w:t>
      </w:r>
      <w:r>
        <w:rPr>
          <w:rFonts w:hint="default" w:ascii="Times New Roman" w:hAnsi="Times New Roman" w:eastAsia="仿宋" w:cs="Times New Roman"/>
          <w:b/>
          <w:bCs/>
        </w:rPr>
        <w:t>：</w:t>
      </w:r>
      <w:r>
        <w:rPr>
          <w:rFonts w:hint="default" w:ascii="Times New Roman" w:hAnsi="Times New Roman" w:eastAsia="仿宋" w:cs="Times New Roman"/>
          <w:bCs/>
          <w:szCs w:val="32"/>
        </w:rPr>
        <w:t>指标赋值</w:t>
      </w:r>
      <w:r>
        <w:rPr>
          <w:rFonts w:hint="default" w:ascii="Times New Roman" w:hAnsi="Times New Roman" w:eastAsia="仿宋" w:cs="Times New Roman"/>
          <w:bCs/>
          <w:szCs w:val="32"/>
          <w:lang w:val="en-US" w:eastAsia="zh-CN"/>
        </w:rPr>
        <w:t>2</w:t>
      </w:r>
      <w:r>
        <w:rPr>
          <w:rFonts w:hint="default" w:ascii="Times New Roman" w:hAnsi="Times New Roman" w:eastAsia="仿宋" w:cs="Times New Roman"/>
          <w:bCs/>
          <w:szCs w:val="32"/>
        </w:rPr>
        <w:t>分，</w:t>
      </w:r>
      <w:r>
        <w:rPr>
          <w:rFonts w:hint="default" w:ascii="Times New Roman" w:hAnsi="Times New Roman" w:eastAsia="仿宋" w:cs="Times New Roman"/>
          <w:szCs w:val="32"/>
        </w:rPr>
        <w:t>得分</w:t>
      </w:r>
      <w:r>
        <w:rPr>
          <w:rFonts w:hint="default" w:ascii="Times New Roman" w:hAnsi="Times New Roman" w:eastAsia="仿宋" w:cs="Times New Roman"/>
          <w:szCs w:val="32"/>
          <w:lang w:val="en-US" w:eastAsia="zh-CN"/>
        </w:rPr>
        <w:t>2</w:t>
      </w:r>
      <w:r>
        <w:rPr>
          <w:rFonts w:hint="default" w:ascii="Times New Roman" w:hAnsi="Times New Roman" w:eastAsia="仿宋" w:cs="Times New Roman"/>
          <w:szCs w:val="32"/>
        </w:rPr>
        <w:t>分</w:t>
      </w:r>
      <w:r>
        <w:rPr>
          <w:rFonts w:hint="default" w:ascii="Times New Roman" w:hAnsi="Times New Roman" w:eastAsia="仿宋" w:cs="Times New Roman"/>
          <w:bCs/>
          <w:szCs w:val="32"/>
        </w:rPr>
        <w:t>。</w:t>
      </w:r>
    </w:p>
    <w:p w14:paraId="566E0705">
      <w:pPr>
        <w:ind w:firstLine="640"/>
        <w:rPr>
          <w:rFonts w:hint="default" w:ascii="Times New Roman" w:hAnsi="Times New Roman" w:eastAsia="仿宋" w:cs="Times New Roman"/>
          <w:szCs w:val="32"/>
        </w:rPr>
      </w:pPr>
      <w:r>
        <w:rPr>
          <w:rFonts w:hint="default" w:ascii="Times New Roman" w:hAnsi="Times New Roman" w:eastAsia="仿宋" w:cs="Times New Roman"/>
          <w:szCs w:val="32"/>
        </w:rPr>
        <w:t>根据“</w:t>
      </w:r>
      <w:r>
        <w:rPr>
          <w:rFonts w:hint="default" w:ascii="Times New Roman" w:hAnsi="Times New Roman" w:eastAsia="仿宋" w:cs="Times New Roman"/>
          <w:color w:val="000000"/>
          <w:szCs w:val="32"/>
        </w:rPr>
        <w:t>《关于调整德阳市罗江区经开区基础设施提档升级建设2023年新增专项债券资金的通知》德市罗财金〔2023〕18号</w:t>
      </w:r>
      <w:r>
        <w:rPr>
          <w:rFonts w:hint="default" w:ascii="Times New Roman" w:hAnsi="Times New Roman" w:eastAsia="仿宋" w:cs="Times New Roman"/>
          <w:szCs w:val="32"/>
        </w:rPr>
        <w:t>”专项债券资金通知文件，</w:t>
      </w: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szCs w:val="32"/>
        </w:rPr>
        <w:t>预算800万元，实际到位资金800万元，资金到位率100%。</w:t>
      </w:r>
    </w:p>
    <w:p w14:paraId="56103FB4">
      <w:pPr>
        <w:ind w:firstLine="643"/>
        <w:rPr>
          <w:rFonts w:hint="default" w:ascii="Times New Roman" w:hAnsi="Times New Roman" w:eastAsia="仿宋" w:cs="Times New Roman"/>
          <w:szCs w:val="32"/>
        </w:rPr>
      </w:pPr>
      <w:r>
        <w:rPr>
          <w:rFonts w:hint="default" w:ascii="Times New Roman" w:hAnsi="Times New Roman" w:eastAsia="仿宋" w:cs="Times New Roman"/>
          <w:b/>
          <w:bCs/>
        </w:rPr>
        <w:t>（2）预算执行</w:t>
      </w:r>
      <w:r>
        <w:rPr>
          <w:rFonts w:hint="default" w:ascii="Times New Roman" w:hAnsi="Times New Roman" w:eastAsia="仿宋" w:cs="Times New Roman"/>
          <w:b/>
          <w:bCs/>
          <w:szCs w:val="32"/>
        </w:rPr>
        <w:t>率</w:t>
      </w:r>
      <w:r>
        <w:rPr>
          <w:rFonts w:hint="default" w:ascii="Times New Roman" w:hAnsi="Times New Roman" w:eastAsia="仿宋" w:cs="Times New Roman"/>
          <w:b/>
          <w:bCs/>
        </w:rPr>
        <w:t>：</w:t>
      </w:r>
      <w:r>
        <w:rPr>
          <w:rFonts w:hint="default" w:ascii="Times New Roman" w:hAnsi="Times New Roman" w:eastAsia="仿宋" w:cs="Times New Roman"/>
          <w:bCs/>
          <w:szCs w:val="32"/>
        </w:rPr>
        <w:t>指标赋值</w:t>
      </w:r>
      <w:r>
        <w:rPr>
          <w:rFonts w:hint="default" w:ascii="Times New Roman" w:hAnsi="Times New Roman" w:eastAsia="仿宋" w:cs="Times New Roman"/>
          <w:bCs/>
          <w:szCs w:val="32"/>
          <w:lang w:val="en-US" w:eastAsia="zh-CN"/>
        </w:rPr>
        <w:t>2</w:t>
      </w:r>
      <w:r>
        <w:rPr>
          <w:rFonts w:hint="default" w:ascii="Times New Roman" w:hAnsi="Times New Roman" w:eastAsia="仿宋" w:cs="Times New Roman"/>
          <w:bCs/>
          <w:szCs w:val="32"/>
        </w:rPr>
        <w:t>分，</w:t>
      </w:r>
      <w:r>
        <w:rPr>
          <w:rFonts w:hint="default" w:ascii="Times New Roman" w:hAnsi="Times New Roman" w:eastAsia="仿宋" w:cs="Times New Roman"/>
          <w:szCs w:val="32"/>
        </w:rPr>
        <w:t>得分</w:t>
      </w:r>
      <w:r>
        <w:rPr>
          <w:rFonts w:hint="default" w:ascii="Times New Roman" w:hAnsi="Times New Roman" w:eastAsia="仿宋" w:cs="Times New Roman"/>
          <w:szCs w:val="32"/>
          <w:lang w:val="en-US" w:eastAsia="zh-CN"/>
        </w:rPr>
        <w:t>2</w:t>
      </w:r>
      <w:r>
        <w:rPr>
          <w:rFonts w:hint="default" w:ascii="Times New Roman" w:hAnsi="Times New Roman" w:eastAsia="仿宋" w:cs="Times New Roman"/>
          <w:szCs w:val="32"/>
        </w:rPr>
        <w:t>分</w:t>
      </w:r>
      <w:r>
        <w:rPr>
          <w:rFonts w:hint="default" w:ascii="Times New Roman" w:hAnsi="Times New Roman" w:eastAsia="仿宋" w:cs="Times New Roman"/>
          <w:bCs/>
          <w:szCs w:val="32"/>
        </w:rPr>
        <w:t>。</w:t>
      </w:r>
    </w:p>
    <w:p w14:paraId="4868C404">
      <w:pPr>
        <w:ind w:firstLine="640"/>
        <w:rPr>
          <w:rFonts w:hint="default" w:ascii="Times New Roman" w:hAnsi="Times New Roman" w:eastAsia="仿宋" w:cs="Times New Roman"/>
          <w:szCs w:val="32"/>
        </w:rPr>
      </w:pP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rPr>
        <w:t>到位资金800万元，</w:t>
      </w:r>
      <w:r>
        <w:rPr>
          <w:rFonts w:hint="default" w:ascii="Times New Roman" w:hAnsi="Times New Roman" w:cs="Times New Roman"/>
          <w:lang w:eastAsia="zh-CN"/>
        </w:rPr>
        <w:t>截至</w:t>
      </w:r>
      <w:r>
        <w:rPr>
          <w:rFonts w:hint="default" w:ascii="Times New Roman" w:hAnsi="Times New Roman" w:eastAsia="仿宋" w:cs="Times New Roman"/>
          <w:szCs w:val="32"/>
        </w:rPr>
        <w:t>评价日，实际支出800万元，</w:t>
      </w:r>
      <w:r>
        <w:rPr>
          <w:rFonts w:hint="default" w:ascii="Times New Roman" w:hAnsi="Times New Roman" w:eastAsia="仿宋" w:cs="Times New Roman"/>
        </w:rPr>
        <w:t>预算执行率100%。</w:t>
      </w:r>
    </w:p>
    <w:p w14:paraId="7634AF4E">
      <w:pPr>
        <w:ind w:firstLine="643"/>
        <w:rPr>
          <w:rFonts w:hint="default" w:ascii="Times New Roman" w:hAnsi="Times New Roman" w:eastAsia="仿宋" w:cs="Times New Roman"/>
          <w:b/>
          <w:bCs/>
          <w:szCs w:val="32"/>
        </w:rPr>
      </w:pPr>
      <w:r>
        <w:rPr>
          <w:rFonts w:hint="default" w:ascii="Times New Roman" w:hAnsi="Times New Roman" w:eastAsia="仿宋" w:cs="Times New Roman"/>
          <w:b/>
          <w:szCs w:val="32"/>
        </w:rPr>
        <w:t>（3）资金使用合规性：</w:t>
      </w:r>
      <w:r>
        <w:rPr>
          <w:rFonts w:hint="default" w:ascii="Times New Roman" w:hAnsi="Times New Roman" w:eastAsia="仿宋" w:cs="Times New Roman"/>
          <w:szCs w:val="32"/>
        </w:rPr>
        <w:t>指标赋值4分，得分</w:t>
      </w:r>
      <w:r>
        <w:rPr>
          <w:rFonts w:hint="default" w:ascii="Times New Roman" w:hAnsi="Times New Roman" w:eastAsia="仿宋" w:cs="Times New Roman"/>
          <w:szCs w:val="32"/>
          <w:lang w:val="en-US" w:eastAsia="zh-CN"/>
        </w:rPr>
        <w:t>4</w:t>
      </w:r>
      <w:r>
        <w:rPr>
          <w:rFonts w:hint="default" w:ascii="Times New Roman" w:hAnsi="Times New Roman" w:eastAsia="仿宋" w:cs="Times New Roman"/>
          <w:szCs w:val="32"/>
        </w:rPr>
        <w:t>分。</w:t>
      </w:r>
    </w:p>
    <w:p w14:paraId="0FA07DA3">
      <w:pPr>
        <w:ind w:firstLine="640"/>
        <w:rPr>
          <w:rFonts w:hint="default" w:ascii="Times New Roman" w:hAnsi="Times New Roman" w:eastAsia="仿宋" w:cs="Times New Roman"/>
          <w:szCs w:val="32"/>
        </w:rPr>
      </w:pPr>
      <w:r>
        <w:rPr>
          <w:rFonts w:hint="default" w:ascii="Times New Roman" w:hAnsi="Times New Roman" w:eastAsia="仿宋" w:cs="Times New Roman"/>
          <w:szCs w:val="32"/>
        </w:rPr>
        <w:t>通过对项目单位财务资料核查，本项目预算安排并拨付到位资金，项目单位按照施工、监理、设计审查等合同约定，经履行审核审批程序后予以支付。项目资金支付程序规范、手续完备、审批签字完整、支付额度和用途符合规定，未发现截留、挤占、挪用等情况。</w:t>
      </w:r>
    </w:p>
    <w:p w14:paraId="7CFA30A0">
      <w:pPr>
        <w:ind w:firstLine="643"/>
        <w:rPr>
          <w:rFonts w:hint="default" w:ascii="Times New Roman" w:hAnsi="Times New Roman" w:eastAsia="仿宋" w:cs="Times New Roman"/>
          <w:b/>
          <w:szCs w:val="32"/>
        </w:rPr>
      </w:pPr>
      <w:r>
        <w:rPr>
          <w:rFonts w:hint="default" w:ascii="Times New Roman" w:hAnsi="Times New Roman" w:eastAsia="仿宋" w:cs="Times New Roman"/>
          <w:b/>
          <w:bCs/>
          <w:szCs w:val="32"/>
        </w:rPr>
        <w:t>2.组织实施：</w:t>
      </w:r>
      <w:r>
        <w:rPr>
          <w:rFonts w:hint="default" w:ascii="Times New Roman" w:hAnsi="Times New Roman" w:eastAsia="仿宋" w:cs="Times New Roman"/>
          <w:bCs/>
          <w:szCs w:val="32"/>
        </w:rPr>
        <w:t>主要评价管理制度健全性和制度执行有</w:t>
      </w:r>
      <w:r>
        <w:rPr>
          <w:rFonts w:hint="default" w:ascii="Times New Roman" w:hAnsi="Times New Roman" w:eastAsia="仿宋" w:cs="Times New Roman"/>
          <w:szCs w:val="32"/>
        </w:rPr>
        <w:t>效性情况。指标赋值</w:t>
      </w:r>
      <w:r>
        <w:rPr>
          <w:rFonts w:hint="default" w:ascii="Times New Roman" w:hAnsi="Times New Roman" w:eastAsia="仿宋" w:cs="Times New Roman"/>
          <w:szCs w:val="32"/>
          <w:lang w:val="en-US" w:eastAsia="zh-CN"/>
        </w:rPr>
        <w:t>12</w:t>
      </w:r>
      <w:r>
        <w:rPr>
          <w:rFonts w:hint="default" w:ascii="Times New Roman" w:hAnsi="Times New Roman" w:eastAsia="仿宋" w:cs="Times New Roman"/>
          <w:szCs w:val="32"/>
        </w:rPr>
        <w:t>分，评价得分</w:t>
      </w:r>
      <w:r>
        <w:rPr>
          <w:rFonts w:hint="default" w:ascii="Times New Roman" w:hAnsi="Times New Roman" w:eastAsia="仿宋" w:cs="Times New Roman"/>
          <w:szCs w:val="32"/>
          <w:lang w:val="en-US" w:eastAsia="zh-CN"/>
        </w:rPr>
        <w:t>10</w:t>
      </w:r>
      <w:r>
        <w:rPr>
          <w:rFonts w:hint="default" w:ascii="Times New Roman" w:hAnsi="Times New Roman" w:eastAsia="仿宋" w:cs="Times New Roman"/>
          <w:szCs w:val="32"/>
        </w:rPr>
        <w:t>分。</w:t>
      </w:r>
    </w:p>
    <w:p w14:paraId="25287678">
      <w:pPr>
        <w:ind w:firstLine="643"/>
        <w:rPr>
          <w:rFonts w:hint="default" w:ascii="Times New Roman" w:hAnsi="Times New Roman" w:eastAsia="仿宋" w:cs="Times New Roman"/>
          <w:szCs w:val="32"/>
        </w:rPr>
      </w:pPr>
      <w:r>
        <w:rPr>
          <w:rFonts w:hint="default" w:ascii="Times New Roman" w:hAnsi="Times New Roman" w:eastAsia="仿宋" w:cs="Times New Roman"/>
          <w:b/>
          <w:bCs/>
        </w:rPr>
        <w:t>（1）</w:t>
      </w:r>
      <w:r>
        <w:rPr>
          <w:rFonts w:hint="default" w:ascii="Times New Roman" w:hAnsi="Times New Roman" w:eastAsia="仿宋" w:cs="Times New Roman"/>
          <w:b/>
        </w:rPr>
        <w:t>管理制度健全性：</w:t>
      </w:r>
      <w:r>
        <w:rPr>
          <w:rFonts w:hint="default" w:ascii="Times New Roman" w:hAnsi="Times New Roman" w:eastAsia="仿宋" w:cs="Times New Roman"/>
        </w:rPr>
        <w:t>指标赋值4分，得分4分。</w:t>
      </w:r>
    </w:p>
    <w:p w14:paraId="1C559550">
      <w:pPr>
        <w:ind w:firstLine="640"/>
        <w:rPr>
          <w:rFonts w:hint="default" w:ascii="Times New Roman" w:hAnsi="Times New Roman" w:eastAsia="仿宋" w:cs="Times New Roman"/>
          <w:szCs w:val="32"/>
        </w:rPr>
      </w:pPr>
      <w:r>
        <w:rPr>
          <w:rFonts w:hint="default" w:ascii="Times New Roman" w:hAnsi="Times New Roman" w:eastAsia="仿宋" w:cs="Times New Roman"/>
          <w:szCs w:val="32"/>
          <w:lang w:eastAsia="zh-CN"/>
        </w:rPr>
        <w:t>罗江中学校</w:t>
      </w:r>
      <w:r>
        <w:rPr>
          <w:rFonts w:hint="default" w:ascii="Times New Roman" w:hAnsi="Times New Roman" w:eastAsia="仿宋" w:cs="Times New Roman"/>
          <w:szCs w:val="32"/>
        </w:rPr>
        <w:t>作为项目业主单位，依法使用会计法和相关财经法规进行财务管理，并结合本部门需要，制定了《内部控制制度》切实规范专项资金管理，保障资金安全、高效运行，发挥资金使用效益，财务管理制度基本健全。</w:t>
      </w:r>
    </w:p>
    <w:p w14:paraId="1A4DEEFD">
      <w:pPr>
        <w:ind w:firstLine="643"/>
        <w:rPr>
          <w:rFonts w:hint="default" w:ascii="Times New Roman" w:hAnsi="Times New Roman" w:eastAsia="仿宋" w:cs="Times New Roman"/>
          <w:szCs w:val="32"/>
        </w:rPr>
      </w:pPr>
      <w:r>
        <w:rPr>
          <w:rFonts w:hint="default" w:ascii="Times New Roman" w:hAnsi="Times New Roman" w:eastAsia="仿宋" w:cs="Times New Roman"/>
          <w:b/>
          <w:bCs/>
          <w:szCs w:val="32"/>
        </w:rPr>
        <w:t>（2）制度执行有效性：</w:t>
      </w:r>
      <w:r>
        <w:rPr>
          <w:rFonts w:hint="default" w:ascii="Times New Roman" w:hAnsi="Times New Roman" w:eastAsia="仿宋" w:cs="Times New Roman"/>
          <w:szCs w:val="32"/>
        </w:rPr>
        <w:t>指标赋值6分，得分</w:t>
      </w:r>
      <w:r>
        <w:rPr>
          <w:rFonts w:hint="default" w:ascii="Times New Roman" w:hAnsi="Times New Roman" w:eastAsia="仿宋" w:cs="Times New Roman"/>
          <w:szCs w:val="32"/>
          <w:lang w:val="en-US" w:eastAsia="zh-CN"/>
        </w:rPr>
        <w:t>4</w:t>
      </w:r>
      <w:r>
        <w:rPr>
          <w:rFonts w:hint="default" w:ascii="Times New Roman" w:hAnsi="Times New Roman" w:eastAsia="仿宋" w:cs="Times New Roman"/>
          <w:szCs w:val="32"/>
        </w:rPr>
        <w:t>分。</w:t>
      </w:r>
    </w:p>
    <w:p w14:paraId="3AD619FB">
      <w:pPr>
        <w:ind w:firstLine="640"/>
        <w:rPr>
          <w:rFonts w:hint="default" w:ascii="Times New Roman" w:hAnsi="Times New Roman" w:eastAsia="仿宋" w:cs="Times New Roman"/>
          <w:b/>
          <w:bCs/>
          <w:szCs w:val="32"/>
        </w:rPr>
      </w:pPr>
      <w:r>
        <w:rPr>
          <w:rFonts w:hint="default" w:ascii="Times New Roman" w:hAnsi="Times New Roman" w:eastAsia="仿宋" w:cs="Times New Roman"/>
          <w:szCs w:val="32"/>
        </w:rPr>
        <w:t>绩效评价组核查项目执行资料，结果表明，</w:t>
      </w: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szCs w:val="32"/>
        </w:rPr>
        <w:t>在各个重要工作环节实施程序较为规范，制度执行过程基本有效：</w:t>
      </w:r>
    </w:p>
    <w:p w14:paraId="7636FCA6">
      <w:pPr>
        <w:pStyle w:val="2"/>
        <w:spacing w:line="560" w:lineRule="exact"/>
        <w:ind w:firstLine="643"/>
        <w:rPr>
          <w:rFonts w:hint="default" w:ascii="Times New Roman" w:hAnsi="Times New Roman" w:eastAsia="仿宋" w:cs="Times New Roman"/>
          <w:szCs w:val="32"/>
        </w:rPr>
      </w:pPr>
      <w:r>
        <w:rPr>
          <w:rFonts w:hint="default" w:ascii="Times New Roman" w:hAnsi="Times New Roman" w:eastAsia="仿宋" w:cs="Times New Roman"/>
          <w:b/>
          <w:bCs/>
          <w:szCs w:val="32"/>
          <w:lang w:val="en-US" w:eastAsia="zh-CN"/>
        </w:rPr>
        <w:t>一是</w:t>
      </w:r>
      <w:r>
        <w:rPr>
          <w:rFonts w:hint="default" w:ascii="Times New Roman" w:hAnsi="Times New Roman" w:eastAsia="仿宋" w:cs="Times New Roman"/>
          <w:b/>
          <w:bCs/>
          <w:szCs w:val="32"/>
        </w:rPr>
        <w:t>项目程序执行规范。</w:t>
      </w:r>
      <w:r>
        <w:rPr>
          <w:rFonts w:hint="default" w:ascii="Times New Roman" w:hAnsi="Times New Roman" w:eastAsia="仿宋" w:cs="Times New Roman"/>
          <w:szCs w:val="32"/>
          <w:lang w:eastAsia="zh-CN"/>
        </w:rPr>
        <w:t>罗江中学校</w:t>
      </w:r>
      <w:r>
        <w:rPr>
          <w:rFonts w:hint="default" w:ascii="Times New Roman" w:hAnsi="Times New Roman" w:eastAsia="仿宋" w:cs="Times New Roman"/>
          <w:szCs w:val="32"/>
        </w:rPr>
        <w:t>根据“</w:t>
      </w:r>
      <w:r>
        <w:rPr>
          <w:rFonts w:hint="default" w:ascii="Times New Roman" w:hAnsi="Times New Roman" w:eastAsia="仿宋" w:cs="Times New Roman"/>
          <w:sz w:val="31"/>
          <w:szCs w:val="31"/>
        </w:rPr>
        <w:t>《关于调整德阳市罗江区经开区基础设施提档升级建设2023年新增专项债券资金的通知》德市罗财金〔2023〕18号</w:t>
      </w:r>
      <w:r>
        <w:rPr>
          <w:rFonts w:hint="default" w:ascii="Times New Roman" w:hAnsi="Times New Roman" w:eastAsia="仿宋" w:cs="Times New Roman"/>
          <w:szCs w:val="32"/>
        </w:rPr>
        <w:t>”文件通知要求进行项目申报，制定了项目实施方案请示得到财政的批复，项目提交后经过项目评审、尽职调查、确认过程等，项目申请与审批程序合规。</w:t>
      </w:r>
    </w:p>
    <w:p w14:paraId="0A9B9A0C">
      <w:pPr>
        <w:pStyle w:val="2"/>
        <w:spacing w:line="560" w:lineRule="exact"/>
        <w:ind w:firstLine="643"/>
        <w:rPr>
          <w:rFonts w:hint="default" w:ascii="Times New Roman" w:hAnsi="Times New Roman" w:eastAsia="仿宋" w:cs="Times New Roman"/>
        </w:rPr>
      </w:pPr>
      <w:r>
        <w:rPr>
          <w:rFonts w:hint="default" w:ascii="Times New Roman" w:hAnsi="Times New Roman" w:eastAsia="仿宋" w:cs="Times New Roman"/>
          <w:b/>
          <w:bCs/>
          <w:szCs w:val="32"/>
          <w:lang w:val="en-US" w:eastAsia="zh-CN"/>
        </w:rPr>
        <w:t>二是资金审批程序流程规范性</w:t>
      </w:r>
      <w:r>
        <w:rPr>
          <w:rFonts w:hint="default" w:ascii="Times New Roman" w:hAnsi="Times New Roman" w:eastAsia="仿宋" w:cs="Times New Roman"/>
          <w:szCs w:val="32"/>
        </w:rPr>
        <w:t>经绩效小组查阅凭证及合同时发现。</w:t>
      </w:r>
      <w:r>
        <w:rPr>
          <w:rFonts w:hint="default" w:ascii="Times New Roman" w:hAnsi="Times New Roman" w:eastAsia="仿宋" w:cs="Times New Roman"/>
          <w:sz w:val="28"/>
          <w:szCs w:val="28"/>
        </w:rPr>
        <w:t>①</w:t>
      </w:r>
      <w:r>
        <w:rPr>
          <w:rFonts w:hint="default" w:ascii="Times New Roman" w:hAnsi="Times New Roman" w:eastAsia="仿宋" w:cs="Times New Roman"/>
          <w:szCs w:val="32"/>
        </w:rPr>
        <w:t>应支付给德阳鑫华建工集团有限公司的首付款监理服务费，合同约定在合同签订后7天内支付，但实际支付晚于一个多月，首付款未在合同约定时间内支付。</w:t>
      </w:r>
      <w:r>
        <w:rPr>
          <w:rFonts w:hint="default" w:ascii="Times New Roman" w:hAnsi="Times New Roman" w:eastAsia="仿宋" w:cs="Times New Roman"/>
          <w:sz w:val="28"/>
          <w:szCs w:val="28"/>
        </w:rPr>
        <w:t>②</w:t>
      </w:r>
      <w:r>
        <w:rPr>
          <w:rFonts w:hint="default" w:ascii="Times New Roman" w:hAnsi="Times New Roman" w:eastAsia="仿宋" w:cs="Times New Roman"/>
          <w:szCs w:val="32"/>
        </w:rPr>
        <w:t>应支付给四川川田联体育发展有限公司的预付款咨询服务费，合同约定在合同签订后10个工作日内支付，但实际支付晚于两个多月，预付款未在合同约定时间内支付。因此绩效小组鉴定该项目资金使用存在不规范操作。</w:t>
      </w:r>
    </w:p>
    <w:p w14:paraId="4CAD46B7">
      <w:pPr>
        <w:rPr>
          <w:rFonts w:hint="default" w:ascii="Times New Roman" w:hAnsi="Times New Roman" w:eastAsia="仿宋" w:cs="Times New Roman"/>
        </w:rPr>
      </w:pPr>
      <w:r>
        <w:rPr>
          <w:rFonts w:hint="default" w:ascii="Times New Roman" w:hAnsi="Times New Roman" w:eastAsia="仿宋" w:cs="Times New Roman"/>
          <w:b/>
          <w:bCs/>
          <w:szCs w:val="32"/>
        </w:rPr>
        <w:t>主要问题：</w:t>
      </w:r>
      <w:r>
        <w:rPr>
          <w:rFonts w:hint="default" w:ascii="Times New Roman" w:hAnsi="Times New Roman" w:eastAsia="仿宋" w:cs="Times New Roman"/>
          <w:szCs w:val="32"/>
        </w:rPr>
        <w:t>支付项目资金时未按合同规定付款扣减</w:t>
      </w:r>
      <w:r>
        <w:rPr>
          <w:rFonts w:hint="default" w:ascii="Times New Roman" w:hAnsi="Times New Roman" w:eastAsia="仿宋" w:cs="Times New Roman"/>
          <w:szCs w:val="32"/>
          <w:lang w:val="en-US" w:eastAsia="zh-CN"/>
        </w:rPr>
        <w:t>2</w:t>
      </w:r>
      <w:r>
        <w:rPr>
          <w:rFonts w:hint="default" w:ascii="Times New Roman" w:hAnsi="Times New Roman" w:eastAsia="仿宋" w:cs="Times New Roman"/>
          <w:szCs w:val="32"/>
        </w:rPr>
        <w:t>分。</w:t>
      </w:r>
    </w:p>
    <w:p w14:paraId="624B42FB">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仿宋" w:cs="Times New Roman"/>
        </w:rPr>
      </w:pPr>
      <w:bookmarkStart w:id="52" w:name="_Toc86224149"/>
      <w:bookmarkStart w:id="53" w:name="_Toc13422"/>
      <w:r>
        <w:rPr>
          <w:rFonts w:hint="default" w:ascii="Times New Roman" w:hAnsi="Times New Roman" w:eastAsia="仿宋" w:cs="Times New Roman"/>
          <w:b/>
          <w:bCs/>
          <w:kern w:val="2"/>
          <w:sz w:val="32"/>
          <w:szCs w:val="32"/>
          <w:lang w:val="en-US" w:eastAsia="zh-CN" w:bidi="ar-SA"/>
        </w:rPr>
        <w:t>（三）</w:t>
      </w:r>
      <w:r>
        <w:rPr>
          <w:rFonts w:hint="default" w:ascii="Times New Roman" w:hAnsi="Times New Roman" w:eastAsia="仿宋" w:cs="Times New Roman"/>
        </w:rPr>
        <w:t>产出类指标</w:t>
      </w:r>
      <w:bookmarkEnd w:id="52"/>
      <w:bookmarkEnd w:id="53"/>
      <w:r>
        <w:rPr>
          <w:rFonts w:hint="default" w:ascii="Times New Roman" w:hAnsi="Times New Roman" w:eastAsia="仿宋" w:cs="Times New Roman"/>
        </w:rPr>
        <w:tab/>
      </w:r>
    </w:p>
    <w:p w14:paraId="7C558660">
      <w:pPr>
        <w:ind w:firstLine="640"/>
        <w:rPr>
          <w:rFonts w:hint="default" w:ascii="Times New Roman" w:hAnsi="Times New Roman" w:eastAsia="仿宋" w:cs="Times New Roman"/>
          <w:szCs w:val="32"/>
        </w:rPr>
      </w:pPr>
      <w:r>
        <w:rPr>
          <w:rFonts w:hint="default" w:ascii="Times New Roman" w:hAnsi="Times New Roman" w:eastAsia="仿宋" w:cs="Times New Roman"/>
          <w:szCs w:val="32"/>
        </w:rPr>
        <w:t>主要评价项目产出数量、产出质量、产出时效和产出成</w:t>
      </w:r>
      <w:r>
        <w:rPr>
          <w:rFonts w:hint="default" w:ascii="Times New Roman" w:hAnsi="Times New Roman" w:eastAsia="仿宋" w:cs="Times New Roman"/>
          <w:bCs/>
          <w:szCs w:val="32"/>
        </w:rPr>
        <w:t>本情况。指标赋值30分，综合得分28分</w:t>
      </w:r>
      <w:r>
        <w:rPr>
          <w:rFonts w:hint="default" w:ascii="Times New Roman" w:hAnsi="Times New Roman" w:eastAsia="仿宋" w:cs="Times New Roman"/>
          <w:szCs w:val="32"/>
        </w:rPr>
        <w:t>。</w:t>
      </w:r>
    </w:p>
    <w:p w14:paraId="7810FFFE">
      <w:pPr>
        <w:ind w:firstLine="643"/>
        <w:rPr>
          <w:rFonts w:hint="default" w:ascii="Times New Roman" w:hAnsi="Times New Roman" w:eastAsia="仿宋" w:cs="Times New Roman"/>
          <w:szCs w:val="32"/>
        </w:rPr>
      </w:pPr>
      <w:r>
        <w:rPr>
          <w:rFonts w:hint="default" w:ascii="Times New Roman" w:hAnsi="Times New Roman" w:eastAsia="仿宋" w:cs="Times New Roman"/>
          <w:b/>
          <w:bCs/>
          <w:szCs w:val="32"/>
          <w:highlight w:val="none"/>
        </w:rPr>
        <w:t>1.</w:t>
      </w:r>
      <w:r>
        <w:rPr>
          <w:rFonts w:hint="default" w:ascii="Times New Roman" w:hAnsi="Times New Roman" w:eastAsia="仿宋" w:cs="Times New Roman"/>
          <w:b/>
          <w:szCs w:val="32"/>
          <w:highlight w:val="none"/>
        </w:rPr>
        <w:t>产出数量：</w:t>
      </w:r>
      <w:r>
        <w:rPr>
          <w:rFonts w:hint="default" w:ascii="Times New Roman" w:hAnsi="Times New Roman" w:eastAsia="仿宋" w:cs="Times New Roman"/>
          <w:szCs w:val="32"/>
        </w:rPr>
        <w:t>主要评价项目实际完成率情况。指标赋值9分，评价得分9分。</w:t>
      </w:r>
    </w:p>
    <w:p w14:paraId="3F399B80">
      <w:pPr>
        <w:pStyle w:val="2"/>
        <w:spacing w:line="560" w:lineRule="exact"/>
        <w:ind w:firstLine="640"/>
        <w:rPr>
          <w:rFonts w:hint="default" w:ascii="Times New Roman" w:hAnsi="Times New Roman" w:eastAsia="仿宋" w:cs="Times New Roman"/>
          <w:lang w:val="en-US" w:eastAsia="zh-CN"/>
        </w:rPr>
      </w:pP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szCs w:val="32"/>
        </w:rPr>
        <w:t>根据“《关于调整德阳市罗江区经开区基础设施提档升级建设2023年新增专项债券资金的通知》德市罗财金〔2023〕18号”文件内容申请</w:t>
      </w: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szCs w:val="32"/>
        </w:rPr>
        <w:t>，</w:t>
      </w:r>
      <w:r>
        <w:rPr>
          <w:rFonts w:hint="default" w:ascii="Times New Roman" w:hAnsi="Times New Roman" w:eastAsia="仿宋" w:cs="Times New Roman"/>
          <w:color w:val="000000"/>
          <w:szCs w:val="32"/>
        </w:rPr>
        <w:t>运动场改造面积约27900平方米的建设，场内包括400米标准环形塑胶跑道，标准塑胶篮球场4个，塑胶网球场2个，人工草坪标准足球场8200平方米，风雨球场1个，跳高跳远场地2处，器械运动场地1处以及相关建筑的配套设施、设备等，完成率100%；项目实施受益学生数3800人。</w:t>
      </w:r>
      <w:r>
        <w:rPr>
          <w:rFonts w:hint="default" w:ascii="Times New Roman" w:hAnsi="Times New Roman" w:eastAsia="仿宋" w:cs="Times New Roman"/>
          <w:szCs w:val="32"/>
        </w:rPr>
        <w:t>项目整体目标完成率情况较好，实际完成率100%。</w:t>
      </w:r>
      <w:r>
        <w:rPr>
          <w:rFonts w:hint="default" w:ascii="Times New Roman" w:hAnsi="Times New Roman" w:eastAsia="仿宋" w:cs="Times New Roman"/>
          <w:lang w:val="en-US" w:eastAsia="zh-CN"/>
        </w:rPr>
        <w:t>详情见下表。</w:t>
      </w:r>
    </w:p>
    <w:p w14:paraId="115F02E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仿宋" w:cs="Times New Roman"/>
          <w:b/>
          <w:snapToGrid/>
          <w:kern w:val="2"/>
          <w:sz w:val="28"/>
          <w:szCs w:val="28"/>
          <w:highlight w:val="none"/>
          <w:lang w:val="en-US" w:eastAsia="zh-CN"/>
        </w:rPr>
      </w:pPr>
      <w:r>
        <w:rPr>
          <w:rFonts w:hint="default" w:ascii="Times New Roman" w:hAnsi="Times New Roman" w:eastAsia="仿宋" w:cs="Times New Roman"/>
          <w:b/>
          <w:snapToGrid/>
          <w:kern w:val="2"/>
          <w:sz w:val="28"/>
          <w:szCs w:val="28"/>
          <w:highlight w:val="none"/>
          <w:lang w:val="en-US" w:eastAsia="zh-CN"/>
        </w:rPr>
        <w:t>表4-2罗江中学运动场改造项目的详细完成情况</w:t>
      </w:r>
    </w:p>
    <w:tbl>
      <w:tblPr>
        <w:tblStyle w:val="26"/>
        <w:tblW w:w="4998" w:type="pct"/>
        <w:tblInd w:w="0" w:type="dxa"/>
        <w:tblBorders>
          <w:top w:val="single" w:color="auto" w:sz="4" w:space="0"/>
          <w:left w:val="dotted" w:color="auto" w:sz="4" w:space="0"/>
          <w:bottom w:val="single" w:color="auto" w:sz="4" w:space="0"/>
          <w:right w:val="dotted" w:color="auto" w:sz="4" w:space="0"/>
          <w:insideH w:val="dotted" w:color="auto" w:sz="4" w:space="0"/>
          <w:insideV w:val="dotted" w:color="auto" w:sz="4" w:space="0"/>
        </w:tblBorders>
        <w:shd w:val="clear" w:color="auto" w:fill="auto"/>
        <w:tblLayout w:type="autofit"/>
        <w:tblCellMar>
          <w:top w:w="15" w:type="dxa"/>
          <w:left w:w="15" w:type="dxa"/>
          <w:bottom w:w="15" w:type="dxa"/>
          <w:right w:w="15" w:type="dxa"/>
        </w:tblCellMar>
      </w:tblPr>
      <w:tblGrid>
        <w:gridCol w:w="720"/>
        <w:gridCol w:w="3986"/>
        <w:gridCol w:w="2108"/>
        <w:gridCol w:w="1187"/>
        <w:gridCol w:w="1094"/>
      </w:tblGrid>
      <w:tr w14:paraId="02D79A99">
        <w:tblPrEx>
          <w:tblBorders>
            <w:top w:val="single" w:color="auto" w:sz="4" w:space="0"/>
            <w:left w:val="dotted" w:color="auto" w:sz="4" w:space="0"/>
            <w:bottom w:val="single" w:color="auto" w:sz="4" w:space="0"/>
            <w:right w:val="dotted" w:color="auto" w:sz="4" w:space="0"/>
            <w:insideH w:val="dotted" w:color="auto" w:sz="4" w:space="0"/>
            <w:insideV w:val="dotted" w:color="auto" w:sz="4" w:space="0"/>
          </w:tblBorders>
          <w:shd w:val="clear" w:color="auto" w:fill="auto"/>
          <w:tblCellMar>
            <w:top w:w="15" w:type="dxa"/>
            <w:left w:w="15" w:type="dxa"/>
            <w:bottom w:w="15" w:type="dxa"/>
            <w:right w:w="15" w:type="dxa"/>
          </w:tblCellMar>
        </w:tblPrEx>
        <w:trPr>
          <w:trHeight w:val="720" w:hRule="atLeast"/>
          <w:tblHeader/>
        </w:trPr>
        <w:tc>
          <w:tcPr>
            <w:tcW w:w="374" w:type="pct"/>
            <w:tcBorders>
              <w:top w:val="single" w:color="auto" w:sz="12" w:space="0"/>
            </w:tcBorders>
            <w:shd w:val="clear" w:color="auto" w:fill="auto"/>
            <w:tcMar>
              <w:top w:w="180" w:type="dxa"/>
              <w:left w:w="240" w:type="dxa"/>
              <w:bottom w:w="180" w:type="dxa"/>
              <w:right w:w="240" w:type="dxa"/>
            </w:tcMar>
            <w:vAlign w:val="center"/>
          </w:tcPr>
          <w:p w14:paraId="3B6EB89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序号</w:t>
            </w:r>
          </w:p>
        </w:tc>
        <w:tc>
          <w:tcPr>
            <w:tcW w:w="2196" w:type="pct"/>
            <w:tcBorders>
              <w:top w:val="single" w:color="auto" w:sz="12" w:space="0"/>
            </w:tcBorders>
            <w:shd w:val="clear" w:color="auto" w:fill="auto"/>
            <w:tcMar>
              <w:top w:w="180" w:type="dxa"/>
              <w:left w:w="240" w:type="dxa"/>
              <w:bottom w:w="180" w:type="dxa"/>
              <w:right w:w="240" w:type="dxa"/>
            </w:tcMar>
            <w:vAlign w:val="center"/>
          </w:tcPr>
          <w:p w14:paraId="359CE3F0">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项目内容</w:t>
            </w:r>
          </w:p>
        </w:tc>
        <w:tc>
          <w:tcPr>
            <w:tcW w:w="1164" w:type="pct"/>
            <w:tcBorders>
              <w:top w:val="single" w:color="auto" w:sz="12" w:space="0"/>
            </w:tcBorders>
            <w:shd w:val="clear" w:color="auto" w:fill="auto"/>
            <w:tcMar>
              <w:top w:w="180" w:type="dxa"/>
              <w:left w:w="240" w:type="dxa"/>
              <w:bottom w:w="180" w:type="dxa"/>
              <w:right w:w="240" w:type="dxa"/>
            </w:tcMar>
            <w:vAlign w:val="center"/>
          </w:tcPr>
          <w:p w14:paraId="1090ED3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数量/面积</w:t>
            </w:r>
          </w:p>
        </w:tc>
        <w:tc>
          <w:tcPr>
            <w:tcW w:w="658" w:type="pct"/>
            <w:tcBorders>
              <w:top w:val="single" w:color="auto" w:sz="12" w:space="0"/>
            </w:tcBorders>
            <w:shd w:val="clear" w:color="auto" w:fill="auto"/>
            <w:tcMar>
              <w:top w:w="180" w:type="dxa"/>
              <w:left w:w="240" w:type="dxa"/>
              <w:bottom w:w="180" w:type="dxa"/>
              <w:right w:w="240" w:type="dxa"/>
            </w:tcMar>
            <w:vAlign w:val="center"/>
          </w:tcPr>
          <w:p w14:paraId="587A0B8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完成情况</w:t>
            </w:r>
          </w:p>
        </w:tc>
        <w:tc>
          <w:tcPr>
            <w:tcW w:w="606" w:type="pct"/>
            <w:tcBorders>
              <w:top w:val="single" w:color="auto" w:sz="12" w:space="0"/>
            </w:tcBorders>
            <w:shd w:val="clear" w:color="auto" w:fill="auto"/>
            <w:vAlign w:val="center"/>
          </w:tcPr>
          <w:p w14:paraId="7B5A7E3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完成率</w:t>
            </w:r>
          </w:p>
        </w:tc>
      </w:tr>
      <w:tr w14:paraId="1651DBFB">
        <w:tblPrEx>
          <w:tblBorders>
            <w:top w:val="single" w:color="auto" w:sz="4" w:space="0"/>
            <w:left w:val="dotted" w:color="auto" w:sz="4" w:space="0"/>
            <w:bottom w:val="single" w:color="auto" w:sz="4" w:space="0"/>
            <w:right w:val="dotted" w:color="auto" w:sz="4" w:space="0"/>
            <w:insideH w:val="dotted" w:color="auto" w:sz="4" w:space="0"/>
            <w:insideV w:val="dotted" w:color="auto" w:sz="4" w:space="0"/>
          </w:tblBorders>
          <w:tblCellMar>
            <w:top w:w="15" w:type="dxa"/>
            <w:left w:w="15" w:type="dxa"/>
            <w:bottom w:w="15" w:type="dxa"/>
            <w:right w:w="15" w:type="dxa"/>
          </w:tblCellMar>
        </w:tblPrEx>
        <w:trPr>
          <w:trHeight w:val="90" w:hRule="atLeast"/>
        </w:trPr>
        <w:tc>
          <w:tcPr>
            <w:tcW w:w="374" w:type="pct"/>
            <w:shd w:val="clear" w:color="auto" w:fill="auto"/>
            <w:tcMar>
              <w:top w:w="180" w:type="dxa"/>
              <w:left w:w="240" w:type="dxa"/>
              <w:bottom w:w="180" w:type="dxa"/>
              <w:right w:w="240" w:type="dxa"/>
            </w:tcMar>
            <w:vAlign w:val="center"/>
          </w:tcPr>
          <w:p w14:paraId="280080C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w:t>
            </w:r>
          </w:p>
        </w:tc>
        <w:tc>
          <w:tcPr>
            <w:tcW w:w="2196" w:type="pct"/>
            <w:shd w:val="clear" w:color="auto" w:fill="auto"/>
            <w:tcMar>
              <w:top w:w="180" w:type="dxa"/>
              <w:left w:w="240" w:type="dxa"/>
              <w:bottom w:w="180" w:type="dxa"/>
              <w:right w:w="240" w:type="dxa"/>
            </w:tcMar>
            <w:vAlign w:val="center"/>
          </w:tcPr>
          <w:p w14:paraId="52C14FA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环形塑胶跑道</w:t>
            </w:r>
          </w:p>
        </w:tc>
        <w:tc>
          <w:tcPr>
            <w:tcW w:w="1164" w:type="pct"/>
            <w:shd w:val="clear" w:color="auto" w:fill="auto"/>
            <w:tcMar>
              <w:top w:w="180" w:type="dxa"/>
              <w:left w:w="240" w:type="dxa"/>
              <w:bottom w:w="180" w:type="dxa"/>
              <w:right w:w="240" w:type="dxa"/>
            </w:tcMar>
            <w:vAlign w:val="center"/>
          </w:tcPr>
          <w:p w14:paraId="71CDFF4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400米环形跑道</w:t>
            </w:r>
          </w:p>
        </w:tc>
        <w:tc>
          <w:tcPr>
            <w:tcW w:w="658" w:type="pct"/>
            <w:shd w:val="clear" w:color="auto" w:fill="auto"/>
            <w:tcMar>
              <w:top w:w="180" w:type="dxa"/>
              <w:left w:w="240" w:type="dxa"/>
              <w:bottom w:w="180" w:type="dxa"/>
              <w:right w:w="240" w:type="dxa"/>
            </w:tcMar>
            <w:vAlign w:val="center"/>
          </w:tcPr>
          <w:p w14:paraId="2AF37B2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完成</w:t>
            </w:r>
          </w:p>
        </w:tc>
        <w:tc>
          <w:tcPr>
            <w:tcW w:w="606" w:type="pct"/>
            <w:shd w:val="clear" w:color="auto" w:fill="auto"/>
            <w:vAlign w:val="center"/>
          </w:tcPr>
          <w:p w14:paraId="2E6916E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100%</w:t>
            </w:r>
          </w:p>
        </w:tc>
      </w:tr>
      <w:tr w14:paraId="56EA3B6B">
        <w:tblPrEx>
          <w:tblBorders>
            <w:top w:val="single" w:color="auto" w:sz="4" w:space="0"/>
            <w:left w:val="dotted" w:color="auto" w:sz="4" w:space="0"/>
            <w:bottom w:val="single" w:color="auto" w:sz="4" w:space="0"/>
            <w:right w:val="dotted" w:color="auto" w:sz="4" w:space="0"/>
            <w:insideH w:val="dotted" w:color="auto" w:sz="4" w:space="0"/>
            <w:insideV w:val="dotted" w:color="auto" w:sz="4" w:space="0"/>
          </w:tblBorders>
          <w:tblCellMar>
            <w:top w:w="15" w:type="dxa"/>
            <w:left w:w="15" w:type="dxa"/>
            <w:bottom w:w="15" w:type="dxa"/>
            <w:right w:w="15" w:type="dxa"/>
          </w:tblCellMar>
        </w:tblPrEx>
        <w:trPr>
          <w:trHeight w:val="295" w:hRule="atLeast"/>
        </w:trPr>
        <w:tc>
          <w:tcPr>
            <w:tcW w:w="374" w:type="pct"/>
            <w:shd w:val="clear" w:color="auto" w:fill="auto"/>
            <w:tcMar>
              <w:top w:w="180" w:type="dxa"/>
              <w:left w:w="240" w:type="dxa"/>
              <w:bottom w:w="180" w:type="dxa"/>
              <w:right w:w="240" w:type="dxa"/>
            </w:tcMar>
            <w:vAlign w:val="center"/>
          </w:tcPr>
          <w:p w14:paraId="3A9A698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w:t>
            </w:r>
          </w:p>
        </w:tc>
        <w:tc>
          <w:tcPr>
            <w:tcW w:w="2196" w:type="pct"/>
            <w:shd w:val="clear" w:color="auto" w:fill="auto"/>
            <w:tcMar>
              <w:top w:w="180" w:type="dxa"/>
              <w:left w:w="240" w:type="dxa"/>
              <w:bottom w:w="180" w:type="dxa"/>
              <w:right w:w="240" w:type="dxa"/>
            </w:tcMar>
            <w:vAlign w:val="center"/>
          </w:tcPr>
          <w:p w14:paraId="7203F58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标准塑胶篮球场</w:t>
            </w:r>
          </w:p>
        </w:tc>
        <w:tc>
          <w:tcPr>
            <w:tcW w:w="1164" w:type="pct"/>
            <w:shd w:val="clear" w:color="auto" w:fill="auto"/>
            <w:tcMar>
              <w:top w:w="180" w:type="dxa"/>
              <w:left w:w="240" w:type="dxa"/>
              <w:bottom w:w="180" w:type="dxa"/>
              <w:right w:w="240" w:type="dxa"/>
            </w:tcMar>
            <w:vAlign w:val="center"/>
          </w:tcPr>
          <w:p w14:paraId="74791C2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4个</w:t>
            </w:r>
          </w:p>
        </w:tc>
        <w:tc>
          <w:tcPr>
            <w:tcW w:w="658" w:type="pct"/>
            <w:shd w:val="clear" w:color="auto" w:fill="auto"/>
            <w:tcMar>
              <w:top w:w="180" w:type="dxa"/>
              <w:left w:w="240" w:type="dxa"/>
              <w:bottom w:w="180" w:type="dxa"/>
              <w:right w:w="240" w:type="dxa"/>
            </w:tcMar>
            <w:vAlign w:val="center"/>
          </w:tcPr>
          <w:p w14:paraId="7A3D2EE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完成</w:t>
            </w:r>
          </w:p>
        </w:tc>
        <w:tc>
          <w:tcPr>
            <w:tcW w:w="606" w:type="pct"/>
            <w:shd w:val="clear" w:color="auto" w:fill="auto"/>
            <w:vAlign w:val="center"/>
          </w:tcPr>
          <w:p w14:paraId="74DA786E">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100%</w:t>
            </w:r>
          </w:p>
        </w:tc>
      </w:tr>
      <w:tr w14:paraId="627FB6F2">
        <w:tblPrEx>
          <w:tblBorders>
            <w:top w:val="single" w:color="auto" w:sz="4" w:space="0"/>
            <w:left w:val="dotted" w:color="auto" w:sz="4" w:space="0"/>
            <w:bottom w:val="single" w:color="auto" w:sz="4" w:space="0"/>
            <w:right w:val="dotted" w:color="auto" w:sz="4" w:space="0"/>
            <w:insideH w:val="dotted" w:color="auto" w:sz="4" w:space="0"/>
            <w:insideV w:val="dotted" w:color="auto" w:sz="4" w:space="0"/>
          </w:tblBorders>
          <w:tblCellMar>
            <w:top w:w="15" w:type="dxa"/>
            <w:left w:w="15" w:type="dxa"/>
            <w:bottom w:w="15" w:type="dxa"/>
            <w:right w:w="15" w:type="dxa"/>
          </w:tblCellMar>
        </w:tblPrEx>
        <w:tc>
          <w:tcPr>
            <w:tcW w:w="374" w:type="pct"/>
            <w:shd w:val="clear" w:color="auto" w:fill="auto"/>
            <w:tcMar>
              <w:top w:w="180" w:type="dxa"/>
              <w:left w:w="240" w:type="dxa"/>
              <w:bottom w:w="180" w:type="dxa"/>
              <w:right w:w="240" w:type="dxa"/>
            </w:tcMar>
            <w:vAlign w:val="center"/>
          </w:tcPr>
          <w:p w14:paraId="73F8C845">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w:t>
            </w:r>
          </w:p>
        </w:tc>
        <w:tc>
          <w:tcPr>
            <w:tcW w:w="2196" w:type="pct"/>
            <w:shd w:val="clear" w:color="auto" w:fill="auto"/>
            <w:tcMar>
              <w:top w:w="180" w:type="dxa"/>
              <w:left w:w="240" w:type="dxa"/>
              <w:bottom w:w="180" w:type="dxa"/>
              <w:right w:w="240" w:type="dxa"/>
            </w:tcMar>
            <w:vAlign w:val="center"/>
          </w:tcPr>
          <w:p w14:paraId="36FE2E6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塑胶网球场</w:t>
            </w:r>
          </w:p>
        </w:tc>
        <w:tc>
          <w:tcPr>
            <w:tcW w:w="1164" w:type="pct"/>
            <w:shd w:val="clear" w:color="auto" w:fill="auto"/>
            <w:tcMar>
              <w:top w:w="180" w:type="dxa"/>
              <w:left w:w="240" w:type="dxa"/>
              <w:bottom w:w="180" w:type="dxa"/>
              <w:right w:w="240" w:type="dxa"/>
            </w:tcMar>
            <w:vAlign w:val="center"/>
          </w:tcPr>
          <w:p w14:paraId="19C6FD6C">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2个</w:t>
            </w:r>
          </w:p>
        </w:tc>
        <w:tc>
          <w:tcPr>
            <w:tcW w:w="658" w:type="pct"/>
            <w:shd w:val="clear" w:color="auto" w:fill="auto"/>
            <w:tcMar>
              <w:top w:w="180" w:type="dxa"/>
              <w:left w:w="240" w:type="dxa"/>
              <w:bottom w:w="180" w:type="dxa"/>
              <w:right w:w="240" w:type="dxa"/>
            </w:tcMar>
            <w:vAlign w:val="center"/>
          </w:tcPr>
          <w:p w14:paraId="7F0BD38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完成</w:t>
            </w:r>
          </w:p>
        </w:tc>
        <w:tc>
          <w:tcPr>
            <w:tcW w:w="606" w:type="pct"/>
            <w:shd w:val="clear" w:color="auto" w:fill="auto"/>
            <w:vAlign w:val="center"/>
          </w:tcPr>
          <w:p w14:paraId="30548539">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100%</w:t>
            </w:r>
          </w:p>
        </w:tc>
      </w:tr>
      <w:tr w14:paraId="67615F1B">
        <w:tblPrEx>
          <w:tblBorders>
            <w:top w:val="single" w:color="auto" w:sz="4" w:space="0"/>
            <w:left w:val="dotted" w:color="auto" w:sz="4" w:space="0"/>
            <w:bottom w:val="single" w:color="auto" w:sz="4" w:space="0"/>
            <w:right w:val="dotted" w:color="auto" w:sz="4" w:space="0"/>
            <w:insideH w:val="dotted" w:color="auto" w:sz="4" w:space="0"/>
            <w:insideV w:val="dotted" w:color="auto" w:sz="4" w:space="0"/>
          </w:tblBorders>
          <w:tblCellMar>
            <w:top w:w="15" w:type="dxa"/>
            <w:left w:w="15" w:type="dxa"/>
            <w:bottom w:w="15" w:type="dxa"/>
            <w:right w:w="15" w:type="dxa"/>
          </w:tblCellMar>
        </w:tblPrEx>
        <w:tc>
          <w:tcPr>
            <w:tcW w:w="374" w:type="pct"/>
            <w:shd w:val="clear" w:color="auto" w:fill="auto"/>
            <w:tcMar>
              <w:top w:w="180" w:type="dxa"/>
              <w:left w:w="240" w:type="dxa"/>
              <w:bottom w:w="180" w:type="dxa"/>
              <w:right w:w="240" w:type="dxa"/>
            </w:tcMar>
            <w:vAlign w:val="center"/>
          </w:tcPr>
          <w:p w14:paraId="1284A27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4</w:t>
            </w:r>
          </w:p>
        </w:tc>
        <w:tc>
          <w:tcPr>
            <w:tcW w:w="2196" w:type="pct"/>
            <w:shd w:val="clear" w:color="auto" w:fill="auto"/>
            <w:tcMar>
              <w:top w:w="180" w:type="dxa"/>
              <w:left w:w="240" w:type="dxa"/>
              <w:bottom w:w="180" w:type="dxa"/>
              <w:right w:w="240" w:type="dxa"/>
            </w:tcMar>
            <w:vAlign w:val="center"/>
          </w:tcPr>
          <w:p w14:paraId="717D7D6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人工草坪足球场</w:t>
            </w:r>
          </w:p>
        </w:tc>
        <w:tc>
          <w:tcPr>
            <w:tcW w:w="1164" w:type="pct"/>
            <w:shd w:val="clear" w:color="auto" w:fill="auto"/>
            <w:tcMar>
              <w:top w:w="180" w:type="dxa"/>
              <w:left w:w="240" w:type="dxa"/>
              <w:bottom w:w="180" w:type="dxa"/>
              <w:right w:w="240" w:type="dxa"/>
            </w:tcMar>
            <w:vAlign w:val="center"/>
          </w:tcPr>
          <w:p w14:paraId="1367D57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8200平方米</w:t>
            </w:r>
          </w:p>
        </w:tc>
        <w:tc>
          <w:tcPr>
            <w:tcW w:w="658" w:type="pct"/>
            <w:shd w:val="clear" w:color="auto" w:fill="auto"/>
            <w:tcMar>
              <w:top w:w="180" w:type="dxa"/>
              <w:left w:w="240" w:type="dxa"/>
              <w:bottom w:w="180" w:type="dxa"/>
              <w:right w:w="240" w:type="dxa"/>
            </w:tcMar>
            <w:vAlign w:val="center"/>
          </w:tcPr>
          <w:p w14:paraId="3D21B85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完成</w:t>
            </w:r>
          </w:p>
        </w:tc>
        <w:tc>
          <w:tcPr>
            <w:tcW w:w="606" w:type="pct"/>
            <w:shd w:val="clear" w:color="auto" w:fill="auto"/>
            <w:vAlign w:val="center"/>
          </w:tcPr>
          <w:p w14:paraId="70B84EE1">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100%</w:t>
            </w:r>
          </w:p>
        </w:tc>
      </w:tr>
      <w:tr w14:paraId="5190E8E9">
        <w:tblPrEx>
          <w:tblBorders>
            <w:top w:val="single" w:color="auto" w:sz="4" w:space="0"/>
            <w:left w:val="dotted" w:color="auto" w:sz="4" w:space="0"/>
            <w:bottom w:val="single" w:color="auto" w:sz="4" w:space="0"/>
            <w:right w:val="dotted" w:color="auto" w:sz="4" w:space="0"/>
            <w:insideH w:val="dotted" w:color="auto" w:sz="4" w:space="0"/>
            <w:insideV w:val="dotted" w:color="auto" w:sz="4" w:space="0"/>
          </w:tblBorders>
          <w:tblCellMar>
            <w:top w:w="15" w:type="dxa"/>
            <w:left w:w="15" w:type="dxa"/>
            <w:bottom w:w="15" w:type="dxa"/>
            <w:right w:w="15" w:type="dxa"/>
          </w:tblCellMar>
        </w:tblPrEx>
        <w:tc>
          <w:tcPr>
            <w:tcW w:w="374" w:type="pct"/>
            <w:shd w:val="clear" w:color="auto" w:fill="auto"/>
            <w:tcMar>
              <w:top w:w="180" w:type="dxa"/>
              <w:left w:w="240" w:type="dxa"/>
              <w:bottom w:w="180" w:type="dxa"/>
              <w:right w:w="240" w:type="dxa"/>
            </w:tcMar>
            <w:vAlign w:val="center"/>
          </w:tcPr>
          <w:p w14:paraId="62B0EFD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5</w:t>
            </w:r>
          </w:p>
        </w:tc>
        <w:tc>
          <w:tcPr>
            <w:tcW w:w="2196" w:type="pct"/>
            <w:shd w:val="clear" w:color="auto" w:fill="auto"/>
            <w:tcMar>
              <w:top w:w="180" w:type="dxa"/>
              <w:left w:w="240" w:type="dxa"/>
              <w:bottom w:w="180" w:type="dxa"/>
              <w:right w:w="240" w:type="dxa"/>
            </w:tcMar>
            <w:vAlign w:val="center"/>
          </w:tcPr>
          <w:p w14:paraId="13E6FF9E">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风雨球场</w:t>
            </w:r>
          </w:p>
        </w:tc>
        <w:tc>
          <w:tcPr>
            <w:tcW w:w="1164" w:type="pct"/>
            <w:shd w:val="clear" w:color="auto" w:fill="auto"/>
            <w:tcMar>
              <w:top w:w="180" w:type="dxa"/>
              <w:left w:w="240" w:type="dxa"/>
              <w:bottom w:w="180" w:type="dxa"/>
              <w:right w:w="240" w:type="dxa"/>
            </w:tcMar>
            <w:vAlign w:val="center"/>
          </w:tcPr>
          <w:p w14:paraId="029CD81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1个</w:t>
            </w:r>
          </w:p>
        </w:tc>
        <w:tc>
          <w:tcPr>
            <w:tcW w:w="658" w:type="pct"/>
            <w:shd w:val="clear" w:color="auto" w:fill="auto"/>
            <w:tcMar>
              <w:top w:w="180" w:type="dxa"/>
              <w:left w:w="240" w:type="dxa"/>
              <w:bottom w:w="180" w:type="dxa"/>
              <w:right w:w="240" w:type="dxa"/>
            </w:tcMar>
            <w:vAlign w:val="center"/>
          </w:tcPr>
          <w:p w14:paraId="59765A5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完成</w:t>
            </w:r>
          </w:p>
        </w:tc>
        <w:tc>
          <w:tcPr>
            <w:tcW w:w="606" w:type="pct"/>
            <w:shd w:val="clear" w:color="auto" w:fill="auto"/>
            <w:vAlign w:val="center"/>
          </w:tcPr>
          <w:p w14:paraId="2BAA512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100%</w:t>
            </w:r>
          </w:p>
        </w:tc>
      </w:tr>
      <w:tr w14:paraId="0270658C">
        <w:tblPrEx>
          <w:tblBorders>
            <w:top w:val="single" w:color="auto" w:sz="4" w:space="0"/>
            <w:left w:val="dotted" w:color="auto" w:sz="4" w:space="0"/>
            <w:bottom w:val="single" w:color="auto" w:sz="4" w:space="0"/>
            <w:right w:val="dotted" w:color="auto" w:sz="4" w:space="0"/>
            <w:insideH w:val="dotted" w:color="auto" w:sz="4" w:space="0"/>
            <w:insideV w:val="dotted" w:color="auto" w:sz="4" w:space="0"/>
          </w:tblBorders>
          <w:tblCellMar>
            <w:top w:w="15" w:type="dxa"/>
            <w:left w:w="15" w:type="dxa"/>
            <w:bottom w:w="15" w:type="dxa"/>
            <w:right w:w="15" w:type="dxa"/>
          </w:tblCellMar>
        </w:tblPrEx>
        <w:tc>
          <w:tcPr>
            <w:tcW w:w="374" w:type="pct"/>
            <w:shd w:val="clear" w:color="auto" w:fill="auto"/>
            <w:tcMar>
              <w:top w:w="180" w:type="dxa"/>
              <w:left w:w="240" w:type="dxa"/>
              <w:bottom w:w="180" w:type="dxa"/>
              <w:right w:w="240" w:type="dxa"/>
            </w:tcMar>
            <w:vAlign w:val="center"/>
          </w:tcPr>
          <w:p w14:paraId="0F204775">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6</w:t>
            </w:r>
          </w:p>
        </w:tc>
        <w:tc>
          <w:tcPr>
            <w:tcW w:w="2196" w:type="pct"/>
            <w:shd w:val="clear" w:color="auto" w:fill="auto"/>
            <w:tcMar>
              <w:top w:w="180" w:type="dxa"/>
              <w:left w:w="240" w:type="dxa"/>
              <w:bottom w:w="180" w:type="dxa"/>
              <w:right w:w="240" w:type="dxa"/>
            </w:tcMar>
            <w:vAlign w:val="center"/>
          </w:tcPr>
          <w:p w14:paraId="739A821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跳高跳远场地</w:t>
            </w:r>
          </w:p>
        </w:tc>
        <w:tc>
          <w:tcPr>
            <w:tcW w:w="1164" w:type="pct"/>
            <w:shd w:val="clear" w:color="auto" w:fill="auto"/>
            <w:tcMar>
              <w:top w:w="180" w:type="dxa"/>
              <w:left w:w="240" w:type="dxa"/>
              <w:bottom w:w="180" w:type="dxa"/>
              <w:right w:w="240" w:type="dxa"/>
            </w:tcMar>
            <w:vAlign w:val="center"/>
          </w:tcPr>
          <w:p w14:paraId="529C0F34">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2处</w:t>
            </w:r>
          </w:p>
        </w:tc>
        <w:tc>
          <w:tcPr>
            <w:tcW w:w="658" w:type="pct"/>
            <w:shd w:val="clear" w:color="auto" w:fill="auto"/>
            <w:tcMar>
              <w:top w:w="180" w:type="dxa"/>
              <w:left w:w="240" w:type="dxa"/>
              <w:bottom w:w="180" w:type="dxa"/>
              <w:right w:w="240" w:type="dxa"/>
            </w:tcMar>
            <w:vAlign w:val="center"/>
          </w:tcPr>
          <w:p w14:paraId="7B8B547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完成</w:t>
            </w:r>
          </w:p>
        </w:tc>
        <w:tc>
          <w:tcPr>
            <w:tcW w:w="606" w:type="pct"/>
            <w:shd w:val="clear" w:color="auto" w:fill="auto"/>
            <w:vAlign w:val="center"/>
          </w:tcPr>
          <w:p w14:paraId="6C39F47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100%</w:t>
            </w:r>
          </w:p>
        </w:tc>
      </w:tr>
      <w:tr w14:paraId="5ABD3E5A">
        <w:tblPrEx>
          <w:tblBorders>
            <w:top w:val="single" w:color="auto" w:sz="4" w:space="0"/>
            <w:left w:val="dotted" w:color="auto" w:sz="4" w:space="0"/>
            <w:bottom w:val="single" w:color="auto" w:sz="4" w:space="0"/>
            <w:right w:val="dotted" w:color="auto" w:sz="4" w:space="0"/>
            <w:insideH w:val="dotted" w:color="auto" w:sz="4" w:space="0"/>
            <w:insideV w:val="dotted" w:color="auto" w:sz="4" w:space="0"/>
          </w:tblBorders>
          <w:tblCellMar>
            <w:top w:w="15" w:type="dxa"/>
            <w:left w:w="15" w:type="dxa"/>
            <w:bottom w:w="15" w:type="dxa"/>
            <w:right w:w="15" w:type="dxa"/>
          </w:tblCellMar>
        </w:tblPrEx>
        <w:trPr>
          <w:trHeight w:val="556" w:hRule="atLeast"/>
        </w:trPr>
        <w:tc>
          <w:tcPr>
            <w:tcW w:w="374" w:type="pct"/>
            <w:shd w:val="clear" w:color="auto" w:fill="auto"/>
            <w:tcMar>
              <w:top w:w="180" w:type="dxa"/>
              <w:left w:w="240" w:type="dxa"/>
              <w:bottom w:w="180" w:type="dxa"/>
              <w:right w:w="240" w:type="dxa"/>
            </w:tcMar>
            <w:vAlign w:val="center"/>
          </w:tcPr>
          <w:p w14:paraId="055C336F">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7</w:t>
            </w:r>
          </w:p>
        </w:tc>
        <w:tc>
          <w:tcPr>
            <w:tcW w:w="2196" w:type="pct"/>
            <w:shd w:val="clear" w:color="auto" w:fill="auto"/>
            <w:tcMar>
              <w:top w:w="180" w:type="dxa"/>
              <w:left w:w="240" w:type="dxa"/>
              <w:bottom w:w="180" w:type="dxa"/>
              <w:right w:w="240" w:type="dxa"/>
            </w:tcMar>
            <w:vAlign w:val="center"/>
          </w:tcPr>
          <w:p w14:paraId="62D8D847">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器械运动场</w:t>
            </w:r>
          </w:p>
        </w:tc>
        <w:tc>
          <w:tcPr>
            <w:tcW w:w="1164" w:type="pct"/>
            <w:shd w:val="clear" w:color="auto" w:fill="auto"/>
            <w:tcMar>
              <w:top w:w="180" w:type="dxa"/>
              <w:left w:w="240" w:type="dxa"/>
              <w:bottom w:w="180" w:type="dxa"/>
              <w:right w:w="240" w:type="dxa"/>
            </w:tcMar>
            <w:vAlign w:val="center"/>
          </w:tcPr>
          <w:p w14:paraId="7D8BC433">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1处</w:t>
            </w:r>
          </w:p>
        </w:tc>
        <w:tc>
          <w:tcPr>
            <w:tcW w:w="658" w:type="pct"/>
            <w:shd w:val="clear" w:color="auto" w:fill="auto"/>
            <w:tcMar>
              <w:top w:w="180" w:type="dxa"/>
              <w:left w:w="240" w:type="dxa"/>
              <w:bottom w:w="180" w:type="dxa"/>
              <w:right w:w="240" w:type="dxa"/>
            </w:tcMar>
            <w:vAlign w:val="center"/>
          </w:tcPr>
          <w:p w14:paraId="18F1055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完成</w:t>
            </w:r>
          </w:p>
        </w:tc>
        <w:tc>
          <w:tcPr>
            <w:tcW w:w="606" w:type="pct"/>
            <w:shd w:val="clear" w:color="auto" w:fill="auto"/>
            <w:vAlign w:val="center"/>
          </w:tcPr>
          <w:p w14:paraId="455B4CDD">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100%</w:t>
            </w:r>
          </w:p>
        </w:tc>
      </w:tr>
      <w:tr w14:paraId="0A6146DF">
        <w:tblPrEx>
          <w:tblBorders>
            <w:top w:val="single" w:color="auto" w:sz="4" w:space="0"/>
            <w:left w:val="dotted" w:color="auto" w:sz="4" w:space="0"/>
            <w:bottom w:val="single" w:color="auto" w:sz="4" w:space="0"/>
            <w:right w:val="dotted" w:color="auto" w:sz="4" w:space="0"/>
            <w:insideH w:val="dotted" w:color="auto" w:sz="4" w:space="0"/>
            <w:insideV w:val="dotted" w:color="auto" w:sz="4" w:space="0"/>
          </w:tblBorders>
          <w:tblCellMar>
            <w:top w:w="15" w:type="dxa"/>
            <w:left w:w="15" w:type="dxa"/>
            <w:bottom w:w="15" w:type="dxa"/>
            <w:right w:w="15" w:type="dxa"/>
          </w:tblCellMar>
        </w:tblPrEx>
        <w:tc>
          <w:tcPr>
            <w:tcW w:w="374" w:type="pct"/>
            <w:tcBorders>
              <w:bottom w:val="single" w:color="auto" w:sz="12" w:space="0"/>
            </w:tcBorders>
            <w:shd w:val="clear" w:color="auto" w:fill="auto"/>
            <w:tcMar>
              <w:top w:w="180" w:type="dxa"/>
              <w:left w:w="240" w:type="dxa"/>
              <w:bottom w:w="180" w:type="dxa"/>
              <w:right w:w="240" w:type="dxa"/>
            </w:tcMar>
            <w:vAlign w:val="center"/>
          </w:tcPr>
          <w:p w14:paraId="479D842B">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8</w:t>
            </w:r>
          </w:p>
        </w:tc>
        <w:tc>
          <w:tcPr>
            <w:tcW w:w="2196" w:type="pct"/>
            <w:tcBorders>
              <w:bottom w:val="single" w:color="auto" w:sz="12" w:space="0"/>
            </w:tcBorders>
            <w:shd w:val="clear" w:color="auto" w:fill="auto"/>
            <w:tcMar>
              <w:top w:w="180" w:type="dxa"/>
              <w:left w:w="240" w:type="dxa"/>
              <w:bottom w:w="180" w:type="dxa"/>
              <w:right w:w="240" w:type="dxa"/>
            </w:tcMar>
            <w:vAlign w:val="center"/>
          </w:tcPr>
          <w:p w14:paraId="6BFE4632">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相关建筑配套设施、设备</w:t>
            </w:r>
          </w:p>
        </w:tc>
        <w:tc>
          <w:tcPr>
            <w:tcW w:w="1164" w:type="pct"/>
            <w:tcBorders>
              <w:bottom w:val="single" w:color="auto" w:sz="12" w:space="0"/>
            </w:tcBorders>
            <w:shd w:val="clear" w:color="auto" w:fill="auto"/>
            <w:tcMar>
              <w:top w:w="180" w:type="dxa"/>
              <w:left w:w="240" w:type="dxa"/>
              <w:bottom w:w="180" w:type="dxa"/>
              <w:right w:w="240" w:type="dxa"/>
            </w:tcMar>
            <w:vAlign w:val="center"/>
          </w:tcPr>
          <w:p w14:paraId="7DC9EE0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一批</w:t>
            </w:r>
          </w:p>
        </w:tc>
        <w:tc>
          <w:tcPr>
            <w:tcW w:w="658" w:type="pct"/>
            <w:tcBorders>
              <w:bottom w:val="single" w:color="auto" w:sz="12" w:space="0"/>
            </w:tcBorders>
            <w:shd w:val="clear" w:color="auto" w:fill="auto"/>
            <w:tcMar>
              <w:top w:w="180" w:type="dxa"/>
              <w:left w:w="240" w:type="dxa"/>
              <w:bottom w:w="180" w:type="dxa"/>
              <w:right w:w="240" w:type="dxa"/>
            </w:tcMar>
            <w:vAlign w:val="center"/>
          </w:tcPr>
          <w:p w14:paraId="3C458C0A">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完成</w:t>
            </w:r>
          </w:p>
        </w:tc>
        <w:tc>
          <w:tcPr>
            <w:tcW w:w="606" w:type="pct"/>
            <w:tcBorders>
              <w:bottom w:val="single" w:color="auto" w:sz="12" w:space="0"/>
            </w:tcBorders>
            <w:shd w:val="clear" w:color="auto" w:fill="auto"/>
            <w:vAlign w:val="center"/>
          </w:tcPr>
          <w:p w14:paraId="3BCF41E8">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100%</w:t>
            </w:r>
          </w:p>
        </w:tc>
      </w:tr>
    </w:tbl>
    <w:p w14:paraId="200F4A74">
      <w:pPr>
        <w:keepNext w:val="0"/>
        <w:keepLines w:val="0"/>
        <w:pageBreakBefore w:val="0"/>
        <w:widowControl w:val="0"/>
        <w:tabs>
          <w:tab w:val="left" w:pos="1085"/>
        </w:tabs>
        <w:kinsoku/>
        <w:wordWrap/>
        <w:overflowPunct/>
        <w:topLinePunct w:val="0"/>
        <w:autoSpaceDE/>
        <w:autoSpaceDN/>
        <w:bidi w:val="0"/>
        <w:adjustRightInd w:val="0"/>
        <w:snapToGrid w:val="0"/>
        <w:ind w:left="0" w:leftChars="0" w:firstLine="643" w:firstLineChars="200"/>
        <w:textAlignment w:val="auto"/>
        <w:rPr>
          <w:rFonts w:hint="default" w:ascii="Times New Roman" w:hAnsi="Times New Roman" w:eastAsia="仿宋" w:cs="Times New Roman"/>
        </w:rPr>
      </w:pPr>
      <w:r>
        <w:rPr>
          <w:rFonts w:hint="default" w:ascii="Times New Roman" w:hAnsi="Times New Roman" w:eastAsia="仿宋" w:cs="Times New Roman"/>
          <w:b/>
          <w:bCs/>
          <w:szCs w:val="32"/>
        </w:rPr>
        <w:t>2.产出质量：</w:t>
      </w:r>
      <w:r>
        <w:rPr>
          <w:rFonts w:hint="default" w:ascii="Times New Roman" w:hAnsi="Times New Roman" w:eastAsia="仿宋" w:cs="Times New Roman"/>
          <w:bCs/>
          <w:szCs w:val="32"/>
        </w:rPr>
        <w:t>主要评价项目质量达标率情况。指标赋值9分，评价得分7分。</w:t>
      </w:r>
    </w:p>
    <w:p w14:paraId="1AF535FE">
      <w:pPr>
        <w:pStyle w:val="2"/>
        <w:spacing w:line="560" w:lineRule="exact"/>
        <w:ind w:firstLine="640"/>
        <w:rPr>
          <w:rFonts w:hint="default" w:ascii="Times New Roman" w:hAnsi="Times New Roman" w:eastAsia="仿宋" w:cs="Times New Roman"/>
        </w:rPr>
      </w:pPr>
      <w:r>
        <w:rPr>
          <w:rFonts w:hint="default" w:ascii="Times New Roman" w:hAnsi="Times New Roman" w:eastAsia="仿宋" w:cs="Times New Roman"/>
          <w:bCs/>
          <w:szCs w:val="32"/>
        </w:rPr>
        <w:t>改造</w:t>
      </w:r>
      <w:r>
        <w:rPr>
          <w:rFonts w:hint="default" w:ascii="Times New Roman" w:hAnsi="Times New Roman" w:eastAsia="仿宋" w:cs="Times New Roman"/>
          <w:bCs/>
          <w:szCs w:val="32"/>
          <w:lang w:eastAsia="zh-CN"/>
        </w:rPr>
        <w:t>罗江中学校</w:t>
      </w:r>
      <w:r>
        <w:rPr>
          <w:rFonts w:hint="default" w:ascii="Times New Roman" w:hAnsi="Times New Roman" w:eastAsia="仿宋" w:cs="Times New Roman"/>
          <w:bCs/>
          <w:szCs w:val="32"/>
        </w:rPr>
        <w:t>运动场，有着详细的工程验收报告能够明确指出改造中各项工程指标符合预定的标准，验收报告显示所有关键指标均合格，</w:t>
      </w:r>
      <w:r>
        <w:rPr>
          <w:rFonts w:hint="default" w:ascii="Times New Roman" w:hAnsi="Times New Roman" w:eastAsia="仿宋" w:cs="Times New Roman"/>
          <w:bCs/>
          <w:szCs w:val="32"/>
          <w:lang w:val="en-US" w:eastAsia="zh-CN"/>
        </w:rPr>
        <w:t>项目验收通过罗江中学校、四川同创宏业建筑设计有限公司、德阳鑫华建工集团有限公司、四川纹江致远建筑开发工程有限公司进行签字盖章同意验收</w:t>
      </w:r>
      <w:r>
        <w:rPr>
          <w:rFonts w:hint="default" w:ascii="Times New Roman" w:hAnsi="Times New Roman" w:eastAsia="仿宋" w:cs="Times New Roman"/>
          <w:bCs/>
          <w:szCs w:val="32"/>
          <w:lang w:eastAsia="zh-CN"/>
        </w:rPr>
        <w:t>，地基与基础工程、建筑装饰装修工程、建筑给、排水及供暖工程、建筑电气工程、</w:t>
      </w:r>
      <w:r>
        <w:rPr>
          <w:rFonts w:hint="default" w:ascii="Times New Roman" w:hAnsi="Times New Roman" w:eastAsia="仿宋" w:cs="Times New Roman"/>
          <w:bCs/>
          <w:szCs w:val="32"/>
          <w:lang w:val="en-US" w:eastAsia="zh-CN"/>
        </w:rPr>
        <w:t>基层、面层、栽植全部验收合格，</w:t>
      </w:r>
      <w:r>
        <w:rPr>
          <w:rFonts w:hint="default" w:ascii="Times New Roman" w:hAnsi="Times New Roman" w:eastAsia="仿宋" w:cs="Times New Roman"/>
          <w:bCs/>
          <w:szCs w:val="32"/>
        </w:rPr>
        <w:t>项目质量达标率高。明确其运动场改造的质量标准符合基于国家现行的相关规定、行业标准以及学校的实际需求。绩效小组通过对</w:t>
      </w:r>
      <w:r>
        <w:rPr>
          <w:rFonts w:hint="default" w:ascii="Times New Roman" w:hAnsi="Times New Roman" w:eastAsia="仿宋" w:cs="Times New Roman"/>
          <w:bCs/>
          <w:szCs w:val="32"/>
          <w:lang w:eastAsia="zh-CN"/>
        </w:rPr>
        <w:t>罗江中学校</w:t>
      </w:r>
      <w:r>
        <w:rPr>
          <w:rFonts w:hint="default" w:ascii="Times New Roman" w:hAnsi="Times New Roman" w:eastAsia="仿宋" w:cs="Times New Roman"/>
          <w:bCs/>
          <w:szCs w:val="32"/>
        </w:rPr>
        <w:t>学生及教师进行的运动场改造使用状况进行了问卷调查，通过问卷得出运动场存在损坏和改造后运动设</w:t>
      </w:r>
      <w:r>
        <w:rPr>
          <w:rFonts w:hint="default" w:ascii="Times New Roman" w:hAnsi="Times New Roman" w:eastAsia="仿宋" w:cs="Times New Roman"/>
          <w:bCs/>
          <w:szCs w:val="32"/>
          <w:lang w:eastAsia="zh-CN"/>
        </w:rPr>
        <w:t>施</w:t>
      </w:r>
      <w:r>
        <w:rPr>
          <w:rFonts w:hint="default" w:ascii="Times New Roman" w:hAnsi="Times New Roman" w:eastAsia="仿宋" w:cs="Times New Roman"/>
          <w:bCs/>
          <w:szCs w:val="32"/>
        </w:rPr>
        <w:t>质量问题。</w:t>
      </w:r>
    </w:p>
    <w:p w14:paraId="4C25056C">
      <w:pPr>
        <w:ind w:firstLine="640"/>
        <w:rPr>
          <w:rFonts w:hint="default" w:ascii="Times New Roman" w:hAnsi="Times New Roman" w:eastAsia="仿宋" w:cs="Times New Roman"/>
        </w:rPr>
      </w:pPr>
      <w:r>
        <w:rPr>
          <w:rFonts w:hint="default" w:ascii="Times New Roman" w:hAnsi="Times New Roman" w:eastAsia="仿宋" w:cs="Times New Roman"/>
          <w:b/>
          <w:bCs/>
        </w:rPr>
        <w:t>主要</w:t>
      </w:r>
      <w:r>
        <w:rPr>
          <w:rFonts w:hint="default" w:ascii="Times New Roman" w:hAnsi="Times New Roman" w:eastAsia="仿宋" w:cs="Times New Roman"/>
          <w:b/>
          <w:bCs/>
          <w:lang w:val="en-US" w:eastAsia="zh-CN"/>
        </w:rPr>
        <w:t>存在</w:t>
      </w:r>
      <w:r>
        <w:rPr>
          <w:rFonts w:hint="default" w:ascii="Times New Roman" w:hAnsi="Times New Roman" w:eastAsia="仿宋" w:cs="Times New Roman"/>
          <w:b/>
          <w:bCs/>
        </w:rPr>
        <w:t>问题：</w:t>
      </w:r>
      <w:r>
        <w:rPr>
          <w:rFonts w:hint="default" w:ascii="Times New Roman" w:hAnsi="Times New Roman" w:eastAsia="仿宋" w:cs="Times New Roman"/>
        </w:rPr>
        <w:t>通过问卷得出运动场存在质量问题扣减2分。</w:t>
      </w:r>
    </w:p>
    <w:p w14:paraId="434DEA42">
      <w:pPr>
        <w:pStyle w:val="2"/>
        <w:spacing w:line="560" w:lineRule="exact"/>
        <w:ind w:firstLine="643"/>
        <w:rPr>
          <w:rFonts w:hint="default" w:ascii="Times New Roman" w:hAnsi="Times New Roman" w:eastAsia="仿宋" w:cs="Times New Roman"/>
          <w:szCs w:val="32"/>
        </w:rPr>
      </w:pPr>
      <w:r>
        <w:rPr>
          <w:rFonts w:hint="default" w:ascii="Times New Roman" w:hAnsi="Times New Roman" w:eastAsia="仿宋" w:cs="Times New Roman"/>
          <w:b/>
          <w:bCs/>
          <w:szCs w:val="32"/>
        </w:rPr>
        <w:t>3.产出时效：</w:t>
      </w:r>
      <w:r>
        <w:rPr>
          <w:rFonts w:hint="default" w:ascii="Times New Roman" w:hAnsi="Times New Roman" w:eastAsia="仿宋" w:cs="Times New Roman"/>
          <w:bCs/>
          <w:szCs w:val="32"/>
        </w:rPr>
        <w:t>主要评价项目完成及时率情况。指标赋值6</w:t>
      </w:r>
      <w:r>
        <w:rPr>
          <w:rFonts w:hint="default" w:ascii="Times New Roman" w:hAnsi="Times New Roman" w:eastAsia="仿宋" w:cs="Times New Roman"/>
          <w:szCs w:val="32"/>
        </w:rPr>
        <w:t>分，评价得分6分。</w:t>
      </w:r>
    </w:p>
    <w:p w14:paraId="1F20C0A4">
      <w:pPr>
        <w:pStyle w:val="2"/>
        <w:spacing w:line="560" w:lineRule="exact"/>
        <w:ind w:firstLine="640"/>
        <w:rPr>
          <w:rFonts w:hint="default" w:ascii="Times New Roman" w:hAnsi="Times New Roman" w:eastAsia="仿宋" w:cs="Times New Roman"/>
          <w:szCs w:val="32"/>
          <w:highlight w:val="none"/>
        </w:rPr>
      </w:pPr>
      <w:r>
        <w:rPr>
          <w:rFonts w:hint="default" w:ascii="Times New Roman" w:hAnsi="Times New Roman" w:eastAsia="仿宋" w:cs="Times New Roman"/>
          <w:szCs w:val="32"/>
          <w:highlight w:val="none"/>
          <w:lang w:eastAsia="zh-CN"/>
        </w:rPr>
        <w:t>罗江中学运动场改造项目</w:t>
      </w:r>
      <w:r>
        <w:rPr>
          <w:rFonts w:hint="default" w:ascii="Times New Roman" w:hAnsi="Times New Roman" w:eastAsia="仿宋" w:cs="Times New Roman"/>
          <w:szCs w:val="32"/>
          <w:highlight w:val="none"/>
          <w:lang w:val="en-US" w:eastAsia="zh-CN"/>
        </w:rPr>
        <w:t>根据合同约定</w:t>
      </w:r>
      <w:r>
        <w:rPr>
          <w:rFonts w:hint="default" w:ascii="Times New Roman" w:hAnsi="Times New Roman" w:eastAsia="仿宋" w:cs="Times New Roman"/>
          <w:szCs w:val="32"/>
          <w:highlight w:val="none"/>
        </w:rPr>
        <w:t>实施以预算完成期限</w:t>
      </w:r>
      <w:r>
        <w:rPr>
          <w:rFonts w:hint="default" w:ascii="Times New Roman" w:hAnsi="Times New Roman" w:eastAsia="仿宋" w:cs="Times New Roman"/>
          <w:color w:val="000000"/>
          <w:szCs w:val="32"/>
          <w:highlight w:val="none"/>
        </w:rPr>
        <w:t>150日历天。工期总日历天数与根据前述计划开竣工日期计算的工期天数不一致的，以工期总日历天数为准。</w:t>
      </w:r>
      <w:r>
        <w:rPr>
          <w:rFonts w:hint="default" w:ascii="Times New Roman" w:hAnsi="Times New Roman" w:eastAsia="仿宋" w:cs="Times New Roman"/>
          <w:color w:val="000000"/>
          <w:szCs w:val="32"/>
          <w:highlight w:val="none"/>
          <w:lang w:eastAsia="zh-CN"/>
        </w:rPr>
        <w:t>项目合同工期150日历天,项目实际开工日期为2023年7月16日，2023年11月20日竣工验收，实际工期128日历天，工期未逾期。</w:t>
      </w:r>
      <w:r>
        <w:rPr>
          <w:rFonts w:hint="default" w:ascii="Times New Roman" w:hAnsi="Times New Roman" w:eastAsia="仿宋" w:cs="Times New Roman"/>
          <w:szCs w:val="32"/>
          <w:highlight w:val="none"/>
        </w:rPr>
        <w:t>项目在2023年11月20日进行了验收出具了项目验收报告，项目</w:t>
      </w:r>
      <w:r>
        <w:rPr>
          <w:rFonts w:hint="default" w:ascii="Times New Roman" w:hAnsi="Times New Roman" w:eastAsia="仿宋" w:cs="Times New Roman"/>
          <w:szCs w:val="32"/>
          <w:highlight w:val="none"/>
          <w:lang w:val="en-US" w:eastAsia="zh-CN"/>
        </w:rPr>
        <w:t>验收</w:t>
      </w:r>
      <w:r>
        <w:rPr>
          <w:rFonts w:hint="default" w:ascii="Times New Roman" w:hAnsi="Times New Roman" w:eastAsia="仿宋" w:cs="Times New Roman"/>
          <w:szCs w:val="32"/>
          <w:highlight w:val="none"/>
        </w:rPr>
        <w:t>完成及时率100%。</w:t>
      </w:r>
    </w:p>
    <w:p w14:paraId="468B252D">
      <w:pPr>
        <w:pStyle w:val="2"/>
        <w:spacing w:line="560" w:lineRule="exact"/>
        <w:ind w:firstLine="643"/>
        <w:rPr>
          <w:rFonts w:hint="default" w:ascii="Times New Roman" w:hAnsi="Times New Roman" w:eastAsia="仿宋" w:cs="Times New Roman"/>
          <w:szCs w:val="32"/>
        </w:rPr>
      </w:pPr>
      <w:r>
        <w:rPr>
          <w:rFonts w:hint="default" w:ascii="Times New Roman" w:hAnsi="Times New Roman" w:eastAsia="仿宋" w:cs="Times New Roman"/>
          <w:b/>
          <w:szCs w:val="32"/>
        </w:rPr>
        <w:t>4.产出成本：</w:t>
      </w:r>
      <w:r>
        <w:rPr>
          <w:rFonts w:hint="default" w:ascii="Times New Roman" w:hAnsi="Times New Roman" w:eastAsia="仿宋" w:cs="Times New Roman"/>
          <w:szCs w:val="32"/>
        </w:rPr>
        <w:t>主要评价项目成本节约率情况。</w:t>
      </w:r>
      <w:r>
        <w:rPr>
          <w:rFonts w:hint="default" w:ascii="Times New Roman" w:hAnsi="Times New Roman" w:eastAsia="仿宋" w:cs="Times New Roman"/>
          <w:bCs/>
          <w:szCs w:val="32"/>
        </w:rPr>
        <w:t>指标赋值6</w:t>
      </w:r>
      <w:r>
        <w:rPr>
          <w:rFonts w:hint="default" w:ascii="Times New Roman" w:hAnsi="Times New Roman" w:eastAsia="仿宋" w:cs="Times New Roman"/>
          <w:szCs w:val="32"/>
        </w:rPr>
        <w:t>分，评价得分6分。</w:t>
      </w:r>
    </w:p>
    <w:p w14:paraId="436B00A2">
      <w:pPr>
        <w:pStyle w:val="2"/>
        <w:spacing w:line="560" w:lineRule="exact"/>
        <w:ind w:firstLine="640"/>
        <w:rPr>
          <w:rFonts w:hint="default" w:ascii="Times New Roman" w:hAnsi="Times New Roman" w:eastAsia="仿宋" w:cs="Times New Roman"/>
          <w:szCs w:val="32"/>
          <w:lang w:eastAsia="zh-CN"/>
        </w:rPr>
      </w:pPr>
      <w:bookmarkStart w:id="54" w:name="_Toc31490"/>
      <w:r>
        <w:rPr>
          <w:rFonts w:hint="default" w:ascii="Times New Roman" w:hAnsi="Times New Roman" w:eastAsia="仿宋" w:cs="Times New Roman"/>
          <w:szCs w:val="32"/>
          <w:lang w:eastAsia="zh-CN"/>
        </w:rPr>
        <w:t>罗江中学校</w:t>
      </w:r>
      <w:r>
        <w:rPr>
          <w:rFonts w:hint="default" w:ascii="Times New Roman" w:hAnsi="Times New Roman" w:eastAsia="仿宋" w:cs="Times New Roman"/>
          <w:szCs w:val="32"/>
          <w:lang w:val="en-US" w:eastAsia="zh-CN"/>
        </w:rPr>
        <w:t>运动场改造</w:t>
      </w:r>
      <w:r>
        <w:rPr>
          <w:rFonts w:hint="default" w:ascii="Times New Roman" w:hAnsi="Times New Roman" w:eastAsia="仿宋" w:cs="Times New Roman"/>
          <w:szCs w:val="32"/>
        </w:rPr>
        <w:t>项目</w:t>
      </w:r>
      <w:r>
        <w:rPr>
          <w:rFonts w:hint="default" w:ascii="Times New Roman" w:hAnsi="Times New Roman" w:eastAsia="仿宋" w:cs="Times New Roman"/>
          <w:szCs w:val="32"/>
          <w:lang w:eastAsia="zh-CN"/>
        </w:rPr>
        <w:t>，送审预算金额8611335.08元(其中暂列金0.00元)，审定预算金额8248986.42元(其中暂列金350898.34元)，</w:t>
      </w:r>
      <w:r>
        <w:rPr>
          <w:rFonts w:hint="default" w:ascii="Times New Roman" w:hAnsi="Times New Roman" w:eastAsia="仿宋" w:cs="Times New Roman"/>
          <w:szCs w:val="32"/>
          <w:lang w:val="en-US" w:eastAsia="zh-CN"/>
        </w:rPr>
        <w:t>项目进行了结算审计</w:t>
      </w:r>
      <w:r>
        <w:rPr>
          <w:rFonts w:hint="default" w:ascii="Times New Roman" w:hAnsi="Times New Roman" w:eastAsia="仿宋" w:cs="Times New Roman"/>
          <w:szCs w:val="32"/>
          <w:lang w:eastAsia="zh-CN"/>
        </w:rPr>
        <w:t>审减金额362348.66元，审减424886.53元，审减率为5.65%。①</w:t>
      </w:r>
      <w:r>
        <w:rPr>
          <w:rFonts w:hint="default" w:ascii="Times New Roman" w:hAnsi="Times New Roman" w:eastAsia="仿宋" w:cs="Times New Roman"/>
          <w:szCs w:val="32"/>
          <w:lang w:val="en-US" w:eastAsia="zh-CN"/>
        </w:rPr>
        <w:t>项目</w:t>
      </w:r>
      <w:r>
        <w:rPr>
          <w:rFonts w:hint="default" w:ascii="Times New Roman" w:hAnsi="Times New Roman" w:eastAsia="仿宋" w:cs="Times New Roman"/>
          <w:szCs w:val="32"/>
          <w:lang w:eastAsia="zh-CN"/>
        </w:rPr>
        <w:t>工程结算金额7508234.24元，</w:t>
      </w:r>
      <w:r>
        <w:rPr>
          <w:rFonts w:hint="default" w:ascii="Times New Roman" w:hAnsi="Times New Roman" w:eastAsia="仿宋" w:cs="Times New Roman"/>
          <w:szCs w:val="32"/>
        </w:rPr>
        <w:t>合同签订金额</w:t>
      </w:r>
      <w:r>
        <w:rPr>
          <w:rFonts w:hint="default" w:ascii="Times New Roman" w:hAnsi="Times New Roman" w:eastAsia="仿宋" w:cs="Times New Roman"/>
          <w:lang w:val="en-US" w:eastAsia="zh-CN"/>
        </w:rPr>
        <w:t>7496567.98</w:t>
      </w:r>
      <w:r>
        <w:rPr>
          <w:rFonts w:hint="default" w:ascii="Times New Roman" w:hAnsi="Times New Roman" w:eastAsia="仿宋" w:cs="Times New Roman"/>
          <w:szCs w:val="32"/>
        </w:rPr>
        <w:t>万元，改造</w:t>
      </w:r>
      <w:r>
        <w:rPr>
          <w:rFonts w:hint="default" w:ascii="Times New Roman" w:hAnsi="Times New Roman" w:eastAsia="仿宋" w:cs="Times New Roman"/>
          <w:szCs w:val="32"/>
          <w:lang w:val="en-US" w:eastAsia="zh-CN"/>
        </w:rPr>
        <w:t>工程资金决算送审报告7508234.24元，审定金额7083347.71元。</w:t>
      </w:r>
      <w:r>
        <w:rPr>
          <w:rFonts w:hint="default" w:ascii="Times New Roman" w:hAnsi="Times New Roman" w:eastAsia="仿宋" w:cs="Times New Roman"/>
          <w:szCs w:val="32"/>
        </w:rPr>
        <w:t>工程成本节约率为1.</w:t>
      </w:r>
      <w:r>
        <w:rPr>
          <w:rFonts w:hint="default" w:ascii="Times New Roman" w:hAnsi="Times New Roman" w:eastAsia="仿宋" w:cs="Times New Roman"/>
          <w:szCs w:val="32"/>
          <w:lang w:val="en-US" w:eastAsia="zh-CN"/>
        </w:rPr>
        <w:t>05</w:t>
      </w:r>
      <w:r>
        <w:rPr>
          <w:rFonts w:hint="default" w:ascii="Times New Roman" w:hAnsi="Times New Roman" w:eastAsia="仿宋" w:cs="Times New Roman"/>
          <w:szCs w:val="32"/>
        </w:rPr>
        <w:t>%；②其他各项费用按照合同金额进行支付，各项单价有效控制在批复概算单价之内。</w:t>
      </w:r>
    </w:p>
    <w:bookmarkEnd w:id="54"/>
    <w:p w14:paraId="1136B4EA">
      <w:pPr>
        <w:pStyle w:val="5"/>
        <w:keepNext w:val="0"/>
        <w:keepLines w:val="0"/>
        <w:spacing w:line="578" w:lineRule="exact"/>
        <w:ind w:firstLine="643"/>
        <w:rPr>
          <w:rFonts w:hint="default" w:ascii="Times New Roman" w:hAnsi="Times New Roman" w:eastAsia="仿宋" w:cs="Times New Roman"/>
        </w:rPr>
      </w:pPr>
      <w:bookmarkStart w:id="55" w:name="_Toc5267"/>
      <w:bookmarkStart w:id="56" w:name="_Toc86224150"/>
      <w:r>
        <w:rPr>
          <w:rFonts w:hint="default" w:ascii="Times New Roman" w:hAnsi="Times New Roman" w:eastAsia="仿宋" w:cs="Times New Roman"/>
        </w:rPr>
        <w:t>（四）效益类指标</w:t>
      </w:r>
      <w:bookmarkEnd w:id="55"/>
      <w:bookmarkEnd w:id="56"/>
    </w:p>
    <w:p w14:paraId="7AC74062">
      <w:pPr>
        <w:ind w:firstLine="640"/>
        <w:rPr>
          <w:rFonts w:hint="default" w:ascii="Times New Roman" w:hAnsi="Times New Roman" w:eastAsia="仿宋" w:cs="Times New Roman"/>
          <w:szCs w:val="32"/>
        </w:rPr>
      </w:pPr>
      <w:r>
        <w:rPr>
          <w:rFonts w:hint="default" w:ascii="Times New Roman" w:hAnsi="Times New Roman" w:eastAsia="仿宋" w:cs="Times New Roman"/>
          <w:szCs w:val="32"/>
        </w:rPr>
        <w:t>主要评价项目实施</w:t>
      </w:r>
      <w:r>
        <w:rPr>
          <w:rFonts w:hint="default" w:ascii="Times New Roman" w:hAnsi="Times New Roman" w:eastAsia="仿宋" w:cs="Times New Roman"/>
          <w:bCs/>
          <w:szCs w:val="32"/>
        </w:rPr>
        <w:t>效益和服务对象满意度情况</w:t>
      </w:r>
      <w:r>
        <w:rPr>
          <w:rFonts w:hint="default" w:ascii="Times New Roman" w:hAnsi="Times New Roman" w:eastAsia="仿宋" w:cs="Times New Roman"/>
          <w:szCs w:val="32"/>
        </w:rPr>
        <w:t>。指标赋值30分，综合得分2</w:t>
      </w:r>
      <w:r>
        <w:rPr>
          <w:rFonts w:hint="default" w:ascii="Times New Roman" w:hAnsi="Times New Roman" w:eastAsia="仿宋" w:cs="Times New Roman"/>
          <w:szCs w:val="32"/>
          <w:lang w:val="en-US" w:eastAsia="zh-CN"/>
        </w:rPr>
        <w:t>8</w:t>
      </w:r>
      <w:r>
        <w:rPr>
          <w:rFonts w:hint="default" w:ascii="Times New Roman" w:hAnsi="Times New Roman" w:eastAsia="仿宋" w:cs="Times New Roman"/>
          <w:szCs w:val="32"/>
        </w:rPr>
        <w:t>.</w:t>
      </w:r>
      <w:r>
        <w:rPr>
          <w:rFonts w:hint="default" w:ascii="Times New Roman" w:hAnsi="Times New Roman" w:eastAsia="仿宋" w:cs="Times New Roman"/>
          <w:szCs w:val="32"/>
          <w:lang w:val="en-US" w:eastAsia="zh-CN"/>
        </w:rPr>
        <w:t>1</w:t>
      </w:r>
      <w:r>
        <w:rPr>
          <w:rFonts w:hint="default" w:ascii="Times New Roman" w:hAnsi="Times New Roman" w:eastAsia="仿宋" w:cs="Times New Roman"/>
          <w:szCs w:val="32"/>
        </w:rPr>
        <w:t>分。</w:t>
      </w:r>
    </w:p>
    <w:p w14:paraId="48FDE577">
      <w:pPr>
        <w:ind w:firstLine="643"/>
        <w:rPr>
          <w:rFonts w:hint="default" w:ascii="Times New Roman" w:hAnsi="Times New Roman" w:eastAsia="仿宋" w:cs="Times New Roman"/>
          <w:szCs w:val="32"/>
        </w:rPr>
      </w:pPr>
      <w:r>
        <w:rPr>
          <w:rFonts w:hint="default" w:ascii="Times New Roman" w:hAnsi="Times New Roman" w:eastAsia="仿宋" w:cs="Times New Roman"/>
          <w:b/>
          <w:bCs/>
          <w:szCs w:val="32"/>
        </w:rPr>
        <w:t>1</w:t>
      </w:r>
      <w:r>
        <w:rPr>
          <w:rFonts w:hint="default" w:ascii="Times New Roman" w:hAnsi="Times New Roman" w:eastAsia="仿宋" w:cs="Times New Roman"/>
          <w:b/>
          <w:szCs w:val="32"/>
        </w:rPr>
        <w:t>.</w:t>
      </w:r>
      <w:r>
        <w:rPr>
          <w:rFonts w:hint="default" w:ascii="Times New Roman" w:hAnsi="Times New Roman" w:eastAsia="仿宋" w:cs="Times New Roman"/>
          <w:b/>
          <w:bCs/>
          <w:szCs w:val="32"/>
        </w:rPr>
        <w:t>实施效益：</w:t>
      </w:r>
      <w:r>
        <w:rPr>
          <w:rFonts w:hint="default" w:ascii="Times New Roman" w:hAnsi="Times New Roman" w:eastAsia="仿宋" w:cs="Times New Roman"/>
          <w:szCs w:val="32"/>
        </w:rPr>
        <w:t>主要评价项目实施所产生的社会效益情况。</w:t>
      </w:r>
      <w:r>
        <w:rPr>
          <w:rFonts w:hint="default" w:ascii="Times New Roman" w:hAnsi="Times New Roman" w:eastAsia="仿宋" w:cs="Times New Roman"/>
          <w:bCs/>
          <w:szCs w:val="32"/>
        </w:rPr>
        <w:t>指标赋值</w:t>
      </w:r>
      <w:r>
        <w:rPr>
          <w:rFonts w:hint="default" w:ascii="Times New Roman" w:hAnsi="Times New Roman" w:eastAsia="仿宋" w:cs="Times New Roman"/>
          <w:bCs/>
          <w:szCs w:val="32"/>
          <w:lang w:val="en-US" w:eastAsia="zh-CN"/>
        </w:rPr>
        <w:t>10</w:t>
      </w:r>
      <w:r>
        <w:rPr>
          <w:rFonts w:hint="default" w:ascii="Times New Roman" w:hAnsi="Times New Roman" w:eastAsia="仿宋" w:cs="Times New Roman"/>
          <w:bCs/>
          <w:szCs w:val="32"/>
        </w:rPr>
        <w:t>分，评价得分</w:t>
      </w:r>
      <w:r>
        <w:rPr>
          <w:rFonts w:hint="default" w:ascii="Times New Roman" w:hAnsi="Times New Roman" w:eastAsia="仿宋" w:cs="Times New Roman"/>
          <w:bCs/>
          <w:szCs w:val="32"/>
          <w:lang w:val="en-US" w:eastAsia="zh-CN"/>
        </w:rPr>
        <w:t>10</w:t>
      </w:r>
      <w:r>
        <w:rPr>
          <w:rFonts w:hint="default" w:ascii="Times New Roman" w:hAnsi="Times New Roman" w:eastAsia="仿宋" w:cs="Times New Roman"/>
          <w:bCs/>
          <w:szCs w:val="32"/>
        </w:rPr>
        <w:t>分。</w:t>
      </w:r>
    </w:p>
    <w:p w14:paraId="4F58D56E">
      <w:pPr>
        <w:pStyle w:val="2"/>
        <w:spacing w:line="560" w:lineRule="exact"/>
        <w:ind w:firstLine="640"/>
        <w:rPr>
          <w:rFonts w:hint="default" w:ascii="Times New Roman" w:hAnsi="Times New Roman" w:eastAsia="仿宋" w:cs="Times New Roman"/>
          <w:bCs/>
          <w:szCs w:val="32"/>
        </w:rPr>
      </w:pP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bCs/>
          <w:szCs w:val="32"/>
        </w:rPr>
        <w:t>实施后，取得了良好的社会效益：</w:t>
      </w:r>
    </w:p>
    <w:p w14:paraId="1E00B694">
      <w:pPr>
        <w:pStyle w:val="2"/>
        <w:spacing w:line="560" w:lineRule="exact"/>
        <w:ind w:firstLine="643"/>
        <w:rPr>
          <w:rFonts w:hint="default" w:ascii="Times New Roman" w:hAnsi="Times New Roman" w:eastAsia="仿宋" w:cs="Times New Roman"/>
          <w:bCs/>
          <w:szCs w:val="32"/>
        </w:rPr>
      </w:pPr>
      <w:r>
        <w:rPr>
          <w:rFonts w:hint="default" w:ascii="Times New Roman" w:hAnsi="Times New Roman" w:eastAsia="仿宋" w:cs="Times New Roman"/>
          <w:b/>
          <w:szCs w:val="32"/>
          <w:highlight w:val="none"/>
        </w:rPr>
        <w:t>全面提升学生活动环境。</w:t>
      </w:r>
      <w:r>
        <w:rPr>
          <w:rFonts w:hint="default" w:ascii="Times New Roman" w:hAnsi="Times New Roman" w:eastAsia="仿宋" w:cs="Times New Roman"/>
          <w:bCs/>
          <w:szCs w:val="32"/>
        </w:rPr>
        <w:t>项目实施完成后，</w:t>
      </w:r>
      <w:r>
        <w:rPr>
          <w:rFonts w:hint="default" w:ascii="Times New Roman" w:hAnsi="Times New Roman" w:eastAsia="仿宋" w:cs="Times New Roman"/>
          <w:bCs/>
          <w:szCs w:val="32"/>
          <w:lang w:eastAsia="zh-CN"/>
        </w:rPr>
        <w:t>罗江中学校</w:t>
      </w:r>
      <w:r>
        <w:rPr>
          <w:rFonts w:hint="default" w:ascii="Times New Roman" w:hAnsi="Times New Roman" w:eastAsia="仿宋" w:cs="Times New Roman"/>
          <w:bCs/>
          <w:szCs w:val="32"/>
        </w:rPr>
        <w:t>运动场地存在的破损状况全面改善，校园标准化运动场地建设水平得到提高</w:t>
      </w:r>
      <w:r>
        <w:rPr>
          <w:rFonts w:hint="default" w:ascii="Times New Roman" w:hAnsi="Times New Roman" w:eastAsia="仿宋" w:cs="Times New Roman"/>
          <w:bCs/>
          <w:szCs w:val="32"/>
          <w:lang w:eastAsia="zh-CN"/>
        </w:rPr>
        <w:t>，</w:t>
      </w:r>
      <w:r>
        <w:rPr>
          <w:rFonts w:hint="default" w:ascii="Times New Roman" w:hAnsi="Times New Roman" w:eastAsia="仿宋" w:cs="Times New Roman"/>
          <w:bCs/>
          <w:szCs w:val="32"/>
        </w:rPr>
        <w:t>在校师生体育教育开展与日常锻炼需求得到保障和满足，对增强学生体能素质，提高运动技能水平，促进体教融合、提升教育保障和发展能力都将发挥积极作用。</w:t>
      </w:r>
    </w:p>
    <w:p w14:paraId="1C690889">
      <w:pPr>
        <w:ind w:firstLine="643"/>
        <w:rPr>
          <w:rFonts w:hint="default" w:ascii="Times New Roman" w:hAnsi="Times New Roman" w:eastAsia="仿宋" w:cs="Times New Roman"/>
          <w:szCs w:val="32"/>
        </w:rPr>
      </w:pPr>
      <w:r>
        <w:rPr>
          <w:rFonts w:hint="default" w:ascii="Times New Roman" w:hAnsi="Times New Roman" w:eastAsia="仿宋" w:cs="Times New Roman"/>
          <w:b/>
          <w:bCs/>
          <w:kern w:val="0"/>
          <w:szCs w:val="32"/>
        </w:rPr>
        <w:t>2.可持续性影响：</w:t>
      </w:r>
      <w:r>
        <w:rPr>
          <w:rFonts w:hint="default" w:ascii="Times New Roman" w:hAnsi="Times New Roman" w:eastAsia="仿宋" w:cs="Times New Roman"/>
          <w:kern w:val="0"/>
          <w:szCs w:val="32"/>
        </w:rPr>
        <w:t>主要评价师生健康与运动参与度影响指标。指标赋值10分，评价得分</w:t>
      </w:r>
      <w:r>
        <w:rPr>
          <w:rFonts w:hint="default" w:ascii="Times New Roman" w:hAnsi="Times New Roman" w:eastAsia="仿宋" w:cs="Times New Roman"/>
          <w:kern w:val="0"/>
          <w:szCs w:val="32"/>
          <w:lang w:val="en-US" w:eastAsia="zh-CN"/>
        </w:rPr>
        <w:t>10</w:t>
      </w:r>
      <w:r>
        <w:rPr>
          <w:rFonts w:hint="default" w:ascii="Times New Roman" w:hAnsi="Times New Roman" w:eastAsia="仿宋" w:cs="Times New Roman"/>
          <w:kern w:val="0"/>
          <w:szCs w:val="32"/>
        </w:rPr>
        <w:t>分。</w:t>
      </w:r>
    </w:p>
    <w:p w14:paraId="04792F2A">
      <w:pPr>
        <w:keepNext w:val="0"/>
        <w:keepLines w:val="0"/>
        <w:pageBreakBefore w:val="0"/>
        <w:widowControl w:val="0"/>
        <w:kinsoku/>
        <w:wordWrap/>
        <w:overflowPunct w:val="0"/>
        <w:topLinePunct w:val="0"/>
        <w:autoSpaceDE/>
        <w:autoSpaceDN/>
        <w:bidi w:val="0"/>
        <w:adjustRightInd w:val="0"/>
        <w:snapToGrid w:val="0"/>
        <w:ind w:firstLine="640"/>
        <w:textAlignment w:val="auto"/>
        <w:rPr>
          <w:rFonts w:hint="default" w:ascii="Times New Roman" w:hAnsi="Times New Roman" w:eastAsia="仿宋" w:cs="Times New Roman"/>
          <w:lang w:val="en-US" w:eastAsia="zh-CN"/>
        </w:rPr>
      </w:pPr>
      <w:r>
        <w:rPr>
          <w:rFonts w:hint="default" w:ascii="Times New Roman" w:hAnsi="Times New Roman" w:eastAsia="仿宋" w:cs="Times New Roman"/>
          <w:bCs/>
          <w:szCs w:val="32"/>
        </w:rPr>
        <w:t>通过运动场改造后提升了学生的运动积极性，</w:t>
      </w:r>
      <w:r>
        <w:rPr>
          <w:rFonts w:hint="default" w:ascii="Times New Roman" w:hAnsi="Times New Roman" w:eastAsia="仿宋" w:cs="Times New Roman"/>
          <w:bCs/>
          <w:szCs w:val="32"/>
          <w:lang w:val="en-US" w:eastAsia="zh-CN"/>
        </w:rPr>
        <w:t>硬件设施改造</w:t>
      </w:r>
      <w:r>
        <w:rPr>
          <w:rFonts w:hint="default" w:ascii="Times New Roman" w:hAnsi="Times New Roman" w:eastAsia="仿宋" w:cs="Times New Roman"/>
          <w:bCs/>
          <w:szCs w:val="32"/>
        </w:rPr>
        <w:t>升级不仅提升了运动体验，还增加了运动项目的多样性，吸引了更多师生参与到体育锻炼中来，激发了师生们运动的兴趣和动力，有效地提升了师生的运动次数，促进了校园体育文化的繁荣发展</w:t>
      </w:r>
      <w:r>
        <w:rPr>
          <w:rFonts w:hint="default" w:ascii="Times New Roman" w:hAnsi="Times New Roman" w:eastAsia="仿宋" w:cs="Times New Roman"/>
          <w:bCs/>
          <w:szCs w:val="32"/>
          <w:lang w:eastAsia="zh-CN"/>
        </w:rPr>
        <w:t>，</w:t>
      </w:r>
      <w:r>
        <w:rPr>
          <w:rFonts w:hint="default" w:ascii="Times New Roman" w:hAnsi="Times New Roman" w:eastAsia="仿宋" w:cs="Times New Roman"/>
          <w:bCs/>
          <w:szCs w:val="32"/>
          <w:lang w:val="en-US" w:eastAsia="zh-CN"/>
        </w:rPr>
        <w:t>持续增强其影响力。</w:t>
      </w:r>
    </w:p>
    <w:p w14:paraId="381304FF">
      <w:pPr>
        <w:ind w:firstLine="643"/>
        <w:rPr>
          <w:rFonts w:hint="default" w:ascii="Times New Roman" w:hAnsi="Times New Roman" w:eastAsia="仿宋" w:cs="Times New Roman"/>
          <w:szCs w:val="32"/>
        </w:rPr>
      </w:pPr>
      <w:r>
        <w:rPr>
          <w:rFonts w:hint="default" w:ascii="Times New Roman" w:hAnsi="Times New Roman" w:eastAsia="仿宋" w:cs="Times New Roman"/>
          <w:b/>
          <w:szCs w:val="32"/>
        </w:rPr>
        <w:t>3.满意度：</w:t>
      </w:r>
      <w:r>
        <w:rPr>
          <w:rFonts w:hint="default" w:ascii="Times New Roman" w:hAnsi="Times New Roman" w:eastAsia="仿宋" w:cs="Times New Roman"/>
          <w:szCs w:val="32"/>
        </w:rPr>
        <w:t>主要评价学校师生满意度情况。指标赋值10分，评价得分8.1分。</w:t>
      </w:r>
    </w:p>
    <w:p w14:paraId="604E15C6">
      <w:pPr>
        <w:pStyle w:val="2"/>
        <w:spacing w:line="560" w:lineRule="exact"/>
        <w:ind w:firstLine="0" w:firstLineChars="0"/>
        <w:jc w:val="both"/>
        <w:rPr>
          <w:rFonts w:hint="default" w:ascii="Times New Roman" w:hAnsi="Times New Roman" w:eastAsia="仿宋" w:cs="Times New Roman"/>
          <w:kern w:val="0"/>
          <w:szCs w:val="32"/>
        </w:rPr>
      </w:pPr>
      <w:r>
        <w:rPr>
          <w:rFonts w:hint="default" w:ascii="Times New Roman" w:hAnsi="Times New Roman" w:eastAsia="仿宋" w:cs="Times New Roman"/>
          <w:szCs w:val="32"/>
        </w:rPr>
        <w:t>绩效评价组</w:t>
      </w:r>
      <w:r>
        <w:rPr>
          <w:rFonts w:hint="default" w:ascii="Times New Roman" w:hAnsi="Times New Roman" w:eastAsia="仿宋" w:cs="Times New Roman"/>
          <w:bCs/>
          <w:szCs w:val="32"/>
        </w:rPr>
        <w:t>采用</w:t>
      </w:r>
      <w:r>
        <w:rPr>
          <w:rFonts w:hint="default" w:ascii="Times New Roman" w:hAnsi="Times New Roman" w:eastAsia="仿宋" w:cs="Times New Roman"/>
          <w:bCs/>
          <w:szCs w:val="32"/>
          <w:lang w:val="en-US" w:eastAsia="zh-CN"/>
        </w:rPr>
        <w:t>线下“纸质问卷调查”</w:t>
      </w:r>
      <w:r>
        <w:rPr>
          <w:rFonts w:hint="default" w:ascii="Times New Roman" w:hAnsi="Times New Roman" w:eastAsia="仿宋" w:cs="Times New Roman"/>
          <w:bCs/>
          <w:szCs w:val="32"/>
        </w:rPr>
        <w:t>形式</w:t>
      </w:r>
      <w:r>
        <w:rPr>
          <w:rFonts w:hint="default" w:ascii="Times New Roman" w:hAnsi="Times New Roman" w:eastAsia="仿宋" w:cs="Times New Roman"/>
          <w:szCs w:val="32"/>
        </w:rPr>
        <w:t>对</w:t>
      </w:r>
      <w:r>
        <w:rPr>
          <w:rFonts w:hint="default" w:ascii="Times New Roman" w:hAnsi="Times New Roman" w:eastAsia="仿宋" w:cs="Times New Roman"/>
          <w:szCs w:val="32"/>
          <w:lang w:eastAsia="zh-CN"/>
        </w:rPr>
        <w:t>罗江中学运动场改造项目</w:t>
      </w:r>
      <w:r>
        <w:rPr>
          <w:rFonts w:hint="default" w:ascii="Times New Roman" w:hAnsi="Times New Roman" w:eastAsia="仿宋" w:cs="Times New Roman"/>
          <w:szCs w:val="32"/>
        </w:rPr>
        <w:t>实施情况</w:t>
      </w:r>
      <w:r>
        <w:rPr>
          <w:rFonts w:hint="default" w:ascii="Times New Roman" w:hAnsi="Times New Roman" w:eastAsia="仿宋" w:cs="Times New Roman"/>
          <w:bCs/>
          <w:szCs w:val="32"/>
        </w:rPr>
        <w:t>进行问卷调查，共回收有效问卷</w:t>
      </w:r>
      <w:r>
        <w:rPr>
          <w:rFonts w:hint="default" w:ascii="Times New Roman" w:hAnsi="Times New Roman" w:eastAsia="仿宋" w:cs="Times New Roman"/>
          <w:bCs/>
          <w:szCs w:val="32"/>
          <w:lang w:val="en-US" w:eastAsia="zh-CN"/>
        </w:rPr>
        <w:t>42</w:t>
      </w:r>
      <w:r>
        <w:rPr>
          <w:rFonts w:hint="default" w:ascii="Times New Roman" w:hAnsi="Times New Roman" w:eastAsia="仿宋" w:cs="Times New Roman"/>
          <w:bCs/>
          <w:szCs w:val="32"/>
        </w:rPr>
        <w:t>份，统计</w:t>
      </w:r>
      <w:r>
        <w:rPr>
          <w:rFonts w:hint="default" w:ascii="Times New Roman" w:hAnsi="Times New Roman" w:eastAsia="仿宋" w:cs="Times New Roman"/>
          <w:szCs w:val="32"/>
        </w:rPr>
        <w:t>结果如下：①</w:t>
      </w:r>
      <w:r>
        <w:rPr>
          <w:rFonts w:hint="default" w:ascii="Times New Roman" w:hAnsi="Times New Roman" w:eastAsia="仿宋" w:cs="Times New Roman"/>
          <w:szCs w:val="32"/>
          <w:lang w:val="en-US" w:eastAsia="zh-CN"/>
        </w:rPr>
        <w:t>80.95</w:t>
      </w:r>
      <w:r>
        <w:rPr>
          <w:rFonts w:hint="default" w:ascii="Times New Roman" w:hAnsi="Times New Roman" w:eastAsia="仿宋" w:cs="Times New Roman"/>
          <w:szCs w:val="32"/>
        </w:rPr>
        <w:t>%的</w:t>
      </w:r>
      <w:r>
        <w:rPr>
          <w:rFonts w:hint="default" w:ascii="Times New Roman" w:hAnsi="Times New Roman" w:eastAsia="仿宋" w:cs="Times New Roman"/>
          <w:szCs w:val="32"/>
          <w:lang w:val="en-US" w:eastAsia="zh-CN"/>
        </w:rPr>
        <w:t>学生</w:t>
      </w:r>
      <w:r>
        <w:rPr>
          <w:rFonts w:hint="default" w:ascii="Times New Roman" w:hAnsi="Times New Roman" w:eastAsia="仿宋" w:cs="Times New Roman"/>
          <w:szCs w:val="32"/>
        </w:rPr>
        <w:t>认为</w:t>
      </w:r>
      <w:r>
        <w:rPr>
          <w:rFonts w:hint="default" w:ascii="Times New Roman" w:hAnsi="Times New Roman" w:eastAsia="仿宋" w:cs="Times New Roman"/>
          <w:szCs w:val="32"/>
          <w:lang w:val="en-US" w:eastAsia="zh-CN"/>
        </w:rPr>
        <w:t>运动场改造后运动设施质量较好无损坏</w:t>
      </w:r>
      <w:r>
        <w:rPr>
          <w:rFonts w:hint="default" w:ascii="Times New Roman" w:hAnsi="Times New Roman" w:eastAsia="仿宋" w:cs="Times New Roman"/>
          <w:szCs w:val="32"/>
        </w:rPr>
        <w:t>；②</w:t>
      </w:r>
      <w:r>
        <w:rPr>
          <w:rFonts w:hint="default" w:ascii="Times New Roman" w:hAnsi="Times New Roman" w:eastAsia="仿宋" w:cs="Times New Roman"/>
          <w:szCs w:val="32"/>
          <w:lang w:val="en-US" w:eastAsia="zh-CN"/>
        </w:rPr>
        <w:t>85.71</w:t>
      </w:r>
      <w:r>
        <w:rPr>
          <w:rFonts w:hint="default" w:ascii="Times New Roman" w:hAnsi="Times New Roman" w:eastAsia="仿宋" w:cs="Times New Roman"/>
          <w:szCs w:val="32"/>
        </w:rPr>
        <w:t>%的</w:t>
      </w:r>
      <w:r>
        <w:rPr>
          <w:rFonts w:hint="default" w:ascii="Times New Roman" w:hAnsi="Times New Roman" w:eastAsia="仿宋" w:cs="Times New Roman"/>
          <w:szCs w:val="32"/>
          <w:lang w:val="en-US" w:eastAsia="zh-CN"/>
        </w:rPr>
        <w:t>学生</w:t>
      </w:r>
      <w:r>
        <w:rPr>
          <w:rFonts w:hint="default" w:ascii="Times New Roman" w:hAnsi="Times New Roman" w:eastAsia="仿宋" w:cs="Times New Roman"/>
          <w:szCs w:val="32"/>
        </w:rPr>
        <w:t>认为</w:t>
      </w:r>
      <w:r>
        <w:rPr>
          <w:rFonts w:hint="default" w:ascii="Times New Roman" w:hAnsi="Times New Roman" w:eastAsia="仿宋" w:cs="Times New Roman"/>
          <w:szCs w:val="32"/>
          <w:lang w:val="en-US" w:eastAsia="zh-CN"/>
        </w:rPr>
        <w:t>运动场改造后的环境较舒适</w:t>
      </w:r>
      <w:r>
        <w:rPr>
          <w:rFonts w:hint="default" w:ascii="Times New Roman" w:hAnsi="Times New Roman" w:eastAsia="仿宋" w:cs="Times New Roman"/>
          <w:szCs w:val="32"/>
        </w:rPr>
        <w:t>；③</w:t>
      </w:r>
      <w:r>
        <w:rPr>
          <w:rFonts w:hint="default" w:ascii="Times New Roman" w:hAnsi="Times New Roman" w:eastAsia="仿宋" w:cs="Times New Roman"/>
          <w:szCs w:val="32"/>
          <w:lang w:val="en-US" w:eastAsia="zh-CN"/>
        </w:rPr>
        <w:t>30.95</w:t>
      </w:r>
      <w:r>
        <w:rPr>
          <w:rFonts w:hint="default" w:ascii="Times New Roman" w:hAnsi="Times New Roman" w:eastAsia="仿宋" w:cs="Times New Roman"/>
          <w:szCs w:val="32"/>
        </w:rPr>
        <w:t>%的</w:t>
      </w:r>
      <w:r>
        <w:rPr>
          <w:rFonts w:hint="default" w:ascii="Times New Roman" w:hAnsi="Times New Roman" w:eastAsia="仿宋" w:cs="Times New Roman"/>
          <w:szCs w:val="32"/>
          <w:lang w:val="en-US" w:eastAsia="zh-CN"/>
        </w:rPr>
        <w:t>学生认为运动场改造后会出现安全问题。单位工作人员对项目总体满意度为81.9%，根据绩效评价体系满意度评分标准扣减2.9分。</w:t>
      </w:r>
      <w:r>
        <w:rPr>
          <w:rFonts w:hint="default" w:ascii="Times New Roman" w:hAnsi="Times New Roman" w:eastAsia="仿宋" w:cs="Times New Roman"/>
          <w:kern w:val="0"/>
          <w:szCs w:val="32"/>
        </w:rPr>
        <w:t>详情见下表。</w:t>
      </w:r>
    </w:p>
    <w:p w14:paraId="5504F33F">
      <w:pPr>
        <w:pStyle w:val="2"/>
        <w:spacing w:line="560" w:lineRule="exact"/>
        <w:ind w:firstLine="0" w:firstLineChars="0"/>
        <w:jc w:val="center"/>
        <w:rPr>
          <w:rFonts w:hint="default" w:ascii="Times New Roman" w:hAnsi="Times New Roman" w:eastAsia="仿宋" w:cs="Times New Roman"/>
          <w:b/>
          <w:bCs/>
          <w:sz w:val="30"/>
          <w:szCs w:val="30"/>
        </w:rPr>
      </w:pPr>
      <w:r>
        <w:rPr>
          <w:rFonts w:hint="default" w:ascii="Times New Roman" w:hAnsi="Times New Roman" w:eastAsia="仿宋" w:cs="Times New Roman"/>
          <w:b/>
          <w:bCs/>
          <w:sz w:val="30"/>
          <w:szCs w:val="30"/>
          <w:lang w:val="en-US" w:eastAsia="zh-CN"/>
        </w:rPr>
        <w:t>表4-3</w:t>
      </w:r>
      <w:r>
        <w:rPr>
          <w:rFonts w:hint="default" w:ascii="Times New Roman" w:hAnsi="Times New Roman" w:eastAsia="仿宋" w:cs="Times New Roman"/>
          <w:b/>
          <w:bCs/>
          <w:sz w:val="30"/>
          <w:szCs w:val="30"/>
        </w:rPr>
        <w:t>项目问卷调查结果统计分析表</w:t>
      </w:r>
    </w:p>
    <w:tbl>
      <w:tblPr>
        <w:tblStyle w:val="26"/>
        <w:tblW w:w="8603" w:type="dxa"/>
        <w:tblInd w:w="96" w:type="dxa"/>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shd w:val="clear" w:color="auto" w:fill="auto"/>
        <w:tblLayout w:type="fixed"/>
        <w:tblCellMar>
          <w:top w:w="0" w:type="dxa"/>
          <w:left w:w="108" w:type="dxa"/>
          <w:bottom w:w="0" w:type="dxa"/>
          <w:right w:w="108" w:type="dxa"/>
        </w:tblCellMar>
      </w:tblPr>
      <w:tblGrid>
        <w:gridCol w:w="2735"/>
        <w:gridCol w:w="1788"/>
        <w:gridCol w:w="1932"/>
        <w:gridCol w:w="2148"/>
      </w:tblGrid>
      <w:tr w14:paraId="3040BC9A">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shd w:val="clear" w:color="auto" w:fill="auto"/>
          <w:tblCellMar>
            <w:top w:w="0" w:type="dxa"/>
            <w:left w:w="108" w:type="dxa"/>
            <w:bottom w:w="0" w:type="dxa"/>
            <w:right w:w="108" w:type="dxa"/>
          </w:tblCellMar>
        </w:tblPrEx>
        <w:trPr>
          <w:trHeight w:val="312" w:hRule="atLeast"/>
        </w:trPr>
        <w:tc>
          <w:tcPr>
            <w:tcW w:w="2735" w:type="dxa"/>
            <w:tcBorders>
              <w:tl2br w:val="nil"/>
              <w:tr2bl w:val="nil"/>
            </w:tcBorders>
            <w:shd w:val="clear" w:color="auto" w:fill="auto"/>
            <w:vAlign w:val="center"/>
          </w:tcPr>
          <w:p w14:paraId="4661F760">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调查内容</w:t>
            </w:r>
          </w:p>
        </w:tc>
        <w:tc>
          <w:tcPr>
            <w:tcW w:w="1788" w:type="dxa"/>
            <w:tcBorders>
              <w:tl2br w:val="nil"/>
              <w:tr2bl w:val="nil"/>
            </w:tcBorders>
            <w:shd w:val="clear" w:color="auto" w:fill="auto"/>
            <w:vAlign w:val="center"/>
          </w:tcPr>
          <w:p w14:paraId="45F69B8D">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选项</w:t>
            </w:r>
          </w:p>
        </w:tc>
        <w:tc>
          <w:tcPr>
            <w:tcW w:w="1932" w:type="dxa"/>
            <w:tcBorders>
              <w:tl2br w:val="nil"/>
              <w:tr2bl w:val="nil"/>
            </w:tcBorders>
            <w:shd w:val="clear" w:color="auto" w:fill="auto"/>
            <w:noWrap/>
            <w:vAlign w:val="center"/>
          </w:tcPr>
          <w:p w14:paraId="00F16519">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数量</w:t>
            </w:r>
          </w:p>
        </w:tc>
        <w:tc>
          <w:tcPr>
            <w:tcW w:w="2148" w:type="dxa"/>
            <w:tcBorders>
              <w:tl2br w:val="nil"/>
              <w:tr2bl w:val="nil"/>
            </w:tcBorders>
            <w:shd w:val="clear" w:color="auto" w:fill="auto"/>
            <w:noWrap/>
            <w:vAlign w:val="center"/>
          </w:tcPr>
          <w:p w14:paraId="6AB22FB4">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占比</w:t>
            </w:r>
          </w:p>
        </w:tc>
      </w:tr>
      <w:tr w14:paraId="36380C95">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90" w:hRule="atLeast"/>
        </w:trPr>
        <w:tc>
          <w:tcPr>
            <w:tcW w:w="2735" w:type="dxa"/>
            <w:vMerge w:val="restart"/>
            <w:tcBorders>
              <w:tl2br w:val="nil"/>
              <w:tr2bl w:val="nil"/>
            </w:tcBorders>
            <w:shd w:val="clear" w:color="auto" w:fill="auto"/>
            <w:vAlign w:val="center"/>
          </w:tcPr>
          <w:p w14:paraId="461DA3E0">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1.您是学生还是老师或是其他工作人员</w:t>
            </w:r>
          </w:p>
        </w:tc>
        <w:tc>
          <w:tcPr>
            <w:tcW w:w="1788" w:type="dxa"/>
            <w:tcBorders>
              <w:tl2br w:val="nil"/>
              <w:tr2bl w:val="nil"/>
            </w:tcBorders>
            <w:shd w:val="clear" w:color="auto" w:fill="auto"/>
            <w:noWrap/>
            <w:vAlign w:val="center"/>
          </w:tcPr>
          <w:p w14:paraId="6B806FB4">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A：学生</w:t>
            </w:r>
          </w:p>
        </w:tc>
        <w:tc>
          <w:tcPr>
            <w:tcW w:w="1932" w:type="dxa"/>
            <w:tcBorders>
              <w:tl2br w:val="nil"/>
              <w:tr2bl w:val="nil"/>
            </w:tcBorders>
            <w:shd w:val="clear" w:color="auto" w:fill="auto"/>
            <w:noWrap/>
            <w:vAlign w:val="center"/>
          </w:tcPr>
          <w:p w14:paraId="35F3BE45">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42</w:t>
            </w:r>
          </w:p>
        </w:tc>
        <w:tc>
          <w:tcPr>
            <w:tcW w:w="2148" w:type="dxa"/>
            <w:tcBorders>
              <w:tl2br w:val="nil"/>
              <w:tr2bl w:val="nil"/>
            </w:tcBorders>
            <w:shd w:val="clear" w:color="auto" w:fill="auto"/>
            <w:noWrap/>
            <w:vAlign w:val="center"/>
          </w:tcPr>
          <w:p w14:paraId="2657DE2E">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100.00%</w:t>
            </w:r>
          </w:p>
        </w:tc>
      </w:tr>
      <w:tr w14:paraId="6E9CD2C7">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2735" w:type="dxa"/>
            <w:vMerge w:val="continue"/>
            <w:tcBorders>
              <w:tl2br w:val="nil"/>
              <w:tr2bl w:val="nil"/>
            </w:tcBorders>
            <w:shd w:val="clear" w:color="auto" w:fill="auto"/>
            <w:vAlign w:val="center"/>
          </w:tcPr>
          <w:p w14:paraId="5013669A">
            <w:pPr>
              <w:adjustRightInd/>
              <w:snapToGrid/>
              <w:spacing w:line="240" w:lineRule="auto"/>
              <w:ind w:firstLine="0" w:firstLineChars="0"/>
              <w:jc w:val="left"/>
              <w:rPr>
                <w:rFonts w:hint="default" w:ascii="Times New Roman" w:hAnsi="Times New Roman" w:eastAsia="仿宋" w:cs="Times New Roman"/>
                <w:kern w:val="0"/>
                <w:sz w:val="24"/>
              </w:rPr>
            </w:pPr>
          </w:p>
        </w:tc>
        <w:tc>
          <w:tcPr>
            <w:tcW w:w="1788" w:type="dxa"/>
            <w:tcBorders>
              <w:tl2br w:val="nil"/>
              <w:tr2bl w:val="nil"/>
            </w:tcBorders>
            <w:shd w:val="clear" w:color="auto" w:fill="auto"/>
            <w:noWrap/>
            <w:vAlign w:val="center"/>
          </w:tcPr>
          <w:p w14:paraId="7AC3C750">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B：教职工</w:t>
            </w:r>
          </w:p>
        </w:tc>
        <w:tc>
          <w:tcPr>
            <w:tcW w:w="1932" w:type="dxa"/>
            <w:tcBorders>
              <w:tl2br w:val="nil"/>
              <w:tr2bl w:val="nil"/>
            </w:tcBorders>
            <w:shd w:val="clear" w:color="auto" w:fill="auto"/>
            <w:noWrap/>
            <w:vAlign w:val="center"/>
          </w:tcPr>
          <w:p w14:paraId="79D8AE26">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0</w:t>
            </w:r>
          </w:p>
        </w:tc>
        <w:tc>
          <w:tcPr>
            <w:tcW w:w="2148" w:type="dxa"/>
            <w:tcBorders>
              <w:tl2br w:val="nil"/>
              <w:tr2bl w:val="nil"/>
            </w:tcBorders>
            <w:shd w:val="clear" w:color="auto" w:fill="auto"/>
            <w:noWrap/>
            <w:vAlign w:val="center"/>
          </w:tcPr>
          <w:p w14:paraId="1FACE748">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0.00%</w:t>
            </w:r>
          </w:p>
        </w:tc>
      </w:tr>
      <w:tr w14:paraId="74D29C3A">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30" w:hRule="atLeast"/>
        </w:trPr>
        <w:tc>
          <w:tcPr>
            <w:tcW w:w="2735" w:type="dxa"/>
            <w:vMerge w:val="continue"/>
            <w:tcBorders>
              <w:tl2br w:val="nil"/>
              <w:tr2bl w:val="nil"/>
            </w:tcBorders>
            <w:shd w:val="clear" w:color="auto" w:fill="auto"/>
            <w:vAlign w:val="center"/>
          </w:tcPr>
          <w:p w14:paraId="01B352C7">
            <w:pPr>
              <w:adjustRightInd/>
              <w:snapToGrid/>
              <w:spacing w:line="240" w:lineRule="auto"/>
              <w:ind w:firstLine="0" w:firstLineChars="0"/>
              <w:jc w:val="left"/>
              <w:rPr>
                <w:rFonts w:hint="default" w:ascii="Times New Roman" w:hAnsi="Times New Roman" w:eastAsia="仿宋" w:cs="Times New Roman"/>
                <w:kern w:val="0"/>
                <w:sz w:val="24"/>
              </w:rPr>
            </w:pPr>
          </w:p>
        </w:tc>
        <w:tc>
          <w:tcPr>
            <w:tcW w:w="1788" w:type="dxa"/>
            <w:tcBorders>
              <w:tl2br w:val="nil"/>
              <w:tr2bl w:val="nil"/>
            </w:tcBorders>
            <w:shd w:val="clear" w:color="auto" w:fill="auto"/>
            <w:noWrap/>
            <w:vAlign w:val="center"/>
          </w:tcPr>
          <w:p w14:paraId="18043451">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C：其他</w:t>
            </w:r>
          </w:p>
        </w:tc>
        <w:tc>
          <w:tcPr>
            <w:tcW w:w="1932" w:type="dxa"/>
            <w:tcBorders>
              <w:tl2br w:val="nil"/>
              <w:tr2bl w:val="nil"/>
            </w:tcBorders>
            <w:shd w:val="clear" w:color="auto" w:fill="auto"/>
            <w:noWrap/>
            <w:vAlign w:val="center"/>
          </w:tcPr>
          <w:p w14:paraId="0171EFD0">
            <w:pPr>
              <w:adjustRightInd/>
              <w:snapToGrid/>
              <w:spacing w:line="240" w:lineRule="auto"/>
              <w:ind w:firstLine="0" w:firstLineChars="0"/>
              <w:jc w:val="center"/>
              <w:rPr>
                <w:rFonts w:hint="default" w:ascii="Times New Roman" w:hAnsi="Times New Roman" w:eastAsia="仿宋" w:cs="Times New Roman"/>
                <w:kern w:val="0"/>
                <w:sz w:val="24"/>
                <w:lang w:val="en-US" w:eastAsia="zh-CN"/>
              </w:rPr>
            </w:pPr>
            <w:r>
              <w:rPr>
                <w:rFonts w:hint="default" w:ascii="Times New Roman" w:hAnsi="Times New Roman" w:eastAsia="仿宋" w:cs="Times New Roman"/>
                <w:kern w:val="0"/>
                <w:sz w:val="24"/>
                <w:lang w:val="en-US" w:eastAsia="zh-CN"/>
              </w:rPr>
              <w:t>0</w:t>
            </w:r>
          </w:p>
        </w:tc>
        <w:tc>
          <w:tcPr>
            <w:tcW w:w="2148" w:type="dxa"/>
            <w:tcBorders>
              <w:tl2br w:val="nil"/>
              <w:tr2bl w:val="nil"/>
            </w:tcBorders>
            <w:shd w:val="clear" w:color="auto" w:fill="auto"/>
            <w:noWrap/>
            <w:vAlign w:val="center"/>
          </w:tcPr>
          <w:p w14:paraId="730A57E8">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0.00%</w:t>
            </w:r>
          </w:p>
        </w:tc>
      </w:tr>
      <w:tr w14:paraId="27B8F91D">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78" w:hRule="atLeast"/>
        </w:trPr>
        <w:tc>
          <w:tcPr>
            <w:tcW w:w="2735" w:type="dxa"/>
            <w:vMerge w:val="restart"/>
            <w:tcBorders>
              <w:tl2br w:val="nil"/>
              <w:tr2bl w:val="nil"/>
            </w:tcBorders>
            <w:shd w:val="clear" w:color="auto" w:fill="auto"/>
            <w:vAlign w:val="center"/>
          </w:tcPr>
          <w:p w14:paraId="067D3A41">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2.改造后的运动设施等是否有损坏?</w:t>
            </w:r>
          </w:p>
        </w:tc>
        <w:tc>
          <w:tcPr>
            <w:tcW w:w="1788" w:type="dxa"/>
            <w:tcBorders>
              <w:tl2br w:val="nil"/>
              <w:tr2bl w:val="nil"/>
            </w:tcBorders>
            <w:shd w:val="clear" w:color="auto" w:fill="auto"/>
            <w:noWrap/>
            <w:vAlign w:val="center"/>
          </w:tcPr>
          <w:p w14:paraId="36666E9D">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A：有</w:t>
            </w:r>
          </w:p>
        </w:tc>
        <w:tc>
          <w:tcPr>
            <w:tcW w:w="1932" w:type="dxa"/>
            <w:tcBorders>
              <w:tl2br w:val="nil"/>
              <w:tr2bl w:val="nil"/>
            </w:tcBorders>
            <w:shd w:val="clear" w:color="auto" w:fill="auto"/>
            <w:noWrap/>
            <w:vAlign w:val="center"/>
          </w:tcPr>
          <w:p w14:paraId="185CDC92">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8</w:t>
            </w:r>
          </w:p>
        </w:tc>
        <w:tc>
          <w:tcPr>
            <w:tcW w:w="2148" w:type="dxa"/>
            <w:tcBorders>
              <w:tl2br w:val="nil"/>
              <w:tr2bl w:val="nil"/>
            </w:tcBorders>
            <w:shd w:val="clear" w:color="auto" w:fill="auto"/>
            <w:noWrap/>
            <w:vAlign w:val="center"/>
          </w:tcPr>
          <w:p w14:paraId="00FA6EF8">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19.05%</w:t>
            </w:r>
          </w:p>
        </w:tc>
      </w:tr>
      <w:tr w14:paraId="22E4D2AB">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2735" w:type="dxa"/>
            <w:vMerge w:val="continue"/>
            <w:tcBorders>
              <w:tl2br w:val="nil"/>
              <w:tr2bl w:val="nil"/>
            </w:tcBorders>
            <w:shd w:val="clear" w:color="auto" w:fill="auto"/>
            <w:vAlign w:val="center"/>
          </w:tcPr>
          <w:p w14:paraId="6B0E4412">
            <w:pPr>
              <w:adjustRightInd/>
              <w:snapToGrid/>
              <w:spacing w:line="240" w:lineRule="auto"/>
              <w:ind w:firstLine="0" w:firstLineChars="0"/>
              <w:jc w:val="left"/>
              <w:rPr>
                <w:rFonts w:hint="default" w:ascii="Times New Roman" w:hAnsi="Times New Roman" w:eastAsia="仿宋" w:cs="Times New Roman"/>
                <w:kern w:val="0"/>
                <w:sz w:val="24"/>
              </w:rPr>
            </w:pPr>
          </w:p>
        </w:tc>
        <w:tc>
          <w:tcPr>
            <w:tcW w:w="1788" w:type="dxa"/>
            <w:tcBorders>
              <w:tl2br w:val="nil"/>
              <w:tr2bl w:val="nil"/>
            </w:tcBorders>
            <w:shd w:val="clear" w:color="auto" w:fill="auto"/>
            <w:noWrap/>
            <w:vAlign w:val="center"/>
          </w:tcPr>
          <w:p w14:paraId="60651E14">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B：无</w:t>
            </w:r>
          </w:p>
        </w:tc>
        <w:tc>
          <w:tcPr>
            <w:tcW w:w="1932" w:type="dxa"/>
            <w:tcBorders>
              <w:tl2br w:val="nil"/>
              <w:tr2bl w:val="nil"/>
            </w:tcBorders>
            <w:shd w:val="clear" w:color="auto" w:fill="auto"/>
            <w:noWrap/>
            <w:vAlign w:val="center"/>
          </w:tcPr>
          <w:p w14:paraId="6525EEF8">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34</w:t>
            </w:r>
          </w:p>
        </w:tc>
        <w:tc>
          <w:tcPr>
            <w:tcW w:w="2148" w:type="dxa"/>
            <w:tcBorders>
              <w:tl2br w:val="nil"/>
              <w:tr2bl w:val="nil"/>
            </w:tcBorders>
            <w:shd w:val="clear" w:color="auto" w:fill="auto"/>
            <w:noWrap/>
            <w:vAlign w:val="center"/>
          </w:tcPr>
          <w:p w14:paraId="58E5134B">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80.95%</w:t>
            </w:r>
          </w:p>
        </w:tc>
      </w:tr>
      <w:tr w14:paraId="644CF774">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560" w:hRule="atLeast"/>
        </w:trPr>
        <w:tc>
          <w:tcPr>
            <w:tcW w:w="2735" w:type="dxa"/>
            <w:vMerge w:val="restart"/>
            <w:tcBorders>
              <w:tl2br w:val="nil"/>
              <w:tr2bl w:val="nil"/>
            </w:tcBorders>
            <w:shd w:val="clear" w:color="auto" w:fill="auto"/>
            <w:vAlign w:val="center"/>
          </w:tcPr>
          <w:p w14:paraId="7D87AC65">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3.您每周来运动场多少次</w:t>
            </w:r>
          </w:p>
        </w:tc>
        <w:tc>
          <w:tcPr>
            <w:tcW w:w="1788" w:type="dxa"/>
            <w:tcBorders>
              <w:tl2br w:val="nil"/>
              <w:tr2bl w:val="nil"/>
            </w:tcBorders>
            <w:shd w:val="clear" w:color="auto" w:fill="auto"/>
            <w:noWrap/>
            <w:vAlign w:val="center"/>
          </w:tcPr>
          <w:p w14:paraId="4ADF938C">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A：每天</w:t>
            </w:r>
          </w:p>
        </w:tc>
        <w:tc>
          <w:tcPr>
            <w:tcW w:w="1932" w:type="dxa"/>
            <w:tcBorders>
              <w:tl2br w:val="nil"/>
              <w:tr2bl w:val="nil"/>
            </w:tcBorders>
            <w:shd w:val="clear" w:color="auto" w:fill="auto"/>
            <w:noWrap/>
            <w:vAlign w:val="center"/>
          </w:tcPr>
          <w:p w14:paraId="4069FB17">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5</w:t>
            </w:r>
          </w:p>
        </w:tc>
        <w:tc>
          <w:tcPr>
            <w:tcW w:w="2148" w:type="dxa"/>
            <w:tcBorders>
              <w:tl2br w:val="nil"/>
              <w:tr2bl w:val="nil"/>
            </w:tcBorders>
            <w:shd w:val="clear" w:color="auto" w:fill="auto"/>
            <w:noWrap/>
            <w:vAlign w:val="center"/>
          </w:tcPr>
          <w:p w14:paraId="00012CA4">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11.90%</w:t>
            </w:r>
          </w:p>
        </w:tc>
      </w:tr>
      <w:tr w14:paraId="726E880D">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560" w:hRule="atLeast"/>
        </w:trPr>
        <w:tc>
          <w:tcPr>
            <w:tcW w:w="2735" w:type="dxa"/>
            <w:vMerge w:val="continue"/>
            <w:tcBorders>
              <w:tl2br w:val="nil"/>
              <w:tr2bl w:val="nil"/>
            </w:tcBorders>
            <w:shd w:val="clear" w:color="auto" w:fill="auto"/>
            <w:vAlign w:val="center"/>
          </w:tcPr>
          <w:p w14:paraId="67B1EFF7">
            <w:pPr>
              <w:adjustRightInd/>
              <w:snapToGrid/>
              <w:spacing w:line="240" w:lineRule="auto"/>
              <w:ind w:firstLine="0" w:firstLineChars="0"/>
              <w:jc w:val="left"/>
              <w:rPr>
                <w:rFonts w:hint="default" w:ascii="Times New Roman" w:hAnsi="Times New Roman" w:eastAsia="仿宋" w:cs="Times New Roman"/>
                <w:kern w:val="0"/>
                <w:sz w:val="24"/>
              </w:rPr>
            </w:pPr>
          </w:p>
        </w:tc>
        <w:tc>
          <w:tcPr>
            <w:tcW w:w="1788" w:type="dxa"/>
            <w:tcBorders>
              <w:tl2br w:val="nil"/>
              <w:tr2bl w:val="nil"/>
            </w:tcBorders>
            <w:shd w:val="clear" w:color="auto" w:fill="auto"/>
            <w:noWrap/>
            <w:vAlign w:val="center"/>
          </w:tcPr>
          <w:p w14:paraId="37FDE239">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B：每周三到四次</w:t>
            </w:r>
          </w:p>
        </w:tc>
        <w:tc>
          <w:tcPr>
            <w:tcW w:w="1932" w:type="dxa"/>
            <w:tcBorders>
              <w:tl2br w:val="nil"/>
              <w:tr2bl w:val="nil"/>
            </w:tcBorders>
            <w:shd w:val="clear" w:color="auto" w:fill="auto"/>
            <w:noWrap/>
            <w:vAlign w:val="center"/>
          </w:tcPr>
          <w:p w14:paraId="203595D2">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17</w:t>
            </w:r>
          </w:p>
        </w:tc>
        <w:tc>
          <w:tcPr>
            <w:tcW w:w="2148" w:type="dxa"/>
            <w:tcBorders>
              <w:tl2br w:val="nil"/>
              <w:tr2bl w:val="nil"/>
            </w:tcBorders>
            <w:shd w:val="clear" w:color="auto" w:fill="auto"/>
            <w:noWrap/>
            <w:vAlign w:val="center"/>
          </w:tcPr>
          <w:p w14:paraId="6372C737">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40.48%</w:t>
            </w:r>
          </w:p>
        </w:tc>
      </w:tr>
      <w:tr w14:paraId="04B5B306">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46" w:hRule="atLeast"/>
        </w:trPr>
        <w:tc>
          <w:tcPr>
            <w:tcW w:w="2735" w:type="dxa"/>
            <w:vMerge w:val="continue"/>
            <w:tcBorders>
              <w:tl2br w:val="nil"/>
              <w:tr2bl w:val="nil"/>
            </w:tcBorders>
            <w:shd w:val="clear" w:color="auto" w:fill="auto"/>
            <w:vAlign w:val="center"/>
          </w:tcPr>
          <w:p w14:paraId="119BB843">
            <w:pPr>
              <w:adjustRightInd/>
              <w:snapToGrid/>
              <w:spacing w:line="240" w:lineRule="auto"/>
              <w:ind w:firstLine="0" w:firstLineChars="0"/>
              <w:jc w:val="left"/>
              <w:rPr>
                <w:rFonts w:hint="default" w:ascii="Times New Roman" w:hAnsi="Times New Roman" w:eastAsia="仿宋" w:cs="Times New Roman"/>
                <w:kern w:val="0"/>
                <w:sz w:val="24"/>
              </w:rPr>
            </w:pPr>
          </w:p>
        </w:tc>
        <w:tc>
          <w:tcPr>
            <w:tcW w:w="1788" w:type="dxa"/>
            <w:tcBorders>
              <w:tl2br w:val="nil"/>
              <w:tr2bl w:val="nil"/>
            </w:tcBorders>
            <w:shd w:val="clear" w:color="auto" w:fill="auto"/>
            <w:noWrap/>
            <w:vAlign w:val="center"/>
          </w:tcPr>
          <w:p w14:paraId="76DA65B1">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C：每周一到两次</w:t>
            </w:r>
          </w:p>
        </w:tc>
        <w:tc>
          <w:tcPr>
            <w:tcW w:w="1932" w:type="dxa"/>
            <w:tcBorders>
              <w:tl2br w:val="nil"/>
              <w:tr2bl w:val="nil"/>
            </w:tcBorders>
            <w:shd w:val="clear" w:color="auto" w:fill="auto"/>
            <w:noWrap/>
            <w:vAlign w:val="center"/>
          </w:tcPr>
          <w:p w14:paraId="082DAC08">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20</w:t>
            </w:r>
          </w:p>
        </w:tc>
        <w:tc>
          <w:tcPr>
            <w:tcW w:w="2148" w:type="dxa"/>
            <w:tcBorders>
              <w:tl2br w:val="nil"/>
              <w:tr2bl w:val="nil"/>
            </w:tcBorders>
            <w:shd w:val="clear" w:color="auto" w:fill="auto"/>
            <w:noWrap/>
            <w:vAlign w:val="center"/>
          </w:tcPr>
          <w:p w14:paraId="4A0645C0">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47.62%</w:t>
            </w:r>
          </w:p>
        </w:tc>
      </w:tr>
      <w:tr w14:paraId="05EED00A">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90" w:hRule="atLeast"/>
        </w:trPr>
        <w:tc>
          <w:tcPr>
            <w:tcW w:w="2735" w:type="dxa"/>
            <w:vMerge w:val="restart"/>
            <w:tcBorders>
              <w:tl2br w:val="nil"/>
              <w:tr2bl w:val="nil"/>
            </w:tcBorders>
            <w:shd w:val="clear" w:color="auto" w:fill="auto"/>
            <w:vAlign w:val="center"/>
          </w:tcPr>
          <w:p w14:paraId="6FF19B54">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4.改造后的运动场环境是否舒适</w:t>
            </w:r>
          </w:p>
        </w:tc>
        <w:tc>
          <w:tcPr>
            <w:tcW w:w="1788" w:type="dxa"/>
            <w:tcBorders>
              <w:tl2br w:val="nil"/>
              <w:tr2bl w:val="nil"/>
            </w:tcBorders>
            <w:shd w:val="clear" w:color="auto" w:fill="auto"/>
            <w:noWrap/>
            <w:vAlign w:val="center"/>
          </w:tcPr>
          <w:p w14:paraId="6D78E8D6">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A：是</w:t>
            </w:r>
          </w:p>
        </w:tc>
        <w:tc>
          <w:tcPr>
            <w:tcW w:w="1932" w:type="dxa"/>
            <w:tcBorders>
              <w:tl2br w:val="nil"/>
              <w:tr2bl w:val="nil"/>
            </w:tcBorders>
            <w:shd w:val="clear" w:color="auto" w:fill="auto"/>
            <w:noWrap/>
            <w:vAlign w:val="center"/>
          </w:tcPr>
          <w:p w14:paraId="1DC5C9EF">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36</w:t>
            </w:r>
          </w:p>
        </w:tc>
        <w:tc>
          <w:tcPr>
            <w:tcW w:w="2148" w:type="dxa"/>
            <w:tcBorders>
              <w:tl2br w:val="nil"/>
              <w:tr2bl w:val="nil"/>
            </w:tcBorders>
            <w:shd w:val="clear" w:color="auto" w:fill="auto"/>
            <w:noWrap/>
            <w:vAlign w:val="center"/>
          </w:tcPr>
          <w:p w14:paraId="79EE6B03">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85.71%</w:t>
            </w:r>
          </w:p>
        </w:tc>
      </w:tr>
      <w:tr w14:paraId="701DB8CB">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2735" w:type="dxa"/>
            <w:vMerge w:val="continue"/>
            <w:tcBorders>
              <w:tl2br w:val="nil"/>
              <w:tr2bl w:val="nil"/>
            </w:tcBorders>
            <w:shd w:val="clear" w:color="auto" w:fill="auto"/>
            <w:vAlign w:val="center"/>
          </w:tcPr>
          <w:p w14:paraId="52D05100">
            <w:pPr>
              <w:adjustRightInd/>
              <w:snapToGrid/>
              <w:spacing w:line="240" w:lineRule="auto"/>
              <w:ind w:firstLine="0" w:firstLineChars="0"/>
              <w:jc w:val="left"/>
              <w:rPr>
                <w:rFonts w:hint="default" w:ascii="Times New Roman" w:hAnsi="Times New Roman" w:eastAsia="仿宋" w:cs="Times New Roman"/>
                <w:kern w:val="0"/>
                <w:sz w:val="24"/>
              </w:rPr>
            </w:pPr>
          </w:p>
        </w:tc>
        <w:tc>
          <w:tcPr>
            <w:tcW w:w="1788" w:type="dxa"/>
            <w:tcBorders>
              <w:tl2br w:val="nil"/>
              <w:tr2bl w:val="nil"/>
            </w:tcBorders>
            <w:shd w:val="clear" w:color="auto" w:fill="auto"/>
            <w:noWrap/>
            <w:vAlign w:val="center"/>
          </w:tcPr>
          <w:p w14:paraId="41D5ECFE">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B：否</w:t>
            </w:r>
          </w:p>
        </w:tc>
        <w:tc>
          <w:tcPr>
            <w:tcW w:w="1932" w:type="dxa"/>
            <w:tcBorders>
              <w:tl2br w:val="nil"/>
              <w:tr2bl w:val="nil"/>
            </w:tcBorders>
            <w:shd w:val="clear" w:color="auto" w:fill="auto"/>
            <w:noWrap/>
            <w:vAlign w:val="center"/>
          </w:tcPr>
          <w:p w14:paraId="0761077F">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6</w:t>
            </w:r>
          </w:p>
        </w:tc>
        <w:tc>
          <w:tcPr>
            <w:tcW w:w="2148" w:type="dxa"/>
            <w:tcBorders>
              <w:tl2br w:val="nil"/>
              <w:tr2bl w:val="nil"/>
            </w:tcBorders>
            <w:shd w:val="clear" w:color="auto" w:fill="auto"/>
            <w:noWrap/>
            <w:vAlign w:val="center"/>
          </w:tcPr>
          <w:p w14:paraId="76749CC3">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14.29%</w:t>
            </w:r>
          </w:p>
        </w:tc>
      </w:tr>
      <w:tr w14:paraId="4FEF1067">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80" w:hRule="atLeast"/>
        </w:trPr>
        <w:tc>
          <w:tcPr>
            <w:tcW w:w="2735" w:type="dxa"/>
            <w:vMerge w:val="restart"/>
            <w:tcBorders>
              <w:tl2br w:val="nil"/>
              <w:tr2bl w:val="nil"/>
            </w:tcBorders>
            <w:shd w:val="clear" w:color="auto" w:fill="auto"/>
            <w:vAlign w:val="center"/>
          </w:tcPr>
          <w:p w14:paraId="69578829">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5.您对运动场改造后的质量觉得如何</w:t>
            </w:r>
          </w:p>
        </w:tc>
        <w:tc>
          <w:tcPr>
            <w:tcW w:w="1788" w:type="dxa"/>
            <w:tcBorders>
              <w:tl2br w:val="nil"/>
              <w:tr2bl w:val="nil"/>
            </w:tcBorders>
            <w:shd w:val="clear" w:color="auto" w:fill="auto"/>
            <w:noWrap/>
            <w:vAlign w:val="center"/>
          </w:tcPr>
          <w:p w14:paraId="5C29A170">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A：很满意</w:t>
            </w:r>
          </w:p>
        </w:tc>
        <w:tc>
          <w:tcPr>
            <w:tcW w:w="1932" w:type="dxa"/>
            <w:tcBorders>
              <w:tl2br w:val="nil"/>
              <w:tr2bl w:val="nil"/>
            </w:tcBorders>
            <w:shd w:val="clear" w:color="auto" w:fill="auto"/>
            <w:noWrap/>
            <w:vAlign w:val="center"/>
          </w:tcPr>
          <w:p w14:paraId="70221BE1">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11</w:t>
            </w:r>
          </w:p>
        </w:tc>
        <w:tc>
          <w:tcPr>
            <w:tcW w:w="2148" w:type="dxa"/>
            <w:tcBorders>
              <w:tl2br w:val="nil"/>
              <w:tr2bl w:val="nil"/>
            </w:tcBorders>
            <w:shd w:val="clear" w:color="auto" w:fill="auto"/>
            <w:noWrap/>
            <w:vAlign w:val="center"/>
          </w:tcPr>
          <w:p w14:paraId="7264045F">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26.19%</w:t>
            </w:r>
          </w:p>
        </w:tc>
      </w:tr>
      <w:tr w14:paraId="603780D8">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2735" w:type="dxa"/>
            <w:vMerge w:val="continue"/>
            <w:tcBorders>
              <w:tl2br w:val="nil"/>
              <w:tr2bl w:val="nil"/>
            </w:tcBorders>
            <w:shd w:val="clear" w:color="auto" w:fill="auto"/>
            <w:vAlign w:val="center"/>
          </w:tcPr>
          <w:p w14:paraId="085BE5AC">
            <w:pPr>
              <w:adjustRightInd/>
              <w:snapToGrid/>
              <w:spacing w:line="240" w:lineRule="auto"/>
              <w:ind w:firstLine="0" w:firstLineChars="0"/>
              <w:jc w:val="left"/>
              <w:rPr>
                <w:rFonts w:hint="default" w:ascii="Times New Roman" w:hAnsi="Times New Roman" w:eastAsia="仿宋" w:cs="Times New Roman"/>
                <w:kern w:val="0"/>
                <w:sz w:val="24"/>
              </w:rPr>
            </w:pPr>
          </w:p>
        </w:tc>
        <w:tc>
          <w:tcPr>
            <w:tcW w:w="1788" w:type="dxa"/>
            <w:tcBorders>
              <w:tl2br w:val="nil"/>
              <w:tr2bl w:val="nil"/>
            </w:tcBorders>
            <w:shd w:val="clear" w:color="auto" w:fill="auto"/>
            <w:noWrap/>
            <w:vAlign w:val="center"/>
          </w:tcPr>
          <w:p w14:paraId="0BD9D3E6">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B：满意</w:t>
            </w:r>
          </w:p>
        </w:tc>
        <w:tc>
          <w:tcPr>
            <w:tcW w:w="1932" w:type="dxa"/>
            <w:tcBorders>
              <w:tl2br w:val="nil"/>
              <w:tr2bl w:val="nil"/>
            </w:tcBorders>
            <w:shd w:val="clear" w:color="auto" w:fill="auto"/>
            <w:noWrap/>
            <w:vAlign w:val="center"/>
          </w:tcPr>
          <w:p w14:paraId="0B5E3458">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18</w:t>
            </w:r>
          </w:p>
        </w:tc>
        <w:tc>
          <w:tcPr>
            <w:tcW w:w="2148" w:type="dxa"/>
            <w:tcBorders>
              <w:tl2br w:val="nil"/>
              <w:tr2bl w:val="nil"/>
            </w:tcBorders>
            <w:shd w:val="clear" w:color="auto" w:fill="auto"/>
            <w:noWrap/>
            <w:vAlign w:val="center"/>
          </w:tcPr>
          <w:p w14:paraId="68B93C08">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42.86%</w:t>
            </w:r>
          </w:p>
        </w:tc>
      </w:tr>
      <w:tr w14:paraId="27A7E63B">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2735" w:type="dxa"/>
            <w:vMerge w:val="continue"/>
            <w:tcBorders>
              <w:tl2br w:val="nil"/>
              <w:tr2bl w:val="nil"/>
            </w:tcBorders>
            <w:shd w:val="clear" w:color="auto" w:fill="auto"/>
            <w:vAlign w:val="center"/>
          </w:tcPr>
          <w:p w14:paraId="7297D29C">
            <w:pPr>
              <w:adjustRightInd/>
              <w:snapToGrid/>
              <w:spacing w:line="240" w:lineRule="auto"/>
              <w:ind w:firstLine="0" w:firstLineChars="0"/>
              <w:jc w:val="left"/>
              <w:rPr>
                <w:rFonts w:hint="default" w:ascii="Times New Roman" w:hAnsi="Times New Roman" w:eastAsia="仿宋" w:cs="Times New Roman"/>
                <w:kern w:val="0"/>
                <w:sz w:val="24"/>
              </w:rPr>
            </w:pPr>
          </w:p>
        </w:tc>
        <w:tc>
          <w:tcPr>
            <w:tcW w:w="1788" w:type="dxa"/>
            <w:tcBorders>
              <w:tl2br w:val="nil"/>
              <w:tr2bl w:val="nil"/>
            </w:tcBorders>
            <w:shd w:val="clear" w:color="auto" w:fill="auto"/>
            <w:noWrap/>
            <w:vAlign w:val="center"/>
          </w:tcPr>
          <w:p w14:paraId="4A477702">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C：一般</w:t>
            </w:r>
          </w:p>
        </w:tc>
        <w:tc>
          <w:tcPr>
            <w:tcW w:w="1932" w:type="dxa"/>
            <w:tcBorders>
              <w:tl2br w:val="nil"/>
              <w:tr2bl w:val="nil"/>
            </w:tcBorders>
            <w:shd w:val="clear" w:color="auto" w:fill="auto"/>
            <w:noWrap/>
            <w:vAlign w:val="center"/>
          </w:tcPr>
          <w:p w14:paraId="412C804D">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13</w:t>
            </w:r>
          </w:p>
        </w:tc>
        <w:tc>
          <w:tcPr>
            <w:tcW w:w="2148" w:type="dxa"/>
            <w:tcBorders>
              <w:tl2br w:val="nil"/>
              <w:tr2bl w:val="nil"/>
            </w:tcBorders>
            <w:shd w:val="clear" w:color="auto" w:fill="auto"/>
            <w:noWrap/>
            <w:vAlign w:val="center"/>
          </w:tcPr>
          <w:p w14:paraId="48494A94">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30.95%</w:t>
            </w:r>
          </w:p>
        </w:tc>
      </w:tr>
      <w:tr w14:paraId="48FE9167">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60" w:hRule="atLeast"/>
        </w:trPr>
        <w:tc>
          <w:tcPr>
            <w:tcW w:w="2735" w:type="dxa"/>
            <w:vMerge w:val="continue"/>
            <w:tcBorders>
              <w:tl2br w:val="nil"/>
              <w:tr2bl w:val="nil"/>
            </w:tcBorders>
            <w:shd w:val="clear" w:color="auto" w:fill="auto"/>
            <w:vAlign w:val="center"/>
          </w:tcPr>
          <w:p w14:paraId="3805F824">
            <w:pPr>
              <w:adjustRightInd/>
              <w:snapToGrid/>
              <w:spacing w:line="240" w:lineRule="auto"/>
              <w:ind w:firstLine="0" w:firstLineChars="0"/>
              <w:jc w:val="left"/>
              <w:rPr>
                <w:rFonts w:hint="default" w:ascii="Times New Roman" w:hAnsi="Times New Roman" w:eastAsia="仿宋" w:cs="Times New Roman"/>
                <w:kern w:val="0"/>
                <w:sz w:val="24"/>
              </w:rPr>
            </w:pPr>
          </w:p>
        </w:tc>
        <w:tc>
          <w:tcPr>
            <w:tcW w:w="1788" w:type="dxa"/>
            <w:tcBorders>
              <w:tl2br w:val="nil"/>
              <w:tr2bl w:val="nil"/>
            </w:tcBorders>
            <w:shd w:val="clear" w:color="auto" w:fill="auto"/>
            <w:noWrap/>
            <w:vAlign w:val="center"/>
          </w:tcPr>
          <w:p w14:paraId="4AC0B240">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D：不满意</w:t>
            </w:r>
          </w:p>
        </w:tc>
        <w:tc>
          <w:tcPr>
            <w:tcW w:w="1932" w:type="dxa"/>
            <w:tcBorders>
              <w:tl2br w:val="nil"/>
              <w:tr2bl w:val="nil"/>
            </w:tcBorders>
            <w:shd w:val="clear" w:color="auto" w:fill="auto"/>
            <w:noWrap/>
            <w:vAlign w:val="center"/>
          </w:tcPr>
          <w:p w14:paraId="57F34D89">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0</w:t>
            </w:r>
          </w:p>
        </w:tc>
        <w:tc>
          <w:tcPr>
            <w:tcW w:w="2148" w:type="dxa"/>
            <w:tcBorders>
              <w:tl2br w:val="nil"/>
              <w:tr2bl w:val="nil"/>
            </w:tcBorders>
            <w:shd w:val="clear" w:color="auto" w:fill="auto"/>
            <w:noWrap/>
            <w:vAlign w:val="center"/>
          </w:tcPr>
          <w:p w14:paraId="583D0626">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0.00%</w:t>
            </w:r>
          </w:p>
        </w:tc>
      </w:tr>
      <w:tr w14:paraId="2C561F3F">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620" w:hRule="atLeast"/>
        </w:trPr>
        <w:tc>
          <w:tcPr>
            <w:tcW w:w="2735" w:type="dxa"/>
            <w:vMerge w:val="restart"/>
            <w:tcBorders>
              <w:tl2br w:val="nil"/>
              <w:tr2bl w:val="nil"/>
            </w:tcBorders>
            <w:shd w:val="clear" w:color="auto" w:fill="auto"/>
            <w:vAlign w:val="center"/>
          </w:tcPr>
          <w:p w14:paraId="511343AB">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6.您觉得改造后的运动设施如何</w:t>
            </w:r>
          </w:p>
        </w:tc>
        <w:tc>
          <w:tcPr>
            <w:tcW w:w="1788" w:type="dxa"/>
            <w:tcBorders>
              <w:tl2br w:val="nil"/>
              <w:tr2bl w:val="nil"/>
            </w:tcBorders>
            <w:shd w:val="clear" w:color="auto" w:fill="auto"/>
            <w:noWrap/>
            <w:vAlign w:val="center"/>
          </w:tcPr>
          <w:p w14:paraId="4B6A8CFD">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A：非常好</w:t>
            </w:r>
          </w:p>
        </w:tc>
        <w:tc>
          <w:tcPr>
            <w:tcW w:w="1932" w:type="dxa"/>
            <w:tcBorders>
              <w:tl2br w:val="nil"/>
              <w:tr2bl w:val="nil"/>
            </w:tcBorders>
            <w:shd w:val="clear" w:color="auto" w:fill="auto"/>
            <w:noWrap/>
            <w:vAlign w:val="center"/>
          </w:tcPr>
          <w:p w14:paraId="196A9D73">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16</w:t>
            </w:r>
          </w:p>
        </w:tc>
        <w:tc>
          <w:tcPr>
            <w:tcW w:w="2148" w:type="dxa"/>
            <w:tcBorders>
              <w:tl2br w:val="nil"/>
              <w:tr2bl w:val="nil"/>
            </w:tcBorders>
            <w:shd w:val="clear" w:color="auto" w:fill="auto"/>
            <w:noWrap/>
            <w:vAlign w:val="center"/>
          </w:tcPr>
          <w:p w14:paraId="745BBF8B">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38.10%</w:t>
            </w:r>
          </w:p>
        </w:tc>
      </w:tr>
      <w:tr w14:paraId="20C012DD">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280" w:hRule="atLeast"/>
        </w:trPr>
        <w:tc>
          <w:tcPr>
            <w:tcW w:w="2735" w:type="dxa"/>
            <w:vMerge w:val="continue"/>
            <w:tcBorders>
              <w:tl2br w:val="nil"/>
              <w:tr2bl w:val="nil"/>
            </w:tcBorders>
            <w:shd w:val="clear" w:color="auto" w:fill="auto"/>
            <w:vAlign w:val="center"/>
          </w:tcPr>
          <w:p w14:paraId="5137C4DB">
            <w:pPr>
              <w:adjustRightInd/>
              <w:snapToGrid/>
              <w:spacing w:line="240" w:lineRule="auto"/>
              <w:ind w:firstLine="0" w:firstLineChars="0"/>
              <w:jc w:val="left"/>
              <w:rPr>
                <w:rFonts w:hint="default" w:ascii="Times New Roman" w:hAnsi="Times New Roman" w:eastAsia="仿宋" w:cs="Times New Roman"/>
                <w:kern w:val="0"/>
                <w:sz w:val="24"/>
              </w:rPr>
            </w:pPr>
          </w:p>
        </w:tc>
        <w:tc>
          <w:tcPr>
            <w:tcW w:w="1788" w:type="dxa"/>
            <w:tcBorders>
              <w:tl2br w:val="nil"/>
              <w:tr2bl w:val="nil"/>
            </w:tcBorders>
            <w:shd w:val="clear" w:color="auto" w:fill="auto"/>
            <w:noWrap/>
            <w:vAlign w:val="center"/>
          </w:tcPr>
          <w:p w14:paraId="7E3E6E29">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B：很好</w:t>
            </w:r>
          </w:p>
        </w:tc>
        <w:tc>
          <w:tcPr>
            <w:tcW w:w="1932" w:type="dxa"/>
            <w:tcBorders>
              <w:tl2br w:val="nil"/>
              <w:tr2bl w:val="nil"/>
            </w:tcBorders>
            <w:shd w:val="clear" w:color="auto" w:fill="auto"/>
            <w:noWrap/>
            <w:vAlign w:val="center"/>
          </w:tcPr>
          <w:p w14:paraId="4A0A20C5">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14</w:t>
            </w:r>
          </w:p>
        </w:tc>
        <w:tc>
          <w:tcPr>
            <w:tcW w:w="2148" w:type="dxa"/>
            <w:tcBorders>
              <w:tl2br w:val="nil"/>
              <w:tr2bl w:val="nil"/>
            </w:tcBorders>
            <w:shd w:val="clear" w:color="auto" w:fill="auto"/>
            <w:noWrap/>
            <w:vAlign w:val="center"/>
          </w:tcPr>
          <w:p w14:paraId="4D6A3F34">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33.33%</w:t>
            </w:r>
          </w:p>
        </w:tc>
      </w:tr>
      <w:tr w14:paraId="0D2F609E">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2735" w:type="dxa"/>
            <w:vMerge w:val="continue"/>
            <w:tcBorders>
              <w:tl2br w:val="nil"/>
              <w:tr2bl w:val="nil"/>
            </w:tcBorders>
            <w:shd w:val="clear" w:color="auto" w:fill="auto"/>
            <w:vAlign w:val="center"/>
          </w:tcPr>
          <w:p w14:paraId="59964A8F">
            <w:pPr>
              <w:adjustRightInd/>
              <w:snapToGrid/>
              <w:spacing w:line="240" w:lineRule="auto"/>
              <w:ind w:firstLine="0" w:firstLineChars="0"/>
              <w:jc w:val="left"/>
              <w:rPr>
                <w:rFonts w:hint="default" w:ascii="Times New Roman" w:hAnsi="Times New Roman" w:eastAsia="仿宋" w:cs="Times New Roman"/>
                <w:kern w:val="0"/>
                <w:sz w:val="24"/>
              </w:rPr>
            </w:pPr>
          </w:p>
        </w:tc>
        <w:tc>
          <w:tcPr>
            <w:tcW w:w="1788" w:type="dxa"/>
            <w:tcBorders>
              <w:tl2br w:val="nil"/>
              <w:tr2bl w:val="nil"/>
            </w:tcBorders>
            <w:shd w:val="clear" w:color="auto" w:fill="auto"/>
            <w:noWrap/>
            <w:vAlign w:val="center"/>
          </w:tcPr>
          <w:p w14:paraId="546F67FE">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C：一般</w:t>
            </w:r>
          </w:p>
        </w:tc>
        <w:tc>
          <w:tcPr>
            <w:tcW w:w="1932" w:type="dxa"/>
            <w:tcBorders>
              <w:tl2br w:val="nil"/>
              <w:tr2bl w:val="nil"/>
            </w:tcBorders>
            <w:shd w:val="clear" w:color="auto" w:fill="auto"/>
            <w:noWrap/>
            <w:vAlign w:val="center"/>
          </w:tcPr>
          <w:p w14:paraId="62A9F718">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12</w:t>
            </w:r>
          </w:p>
        </w:tc>
        <w:tc>
          <w:tcPr>
            <w:tcW w:w="2148" w:type="dxa"/>
            <w:tcBorders>
              <w:tl2br w:val="nil"/>
              <w:tr2bl w:val="nil"/>
            </w:tcBorders>
            <w:shd w:val="clear" w:color="auto" w:fill="auto"/>
            <w:noWrap/>
            <w:vAlign w:val="center"/>
          </w:tcPr>
          <w:p w14:paraId="16796C0E">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28.57%</w:t>
            </w:r>
          </w:p>
        </w:tc>
      </w:tr>
      <w:tr w14:paraId="08368C0E">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460" w:hRule="atLeast"/>
        </w:trPr>
        <w:tc>
          <w:tcPr>
            <w:tcW w:w="2735" w:type="dxa"/>
            <w:vMerge w:val="continue"/>
            <w:tcBorders>
              <w:tl2br w:val="nil"/>
              <w:tr2bl w:val="nil"/>
            </w:tcBorders>
            <w:shd w:val="clear" w:color="auto" w:fill="auto"/>
            <w:vAlign w:val="center"/>
          </w:tcPr>
          <w:p w14:paraId="764401BC">
            <w:pPr>
              <w:adjustRightInd/>
              <w:snapToGrid/>
              <w:spacing w:line="240" w:lineRule="auto"/>
              <w:ind w:firstLine="0" w:firstLineChars="0"/>
              <w:jc w:val="left"/>
              <w:rPr>
                <w:rFonts w:hint="default" w:ascii="Times New Roman" w:hAnsi="Times New Roman" w:eastAsia="仿宋" w:cs="Times New Roman"/>
                <w:kern w:val="0"/>
                <w:sz w:val="24"/>
              </w:rPr>
            </w:pPr>
          </w:p>
        </w:tc>
        <w:tc>
          <w:tcPr>
            <w:tcW w:w="1788" w:type="dxa"/>
            <w:tcBorders>
              <w:tl2br w:val="nil"/>
              <w:tr2bl w:val="nil"/>
            </w:tcBorders>
            <w:shd w:val="clear" w:color="auto" w:fill="auto"/>
            <w:noWrap/>
            <w:vAlign w:val="center"/>
          </w:tcPr>
          <w:p w14:paraId="23A399E4">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D：不好</w:t>
            </w:r>
          </w:p>
        </w:tc>
        <w:tc>
          <w:tcPr>
            <w:tcW w:w="1932" w:type="dxa"/>
            <w:tcBorders>
              <w:tl2br w:val="nil"/>
              <w:tr2bl w:val="nil"/>
            </w:tcBorders>
            <w:shd w:val="clear" w:color="auto" w:fill="auto"/>
            <w:noWrap/>
            <w:vAlign w:val="center"/>
          </w:tcPr>
          <w:p w14:paraId="429130AF">
            <w:pPr>
              <w:adjustRightInd/>
              <w:snapToGrid/>
              <w:spacing w:line="240" w:lineRule="auto"/>
              <w:ind w:firstLine="0" w:firstLineChars="0"/>
              <w:jc w:val="center"/>
              <w:rPr>
                <w:rFonts w:hint="default" w:ascii="Times New Roman" w:hAnsi="Times New Roman" w:eastAsia="仿宋" w:cs="Times New Roman"/>
                <w:kern w:val="0"/>
                <w:sz w:val="24"/>
                <w:lang w:val="en-US" w:eastAsia="zh-CN"/>
              </w:rPr>
            </w:pPr>
            <w:r>
              <w:rPr>
                <w:rFonts w:hint="default" w:ascii="Times New Roman" w:hAnsi="Times New Roman" w:eastAsia="仿宋" w:cs="Times New Roman"/>
                <w:kern w:val="0"/>
                <w:sz w:val="24"/>
                <w:lang w:val="en-US" w:eastAsia="zh-CN"/>
              </w:rPr>
              <w:t>0</w:t>
            </w:r>
          </w:p>
        </w:tc>
        <w:tc>
          <w:tcPr>
            <w:tcW w:w="2148" w:type="dxa"/>
            <w:tcBorders>
              <w:tl2br w:val="nil"/>
              <w:tr2bl w:val="nil"/>
            </w:tcBorders>
            <w:shd w:val="clear" w:color="auto" w:fill="auto"/>
            <w:noWrap/>
            <w:vAlign w:val="center"/>
          </w:tcPr>
          <w:p w14:paraId="79F98554">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0.00%</w:t>
            </w:r>
          </w:p>
        </w:tc>
      </w:tr>
      <w:tr w14:paraId="4CBAE415">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636" w:hRule="atLeast"/>
        </w:trPr>
        <w:tc>
          <w:tcPr>
            <w:tcW w:w="2735" w:type="dxa"/>
            <w:vMerge w:val="restart"/>
            <w:tcBorders>
              <w:tl2br w:val="nil"/>
              <w:tr2bl w:val="nil"/>
            </w:tcBorders>
            <w:shd w:val="clear" w:color="auto" w:fill="auto"/>
            <w:vAlign w:val="center"/>
          </w:tcPr>
          <w:p w14:paraId="57E526F3">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7.您对改造后的运动场安全措施是否满意</w:t>
            </w:r>
          </w:p>
        </w:tc>
        <w:tc>
          <w:tcPr>
            <w:tcW w:w="1788" w:type="dxa"/>
            <w:tcBorders>
              <w:tl2br w:val="nil"/>
              <w:tr2bl w:val="nil"/>
            </w:tcBorders>
            <w:shd w:val="clear" w:color="auto" w:fill="auto"/>
            <w:noWrap/>
            <w:vAlign w:val="center"/>
          </w:tcPr>
          <w:p w14:paraId="102084E8">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A：非常满意</w:t>
            </w:r>
          </w:p>
        </w:tc>
        <w:tc>
          <w:tcPr>
            <w:tcW w:w="1932" w:type="dxa"/>
            <w:tcBorders>
              <w:tl2br w:val="nil"/>
              <w:tr2bl w:val="nil"/>
            </w:tcBorders>
            <w:shd w:val="clear" w:color="auto" w:fill="auto"/>
            <w:noWrap/>
            <w:vAlign w:val="center"/>
          </w:tcPr>
          <w:p w14:paraId="0857218E">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13</w:t>
            </w:r>
          </w:p>
        </w:tc>
        <w:tc>
          <w:tcPr>
            <w:tcW w:w="2148" w:type="dxa"/>
            <w:tcBorders>
              <w:tl2br w:val="nil"/>
              <w:tr2bl w:val="nil"/>
            </w:tcBorders>
            <w:shd w:val="clear" w:color="auto" w:fill="auto"/>
            <w:noWrap/>
            <w:vAlign w:val="center"/>
          </w:tcPr>
          <w:p w14:paraId="5A8217AB">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30.95%</w:t>
            </w:r>
          </w:p>
        </w:tc>
      </w:tr>
      <w:tr w14:paraId="3A7004D2">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2735" w:type="dxa"/>
            <w:vMerge w:val="continue"/>
            <w:tcBorders>
              <w:tl2br w:val="nil"/>
              <w:tr2bl w:val="nil"/>
            </w:tcBorders>
            <w:shd w:val="clear" w:color="auto" w:fill="auto"/>
            <w:vAlign w:val="center"/>
          </w:tcPr>
          <w:p w14:paraId="7300860F">
            <w:pPr>
              <w:adjustRightInd/>
              <w:snapToGrid/>
              <w:spacing w:line="240" w:lineRule="auto"/>
              <w:ind w:firstLine="0" w:firstLineChars="0"/>
              <w:jc w:val="left"/>
              <w:rPr>
                <w:rFonts w:hint="default" w:ascii="Times New Roman" w:hAnsi="Times New Roman" w:eastAsia="仿宋" w:cs="Times New Roman"/>
                <w:kern w:val="0"/>
                <w:sz w:val="24"/>
              </w:rPr>
            </w:pPr>
          </w:p>
        </w:tc>
        <w:tc>
          <w:tcPr>
            <w:tcW w:w="1788" w:type="dxa"/>
            <w:tcBorders>
              <w:tl2br w:val="nil"/>
              <w:tr2bl w:val="nil"/>
            </w:tcBorders>
            <w:shd w:val="clear" w:color="auto" w:fill="auto"/>
            <w:noWrap/>
            <w:vAlign w:val="center"/>
          </w:tcPr>
          <w:p w14:paraId="6F058C53">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B：满意</w:t>
            </w:r>
          </w:p>
        </w:tc>
        <w:tc>
          <w:tcPr>
            <w:tcW w:w="1932" w:type="dxa"/>
            <w:tcBorders>
              <w:tl2br w:val="nil"/>
              <w:tr2bl w:val="nil"/>
            </w:tcBorders>
            <w:shd w:val="clear" w:color="auto" w:fill="auto"/>
            <w:noWrap/>
            <w:vAlign w:val="center"/>
          </w:tcPr>
          <w:p w14:paraId="15E005CA">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17</w:t>
            </w:r>
          </w:p>
        </w:tc>
        <w:tc>
          <w:tcPr>
            <w:tcW w:w="2148" w:type="dxa"/>
            <w:tcBorders>
              <w:tl2br w:val="nil"/>
              <w:tr2bl w:val="nil"/>
            </w:tcBorders>
            <w:shd w:val="clear" w:color="auto" w:fill="auto"/>
            <w:noWrap/>
            <w:vAlign w:val="center"/>
          </w:tcPr>
          <w:p w14:paraId="102E3E5C">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40.48%</w:t>
            </w:r>
          </w:p>
        </w:tc>
      </w:tr>
      <w:tr w14:paraId="3517D894">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2735" w:type="dxa"/>
            <w:vMerge w:val="continue"/>
            <w:tcBorders>
              <w:tl2br w:val="nil"/>
              <w:tr2bl w:val="nil"/>
            </w:tcBorders>
            <w:shd w:val="clear" w:color="auto" w:fill="auto"/>
            <w:vAlign w:val="center"/>
          </w:tcPr>
          <w:p w14:paraId="679427FB">
            <w:pPr>
              <w:adjustRightInd/>
              <w:snapToGrid/>
              <w:spacing w:line="240" w:lineRule="auto"/>
              <w:ind w:firstLine="0" w:firstLineChars="0"/>
              <w:jc w:val="left"/>
              <w:rPr>
                <w:rFonts w:hint="default" w:ascii="Times New Roman" w:hAnsi="Times New Roman" w:eastAsia="仿宋" w:cs="Times New Roman"/>
                <w:kern w:val="0"/>
                <w:sz w:val="24"/>
              </w:rPr>
            </w:pPr>
          </w:p>
        </w:tc>
        <w:tc>
          <w:tcPr>
            <w:tcW w:w="1788" w:type="dxa"/>
            <w:tcBorders>
              <w:tl2br w:val="nil"/>
              <w:tr2bl w:val="nil"/>
            </w:tcBorders>
            <w:shd w:val="clear" w:color="auto" w:fill="auto"/>
            <w:noWrap/>
            <w:vAlign w:val="center"/>
          </w:tcPr>
          <w:p w14:paraId="05BCD52F">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C：一般</w:t>
            </w:r>
          </w:p>
        </w:tc>
        <w:tc>
          <w:tcPr>
            <w:tcW w:w="1932" w:type="dxa"/>
            <w:tcBorders>
              <w:tl2br w:val="nil"/>
              <w:tr2bl w:val="nil"/>
            </w:tcBorders>
            <w:shd w:val="clear" w:color="auto" w:fill="auto"/>
            <w:noWrap/>
            <w:vAlign w:val="center"/>
          </w:tcPr>
          <w:p w14:paraId="73854630">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12</w:t>
            </w:r>
          </w:p>
        </w:tc>
        <w:tc>
          <w:tcPr>
            <w:tcW w:w="2148" w:type="dxa"/>
            <w:tcBorders>
              <w:tl2br w:val="nil"/>
              <w:tr2bl w:val="nil"/>
            </w:tcBorders>
            <w:shd w:val="clear" w:color="auto" w:fill="auto"/>
            <w:noWrap/>
            <w:vAlign w:val="center"/>
          </w:tcPr>
          <w:p w14:paraId="566172A9">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28.57%</w:t>
            </w:r>
          </w:p>
        </w:tc>
      </w:tr>
      <w:tr w14:paraId="531E9BFA">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2735" w:type="dxa"/>
            <w:vMerge w:val="continue"/>
            <w:tcBorders>
              <w:tl2br w:val="nil"/>
              <w:tr2bl w:val="nil"/>
            </w:tcBorders>
            <w:shd w:val="clear" w:color="auto" w:fill="auto"/>
            <w:vAlign w:val="center"/>
          </w:tcPr>
          <w:p w14:paraId="2FE1E76E">
            <w:pPr>
              <w:adjustRightInd/>
              <w:snapToGrid/>
              <w:spacing w:line="240" w:lineRule="auto"/>
              <w:ind w:firstLine="0" w:firstLineChars="0"/>
              <w:jc w:val="left"/>
              <w:rPr>
                <w:rFonts w:hint="default" w:ascii="Times New Roman" w:hAnsi="Times New Roman" w:eastAsia="仿宋" w:cs="Times New Roman"/>
                <w:kern w:val="0"/>
                <w:sz w:val="24"/>
              </w:rPr>
            </w:pPr>
          </w:p>
        </w:tc>
        <w:tc>
          <w:tcPr>
            <w:tcW w:w="1788" w:type="dxa"/>
            <w:tcBorders>
              <w:tl2br w:val="nil"/>
              <w:tr2bl w:val="nil"/>
            </w:tcBorders>
            <w:shd w:val="clear" w:color="auto" w:fill="auto"/>
            <w:noWrap/>
            <w:vAlign w:val="center"/>
          </w:tcPr>
          <w:p w14:paraId="5F60AB0C">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D:不满意</w:t>
            </w:r>
          </w:p>
        </w:tc>
        <w:tc>
          <w:tcPr>
            <w:tcW w:w="1932" w:type="dxa"/>
            <w:tcBorders>
              <w:tl2br w:val="nil"/>
              <w:tr2bl w:val="nil"/>
            </w:tcBorders>
            <w:shd w:val="clear" w:color="auto" w:fill="auto"/>
            <w:noWrap/>
            <w:vAlign w:val="center"/>
          </w:tcPr>
          <w:p w14:paraId="57E9F1B0">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0</w:t>
            </w:r>
          </w:p>
        </w:tc>
        <w:tc>
          <w:tcPr>
            <w:tcW w:w="2148" w:type="dxa"/>
            <w:tcBorders>
              <w:tl2br w:val="nil"/>
              <w:tr2bl w:val="nil"/>
            </w:tcBorders>
            <w:shd w:val="clear" w:color="auto" w:fill="auto"/>
            <w:noWrap/>
            <w:vAlign w:val="center"/>
          </w:tcPr>
          <w:p w14:paraId="708B003A">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0.00%</w:t>
            </w:r>
          </w:p>
        </w:tc>
      </w:tr>
      <w:tr w14:paraId="6AB4F411">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20" w:hRule="atLeast"/>
        </w:trPr>
        <w:tc>
          <w:tcPr>
            <w:tcW w:w="2735" w:type="dxa"/>
            <w:vMerge w:val="restart"/>
            <w:tcBorders>
              <w:tl2br w:val="nil"/>
              <w:tr2bl w:val="nil"/>
            </w:tcBorders>
            <w:shd w:val="clear" w:color="auto" w:fill="auto"/>
            <w:vAlign w:val="center"/>
          </w:tcPr>
          <w:p w14:paraId="3579842D">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8.您觉得改造后是否需要增加运动设施</w:t>
            </w:r>
          </w:p>
        </w:tc>
        <w:tc>
          <w:tcPr>
            <w:tcW w:w="1788" w:type="dxa"/>
            <w:tcBorders>
              <w:tl2br w:val="nil"/>
              <w:tr2bl w:val="nil"/>
            </w:tcBorders>
            <w:shd w:val="clear" w:color="auto" w:fill="auto"/>
            <w:noWrap/>
            <w:vAlign w:val="center"/>
          </w:tcPr>
          <w:p w14:paraId="1E74DEC7">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A:是</w:t>
            </w:r>
          </w:p>
        </w:tc>
        <w:tc>
          <w:tcPr>
            <w:tcW w:w="1932" w:type="dxa"/>
            <w:tcBorders>
              <w:tl2br w:val="nil"/>
              <w:tr2bl w:val="nil"/>
            </w:tcBorders>
            <w:shd w:val="clear" w:color="auto" w:fill="auto"/>
            <w:noWrap/>
            <w:vAlign w:val="center"/>
          </w:tcPr>
          <w:p w14:paraId="7CE678C3">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33</w:t>
            </w:r>
          </w:p>
        </w:tc>
        <w:tc>
          <w:tcPr>
            <w:tcW w:w="2148" w:type="dxa"/>
            <w:tcBorders>
              <w:tl2br w:val="nil"/>
              <w:tr2bl w:val="nil"/>
            </w:tcBorders>
            <w:shd w:val="clear" w:color="auto" w:fill="auto"/>
            <w:noWrap/>
            <w:vAlign w:val="center"/>
          </w:tcPr>
          <w:p w14:paraId="60CCA08B">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78.57%</w:t>
            </w:r>
          </w:p>
        </w:tc>
      </w:tr>
      <w:tr w14:paraId="6DE5EFBF">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560" w:hRule="atLeast"/>
        </w:trPr>
        <w:tc>
          <w:tcPr>
            <w:tcW w:w="2735" w:type="dxa"/>
            <w:vMerge w:val="continue"/>
            <w:tcBorders>
              <w:tl2br w:val="nil"/>
              <w:tr2bl w:val="nil"/>
            </w:tcBorders>
            <w:shd w:val="clear" w:color="auto" w:fill="auto"/>
            <w:vAlign w:val="center"/>
          </w:tcPr>
          <w:p w14:paraId="61405B03">
            <w:pPr>
              <w:adjustRightInd/>
              <w:snapToGrid/>
              <w:spacing w:line="240" w:lineRule="auto"/>
              <w:ind w:firstLine="0" w:firstLineChars="0"/>
              <w:jc w:val="left"/>
              <w:rPr>
                <w:rFonts w:hint="default" w:ascii="Times New Roman" w:hAnsi="Times New Roman" w:eastAsia="仿宋" w:cs="Times New Roman"/>
                <w:kern w:val="0"/>
                <w:sz w:val="24"/>
              </w:rPr>
            </w:pPr>
          </w:p>
        </w:tc>
        <w:tc>
          <w:tcPr>
            <w:tcW w:w="1788" w:type="dxa"/>
            <w:tcBorders>
              <w:tl2br w:val="nil"/>
              <w:tr2bl w:val="nil"/>
            </w:tcBorders>
            <w:shd w:val="clear" w:color="auto" w:fill="auto"/>
            <w:noWrap/>
            <w:vAlign w:val="center"/>
          </w:tcPr>
          <w:p w14:paraId="138F0DE6">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B:否</w:t>
            </w:r>
          </w:p>
        </w:tc>
        <w:tc>
          <w:tcPr>
            <w:tcW w:w="1932" w:type="dxa"/>
            <w:tcBorders>
              <w:tl2br w:val="nil"/>
              <w:tr2bl w:val="nil"/>
            </w:tcBorders>
            <w:shd w:val="clear" w:color="auto" w:fill="auto"/>
            <w:noWrap/>
            <w:vAlign w:val="center"/>
          </w:tcPr>
          <w:p w14:paraId="4445A836">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9</w:t>
            </w:r>
          </w:p>
        </w:tc>
        <w:tc>
          <w:tcPr>
            <w:tcW w:w="2148" w:type="dxa"/>
            <w:tcBorders>
              <w:tl2br w:val="nil"/>
              <w:tr2bl w:val="nil"/>
            </w:tcBorders>
            <w:shd w:val="clear" w:color="auto" w:fill="auto"/>
            <w:noWrap/>
            <w:vAlign w:val="center"/>
          </w:tcPr>
          <w:p w14:paraId="42CF80DA">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21.43%</w:t>
            </w:r>
          </w:p>
        </w:tc>
      </w:tr>
      <w:tr w14:paraId="1E3E5F1A">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2735" w:type="dxa"/>
            <w:vMerge w:val="restart"/>
            <w:tcBorders>
              <w:tl2br w:val="nil"/>
              <w:tr2bl w:val="nil"/>
            </w:tcBorders>
            <w:shd w:val="clear" w:color="auto" w:fill="auto"/>
            <w:vAlign w:val="center"/>
          </w:tcPr>
          <w:p w14:paraId="18C6FC2A">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10.您对运动场改造后有什么其他建议或意见</w:t>
            </w:r>
          </w:p>
        </w:tc>
        <w:tc>
          <w:tcPr>
            <w:tcW w:w="1788" w:type="dxa"/>
            <w:tcBorders>
              <w:tl2br w:val="nil"/>
              <w:tr2bl w:val="nil"/>
            </w:tcBorders>
            <w:shd w:val="clear" w:color="auto" w:fill="auto"/>
            <w:noWrap/>
            <w:vAlign w:val="center"/>
          </w:tcPr>
          <w:p w14:paraId="1F52C92D">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A:是</w:t>
            </w:r>
          </w:p>
        </w:tc>
        <w:tc>
          <w:tcPr>
            <w:tcW w:w="1932" w:type="dxa"/>
            <w:tcBorders>
              <w:tl2br w:val="nil"/>
              <w:tr2bl w:val="nil"/>
            </w:tcBorders>
            <w:shd w:val="clear" w:color="auto" w:fill="auto"/>
            <w:noWrap/>
            <w:vAlign w:val="center"/>
          </w:tcPr>
          <w:p w14:paraId="729A9373">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25</w:t>
            </w:r>
          </w:p>
        </w:tc>
        <w:tc>
          <w:tcPr>
            <w:tcW w:w="2148" w:type="dxa"/>
            <w:tcBorders>
              <w:tl2br w:val="nil"/>
              <w:tr2bl w:val="nil"/>
            </w:tcBorders>
            <w:shd w:val="clear" w:color="auto" w:fill="auto"/>
            <w:noWrap/>
            <w:vAlign w:val="center"/>
          </w:tcPr>
          <w:p w14:paraId="7A36ABEA">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59.52%</w:t>
            </w:r>
          </w:p>
        </w:tc>
      </w:tr>
      <w:tr w14:paraId="71F0EEB0">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312" w:hRule="atLeast"/>
        </w:trPr>
        <w:tc>
          <w:tcPr>
            <w:tcW w:w="2735" w:type="dxa"/>
            <w:vMerge w:val="continue"/>
            <w:tcBorders>
              <w:tl2br w:val="nil"/>
              <w:tr2bl w:val="nil"/>
            </w:tcBorders>
            <w:shd w:val="clear" w:color="auto" w:fill="auto"/>
            <w:vAlign w:val="center"/>
          </w:tcPr>
          <w:p w14:paraId="60A287C1">
            <w:pPr>
              <w:adjustRightInd/>
              <w:snapToGrid/>
              <w:spacing w:line="240" w:lineRule="auto"/>
              <w:ind w:firstLine="0" w:firstLineChars="0"/>
              <w:jc w:val="left"/>
              <w:rPr>
                <w:rFonts w:hint="default" w:ascii="Times New Roman" w:hAnsi="Times New Roman" w:eastAsia="仿宋" w:cs="Times New Roman"/>
                <w:kern w:val="0"/>
                <w:sz w:val="24"/>
              </w:rPr>
            </w:pPr>
          </w:p>
        </w:tc>
        <w:tc>
          <w:tcPr>
            <w:tcW w:w="1788" w:type="dxa"/>
            <w:tcBorders>
              <w:tl2br w:val="nil"/>
              <w:tr2bl w:val="nil"/>
            </w:tcBorders>
            <w:shd w:val="clear" w:color="auto" w:fill="auto"/>
            <w:noWrap/>
            <w:vAlign w:val="center"/>
          </w:tcPr>
          <w:p w14:paraId="38416340">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B:否</w:t>
            </w:r>
          </w:p>
        </w:tc>
        <w:tc>
          <w:tcPr>
            <w:tcW w:w="1932" w:type="dxa"/>
            <w:tcBorders>
              <w:tl2br w:val="nil"/>
              <w:tr2bl w:val="nil"/>
            </w:tcBorders>
            <w:shd w:val="clear" w:color="auto" w:fill="auto"/>
            <w:noWrap/>
            <w:vAlign w:val="center"/>
          </w:tcPr>
          <w:p w14:paraId="10825E12">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17</w:t>
            </w:r>
          </w:p>
        </w:tc>
        <w:tc>
          <w:tcPr>
            <w:tcW w:w="2148" w:type="dxa"/>
            <w:tcBorders>
              <w:tl2br w:val="nil"/>
              <w:tr2bl w:val="nil"/>
            </w:tcBorders>
            <w:shd w:val="clear" w:color="auto" w:fill="auto"/>
            <w:noWrap/>
            <w:vAlign w:val="center"/>
          </w:tcPr>
          <w:p w14:paraId="2E79706A">
            <w:pPr>
              <w:adjustRightInd/>
              <w:snapToGrid/>
              <w:spacing w:line="240" w:lineRule="auto"/>
              <w:ind w:firstLine="0" w:firstLineChars="0"/>
              <w:jc w:val="center"/>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40.48%</w:t>
            </w:r>
          </w:p>
        </w:tc>
      </w:tr>
      <w:tr w14:paraId="0F5499BA">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288" w:hRule="atLeast"/>
        </w:trPr>
        <w:tc>
          <w:tcPr>
            <w:tcW w:w="2735" w:type="dxa"/>
            <w:vMerge w:val="restart"/>
            <w:tcBorders>
              <w:tl2br w:val="nil"/>
              <w:tr2bl w:val="nil"/>
            </w:tcBorders>
            <w:shd w:val="clear" w:color="auto" w:fill="auto"/>
            <w:vAlign w:val="center"/>
          </w:tcPr>
          <w:p w14:paraId="0F07B577">
            <w:pPr>
              <w:adjustRightInd/>
              <w:snapToGrid/>
              <w:spacing w:line="240" w:lineRule="auto"/>
              <w:ind w:firstLine="0" w:firstLineChars="0"/>
              <w:jc w:val="left"/>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11：提出的意见</w:t>
            </w:r>
          </w:p>
        </w:tc>
        <w:tc>
          <w:tcPr>
            <w:tcW w:w="5868" w:type="dxa"/>
            <w:gridSpan w:val="3"/>
            <w:vMerge w:val="restart"/>
            <w:tcBorders>
              <w:tl2br w:val="nil"/>
              <w:tr2bl w:val="nil"/>
            </w:tcBorders>
            <w:shd w:val="clear" w:color="auto" w:fill="auto"/>
            <w:vAlign w:val="center"/>
          </w:tcPr>
          <w:p w14:paraId="72EC7A47">
            <w:pPr>
              <w:adjustRightInd/>
              <w:snapToGrid/>
              <w:spacing w:line="240" w:lineRule="auto"/>
              <w:ind w:firstLine="0" w:firstLineChars="0"/>
              <w:jc w:val="both"/>
              <w:rPr>
                <w:rFonts w:hint="default" w:ascii="Times New Roman" w:hAnsi="Times New Roman" w:eastAsia="仿宋" w:cs="Times New Roman"/>
                <w:kern w:val="0"/>
                <w:sz w:val="24"/>
              </w:rPr>
            </w:pPr>
            <w:r>
              <w:rPr>
                <w:rFonts w:hint="default" w:ascii="Times New Roman" w:hAnsi="Times New Roman" w:eastAsia="仿宋" w:cs="Times New Roman"/>
                <w:kern w:val="0"/>
                <w:sz w:val="24"/>
                <w:lang w:val="en-US" w:eastAsia="zh-CN"/>
              </w:rPr>
              <w:t>1.建议扩大羽毛球场2.篮球场挡个阳篷，防阳防雨3.跑道有些滑（比以前)建议改进4.建议修羽毛球馆5.乒乓球场雨后湿滑建议加大摩擦防滑措施</w:t>
            </w:r>
          </w:p>
        </w:tc>
      </w:tr>
      <w:tr w14:paraId="4643448C">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CellMar>
            <w:top w:w="0" w:type="dxa"/>
            <w:left w:w="108" w:type="dxa"/>
            <w:bottom w:w="0" w:type="dxa"/>
            <w:right w:w="108" w:type="dxa"/>
          </w:tblCellMar>
        </w:tblPrEx>
        <w:trPr>
          <w:trHeight w:val="288" w:hRule="atLeast"/>
        </w:trPr>
        <w:tc>
          <w:tcPr>
            <w:tcW w:w="2735" w:type="dxa"/>
            <w:vMerge w:val="continue"/>
            <w:tcBorders>
              <w:tl2br w:val="nil"/>
              <w:tr2bl w:val="nil"/>
            </w:tcBorders>
            <w:shd w:val="clear" w:color="auto" w:fill="auto"/>
            <w:vAlign w:val="center"/>
          </w:tcPr>
          <w:p w14:paraId="36E1A075">
            <w:pPr>
              <w:adjustRightInd/>
              <w:snapToGrid/>
              <w:spacing w:line="240" w:lineRule="auto"/>
              <w:ind w:firstLine="0" w:firstLineChars="0"/>
              <w:jc w:val="left"/>
              <w:rPr>
                <w:rFonts w:hint="default" w:ascii="Times New Roman" w:hAnsi="Times New Roman" w:eastAsia="仿宋" w:cs="Times New Roman"/>
                <w:kern w:val="0"/>
                <w:sz w:val="24"/>
              </w:rPr>
            </w:pPr>
          </w:p>
        </w:tc>
        <w:tc>
          <w:tcPr>
            <w:tcW w:w="5868" w:type="dxa"/>
            <w:gridSpan w:val="3"/>
            <w:vMerge w:val="continue"/>
            <w:tcBorders>
              <w:tl2br w:val="nil"/>
              <w:tr2bl w:val="nil"/>
            </w:tcBorders>
            <w:shd w:val="clear" w:color="auto" w:fill="auto"/>
            <w:vAlign w:val="center"/>
          </w:tcPr>
          <w:p w14:paraId="76BBD7CA">
            <w:pPr>
              <w:adjustRightInd/>
              <w:snapToGrid/>
              <w:spacing w:line="240" w:lineRule="auto"/>
              <w:ind w:firstLine="0" w:firstLineChars="0"/>
              <w:jc w:val="left"/>
              <w:rPr>
                <w:rFonts w:hint="default" w:ascii="Times New Roman" w:hAnsi="Times New Roman" w:eastAsia="仿宋" w:cs="Times New Roman"/>
                <w:kern w:val="0"/>
                <w:sz w:val="24"/>
              </w:rPr>
            </w:pPr>
          </w:p>
        </w:tc>
      </w:tr>
      <w:bookmarkEnd w:id="17"/>
    </w:tbl>
    <w:p w14:paraId="1D66F413">
      <w:pPr>
        <w:pStyle w:val="3"/>
        <w:ind w:firstLine="640"/>
        <w:rPr>
          <w:rFonts w:hint="default" w:ascii="Times New Roman" w:hAnsi="Times New Roman" w:eastAsia="黑体" w:cs="Times New Roman"/>
          <w:b/>
          <w:bCs w:val="0"/>
        </w:rPr>
      </w:pPr>
      <w:bookmarkStart w:id="57" w:name="_Toc48503673"/>
      <w:bookmarkStart w:id="58" w:name="_Toc23093329"/>
      <w:bookmarkStart w:id="59" w:name="_Toc86224151"/>
      <w:bookmarkStart w:id="60" w:name="_Toc25254"/>
      <w:r>
        <w:rPr>
          <w:rFonts w:hint="default" w:ascii="Times New Roman" w:hAnsi="Times New Roman" w:eastAsia="黑体" w:cs="Times New Roman"/>
          <w:b/>
          <w:bCs w:val="0"/>
        </w:rPr>
        <w:t>五、评价中发现的问题或不足</w:t>
      </w:r>
      <w:bookmarkEnd w:id="57"/>
      <w:bookmarkEnd w:id="58"/>
      <w:bookmarkEnd w:id="59"/>
      <w:bookmarkEnd w:id="60"/>
    </w:p>
    <w:p w14:paraId="11AE31CE">
      <w:pPr>
        <w:pStyle w:val="5"/>
        <w:ind w:firstLine="643"/>
        <w:rPr>
          <w:rFonts w:hint="default" w:ascii="Times New Roman" w:hAnsi="Times New Roman" w:eastAsia="仿宋" w:cs="Times New Roman"/>
        </w:rPr>
      </w:pPr>
      <w:bookmarkStart w:id="61" w:name="_Toc23092497"/>
      <w:bookmarkStart w:id="62" w:name="_Toc23319920"/>
      <w:bookmarkStart w:id="63" w:name="_Toc524418924"/>
      <w:bookmarkStart w:id="64" w:name="_Toc16423371"/>
      <w:bookmarkStart w:id="65" w:name="_Toc23093330"/>
      <w:bookmarkStart w:id="66" w:name="_Toc86224152"/>
      <w:bookmarkStart w:id="67" w:name="_Toc31578"/>
      <w:r>
        <w:rPr>
          <w:rFonts w:hint="default" w:ascii="Times New Roman" w:hAnsi="Times New Roman" w:eastAsia="仿宋" w:cs="Times New Roman"/>
        </w:rPr>
        <w:t>（一）</w:t>
      </w:r>
      <w:bookmarkEnd w:id="61"/>
      <w:r>
        <w:rPr>
          <w:rFonts w:hint="default" w:ascii="Times New Roman" w:hAnsi="Times New Roman" w:eastAsia="仿宋" w:cs="Times New Roman"/>
        </w:rPr>
        <w:t>项目绩效目标</w:t>
      </w:r>
      <w:bookmarkEnd w:id="62"/>
      <w:bookmarkEnd w:id="63"/>
      <w:bookmarkEnd w:id="64"/>
      <w:bookmarkEnd w:id="65"/>
      <w:bookmarkEnd w:id="66"/>
      <w:r>
        <w:rPr>
          <w:rFonts w:hint="default" w:ascii="Times New Roman" w:hAnsi="Times New Roman" w:eastAsia="仿宋" w:cs="Times New Roman"/>
        </w:rPr>
        <w:t>申报质量不高</w:t>
      </w:r>
      <w:bookmarkEnd w:id="67"/>
    </w:p>
    <w:p w14:paraId="62B96873">
      <w:pPr>
        <w:widowControl/>
        <w:kinsoku w:val="0"/>
        <w:overflowPunct w:val="0"/>
        <w:autoSpaceDE w:val="0"/>
        <w:autoSpaceDN w:val="0"/>
        <w:ind w:firstLine="660"/>
        <w:textAlignment w:val="baseline"/>
        <w:rPr>
          <w:rFonts w:hint="default" w:ascii="Times New Roman" w:hAnsi="Times New Roman" w:eastAsia="仿宋" w:cs="Times New Roman"/>
        </w:rPr>
      </w:pPr>
      <w:r>
        <w:rPr>
          <w:rFonts w:hint="default" w:ascii="Times New Roman" w:hAnsi="Times New Roman" w:eastAsia="仿宋" w:cs="Times New Roman"/>
          <w:spacing w:val="5"/>
          <w:szCs w:val="32"/>
        </w:rPr>
        <w:t>项目预算在编制时绩效目标申报表未设置指标内容且数量指标未细化量化，时效指标未明确具体的日期、时间段会导致执行和评估时的模糊性和不确定性，未充分考虑长期效益、</w:t>
      </w:r>
      <w:r>
        <w:rPr>
          <w:rFonts w:hint="default" w:ascii="Times New Roman" w:hAnsi="Times New Roman" w:eastAsia="仿宋" w:cs="Times New Roman"/>
          <w:szCs w:val="32"/>
        </w:rPr>
        <w:t>未设置经济指标、社会效益指标</w:t>
      </w:r>
      <w:r>
        <w:rPr>
          <w:rFonts w:hint="default" w:ascii="Times New Roman" w:hAnsi="Times New Roman" w:eastAsia="仿宋" w:cs="Times New Roman"/>
          <w:spacing w:val="5"/>
          <w:szCs w:val="32"/>
        </w:rPr>
        <w:t>。成本指标未明确相对应的金额，会导致预算控制困难、资源浪费会导致项目实施阶段预算不足或超支，影响项目的顺利进行。</w:t>
      </w:r>
    </w:p>
    <w:p w14:paraId="7DE901F4">
      <w:pPr>
        <w:pStyle w:val="5"/>
        <w:ind w:firstLine="643"/>
        <w:rPr>
          <w:rFonts w:hint="default" w:ascii="Times New Roman" w:hAnsi="Times New Roman" w:eastAsia="仿宋" w:cs="Times New Roman"/>
        </w:rPr>
      </w:pPr>
      <w:bookmarkStart w:id="68" w:name="_Toc41234189"/>
      <w:bookmarkStart w:id="69" w:name="_Toc86224154"/>
      <w:bookmarkStart w:id="70" w:name="_Toc32038"/>
      <w:r>
        <w:rPr>
          <w:rFonts w:hint="default" w:ascii="Times New Roman" w:hAnsi="Times New Roman" w:eastAsia="仿宋" w:cs="Times New Roman"/>
        </w:rPr>
        <w:t>（二）</w:t>
      </w:r>
      <w:bookmarkEnd w:id="68"/>
      <w:bookmarkEnd w:id="69"/>
      <w:r>
        <w:rPr>
          <w:rFonts w:hint="default" w:ascii="Times New Roman" w:hAnsi="Times New Roman" w:eastAsia="仿宋" w:cs="Times New Roman"/>
        </w:rPr>
        <w:t>项目未按合同支付合同款</w:t>
      </w:r>
      <w:bookmarkEnd w:id="70"/>
    </w:p>
    <w:p w14:paraId="6EFCE958">
      <w:pPr>
        <w:ind w:firstLine="640"/>
        <w:rPr>
          <w:rFonts w:hint="default" w:ascii="Times New Roman" w:hAnsi="Times New Roman" w:eastAsia="仿宋" w:cs="Times New Roman"/>
          <w:szCs w:val="32"/>
        </w:rPr>
      </w:pPr>
      <w:bookmarkStart w:id="71" w:name="_Toc30945"/>
      <w:bookmarkStart w:id="72" w:name="_Toc28685"/>
      <w:bookmarkStart w:id="73" w:name="_Toc86224155"/>
      <w:r>
        <w:rPr>
          <w:rFonts w:hint="default" w:ascii="Times New Roman" w:hAnsi="Times New Roman" w:eastAsia="仿宋" w:cs="Times New Roman"/>
          <w:szCs w:val="32"/>
          <w:lang w:eastAsia="zh-CN"/>
        </w:rPr>
        <w:t>罗江中学校</w:t>
      </w:r>
      <w:r>
        <w:rPr>
          <w:rFonts w:hint="default" w:ascii="Times New Roman" w:hAnsi="Times New Roman" w:eastAsia="仿宋" w:cs="Times New Roman"/>
          <w:szCs w:val="32"/>
        </w:rPr>
        <w:t>在支付项目监理费及咨询服务费时未按合同规定支付该款项资金。1</w:t>
      </w:r>
      <w:r>
        <w:rPr>
          <w:rFonts w:hint="default" w:ascii="Times New Roman" w:hAnsi="Times New Roman" w:eastAsia="仿宋" w:cs="Times New Roman"/>
          <w:szCs w:val="32"/>
          <w:lang w:eastAsia="zh-CN"/>
        </w:rPr>
        <w:t>：</w:t>
      </w:r>
      <w:r>
        <w:rPr>
          <w:rFonts w:hint="default" w:ascii="Times New Roman" w:hAnsi="Times New Roman" w:eastAsia="仿宋" w:cs="Times New Roman"/>
          <w:szCs w:val="32"/>
        </w:rPr>
        <w:t>应支付给德阳鑫华建工集团有限公司的首付款监理服务费，合同约定在合同签订后7天内支付，但实际支付晚于一个多月，首付款未在合同约定时间内支付。2</w:t>
      </w:r>
      <w:r>
        <w:rPr>
          <w:rFonts w:hint="default" w:ascii="Times New Roman" w:hAnsi="Times New Roman" w:eastAsia="仿宋" w:cs="Times New Roman"/>
          <w:szCs w:val="32"/>
          <w:lang w:eastAsia="zh-CN"/>
        </w:rPr>
        <w:t>：</w:t>
      </w:r>
      <w:r>
        <w:rPr>
          <w:rFonts w:hint="default" w:ascii="Times New Roman" w:hAnsi="Times New Roman" w:eastAsia="仿宋" w:cs="Times New Roman"/>
          <w:szCs w:val="32"/>
        </w:rPr>
        <w:t>应支付给四川川田联体育发展有限公司的预付款咨询服务费，合同约定在合同签订后10个工作日内支付，但实际支付晚于两个多月，预付款未在合同约定时间内支付。</w:t>
      </w:r>
    </w:p>
    <w:p w14:paraId="7790D0F9">
      <w:pPr>
        <w:pStyle w:val="5"/>
        <w:ind w:firstLine="643"/>
        <w:rPr>
          <w:rFonts w:hint="default" w:ascii="Times New Roman" w:hAnsi="Times New Roman" w:eastAsia="仿宋" w:cs="Times New Roman"/>
        </w:rPr>
      </w:pPr>
      <w:bookmarkStart w:id="74" w:name="_Toc22011"/>
      <w:r>
        <w:rPr>
          <w:rFonts w:hint="default" w:ascii="Times New Roman" w:hAnsi="Times New Roman" w:eastAsia="仿宋" w:cs="Times New Roman"/>
        </w:rPr>
        <w:t>（三）改造后的运动场存在质量及增加设备设施问题</w:t>
      </w:r>
      <w:bookmarkEnd w:id="74"/>
    </w:p>
    <w:p w14:paraId="09ADD1FA">
      <w:pPr>
        <w:ind w:firstLine="640"/>
        <w:rPr>
          <w:rFonts w:hint="default" w:ascii="Times New Roman" w:hAnsi="Times New Roman" w:eastAsia="仿宋" w:cs="Times New Roman"/>
          <w:szCs w:val="32"/>
        </w:rPr>
      </w:pPr>
      <w:r>
        <w:rPr>
          <w:rFonts w:hint="default" w:ascii="Times New Roman" w:hAnsi="Times New Roman" w:eastAsia="仿宋" w:cs="Times New Roman"/>
          <w:bCs/>
          <w:szCs w:val="32"/>
        </w:rPr>
        <w:t>绩效小组通过对</w:t>
      </w:r>
      <w:r>
        <w:rPr>
          <w:rFonts w:hint="default" w:ascii="Times New Roman" w:hAnsi="Times New Roman" w:eastAsia="仿宋" w:cs="Times New Roman"/>
          <w:bCs/>
          <w:szCs w:val="32"/>
          <w:lang w:eastAsia="zh-CN"/>
        </w:rPr>
        <w:t>罗江中学校</w:t>
      </w:r>
      <w:r>
        <w:rPr>
          <w:rFonts w:hint="default" w:ascii="Times New Roman" w:hAnsi="Times New Roman" w:eastAsia="仿宋" w:cs="Times New Roman"/>
          <w:bCs/>
          <w:szCs w:val="32"/>
        </w:rPr>
        <w:t>学生及教师进行的运动场改造使用状况进行了问卷调查，通过问卷得出运动场存在损坏和改造后运动质量问题，以及有同学建议增加运动场设备设施、塑胶跑道比改造前滑等问题。</w:t>
      </w:r>
    </w:p>
    <w:bookmarkEnd w:id="71"/>
    <w:bookmarkEnd w:id="72"/>
    <w:bookmarkEnd w:id="73"/>
    <w:p w14:paraId="6C5D1E7D">
      <w:pPr>
        <w:pStyle w:val="3"/>
        <w:ind w:firstLine="640"/>
        <w:rPr>
          <w:rFonts w:hint="default" w:ascii="Times New Roman" w:hAnsi="Times New Roman" w:eastAsia="黑体" w:cs="Times New Roman"/>
          <w:b/>
          <w:bCs w:val="0"/>
        </w:rPr>
      </w:pPr>
      <w:bookmarkStart w:id="75" w:name="_Toc11008"/>
      <w:bookmarkStart w:id="76" w:name="_Toc86224156"/>
      <w:r>
        <w:rPr>
          <w:rFonts w:hint="default" w:ascii="Times New Roman" w:hAnsi="Times New Roman" w:eastAsia="黑体" w:cs="Times New Roman"/>
          <w:b/>
          <w:bCs w:val="0"/>
        </w:rPr>
        <w:t>六、评价建议</w:t>
      </w:r>
      <w:bookmarkEnd w:id="75"/>
      <w:bookmarkEnd w:id="76"/>
    </w:p>
    <w:p w14:paraId="4B6783DE">
      <w:pPr>
        <w:pStyle w:val="5"/>
        <w:ind w:firstLine="643"/>
        <w:rPr>
          <w:rFonts w:hint="default" w:ascii="Times New Roman" w:hAnsi="Times New Roman" w:eastAsia="仿宋" w:cs="Times New Roman"/>
        </w:rPr>
      </w:pPr>
      <w:bookmarkStart w:id="77" w:name="_Toc23319924"/>
      <w:bookmarkStart w:id="78" w:name="_Toc24273"/>
      <w:bookmarkStart w:id="79" w:name="_Toc86224157"/>
      <w:r>
        <w:rPr>
          <w:rFonts w:hint="default" w:ascii="Times New Roman" w:hAnsi="Times New Roman" w:eastAsia="仿宋" w:cs="Times New Roman"/>
        </w:rPr>
        <w:t>（一）规范项目绩效目标申报</w:t>
      </w:r>
      <w:bookmarkEnd w:id="77"/>
      <w:r>
        <w:rPr>
          <w:rFonts w:hint="default" w:ascii="Times New Roman" w:hAnsi="Times New Roman" w:eastAsia="仿宋" w:cs="Times New Roman"/>
        </w:rPr>
        <w:t>管理</w:t>
      </w:r>
      <w:bookmarkEnd w:id="78"/>
      <w:bookmarkEnd w:id="79"/>
    </w:p>
    <w:p w14:paraId="5D3AA933">
      <w:pPr>
        <w:ind w:firstLine="640"/>
        <w:rPr>
          <w:rFonts w:hint="default" w:ascii="Times New Roman" w:hAnsi="Times New Roman" w:eastAsia="仿宋" w:cs="Times New Roman"/>
        </w:rPr>
      </w:pPr>
      <w:r>
        <w:rPr>
          <w:rFonts w:hint="default" w:ascii="Times New Roman" w:hAnsi="Times New Roman" w:eastAsia="仿宋" w:cs="Times New Roman"/>
        </w:rPr>
        <w:t>针对项目绩效目标申报质量不高问题，</w:t>
      </w:r>
      <w:r>
        <w:rPr>
          <w:rFonts w:hint="default" w:ascii="Times New Roman" w:hAnsi="Times New Roman" w:eastAsia="仿宋" w:cs="Times New Roman"/>
          <w:lang w:eastAsia="zh-CN"/>
        </w:rPr>
        <w:t>罗江中学校</w:t>
      </w:r>
      <w:r>
        <w:rPr>
          <w:rFonts w:hint="default" w:ascii="Times New Roman" w:hAnsi="Times New Roman" w:eastAsia="仿宋" w:cs="Times New Roman"/>
        </w:rPr>
        <w:t>进一步提升绩效目标申报质量，在保障完整性的同时，细化分解各类指标，使其明确、合理、可衡量，为项目监控、后期监督检查与绩效评价提供可参考依据；建议罗江财政局加强绩效目标申报培训和质量审核，对填报不完整、质量不达标的应不予通过，经预算部门完善后方可进入预算编制的下一个流程，以提高绩效观念和资金使用效率。</w:t>
      </w:r>
    </w:p>
    <w:p w14:paraId="2E79E34B">
      <w:pPr>
        <w:pStyle w:val="5"/>
        <w:ind w:firstLine="643"/>
        <w:rPr>
          <w:rFonts w:hint="default" w:ascii="Times New Roman" w:hAnsi="Times New Roman" w:eastAsia="仿宋" w:cs="Times New Roman"/>
        </w:rPr>
      </w:pPr>
      <w:bookmarkStart w:id="80" w:name="_Toc30322"/>
      <w:r>
        <w:rPr>
          <w:rFonts w:hint="default" w:ascii="Times New Roman" w:hAnsi="Times New Roman" w:eastAsia="仿宋" w:cs="Times New Roman"/>
        </w:rPr>
        <w:t>（二）</w:t>
      </w:r>
      <w:r>
        <w:rPr>
          <w:rFonts w:hint="default" w:ascii="Times New Roman" w:hAnsi="Times New Roman" w:eastAsia="仿宋" w:cs="Times New Roman"/>
          <w:lang w:val="en-US" w:eastAsia="zh-CN"/>
        </w:rPr>
        <w:t>严格按照</w:t>
      </w:r>
      <w:r>
        <w:rPr>
          <w:rFonts w:hint="default" w:ascii="Times New Roman" w:hAnsi="Times New Roman" w:eastAsia="仿宋" w:cs="Times New Roman"/>
        </w:rPr>
        <w:t>合同</w:t>
      </w:r>
      <w:r>
        <w:rPr>
          <w:rFonts w:hint="default" w:ascii="Times New Roman" w:hAnsi="Times New Roman" w:eastAsia="仿宋" w:cs="Times New Roman"/>
          <w:lang w:val="en-US" w:eastAsia="zh-CN"/>
        </w:rPr>
        <w:t>要求</w:t>
      </w:r>
      <w:r>
        <w:rPr>
          <w:rFonts w:hint="default" w:ascii="Times New Roman" w:hAnsi="Times New Roman" w:eastAsia="仿宋" w:cs="Times New Roman"/>
        </w:rPr>
        <w:t>支付款项</w:t>
      </w:r>
      <w:bookmarkEnd w:id="80"/>
    </w:p>
    <w:p w14:paraId="15117EF4">
      <w:pPr>
        <w:ind w:firstLine="640"/>
        <w:rPr>
          <w:rFonts w:hint="default" w:ascii="Times New Roman" w:hAnsi="Times New Roman" w:eastAsia="仿宋" w:cs="Times New Roman"/>
        </w:rPr>
      </w:pPr>
      <w:r>
        <w:rPr>
          <w:rFonts w:hint="default" w:ascii="Times New Roman" w:hAnsi="Times New Roman" w:eastAsia="仿宋" w:cs="Times New Roman"/>
        </w:rPr>
        <w:t>加强对合同约定制度的管理，明确合同约定的各项权利与义务，针对未及时按照合同约定时间内付款，应及时采取相应措施告知对方什么原因延迟支付，与对方取得相应的沟通。确保在下一次能够按时支付或者如不能按时支付，应明确新的支付时间和方式并提前通知对方，取得对方的同意，以免引起不必要的法律纠纷。</w:t>
      </w:r>
    </w:p>
    <w:p w14:paraId="5B400DC9">
      <w:pPr>
        <w:pStyle w:val="5"/>
        <w:ind w:firstLine="643"/>
        <w:rPr>
          <w:rFonts w:hint="default" w:ascii="Times New Roman" w:hAnsi="Times New Roman" w:eastAsia="仿宋" w:cs="Times New Roman"/>
          <w:lang w:val="en-US" w:eastAsia="zh-CN"/>
        </w:rPr>
      </w:pPr>
      <w:bookmarkStart w:id="81" w:name="_Toc29510"/>
      <w:r>
        <w:rPr>
          <w:rFonts w:hint="default" w:ascii="Times New Roman" w:hAnsi="Times New Roman" w:eastAsia="仿宋" w:cs="Times New Roman"/>
        </w:rPr>
        <w:t>（三）定期检查与维护</w:t>
      </w:r>
      <w:r>
        <w:rPr>
          <w:rFonts w:hint="default" w:ascii="Times New Roman" w:hAnsi="Times New Roman" w:eastAsia="仿宋" w:cs="Times New Roman"/>
          <w:lang w:val="en-US" w:eastAsia="zh-CN"/>
        </w:rPr>
        <w:t>运动场</w:t>
      </w:r>
      <w:bookmarkEnd w:id="81"/>
    </w:p>
    <w:p w14:paraId="435DCC3C">
      <w:pPr>
        <w:ind w:firstLine="640"/>
        <w:rPr>
          <w:rFonts w:hint="default" w:ascii="Times New Roman" w:hAnsi="Times New Roman" w:eastAsia="仿宋" w:cs="Times New Roman"/>
        </w:rPr>
      </w:pPr>
      <w:r>
        <w:rPr>
          <w:rFonts w:hint="default" w:ascii="Times New Roman" w:hAnsi="Times New Roman" w:eastAsia="仿宋" w:cs="Times New Roman"/>
        </w:rPr>
        <w:t>建立定期巡检制度，对运动场设施进行全面检查，及时发现并处理潜在损坏问题，根据学生提出问题进行整改、更正，需要从立即修复、加强维护、质量回溯、专业监理、用户反馈、设施升级、环保与可持续发展以及培训与宣传等多个方面入手，制定具体的解决方案并付诸实施。</w:t>
      </w:r>
    </w:p>
    <w:p w14:paraId="6F7E0D55">
      <w:pPr>
        <w:ind w:firstLine="640"/>
        <w:rPr>
          <w:rFonts w:hint="default" w:ascii="Times New Roman" w:hAnsi="Times New Roman" w:eastAsia="仿宋" w:cs="Times New Roman"/>
        </w:rPr>
      </w:pPr>
    </w:p>
    <w:p w14:paraId="115B65D5">
      <w:pPr>
        <w:pStyle w:val="2"/>
        <w:rPr>
          <w:rFonts w:hint="default" w:ascii="Times New Roman" w:hAnsi="Times New Roman" w:eastAsia="仿宋" w:cs="Times New Roman"/>
        </w:rPr>
      </w:pPr>
    </w:p>
    <w:p w14:paraId="7FC7349D">
      <w:pPr>
        <w:keepNext w:val="0"/>
        <w:keepLines w:val="0"/>
        <w:pageBreakBefore w:val="0"/>
        <w:widowControl w:val="0"/>
        <w:kinsoku/>
        <w:wordWrap/>
        <w:overflowPunct/>
        <w:topLinePunct w:val="0"/>
        <w:autoSpaceDE/>
        <w:autoSpaceDN/>
        <w:bidi w:val="0"/>
        <w:adjustRightInd w:val="0"/>
        <w:snapToGrid w:val="0"/>
        <w:ind w:left="0" w:leftChars="0" w:firstLine="0" w:firstLineChars="0"/>
        <w:jc w:val="both"/>
        <w:textAlignment w:val="auto"/>
        <w:rPr>
          <w:rFonts w:hint="eastAsia" w:ascii="仿宋" w:hAnsi="仿宋" w:eastAsia="仿宋" w:cs="仿宋"/>
          <w:sz w:val="32"/>
          <w:szCs w:val="32"/>
          <w:lang w:val="en-US" w:eastAsia="zh-CN"/>
        </w:rPr>
      </w:pPr>
    </w:p>
    <w:p w14:paraId="31B958AC">
      <w:pPr>
        <w:pStyle w:val="3"/>
        <w:bidi w:val="0"/>
        <w:rPr>
          <w:rFonts w:hint="default" w:ascii="Times New Roman" w:hAnsi="Times New Roman" w:eastAsia="仿宋" w:cs="Times New Roman"/>
          <w:lang w:val="en-US" w:eastAsia="zh-CN"/>
        </w:rPr>
        <w:sectPr>
          <w:footerReference r:id="rId8" w:type="default"/>
          <w:pgSz w:w="11906" w:h="16838"/>
          <w:pgMar w:top="2098" w:right="1474" w:bottom="1985" w:left="1588"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5BC371F8">
      <w:pPr>
        <w:ind w:left="0" w:leftChars="0" w:firstLine="0" w:firstLineChars="0"/>
        <w:rPr>
          <w:rFonts w:hint="default" w:ascii="Times New Roman" w:hAnsi="Times New Roman" w:eastAsia="仿宋" w:cs="Times New Roman"/>
        </w:rPr>
      </w:pPr>
    </w:p>
    <w:sectPr>
      <w:footerReference r:id="rId9" w:type="default"/>
      <w:pgSz w:w="16838" w:h="11906" w:orient="landscape"/>
      <w:pgMar w:top="1588" w:right="2098" w:bottom="1474" w:left="1985"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4D"/>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B8C6614-3717-4BB1-83B1-E78230C9C24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2" w:fontKey="{E213AA88-034E-4E6D-B643-E522604C21F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embedRegular r:id="rId3" w:fontKey="{9E73D5B6-352D-40F9-8BA5-78B0861F6F4D}"/>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AEF25">
    <w:pPr>
      <w:pStyle w:val="17"/>
      <w:ind w:firstLine="420"/>
      <w:jc w:val="center"/>
      <w:rPr>
        <w:caps/>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46666">
    <w:pPr>
      <w:pStyle w:val="17"/>
      <w:ind w:firstLine="420"/>
      <w:jc w:val="center"/>
      <w:rPr>
        <w:caps/>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AD526">
    <w:pPr>
      <w:pStyle w:val="17"/>
      <w:ind w:firstLine="420"/>
      <w:jc w:val="center"/>
      <w:rPr>
        <w:caps/>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33B480">
                          <w:pPr>
                            <w:pStyle w:val="17"/>
                            <w:ind w:firstLine="420"/>
                            <w:jc w:val="center"/>
                          </w:pPr>
                          <w:r>
                            <w:rPr>
                              <w:caps/>
                              <w:sz w:val="21"/>
                              <w:szCs w:val="21"/>
                            </w:rPr>
                            <w:fldChar w:fldCharType="begin"/>
                          </w:r>
                          <w:r>
                            <w:rPr>
                              <w:caps/>
                              <w:sz w:val="21"/>
                              <w:szCs w:val="21"/>
                            </w:rPr>
                            <w:instrText xml:space="preserve">PAGE   \* MERGEFORMAT</w:instrText>
                          </w:r>
                          <w:r>
                            <w:rPr>
                              <w:caps/>
                              <w:sz w:val="21"/>
                              <w:szCs w:val="21"/>
                            </w:rPr>
                            <w:fldChar w:fldCharType="separate"/>
                          </w:r>
                          <w:r>
                            <w:rPr>
                              <w:caps/>
                              <w:sz w:val="21"/>
                              <w:szCs w:val="21"/>
                              <w:lang w:val="zh-CN"/>
                            </w:rPr>
                            <w:t>2</w:t>
                          </w:r>
                          <w:r>
                            <w:rPr>
                              <w:caps/>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233B480">
                    <w:pPr>
                      <w:pStyle w:val="17"/>
                      <w:ind w:firstLine="420"/>
                      <w:jc w:val="center"/>
                    </w:pPr>
                    <w:r>
                      <w:rPr>
                        <w:caps/>
                        <w:sz w:val="21"/>
                        <w:szCs w:val="21"/>
                      </w:rPr>
                      <w:fldChar w:fldCharType="begin"/>
                    </w:r>
                    <w:r>
                      <w:rPr>
                        <w:caps/>
                        <w:sz w:val="21"/>
                        <w:szCs w:val="21"/>
                      </w:rPr>
                      <w:instrText xml:space="preserve">PAGE   \* MERGEFORMAT</w:instrText>
                    </w:r>
                    <w:r>
                      <w:rPr>
                        <w:caps/>
                        <w:sz w:val="21"/>
                        <w:szCs w:val="21"/>
                      </w:rPr>
                      <w:fldChar w:fldCharType="separate"/>
                    </w:r>
                    <w:r>
                      <w:rPr>
                        <w:caps/>
                        <w:sz w:val="21"/>
                        <w:szCs w:val="21"/>
                        <w:lang w:val="zh-CN"/>
                      </w:rPr>
                      <w:t>2</w:t>
                    </w:r>
                    <w:r>
                      <w:rPr>
                        <w:caps/>
                        <w:sz w:val="21"/>
                        <w:szCs w:val="21"/>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A34B5">
    <w:pPr>
      <w:pStyle w:val="17"/>
      <w:ind w:firstLine="420"/>
      <w:jc w:val="center"/>
      <w:rPr>
        <w:caps/>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D09495">
                          <w:pPr>
                            <w:pStyle w:val="17"/>
                            <w:ind w:firstLine="420"/>
                            <w:jc w:val="center"/>
                          </w:pPr>
                          <w:r>
                            <w:rPr>
                              <w:caps/>
                              <w:sz w:val="21"/>
                              <w:szCs w:val="21"/>
                            </w:rPr>
                            <w:fldChar w:fldCharType="begin"/>
                          </w:r>
                          <w:r>
                            <w:rPr>
                              <w:caps/>
                              <w:sz w:val="21"/>
                              <w:szCs w:val="21"/>
                            </w:rPr>
                            <w:instrText xml:space="preserve">PAGE   \* MERGEFORMAT</w:instrText>
                          </w:r>
                          <w:r>
                            <w:rPr>
                              <w:caps/>
                              <w:sz w:val="21"/>
                              <w:szCs w:val="21"/>
                            </w:rPr>
                            <w:fldChar w:fldCharType="separate"/>
                          </w:r>
                          <w:r>
                            <w:rPr>
                              <w:caps/>
                              <w:sz w:val="21"/>
                              <w:szCs w:val="21"/>
                              <w:lang w:val="zh-CN"/>
                            </w:rPr>
                            <w:t>2</w:t>
                          </w:r>
                          <w:r>
                            <w:rPr>
                              <w:caps/>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54D09495">
                    <w:pPr>
                      <w:pStyle w:val="17"/>
                      <w:ind w:firstLine="420"/>
                      <w:jc w:val="center"/>
                    </w:pPr>
                    <w:r>
                      <w:rPr>
                        <w:caps/>
                        <w:sz w:val="21"/>
                        <w:szCs w:val="21"/>
                      </w:rPr>
                      <w:fldChar w:fldCharType="begin"/>
                    </w:r>
                    <w:r>
                      <w:rPr>
                        <w:caps/>
                        <w:sz w:val="21"/>
                        <w:szCs w:val="21"/>
                      </w:rPr>
                      <w:instrText xml:space="preserve">PAGE   \* MERGEFORMAT</w:instrText>
                    </w:r>
                    <w:r>
                      <w:rPr>
                        <w:caps/>
                        <w:sz w:val="21"/>
                        <w:szCs w:val="21"/>
                      </w:rPr>
                      <w:fldChar w:fldCharType="separate"/>
                    </w:r>
                    <w:r>
                      <w:rPr>
                        <w:caps/>
                        <w:sz w:val="21"/>
                        <w:szCs w:val="21"/>
                        <w:lang w:val="zh-CN"/>
                      </w:rPr>
                      <w:t>2</w:t>
                    </w:r>
                    <w:r>
                      <w:rPr>
                        <w:caps/>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4FFB1">
    <w:pPr>
      <w:ind w:firstLine="0" w:firstLineChars="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4ZjZiZWUyMWY3NGEwZTJlNTkxODY4MDIyMTY4YmMifQ=="/>
  </w:docVars>
  <w:rsids>
    <w:rsidRoot w:val="00372F16"/>
    <w:rsid w:val="0001575A"/>
    <w:rsid w:val="000169DC"/>
    <w:rsid w:val="00022C73"/>
    <w:rsid w:val="000235E4"/>
    <w:rsid w:val="000308EC"/>
    <w:rsid w:val="00033184"/>
    <w:rsid w:val="0004145B"/>
    <w:rsid w:val="00045081"/>
    <w:rsid w:val="0004538C"/>
    <w:rsid w:val="00051042"/>
    <w:rsid w:val="0005485C"/>
    <w:rsid w:val="0006248A"/>
    <w:rsid w:val="00063057"/>
    <w:rsid w:val="0006685E"/>
    <w:rsid w:val="00077D79"/>
    <w:rsid w:val="000817A8"/>
    <w:rsid w:val="00084A67"/>
    <w:rsid w:val="0008611B"/>
    <w:rsid w:val="00093A65"/>
    <w:rsid w:val="00096B20"/>
    <w:rsid w:val="00097770"/>
    <w:rsid w:val="000A03C1"/>
    <w:rsid w:val="000A16A9"/>
    <w:rsid w:val="000A5F4F"/>
    <w:rsid w:val="000B350F"/>
    <w:rsid w:val="000B39F2"/>
    <w:rsid w:val="000C13F1"/>
    <w:rsid w:val="000C452C"/>
    <w:rsid w:val="000D02FB"/>
    <w:rsid w:val="000D1EFA"/>
    <w:rsid w:val="000E0673"/>
    <w:rsid w:val="000F0178"/>
    <w:rsid w:val="000F4CF8"/>
    <w:rsid w:val="000F62FF"/>
    <w:rsid w:val="00100E59"/>
    <w:rsid w:val="00102684"/>
    <w:rsid w:val="00105F67"/>
    <w:rsid w:val="00112260"/>
    <w:rsid w:val="00120965"/>
    <w:rsid w:val="0012141F"/>
    <w:rsid w:val="0012168A"/>
    <w:rsid w:val="00122A8C"/>
    <w:rsid w:val="00127269"/>
    <w:rsid w:val="001303D4"/>
    <w:rsid w:val="00130BFE"/>
    <w:rsid w:val="0014780D"/>
    <w:rsid w:val="001503AD"/>
    <w:rsid w:val="00152B8B"/>
    <w:rsid w:val="00156570"/>
    <w:rsid w:val="001637F1"/>
    <w:rsid w:val="0016400F"/>
    <w:rsid w:val="001642D3"/>
    <w:rsid w:val="00164E22"/>
    <w:rsid w:val="001707E4"/>
    <w:rsid w:val="00180A74"/>
    <w:rsid w:val="001849E9"/>
    <w:rsid w:val="00187545"/>
    <w:rsid w:val="00192138"/>
    <w:rsid w:val="00192881"/>
    <w:rsid w:val="00196D51"/>
    <w:rsid w:val="001B099A"/>
    <w:rsid w:val="001B0BCD"/>
    <w:rsid w:val="001B5761"/>
    <w:rsid w:val="001C033B"/>
    <w:rsid w:val="001C1CD1"/>
    <w:rsid w:val="001C46C5"/>
    <w:rsid w:val="001D1153"/>
    <w:rsid w:val="001D3A23"/>
    <w:rsid w:val="001D3D8C"/>
    <w:rsid w:val="001D4AE7"/>
    <w:rsid w:val="001D4EE4"/>
    <w:rsid w:val="001D6CA3"/>
    <w:rsid w:val="001E0490"/>
    <w:rsid w:val="001E2F0F"/>
    <w:rsid w:val="001E5188"/>
    <w:rsid w:val="001F11F3"/>
    <w:rsid w:val="001F22A2"/>
    <w:rsid w:val="001F34FE"/>
    <w:rsid w:val="001F4FC8"/>
    <w:rsid w:val="00200959"/>
    <w:rsid w:val="002024D0"/>
    <w:rsid w:val="00203FF5"/>
    <w:rsid w:val="00207204"/>
    <w:rsid w:val="00212943"/>
    <w:rsid w:val="00215C8B"/>
    <w:rsid w:val="00216A7D"/>
    <w:rsid w:val="0022116C"/>
    <w:rsid w:val="0022348D"/>
    <w:rsid w:val="00225E42"/>
    <w:rsid w:val="00225E86"/>
    <w:rsid w:val="0023363F"/>
    <w:rsid w:val="002422A1"/>
    <w:rsid w:val="00242378"/>
    <w:rsid w:val="0024324B"/>
    <w:rsid w:val="00245614"/>
    <w:rsid w:val="002466CE"/>
    <w:rsid w:val="00252E1A"/>
    <w:rsid w:val="00252FE3"/>
    <w:rsid w:val="00257FF2"/>
    <w:rsid w:val="00260206"/>
    <w:rsid w:val="00260E44"/>
    <w:rsid w:val="00270633"/>
    <w:rsid w:val="0028096E"/>
    <w:rsid w:val="002813EF"/>
    <w:rsid w:val="00282712"/>
    <w:rsid w:val="00284466"/>
    <w:rsid w:val="00284809"/>
    <w:rsid w:val="00294AFD"/>
    <w:rsid w:val="002A73BC"/>
    <w:rsid w:val="002C07D9"/>
    <w:rsid w:val="002C13C9"/>
    <w:rsid w:val="002C4D52"/>
    <w:rsid w:val="002C6402"/>
    <w:rsid w:val="002D1245"/>
    <w:rsid w:val="002D2A1A"/>
    <w:rsid w:val="002D6D79"/>
    <w:rsid w:val="002E039C"/>
    <w:rsid w:val="002E12D9"/>
    <w:rsid w:val="002E242F"/>
    <w:rsid w:val="002E5E6B"/>
    <w:rsid w:val="002F3FDA"/>
    <w:rsid w:val="002F43C5"/>
    <w:rsid w:val="002F559E"/>
    <w:rsid w:val="0030245B"/>
    <w:rsid w:val="0030295D"/>
    <w:rsid w:val="00306A70"/>
    <w:rsid w:val="00312CD5"/>
    <w:rsid w:val="00322DFA"/>
    <w:rsid w:val="00323588"/>
    <w:rsid w:val="0032416B"/>
    <w:rsid w:val="00325120"/>
    <w:rsid w:val="0032632B"/>
    <w:rsid w:val="0032687F"/>
    <w:rsid w:val="00344E25"/>
    <w:rsid w:val="00352143"/>
    <w:rsid w:val="0035279E"/>
    <w:rsid w:val="00362D82"/>
    <w:rsid w:val="0036798C"/>
    <w:rsid w:val="003707BB"/>
    <w:rsid w:val="00372F16"/>
    <w:rsid w:val="00382DA9"/>
    <w:rsid w:val="00386057"/>
    <w:rsid w:val="00387D44"/>
    <w:rsid w:val="0039216D"/>
    <w:rsid w:val="00393D7B"/>
    <w:rsid w:val="00394E67"/>
    <w:rsid w:val="003A3172"/>
    <w:rsid w:val="003B6E39"/>
    <w:rsid w:val="003C018E"/>
    <w:rsid w:val="003C3C8E"/>
    <w:rsid w:val="003C4E69"/>
    <w:rsid w:val="003D507E"/>
    <w:rsid w:val="003E51BC"/>
    <w:rsid w:val="003E7733"/>
    <w:rsid w:val="003E77E8"/>
    <w:rsid w:val="003F4805"/>
    <w:rsid w:val="00405E55"/>
    <w:rsid w:val="0040739E"/>
    <w:rsid w:val="00413354"/>
    <w:rsid w:val="0041603E"/>
    <w:rsid w:val="00417FDE"/>
    <w:rsid w:val="004208E7"/>
    <w:rsid w:val="004234AF"/>
    <w:rsid w:val="004258D6"/>
    <w:rsid w:val="00430A2F"/>
    <w:rsid w:val="004402BF"/>
    <w:rsid w:val="00444687"/>
    <w:rsid w:val="00444E68"/>
    <w:rsid w:val="00445FCB"/>
    <w:rsid w:val="00447954"/>
    <w:rsid w:val="00451C53"/>
    <w:rsid w:val="004524E7"/>
    <w:rsid w:val="00454E0C"/>
    <w:rsid w:val="004657D6"/>
    <w:rsid w:val="00471C9C"/>
    <w:rsid w:val="004767AB"/>
    <w:rsid w:val="00477824"/>
    <w:rsid w:val="004806E8"/>
    <w:rsid w:val="00481F57"/>
    <w:rsid w:val="00487D69"/>
    <w:rsid w:val="00490763"/>
    <w:rsid w:val="004907FD"/>
    <w:rsid w:val="004919CF"/>
    <w:rsid w:val="00492535"/>
    <w:rsid w:val="00497713"/>
    <w:rsid w:val="004B69D8"/>
    <w:rsid w:val="004C2BF9"/>
    <w:rsid w:val="004D0773"/>
    <w:rsid w:val="004D2BC3"/>
    <w:rsid w:val="004D5612"/>
    <w:rsid w:val="004D595B"/>
    <w:rsid w:val="004D5DD2"/>
    <w:rsid w:val="004E6226"/>
    <w:rsid w:val="004F308A"/>
    <w:rsid w:val="004F618F"/>
    <w:rsid w:val="00500763"/>
    <w:rsid w:val="00503D63"/>
    <w:rsid w:val="00503F3B"/>
    <w:rsid w:val="00504314"/>
    <w:rsid w:val="00504D37"/>
    <w:rsid w:val="00506CAD"/>
    <w:rsid w:val="00513DA1"/>
    <w:rsid w:val="00516A31"/>
    <w:rsid w:val="00526019"/>
    <w:rsid w:val="0053623D"/>
    <w:rsid w:val="005416FE"/>
    <w:rsid w:val="00545095"/>
    <w:rsid w:val="0054737F"/>
    <w:rsid w:val="00547AED"/>
    <w:rsid w:val="00552E03"/>
    <w:rsid w:val="005535C2"/>
    <w:rsid w:val="00556751"/>
    <w:rsid w:val="005600A5"/>
    <w:rsid w:val="0056462E"/>
    <w:rsid w:val="00565F0B"/>
    <w:rsid w:val="00567186"/>
    <w:rsid w:val="00567C9E"/>
    <w:rsid w:val="0057060D"/>
    <w:rsid w:val="005763FD"/>
    <w:rsid w:val="00586054"/>
    <w:rsid w:val="00586F65"/>
    <w:rsid w:val="005A0618"/>
    <w:rsid w:val="005A0ED7"/>
    <w:rsid w:val="005A22B2"/>
    <w:rsid w:val="005A4DA0"/>
    <w:rsid w:val="005B0B7A"/>
    <w:rsid w:val="005B1A14"/>
    <w:rsid w:val="005B52E2"/>
    <w:rsid w:val="005B6244"/>
    <w:rsid w:val="005C35C9"/>
    <w:rsid w:val="005C5342"/>
    <w:rsid w:val="005C6167"/>
    <w:rsid w:val="005C7D5D"/>
    <w:rsid w:val="005E08FE"/>
    <w:rsid w:val="005E44A8"/>
    <w:rsid w:val="005E4AEB"/>
    <w:rsid w:val="005E6B99"/>
    <w:rsid w:val="005F2F6C"/>
    <w:rsid w:val="00601BCC"/>
    <w:rsid w:val="00614674"/>
    <w:rsid w:val="006146ED"/>
    <w:rsid w:val="00615297"/>
    <w:rsid w:val="00615ABD"/>
    <w:rsid w:val="006352F6"/>
    <w:rsid w:val="00637DD0"/>
    <w:rsid w:val="00641A02"/>
    <w:rsid w:val="00645B70"/>
    <w:rsid w:val="006541C6"/>
    <w:rsid w:val="00654C3E"/>
    <w:rsid w:val="00660682"/>
    <w:rsid w:val="00661A8C"/>
    <w:rsid w:val="00664EE4"/>
    <w:rsid w:val="0066737A"/>
    <w:rsid w:val="00667882"/>
    <w:rsid w:val="00670A09"/>
    <w:rsid w:val="006710B7"/>
    <w:rsid w:val="00686284"/>
    <w:rsid w:val="00686EB2"/>
    <w:rsid w:val="00690921"/>
    <w:rsid w:val="00693028"/>
    <w:rsid w:val="00693C94"/>
    <w:rsid w:val="006A0132"/>
    <w:rsid w:val="006A731F"/>
    <w:rsid w:val="006B34BF"/>
    <w:rsid w:val="006B3A48"/>
    <w:rsid w:val="006B5588"/>
    <w:rsid w:val="006D390E"/>
    <w:rsid w:val="006D7DC1"/>
    <w:rsid w:val="006E3352"/>
    <w:rsid w:val="006E53F3"/>
    <w:rsid w:val="006E5CCA"/>
    <w:rsid w:val="006F7EE0"/>
    <w:rsid w:val="00715498"/>
    <w:rsid w:val="00715C89"/>
    <w:rsid w:val="00721395"/>
    <w:rsid w:val="0072268E"/>
    <w:rsid w:val="00725CF2"/>
    <w:rsid w:val="007300F7"/>
    <w:rsid w:val="00730ED3"/>
    <w:rsid w:val="007343D6"/>
    <w:rsid w:val="00737E9E"/>
    <w:rsid w:val="007458C8"/>
    <w:rsid w:val="007459C4"/>
    <w:rsid w:val="00745E68"/>
    <w:rsid w:val="007507A3"/>
    <w:rsid w:val="007567E1"/>
    <w:rsid w:val="007613C9"/>
    <w:rsid w:val="00762C8E"/>
    <w:rsid w:val="00766ED4"/>
    <w:rsid w:val="007725B5"/>
    <w:rsid w:val="00777F58"/>
    <w:rsid w:val="0078487E"/>
    <w:rsid w:val="007862A0"/>
    <w:rsid w:val="00787478"/>
    <w:rsid w:val="00791760"/>
    <w:rsid w:val="00793CAE"/>
    <w:rsid w:val="007A3581"/>
    <w:rsid w:val="007B1681"/>
    <w:rsid w:val="007B6CE9"/>
    <w:rsid w:val="007C1A87"/>
    <w:rsid w:val="007C6DC4"/>
    <w:rsid w:val="007D0D1D"/>
    <w:rsid w:val="007D0FCA"/>
    <w:rsid w:val="007D1308"/>
    <w:rsid w:val="007D4C81"/>
    <w:rsid w:val="007D5300"/>
    <w:rsid w:val="007E024E"/>
    <w:rsid w:val="007E2562"/>
    <w:rsid w:val="007E578A"/>
    <w:rsid w:val="007F4E34"/>
    <w:rsid w:val="00806B1B"/>
    <w:rsid w:val="00811177"/>
    <w:rsid w:val="008143DF"/>
    <w:rsid w:val="00816643"/>
    <w:rsid w:val="00816F4D"/>
    <w:rsid w:val="00817B2A"/>
    <w:rsid w:val="00823FBF"/>
    <w:rsid w:val="00826028"/>
    <w:rsid w:val="0083286D"/>
    <w:rsid w:val="008379FA"/>
    <w:rsid w:val="00842DF3"/>
    <w:rsid w:val="00843FEF"/>
    <w:rsid w:val="008506B0"/>
    <w:rsid w:val="008523C7"/>
    <w:rsid w:val="00852594"/>
    <w:rsid w:val="00857F4A"/>
    <w:rsid w:val="00861BE3"/>
    <w:rsid w:val="00864952"/>
    <w:rsid w:val="00867AC9"/>
    <w:rsid w:val="00881828"/>
    <w:rsid w:val="00887CBE"/>
    <w:rsid w:val="008B0C09"/>
    <w:rsid w:val="008B7660"/>
    <w:rsid w:val="008C04E4"/>
    <w:rsid w:val="008C2443"/>
    <w:rsid w:val="008C6B57"/>
    <w:rsid w:val="008D71F7"/>
    <w:rsid w:val="008D7FCE"/>
    <w:rsid w:val="008F514E"/>
    <w:rsid w:val="00900576"/>
    <w:rsid w:val="00901364"/>
    <w:rsid w:val="009173AC"/>
    <w:rsid w:val="00921259"/>
    <w:rsid w:val="009228AB"/>
    <w:rsid w:val="00922D98"/>
    <w:rsid w:val="00927276"/>
    <w:rsid w:val="00930592"/>
    <w:rsid w:val="00932FE2"/>
    <w:rsid w:val="00937172"/>
    <w:rsid w:val="00943658"/>
    <w:rsid w:val="00946425"/>
    <w:rsid w:val="009473E1"/>
    <w:rsid w:val="00950CDD"/>
    <w:rsid w:val="009545FF"/>
    <w:rsid w:val="0096682D"/>
    <w:rsid w:val="00967CCF"/>
    <w:rsid w:val="009714D7"/>
    <w:rsid w:val="00972040"/>
    <w:rsid w:val="00972A81"/>
    <w:rsid w:val="00982796"/>
    <w:rsid w:val="00983D80"/>
    <w:rsid w:val="00983FBE"/>
    <w:rsid w:val="00990F2B"/>
    <w:rsid w:val="00992188"/>
    <w:rsid w:val="0099313F"/>
    <w:rsid w:val="0099392A"/>
    <w:rsid w:val="009B2344"/>
    <w:rsid w:val="009B5B6A"/>
    <w:rsid w:val="009B6BBB"/>
    <w:rsid w:val="009C011F"/>
    <w:rsid w:val="009C2447"/>
    <w:rsid w:val="009D1AA3"/>
    <w:rsid w:val="009D2864"/>
    <w:rsid w:val="009D5167"/>
    <w:rsid w:val="009D7C0C"/>
    <w:rsid w:val="009E49DC"/>
    <w:rsid w:val="009F56CB"/>
    <w:rsid w:val="009F6EDA"/>
    <w:rsid w:val="009F7350"/>
    <w:rsid w:val="00A02CD1"/>
    <w:rsid w:val="00A05B65"/>
    <w:rsid w:val="00A11ECD"/>
    <w:rsid w:val="00A16AC6"/>
    <w:rsid w:val="00A3312E"/>
    <w:rsid w:val="00A3656B"/>
    <w:rsid w:val="00A370F4"/>
    <w:rsid w:val="00A432A2"/>
    <w:rsid w:val="00A4439A"/>
    <w:rsid w:val="00A500AC"/>
    <w:rsid w:val="00A52348"/>
    <w:rsid w:val="00A52F9F"/>
    <w:rsid w:val="00A54456"/>
    <w:rsid w:val="00A64B38"/>
    <w:rsid w:val="00A70546"/>
    <w:rsid w:val="00A71AFC"/>
    <w:rsid w:val="00A74776"/>
    <w:rsid w:val="00A7595E"/>
    <w:rsid w:val="00A83E78"/>
    <w:rsid w:val="00A874ED"/>
    <w:rsid w:val="00A918BD"/>
    <w:rsid w:val="00A91DE0"/>
    <w:rsid w:val="00A97D96"/>
    <w:rsid w:val="00AA0A1A"/>
    <w:rsid w:val="00AA32E7"/>
    <w:rsid w:val="00AA4A29"/>
    <w:rsid w:val="00AA6F73"/>
    <w:rsid w:val="00AB5DD1"/>
    <w:rsid w:val="00AB7ED8"/>
    <w:rsid w:val="00AD2705"/>
    <w:rsid w:val="00AD5440"/>
    <w:rsid w:val="00AD7650"/>
    <w:rsid w:val="00AE14EB"/>
    <w:rsid w:val="00AE1D5A"/>
    <w:rsid w:val="00AE36C7"/>
    <w:rsid w:val="00AF279E"/>
    <w:rsid w:val="00AF346B"/>
    <w:rsid w:val="00B02E77"/>
    <w:rsid w:val="00B0604A"/>
    <w:rsid w:val="00B0680E"/>
    <w:rsid w:val="00B10804"/>
    <w:rsid w:val="00B10B55"/>
    <w:rsid w:val="00B178D5"/>
    <w:rsid w:val="00B204A0"/>
    <w:rsid w:val="00B21971"/>
    <w:rsid w:val="00B21E33"/>
    <w:rsid w:val="00B34C2E"/>
    <w:rsid w:val="00B35518"/>
    <w:rsid w:val="00B37D3B"/>
    <w:rsid w:val="00B40176"/>
    <w:rsid w:val="00B5379F"/>
    <w:rsid w:val="00B575E8"/>
    <w:rsid w:val="00B60193"/>
    <w:rsid w:val="00B66027"/>
    <w:rsid w:val="00B66669"/>
    <w:rsid w:val="00B74584"/>
    <w:rsid w:val="00B77C76"/>
    <w:rsid w:val="00B8782A"/>
    <w:rsid w:val="00B90085"/>
    <w:rsid w:val="00BA1383"/>
    <w:rsid w:val="00BB2068"/>
    <w:rsid w:val="00BB2150"/>
    <w:rsid w:val="00BB2944"/>
    <w:rsid w:val="00BC1FE4"/>
    <w:rsid w:val="00BC7387"/>
    <w:rsid w:val="00BC7BA5"/>
    <w:rsid w:val="00BD6D64"/>
    <w:rsid w:val="00BE128B"/>
    <w:rsid w:val="00BE6F05"/>
    <w:rsid w:val="00BF3DFD"/>
    <w:rsid w:val="00BF6308"/>
    <w:rsid w:val="00BF7ED6"/>
    <w:rsid w:val="00C00651"/>
    <w:rsid w:val="00C026AE"/>
    <w:rsid w:val="00C06C18"/>
    <w:rsid w:val="00C12E38"/>
    <w:rsid w:val="00C12FC3"/>
    <w:rsid w:val="00C13603"/>
    <w:rsid w:val="00C14B29"/>
    <w:rsid w:val="00C167F6"/>
    <w:rsid w:val="00C16AE2"/>
    <w:rsid w:val="00C2499F"/>
    <w:rsid w:val="00C25D5C"/>
    <w:rsid w:val="00C33D54"/>
    <w:rsid w:val="00C3538D"/>
    <w:rsid w:val="00C37356"/>
    <w:rsid w:val="00C37F34"/>
    <w:rsid w:val="00C469C2"/>
    <w:rsid w:val="00C5059A"/>
    <w:rsid w:val="00C53D9C"/>
    <w:rsid w:val="00C54DCA"/>
    <w:rsid w:val="00C63D18"/>
    <w:rsid w:val="00C67788"/>
    <w:rsid w:val="00C72154"/>
    <w:rsid w:val="00C73DA9"/>
    <w:rsid w:val="00C81A93"/>
    <w:rsid w:val="00C828C8"/>
    <w:rsid w:val="00C83D67"/>
    <w:rsid w:val="00C86780"/>
    <w:rsid w:val="00C919CD"/>
    <w:rsid w:val="00CA037F"/>
    <w:rsid w:val="00CA3F2C"/>
    <w:rsid w:val="00CA489D"/>
    <w:rsid w:val="00CA604D"/>
    <w:rsid w:val="00CA6A11"/>
    <w:rsid w:val="00CA73C3"/>
    <w:rsid w:val="00CB00CD"/>
    <w:rsid w:val="00CB22C6"/>
    <w:rsid w:val="00CB2655"/>
    <w:rsid w:val="00CB6346"/>
    <w:rsid w:val="00CC03AE"/>
    <w:rsid w:val="00CD0E00"/>
    <w:rsid w:val="00CD1BF6"/>
    <w:rsid w:val="00CD3AF9"/>
    <w:rsid w:val="00CD3EA0"/>
    <w:rsid w:val="00CD4D46"/>
    <w:rsid w:val="00CD6171"/>
    <w:rsid w:val="00CD77CE"/>
    <w:rsid w:val="00CE2DE3"/>
    <w:rsid w:val="00CF069E"/>
    <w:rsid w:val="00CF227A"/>
    <w:rsid w:val="00CF4584"/>
    <w:rsid w:val="00CF587D"/>
    <w:rsid w:val="00D00B6F"/>
    <w:rsid w:val="00D01855"/>
    <w:rsid w:val="00D04294"/>
    <w:rsid w:val="00D05B48"/>
    <w:rsid w:val="00D1039F"/>
    <w:rsid w:val="00D10488"/>
    <w:rsid w:val="00D1162B"/>
    <w:rsid w:val="00D17DB0"/>
    <w:rsid w:val="00D22AE3"/>
    <w:rsid w:val="00D303D6"/>
    <w:rsid w:val="00D3622E"/>
    <w:rsid w:val="00D40B25"/>
    <w:rsid w:val="00D41ED3"/>
    <w:rsid w:val="00D4204D"/>
    <w:rsid w:val="00D44C2C"/>
    <w:rsid w:val="00D469B5"/>
    <w:rsid w:val="00D544D2"/>
    <w:rsid w:val="00D6285D"/>
    <w:rsid w:val="00D73D26"/>
    <w:rsid w:val="00D86898"/>
    <w:rsid w:val="00D87362"/>
    <w:rsid w:val="00D9702A"/>
    <w:rsid w:val="00DA0D1D"/>
    <w:rsid w:val="00DA2906"/>
    <w:rsid w:val="00DC3739"/>
    <w:rsid w:val="00DD62C0"/>
    <w:rsid w:val="00DD63F1"/>
    <w:rsid w:val="00DD6A90"/>
    <w:rsid w:val="00DD76B4"/>
    <w:rsid w:val="00DE0E8F"/>
    <w:rsid w:val="00DE4DCD"/>
    <w:rsid w:val="00DE4DE4"/>
    <w:rsid w:val="00DE57FD"/>
    <w:rsid w:val="00DF0C99"/>
    <w:rsid w:val="00DF1CB5"/>
    <w:rsid w:val="00DF2AB5"/>
    <w:rsid w:val="00E072B2"/>
    <w:rsid w:val="00E11095"/>
    <w:rsid w:val="00E15107"/>
    <w:rsid w:val="00E164BB"/>
    <w:rsid w:val="00E20366"/>
    <w:rsid w:val="00E22692"/>
    <w:rsid w:val="00E231F1"/>
    <w:rsid w:val="00E25717"/>
    <w:rsid w:val="00E320DA"/>
    <w:rsid w:val="00E34F73"/>
    <w:rsid w:val="00E437E0"/>
    <w:rsid w:val="00E460F6"/>
    <w:rsid w:val="00E5539A"/>
    <w:rsid w:val="00E55D01"/>
    <w:rsid w:val="00E56746"/>
    <w:rsid w:val="00E6223C"/>
    <w:rsid w:val="00E62454"/>
    <w:rsid w:val="00E65C02"/>
    <w:rsid w:val="00E6720C"/>
    <w:rsid w:val="00E678BE"/>
    <w:rsid w:val="00E701E2"/>
    <w:rsid w:val="00E77D09"/>
    <w:rsid w:val="00E82835"/>
    <w:rsid w:val="00E83E34"/>
    <w:rsid w:val="00E85C95"/>
    <w:rsid w:val="00E867B1"/>
    <w:rsid w:val="00E877AE"/>
    <w:rsid w:val="00E90BA5"/>
    <w:rsid w:val="00E962D1"/>
    <w:rsid w:val="00EA352A"/>
    <w:rsid w:val="00EA4078"/>
    <w:rsid w:val="00EA6CD2"/>
    <w:rsid w:val="00EB2737"/>
    <w:rsid w:val="00EC239C"/>
    <w:rsid w:val="00EC7AEA"/>
    <w:rsid w:val="00ED0482"/>
    <w:rsid w:val="00EE3C4C"/>
    <w:rsid w:val="00EE6705"/>
    <w:rsid w:val="00EE6E67"/>
    <w:rsid w:val="00EE7F97"/>
    <w:rsid w:val="00EF2548"/>
    <w:rsid w:val="00EF6B81"/>
    <w:rsid w:val="00EF70E9"/>
    <w:rsid w:val="00F04E30"/>
    <w:rsid w:val="00F07B87"/>
    <w:rsid w:val="00F11FBF"/>
    <w:rsid w:val="00F137FD"/>
    <w:rsid w:val="00F17415"/>
    <w:rsid w:val="00F326E1"/>
    <w:rsid w:val="00F342EB"/>
    <w:rsid w:val="00F374DF"/>
    <w:rsid w:val="00F37724"/>
    <w:rsid w:val="00F41EEE"/>
    <w:rsid w:val="00F44C85"/>
    <w:rsid w:val="00F46DA2"/>
    <w:rsid w:val="00F50A36"/>
    <w:rsid w:val="00F54947"/>
    <w:rsid w:val="00F57505"/>
    <w:rsid w:val="00F61615"/>
    <w:rsid w:val="00F61A72"/>
    <w:rsid w:val="00F61F16"/>
    <w:rsid w:val="00F6779B"/>
    <w:rsid w:val="00F72605"/>
    <w:rsid w:val="00F73D0B"/>
    <w:rsid w:val="00F756A2"/>
    <w:rsid w:val="00F7652D"/>
    <w:rsid w:val="00F943AB"/>
    <w:rsid w:val="00F94962"/>
    <w:rsid w:val="00F95C10"/>
    <w:rsid w:val="00FA2297"/>
    <w:rsid w:val="00FA31F0"/>
    <w:rsid w:val="00FA3E18"/>
    <w:rsid w:val="00FB35E2"/>
    <w:rsid w:val="00FB3BEB"/>
    <w:rsid w:val="00FB6CD4"/>
    <w:rsid w:val="00FC2853"/>
    <w:rsid w:val="00FC3F8C"/>
    <w:rsid w:val="00FD267C"/>
    <w:rsid w:val="00FD4597"/>
    <w:rsid w:val="00FE1F26"/>
    <w:rsid w:val="00FE4AA1"/>
    <w:rsid w:val="00FE5224"/>
    <w:rsid w:val="024747CB"/>
    <w:rsid w:val="026B461E"/>
    <w:rsid w:val="04141E66"/>
    <w:rsid w:val="050913AC"/>
    <w:rsid w:val="0689759C"/>
    <w:rsid w:val="07730E6C"/>
    <w:rsid w:val="09056744"/>
    <w:rsid w:val="0C664DC4"/>
    <w:rsid w:val="0CD60D2D"/>
    <w:rsid w:val="0D523CE1"/>
    <w:rsid w:val="0DC40029"/>
    <w:rsid w:val="0EB00944"/>
    <w:rsid w:val="12442D06"/>
    <w:rsid w:val="13624E13"/>
    <w:rsid w:val="13CB7E55"/>
    <w:rsid w:val="14581595"/>
    <w:rsid w:val="14985A0E"/>
    <w:rsid w:val="15981B47"/>
    <w:rsid w:val="161C5C07"/>
    <w:rsid w:val="164B2DB1"/>
    <w:rsid w:val="18E26D91"/>
    <w:rsid w:val="19317BCC"/>
    <w:rsid w:val="19F71A0D"/>
    <w:rsid w:val="1B42042A"/>
    <w:rsid w:val="1C330066"/>
    <w:rsid w:val="1C971341"/>
    <w:rsid w:val="1D3846D3"/>
    <w:rsid w:val="1E886E33"/>
    <w:rsid w:val="1FE626DB"/>
    <w:rsid w:val="20062169"/>
    <w:rsid w:val="20404AAD"/>
    <w:rsid w:val="20867427"/>
    <w:rsid w:val="213D3BE0"/>
    <w:rsid w:val="243E68BC"/>
    <w:rsid w:val="246D5F88"/>
    <w:rsid w:val="25354D16"/>
    <w:rsid w:val="264A25A5"/>
    <w:rsid w:val="2762548F"/>
    <w:rsid w:val="28276990"/>
    <w:rsid w:val="288D3776"/>
    <w:rsid w:val="289408EC"/>
    <w:rsid w:val="2A173D6A"/>
    <w:rsid w:val="2B196AE7"/>
    <w:rsid w:val="2B7F45B0"/>
    <w:rsid w:val="2D782F8C"/>
    <w:rsid w:val="303A0261"/>
    <w:rsid w:val="312E2F68"/>
    <w:rsid w:val="31842005"/>
    <w:rsid w:val="321E53AD"/>
    <w:rsid w:val="323678EB"/>
    <w:rsid w:val="32427C19"/>
    <w:rsid w:val="33934935"/>
    <w:rsid w:val="33BF0F9A"/>
    <w:rsid w:val="33D57001"/>
    <w:rsid w:val="34FA3BF3"/>
    <w:rsid w:val="35076F0D"/>
    <w:rsid w:val="35565197"/>
    <w:rsid w:val="36BA1AE6"/>
    <w:rsid w:val="37E52224"/>
    <w:rsid w:val="3859672E"/>
    <w:rsid w:val="38C962D6"/>
    <w:rsid w:val="3993528C"/>
    <w:rsid w:val="3ABC683E"/>
    <w:rsid w:val="3CB55CE6"/>
    <w:rsid w:val="3D19224D"/>
    <w:rsid w:val="3F91066C"/>
    <w:rsid w:val="3FD70A72"/>
    <w:rsid w:val="41691936"/>
    <w:rsid w:val="44D1245F"/>
    <w:rsid w:val="461A5A29"/>
    <w:rsid w:val="47871A05"/>
    <w:rsid w:val="48686492"/>
    <w:rsid w:val="49A623A1"/>
    <w:rsid w:val="49D14154"/>
    <w:rsid w:val="4C3C4C30"/>
    <w:rsid w:val="4D51697F"/>
    <w:rsid w:val="4E815F1F"/>
    <w:rsid w:val="4F570A9C"/>
    <w:rsid w:val="501C709B"/>
    <w:rsid w:val="50536654"/>
    <w:rsid w:val="52286281"/>
    <w:rsid w:val="534A63BC"/>
    <w:rsid w:val="547D79BE"/>
    <w:rsid w:val="55136B6B"/>
    <w:rsid w:val="55777F5C"/>
    <w:rsid w:val="56B141B5"/>
    <w:rsid w:val="57407451"/>
    <w:rsid w:val="579E4AEE"/>
    <w:rsid w:val="59EA258F"/>
    <w:rsid w:val="5A1629CD"/>
    <w:rsid w:val="5A62260A"/>
    <w:rsid w:val="5B7D3200"/>
    <w:rsid w:val="5C0F02A5"/>
    <w:rsid w:val="5D280C57"/>
    <w:rsid w:val="5E733AD6"/>
    <w:rsid w:val="5FAC378B"/>
    <w:rsid w:val="5FE878D9"/>
    <w:rsid w:val="605D08B0"/>
    <w:rsid w:val="60697ED2"/>
    <w:rsid w:val="608E59B3"/>
    <w:rsid w:val="620B52A4"/>
    <w:rsid w:val="63157252"/>
    <w:rsid w:val="63C87CB0"/>
    <w:rsid w:val="64C76921"/>
    <w:rsid w:val="65513BEE"/>
    <w:rsid w:val="656E33D6"/>
    <w:rsid w:val="67594B06"/>
    <w:rsid w:val="68747EE8"/>
    <w:rsid w:val="68DF32AB"/>
    <w:rsid w:val="69B17B20"/>
    <w:rsid w:val="6ACC7AC9"/>
    <w:rsid w:val="6BCB7CDB"/>
    <w:rsid w:val="6DCE31AC"/>
    <w:rsid w:val="6F17248D"/>
    <w:rsid w:val="709A35F3"/>
    <w:rsid w:val="70A04913"/>
    <w:rsid w:val="71D43D79"/>
    <w:rsid w:val="72154882"/>
    <w:rsid w:val="734D1BD3"/>
    <w:rsid w:val="735522D9"/>
    <w:rsid w:val="751524BF"/>
    <w:rsid w:val="766A18B7"/>
    <w:rsid w:val="7A1871F9"/>
    <w:rsid w:val="7A796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200" w:firstLineChars="200"/>
      <w:jc w:val="both"/>
    </w:pPr>
    <w:rPr>
      <w:rFonts w:ascii="Times New Roman" w:hAnsi="Times New Roman" w:eastAsia="仿宋" w:cs="Times New Roman"/>
      <w:kern w:val="2"/>
      <w:sz w:val="32"/>
      <w:szCs w:val="24"/>
      <w:lang w:val="en-US" w:eastAsia="zh-CN" w:bidi="ar-SA"/>
    </w:rPr>
  </w:style>
  <w:style w:type="paragraph" w:styleId="3">
    <w:name w:val="heading 1"/>
    <w:basedOn w:val="4"/>
    <w:next w:val="1"/>
    <w:link w:val="41"/>
    <w:qFormat/>
    <w:uiPriority w:val="9"/>
    <w:pPr>
      <w:keepNext/>
      <w:keepLines/>
      <w:spacing w:line="560" w:lineRule="exact"/>
      <w:ind w:left="0" w:leftChars="0" w:firstLine="200"/>
      <w:outlineLvl w:val="0"/>
    </w:pPr>
    <w:rPr>
      <w:rFonts w:ascii="Times New Roman" w:hAnsi="Times New Roman" w:eastAsia="黑体"/>
      <w:bCs/>
      <w:kern w:val="44"/>
      <w:szCs w:val="44"/>
    </w:rPr>
  </w:style>
  <w:style w:type="paragraph" w:styleId="5">
    <w:name w:val="heading 2"/>
    <w:basedOn w:val="1"/>
    <w:next w:val="1"/>
    <w:link w:val="42"/>
    <w:qFormat/>
    <w:uiPriority w:val="0"/>
    <w:pPr>
      <w:keepNext/>
      <w:keepLines/>
      <w:outlineLvl w:val="1"/>
    </w:pPr>
    <w:rPr>
      <w:rFonts w:ascii="Cambria" w:hAnsi="Cambria" w:eastAsia="楷体"/>
      <w:b/>
      <w:bCs/>
      <w:szCs w:val="32"/>
    </w:rPr>
  </w:style>
  <w:style w:type="paragraph" w:styleId="6">
    <w:name w:val="heading 3"/>
    <w:basedOn w:val="1"/>
    <w:next w:val="1"/>
    <w:link w:val="43"/>
    <w:qFormat/>
    <w:uiPriority w:val="0"/>
    <w:pPr>
      <w:keepNext/>
      <w:keepLines/>
      <w:spacing w:before="260" w:after="260" w:line="413" w:lineRule="auto"/>
      <w:outlineLvl w:val="2"/>
    </w:pPr>
    <w:rPr>
      <w:rFonts w:eastAsia="宋体"/>
      <w:b/>
      <w:kern w:val="0"/>
      <w:szCs w:val="20"/>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7"/>
    <w:qFormat/>
    <w:uiPriority w:val="0"/>
    <w:pPr>
      <w:spacing w:line="520" w:lineRule="exact"/>
    </w:pPr>
    <w:rPr>
      <w:rFonts w:eastAsia="仿宋_GB2312"/>
    </w:rPr>
  </w:style>
  <w:style w:type="paragraph" w:styleId="4">
    <w:name w:val="table of authorities"/>
    <w:basedOn w:val="1"/>
    <w:next w:val="1"/>
    <w:unhideWhenUsed/>
    <w:qFormat/>
    <w:uiPriority w:val="0"/>
    <w:pPr>
      <w:ind w:left="420" w:leftChars="200" w:firstLine="0"/>
    </w:pPr>
  </w:style>
  <w:style w:type="paragraph" w:styleId="7">
    <w:name w:val="toc 7"/>
    <w:basedOn w:val="1"/>
    <w:next w:val="1"/>
    <w:unhideWhenUsed/>
    <w:qFormat/>
    <w:uiPriority w:val="39"/>
    <w:pPr>
      <w:adjustRightInd/>
      <w:snapToGrid/>
      <w:spacing w:line="240" w:lineRule="auto"/>
      <w:ind w:left="2520" w:leftChars="1200" w:firstLine="0" w:firstLineChars="0"/>
    </w:pPr>
    <w:rPr>
      <w:rFonts w:asciiTheme="minorHAnsi" w:hAnsiTheme="minorHAnsi" w:eastAsiaTheme="minorEastAsia" w:cstheme="minorBidi"/>
      <w:sz w:val="21"/>
      <w:szCs w:val="22"/>
    </w:rPr>
  </w:style>
  <w:style w:type="paragraph" w:styleId="8">
    <w:name w:val="Document Map"/>
    <w:basedOn w:val="1"/>
    <w:link w:val="44"/>
    <w:semiHidden/>
    <w:qFormat/>
    <w:uiPriority w:val="0"/>
    <w:pPr>
      <w:shd w:val="clear" w:color="auto" w:fill="000080"/>
    </w:pPr>
  </w:style>
  <w:style w:type="paragraph" w:styleId="9">
    <w:name w:val="annotation text"/>
    <w:basedOn w:val="1"/>
    <w:link w:val="46"/>
    <w:qFormat/>
    <w:uiPriority w:val="0"/>
    <w:pPr>
      <w:jc w:val="left"/>
    </w:pPr>
    <w:rPr>
      <w:rFonts w:eastAsia="宋体"/>
      <w:sz w:val="21"/>
    </w:rPr>
  </w:style>
  <w:style w:type="paragraph" w:styleId="10">
    <w:name w:val="toc 5"/>
    <w:basedOn w:val="1"/>
    <w:next w:val="1"/>
    <w:unhideWhenUsed/>
    <w:qFormat/>
    <w:uiPriority w:val="39"/>
    <w:pPr>
      <w:adjustRightInd/>
      <w:snapToGrid/>
      <w:spacing w:line="240" w:lineRule="auto"/>
      <w:ind w:left="1680" w:leftChars="800" w:firstLine="0" w:firstLineChars="0"/>
    </w:pPr>
    <w:rPr>
      <w:rFonts w:asciiTheme="minorHAnsi" w:hAnsiTheme="minorHAnsi" w:eastAsiaTheme="minorEastAsia" w:cstheme="minorBidi"/>
      <w:sz w:val="21"/>
      <w:szCs w:val="22"/>
    </w:rPr>
  </w:style>
  <w:style w:type="paragraph" w:styleId="11">
    <w:name w:val="toc 3"/>
    <w:basedOn w:val="1"/>
    <w:next w:val="1"/>
    <w:unhideWhenUsed/>
    <w:qFormat/>
    <w:uiPriority w:val="39"/>
    <w:pPr>
      <w:adjustRightInd/>
      <w:snapToGrid/>
      <w:spacing w:line="240" w:lineRule="auto"/>
      <w:ind w:left="840" w:leftChars="400" w:firstLine="0" w:firstLineChars="0"/>
    </w:pPr>
    <w:rPr>
      <w:rFonts w:asciiTheme="minorHAnsi" w:hAnsiTheme="minorHAnsi" w:eastAsiaTheme="minorEastAsia" w:cstheme="minorBidi"/>
      <w:sz w:val="21"/>
      <w:szCs w:val="22"/>
    </w:rPr>
  </w:style>
  <w:style w:type="paragraph" w:styleId="12">
    <w:name w:val="Plain Text"/>
    <w:basedOn w:val="1"/>
    <w:link w:val="48"/>
    <w:qFormat/>
    <w:uiPriority w:val="0"/>
    <w:rPr>
      <w:rFonts w:ascii="宋体" w:hAnsi="Courier New" w:cs="Courier New"/>
      <w:szCs w:val="21"/>
    </w:rPr>
  </w:style>
  <w:style w:type="paragraph" w:styleId="13">
    <w:name w:val="toc 8"/>
    <w:basedOn w:val="1"/>
    <w:next w:val="1"/>
    <w:unhideWhenUsed/>
    <w:qFormat/>
    <w:uiPriority w:val="39"/>
    <w:pPr>
      <w:adjustRightInd/>
      <w:snapToGrid/>
      <w:spacing w:line="240" w:lineRule="auto"/>
      <w:ind w:left="2940" w:leftChars="1400" w:firstLine="0" w:firstLineChars="0"/>
    </w:pPr>
    <w:rPr>
      <w:rFonts w:asciiTheme="minorHAnsi" w:hAnsiTheme="minorHAnsi" w:eastAsiaTheme="minorEastAsia" w:cstheme="minorBidi"/>
      <w:sz w:val="21"/>
      <w:szCs w:val="22"/>
    </w:rPr>
  </w:style>
  <w:style w:type="paragraph" w:styleId="14">
    <w:name w:val="Date"/>
    <w:basedOn w:val="1"/>
    <w:next w:val="1"/>
    <w:link w:val="49"/>
    <w:qFormat/>
    <w:uiPriority w:val="0"/>
    <w:pPr>
      <w:ind w:left="100" w:leftChars="2500"/>
    </w:pPr>
  </w:style>
  <w:style w:type="paragraph" w:styleId="15">
    <w:name w:val="Body Text Indent 2"/>
    <w:basedOn w:val="1"/>
    <w:link w:val="50"/>
    <w:qFormat/>
    <w:uiPriority w:val="0"/>
    <w:pPr>
      <w:spacing w:after="120" w:line="480" w:lineRule="auto"/>
      <w:ind w:left="420" w:leftChars="200"/>
    </w:pPr>
  </w:style>
  <w:style w:type="paragraph" w:styleId="16">
    <w:name w:val="Balloon Text"/>
    <w:basedOn w:val="1"/>
    <w:link w:val="52"/>
    <w:qFormat/>
    <w:uiPriority w:val="0"/>
    <w:rPr>
      <w:rFonts w:eastAsia="宋体"/>
      <w:sz w:val="18"/>
      <w:szCs w:val="18"/>
    </w:rPr>
  </w:style>
  <w:style w:type="paragraph" w:styleId="17">
    <w:name w:val="footer"/>
    <w:basedOn w:val="1"/>
    <w:link w:val="38"/>
    <w:unhideWhenUsed/>
    <w:qFormat/>
    <w:uiPriority w:val="99"/>
    <w:pPr>
      <w:tabs>
        <w:tab w:val="center" w:pos="4153"/>
        <w:tab w:val="right" w:pos="8306"/>
      </w:tabs>
      <w:jc w:val="left"/>
    </w:pPr>
    <w:rPr>
      <w:sz w:val="18"/>
      <w:szCs w:val="18"/>
    </w:rPr>
  </w:style>
  <w:style w:type="paragraph" w:styleId="18">
    <w:name w:val="header"/>
    <w:basedOn w:val="1"/>
    <w:link w:val="37"/>
    <w:unhideWhenUsed/>
    <w:qFormat/>
    <w:uiPriority w:val="0"/>
    <w:pPr>
      <w:pBdr>
        <w:bottom w:val="single" w:color="auto" w:sz="6" w:space="1"/>
      </w:pBdr>
      <w:tabs>
        <w:tab w:val="center" w:pos="4153"/>
        <w:tab w:val="right" w:pos="8306"/>
      </w:tabs>
      <w:jc w:val="center"/>
    </w:pPr>
    <w:rPr>
      <w:sz w:val="18"/>
      <w:szCs w:val="18"/>
    </w:rPr>
  </w:style>
  <w:style w:type="paragraph" w:styleId="19">
    <w:name w:val="toc 1"/>
    <w:basedOn w:val="1"/>
    <w:next w:val="1"/>
    <w:unhideWhenUsed/>
    <w:qFormat/>
    <w:uiPriority w:val="39"/>
  </w:style>
  <w:style w:type="paragraph" w:styleId="20">
    <w:name w:val="toc 4"/>
    <w:basedOn w:val="1"/>
    <w:next w:val="1"/>
    <w:unhideWhenUsed/>
    <w:qFormat/>
    <w:uiPriority w:val="39"/>
    <w:pPr>
      <w:adjustRightInd/>
      <w:snapToGrid/>
      <w:spacing w:line="240" w:lineRule="auto"/>
      <w:ind w:left="1260" w:leftChars="600" w:firstLine="0" w:firstLineChars="0"/>
    </w:pPr>
    <w:rPr>
      <w:rFonts w:asciiTheme="minorHAnsi" w:hAnsiTheme="minorHAnsi" w:eastAsiaTheme="minorEastAsia" w:cstheme="minorBidi"/>
      <w:sz w:val="21"/>
      <w:szCs w:val="22"/>
    </w:rPr>
  </w:style>
  <w:style w:type="paragraph" w:styleId="21">
    <w:name w:val="toc 6"/>
    <w:basedOn w:val="1"/>
    <w:next w:val="1"/>
    <w:unhideWhenUsed/>
    <w:qFormat/>
    <w:uiPriority w:val="39"/>
    <w:pPr>
      <w:adjustRightInd/>
      <w:snapToGrid/>
      <w:spacing w:line="240" w:lineRule="auto"/>
      <w:ind w:left="2100" w:leftChars="1000" w:firstLine="0" w:firstLineChars="0"/>
    </w:pPr>
    <w:rPr>
      <w:rFonts w:asciiTheme="minorHAnsi" w:hAnsiTheme="minorHAnsi" w:eastAsiaTheme="minorEastAsia" w:cstheme="minorBidi"/>
      <w:sz w:val="21"/>
      <w:szCs w:val="22"/>
    </w:rPr>
  </w:style>
  <w:style w:type="paragraph" w:styleId="22">
    <w:name w:val="toc 2"/>
    <w:basedOn w:val="1"/>
    <w:next w:val="1"/>
    <w:unhideWhenUsed/>
    <w:qFormat/>
    <w:uiPriority w:val="39"/>
    <w:pPr>
      <w:ind w:left="420" w:leftChars="200"/>
    </w:pPr>
  </w:style>
  <w:style w:type="paragraph" w:styleId="23">
    <w:name w:val="toc 9"/>
    <w:basedOn w:val="1"/>
    <w:next w:val="1"/>
    <w:unhideWhenUsed/>
    <w:qFormat/>
    <w:uiPriority w:val="39"/>
    <w:pPr>
      <w:adjustRightInd/>
      <w:snapToGrid/>
      <w:spacing w:line="240" w:lineRule="auto"/>
      <w:ind w:left="3360" w:leftChars="1600" w:firstLine="0" w:firstLineChars="0"/>
    </w:pPr>
    <w:rPr>
      <w:rFonts w:asciiTheme="minorHAnsi" w:hAnsiTheme="minorHAnsi" w:eastAsiaTheme="minorEastAsia" w:cstheme="minorBidi"/>
      <w:sz w:val="21"/>
      <w:szCs w:val="22"/>
    </w:rPr>
  </w:style>
  <w:style w:type="paragraph" w:styleId="24">
    <w:name w:val="Normal (Web)"/>
    <w:basedOn w:val="1"/>
    <w:qFormat/>
    <w:uiPriority w:val="0"/>
    <w:pPr>
      <w:spacing w:before="100" w:beforeAutospacing="1" w:after="100" w:afterAutospacing="1"/>
      <w:jc w:val="left"/>
    </w:pPr>
    <w:rPr>
      <w:kern w:val="0"/>
      <w:sz w:val="24"/>
    </w:rPr>
  </w:style>
  <w:style w:type="paragraph" w:styleId="25">
    <w:name w:val="annotation subject"/>
    <w:basedOn w:val="9"/>
    <w:next w:val="9"/>
    <w:link w:val="55"/>
    <w:qFormat/>
    <w:uiPriority w:val="0"/>
    <w:rPr>
      <w:b/>
      <w:bCs/>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eastAsia="楷体"/>
      <w:b/>
      <w:bCs/>
      <w:sz w:val="21"/>
    </w:rPr>
  </w:style>
  <w:style w:type="character" w:styleId="30">
    <w:name w:val="page number"/>
    <w:qFormat/>
    <w:uiPriority w:val="0"/>
  </w:style>
  <w:style w:type="character" w:styleId="31">
    <w:name w:val="FollowedHyperlink"/>
    <w:basedOn w:val="28"/>
    <w:semiHidden/>
    <w:unhideWhenUsed/>
    <w:qFormat/>
    <w:uiPriority w:val="99"/>
    <w:rPr>
      <w:color w:val="000000"/>
      <w:u w:val="none"/>
    </w:rPr>
  </w:style>
  <w:style w:type="character" w:styleId="32">
    <w:name w:val="Emphasis"/>
    <w:qFormat/>
    <w:uiPriority w:val="20"/>
    <w:rPr>
      <w:i/>
      <w:iCs/>
    </w:rPr>
  </w:style>
  <w:style w:type="character" w:styleId="33">
    <w:name w:val="Hyperlink"/>
    <w:unhideWhenUsed/>
    <w:qFormat/>
    <w:uiPriority w:val="99"/>
    <w:rPr>
      <w:color w:val="0000FF"/>
      <w:u w:val="single"/>
    </w:rPr>
  </w:style>
  <w:style w:type="character" w:styleId="34">
    <w:name w:val="annotation reference"/>
    <w:qFormat/>
    <w:uiPriority w:val="0"/>
    <w:rPr>
      <w:sz w:val="21"/>
      <w:szCs w:val="21"/>
    </w:rPr>
  </w:style>
  <w:style w:type="character" w:customStyle="1" w:styleId="35">
    <w:name w:val="标题 1 Char"/>
    <w:basedOn w:val="28"/>
    <w:qFormat/>
    <w:uiPriority w:val="9"/>
    <w:rPr>
      <w:rFonts w:ascii="Times New Roman" w:hAnsi="Times New Roman" w:eastAsia="仿宋" w:cs="Times New Roman"/>
      <w:b/>
      <w:bCs/>
      <w:kern w:val="44"/>
      <w:sz w:val="44"/>
      <w:szCs w:val="44"/>
    </w:rPr>
  </w:style>
  <w:style w:type="character" w:customStyle="1" w:styleId="36">
    <w:name w:val="标题 3 Char"/>
    <w:basedOn w:val="28"/>
    <w:semiHidden/>
    <w:qFormat/>
    <w:uiPriority w:val="9"/>
    <w:rPr>
      <w:rFonts w:ascii="Times New Roman" w:hAnsi="Times New Roman" w:eastAsia="仿宋" w:cs="Times New Roman"/>
      <w:b/>
      <w:bCs/>
      <w:sz w:val="32"/>
      <w:szCs w:val="32"/>
    </w:rPr>
  </w:style>
  <w:style w:type="character" w:customStyle="1" w:styleId="37">
    <w:name w:val="页眉 字符"/>
    <w:basedOn w:val="28"/>
    <w:link w:val="18"/>
    <w:semiHidden/>
    <w:qFormat/>
    <w:uiPriority w:val="99"/>
    <w:rPr>
      <w:sz w:val="18"/>
      <w:szCs w:val="18"/>
    </w:rPr>
  </w:style>
  <w:style w:type="character" w:customStyle="1" w:styleId="38">
    <w:name w:val="页脚 字符1"/>
    <w:basedOn w:val="28"/>
    <w:link w:val="17"/>
    <w:qFormat/>
    <w:uiPriority w:val="99"/>
    <w:rPr>
      <w:sz w:val="18"/>
      <w:szCs w:val="18"/>
    </w:rPr>
  </w:style>
  <w:style w:type="paragraph" w:customStyle="1" w:styleId="39">
    <w:name w:val="_Style 10"/>
    <w:basedOn w:val="1"/>
    <w:next w:val="1"/>
    <w:unhideWhenUsed/>
    <w:qFormat/>
    <w:uiPriority w:val="39"/>
    <w:pPr>
      <w:tabs>
        <w:tab w:val="left" w:pos="2230"/>
        <w:tab w:val="right" w:leader="dot" w:pos="8222"/>
      </w:tabs>
      <w:spacing w:line="500" w:lineRule="exact"/>
      <w:ind w:left="640" w:leftChars="200" w:right="-58" w:rightChars="-18" w:firstLine="560"/>
    </w:pPr>
  </w:style>
  <w:style w:type="character" w:customStyle="1" w:styleId="40">
    <w:name w:val="标题 2 Char"/>
    <w:basedOn w:val="28"/>
    <w:semiHidden/>
    <w:qFormat/>
    <w:uiPriority w:val="9"/>
    <w:rPr>
      <w:rFonts w:asciiTheme="majorHAnsi" w:hAnsiTheme="majorHAnsi" w:eastAsiaTheme="majorEastAsia" w:cstheme="majorBidi"/>
      <w:b/>
      <w:bCs/>
      <w:sz w:val="32"/>
      <w:szCs w:val="32"/>
    </w:rPr>
  </w:style>
  <w:style w:type="character" w:customStyle="1" w:styleId="41">
    <w:name w:val="标题 1 字符"/>
    <w:link w:val="3"/>
    <w:qFormat/>
    <w:uiPriority w:val="9"/>
    <w:rPr>
      <w:rFonts w:ascii="Times New Roman" w:hAnsi="Times New Roman" w:eastAsia="黑体" w:cs="Times New Roman"/>
      <w:bCs/>
      <w:kern w:val="44"/>
      <w:sz w:val="32"/>
      <w:szCs w:val="44"/>
    </w:rPr>
  </w:style>
  <w:style w:type="character" w:customStyle="1" w:styleId="42">
    <w:name w:val="标题 2 字符"/>
    <w:link w:val="5"/>
    <w:qFormat/>
    <w:uiPriority w:val="0"/>
    <w:rPr>
      <w:rFonts w:ascii="Cambria" w:hAnsi="Cambria" w:eastAsia="楷体" w:cs="Times New Roman"/>
      <w:b/>
      <w:bCs/>
      <w:sz w:val="32"/>
      <w:szCs w:val="32"/>
    </w:rPr>
  </w:style>
  <w:style w:type="character" w:customStyle="1" w:styleId="43">
    <w:name w:val="标题 3 字符"/>
    <w:link w:val="6"/>
    <w:qFormat/>
    <w:uiPriority w:val="0"/>
    <w:rPr>
      <w:rFonts w:ascii="Times New Roman" w:hAnsi="Times New Roman" w:eastAsia="宋体" w:cs="Times New Roman"/>
      <w:b/>
      <w:kern w:val="0"/>
      <w:sz w:val="32"/>
      <w:szCs w:val="20"/>
    </w:rPr>
  </w:style>
  <w:style w:type="character" w:customStyle="1" w:styleId="44">
    <w:name w:val="文档结构图 字符"/>
    <w:basedOn w:val="28"/>
    <w:link w:val="8"/>
    <w:semiHidden/>
    <w:qFormat/>
    <w:uiPriority w:val="0"/>
    <w:rPr>
      <w:rFonts w:ascii="Times New Roman" w:hAnsi="Times New Roman" w:eastAsia="仿宋" w:cs="Times New Roman"/>
      <w:sz w:val="32"/>
      <w:szCs w:val="24"/>
      <w:shd w:val="clear" w:color="auto" w:fill="000080"/>
    </w:rPr>
  </w:style>
  <w:style w:type="character" w:customStyle="1" w:styleId="45">
    <w:name w:val="批注文字 Char"/>
    <w:basedOn w:val="28"/>
    <w:semiHidden/>
    <w:qFormat/>
    <w:uiPriority w:val="99"/>
    <w:rPr>
      <w:rFonts w:ascii="Times New Roman" w:hAnsi="Times New Roman" w:eastAsia="仿宋" w:cs="Times New Roman"/>
      <w:sz w:val="32"/>
      <w:szCs w:val="24"/>
    </w:rPr>
  </w:style>
  <w:style w:type="character" w:customStyle="1" w:styleId="46">
    <w:name w:val="批注文字 字符"/>
    <w:link w:val="9"/>
    <w:qFormat/>
    <w:uiPriority w:val="0"/>
    <w:rPr>
      <w:rFonts w:ascii="Times New Roman" w:hAnsi="Times New Roman" w:eastAsia="宋体" w:cs="Times New Roman"/>
      <w:szCs w:val="24"/>
    </w:rPr>
  </w:style>
  <w:style w:type="character" w:customStyle="1" w:styleId="47">
    <w:name w:val="正文文本 字符"/>
    <w:basedOn w:val="28"/>
    <w:link w:val="2"/>
    <w:qFormat/>
    <w:uiPriority w:val="0"/>
    <w:rPr>
      <w:rFonts w:ascii="Times New Roman" w:hAnsi="Times New Roman" w:eastAsia="仿宋_GB2312" w:cs="Times New Roman"/>
      <w:sz w:val="32"/>
      <w:szCs w:val="24"/>
    </w:rPr>
  </w:style>
  <w:style w:type="character" w:customStyle="1" w:styleId="48">
    <w:name w:val="纯文本 字符"/>
    <w:basedOn w:val="28"/>
    <w:link w:val="12"/>
    <w:qFormat/>
    <w:uiPriority w:val="0"/>
    <w:rPr>
      <w:rFonts w:ascii="宋体" w:hAnsi="Courier New" w:eastAsia="仿宋" w:cs="Courier New"/>
      <w:sz w:val="32"/>
      <w:szCs w:val="21"/>
    </w:rPr>
  </w:style>
  <w:style w:type="character" w:customStyle="1" w:styleId="49">
    <w:name w:val="日期 字符"/>
    <w:basedOn w:val="28"/>
    <w:link w:val="14"/>
    <w:qFormat/>
    <w:uiPriority w:val="0"/>
    <w:rPr>
      <w:rFonts w:ascii="Times New Roman" w:hAnsi="Times New Roman" w:eastAsia="仿宋" w:cs="Times New Roman"/>
      <w:sz w:val="32"/>
      <w:szCs w:val="24"/>
    </w:rPr>
  </w:style>
  <w:style w:type="character" w:customStyle="1" w:styleId="50">
    <w:name w:val="正文文本缩进 2 字符"/>
    <w:basedOn w:val="28"/>
    <w:link w:val="15"/>
    <w:qFormat/>
    <w:uiPriority w:val="0"/>
    <w:rPr>
      <w:rFonts w:ascii="Times New Roman" w:hAnsi="Times New Roman" w:eastAsia="仿宋" w:cs="Times New Roman"/>
      <w:sz w:val="32"/>
      <w:szCs w:val="24"/>
    </w:rPr>
  </w:style>
  <w:style w:type="character" w:customStyle="1" w:styleId="51">
    <w:name w:val="批注框文本 Char"/>
    <w:basedOn w:val="28"/>
    <w:semiHidden/>
    <w:qFormat/>
    <w:uiPriority w:val="99"/>
    <w:rPr>
      <w:rFonts w:ascii="Times New Roman" w:hAnsi="Times New Roman" w:eastAsia="仿宋" w:cs="Times New Roman"/>
      <w:sz w:val="18"/>
      <w:szCs w:val="18"/>
    </w:rPr>
  </w:style>
  <w:style w:type="character" w:customStyle="1" w:styleId="52">
    <w:name w:val="批注框文本 字符"/>
    <w:link w:val="16"/>
    <w:qFormat/>
    <w:uiPriority w:val="0"/>
    <w:rPr>
      <w:rFonts w:ascii="Times New Roman" w:hAnsi="Times New Roman" w:eastAsia="宋体" w:cs="Times New Roman"/>
      <w:sz w:val="18"/>
      <w:szCs w:val="18"/>
    </w:rPr>
  </w:style>
  <w:style w:type="character" w:customStyle="1" w:styleId="53">
    <w:name w:val="页脚 字符"/>
    <w:qFormat/>
    <w:uiPriority w:val="99"/>
    <w:rPr>
      <w:rFonts w:eastAsia="仿宋"/>
      <w:kern w:val="2"/>
      <w:sz w:val="18"/>
      <w:szCs w:val="18"/>
    </w:rPr>
  </w:style>
  <w:style w:type="character" w:customStyle="1" w:styleId="54">
    <w:name w:val="批注主题 Char"/>
    <w:basedOn w:val="45"/>
    <w:semiHidden/>
    <w:qFormat/>
    <w:uiPriority w:val="99"/>
    <w:rPr>
      <w:rFonts w:ascii="Times New Roman" w:hAnsi="Times New Roman" w:eastAsia="仿宋" w:cs="Times New Roman"/>
      <w:b/>
      <w:bCs/>
      <w:sz w:val="32"/>
      <w:szCs w:val="24"/>
    </w:rPr>
  </w:style>
  <w:style w:type="character" w:customStyle="1" w:styleId="55">
    <w:name w:val="批注主题 字符"/>
    <w:link w:val="25"/>
    <w:qFormat/>
    <w:uiPriority w:val="0"/>
    <w:rPr>
      <w:rFonts w:ascii="Times New Roman" w:hAnsi="Times New Roman" w:eastAsia="宋体" w:cs="Times New Roman"/>
      <w:b/>
      <w:bCs/>
      <w:szCs w:val="24"/>
    </w:rPr>
  </w:style>
  <w:style w:type="character" w:customStyle="1" w:styleId="56">
    <w:name w:val="font61"/>
    <w:qFormat/>
    <w:uiPriority w:val="0"/>
    <w:rPr>
      <w:rFonts w:hint="default" w:ascii="Times New Roman" w:hAnsi="Times New Roman" w:cs="Times New Roman"/>
      <w:color w:val="000000"/>
      <w:sz w:val="22"/>
      <w:szCs w:val="22"/>
      <w:u w:val="none"/>
    </w:rPr>
  </w:style>
  <w:style w:type="character" w:customStyle="1" w:styleId="57">
    <w:name w:val="font51"/>
    <w:qFormat/>
    <w:uiPriority w:val="0"/>
    <w:rPr>
      <w:rFonts w:hint="default" w:ascii="Times New Roman" w:hAnsi="Times New Roman" w:cs="Times New Roman"/>
      <w:color w:val="000000"/>
      <w:sz w:val="22"/>
      <w:szCs w:val="22"/>
      <w:u w:val="none"/>
      <w:vertAlign w:val="superscript"/>
    </w:rPr>
  </w:style>
  <w:style w:type="character" w:customStyle="1" w:styleId="58">
    <w:name w:val="font01"/>
    <w:qFormat/>
    <w:uiPriority w:val="0"/>
    <w:rPr>
      <w:rFonts w:hint="eastAsia" w:ascii="宋体" w:hAnsi="宋体" w:eastAsia="宋体" w:cs="宋体"/>
      <w:color w:val="333333"/>
      <w:sz w:val="22"/>
      <w:szCs w:val="22"/>
      <w:u w:val="none"/>
    </w:rPr>
  </w:style>
  <w:style w:type="character" w:customStyle="1" w:styleId="59">
    <w:name w:val="font41"/>
    <w:qFormat/>
    <w:uiPriority w:val="0"/>
    <w:rPr>
      <w:rFonts w:hint="eastAsia" w:ascii="宋体" w:hAnsi="宋体" w:eastAsia="宋体" w:cs="宋体"/>
      <w:color w:val="333333"/>
      <w:sz w:val="22"/>
      <w:szCs w:val="22"/>
      <w:u w:val="none"/>
    </w:rPr>
  </w:style>
  <w:style w:type="character" w:customStyle="1" w:styleId="60">
    <w:name w:val="font11"/>
    <w:qFormat/>
    <w:uiPriority w:val="0"/>
    <w:rPr>
      <w:rFonts w:hint="default" w:ascii="Times New Roman" w:hAnsi="Times New Roman" w:cs="Times New Roman"/>
      <w:b/>
      <w:color w:val="000000"/>
      <w:sz w:val="21"/>
      <w:szCs w:val="21"/>
      <w:u w:val="none"/>
    </w:rPr>
  </w:style>
  <w:style w:type="paragraph" w:customStyle="1" w:styleId="61">
    <w:name w:val="TOC 标题1"/>
    <w:basedOn w:val="3"/>
    <w:next w:val="1"/>
    <w:unhideWhenUsed/>
    <w:qFormat/>
    <w:uiPriority w:val="39"/>
    <w:pPr>
      <w:widowControl/>
      <w:adjustRightInd/>
      <w:snapToGrid/>
      <w:spacing w:line="276" w:lineRule="auto"/>
      <w:ind w:firstLine="0" w:firstLineChars="0"/>
      <w:jc w:val="left"/>
      <w:outlineLvl w:val="9"/>
    </w:pPr>
    <w:rPr>
      <w:rFonts w:ascii="Cambria" w:hAnsi="Cambria" w:eastAsia="宋体"/>
      <w:b/>
      <w:color w:val="366091"/>
      <w:kern w:val="0"/>
      <w:sz w:val="28"/>
      <w:szCs w:val="28"/>
    </w:rPr>
  </w:style>
  <w:style w:type="paragraph" w:customStyle="1" w:styleId="62">
    <w:name w:val="TOC 标题2"/>
    <w:basedOn w:val="3"/>
    <w:next w:val="1"/>
    <w:qFormat/>
    <w:uiPriority w:val="39"/>
    <w:pPr>
      <w:widowControl/>
      <w:adjustRightInd/>
      <w:snapToGrid/>
      <w:spacing w:line="276" w:lineRule="auto"/>
      <w:ind w:firstLine="0" w:firstLineChars="0"/>
      <w:jc w:val="left"/>
      <w:outlineLvl w:val="9"/>
    </w:pPr>
    <w:rPr>
      <w:rFonts w:ascii="Cambria" w:hAnsi="Cambria" w:eastAsia="宋体"/>
      <w:b/>
      <w:color w:val="365F91"/>
      <w:kern w:val="0"/>
      <w:sz w:val="28"/>
      <w:szCs w:val="28"/>
    </w:rPr>
  </w:style>
  <w:style w:type="paragraph" w:customStyle="1" w:styleId="63">
    <w:name w:val="Char Char Char Char"/>
    <w:basedOn w:val="8"/>
    <w:qFormat/>
    <w:uiPriority w:val="0"/>
    <w:rPr>
      <w:rFonts w:ascii="Tahoma" w:hAnsi="Tahoma"/>
      <w:sz w:val="24"/>
    </w:rPr>
  </w:style>
  <w:style w:type="paragraph" w:styleId="64">
    <w:name w:val="List Paragraph"/>
    <w:basedOn w:val="1"/>
    <w:qFormat/>
    <w:uiPriority w:val="99"/>
    <w:pPr>
      <w:ind w:firstLine="420"/>
    </w:pPr>
  </w:style>
  <w:style w:type="character" w:customStyle="1" w:styleId="65">
    <w:name w:val="font31"/>
    <w:basedOn w:val="28"/>
    <w:qFormat/>
    <w:uiPriority w:val="0"/>
    <w:rPr>
      <w:rFonts w:hint="default" w:ascii="Times New Roman" w:hAnsi="Times New Roman" w:cs="Times New Roman"/>
      <w:color w:val="000000"/>
      <w:sz w:val="24"/>
      <w:szCs w:val="24"/>
      <w:u w:val="none"/>
    </w:rPr>
  </w:style>
  <w:style w:type="character" w:customStyle="1" w:styleId="66">
    <w:name w:val="font21"/>
    <w:basedOn w:val="28"/>
    <w:qFormat/>
    <w:uiPriority w:val="0"/>
    <w:rPr>
      <w:rFonts w:hint="eastAsia" w:ascii="宋体" w:hAnsi="宋体" w:eastAsia="宋体" w:cs="宋体"/>
      <w:color w:val="000000"/>
      <w:sz w:val="24"/>
      <w:szCs w:val="24"/>
      <w:u w:val="none"/>
    </w:rPr>
  </w:style>
  <w:style w:type="table" w:customStyle="1" w:styleId="67">
    <w:name w:val="样式1"/>
    <w:basedOn w:val="26"/>
    <w:qFormat/>
    <w:uiPriority w:val="99"/>
    <w:pPr>
      <w:jc w:val="center"/>
    </w:pPr>
    <w:rPr>
      <w:rFonts w:eastAsia="仿宋"/>
      <w:sz w:val="24"/>
    </w:rPr>
    <w:tblPr>
      <w:tblBorders>
        <w:top w:val="single" w:color="auto" w:sz="12" w:space="0"/>
        <w:bottom w:val="single" w:color="auto" w:sz="12" w:space="0"/>
        <w:insideH w:val="dotted" w:color="auto" w:sz="4" w:space="0"/>
        <w:insideV w:val="dotted" w:color="auto" w:sz="4" w:space="0"/>
      </w:tblBorders>
    </w:tblPr>
    <w:tcPr>
      <w:vAlign w:val="center"/>
    </w:tcPr>
    <w:tblStylePr w:type="firstRow">
      <w:rPr>
        <w:b/>
      </w:rPr>
    </w:tblStylePr>
  </w:style>
  <w:style w:type="paragraph" w:customStyle="1" w:styleId="68">
    <w:name w:val="Heading #1|1"/>
    <w:basedOn w:val="1"/>
    <w:qFormat/>
    <w:uiPriority w:val="0"/>
    <w:pPr>
      <w:spacing w:line="617" w:lineRule="exact"/>
      <w:ind w:firstLine="660"/>
      <w:outlineLvl w:val="0"/>
    </w:pPr>
    <w:rPr>
      <w:rFonts w:ascii="宋体" w:hAnsi="宋体" w:eastAsia="宋体" w:cs="宋体"/>
      <w:b/>
      <w:bCs/>
      <w:sz w:val="30"/>
      <w:szCs w:val="30"/>
      <w:lang w:val="zh-TW" w:eastAsia="zh-TW" w:bidi="zh-TW"/>
    </w:rPr>
  </w:style>
  <w:style w:type="character" w:customStyle="1" w:styleId="69">
    <w:name w:val="未处理的提及1"/>
    <w:basedOn w:val="28"/>
    <w:semiHidden/>
    <w:unhideWhenUsed/>
    <w:qFormat/>
    <w:uiPriority w:val="99"/>
    <w:rPr>
      <w:color w:val="605E5C"/>
      <w:shd w:val="clear" w:color="auto" w:fill="E1DFDD"/>
    </w:rPr>
  </w:style>
  <w:style w:type="paragraph" w:customStyle="1" w:styleId="70">
    <w:name w:val="WPSOffice手动目录 1"/>
    <w:qFormat/>
    <w:uiPriority w:val="0"/>
    <w:rPr>
      <w:rFonts w:ascii="Times New Roman" w:hAnsi="Times New Roman" w:eastAsia="宋体" w:cs="Times New Roman"/>
      <w:lang w:val="en-US" w:eastAsia="zh-CN" w:bidi="ar-SA"/>
    </w:rPr>
  </w:style>
  <w:style w:type="paragraph" w:customStyle="1" w:styleId="7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72">
    <w:name w:val="p0"/>
    <w:basedOn w:val="1"/>
    <w:qFormat/>
    <w:uiPriority w:val="0"/>
    <w:pPr>
      <w:widowControl/>
    </w:pPr>
    <w:rPr>
      <w:kern w:val="0"/>
      <w:szCs w:val="21"/>
    </w:rPr>
  </w:style>
  <w:style w:type="character" w:customStyle="1" w:styleId="73">
    <w:name w:val="nth-child(1)"/>
    <w:basedOn w:val="28"/>
    <w:qFormat/>
    <w:uiPriority w:val="0"/>
  </w:style>
  <w:style w:type="paragraph" w:customStyle="1" w:styleId="74">
    <w:name w:val="Table Text"/>
    <w:basedOn w:val="1"/>
    <w:autoRedefine/>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FF57F3-5DCC-47E2-A41C-0EE898E95815}">
  <ds:schemaRefs/>
</ds:datastoreItem>
</file>

<file path=docProps/app.xml><?xml version="1.0" encoding="utf-8"?>
<Properties xmlns="http://schemas.openxmlformats.org/officeDocument/2006/extended-properties" xmlns:vt="http://schemas.openxmlformats.org/officeDocument/2006/docPropsVTypes">
  <Template>Normal.dotm</Template>
  <Company>JXYSGLZX</Company>
  <Pages>24</Pages>
  <Words>6015</Words>
  <Characters>6670</Characters>
  <Lines>139</Lines>
  <Paragraphs>39</Paragraphs>
  <TotalTime>1</TotalTime>
  <ScaleCrop>false</ScaleCrop>
  <LinksUpToDate>false</LinksUpToDate>
  <CharactersWithSpaces>6699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2021-08-10T00:41:00Z</dcterms:created>
  <dc:creator>Administrator</dc:creator>
  <cp:lastModifiedBy>阁主</cp:lastModifiedBy>
  <dcterms:modified xsi:type="dcterms:W3CDTF">2025-03-05T00:48:56Z</dcterms:modified>
  <cp:revision>365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F1D4ACE392184F768C2F4CB6403E56D4_13</vt:lpwstr>
  </property>
  <property fmtid="{D5CDD505-2E9C-101B-9397-08002B2CF9AE}" pid="4" name="KSOTemplateDocerSaveRecord">
    <vt:lpwstr>eyJoZGlkIjoiMmFiM2I3MzNkMDJhYzQ4NTRhOGNmMjM3ZGM4YzViZGYiLCJ1c2VySWQiOiIyOTI2NjQ0ODUifQ==</vt:lpwstr>
  </property>
</Properties>
</file>