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994F0">
      <w:pPr>
        <w:pStyle w:val="36"/>
        <w:rPr>
          <w:rFonts w:hint="default" w:ascii="Times New Roman Regular" w:hAnsi="Times New Roman Regular" w:eastAsia="宋体" w:cs="Times New Roman Regular"/>
          <w:color w:val="auto"/>
          <w:highlight w:val="none"/>
        </w:rPr>
      </w:pPr>
    </w:p>
    <w:p w14:paraId="048B6392">
      <w:pPr>
        <w:ind w:firstLine="883"/>
        <w:jc w:val="center"/>
        <w:rPr>
          <w:rFonts w:hint="default" w:ascii="Times New Roman Regular" w:hAnsi="Times New Roman Regular" w:eastAsia="小标宋" w:cs="Times New Roman Regular"/>
          <w:b/>
          <w:color w:val="auto"/>
          <w:sz w:val="44"/>
          <w:szCs w:val="44"/>
          <w:highlight w:val="none"/>
        </w:rPr>
      </w:pPr>
    </w:p>
    <w:p w14:paraId="2C4704EA">
      <w:pPr>
        <w:pStyle w:val="29"/>
        <w:bidi w:val="0"/>
        <w:ind w:left="0" w:leftChars="0" w:firstLine="0" w:firstLineChars="0"/>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德阳市罗江区宝峰山农文旅提升建设项目</w:t>
      </w:r>
    </w:p>
    <w:p w14:paraId="5ABBD4D2">
      <w:pPr>
        <w:pStyle w:val="29"/>
        <w:bidi w:val="0"/>
        <w:ind w:left="0" w:leftChars="0"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政府采购</w:t>
      </w:r>
      <w:r>
        <w:rPr>
          <w:rFonts w:hint="default" w:ascii="Times New Roman" w:hAnsi="Times New Roman" w:cs="Times New Roman"/>
          <w:color w:val="auto"/>
          <w:highlight w:val="none"/>
        </w:rPr>
        <w:t>项目支出绩效评价报告</w:t>
      </w:r>
    </w:p>
    <w:p w14:paraId="5835D3A4">
      <w:pPr>
        <w:pStyle w:val="36"/>
        <w:rPr>
          <w:rFonts w:hint="default" w:ascii="Times New Roman" w:hAnsi="Times New Roman" w:eastAsia="小标宋" w:cs="Times New Roman"/>
          <w:b/>
          <w:color w:val="auto"/>
          <w:highlight w:val="none"/>
        </w:rPr>
      </w:pPr>
    </w:p>
    <w:p w14:paraId="70271D7E">
      <w:pPr>
        <w:pStyle w:val="36"/>
        <w:rPr>
          <w:rFonts w:hint="default" w:ascii="Times New Roman" w:hAnsi="Times New Roman" w:eastAsia="小标宋" w:cs="Times New Roman"/>
          <w:b/>
          <w:color w:val="auto"/>
          <w:highlight w:val="none"/>
        </w:rPr>
      </w:pPr>
    </w:p>
    <w:p w14:paraId="73C60B72">
      <w:pPr>
        <w:pStyle w:val="36"/>
        <w:rPr>
          <w:rFonts w:hint="default" w:ascii="Times New Roman" w:hAnsi="Times New Roman" w:eastAsia="小标宋" w:cs="Times New Roman"/>
          <w:bCs/>
          <w:color w:val="auto"/>
          <w:highlight w:val="none"/>
        </w:rPr>
      </w:pPr>
    </w:p>
    <w:p w14:paraId="569022DA">
      <w:pPr>
        <w:pStyle w:val="36"/>
        <w:rPr>
          <w:rFonts w:hint="default" w:ascii="Times New Roman" w:hAnsi="Times New Roman" w:eastAsia="小标宋" w:cs="Times New Roman"/>
          <w:b/>
          <w:color w:val="auto"/>
          <w:highlight w:val="none"/>
        </w:rPr>
      </w:pPr>
    </w:p>
    <w:p w14:paraId="48AAB100">
      <w:pPr>
        <w:pStyle w:val="36"/>
        <w:rPr>
          <w:rFonts w:hint="default" w:ascii="Times New Roman" w:hAnsi="Times New Roman" w:eastAsia="小标宋" w:cs="Times New Roman"/>
          <w:b/>
          <w:color w:val="auto"/>
          <w:highlight w:val="none"/>
        </w:rPr>
      </w:pPr>
    </w:p>
    <w:p w14:paraId="03098411">
      <w:pPr>
        <w:pStyle w:val="36"/>
        <w:rPr>
          <w:rFonts w:hint="default" w:ascii="Times New Roman" w:hAnsi="Times New Roman" w:eastAsia="小标宋" w:cs="Times New Roman"/>
          <w:b/>
          <w:color w:val="auto"/>
          <w:highlight w:val="none"/>
        </w:rPr>
      </w:pPr>
    </w:p>
    <w:p w14:paraId="6323C9BE">
      <w:pPr>
        <w:pStyle w:val="36"/>
        <w:rPr>
          <w:rFonts w:hint="default" w:ascii="Times New Roman" w:hAnsi="Times New Roman" w:eastAsia="小标宋" w:cs="Times New Roman"/>
          <w:b/>
          <w:color w:val="auto"/>
          <w:highlight w:val="none"/>
        </w:rPr>
      </w:pPr>
    </w:p>
    <w:p w14:paraId="13593BAD">
      <w:pPr>
        <w:pStyle w:val="36"/>
        <w:rPr>
          <w:rFonts w:hint="default" w:ascii="Times New Roman" w:hAnsi="Times New Roman" w:eastAsia="小标宋" w:cs="Times New Roman"/>
          <w:b/>
          <w:color w:val="auto"/>
          <w:highlight w:val="none"/>
        </w:rPr>
      </w:pPr>
    </w:p>
    <w:p w14:paraId="1072EA2B">
      <w:pPr>
        <w:adjustRightInd w:val="0"/>
        <w:snapToGrid w:val="0"/>
        <w:spacing w:line="480" w:lineRule="auto"/>
        <w:ind w:firstLine="518" w:firstLineChars="162"/>
        <w:rPr>
          <w:rFonts w:hint="eastAsia" w:ascii="仿宋" w:hAnsi="仿宋" w:eastAsia="仿宋" w:cs="宋体"/>
          <w:szCs w:val="32"/>
          <w:shd w:val="clear" w:color="auto" w:fill="FFFFFF"/>
        </w:rPr>
      </w:pPr>
      <w:r>
        <w:rPr>
          <w:rFonts w:hint="eastAsia" w:ascii="仿宋" w:hAnsi="仿宋" w:eastAsia="仿宋" w:cs="宋体"/>
          <w:szCs w:val="32"/>
          <w:shd w:val="clear" w:color="auto" w:fill="FFFFFF"/>
        </w:rPr>
        <w:t>项目名称：</w:t>
      </w:r>
      <w:r>
        <w:rPr>
          <w:rFonts w:hint="eastAsia" w:ascii="仿宋" w:hAnsi="仿宋" w:eastAsia="仿宋" w:cs="宋体"/>
          <w:szCs w:val="32"/>
          <w:shd w:val="clear" w:color="auto" w:fill="FFFFFF"/>
          <w:lang w:val="en-US" w:eastAsia="zh-CN"/>
        </w:rPr>
        <w:t>德阳市罗江区宝峰山农文旅提升建设项目</w:t>
      </w:r>
    </w:p>
    <w:p w14:paraId="52F46A11">
      <w:pPr>
        <w:adjustRightInd w:val="0"/>
        <w:snapToGrid w:val="0"/>
        <w:spacing w:line="480" w:lineRule="auto"/>
        <w:ind w:firstLine="518" w:firstLineChars="162"/>
        <w:rPr>
          <w:rFonts w:hint="eastAsia" w:ascii="仿宋" w:hAnsi="仿宋" w:eastAsia="仿宋" w:cs="宋体"/>
          <w:szCs w:val="32"/>
          <w:shd w:val="clear" w:color="auto" w:fill="FFFFFF"/>
          <w:lang w:val="en-US" w:eastAsia="zh-CN"/>
        </w:rPr>
      </w:pPr>
      <w:r>
        <w:rPr>
          <w:rFonts w:hint="eastAsia" w:ascii="仿宋" w:hAnsi="仿宋" w:eastAsia="仿宋" w:cs="宋体"/>
          <w:szCs w:val="32"/>
          <w:shd w:val="clear" w:color="auto" w:fill="FFFFFF"/>
          <w:lang w:val="en-US" w:eastAsia="zh-CN"/>
        </w:rPr>
        <w:t>项目单位</w:t>
      </w:r>
      <w:r>
        <w:rPr>
          <w:rFonts w:hint="eastAsia" w:ascii="仿宋" w:hAnsi="仿宋" w:eastAsia="仿宋" w:cs="宋体"/>
          <w:szCs w:val="32"/>
          <w:shd w:val="clear" w:color="auto" w:fill="FFFFFF"/>
        </w:rPr>
        <w:t>：</w:t>
      </w:r>
      <w:r>
        <w:rPr>
          <w:rFonts w:hint="eastAsia" w:ascii="仿宋" w:hAnsi="仿宋" w:eastAsia="仿宋" w:cs="宋体"/>
          <w:szCs w:val="32"/>
          <w:shd w:val="clear" w:color="auto" w:fill="FFFFFF"/>
          <w:lang w:val="en-US" w:eastAsia="zh-CN"/>
        </w:rPr>
        <w:t>罗江区农业农村局</w:t>
      </w:r>
    </w:p>
    <w:p w14:paraId="7D663E11">
      <w:pPr>
        <w:adjustRightInd w:val="0"/>
        <w:snapToGrid w:val="0"/>
        <w:spacing w:line="480" w:lineRule="auto"/>
        <w:ind w:firstLine="518" w:firstLineChars="162"/>
        <w:rPr>
          <w:rFonts w:hint="eastAsia" w:ascii="仿宋" w:hAnsi="仿宋" w:eastAsia="仿宋" w:cs="宋体"/>
          <w:szCs w:val="32"/>
          <w:shd w:val="clear" w:color="auto" w:fill="FFFFFF"/>
          <w:lang w:val="en-US"/>
        </w:rPr>
      </w:pPr>
      <w:r>
        <w:rPr>
          <w:rFonts w:hint="eastAsia" w:ascii="仿宋" w:hAnsi="仿宋" w:eastAsia="仿宋" w:cs="宋体"/>
          <w:szCs w:val="32"/>
          <w:shd w:val="clear" w:color="auto" w:fill="FFFFFF"/>
        </w:rPr>
        <w:t>实施单位：</w:t>
      </w:r>
      <w:r>
        <w:rPr>
          <w:rFonts w:hint="eastAsia" w:ascii="仿宋" w:hAnsi="仿宋" w:eastAsia="仿宋" w:cs="宋体"/>
          <w:szCs w:val="32"/>
          <w:shd w:val="clear" w:color="auto" w:fill="FFFFFF"/>
          <w:lang w:val="en-US" w:eastAsia="zh-CN"/>
        </w:rPr>
        <w:t>罗江区白马关镇人民政府</w:t>
      </w:r>
    </w:p>
    <w:p w14:paraId="55E2F264">
      <w:pPr>
        <w:adjustRightInd w:val="0"/>
        <w:snapToGrid w:val="0"/>
        <w:spacing w:line="480" w:lineRule="auto"/>
        <w:ind w:firstLine="518" w:firstLineChars="162"/>
        <w:rPr>
          <w:rFonts w:hint="eastAsia" w:ascii="仿宋" w:hAnsi="仿宋" w:eastAsia="仿宋" w:cs="仿宋"/>
          <w:b w:val="0"/>
          <w:bCs/>
          <w:color w:val="auto"/>
          <w:sz w:val="32"/>
          <w:szCs w:val="32"/>
          <w:highlight w:val="none"/>
          <w:lang w:eastAsia="zh-CN"/>
        </w:rPr>
      </w:pPr>
      <w:bookmarkStart w:id="250" w:name="_GoBack"/>
      <w:bookmarkEnd w:id="250"/>
      <w:r>
        <w:rPr>
          <w:rFonts w:hint="eastAsia" w:ascii="仿宋" w:hAnsi="仿宋" w:eastAsia="仿宋" w:cs="宋体"/>
          <w:szCs w:val="32"/>
          <w:shd w:val="clear" w:color="auto" w:fill="FFFFFF"/>
          <w:lang w:val="en-US" w:eastAsia="zh-CN"/>
        </w:rPr>
        <w:t>中介</w:t>
      </w:r>
      <w:r>
        <w:rPr>
          <w:rFonts w:hint="eastAsia" w:ascii="仿宋" w:hAnsi="仿宋" w:eastAsia="仿宋" w:cs="宋体"/>
          <w:szCs w:val="32"/>
          <w:shd w:val="clear" w:color="auto" w:fill="FFFFFF"/>
        </w:rPr>
        <w:t>机构：</w:t>
      </w:r>
      <w:r>
        <w:rPr>
          <w:rFonts w:hint="eastAsia" w:ascii="仿宋" w:hAnsi="仿宋" w:eastAsia="仿宋" w:cs="宋体"/>
          <w:szCs w:val="32"/>
          <w:shd w:val="clear" w:color="auto" w:fill="FFFFFF"/>
          <w:lang w:eastAsia="zh-CN"/>
        </w:rPr>
        <w:t>四川瑞政商业管理有限公司</w:t>
      </w:r>
    </w:p>
    <w:p w14:paraId="7D86A5C6">
      <w:pPr>
        <w:pStyle w:val="38"/>
        <w:spacing w:before="0"/>
        <w:ind w:firstLine="0" w:firstLineChars="0"/>
        <w:rPr>
          <w:rFonts w:hint="default" w:ascii="Times New Roman" w:hAnsi="Times New Roman" w:eastAsia="方正小标宋简体" w:cs="Times New Roman"/>
          <w:b w:val="0"/>
          <w:bCs/>
          <w:color w:val="auto"/>
          <w:sz w:val="32"/>
          <w:szCs w:val="32"/>
          <w:highlight w:val="none"/>
        </w:rPr>
      </w:pPr>
    </w:p>
    <w:p w14:paraId="53CDE881">
      <w:pPr>
        <w:pStyle w:val="38"/>
        <w:spacing w:before="0"/>
        <w:ind w:firstLine="0" w:firstLineChars="0"/>
        <w:rPr>
          <w:rFonts w:hint="default" w:ascii="Times New Roman" w:hAnsi="Times New Roman" w:eastAsia="方正小标宋简体" w:cs="Times New Roman"/>
          <w:b w:val="0"/>
          <w:bCs/>
          <w:color w:val="auto"/>
          <w:sz w:val="32"/>
          <w:szCs w:val="32"/>
          <w:highlight w:val="none"/>
        </w:rPr>
      </w:pPr>
    </w:p>
    <w:p w14:paraId="07E1A28C">
      <w:pPr>
        <w:pStyle w:val="38"/>
        <w:spacing w:before="0"/>
        <w:ind w:firstLine="0" w:firstLineChars="0"/>
        <w:jc w:val="right"/>
        <w:rPr>
          <w:rFonts w:hint="default" w:ascii="Times New Roman" w:hAnsi="Times New Roman" w:eastAsia="方正小标宋简体" w:cs="Times New Roman"/>
          <w:b w:val="0"/>
          <w:bCs/>
          <w:color w:val="auto"/>
          <w:sz w:val="32"/>
          <w:szCs w:val="32"/>
          <w:highlight w:val="none"/>
        </w:rPr>
      </w:pPr>
      <w:r>
        <w:rPr>
          <w:rFonts w:hint="eastAsia"/>
          <w:szCs w:val="32"/>
        </w:rPr>
        <w:t>二〇二</w:t>
      </w:r>
      <w:r>
        <w:rPr>
          <w:rFonts w:hint="eastAsia"/>
          <w:szCs w:val="32"/>
          <w:lang w:val="en-US" w:eastAsia="zh-CN"/>
        </w:rPr>
        <w:t>四</w:t>
      </w:r>
      <w:r>
        <w:rPr>
          <w:rFonts w:hint="eastAsia"/>
          <w:szCs w:val="32"/>
        </w:rPr>
        <w:t>年</w:t>
      </w:r>
      <w:r>
        <w:rPr>
          <w:rFonts w:hint="eastAsia"/>
          <w:szCs w:val="32"/>
          <w:lang w:val="en-US" w:eastAsia="zh-CN"/>
        </w:rPr>
        <w:t>八</w:t>
      </w:r>
      <w:r>
        <w:rPr>
          <w:rFonts w:hint="eastAsia"/>
          <w:szCs w:val="32"/>
        </w:rPr>
        <w:t>月</w:t>
      </w:r>
    </w:p>
    <w:p w14:paraId="1FF261FB">
      <w:pPr>
        <w:pStyle w:val="38"/>
        <w:spacing w:before="0"/>
        <w:ind w:firstLine="0" w:firstLineChars="0"/>
        <w:rPr>
          <w:rFonts w:hint="default" w:ascii="Times New Roman" w:hAnsi="Times New Roman" w:cs="Times New Roman"/>
          <w:color w:val="auto"/>
          <w:sz w:val="44"/>
          <w:szCs w:val="4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pgBorders>
            <w:top w:val="none" w:sz="0" w:space="0"/>
            <w:left w:val="none" w:sz="0" w:space="0"/>
            <w:bottom w:val="none" w:sz="0" w:space="0"/>
            <w:right w:val="none" w:sz="0" w:space="0"/>
          </w:pgBorders>
          <w:pgNumType w:start="0"/>
          <w:cols w:space="425" w:num="1"/>
          <w:docGrid w:type="lines" w:linePitch="435" w:charSpace="0"/>
        </w:sectPr>
      </w:pPr>
    </w:p>
    <w:p w14:paraId="2EDEB426">
      <w:pPr>
        <w:pStyle w:val="38"/>
        <w:keepNext w:val="0"/>
        <w:keepLines w:val="0"/>
        <w:pageBreakBefore w:val="0"/>
        <w:widowControl w:val="0"/>
        <w:kinsoku/>
        <w:wordWrap/>
        <w:overflowPunct/>
        <w:topLinePunct w:val="0"/>
        <w:autoSpaceDE/>
        <w:autoSpaceDN/>
        <w:bidi w:val="0"/>
        <w:adjustRightInd/>
        <w:spacing w:before="0" w:line="293" w:lineRule="auto"/>
        <w:ind w:firstLine="0" w:firstLineChars="0"/>
        <w:textAlignment w:val="auto"/>
        <w:rPr>
          <w:rFonts w:hint="default" w:ascii="Times New Roman" w:hAnsi="Times New Roman" w:eastAsia="黑体" w:cs="Times New Roman"/>
          <w:b w:val="0"/>
          <w:bCs/>
          <w:color w:val="auto"/>
          <w:sz w:val="44"/>
          <w:szCs w:val="44"/>
          <w:highlight w:val="none"/>
        </w:rPr>
      </w:pPr>
      <w:r>
        <w:rPr>
          <w:rFonts w:hint="default" w:ascii="Times New Roman" w:hAnsi="Times New Roman" w:eastAsia="黑体" w:cs="Times New Roman"/>
          <w:b w:val="0"/>
          <w:bCs/>
          <w:color w:val="auto"/>
          <w:sz w:val="44"/>
          <w:szCs w:val="44"/>
          <w:highlight w:val="none"/>
        </w:rPr>
        <w:t>目 录</w:t>
      </w:r>
    </w:p>
    <w:p w14:paraId="0220A74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cs="Times New Roman"/>
          <w:bCs/>
          <w:color w:val="auto"/>
          <w:highlight w:val="none"/>
        </w:rPr>
        <w:fldChar w:fldCharType="begin"/>
      </w:r>
      <w:r>
        <w:rPr>
          <w:rFonts w:hint="default" w:ascii="Times New Roman" w:hAnsi="Times New Roman" w:cs="Times New Roman"/>
          <w:bCs/>
          <w:color w:val="auto"/>
          <w:highlight w:val="none"/>
        </w:rPr>
        <w:instrText xml:space="preserve">TOC \o "1-1" \h \u </w:instrText>
      </w:r>
      <w:r>
        <w:rPr>
          <w:rFonts w:hint="default" w:ascii="Times New Roman" w:hAnsi="Times New Roman" w:cs="Times New Roman"/>
          <w:bCs/>
          <w:color w:val="auto"/>
          <w:highlight w:val="none"/>
        </w:rPr>
        <w:fldChar w:fldCharType="separate"/>
      </w:r>
      <w:r>
        <w:rPr>
          <w:rFonts w:hint="default" w:ascii="Times New Roman" w:hAnsi="Times New Roman" w:eastAsia="楷体_GB2312" w:cs="Times New Roman"/>
          <w:kern w:val="44"/>
          <w:sz w:val="28"/>
          <w:szCs w:val="28"/>
          <w:highlight w:val="none"/>
          <w:lang w:val="zh-CN" w:eastAsia="zh-CN" w:bidi="ar-SA"/>
        </w:rPr>
        <w:fldChar w:fldCharType="begin"/>
      </w:r>
      <w:r>
        <w:rPr>
          <w:rFonts w:hint="default" w:ascii="Times New Roman" w:hAnsi="Times New Roman" w:eastAsia="楷体_GB2312" w:cs="Times New Roman"/>
          <w:kern w:val="44"/>
          <w:sz w:val="28"/>
          <w:szCs w:val="28"/>
          <w:highlight w:val="none"/>
          <w:lang w:val="zh-CN" w:eastAsia="zh-CN" w:bidi="ar-SA"/>
        </w:rPr>
        <w:instrText xml:space="preserve"> HYPERLINK \l _Toc20682 </w:instrText>
      </w:r>
      <w:r>
        <w:rPr>
          <w:rFonts w:hint="default" w:ascii="Times New Roman" w:hAnsi="Times New Roman" w:eastAsia="楷体_GB2312" w:cs="Times New Roman"/>
          <w:kern w:val="44"/>
          <w:sz w:val="28"/>
          <w:szCs w:val="28"/>
          <w:highlight w:val="none"/>
          <w:lang w:val="zh-CN" w:eastAsia="zh-CN" w:bidi="ar-SA"/>
        </w:rPr>
        <w:fldChar w:fldCharType="separate"/>
      </w:r>
      <w:r>
        <w:rPr>
          <w:rFonts w:hint="default" w:ascii="Times New Roman" w:hAnsi="Times New Roman" w:eastAsia="楷体_GB2312" w:cs="Times New Roman"/>
          <w:kern w:val="44"/>
          <w:sz w:val="28"/>
          <w:szCs w:val="28"/>
          <w:highlight w:val="none"/>
          <w:lang w:val="en-US" w:eastAsia="zh-CN" w:bidi="ar-SA"/>
        </w:rPr>
        <w:t>一、摘要</w:t>
      </w:r>
      <w:r>
        <w:rPr>
          <w:rFonts w:hint="default" w:ascii="Times New Roman" w:hAnsi="Times New Roman" w:eastAsia="楷体_GB2312" w:cs="Times New Roman"/>
          <w:kern w:val="44"/>
          <w:sz w:val="28"/>
          <w:szCs w:val="28"/>
          <w:highlight w:val="none"/>
          <w:lang w:val="zh-CN" w:eastAsia="zh-CN" w:bidi="ar-SA"/>
        </w:rPr>
        <w:tab/>
      </w:r>
      <w:r>
        <w:rPr>
          <w:rFonts w:hint="default" w:ascii="Times New Roman" w:hAnsi="Times New Roman" w:eastAsia="楷体_GB2312" w:cs="Times New Roman"/>
          <w:kern w:val="44"/>
          <w:sz w:val="28"/>
          <w:szCs w:val="28"/>
          <w:highlight w:val="none"/>
          <w:lang w:val="zh-CN" w:eastAsia="zh-CN" w:bidi="ar-SA"/>
        </w:rPr>
        <w:fldChar w:fldCharType="begin"/>
      </w:r>
      <w:r>
        <w:rPr>
          <w:rFonts w:hint="default" w:ascii="Times New Roman" w:hAnsi="Times New Roman" w:eastAsia="楷体_GB2312" w:cs="Times New Roman"/>
          <w:kern w:val="44"/>
          <w:sz w:val="28"/>
          <w:szCs w:val="28"/>
          <w:highlight w:val="none"/>
          <w:lang w:val="zh-CN" w:eastAsia="zh-CN" w:bidi="ar-SA"/>
        </w:rPr>
        <w:instrText xml:space="preserve"> PAGEREF _Toc20682 \h </w:instrText>
      </w:r>
      <w:r>
        <w:rPr>
          <w:rFonts w:hint="default" w:ascii="Times New Roman" w:hAnsi="Times New Roman" w:eastAsia="楷体_GB2312" w:cs="Times New Roman"/>
          <w:kern w:val="44"/>
          <w:sz w:val="28"/>
          <w:szCs w:val="28"/>
          <w:highlight w:val="none"/>
          <w:lang w:val="zh-CN" w:eastAsia="zh-CN" w:bidi="ar-SA"/>
        </w:rPr>
        <w:fldChar w:fldCharType="separate"/>
      </w:r>
      <w:r>
        <w:rPr>
          <w:rFonts w:hint="default" w:ascii="Times New Roman" w:hAnsi="Times New Roman" w:eastAsia="楷体_GB2312" w:cs="Times New Roman"/>
          <w:kern w:val="44"/>
          <w:sz w:val="28"/>
          <w:szCs w:val="28"/>
          <w:highlight w:val="none"/>
          <w:lang w:val="zh-CN" w:eastAsia="zh-CN" w:bidi="ar-SA"/>
        </w:rPr>
        <w:t>1</w:t>
      </w:r>
      <w:r>
        <w:rPr>
          <w:rFonts w:hint="default" w:ascii="Times New Roman" w:hAnsi="Times New Roman" w:eastAsia="楷体_GB2312" w:cs="Times New Roman"/>
          <w:kern w:val="44"/>
          <w:sz w:val="28"/>
          <w:szCs w:val="28"/>
          <w:highlight w:val="none"/>
          <w:lang w:val="zh-CN" w:eastAsia="zh-CN" w:bidi="ar-SA"/>
        </w:rPr>
        <w:fldChar w:fldCharType="end"/>
      </w:r>
      <w:r>
        <w:rPr>
          <w:rFonts w:hint="default" w:ascii="Times New Roman" w:hAnsi="Times New Roman" w:eastAsia="楷体_GB2312" w:cs="Times New Roman"/>
          <w:kern w:val="44"/>
          <w:sz w:val="28"/>
          <w:szCs w:val="28"/>
          <w:highlight w:val="none"/>
          <w:lang w:val="zh-CN" w:eastAsia="zh-CN" w:bidi="ar-SA"/>
        </w:rPr>
        <w:fldChar w:fldCharType="end"/>
      </w:r>
    </w:p>
    <w:p w14:paraId="2DD72D29">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_Toc11775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zh-CN" w:eastAsia="zh-CN" w:bidi="ar-SA"/>
        </w:rPr>
        <w:t>二、</w:t>
      </w:r>
      <w:r>
        <w:rPr>
          <w:rFonts w:hint="default" w:ascii="Times New Roman" w:hAnsi="Times New Roman" w:eastAsia="楷体_GB2312" w:cs="Times New Roman"/>
          <w:sz w:val="28"/>
          <w:szCs w:val="28"/>
          <w:highlight w:val="none"/>
          <w:lang w:val="en-US" w:eastAsia="zh-CN"/>
        </w:rPr>
        <w:t>评价结论</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_Toc11775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1</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5466AC1E">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_Toc16484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CN"/>
        </w:rPr>
        <w:t>第一部分  项目基本情况</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_Toc16484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5FFA6901">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_Toc921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一、</w:t>
      </w:r>
      <w:r>
        <w:rPr>
          <w:rFonts w:hint="default" w:ascii="Times New Roman" w:hAnsi="Times New Roman" w:eastAsia="楷体_GB2312" w:cs="Times New Roman"/>
          <w:sz w:val="28"/>
          <w:szCs w:val="28"/>
          <w:highlight w:val="none"/>
          <w:lang w:val="en-US" w:eastAsia="zh-CN"/>
        </w:rPr>
        <w:t>项目概况</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_Toc921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2</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55015D7A">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_Toc8569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二、</w:t>
      </w:r>
      <w:r>
        <w:rPr>
          <w:rFonts w:hint="default" w:ascii="Times New Roman" w:hAnsi="Times New Roman" w:eastAsia="楷体_GB2312" w:cs="Times New Roman"/>
          <w:sz w:val="28"/>
          <w:szCs w:val="28"/>
          <w:highlight w:val="none"/>
          <w:lang w:val="en-US" w:eastAsia="zh-CN"/>
        </w:rPr>
        <w:t>项目管理情况</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_Toc8569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4</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18FD06A7">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_Toc19792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CN"/>
        </w:rPr>
        <w:t>第二部分  评价工作开展情况</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_Toc19792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6</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59628200">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_Toc17819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一、</w:t>
      </w:r>
      <w:r>
        <w:rPr>
          <w:rFonts w:hint="default" w:ascii="Times New Roman" w:hAnsi="Times New Roman" w:eastAsia="楷体_GB2312" w:cs="Times New Roman"/>
          <w:sz w:val="28"/>
          <w:szCs w:val="28"/>
          <w:highlight w:val="none"/>
          <w:lang w:val="en-US" w:eastAsia="zh-CN"/>
        </w:rPr>
        <w:t>评价组织情况</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_Toc17819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6</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5E6B01A1">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_Toc1210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二、</w:t>
      </w:r>
      <w:r>
        <w:rPr>
          <w:rFonts w:hint="default" w:ascii="Times New Roman" w:hAnsi="Times New Roman" w:eastAsia="楷体_GB2312" w:cs="Times New Roman"/>
          <w:sz w:val="28"/>
          <w:szCs w:val="28"/>
          <w:highlight w:val="none"/>
          <w:lang w:val="en-US" w:eastAsia="zh-CN"/>
        </w:rPr>
        <w:t>评价指标体系</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_Toc1210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7</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7A58AD95">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_Toc15629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CN"/>
        </w:rPr>
        <w:t>第三部分  综合评价结论</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_Toc15629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7</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79C6FABB">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color w:val="auto"/>
          <w:sz w:val="28"/>
          <w:szCs w:val="28"/>
          <w:highlight w:val="none"/>
        </w:rPr>
        <w:instrText xml:space="preserve"> HYPERLINK \l _Toc10737 </w:instrText>
      </w:r>
      <w:r>
        <w:rPr>
          <w:rFonts w:hint="default" w:ascii="Times New Roman" w:hAnsi="Times New Roman" w:eastAsia="黑体" w:cs="Times New Roman"/>
          <w:bCs/>
          <w:color w:val="auto"/>
          <w:sz w:val="28"/>
          <w:szCs w:val="28"/>
          <w:highlight w:val="none"/>
        </w:rPr>
        <w:fldChar w:fldCharType="separate"/>
      </w:r>
      <w:r>
        <w:rPr>
          <w:rFonts w:hint="default" w:ascii="Times New Roman" w:hAnsi="Times New Roman" w:eastAsia="黑体" w:cs="Times New Roman"/>
          <w:bCs/>
          <w:color w:val="auto"/>
          <w:sz w:val="28"/>
          <w:szCs w:val="28"/>
          <w:highlight w:val="none"/>
          <w:lang w:val="en-US" w:eastAsia="zh-CN"/>
        </w:rPr>
        <w:t>第四部分  绩效评价指标分析</w:t>
      </w:r>
      <w:r>
        <w:rPr>
          <w:rFonts w:hint="default" w:ascii="Times New Roman" w:hAnsi="Times New Roman" w:eastAsia="黑体" w:cs="Times New Roman"/>
          <w:bCs/>
          <w:color w:val="auto"/>
          <w:sz w:val="28"/>
          <w:szCs w:val="28"/>
          <w:highlight w:val="none"/>
        </w:rPr>
        <w:tab/>
      </w: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color w:val="auto"/>
          <w:sz w:val="28"/>
          <w:szCs w:val="28"/>
          <w:highlight w:val="none"/>
        </w:rPr>
        <w:instrText xml:space="preserve"> PAGEREF _Toc10737 \h </w:instrText>
      </w:r>
      <w:r>
        <w:rPr>
          <w:rFonts w:hint="default" w:ascii="Times New Roman" w:hAnsi="Times New Roman" w:eastAsia="黑体" w:cs="Times New Roman"/>
          <w:bCs/>
          <w:color w:val="auto"/>
          <w:sz w:val="28"/>
          <w:szCs w:val="28"/>
          <w:highlight w:val="none"/>
        </w:rPr>
        <w:fldChar w:fldCharType="separate"/>
      </w:r>
      <w:r>
        <w:rPr>
          <w:rFonts w:hint="default" w:ascii="Times New Roman" w:hAnsi="Times New Roman" w:eastAsia="黑体" w:cs="Times New Roman"/>
          <w:bCs/>
          <w:color w:val="auto"/>
          <w:sz w:val="28"/>
          <w:szCs w:val="28"/>
          <w:highlight w:val="none"/>
        </w:rPr>
        <w:t>15</w:t>
      </w:r>
      <w:r>
        <w:rPr>
          <w:rFonts w:hint="default" w:ascii="Times New Roman" w:hAnsi="Times New Roman" w:eastAsia="黑体" w:cs="Times New Roman"/>
          <w:bCs/>
          <w:color w:val="auto"/>
          <w:sz w:val="28"/>
          <w:szCs w:val="28"/>
          <w:highlight w:val="none"/>
        </w:rPr>
        <w:fldChar w:fldCharType="end"/>
      </w:r>
      <w:r>
        <w:rPr>
          <w:rFonts w:hint="default" w:ascii="Times New Roman" w:hAnsi="Times New Roman" w:eastAsia="黑体" w:cs="Times New Roman"/>
          <w:bCs/>
          <w:color w:val="auto"/>
          <w:sz w:val="28"/>
          <w:szCs w:val="28"/>
          <w:highlight w:val="none"/>
        </w:rPr>
        <w:fldChar w:fldCharType="end"/>
      </w:r>
    </w:p>
    <w:p w14:paraId="460DF521">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_Toc31965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一、</w:t>
      </w:r>
      <w:r>
        <w:rPr>
          <w:rFonts w:hint="default" w:ascii="Times New Roman" w:hAnsi="Times New Roman" w:eastAsia="楷体_GB2312" w:cs="Times New Roman"/>
          <w:sz w:val="28"/>
          <w:szCs w:val="28"/>
          <w:highlight w:val="none"/>
        </w:rPr>
        <w:t>需求相关性</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_Toc31965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15</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553D1833">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_Toc26048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二、</w:t>
      </w:r>
      <w:r>
        <w:rPr>
          <w:rFonts w:hint="default" w:ascii="Times New Roman" w:hAnsi="Times New Roman" w:eastAsia="楷体_GB2312" w:cs="Times New Roman"/>
          <w:sz w:val="28"/>
          <w:szCs w:val="28"/>
          <w:highlight w:val="none"/>
          <w:lang w:val="en-US" w:eastAsia="zh-CN"/>
        </w:rPr>
        <w:t>过程规范性</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_Toc26048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16</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42CCBA40">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_Toc15062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kern w:val="44"/>
          <w:sz w:val="28"/>
          <w:szCs w:val="28"/>
          <w:highlight w:val="none"/>
          <w:lang w:val="en-US" w:eastAsia="zh-CN" w:bidi="ar-SA"/>
        </w:rPr>
        <w:t>三、</w:t>
      </w:r>
      <w:r>
        <w:rPr>
          <w:rFonts w:hint="default" w:ascii="Times New Roman" w:hAnsi="Times New Roman" w:eastAsia="楷体_GB2312" w:cs="Times New Roman"/>
          <w:sz w:val="28"/>
          <w:szCs w:val="28"/>
          <w:highlight w:val="none"/>
          <w:lang w:val="en-US" w:eastAsia="zh-CN"/>
        </w:rPr>
        <w:t>政策有效性</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_Toc15062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20</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220A872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Cs/>
          <w:color w:val="auto"/>
          <w:sz w:val="28"/>
          <w:szCs w:val="28"/>
          <w:highlight w:val="none"/>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HYPERLINK \l _Toc11844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lang w:val="en-US" w:eastAsia="zh-CN"/>
        </w:rPr>
        <w:t>四、交易经济性</w:t>
      </w:r>
      <w:r>
        <w:rPr>
          <w:rFonts w:hint="default" w:ascii="Times New Roman" w:hAnsi="Times New Roman" w:eastAsia="楷体_GB2312" w:cs="Times New Roman"/>
          <w:bCs/>
          <w:color w:val="auto"/>
          <w:sz w:val="28"/>
          <w:szCs w:val="28"/>
          <w:highlight w:val="none"/>
        </w:rPr>
        <w:tab/>
      </w: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PAGEREF _Toc11844 \h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rPr>
        <w:t>22</w:t>
      </w:r>
      <w:r>
        <w:rPr>
          <w:rFonts w:hint="default" w:ascii="Times New Roman" w:hAnsi="Times New Roman" w:eastAsia="楷体_GB2312" w:cs="Times New Roman"/>
          <w:bCs/>
          <w:color w:val="auto"/>
          <w:sz w:val="28"/>
          <w:szCs w:val="28"/>
          <w:highlight w:val="none"/>
        </w:rPr>
        <w:fldChar w:fldCharType="end"/>
      </w:r>
      <w:r>
        <w:rPr>
          <w:rFonts w:hint="default" w:ascii="Times New Roman" w:hAnsi="Times New Roman" w:eastAsia="楷体_GB2312" w:cs="Times New Roman"/>
          <w:bCs/>
          <w:color w:val="auto"/>
          <w:sz w:val="28"/>
          <w:szCs w:val="28"/>
          <w:highlight w:val="none"/>
        </w:rPr>
        <w:fldChar w:fldCharType="end"/>
      </w:r>
    </w:p>
    <w:p w14:paraId="30F84D5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Cs/>
          <w:color w:val="auto"/>
          <w:sz w:val="28"/>
          <w:szCs w:val="28"/>
          <w:highlight w:val="none"/>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HYPERLINK \l _Toc22041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lang w:val="en-US" w:eastAsia="zh-CN"/>
        </w:rPr>
        <w:t>五、内部控制</w:t>
      </w:r>
      <w:r>
        <w:rPr>
          <w:rFonts w:hint="default" w:ascii="Times New Roman" w:hAnsi="Times New Roman" w:eastAsia="楷体_GB2312" w:cs="Times New Roman"/>
          <w:bCs/>
          <w:color w:val="auto"/>
          <w:sz w:val="28"/>
          <w:szCs w:val="28"/>
          <w:highlight w:val="none"/>
        </w:rPr>
        <w:tab/>
      </w: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PAGEREF _Toc22041 \h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rPr>
        <w:t>24</w:t>
      </w:r>
      <w:r>
        <w:rPr>
          <w:rFonts w:hint="default" w:ascii="Times New Roman" w:hAnsi="Times New Roman" w:eastAsia="楷体_GB2312" w:cs="Times New Roman"/>
          <w:bCs/>
          <w:color w:val="auto"/>
          <w:sz w:val="28"/>
          <w:szCs w:val="28"/>
          <w:highlight w:val="none"/>
        </w:rPr>
        <w:fldChar w:fldCharType="end"/>
      </w:r>
      <w:r>
        <w:rPr>
          <w:rFonts w:hint="default" w:ascii="Times New Roman" w:hAnsi="Times New Roman" w:eastAsia="楷体_GB2312" w:cs="Times New Roman"/>
          <w:bCs/>
          <w:color w:val="auto"/>
          <w:sz w:val="28"/>
          <w:szCs w:val="28"/>
          <w:highlight w:val="none"/>
        </w:rPr>
        <w:fldChar w:fldCharType="end"/>
      </w:r>
    </w:p>
    <w:p w14:paraId="4FC2E52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_Toc2479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CN"/>
        </w:rPr>
        <w:t>第五部分  存在主要问题</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_Toc2479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25</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50A74542">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_Toc5185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CN"/>
        </w:rPr>
        <w:t>第六部分  相关措施建议</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_Toc5185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26</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1645B71C">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bCs/>
          <w:color w:val="auto"/>
          <w:sz w:val="28"/>
          <w:szCs w:val="28"/>
          <w:highlight w:val="none"/>
        </w:rPr>
        <w:fldChar w:fldCharType="begin"/>
      </w:r>
      <w:r>
        <w:rPr>
          <w:rFonts w:hint="default" w:ascii="Times New Roman" w:hAnsi="Times New Roman" w:eastAsia="黑体" w:cs="Times New Roman"/>
          <w:bCs/>
          <w:sz w:val="28"/>
          <w:szCs w:val="28"/>
          <w:highlight w:val="none"/>
        </w:rPr>
        <w:instrText xml:space="preserve"> HYPERLINK \l _Toc26083 </w:instrText>
      </w:r>
      <w:r>
        <w:rPr>
          <w:rFonts w:hint="default" w:ascii="Times New Roman" w:hAnsi="Times New Roman" w:eastAsia="黑体" w:cs="Times New Roman"/>
          <w:bCs/>
          <w:sz w:val="28"/>
          <w:szCs w:val="28"/>
          <w:highlight w:val="none"/>
        </w:rPr>
        <w:fldChar w:fldCharType="separate"/>
      </w:r>
      <w:r>
        <w:rPr>
          <w:rFonts w:hint="default" w:ascii="Times New Roman" w:hAnsi="Times New Roman" w:eastAsia="黑体" w:cs="Times New Roman"/>
          <w:sz w:val="28"/>
          <w:szCs w:val="28"/>
          <w:highlight w:val="none"/>
          <w:lang w:val="en-US" w:eastAsia="zh-Hans"/>
        </w:rPr>
        <w:t>第</w:t>
      </w:r>
      <w:r>
        <w:rPr>
          <w:rFonts w:hint="default" w:ascii="Times New Roman" w:hAnsi="Times New Roman" w:eastAsia="黑体" w:cs="Times New Roman"/>
          <w:sz w:val="28"/>
          <w:szCs w:val="28"/>
          <w:highlight w:val="none"/>
          <w:lang w:val="en-US" w:eastAsia="zh-CN"/>
        </w:rPr>
        <w:t>七</w:t>
      </w:r>
      <w:r>
        <w:rPr>
          <w:rFonts w:hint="default" w:ascii="Times New Roman" w:hAnsi="Times New Roman" w:eastAsia="黑体" w:cs="Times New Roman"/>
          <w:sz w:val="28"/>
          <w:szCs w:val="28"/>
          <w:highlight w:val="none"/>
          <w:lang w:val="en-US" w:eastAsia="zh-Hans"/>
        </w:rPr>
        <w:t>部分</w:t>
      </w:r>
      <w:r>
        <w:rPr>
          <w:rFonts w:hint="default" w:ascii="Times New Roman" w:hAnsi="Times New Roman" w:eastAsia="黑体" w:cs="Times New Roman"/>
          <w:sz w:val="28"/>
          <w:szCs w:val="28"/>
          <w:highlight w:val="none"/>
          <w:lang w:eastAsia="zh-Hans"/>
        </w:rPr>
        <w:t xml:space="preserve">  </w:t>
      </w:r>
      <w:r>
        <w:rPr>
          <w:rFonts w:hint="default" w:ascii="Times New Roman" w:hAnsi="Times New Roman" w:eastAsia="黑体" w:cs="Times New Roman"/>
          <w:sz w:val="28"/>
          <w:szCs w:val="28"/>
          <w:highlight w:val="none"/>
          <w:lang w:val="en-US" w:eastAsia="zh-CN"/>
        </w:rPr>
        <w:t>附件</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_Toc26083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27</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bCs/>
          <w:color w:val="auto"/>
          <w:sz w:val="28"/>
          <w:szCs w:val="28"/>
          <w:highlight w:val="none"/>
        </w:rPr>
        <w:fldChar w:fldCharType="end"/>
      </w:r>
    </w:p>
    <w:p w14:paraId="1B62FF69">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sz w:val="28"/>
          <w:szCs w:val="28"/>
          <w:highlight w:val="none"/>
        </w:rPr>
        <w:instrText xml:space="preserve"> HYPERLINK \l _Toc5371 </w:instrText>
      </w:r>
      <w:r>
        <w:rPr>
          <w:rFonts w:hint="default" w:ascii="Times New Roman" w:hAnsi="Times New Roman" w:eastAsia="楷体_GB2312" w:cs="Times New Roman"/>
          <w:bCs/>
          <w:sz w:val="28"/>
          <w:szCs w:val="28"/>
          <w:highlight w:val="none"/>
        </w:rPr>
        <w:fldChar w:fldCharType="separate"/>
      </w:r>
      <w:r>
        <w:rPr>
          <w:rFonts w:hint="default" w:ascii="Times New Roman" w:hAnsi="Times New Roman" w:eastAsia="楷体_GB2312" w:cs="Times New Roman"/>
          <w:bCs/>
          <w:sz w:val="28"/>
          <w:szCs w:val="28"/>
          <w:highlight w:val="none"/>
          <w:lang w:val="en-US" w:eastAsia="zh-CN"/>
        </w:rPr>
        <w:t>附件1调查问卷分析</w:t>
      </w:r>
      <w:r>
        <w:rPr>
          <w:rFonts w:hint="default" w:ascii="Times New Roman" w:hAnsi="Times New Roman" w:eastAsia="楷体_GB2312" w:cs="Times New Roman"/>
          <w:sz w:val="28"/>
          <w:szCs w:val="28"/>
        </w:rPr>
        <w:tab/>
      </w:r>
      <w:r>
        <w:rPr>
          <w:rFonts w:hint="default" w:ascii="Times New Roman" w:hAnsi="Times New Roman" w:eastAsia="楷体_GB2312" w:cs="Times New Roman"/>
          <w:sz w:val="28"/>
          <w:szCs w:val="28"/>
        </w:rPr>
        <w:fldChar w:fldCharType="begin"/>
      </w:r>
      <w:r>
        <w:rPr>
          <w:rFonts w:hint="default" w:ascii="Times New Roman" w:hAnsi="Times New Roman" w:eastAsia="楷体_GB2312" w:cs="Times New Roman"/>
          <w:sz w:val="28"/>
          <w:szCs w:val="28"/>
        </w:rPr>
        <w:instrText xml:space="preserve"> PAGEREF _Toc5371 \h </w:instrText>
      </w:r>
      <w:r>
        <w:rPr>
          <w:rFonts w:hint="default" w:ascii="Times New Roman" w:hAnsi="Times New Roman" w:eastAsia="楷体_GB2312" w:cs="Times New Roman"/>
          <w:sz w:val="28"/>
          <w:szCs w:val="28"/>
        </w:rPr>
        <w:fldChar w:fldCharType="separate"/>
      </w:r>
      <w:r>
        <w:rPr>
          <w:rFonts w:hint="default" w:ascii="Times New Roman" w:hAnsi="Times New Roman" w:eastAsia="楷体_GB2312" w:cs="Times New Roman"/>
          <w:sz w:val="28"/>
          <w:szCs w:val="28"/>
        </w:rPr>
        <w:t>27</w:t>
      </w:r>
      <w:r>
        <w:rPr>
          <w:rFonts w:hint="default" w:ascii="Times New Roman" w:hAnsi="Times New Roman" w:eastAsia="楷体_GB2312" w:cs="Times New Roman"/>
          <w:sz w:val="28"/>
          <w:szCs w:val="28"/>
        </w:rPr>
        <w:fldChar w:fldCharType="end"/>
      </w:r>
      <w:r>
        <w:rPr>
          <w:rFonts w:hint="default" w:ascii="Times New Roman" w:hAnsi="Times New Roman" w:eastAsia="楷体_GB2312" w:cs="Times New Roman"/>
          <w:bCs/>
          <w:color w:val="auto"/>
          <w:sz w:val="28"/>
          <w:szCs w:val="28"/>
          <w:highlight w:val="none"/>
        </w:rPr>
        <w:fldChar w:fldCharType="end"/>
      </w:r>
    </w:p>
    <w:p w14:paraId="7A2986B7">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Cs/>
          <w:color w:val="auto"/>
          <w:sz w:val="28"/>
          <w:szCs w:val="28"/>
          <w:highlight w:val="none"/>
        </w:rPr>
      </w:pP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HYPERLINK \l _Toc10472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lang w:val="en-US" w:eastAsia="zh-CN"/>
        </w:rPr>
        <w:t>附件2采购项目支出绩效评价指标体系</w:t>
      </w:r>
      <w:r>
        <w:rPr>
          <w:rFonts w:hint="default" w:ascii="Times New Roman" w:hAnsi="Times New Roman" w:eastAsia="楷体_GB2312" w:cs="Times New Roman"/>
          <w:bCs/>
          <w:color w:val="auto"/>
          <w:sz w:val="28"/>
          <w:szCs w:val="28"/>
          <w:highlight w:val="none"/>
        </w:rPr>
        <w:tab/>
      </w:r>
      <w:r>
        <w:rPr>
          <w:rFonts w:hint="default" w:ascii="Times New Roman" w:hAnsi="Times New Roman" w:eastAsia="楷体_GB2312" w:cs="Times New Roman"/>
          <w:bCs/>
          <w:color w:val="auto"/>
          <w:sz w:val="28"/>
          <w:szCs w:val="28"/>
          <w:highlight w:val="none"/>
        </w:rPr>
        <w:fldChar w:fldCharType="begin"/>
      </w:r>
      <w:r>
        <w:rPr>
          <w:rFonts w:hint="default" w:ascii="Times New Roman" w:hAnsi="Times New Roman" w:eastAsia="楷体_GB2312" w:cs="Times New Roman"/>
          <w:bCs/>
          <w:color w:val="auto"/>
          <w:sz w:val="28"/>
          <w:szCs w:val="28"/>
          <w:highlight w:val="none"/>
        </w:rPr>
        <w:instrText xml:space="preserve"> PAGEREF _Toc10472 \h </w:instrText>
      </w:r>
      <w:r>
        <w:rPr>
          <w:rFonts w:hint="default" w:ascii="Times New Roman" w:hAnsi="Times New Roman" w:eastAsia="楷体_GB2312" w:cs="Times New Roman"/>
          <w:bCs/>
          <w:color w:val="auto"/>
          <w:sz w:val="28"/>
          <w:szCs w:val="28"/>
          <w:highlight w:val="none"/>
        </w:rPr>
        <w:fldChar w:fldCharType="separate"/>
      </w:r>
      <w:r>
        <w:rPr>
          <w:rFonts w:hint="default" w:ascii="Times New Roman" w:hAnsi="Times New Roman" w:eastAsia="楷体_GB2312" w:cs="Times New Roman"/>
          <w:bCs/>
          <w:color w:val="auto"/>
          <w:sz w:val="28"/>
          <w:szCs w:val="28"/>
          <w:highlight w:val="none"/>
        </w:rPr>
        <w:t>29</w:t>
      </w:r>
      <w:r>
        <w:rPr>
          <w:rFonts w:hint="default" w:ascii="Times New Roman" w:hAnsi="Times New Roman" w:eastAsia="楷体_GB2312" w:cs="Times New Roman"/>
          <w:bCs/>
          <w:color w:val="auto"/>
          <w:sz w:val="28"/>
          <w:szCs w:val="28"/>
          <w:highlight w:val="none"/>
        </w:rPr>
        <w:fldChar w:fldCharType="end"/>
      </w:r>
      <w:r>
        <w:rPr>
          <w:rFonts w:hint="default" w:ascii="Times New Roman" w:hAnsi="Times New Roman" w:eastAsia="楷体_GB2312" w:cs="Times New Roman"/>
          <w:bCs/>
          <w:color w:val="auto"/>
          <w:sz w:val="28"/>
          <w:szCs w:val="28"/>
          <w:highlight w:val="none"/>
        </w:rPr>
        <w:fldChar w:fldCharType="end"/>
      </w:r>
    </w:p>
    <w:p w14:paraId="2A6766E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cs="Times New Roman"/>
          <w:bCs/>
          <w:color w:val="auto"/>
          <w:highlight w:val="none"/>
        </w:rPr>
        <w:sectPr>
          <w:footerReference r:id="rId11" w:type="default"/>
          <w:pgSz w:w="11906" w:h="16838"/>
          <w:pgMar w:top="2098" w:right="1474" w:bottom="1985" w:left="1588" w:header="851" w:footer="992" w:gutter="0"/>
          <w:pgBorders>
            <w:top w:val="none" w:sz="0" w:space="0"/>
            <w:left w:val="none" w:sz="0" w:space="0"/>
            <w:bottom w:val="none" w:sz="0" w:space="0"/>
            <w:right w:val="none" w:sz="0" w:space="0"/>
          </w:pgBorders>
          <w:pgNumType w:start="1"/>
          <w:cols w:space="425" w:num="1"/>
          <w:docGrid w:type="lines" w:linePitch="435" w:charSpace="0"/>
        </w:sectPr>
      </w:pPr>
      <w:r>
        <w:rPr>
          <w:rFonts w:hint="default" w:ascii="Times New Roman" w:hAnsi="Times New Roman" w:cs="Times New Roman"/>
          <w:bCs/>
          <w:color w:val="auto"/>
          <w:highlight w:val="none"/>
        </w:rPr>
        <w:fldChar w:fldCharType="end"/>
      </w:r>
    </w:p>
    <w:p w14:paraId="362FECDA">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方正小标宋简体" w:cs="Times New Roman"/>
          <w:color w:val="auto"/>
          <w:highlight w:val="none"/>
          <w:lang w:eastAsia="zh-CN"/>
        </w:rPr>
      </w:pPr>
      <w:r>
        <w:rPr>
          <w:rFonts w:hint="default" w:ascii="Times New Roman" w:hAnsi="Times New Roman" w:cs="Times New Roman"/>
          <w:color w:val="auto"/>
          <w:highlight w:val="none"/>
          <w:lang w:eastAsia="zh-CN"/>
        </w:rPr>
        <w:t>德阳市罗江区宝峰山农文旅提升建设项目</w:t>
      </w:r>
    </w:p>
    <w:p w14:paraId="1C93576C">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政府采购</w:t>
      </w:r>
      <w:r>
        <w:rPr>
          <w:rFonts w:hint="default" w:ascii="Times New Roman" w:hAnsi="Times New Roman" w:cs="Times New Roman"/>
          <w:color w:val="auto"/>
          <w:highlight w:val="none"/>
        </w:rPr>
        <w:t>项目支出绩效评价报告</w:t>
      </w:r>
    </w:p>
    <w:p w14:paraId="013A35C6">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center"/>
        <w:textAlignment w:val="auto"/>
        <w:outlineLvl w:val="9"/>
        <w:rPr>
          <w:rFonts w:hint="default" w:ascii="Times New Roman" w:hAnsi="Times New Roman" w:eastAsia="黑体" w:cs="Times New Roman"/>
          <w:color w:val="auto"/>
          <w:sz w:val="32"/>
          <w:szCs w:val="32"/>
          <w:highlight w:val="none"/>
          <w:lang w:val="en-US" w:eastAsia="zh-CN"/>
        </w:rPr>
      </w:pPr>
      <w:bookmarkStart w:id="0" w:name="_Toc27641"/>
      <w:bookmarkStart w:id="1" w:name="_Toc959"/>
      <w:bookmarkStart w:id="2" w:name="_Toc4574"/>
      <w:bookmarkStart w:id="3" w:name="_Toc28039"/>
      <w:bookmarkStart w:id="4" w:name="_Toc25583"/>
    </w:p>
    <w:bookmarkEnd w:id="0"/>
    <w:bookmarkEnd w:id="1"/>
    <w:bookmarkEnd w:id="2"/>
    <w:bookmarkEnd w:id="3"/>
    <w:bookmarkEnd w:id="4"/>
    <w:p w14:paraId="090EEBEF">
      <w:pPr>
        <w:pStyle w:val="22"/>
        <w:keepLines w:val="0"/>
        <w:pageBreakBefore w:val="0"/>
        <w:numPr>
          <w:ilvl w:val="0"/>
          <w:numId w:val="0"/>
        </w:numPr>
        <w:kinsoku/>
        <w:wordWrap/>
        <w:overflowPunct/>
        <w:topLinePunct w:val="0"/>
        <w:autoSpaceDE/>
        <w:autoSpaceDN/>
        <w:bidi w:val="0"/>
        <w:adjustRightInd/>
        <w:snapToGrid/>
        <w:spacing w:line="560" w:lineRule="exact"/>
        <w:ind w:left="220" w:leftChars="0" w:firstLine="420" w:firstLineChars="0"/>
        <w:textAlignment w:val="auto"/>
        <w:rPr>
          <w:rFonts w:hint="default" w:ascii="Times New Roman" w:hAnsi="Times New Roman" w:cs="Times New Roman"/>
          <w:b w:val="0"/>
          <w:bCs/>
          <w:color w:val="auto"/>
          <w:highlight w:val="none"/>
          <w:lang w:val="en-US" w:eastAsia="zh-CN"/>
        </w:rPr>
      </w:pPr>
      <w:bookmarkStart w:id="5" w:name="_Toc20682"/>
      <w:bookmarkStart w:id="6" w:name="_Toc16806"/>
      <w:r>
        <w:rPr>
          <w:rFonts w:hint="eastAsia" w:ascii="黑体" w:hAnsi="黑体" w:eastAsia="黑体" w:cs="黑体"/>
          <w:b w:val="0"/>
          <w:bCs/>
          <w:color w:val="auto"/>
          <w:kern w:val="44"/>
          <w:sz w:val="32"/>
          <w:szCs w:val="44"/>
          <w:highlight w:val="none"/>
          <w:lang w:val="en-US" w:eastAsia="zh-CN" w:bidi="ar-SA"/>
        </w:rPr>
        <w:t>一、</w:t>
      </w:r>
      <w:r>
        <w:rPr>
          <w:rFonts w:hint="default" w:ascii="Times New Roman" w:hAnsi="Times New Roman" w:cs="Times New Roman"/>
          <w:b w:val="0"/>
          <w:bCs/>
          <w:color w:val="auto"/>
          <w:highlight w:val="none"/>
          <w:lang w:val="en-US" w:eastAsia="zh-CN"/>
        </w:rPr>
        <w:t>摘要</w:t>
      </w:r>
      <w:bookmarkEnd w:id="5"/>
      <w:bookmarkEnd w:id="6"/>
    </w:p>
    <w:p w14:paraId="18E36653">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rPr>
        <w:t>为深入贯彻落实《关于</w:t>
      </w:r>
      <w:r>
        <w:rPr>
          <w:rFonts w:hint="default" w:ascii="Times New Roman" w:hAnsi="Times New Roman" w:eastAsia="仿宋" w:cs="Times New Roman"/>
          <w:color w:val="auto"/>
          <w:sz w:val="32"/>
          <w:szCs w:val="32"/>
          <w:highlight w:val="none"/>
        </w:rPr>
        <w:t>全面实施</w:t>
      </w:r>
      <w:r>
        <w:rPr>
          <w:rFonts w:hint="default" w:ascii="Times New Roman" w:hAnsi="Times New Roman" w:eastAsia="仿宋" w:cs="Times New Roman"/>
          <w:color w:val="auto"/>
          <w:highlight w:val="none"/>
        </w:rPr>
        <w:t>预算绩效管理的实施意见》（川委发〔2019〕8号）</w:t>
      </w:r>
      <w:r>
        <w:rPr>
          <w:rFonts w:hint="default" w:ascii="Times New Roman" w:hAnsi="Times New Roman" w:eastAsia="仿宋" w:cs="Times New Roman"/>
          <w:color w:val="auto"/>
          <w:highlight w:val="none"/>
          <w:lang w:eastAsia="zh-CN"/>
        </w:rPr>
        <w:t>、《德阳市罗江区财政局关于开展202</w:t>
      </w:r>
      <w:r>
        <w:rPr>
          <w:rFonts w:hint="default" w:ascii="Times New Roman" w:hAnsi="Times New Roman" w:eastAsia="仿宋" w:cs="Times New Roman"/>
          <w:color w:val="auto"/>
          <w:highlight w:val="none"/>
          <w:lang w:val="en-US" w:eastAsia="zh-CN"/>
        </w:rPr>
        <w:t>4</w:t>
      </w:r>
      <w:r>
        <w:rPr>
          <w:rFonts w:hint="default" w:ascii="Times New Roman" w:hAnsi="Times New Roman" w:eastAsia="仿宋" w:cs="Times New Roman"/>
          <w:color w:val="auto"/>
          <w:highlight w:val="none"/>
          <w:lang w:eastAsia="zh-CN"/>
        </w:rPr>
        <w:t>年重点绩效评价工作的通知》（德市罗财绩〔2024〕5号）</w:t>
      </w:r>
      <w:r>
        <w:rPr>
          <w:rFonts w:hint="default" w:ascii="Times New Roman" w:hAnsi="Times New Roman" w:eastAsia="仿宋" w:cs="Times New Roman"/>
          <w:color w:val="auto"/>
          <w:highlight w:val="none"/>
        </w:rPr>
        <w:t>等文件要求</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我司受</w:t>
      </w:r>
      <w:r>
        <w:rPr>
          <w:rFonts w:hint="default" w:ascii="Times New Roman" w:hAnsi="Times New Roman" w:eastAsia="仿宋" w:cs="Times New Roman"/>
          <w:color w:val="auto"/>
          <w:highlight w:val="none"/>
          <w:lang w:val="en-US" w:eastAsia="zh-CN"/>
        </w:rPr>
        <w:t>德阳市罗江区</w:t>
      </w:r>
      <w:r>
        <w:rPr>
          <w:rFonts w:hint="default" w:ascii="Times New Roman" w:hAnsi="Times New Roman" w:eastAsia="仿宋" w:cs="Times New Roman"/>
          <w:color w:val="auto"/>
          <w:highlight w:val="none"/>
        </w:rPr>
        <w:t>财政局</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lang w:val="en-US" w:eastAsia="zh-CN"/>
        </w:rPr>
        <w:t>以下简称“区财政局”</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委托，结合</w:t>
      </w:r>
      <w:r>
        <w:rPr>
          <w:rFonts w:hint="default" w:ascii="Times New Roman" w:hAnsi="Times New Roman" w:eastAsia="仿宋" w:cs="Times New Roman"/>
          <w:color w:val="auto"/>
          <w:highlight w:val="none"/>
          <w:lang w:val="en-US" w:eastAsia="zh-Hans"/>
        </w:rPr>
        <w:t>项目</w:t>
      </w:r>
      <w:r>
        <w:rPr>
          <w:rFonts w:hint="default" w:ascii="Times New Roman" w:hAnsi="Times New Roman" w:eastAsia="仿宋" w:cs="Times New Roman"/>
          <w:color w:val="auto"/>
          <w:highlight w:val="none"/>
        </w:rPr>
        <w:t>实际情况，组建绩效</w:t>
      </w:r>
      <w:r>
        <w:rPr>
          <w:rFonts w:hint="default" w:ascii="Times New Roman" w:hAnsi="Times New Roman" w:eastAsia="仿宋" w:cs="Times New Roman"/>
          <w:color w:val="auto"/>
          <w:highlight w:val="none"/>
          <w:lang w:val="en-US" w:eastAsia="zh-CN"/>
        </w:rPr>
        <w:t>评价</w:t>
      </w:r>
      <w:r>
        <w:rPr>
          <w:rFonts w:hint="default" w:ascii="Times New Roman" w:hAnsi="Times New Roman" w:eastAsia="仿宋" w:cs="Times New Roman"/>
          <w:color w:val="auto"/>
          <w:highlight w:val="none"/>
        </w:rPr>
        <w:t>小组，对</w:t>
      </w:r>
      <w:r>
        <w:rPr>
          <w:rFonts w:hint="default" w:ascii="Times New Roman" w:hAnsi="Times New Roman" w:eastAsia="仿宋" w:cs="Times New Roman"/>
          <w:color w:val="auto"/>
          <w:highlight w:val="none"/>
          <w:lang w:eastAsia="zh-CN"/>
        </w:rPr>
        <w:t>德阳市罗江区宝峰山农文旅提升建设项目</w:t>
      </w:r>
      <w:r>
        <w:rPr>
          <w:rFonts w:hint="default" w:ascii="Times New Roman" w:hAnsi="Times New Roman" w:eastAsia="仿宋" w:cs="Times New Roman"/>
          <w:color w:val="auto"/>
          <w:highlight w:val="none"/>
          <w:lang w:val="en-US" w:eastAsia="zh-CN"/>
        </w:rPr>
        <w:t>开展绩效评价工作，</w:t>
      </w:r>
      <w:r>
        <w:rPr>
          <w:rFonts w:hint="default" w:ascii="Times New Roman" w:hAnsi="Times New Roman" w:eastAsia="仿宋" w:cs="Times New Roman"/>
          <w:color w:val="auto"/>
          <w:highlight w:val="none"/>
        </w:rPr>
        <w:t>深入了解和掌握</w:t>
      </w:r>
      <w:r>
        <w:rPr>
          <w:rFonts w:hint="default" w:ascii="Times New Roman" w:hAnsi="Times New Roman" w:eastAsia="仿宋" w:cs="Times New Roman"/>
          <w:color w:val="auto"/>
          <w:highlight w:val="none"/>
          <w:lang w:val="en-US" w:eastAsia="zh-CN"/>
        </w:rPr>
        <w:t>德阳市罗江区白马关镇人民政府（以下简称“白马关镇人民政府”</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lang w:val="en-US" w:eastAsia="zh-CN"/>
        </w:rPr>
        <w:t>德阳市罗江区宝峰山农文旅提升建设项目（以下简称“该项目”）</w:t>
      </w:r>
      <w:r>
        <w:rPr>
          <w:rFonts w:hint="default" w:ascii="Times New Roman" w:hAnsi="Times New Roman" w:eastAsia="仿宋" w:cs="Times New Roman"/>
          <w:color w:val="auto"/>
          <w:highlight w:val="none"/>
        </w:rPr>
        <w:t>完成的绩效情况，系统</w:t>
      </w:r>
      <w:r>
        <w:rPr>
          <w:rFonts w:hint="default" w:ascii="Times New Roman" w:hAnsi="Times New Roman" w:eastAsia="仿宋" w:cs="Times New Roman"/>
          <w:color w:val="auto"/>
          <w:highlight w:val="none"/>
          <w:lang w:val="en-US" w:eastAsia="zh-CN"/>
        </w:rPr>
        <w:t>衡量和分析</w:t>
      </w:r>
      <w:r>
        <w:rPr>
          <w:rFonts w:hint="default" w:ascii="Times New Roman" w:hAnsi="Times New Roman" w:eastAsia="仿宋" w:cs="Times New Roman"/>
          <w:color w:val="auto"/>
          <w:highlight w:val="none"/>
        </w:rPr>
        <w:t>采购前期</w:t>
      </w:r>
      <w:r>
        <w:rPr>
          <w:rFonts w:hint="default"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rPr>
        <w:t>采购过程</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lang w:val="en-US" w:eastAsia="zh-CN"/>
        </w:rPr>
        <w:t>公示及验收管理、效益方面</w:t>
      </w:r>
      <w:r>
        <w:rPr>
          <w:rFonts w:hint="default" w:ascii="Times New Roman" w:hAnsi="Times New Roman" w:eastAsia="仿宋" w:cs="Times New Roman"/>
          <w:color w:val="auto"/>
          <w:highlight w:val="none"/>
        </w:rPr>
        <w:t>存在的主要问题，</w:t>
      </w:r>
      <w:r>
        <w:rPr>
          <w:rFonts w:hint="default" w:ascii="Times New Roman" w:hAnsi="Times New Roman" w:eastAsia="仿宋" w:cs="Times New Roman"/>
          <w:color w:val="auto"/>
          <w:highlight w:val="none"/>
          <w:lang w:val="en-US" w:eastAsia="zh-CN"/>
        </w:rPr>
        <w:t>并提出改善</w:t>
      </w:r>
      <w:r>
        <w:rPr>
          <w:rFonts w:hint="default" w:ascii="Times New Roman" w:hAnsi="Times New Roman" w:eastAsia="仿宋" w:cs="Times New Roman"/>
          <w:color w:val="auto"/>
          <w:highlight w:val="none"/>
        </w:rPr>
        <w:t>后续</w:t>
      </w:r>
      <w:r>
        <w:rPr>
          <w:rFonts w:hint="default" w:ascii="Times New Roman" w:hAnsi="Times New Roman" w:eastAsia="仿宋" w:cs="Times New Roman"/>
          <w:color w:val="auto"/>
          <w:highlight w:val="none"/>
          <w:lang w:val="en-US" w:eastAsia="zh-CN"/>
        </w:rPr>
        <w:t>的</w:t>
      </w:r>
      <w:r>
        <w:rPr>
          <w:rFonts w:hint="default" w:ascii="Times New Roman" w:hAnsi="Times New Roman" w:eastAsia="仿宋" w:cs="Times New Roman"/>
          <w:color w:val="auto"/>
          <w:highlight w:val="none"/>
        </w:rPr>
        <w:t>建议</w:t>
      </w:r>
      <w:r>
        <w:rPr>
          <w:rFonts w:hint="default" w:ascii="Times New Roman" w:hAnsi="Times New Roman" w:eastAsia="仿宋" w:cs="Times New Roman"/>
          <w:color w:val="auto"/>
          <w:highlight w:val="none"/>
          <w:lang w:eastAsia="zh-CN"/>
        </w:rPr>
        <w:t>。</w:t>
      </w:r>
    </w:p>
    <w:p w14:paraId="3FFACC2A">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rPr>
      </w:pPr>
      <w:bookmarkStart w:id="7" w:name="_Toc11775"/>
      <w:bookmarkStart w:id="8" w:name="_Toc25104"/>
      <w:r>
        <w:rPr>
          <w:rFonts w:hint="eastAsia" w:ascii="黑体" w:hAnsi="黑体" w:eastAsia="黑体" w:cs="黑体"/>
          <w:color w:val="auto"/>
          <w:kern w:val="44"/>
          <w:sz w:val="32"/>
          <w:szCs w:val="44"/>
          <w:highlight w:val="none"/>
          <w:lang w:val="zh-CN" w:eastAsia="zh-CN" w:bidi="ar-SA"/>
        </w:rPr>
        <w:t>二、</w:t>
      </w:r>
      <w:r>
        <w:rPr>
          <w:rFonts w:hint="default" w:ascii="Times New Roman" w:hAnsi="Times New Roman" w:cs="Times New Roman"/>
          <w:color w:val="auto"/>
          <w:highlight w:val="none"/>
          <w:lang w:val="en-US" w:eastAsia="zh-CN"/>
        </w:rPr>
        <w:t>评价结论</w:t>
      </w:r>
      <w:bookmarkEnd w:id="7"/>
      <w:bookmarkEnd w:id="8"/>
    </w:p>
    <w:p w14:paraId="7E62D6DA">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rPr>
      </w:pPr>
      <w:r>
        <w:rPr>
          <w:rFonts w:hint="default" w:ascii="Times New Roman" w:hAnsi="Times New Roman" w:eastAsia="仿宋" w:cs="Times New Roman"/>
          <w:color w:val="auto"/>
          <w:highlight w:val="none"/>
          <w:lang w:val="en-US" w:eastAsia="zh-CN"/>
        </w:rPr>
        <w:t>评价结果评定采取评分和评级相结合的方式，总分设置折算为100分，等级划分为四档：90（含）-100分为优、80（含）-90分为良、60（含）-80分为中、60分以下为差。该项目</w:t>
      </w:r>
      <w:r>
        <w:rPr>
          <w:rFonts w:hint="default" w:ascii="Times New Roman" w:hAnsi="Times New Roman" w:eastAsia="仿宋" w:cs="Times New Roman"/>
          <w:color w:val="auto"/>
          <w:highlight w:val="none"/>
        </w:rPr>
        <w:t>绩效评价</w:t>
      </w:r>
      <w:r>
        <w:rPr>
          <w:rFonts w:hint="default" w:ascii="Times New Roman" w:hAnsi="Times New Roman" w:eastAsia="仿宋" w:cs="Times New Roman"/>
          <w:color w:val="auto"/>
          <w:highlight w:val="none"/>
          <w:lang w:val="en-US" w:eastAsia="zh-CN"/>
        </w:rPr>
        <w:t>综合</w:t>
      </w:r>
      <w:r>
        <w:rPr>
          <w:rFonts w:hint="default" w:ascii="Times New Roman" w:hAnsi="Times New Roman" w:eastAsia="仿宋" w:cs="Times New Roman"/>
          <w:color w:val="auto"/>
          <w:highlight w:val="none"/>
        </w:rPr>
        <w:t>得分为</w:t>
      </w:r>
      <w:r>
        <w:rPr>
          <w:rFonts w:hint="default" w:ascii="Times New Roman" w:hAnsi="Times New Roman" w:eastAsia="仿宋" w:cs="Times New Roman"/>
          <w:color w:val="auto"/>
          <w:highlight w:val="none"/>
          <w:lang w:val="en-US" w:eastAsia="zh-CN"/>
        </w:rPr>
        <w:t>92.39</w:t>
      </w:r>
      <w:r>
        <w:rPr>
          <w:rFonts w:hint="default" w:ascii="Times New Roman" w:hAnsi="Times New Roman" w:eastAsia="仿宋" w:cs="Times New Roman"/>
          <w:color w:val="auto"/>
          <w:highlight w:val="none"/>
        </w:rPr>
        <w:t>分</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lang w:val="en-US" w:eastAsia="zh-CN"/>
        </w:rPr>
        <w:t>评价等级为优。参照评分结果，</w:t>
      </w:r>
      <w:r>
        <w:rPr>
          <w:rFonts w:hint="default" w:ascii="Times New Roman" w:hAnsi="Times New Roman" w:eastAsia="仿宋" w:cs="Times New Roman"/>
          <w:color w:val="auto"/>
          <w:highlight w:val="none"/>
        </w:rPr>
        <w:t>项目立项依据充分、程序严密，符合</w:t>
      </w:r>
      <w:r>
        <w:rPr>
          <w:rFonts w:hint="default" w:ascii="Times New Roman" w:hAnsi="Times New Roman" w:eastAsia="仿宋" w:cs="Times New Roman"/>
          <w:color w:val="auto"/>
          <w:highlight w:val="none"/>
          <w:lang w:val="en-US" w:eastAsia="zh-CN"/>
        </w:rPr>
        <w:t>区</w:t>
      </w:r>
      <w:r>
        <w:rPr>
          <w:rFonts w:hint="default" w:ascii="Times New Roman" w:hAnsi="Times New Roman" w:eastAsia="仿宋" w:cs="Times New Roman"/>
          <w:color w:val="auto"/>
          <w:highlight w:val="none"/>
        </w:rPr>
        <w:t>委、</w:t>
      </w:r>
      <w:r>
        <w:rPr>
          <w:rFonts w:hint="default" w:ascii="Times New Roman" w:hAnsi="Times New Roman" w:eastAsia="仿宋" w:cs="Times New Roman"/>
          <w:color w:val="auto"/>
          <w:highlight w:val="none"/>
          <w:lang w:val="en-US" w:eastAsia="zh-CN"/>
        </w:rPr>
        <w:t>区</w:t>
      </w:r>
      <w:r>
        <w:rPr>
          <w:rFonts w:hint="default" w:ascii="Times New Roman" w:hAnsi="Times New Roman" w:eastAsia="仿宋" w:cs="Times New Roman"/>
          <w:color w:val="auto"/>
          <w:highlight w:val="none"/>
        </w:rPr>
        <w:t>政府重大决策部署和宏观政策规划。项目资金使用符合预算批复用途。项目资金分配结果公平合理</w:t>
      </w:r>
      <w:r>
        <w:rPr>
          <w:rFonts w:hint="default" w:ascii="Times New Roman" w:hAnsi="Times New Roman" w:eastAsia="仿宋" w:cs="Times New Roman"/>
          <w:color w:val="auto"/>
          <w:highlight w:val="none"/>
          <w:lang w:eastAsia="zh-CN"/>
        </w:rPr>
        <w:t>，动态调整及时准确，</w:t>
      </w:r>
      <w:r>
        <w:rPr>
          <w:rFonts w:hint="default" w:ascii="Times New Roman" w:hAnsi="Times New Roman" w:eastAsia="仿宋" w:cs="Times New Roman"/>
          <w:color w:val="auto"/>
          <w:highlight w:val="none"/>
          <w:lang w:val="en-US" w:eastAsia="zh-CN"/>
        </w:rPr>
        <w:t>但存在绩效目标设置合理性有待提高、采购管理制度欠完善、合同公示不及时等问题。</w:t>
      </w:r>
    </w:p>
    <w:p w14:paraId="0AFF5EB9">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cs="Times New Roman"/>
          <w:color w:val="auto"/>
          <w:sz w:val="32"/>
          <w:szCs w:val="32"/>
          <w:highlight w:val="none"/>
          <w:lang w:val="en-US" w:eastAsia="zh-CN"/>
        </w:rPr>
      </w:pPr>
      <w:bookmarkStart w:id="9" w:name="_Toc16484"/>
      <w:bookmarkStart w:id="10" w:name="_Toc3600"/>
      <w:r>
        <w:rPr>
          <w:rFonts w:hint="default" w:ascii="Times New Roman" w:hAnsi="Times New Roman" w:cs="Times New Roman"/>
          <w:color w:val="auto"/>
          <w:sz w:val="32"/>
          <w:szCs w:val="32"/>
          <w:highlight w:val="none"/>
          <w:lang w:val="en-US" w:eastAsia="zh-CN"/>
        </w:rPr>
        <w:t>第一部分  项目基本情况</w:t>
      </w:r>
      <w:bookmarkEnd w:id="9"/>
      <w:bookmarkEnd w:id="10"/>
    </w:p>
    <w:p w14:paraId="1A9B2E42">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220" w:leftChars="0" w:firstLine="420" w:firstLineChars="0"/>
        <w:textAlignment w:val="auto"/>
        <w:rPr>
          <w:rFonts w:hint="default" w:ascii="Times New Roman" w:hAnsi="Times New Roman" w:cs="Times New Roman"/>
          <w:color w:val="auto"/>
          <w:highlight w:val="none"/>
          <w:lang w:val="en-US" w:eastAsia="zh-CN"/>
        </w:rPr>
      </w:pPr>
      <w:bookmarkStart w:id="11" w:name="_Toc9093"/>
      <w:bookmarkStart w:id="12" w:name="_Toc921"/>
      <w:r>
        <w:rPr>
          <w:rFonts w:hint="eastAsia" w:ascii="黑体" w:hAnsi="黑体" w:eastAsia="黑体" w:cs="黑体"/>
          <w:color w:val="auto"/>
          <w:kern w:val="44"/>
          <w:sz w:val="32"/>
          <w:szCs w:val="44"/>
          <w:highlight w:val="none"/>
          <w:lang w:val="en-US" w:eastAsia="zh-CN" w:bidi="ar-SA"/>
        </w:rPr>
        <w:t>一、</w:t>
      </w:r>
      <w:r>
        <w:rPr>
          <w:rFonts w:hint="default" w:ascii="Times New Roman" w:hAnsi="Times New Roman" w:cs="Times New Roman"/>
          <w:color w:val="auto"/>
          <w:highlight w:val="none"/>
          <w:lang w:val="en-US" w:eastAsia="zh-CN"/>
        </w:rPr>
        <w:t>项目概况</w:t>
      </w:r>
      <w:bookmarkEnd w:id="11"/>
      <w:bookmarkEnd w:id="12"/>
    </w:p>
    <w:p w14:paraId="2A7117EB">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color w:val="auto"/>
          <w:highlight w:val="none"/>
        </w:rPr>
      </w:pPr>
      <w:bookmarkStart w:id="13" w:name="_Toc28059"/>
      <w:bookmarkStart w:id="14" w:name="_Toc1031"/>
      <w:bookmarkStart w:id="15" w:name="_Toc19546"/>
      <w:bookmarkStart w:id="16" w:name="_Toc20456"/>
      <w:bookmarkStart w:id="17" w:name="_Toc269809181"/>
      <w:bookmarkStart w:id="18" w:name="_Toc24077"/>
      <w:bookmarkStart w:id="19" w:name="_Toc26160"/>
      <w:bookmarkStart w:id="20" w:name="_Toc4921"/>
      <w:r>
        <w:rPr>
          <w:rFonts w:hint="eastAsia" w:ascii="楷体" w:hAnsi="楷体" w:eastAsia="楷体" w:cs="楷体"/>
          <w:color w:val="auto"/>
          <w:kern w:val="2"/>
          <w:sz w:val="32"/>
          <w:szCs w:val="24"/>
          <w:highlight w:val="none"/>
          <w:lang w:val="en-US" w:eastAsia="zh-CN" w:bidi="zh-CN"/>
        </w:rPr>
        <w:t>（一）</w:t>
      </w:r>
      <w:r>
        <w:rPr>
          <w:rFonts w:hint="eastAsia" w:ascii="楷体" w:hAnsi="楷体" w:eastAsia="楷体" w:cs="楷体"/>
          <w:color w:val="auto"/>
          <w:highlight w:val="none"/>
        </w:rPr>
        <w:t>项目背景及立项依据</w:t>
      </w:r>
      <w:bookmarkEnd w:id="13"/>
      <w:bookmarkEnd w:id="14"/>
      <w:bookmarkEnd w:id="15"/>
      <w:bookmarkEnd w:id="16"/>
      <w:bookmarkEnd w:id="17"/>
      <w:bookmarkEnd w:id="18"/>
      <w:bookmarkEnd w:id="19"/>
      <w:bookmarkEnd w:id="20"/>
    </w:p>
    <w:p w14:paraId="7B57AD31">
      <w:pPr>
        <w:pStyle w:val="27"/>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rPr>
        <w:t>为全面实施乡村振兴战略，促进农业高质高效、乡村宜居宜业、农民富裕富足，开启农业农村现代化建设新征程，《中共四川省委 四川省人民政府关于全面实施乡村振兴战略开启农业农村现代化建设新征程的意见》</w:t>
      </w:r>
      <w:r>
        <w:rPr>
          <w:rFonts w:hint="default" w:ascii="Times New Roman" w:hAnsi="Times New Roman" w:eastAsia="仿宋" w:cs="Times New Roman"/>
          <w:color w:val="auto"/>
          <w:highlight w:val="none"/>
          <w:lang w:val="en-US" w:eastAsia="zh-CN"/>
        </w:rPr>
        <w:t>提出“丰富乡村经济业态。推进现代农业园区景区化建设，建设一批乡村旅游特色景区和重点村。推进美丽休闲乡村建设，培育省级农业主题公园和休闲农庄。发展森林康养、田园养生、乡村民宿、中医药旅游、会展博览等新产业新业态”。</w:t>
      </w:r>
    </w:p>
    <w:p w14:paraId="4AB6D919">
      <w:pPr>
        <w:pStyle w:val="27"/>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为加快白马关景区建设，推动宝峰山枣子省级现代农业园区提档升级，确保2023年</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全省村长论坛</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在白马关镇万佛村如期举行，</w:t>
      </w:r>
      <w:r>
        <w:rPr>
          <w:rFonts w:hint="default" w:ascii="Times New Roman" w:hAnsi="Times New Roman" w:eastAsia="仿宋" w:cs="Times New Roman"/>
          <w:color w:val="auto"/>
          <w:highlight w:val="none"/>
          <w:lang w:val="en-US" w:eastAsia="zh-CN"/>
        </w:rPr>
        <w:t>德阳市罗江区政府投资建设项目管理联席会议审议通过了，经德阳市罗江区白马关镇</w:t>
      </w:r>
      <w:r>
        <w:rPr>
          <w:rFonts w:hint="default" w:ascii="Times New Roman" w:hAnsi="Times New Roman" w:eastAsia="仿宋" w:cs="Times New Roman"/>
          <w:color w:val="auto"/>
          <w:highlight w:val="none"/>
        </w:rPr>
        <w:t>书记办公会研究，</w:t>
      </w:r>
      <w:r>
        <w:rPr>
          <w:rFonts w:hint="default" w:ascii="Times New Roman" w:hAnsi="Times New Roman" w:eastAsia="仿宋" w:cs="Times New Roman"/>
          <w:color w:val="auto"/>
          <w:highlight w:val="none"/>
          <w:lang w:val="en-US" w:eastAsia="zh-CN"/>
        </w:rPr>
        <w:t>白马关镇人民政府上报的《德阳市罗江区白马关镇人民政府关于统筹实施〈德阳市罗江区宝峰山农文旅提升建设项目〉有关事宜的请示》（德市罗白府〔2022〕69号）“</w:t>
      </w:r>
      <w:r>
        <w:rPr>
          <w:rFonts w:hint="default" w:ascii="Times New Roman" w:hAnsi="Times New Roman" w:eastAsia="仿宋" w:cs="Times New Roman"/>
          <w:color w:val="auto"/>
          <w:highlight w:val="none"/>
        </w:rPr>
        <w:t>将罗江区贵妃枣现代农业园区提升工程项目、德阳市罗江区 2022 年省级财政乡村振兴转移支付资金项目、德阳市罗江区宝峰山枣子现代农业园区补短板项目、德阳市罗江区宝峰山枣子现代农业园区市级现代农业园区建设考评升二星激励奖补建设项目、德阳市罗江区白马关镇 2020年市级乡村振兴战略先进镇奖补建设项目统筹实施德阳市罗江区宝峰山农文旅提升建设项目</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w:t>
      </w:r>
    </w:p>
    <w:p w14:paraId="7B0980A4">
      <w:pPr>
        <w:pStyle w:val="27"/>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德阳市罗江区发展和改革局关于德阳市罗江区宝峰山农文旅提升建设项目可行性研究报告（代项目建议书）的批复》（德市罗发改投资〔2022〕123号），该项目建设内容为“新建项目现场1处。建筑面积约3000平方米，包括产品展销、技术培训、智慧管理、游客接待、邻里社区等功能；万佛水库节点环境提升。包括万佛水库周边及项目现场整体景观设计与提升打造；园区节点打造；百年枣树节点环境提升，包括周边环境整治、文化长廊维修；数字农业建设，运用智慧农业生产理念，建立农产品质量安全追溯体系；园区交通路网提升。长度约3000米水泥路扩宽至5米后铺筑沥青路面，新增划线，长度约7000米原沥青路面新增划线，长度约4100米原水泥路面铺筑宽2—3米彩画路面，新建约300米登山步道；基础配套提升。构建完备的标识标牌系统，新建生态停车场1处”。</w:t>
      </w:r>
    </w:p>
    <w:p w14:paraId="51082302">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rPr>
      </w:pPr>
      <w:bookmarkStart w:id="21" w:name="_Toc20241"/>
      <w:bookmarkStart w:id="22" w:name="_Toc1861"/>
      <w:bookmarkStart w:id="23" w:name="_Toc32406"/>
      <w:bookmarkStart w:id="24" w:name="_Toc28923"/>
      <w:bookmarkStart w:id="25" w:name="_Toc13740"/>
      <w:bookmarkStart w:id="26" w:name="_Toc1344926250"/>
      <w:bookmarkStart w:id="27" w:name="_Toc16590"/>
      <w:bookmarkStart w:id="28" w:name="_Toc9290"/>
      <w:r>
        <w:rPr>
          <w:rFonts w:hint="eastAsia" w:ascii="楷体" w:hAnsi="楷体" w:eastAsia="楷体" w:cs="楷体"/>
          <w:color w:val="auto"/>
          <w:kern w:val="2"/>
          <w:sz w:val="32"/>
          <w:szCs w:val="24"/>
          <w:highlight w:val="none"/>
          <w:lang w:val="en-US" w:eastAsia="zh-CN" w:bidi="zh-CN"/>
        </w:rPr>
        <w:t>（二）</w:t>
      </w:r>
      <w:r>
        <w:rPr>
          <w:rFonts w:hint="eastAsia" w:ascii="楷体" w:hAnsi="楷体" w:eastAsia="楷体" w:cs="楷体"/>
          <w:color w:val="auto"/>
          <w:highlight w:val="none"/>
        </w:rPr>
        <w:t>项目绩效目标</w:t>
      </w:r>
      <w:bookmarkEnd w:id="21"/>
      <w:bookmarkEnd w:id="22"/>
      <w:bookmarkEnd w:id="23"/>
      <w:bookmarkEnd w:id="24"/>
      <w:bookmarkEnd w:id="25"/>
      <w:bookmarkEnd w:id="26"/>
      <w:bookmarkEnd w:id="27"/>
      <w:bookmarkEnd w:id="28"/>
    </w:p>
    <w:p w14:paraId="795D7A52">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白马关镇政府提供的项目绩效目标表，该项目绩效目标为“按照区委区政府部署和《德阳市罗江区政府投资建设项目管理办法（试行）》文件精神，积极推动德阳市罗江区宝峰山农文旅提升建设项目实施。根据施工进度情况，及时向施工单位支付项目进度款，以确保项目2023年年底能顺利实施完毕”</w:t>
      </w:r>
      <w:r>
        <w:rPr>
          <w:rFonts w:hint="default" w:ascii="Times New Roman" w:hAnsi="Times New Roman" w:eastAsia="仿宋_GB2312" w:cs="Times New Roman"/>
          <w:color w:val="auto"/>
          <w:highlight w:val="none"/>
          <w:lang w:val="en-US" w:eastAsia="zh-CN"/>
        </w:rPr>
        <w:t>。</w:t>
      </w:r>
    </w:p>
    <w:p w14:paraId="18607B8C">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29" w:name="_Toc8569"/>
      <w:bookmarkStart w:id="30" w:name="_Toc27913"/>
      <w:r>
        <w:rPr>
          <w:rFonts w:hint="eastAsia" w:ascii="黑体" w:hAnsi="黑体" w:eastAsia="黑体" w:cs="黑体"/>
          <w:color w:val="auto"/>
          <w:kern w:val="44"/>
          <w:sz w:val="32"/>
          <w:szCs w:val="44"/>
          <w:highlight w:val="none"/>
          <w:lang w:val="en-US" w:eastAsia="zh-CN" w:bidi="ar-SA"/>
        </w:rPr>
        <w:t>二、</w:t>
      </w:r>
      <w:r>
        <w:rPr>
          <w:rFonts w:hint="default" w:ascii="Times New Roman" w:hAnsi="Times New Roman" w:cs="Times New Roman"/>
          <w:color w:val="auto"/>
          <w:highlight w:val="none"/>
          <w:lang w:val="en-US" w:eastAsia="zh-CN"/>
        </w:rPr>
        <w:t>项目管理情况</w:t>
      </w:r>
      <w:bookmarkEnd w:id="29"/>
      <w:bookmarkEnd w:id="30"/>
    </w:p>
    <w:p w14:paraId="4255F709">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color w:val="auto"/>
          <w:highlight w:val="none"/>
          <w:lang w:val="en-US" w:eastAsia="zh-CN"/>
        </w:rPr>
      </w:pPr>
      <w:bookmarkStart w:id="31" w:name="_Toc302114522"/>
      <w:bookmarkStart w:id="32" w:name="_Toc23687"/>
      <w:bookmarkStart w:id="33" w:name="_Toc2975"/>
      <w:bookmarkStart w:id="34" w:name="_Toc9465"/>
      <w:bookmarkStart w:id="35" w:name="_Toc17552"/>
      <w:bookmarkStart w:id="36" w:name="_Toc12353"/>
      <w:bookmarkStart w:id="37" w:name="_Toc19060"/>
      <w:bookmarkStart w:id="38" w:name="_Toc18255"/>
      <w:r>
        <w:rPr>
          <w:rFonts w:hint="eastAsia" w:ascii="楷体" w:hAnsi="楷体" w:eastAsia="楷体" w:cs="楷体"/>
          <w:color w:val="auto"/>
          <w:kern w:val="2"/>
          <w:sz w:val="32"/>
          <w:szCs w:val="24"/>
          <w:highlight w:val="none"/>
          <w:lang w:val="en-US" w:eastAsia="zh-CN" w:bidi="zh-CN"/>
        </w:rPr>
        <w:t>（一）</w:t>
      </w:r>
      <w:r>
        <w:rPr>
          <w:rFonts w:hint="eastAsia" w:ascii="楷体" w:hAnsi="楷体" w:eastAsia="楷体" w:cs="楷体"/>
          <w:color w:val="auto"/>
          <w:highlight w:val="none"/>
          <w:lang w:val="en-US" w:eastAsia="zh-CN"/>
        </w:rPr>
        <w:t>项目组织实施管理</w:t>
      </w:r>
      <w:bookmarkEnd w:id="31"/>
      <w:bookmarkEnd w:id="32"/>
      <w:bookmarkEnd w:id="33"/>
      <w:bookmarkEnd w:id="34"/>
      <w:bookmarkEnd w:id="35"/>
      <w:bookmarkEnd w:id="36"/>
      <w:bookmarkEnd w:id="37"/>
      <w:bookmarkEnd w:id="38"/>
    </w:p>
    <w:p w14:paraId="6E0BCF0D">
      <w:pPr>
        <w:pStyle w:val="2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bookmarkStart w:id="39" w:name="_Toc9389"/>
      <w:r>
        <w:rPr>
          <w:rFonts w:hint="default" w:ascii="Times New Roman" w:hAnsi="Times New Roman" w:eastAsia="仿宋" w:cs="Times New Roman"/>
          <w:color w:val="auto"/>
          <w:highlight w:val="none"/>
          <w:lang w:val="en-US" w:eastAsia="zh-CN"/>
        </w:rPr>
        <w:t>2022年11月2日白马关镇人民政府在四川政府采购网上发布了2022年政府采购意向公告（第一批），包含宝峰山农文旅提升建设项目（设计服务采购）；2022年11月14日白马关镇人民政府在四川政府采购网上发布了德阳市罗江区宝峰山农文旅提升建设项目（设计服务采购）竞争性磋商公告并填报了采购实施计划备案表；2022年11月25日白马关镇人民政府在四川正益工程项目管理有限公司开标并在四川政府采购网上发布了宝峰山农文旅提升建设项目（设计服务采购）中标结果公告；2022年11月28日白马关镇人民政府与中外建华诚（北京）工程设计咨询有限公司签订了设计服务合同；2023年4月4日白马关镇人民政府发布了宝峰山农文旅提升建设项目（设计服务采购）政府采购合同公告。</w:t>
      </w:r>
    </w:p>
    <w:p w14:paraId="39E250D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2023年1月17日白马关镇人民政府在公共交易中心发布了关于宝峰山农文旅提升建设项目房屋建筑工程的招标公告；2023年2月10日白马关镇人民政府在公共交易中心发布了关于宝峰山农文旅提升建设项目房屋建筑工程的评标结果公示并发布了宝峰山农文旅提升建设项目房屋建筑工程的中标人公告；2023年2月20日白马关镇人民政府与四川纹江致远建筑开发工程有限公司签订了建设工程施工合同；2023年4月11日发布了关于宝峰山农文旅提升建设项目房屋建筑工程的合同公示。</w:t>
      </w:r>
    </w:p>
    <w:p w14:paraId="0C09E286">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_GB2312" w:cs="Times New Roman"/>
          <w:color w:val="auto"/>
          <w:kern w:val="2"/>
          <w:sz w:val="32"/>
          <w:szCs w:val="24"/>
          <w:highlight w:val="none"/>
          <w:lang w:val="en-US" w:eastAsia="zh-CN" w:bidi="zh-CN"/>
        </w:rPr>
      </w:pPr>
      <w:bookmarkStart w:id="40" w:name="_Toc19276"/>
      <w:bookmarkStart w:id="41" w:name="_Toc7022"/>
      <w:bookmarkStart w:id="42" w:name="_Toc6259"/>
      <w:bookmarkStart w:id="43" w:name="_Toc987429746"/>
      <w:bookmarkStart w:id="44" w:name="_Toc6740"/>
      <w:bookmarkStart w:id="45" w:name="_Toc28821"/>
      <w:bookmarkStart w:id="46" w:name="_Toc30750"/>
      <w:r>
        <w:rPr>
          <w:rFonts w:hint="eastAsia" w:ascii="楷体" w:hAnsi="楷体" w:eastAsia="楷体" w:cs="楷体"/>
          <w:color w:val="auto"/>
          <w:kern w:val="2"/>
          <w:sz w:val="32"/>
          <w:szCs w:val="24"/>
          <w:highlight w:val="none"/>
          <w:lang w:val="en-US" w:eastAsia="zh-CN" w:bidi="zh-CN"/>
        </w:rPr>
        <w:t>（二）项目资金使用管理</w:t>
      </w:r>
      <w:bookmarkEnd w:id="39"/>
      <w:bookmarkEnd w:id="40"/>
      <w:bookmarkEnd w:id="41"/>
      <w:bookmarkEnd w:id="42"/>
      <w:bookmarkEnd w:id="43"/>
      <w:bookmarkEnd w:id="44"/>
      <w:bookmarkEnd w:id="45"/>
      <w:bookmarkEnd w:id="46"/>
    </w:p>
    <w:p w14:paraId="44F84F5E">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德阳市罗江区宝峰山农文旅提升建设项目计划投资资金2900万元，其中省级现代农业园区补助资金1000万元、省级先进镇补助资金500万元、宝峰山枣子现代农业园区补短板补助资金300万元、市级现代农业园区补助资金200万元、市级先进镇补助资金50万元、区财政资金850万元（本次评价只针对区级配套850万元），该项目预算评审金额2878.15万元，审定金额为2898.83万元。</w:t>
      </w:r>
    </w:p>
    <w:p w14:paraId="66CBE3E8">
      <w:pPr>
        <w:pStyle w:val="2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白马关镇人民政府提供的资料，该项目已签订合同总价为2799.38万元，截至绩效评价日，已实际支付2237.5万元，其中区级配套资金850万元已全部支出用于德阳市罗江区宝峰山农文旅提升建设项目第三期工程进度款。详情见表2-1。</w:t>
      </w:r>
    </w:p>
    <w:p w14:paraId="03C941FC">
      <w:pPr>
        <w:pStyle w:val="2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 w:cs="Times New Roman"/>
          <w:color w:val="auto"/>
          <w:sz w:val="30"/>
          <w:szCs w:val="30"/>
          <w:highlight w:val="none"/>
          <w:lang w:val="en-US" w:eastAsia="zh-CN"/>
        </w:rPr>
      </w:pPr>
      <w:r>
        <w:rPr>
          <w:rFonts w:hint="default" w:ascii="Times New Roman" w:hAnsi="Times New Roman" w:eastAsia="楷体" w:cs="Times New Roman"/>
          <w:color w:val="auto"/>
          <w:sz w:val="30"/>
          <w:szCs w:val="30"/>
          <w:highlight w:val="none"/>
          <w:lang w:val="en-US" w:eastAsia="zh-CN"/>
        </w:rPr>
        <w:t>表2-1资金支出情况明细表</w:t>
      </w:r>
    </w:p>
    <w:p w14:paraId="7AEA1DAE">
      <w:pPr>
        <w:pStyle w:val="27"/>
        <w:keepNext w:val="0"/>
        <w:keepLines w:val="0"/>
        <w:pageBreakBefore w:val="0"/>
        <w:widowControl w:val="0"/>
        <w:kinsoku/>
        <w:wordWrap/>
        <w:overflowPunct/>
        <w:topLinePunct w:val="0"/>
        <w:autoSpaceDE/>
        <w:autoSpaceDN/>
        <w:bidi w:val="0"/>
        <w:adjustRightInd/>
        <w:snapToGrid/>
        <w:spacing w:line="240" w:lineRule="auto"/>
        <w:ind w:firstLine="0" w:firstLineChars="0"/>
        <w:jc w:val="right"/>
        <w:textAlignment w:val="auto"/>
        <w:rPr>
          <w:rFonts w:hint="default" w:ascii="Times New Roman" w:hAnsi="Times New Roman" w:eastAsia="楷体" w:cs="Times New Roman"/>
          <w:color w:val="auto"/>
          <w:sz w:val="30"/>
          <w:szCs w:val="30"/>
          <w:highlight w:val="none"/>
          <w:lang w:val="en-US" w:eastAsia="zh-CN"/>
        </w:rPr>
      </w:pPr>
      <w:r>
        <w:rPr>
          <w:rFonts w:hint="default" w:ascii="Times New Roman" w:hAnsi="Times New Roman" w:eastAsia="楷体" w:cs="Times New Roman"/>
          <w:color w:val="auto"/>
          <w:sz w:val="30"/>
          <w:szCs w:val="30"/>
          <w:highlight w:val="none"/>
          <w:lang w:val="en-US" w:eastAsia="zh-CN"/>
        </w:rPr>
        <w:t>单位：万元</w:t>
      </w:r>
    </w:p>
    <w:tbl>
      <w:tblPr>
        <w:tblStyle w:val="16"/>
        <w:tblpPr w:leftFromText="180" w:rightFromText="180" w:vertAnchor="text" w:horzAnchor="page" w:tblpX="1638" w:tblpY="437"/>
        <w:tblOverlap w:val="never"/>
        <w:tblW w:w="4987" w:type="pct"/>
        <w:tblInd w:w="0" w:type="dxa"/>
        <w:tblBorders>
          <w:top w:val="single" w:color="auto" w:sz="4" w:space="0"/>
          <w:left w:val="none" w:color="auto" w:sz="0" w:space="0"/>
          <w:bottom w:val="single" w:color="auto" w:sz="4"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845"/>
        <w:gridCol w:w="2746"/>
        <w:gridCol w:w="1504"/>
        <w:gridCol w:w="1716"/>
        <w:gridCol w:w="2225"/>
      </w:tblGrid>
      <w:tr w14:paraId="4265E053">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25E4912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序号</w:t>
            </w:r>
          </w:p>
        </w:tc>
        <w:tc>
          <w:tcPr>
            <w:tcW w:w="1519" w:type="pct"/>
            <w:tcBorders>
              <w:tl2br w:val="nil"/>
              <w:tr2bl w:val="nil"/>
            </w:tcBorders>
            <w:vAlign w:val="center"/>
          </w:tcPr>
          <w:p w14:paraId="35A4F46F">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合同类型</w:t>
            </w:r>
          </w:p>
        </w:tc>
        <w:tc>
          <w:tcPr>
            <w:tcW w:w="832" w:type="pct"/>
            <w:tcBorders>
              <w:tl2br w:val="nil"/>
              <w:tr2bl w:val="nil"/>
            </w:tcBorders>
            <w:vAlign w:val="center"/>
          </w:tcPr>
          <w:p w14:paraId="5C769CCD">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合同价款</w:t>
            </w:r>
          </w:p>
        </w:tc>
        <w:tc>
          <w:tcPr>
            <w:tcW w:w="949" w:type="pct"/>
            <w:tcBorders>
              <w:tl2br w:val="nil"/>
              <w:tr2bl w:val="nil"/>
            </w:tcBorders>
            <w:vAlign w:val="center"/>
          </w:tcPr>
          <w:p w14:paraId="2C360166">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实际支付</w:t>
            </w:r>
          </w:p>
        </w:tc>
        <w:tc>
          <w:tcPr>
            <w:tcW w:w="1231" w:type="pct"/>
            <w:tcBorders>
              <w:tl2br w:val="nil"/>
              <w:tr2bl w:val="nil"/>
            </w:tcBorders>
            <w:vAlign w:val="center"/>
          </w:tcPr>
          <w:p w14:paraId="02600191">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备注</w:t>
            </w:r>
          </w:p>
        </w:tc>
      </w:tr>
      <w:tr w14:paraId="3D2F1142">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vMerge w:val="restart"/>
            <w:tcBorders>
              <w:tl2br w:val="nil"/>
              <w:tr2bl w:val="nil"/>
            </w:tcBorders>
            <w:vAlign w:val="center"/>
          </w:tcPr>
          <w:p w14:paraId="6185B08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1</w:t>
            </w:r>
          </w:p>
        </w:tc>
        <w:tc>
          <w:tcPr>
            <w:tcW w:w="1519" w:type="pct"/>
            <w:vMerge w:val="restart"/>
            <w:tcBorders>
              <w:tl2br w:val="nil"/>
              <w:tr2bl w:val="nil"/>
            </w:tcBorders>
            <w:vAlign w:val="center"/>
          </w:tcPr>
          <w:p w14:paraId="5086D059">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施工合同</w:t>
            </w:r>
          </w:p>
        </w:tc>
        <w:tc>
          <w:tcPr>
            <w:tcW w:w="832" w:type="pct"/>
            <w:vMerge w:val="restart"/>
            <w:tcBorders>
              <w:tl2br w:val="nil"/>
              <w:tr2bl w:val="nil"/>
            </w:tcBorders>
            <w:vAlign w:val="center"/>
          </w:tcPr>
          <w:p w14:paraId="5762DFD4">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2632.65</w:t>
            </w:r>
          </w:p>
        </w:tc>
        <w:tc>
          <w:tcPr>
            <w:tcW w:w="949" w:type="pct"/>
            <w:tcBorders>
              <w:tl2br w:val="nil"/>
              <w:tr2bl w:val="nil"/>
            </w:tcBorders>
            <w:vAlign w:val="center"/>
          </w:tcPr>
          <w:p w14:paraId="5D3752F2">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300</w:t>
            </w:r>
          </w:p>
        </w:tc>
        <w:tc>
          <w:tcPr>
            <w:tcW w:w="1231" w:type="pct"/>
            <w:vMerge w:val="restart"/>
            <w:tcBorders>
              <w:tl2br w:val="nil"/>
              <w:tr2bl w:val="nil"/>
            </w:tcBorders>
            <w:vAlign w:val="center"/>
          </w:tcPr>
          <w:p w14:paraId="5D1C16E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项目还未完成竣工验收，</w:t>
            </w:r>
            <w:r>
              <w:rPr>
                <w:rFonts w:hint="eastAsia" w:ascii="Times New Roman" w:hAnsi="Times New Roman" w:eastAsia="仿宋" w:cs="Times New Roman"/>
                <w:color w:val="auto"/>
                <w:sz w:val="24"/>
                <w:szCs w:val="24"/>
                <w:highlight w:val="none"/>
                <w:vertAlign w:val="baseline"/>
                <w:lang w:val="en-US" w:eastAsia="zh-CN"/>
              </w:rPr>
              <w:t>未完成竣工结算，</w:t>
            </w:r>
            <w:r>
              <w:rPr>
                <w:rFonts w:hint="default" w:ascii="Times New Roman" w:hAnsi="Times New Roman" w:eastAsia="仿宋" w:cs="Times New Roman"/>
                <w:color w:val="auto"/>
                <w:sz w:val="24"/>
                <w:szCs w:val="24"/>
                <w:highlight w:val="none"/>
                <w:vertAlign w:val="baseline"/>
                <w:lang w:val="en-US" w:eastAsia="zh-CN"/>
              </w:rPr>
              <w:t>未达付款条件。</w:t>
            </w:r>
          </w:p>
        </w:tc>
      </w:tr>
      <w:tr w14:paraId="0B15E6DE">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vMerge w:val="continue"/>
            <w:tcBorders>
              <w:tl2br w:val="nil"/>
              <w:tr2bl w:val="nil"/>
            </w:tcBorders>
            <w:vAlign w:val="center"/>
          </w:tcPr>
          <w:p w14:paraId="17645DF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p>
        </w:tc>
        <w:tc>
          <w:tcPr>
            <w:tcW w:w="1519" w:type="pct"/>
            <w:vMerge w:val="continue"/>
            <w:tcBorders>
              <w:tl2br w:val="nil"/>
              <w:tr2bl w:val="nil"/>
            </w:tcBorders>
            <w:vAlign w:val="center"/>
          </w:tcPr>
          <w:p w14:paraId="648ED881">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832" w:type="pct"/>
            <w:vMerge w:val="continue"/>
            <w:tcBorders>
              <w:tl2br w:val="nil"/>
              <w:tr2bl w:val="nil"/>
            </w:tcBorders>
            <w:vAlign w:val="center"/>
          </w:tcPr>
          <w:p w14:paraId="543DCF1D">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949" w:type="pct"/>
            <w:tcBorders>
              <w:tl2br w:val="nil"/>
              <w:tr2bl w:val="nil"/>
            </w:tcBorders>
            <w:vAlign w:val="center"/>
          </w:tcPr>
          <w:p w14:paraId="0A7A1DA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521.15</w:t>
            </w:r>
          </w:p>
        </w:tc>
        <w:tc>
          <w:tcPr>
            <w:tcW w:w="1231" w:type="pct"/>
            <w:vMerge w:val="continue"/>
            <w:tcBorders>
              <w:tl2br w:val="nil"/>
              <w:tr2bl w:val="nil"/>
            </w:tcBorders>
            <w:vAlign w:val="center"/>
          </w:tcPr>
          <w:p w14:paraId="13ED0EF1">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7752D84B">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vMerge w:val="continue"/>
            <w:tcBorders>
              <w:tl2br w:val="nil"/>
              <w:tr2bl w:val="nil"/>
            </w:tcBorders>
            <w:vAlign w:val="center"/>
          </w:tcPr>
          <w:p w14:paraId="444B29ED">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p>
        </w:tc>
        <w:tc>
          <w:tcPr>
            <w:tcW w:w="1519" w:type="pct"/>
            <w:vMerge w:val="continue"/>
            <w:tcBorders>
              <w:tl2br w:val="nil"/>
              <w:tr2bl w:val="nil"/>
            </w:tcBorders>
            <w:vAlign w:val="center"/>
          </w:tcPr>
          <w:p w14:paraId="7F890139">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832" w:type="pct"/>
            <w:vMerge w:val="continue"/>
            <w:tcBorders>
              <w:tl2br w:val="nil"/>
              <w:tr2bl w:val="nil"/>
            </w:tcBorders>
            <w:vAlign w:val="center"/>
          </w:tcPr>
          <w:p w14:paraId="348371E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949" w:type="pct"/>
            <w:tcBorders>
              <w:tl2br w:val="nil"/>
              <w:tr2bl w:val="nil"/>
            </w:tcBorders>
            <w:vAlign w:val="center"/>
          </w:tcPr>
          <w:p w14:paraId="605E717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435.82</w:t>
            </w:r>
          </w:p>
        </w:tc>
        <w:tc>
          <w:tcPr>
            <w:tcW w:w="1231" w:type="pct"/>
            <w:vMerge w:val="continue"/>
            <w:tcBorders>
              <w:tl2br w:val="nil"/>
              <w:tr2bl w:val="nil"/>
            </w:tcBorders>
            <w:vAlign w:val="center"/>
          </w:tcPr>
          <w:p w14:paraId="34E821E7">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681EF64E">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vMerge w:val="continue"/>
            <w:tcBorders>
              <w:tl2br w:val="nil"/>
              <w:tr2bl w:val="nil"/>
            </w:tcBorders>
            <w:vAlign w:val="center"/>
          </w:tcPr>
          <w:p w14:paraId="0E68738C">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p>
        </w:tc>
        <w:tc>
          <w:tcPr>
            <w:tcW w:w="1519" w:type="pct"/>
            <w:vMerge w:val="continue"/>
            <w:tcBorders>
              <w:tl2br w:val="nil"/>
              <w:tr2bl w:val="nil"/>
            </w:tcBorders>
            <w:vAlign w:val="center"/>
          </w:tcPr>
          <w:p w14:paraId="132B7486">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832" w:type="pct"/>
            <w:vMerge w:val="continue"/>
            <w:tcBorders>
              <w:tl2br w:val="nil"/>
              <w:tr2bl w:val="nil"/>
            </w:tcBorders>
            <w:vAlign w:val="center"/>
          </w:tcPr>
          <w:p w14:paraId="6A78AFF2">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p>
        </w:tc>
        <w:tc>
          <w:tcPr>
            <w:tcW w:w="949" w:type="pct"/>
            <w:tcBorders>
              <w:tl2br w:val="nil"/>
              <w:tr2bl w:val="nil"/>
            </w:tcBorders>
            <w:vAlign w:val="center"/>
          </w:tcPr>
          <w:p w14:paraId="1EC5780F">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850</w:t>
            </w:r>
          </w:p>
        </w:tc>
        <w:tc>
          <w:tcPr>
            <w:tcW w:w="1231" w:type="pct"/>
            <w:vMerge w:val="continue"/>
            <w:tcBorders>
              <w:tl2br w:val="nil"/>
              <w:tr2bl w:val="nil"/>
            </w:tcBorders>
            <w:vAlign w:val="center"/>
          </w:tcPr>
          <w:p w14:paraId="18C755F4">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32C12FC8">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7C774C9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2</w:t>
            </w:r>
          </w:p>
        </w:tc>
        <w:tc>
          <w:tcPr>
            <w:tcW w:w="1519" w:type="pct"/>
            <w:tcBorders>
              <w:tl2br w:val="nil"/>
              <w:tr2bl w:val="nil"/>
            </w:tcBorders>
            <w:vAlign w:val="center"/>
          </w:tcPr>
          <w:p w14:paraId="408EDE9C">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施工图审查合同</w:t>
            </w:r>
          </w:p>
        </w:tc>
        <w:tc>
          <w:tcPr>
            <w:tcW w:w="832" w:type="pct"/>
            <w:tcBorders>
              <w:tl2br w:val="nil"/>
              <w:tr2bl w:val="nil"/>
            </w:tcBorders>
            <w:vAlign w:val="center"/>
          </w:tcPr>
          <w:p w14:paraId="4E736406">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3.7</w:t>
            </w:r>
          </w:p>
        </w:tc>
        <w:tc>
          <w:tcPr>
            <w:tcW w:w="949" w:type="pct"/>
            <w:tcBorders>
              <w:tl2br w:val="nil"/>
              <w:tr2bl w:val="nil"/>
            </w:tcBorders>
            <w:vAlign w:val="center"/>
          </w:tcPr>
          <w:p w14:paraId="18944F86">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3.7</w:t>
            </w:r>
          </w:p>
        </w:tc>
        <w:tc>
          <w:tcPr>
            <w:tcW w:w="1231" w:type="pct"/>
            <w:tcBorders>
              <w:tl2br w:val="nil"/>
              <w:tr2bl w:val="nil"/>
            </w:tcBorders>
            <w:vAlign w:val="center"/>
          </w:tcPr>
          <w:p w14:paraId="2E1E347D">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32BD2AC1">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4" w:hRule="atLeast"/>
        </w:trPr>
        <w:tc>
          <w:tcPr>
            <w:tcW w:w="467" w:type="pct"/>
            <w:tcBorders>
              <w:tl2br w:val="nil"/>
              <w:tr2bl w:val="nil"/>
            </w:tcBorders>
            <w:vAlign w:val="center"/>
          </w:tcPr>
          <w:p w14:paraId="5F87FD0B">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3</w:t>
            </w:r>
          </w:p>
        </w:tc>
        <w:tc>
          <w:tcPr>
            <w:tcW w:w="1519" w:type="pct"/>
            <w:tcBorders>
              <w:tl2br w:val="nil"/>
              <w:tr2bl w:val="nil"/>
            </w:tcBorders>
            <w:vAlign w:val="center"/>
          </w:tcPr>
          <w:p w14:paraId="11650FF5">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用地预审及规划选址技术服务合同</w:t>
            </w:r>
          </w:p>
        </w:tc>
        <w:tc>
          <w:tcPr>
            <w:tcW w:w="832" w:type="pct"/>
            <w:tcBorders>
              <w:tl2br w:val="nil"/>
              <w:tr2bl w:val="nil"/>
            </w:tcBorders>
            <w:vAlign w:val="center"/>
          </w:tcPr>
          <w:p w14:paraId="2A1AA285">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17.2</w:t>
            </w:r>
          </w:p>
        </w:tc>
        <w:tc>
          <w:tcPr>
            <w:tcW w:w="949" w:type="pct"/>
            <w:tcBorders>
              <w:tl2br w:val="nil"/>
              <w:tr2bl w:val="nil"/>
            </w:tcBorders>
            <w:vAlign w:val="center"/>
          </w:tcPr>
          <w:p w14:paraId="663B2F8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17.2</w:t>
            </w:r>
          </w:p>
        </w:tc>
        <w:tc>
          <w:tcPr>
            <w:tcW w:w="1231" w:type="pct"/>
            <w:tcBorders>
              <w:tl2br w:val="nil"/>
              <w:tr2bl w:val="nil"/>
            </w:tcBorders>
            <w:vAlign w:val="center"/>
          </w:tcPr>
          <w:p w14:paraId="54192476">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5FFB9986">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4" w:hRule="atLeast"/>
        </w:trPr>
        <w:tc>
          <w:tcPr>
            <w:tcW w:w="467" w:type="pct"/>
            <w:tcBorders>
              <w:tl2br w:val="nil"/>
              <w:tr2bl w:val="nil"/>
            </w:tcBorders>
            <w:vAlign w:val="center"/>
          </w:tcPr>
          <w:p w14:paraId="138550B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4</w:t>
            </w:r>
          </w:p>
        </w:tc>
        <w:tc>
          <w:tcPr>
            <w:tcW w:w="1519" w:type="pct"/>
            <w:tcBorders>
              <w:tl2br w:val="nil"/>
              <w:tr2bl w:val="nil"/>
            </w:tcBorders>
            <w:vAlign w:val="center"/>
          </w:tcPr>
          <w:p w14:paraId="4E0E83F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造价咨询服务合同</w:t>
            </w:r>
          </w:p>
        </w:tc>
        <w:tc>
          <w:tcPr>
            <w:tcW w:w="832" w:type="pct"/>
            <w:tcBorders>
              <w:tl2br w:val="nil"/>
              <w:tr2bl w:val="nil"/>
            </w:tcBorders>
            <w:vAlign w:val="center"/>
          </w:tcPr>
          <w:p w14:paraId="3C4B297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6.72</w:t>
            </w:r>
          </w:p>
        </w:tc>
        <w:tc>
          <w:tcPr>
            <w:tcW w:w="949" w:type="pct"/>
            <w:tcBorders>
              <w:tl2br w:val="nil"/>
              <w:tr2bl w:val="nil"/>
            </w:tcBorders>
            <w:vAlign w:val="center"/>
          </w:tcPr>
          <w:p w14:paraId="003F8BE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6.05</w:t>
            </w:r>
          </w:p>
        </w:tc>
        <w:tc>
          <w:tcPr>
            <w:tcW w:w="1231" w:type="pct"/>
            <w:tcBorders>
              <w:tl2br w:val="nil"/>
              <w:tr2bl w:val="nil"/>
            </w:tcBorders>
            <w:vAlign w:val="center"/>
          </w:tcPr>
          <w:p w14:paraId="6F35E28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因有清单漏项，扣10%</w:t>
            </w:r>
          </w:p>
        </w:tc>
      </w:tr>
      <w:tr w14:paraId="08AFD82D">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4" w:hRule="atLeast"/>
        </w:trPr>
        <w:tc>
          <w:tcPr>
            <w:tcW w:w="467" w:type="pct"/>
            <w:tcBorders>
              <w:tl2br w:val="nil"/>
              <w:tr2bl w:val="nil"/>
            </w:tcBorders>
            <w:vAlign w:val="center"/>
          </w:tcPr>
          <w:p w14:paraId="6E689302">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5</w:t>
            </w:r>
          </w:p>
        </w:tc>
        <w:tc>
          <w:tcPr>
            <w:tcW w:w="1519" w:type="pct"/>
            <w:tcBorders>
              <w:tl2br w:val="nil"/>
              <w:tr2bl w:val="nil"/>
            </w:tcBorders>
            <w:vAlign w:val="center"/>
          </w:tcPr>
          <w:p w14:paraId="66AC3A8D">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设计服务合同</w:t>
            </w:r>
          </w:p>
        </w:tc>
        <w:tc>
          <w:tcPr>
            <w:tcW w:w="832" w:type="pct"/>
            <w:tcBorders>
              <w:tl2br w:val="nil"/>
              <w:tr2bl w:val="nil"/>
            </w:tcBorders>
            <w:vAlign w:val="center"/>
          </w:tcPr>
          <w:p w14:paraId="5E214725">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74.8</w:t>
            </w:r>
          </w:p>
        </w:tc>
        <w:tc>
          <w:tcPr>
            <w:tcW w:w="949" w:type="pct"/>
            <w:tcBorders>
              <w:tl2br w:val="nil"/>
              <w:tr2bl w:val="nil"/>
            </w:tcBorders>
            <w:vAlign w:val="center"/>
          </w:tcPr>
          <w:p w14:paraId="39256E8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52.36</w:t>
            </w:r>
          </w:p>
        </w:tc>
        <w:tc>
          <w:tcPr>
            <w:tcW w:w="1231" w:type="pct"/>
            <w:tcBorders>
              <w:tl2br w:val="nil"/>
              <w:tr2bl w:val="nil"/>
            </w:tcBorders>
            <w:vAlign w:val="center"/>
          </w:tcPr>
          <w:p w14:paraId="3B5A5014">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eastAsia" w:ascii="Times New Roman" w:hAnsi="Times New Roman" w:eastAsia="仿宋" w:cs="Times New Roman"/>
                <w:color w:val="auto"/>
                <w:sz w:val="24"/>
                <w:szCs w:val="24"/>
                <w:highlight w:val="none"/>
                <w:vertAlign w:val="baseline"/>
                <w:lang w:val="en-US" w:eastAsia="zh-CN"/>
              </w:rPr>
              <w:t>项目设计因设计单位缺陷或疏漏，扣</w:t>
            </w:r>
            <w:r>
              <w:rPr>
                <w:rFonts w:hint="default" w:ascii="Times New Roman" w:hAnsi="Times New Roman" w:eastAsia="仿宋" w:cs="Times New Roman"/>
                <w:color w:val="auto"/>
                <w:sz w:val="24"/>
                <w:szCs w:val="24"/>
                <w:highlight w:val="none"/>
                <w:vertAlign w:val="baseline"/>
                <w:lang w:val="en-US" w:eastAsia="zh-CN"/>
              </w:rPr>
              <w:t>30%</w:t>
            </w:r>
            <w:r>
              <w:rPr>
                <w:rFonts w:hint="eastAsia" w:ascii="Times New Roman" w:hAnsi="Times New Roman" w:eastAsia="仿宋" w:cs="Times New Roman"/>
                <w:color w:val="auto"/>
                <w:sz w:val="24"/>
                <w:szCs w:val="24"/>
                <w:highlight w:val="none"/>
                <w:vertAlign w:val="baseline"/>
                <w:lang w:val="en-US" w:eastAsia="zh-CN"/>
              </w:rPr>
              <w:t>合同款</w:t>
            </w:r>
            <w:r>
              <w:rPr>
                <w:rFonts w:hint="default" w:ascii="Times New Roman" w:hAnsi="Times New Roman" w:eastAsia="仿宋" w:cs="Times New Roman"/>
                <w:color w:val="auto"/>
                <w:sz w:val="24"/>
                <w:szCs w:val="24"/>
                <w:highlight w:val="none"/>
                <w:vertAlign w:val="baseline"/>
                <w:lang w:val="en-US" w:eastAsia="zh-CN"/>
              </w:rPr>
              <w:t>。</w:t>
            </w:r>
          </w:p>
        </w:tc>
      </w:tr>
      <w:tr w14:paraId="7BD8DEDB">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5D1EEDF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6</w:t>
            </w:r>
          </w:p>
        </w:tc>
        <w:tc>
          <w:tcPr>
            <w:tcW w:w="1519" w:type="pct"/>
            <w:tcBorders>
              <w:tl2br w:val="nil"/>
              <w:tr2bl w:val="nil"/>
            </w:tcBorders>
            <w:vAlign w:val="center"/>
          </w:tcPr>
          <w:p w14:paraId="376AD66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可研编制服务合同</w:t>
            </w:r>
          </w:p>
        </w:tc>
        <w:tc>
          <w:tcPr>
            <w:tcW w:w="832" w:type="pct"/>
            <w:tcBorders>
              <w:tl2br w:val="nil"/>
              <w:tr2bl w:val="nil"/>
            </w:tcBorders>
            <w:vAlign w:val="center"/>
          </w:tcPr>
          <w:p w14:paraId="1B1E32F5">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7.85</w:t>
            </w:r>
          </w:p>
        </w:tc>
        <w:tc>
          <w:tcPr>
            <w:tcW w:w="949" w:type="pct"/>
            <w:tcBorders>
              <w:tl2br w:val="nil"/>
              <w:tr2bl w:val="nil"/>
            </w:tcBorders>
            <w:vAlign w:val="center"/>
          </w:tcPr>
          <w:p w14:paraId="005BC896">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7.85</w:t>
            </w:r>
          </w:p>
        </w:tc>
        <w:tc>
          <w:tcPr>
            <w:tcW w:w="1231" w:type="pct"/>
            <w:tcBorders>
              <w:tl2br w:val="nil"/>
              <w:tr2bl w:val="nil"/>
            </w:tcBorders>
            <w:vAlign w:val="center"/>
          </w:tcPr>
          <w:p w14:paraId="5A5DF3A3">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5611DCAC">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2D9EC7B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7</w:t>
            </w:r>
          </w:p>
        </w:tc>
        <w:tc>
          <w:tcPr>
            <w:tcW w:w="1519" w:type="pct"/>
            <w:tcBorders>
              <w:tl2br w:val="nil"/>
              <w:tr2bl w:val="nil"/>
            </w:tcBorders>
            <w:vAlign w:val="center"/>
          </w:tcPr>
          <w:p w14:paraId="4BE63649">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可研评审合同</w:t>
            </w:r>
          </w:p>
        </w:tc>
        <w:tc>
          <w:tcPr>
            <w:tcW w:w="832" w:type="pct"/>
            <w:tcBorders>
              <w:tl2br w:val="nil"/>
              <w:tr2bl w:val="nil"/>
            </w:tcBorders>
            <w:vAlign w:val="center"/>
          </w:tcPr>
          <w:p w14:paraId="17E74AD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2.38</w:t>
            </w:r>
          </w:p>
        </w:tc>
        <w:tc>
          <w:tcPr>
            <w:tcW w:w="949" w:type="pct"/>
            <w:tcBorders>
              <w:tl2br w:val="nil"/>
              <w:tr2bl w:val="nil"/>
            </w:tcBorders>
            <w:vAlign w:val="center"/>
          </w:tcPr>
          <w:p w14:paraId="49ED998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2.38</w:t>
            </w:r>
          </w:p>
        </w:tc>
        <w:tc>
          <w:tcPr>
            <w:tcW w:w="1231" w:type="pct"/>
            <w:tcBorders>
              <w:tl2br w:val="nil"/>
              <w:tr2bl w:val="nil"/>
            </w:tcBorders>
            <w:vAlign w:val="center"/>
          </w:tcPr>
          <w:p w14:paraId="0B13B554">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5A4D03B8">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1351" w:hRule="atLeast"/>
        </w:trPr>
        <w:tc>
          <w:tcPr>
            <w:tcW w:w="467" w:type="pct"/>
            <w:tcBorders>
              <w:tl2br w:val="nil"/>
              <w:tr2bl w:val="nil"/>
            </w:tcBorders>
            <w:vAlign w:val="center"/>
          </w:tcPr>
          <w:p w14:paraId="4112D63F">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8</w:t>
            </w:r>
          </w:p>
        </w:tc>
        <w:tc>
          <w:tcPr>
            <w:tcW w:w="1519" w:type="pct"/>
            <w:tcBorders>
              <w:tl2br w:val="nil"/>
              <w:tr2bl w:val="nil"/>
            </w:tcBorders>
            <w:vAlign w:val="center"/>
          </w:tcPr>
          <w:p w14:paraId="4823EF1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监理服务合同</w:t>
            </w:r>
          </w:p>
        </w:tc>
        <w:tc>
          <w:tcPr>
            <w:tcW w:w="832" w:type="pct"/>
            <w:tcBorders>
              <w:tl2br w:val="nil"/>
              <w:tr2bl w:val="nil"/>
            </w:tcBorders>
            <w:vAlign w:val="center"/>
          </w:tcPr>
          <w:p w14:paraId="3F7E348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28.36</w:t>
            </w:r>
          </w:p>
        </w:tc>
        <w:tc>
          <w:tcPr>
            <w:tcW w:w="949" w:type="pct"/>
            <w:tcBorders>
              <w:tl2br w:val="nil"/>
              <w:tr2bl w:val="nil"/>
            </w:tcBorders>
            <w:vAlign w:val="center"/>
          </w:tcPr>
          <w:p w14:paraId="38383291">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19.85</w:t>
            </w:r>
          </w:p>
        </w:tc>
        <w:tc>
          <w:tcPr>
            <w:tcW w:w="1231" w:type="pct"/>
            <w:tcBorders>
              <w:tl2br w:val="nil"/>
              <w:tr2bl w:val="nil"/>
            </w:tcBorders>
            <w:vAlign w:val="center"/>
          </w:tcPr>
          <w:p w14:paraId="5E67872C">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未竣工结算，剩余30%竣工结算保质期满后支付。</w:t>
            </w:r>
          </w:p>
        </w:tc>
      </w:tr>
      <w:tr w14:paraId="16D2FBB4">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540021D8">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9</w:t>
            </w:r>
          </w:p>
        </w:tc>
        <w:tc>
          <w:tcPr>
            <w:tcW w:w="1519" w:type="pct"/>
            <w:tcBorders>
              <w:tl2br w:val="nil"/>
              <w:tr2bl w:val="nil"/>
            </w:tcBorders>
            <w:vAlign w:val="center"/>
          </w:tcPr>
          <w:p w14:paraId="7E5E63E3">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工程勘察合同</w:t>
            </w:r>
          </w:p>
        </w:tc>
        <w:tc>
          <w:tcPr>
            <w:tcW w:w="832" w:type="pct"/>
            <w:tcBorders>
              <w:tl2br w:val="nil"/>
              <w:tr2bl w:val="nil"/>
            </w:tcBorders>
            <w:vAlign w:val="center"/>
          </w:tcPr>
          <w:p w14:paraId="1FB7B31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4.98</w:t>
            </w:r>
          </w:p>
        </w:tc>
        <w:tc>
          <w:tcPr>
            <w:tcW w:w="949" w:type="pct"/>
            <w:tcBorders>
              <w:tl2br w:val="nil"/>
              <w:tr2bl w:val="nil"/>
            </w:tcBorders>
            <w:vAlign w:val="center"/>
          </w:tcPr>
          <w:p w14:paraId="2D870C7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4.98</w:t>
            </w:r>
          </w:p>
        </w:tc>
        <w:tc>
          <w:tcPr>
            <w:tcW w:w="1231" w:type="pct"/>
            <w:tcBorders>
              <w:tl2br w:val="nil"/>
              <w:tr2bl w:val="nil"/>
            </w:tcBorders>
            <w:vAlign w:val="center"/>
          </w:tcPr>
          <w:p w14:paraId="149E850D">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5186015F">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1EAB1B3B">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10</w:t>
            </w:r>
          </w:p>
        </w:tc>
        <w:tc>
          <w:tcPr>
            <w:tcW w:w="1519" w:type="pct"/>
            <w:tcBorders>
              <w:tl2br w:val="nil"/>
              <w:tr2bl w:val="nil"/>
            </w:tcBorders>
            <w:vAlign w:val="center"/>
          </w:tcPr>
          <w:p w14:paraId="5EDF557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概算审核合同</w:t>
            </w:r>
          </w:p>
        </w:tc>
        <w:tc>
          <w:tcPr>
            <w:tcW w:w="832" w:type="pct"/>
            <w:tcBorders>
              <w:tl2br w:val="nil"/>
              <w:tr2bl w:val="nil"/>
            </w:tcBorders>
            <w:vAlign w:val="center"/>
          </w:tcPr>
          <w:p w14:paraId="42A225AD">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1.89</w:t>
            </w:r>
          </w:p>
        </w:tc>
        <w:tc>
          <w:tcPr>
            <w:tcW w:w="949" w:type="pct"/>
            <w:tcBorders>
              <w:tl2br w:val="nil"/>
              <w:tr2bl w:val="nil"/>
            </w:tcBorders>
            <w:vAlign w:val="center"/>
          </w:tcPr>
          <w:p w14:paraId="2F86B79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1.89</w:t>
            </w:r>
          </w:p>
        </w:tc>
        <w:tc>
          <w:tcPr>
            <w:tcW w:w="1231" w:type="pct"/>
            <w:tcBorders>
              <w:tl2br w:val="nil"/>
              <w:tr2bl w:val="nil"/>
            </w:tcBorders>
            <w:vAlign w:val="center"/>
          </w:tcPr>
          <w:p w14:paraId="28E1C369">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57D2BFA2">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4" w:hRule="atLeast"/>
        </w:trPr>
        <w:tc>
          <w:tcPr>
            <w:tcW w:w="467" w:type="pct"/>
            <w:tcBorders>
              <w:tl2br w:val="nil"/>
              <w:tr2bl w:val="nil"/>
            </w:tcBorders>
            <w:vAlign w:val="center"/>
          </w:tcPr>
          <w:p w14:paraId="0F56E9EC">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11</w:t>
            </w:r>
          </w:p>
        </w:tc>
        <w:tc>
          <w:tcPr>
            <w:tcW w:w="1519" w:type="pct"/>
            <w:tcBorders>
              <w:tl2br w:val="nil"/>
              <w:tr2bl w:val="nil"/>
            </w:tcBorders>
            <w:vAlign w:val="center"/>
          </w:tcPr>
          <w:p w14:paraId="030579A8">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编制水保安全管理评价报告合同</w:t>
            </w:r>
          </w:p>
        </w:tc>
        <w:tc>
          <w:tcPr>
            <w:tcW w:w="832" w:type="pct"/>
            <w:tcBorders>
              <w:tl2br w:val="nil"/>
              <w:tr2bl w:val="nil"/>
            </w:tcBorders>
            <w:vAlign w:val="center"/>
          </w:tcPr>
          <w:p w14:paraId="6D805C2A">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2.5</w:t>
            </w:r>
          </w:p>
        </w:tc>
        <w:tc>
          <w:tcPr>
            <w:tcW w:w="949" w:type="pct"/>
            <w:tcBorders>
              <w:tl2br w:val="nil"/>
              <w:tr2bl w:val="nil"/>
            </w:tcBorders>
            <w:vAlign w:val="center"/>
          </w:tcPr>
          <w:p w14:paraId="464FD6E1">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2.5</w:t>
            </w:r>
          </w:p>
        </w:tc>
        <w:tc>
          <w:tcPr>
            <w:tcW w:w="1231" w:type="pct"/>
            <w:tcBorders>
              <w:tl2br w:val="nil"/>
              <w:tr2bl w:val="nil"/>
            </w:tcBorders>
            <w:vAlign w:val="center"/>
          </w:tcPr>
          <w:p w14:paraId="61B4516A">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21C2CC2F">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4" w:hRule="atLeast"/>
        </w:trPr>
        <w:tc>
          <w:tcPr>
            <w:tcW w:w="467" w:type="pct"/>
            <w:tcBorders>
              <w:tl2br w:val="nil"/>
              <w:tr2bl w:val="nil"/>
            </w:tcBorders>
            <w:vAlign w:val="center"/>
          </w:tcPr>
          <w:p w14:paraId="01430B8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12</w:t>
            </w:r>
          </w:p>
        </w:tc>
        <w:tc>
          <w:tcPr>
            <w:tcW w:w="1519" w:type="pct"/>
            <w:tcBorders>
              <w:tl2br w:val="nil"/>
              <w:tr2bl w:val="nil"/>
            </w:tcBorders>
            <w:vAlign w:val="center"/>
          </w:tcPr>
          <w:p w14:paraId="6F1738F5">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编制水土保持及竣工验收报告合同</w:t>
            </w:r>
          </w:p>
        </w:tc>
        <w:tc>
          <w:tcPr>
            <w:tcW w:w="832" w:type="pct"/>
            <w:tcBorders>
              <w:tl2br w:val="nil"/>
              <w:tr2bl w:val="nil"/>
            </w:tcBorders>
            <w:vAlign w:val="center"/>
          </w:tcPr>
          <w:p w14:paraId="3A197E4C">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lang w:val="en-US" w:eastAsia="zh-CN"/>
              </w:rPr>
              <w:t>9.15</w:t>
            </w:r>
          </w:p>
        </w:tc>
        <w:tc>
          <w:tcPr>
            <w:tcW w:w="949" w:type="pct"/>
            <w:tcBorders>
              <w:tl2br w:val="nil"/>
              <w:tr2bl w:val="nil"/>
            </w:tcBorders>
            <w:vAlign w:val="center"/>
          </w:tcPr>
          <w:p w14:paraId="5C6E692B">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4.57</w:t>
            </w:r>
          </w:p>
        </w:tc>
        <w:tc>
          <w:tcPr>
            <w:tcW w:w="1231" w:type="pct"/>
            <w:tcBorders>
              <w:tl2br w:val="nil"/>
              <w:tr2bl w:val="nil"/>
            </w:tcBorders>
            <w:vAlign w:val="center"/>
          </w:tcPr>
          <w:p w14:paraId="64D4CDF4">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未达付款条件。</w:t>
            </w:r>
          </w:p>
        </w:tc>
      </w:tr>
      <w:tr w14:paraId="5A6576EB">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7" w:hRule="atLeast"/>
        </w:trPr>
        <w:tc>
          <w:tcPr>
            <w:tcW w:w="467" w:type="pct"/>
            <w:tcBorders>
              <w:tl2br w:val="nil"/>
              <w:tr2bl w:val="nil"/>
            </w:tcBorders>
            <w:vAlign w:val="center"/>
          </w:tcPr>
          <w:p w14:paraId="7EC65E7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13</w:t>
            </w:r>
          </w:p>
        </w:tc>
        <w:tc>
          <w:tcPr>
            <w:tcW w:w="1519" w:type="pct"/>
            <w:tcBorders>
              <w:tl2br w:val="nil"/>
              <w:tr2bl w:val="nil"/>
            </w:tcBorders>
            <w:vAlign w:val="center"/>
          </w:tcPr>
          <w:p w14:paraId="1DB9E3A7">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招标代理服务费</w:t>
            </w:r>
          </w:p>
        </w:tc>
        <w:tc>
          <w:tcPr>
            <w:tcW w:w="832" w:type="pct"/>
            <w:tcBorders>
              <w:tl2br w:val="nil"/>
              <w:tr2bl w:val="nil"/>
            </w:tcBorders>
            <w:vAlign w:val="center"/>
          </w:tcPr>
          <w:p w14:paraId="6476B77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7.2</w:t>
            </w:r>
          </w:p>
        </w:tc>
        <w:tc>
          <w:tcPr>
            <w:tcW w:w="949" w:type="pct"/>
            <w:tcBorders>
              <w:tl2br w:val="nil"/>
              <w:tr2bl w:val="nil"/>
            </w:tcBorders>
            <w:vAlign w:val="center"/>
          </w:tcPr>
          <w:p w14:paraId="2AA06C4E">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7.2</w:t>
            </w:r>
          </w:p>
        </w:tc>
        <w:tc>
          <w:tcPr>
            <w:tcW w:w="1231" w:type="pct"/>
            <w:tcBorders>
              <w:tl2br w:val="nil"/>
              <w:tr2bl w:val="nil"/>
            </w:tcBorders>
            <w:vAlign w:val="center"/>
          </w:tcPr>
          <w:p w14:paraId="674D9646">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r w14:paraId="3B246610">
        <w:tblPrEx>
          <w:tblBorders>
            <w:top w:val="single" w:color="auto" w:sz="4" w:space="0"/>
            <w:left w:val="none" w:color="auto" w:sz="0" w:space="0"/>
            <w:bottom w:val="sing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7" w:hRule="atLeast"/>
        </w:trPr>
        <w:tc>
          <w:tcPr>
            <w:tcW w:w="467" w:type="pct"/>
            <w:tcBorders>
              <w:tl2br w:val="nil"/>
              <w:tr2bl w:val="nil"/>
            </w:tcBorders>
            <w:vAlign w:val="center"/>
          </w:tcPr>
          <w:p w14:paraId="307F2EC1">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合计</w:t>
            </w:r>
          </w:p>
        </w:tc>
        <w:tc>
          <w:tcPr>
            <w:tcW w:w="1519" w:type="pct"/>
            <w:tcBorders>
              <w:tl2br w:val="nil"/>
              <w:tr2bl w:val="nil"/>
            </w:tcBorders>
            <w:vAlign w:val="center"/>
          </w:tcPr>
          <w:p w14:paraId="569989E9">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p>
        </w:tc>
        <w:tc>
          <w:tcPr>
            <w:tcW w:w="832" w:type="pct"/>
            <w:tcBorders>
              <w:tl2br w:val="nil"/>
              <w:tr2bl w:val="nil"/>
            </w:tcBorders>
            <w:vAlign w:val="center"/>
          </w:tcPr>
          <w:p w14:paraId="1C0B18D4">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2799.38</w:t>
            </w:r>
          </w:p>
        </w:tc>
        <w:tc>
          <w:tcPr>
            <w:tcW w:w="949" w:type="pct"/>
            <w:tcBorders>
              <w:tl2br w:val="nil"/>
              <w:tr2bl w:val="nil"/>
            </w:tcBorders>
            <w:vAlign w:val="center"/>
          </w:tcPr>
          <w:p w14:paraId="3C370840">
            <w:pPr>
              <w:pStyle w:val="27"/>
              <w:keepNext/>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2237.5</w:t>
            </w:r>
          </w:p>
        </w:tc>
        <w:tc>
          <w:tcPr>
            <w:tcW w:w="1231" w:type="pct"/>
            <w:tcBorders>
              <w:tl2br w:val="nil"/>
              <w:tr2bl w:val="nil"/>
            </w:tcBorders>
            <w:vAlign w:val="center"/>
          </w:tcPr>
          <w:p w14:paraId="30FFC061">
            <w:pPr>
              <w:pStyle w:val="27"/>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sz w:val="24"/>
                <w:szCs w:val="24"/>
                <w:highlight w:val="none"/>
                <w:vertAlign w:val="baseline"/>
                <w:lang w:val="en-US" w:eastAsia="zh-CN"/>
              </w:rPr>
            </w:pPr>
          </w:p>
        </w:tc>
      </w:tr>
    </w:tbl>
    <w:p w14:paraId="1A3D48F2">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center"/>
        <w:textAlignment w:val="auto"/>
        <w:rPr>
          <w:rFonts w:hint="default" w:ascii="Times New Roman" w:hAnsi="Times New Roman" w:cs="Times New Roman"/>
          <w:color w:val="auto"/>
          <w:sz w:val="32"/>
          <w:szCs w:val="32"/>
          <w:highlight w:val="none"/>
          <w:lang w:val="en-US" w:eastAsia="zh-CN"/>
        </w:rPr>
      </w:pPr>
      <w:bookmarkStart w:id="47" w:name="_Toc25237"/>
      <w:bookmarkStart w:id="48" w:name="_Toc19792"/>
      <w:r>
        <w:rPr>
          <w:rFonts w:hint="default" w:ascii="Times New Roman" w:hAnsi="Times New Roman" w:cs="Times New Roman"/>
          <w:color w:val="auto"/>
          <w:sz w:val="32"/>
          <w:szCs w:val="32"/>
          <w:highlight w:val="none"/>
          <w:lang w:val="en-US" w:eastAsia="zh-CN"/>
        </w:rPr>
        <w:t>第二部分  评价工作开展情况</w:t>
      </w:r>
      <w:bookmarkEnd w:id="47"/>
      <w:bookmarkEnd w:id="48"/>
    </w:p>
    <w:p w14:paraId="76562BA5">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cs="Times New Roman"/>
          <w:color w:val="auto"/>
          <w:highlight w:val="none"/>
          <w:lang w:val="en-US" w:eastAsia="zh-CN"/>
        </w:rPr>
      </w:pPr>
      <w:bookmarkStart w:id="49" w:name="_Toc17819"/>
      <w:bookmarkStart w:id="50" w:name="_Toc20820"/>
      <w:r>
        <w:rPr>
          <w:rFonts w:hint="eastAsia" w:ascii="黑体" w:hAnsi="黑体" w:eastAsia="黑体" w:cs="黑体"/>
          <w:color w:val="auto"/>
          <w:kern w:val="44"/>
          <w:sz w:val="32"/>
          <w:szCs w:val="44"/>
          <w:highlight w:val="none"/>
          <w:lang w:val="en-US" w:eastAsia="zh-CN" w:bidi="ar-SA"/>
        </w:rPr>
        <w:t>一、</w:t>
      </w:r>
      <w:r>
        <w:rPr>
          <w:rFonts w:hint="default" w:ascii="Times New Roman" w:hAnsi="Times New Roman" w:cs="Times New Roman"/>
          <w:color w:val="auto"/>
          <w:highlight w:val="none"/>
          <w:lang w:val="en-US" w:eastAsia="zh-CN"/>
        </w:rPr>
        <w:t>评价组织情况</w:t>
      </w:r>
      <w:bookmarkEnd w:id="49"/>
      <w:bookmarkEnd w:id="50"/>
    </w:p>
    <w:p w14:paraId="01C0FA87">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 w:hAnsi="楷体" w:eastAsia="楷体" w:cs="楷体"/>
          <w:color w:val="auto"/>
          <w:highlight w:val="none"/>
        </w:rPr>
      </w:pPr>
      <w:bookmarkStart w:id="51" w:name="_Toc797338821"/>
      <w:bookmarkStart w:id="52" w:name="_Toc31704"/>
      <w:bookmarkStart w:id="53" w:name="_Toc18027"/>
      <w:bookmarkStart w:id="54" w:name="_Toc24001"/>
      <w:bookmarkStart w:id="55" w:name="_Toc660"/>
      <w:bookmarkStart w:id="56" w:name="_Toc103"/>
      <w:bookmarkStart w:id="57" w:name="_Toc29556"/>
      <w:bookmarkStart w:id="58" w:name="_Toc27235"/>
      <w:r>
        <w:rPr>
          <w:rFonts w:hint="eastAsia" w:ascii="楷体" w:hAnsi="楷体" w:eastAsia="楷体" w:cs="楷体"/>
          <w:color w:val="auto"/>
          <w:kern w:val="2"/>
          <w:sz w:val="32"/>
          <w:szCs w:val="24"/>
          <w:highlight w:val="none"/>
          <w:lang w:val="en-US" w:eastAsia="zh-CN" w:bidi="zh-CN"/>
        </w:rPr>
        <w:t>（一）</w:t>
      </w:r>
      <w:r>
        <w:rPr>
          <w:rFonts w:hint="eastAsia" w:ascii="楷体" w:hAnsi="楷体" w:eastAsia="楷体" w:cs="楷体"/>
          <w:color w:val="auto"/>
          <w:highlight w:val="none"/>
        </w:rPr>
        <w:t>评价选点</w:t>
      </w:r>
      <w:bookmarkEnd w:id="51"/>
      <w:bookmarkEnd w:id="52"/>
      <w:bookmarkEnd w:id="53"/>
      <w:bookmarkEnd w:id="54"/>
      <w:bookmarkEnd w:id="55"/>
      <w:bookmarkEnd w:id="56"/>
      <w:bookmarkEnd w:id="57"/>
      <w:bookmarkEnd w:id="58"/>
    </w:p>
    <w:p w14:paraId="12D4387F">
      <w:pPr>
        <w:pStyle w:val="27"/>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rPr>
        <w:t>评价组选取</w:t>
      </w:r>
      <w:r>
        <w:rPr>
          <w:rFonts w:hint="default" w:ascii="Times New Roman" w:hAnsi="Times New Roman" w:eastAsia="仿宋" w:cs="Times New Roman"/>
          <w:color w:val="auto"/>
          <w:highlight w:val="none"/>
          <w:lang w:val="en-US" w:eastAsia="zh-CN"/>
        </w:rPr>
        <w:t>白马关镇共计1个点位</w:t>
      </w:r>
      <w:r>
        <w:rPr>
          <w:rFonts w:hint="default" w:ascii="Times New Roman" w:hAnsi="Times New Roman" w:eastAsia="仿宋" w:cs="Times New Roman"/>
          <w:color w:val="auto"/>
          <w:highlight w:val="none"/>
        </w:rPr>
        <w:t>开展现场</w:t>
      </w:r>
      <w:r>
        <w:rPr>
          <w:rFonts w:hint="default" w:ascii="Times New Roman" w:hAnsi="Times New Roman" w:eastAsia="仿宋" w:cs="Times New Roman"/>
          <w:color w:val="auto"/>
          <w:highlight w:val="none"/>
          <w:lang w:val="en-US" w:eastAsia="zh-CN"/>
        </w:rPr>
        <w:t>调研</w:t>
      </w:r>
      <w:r>
        <w:rPr>
          <w:rFonts w:hint="default" w:ascii="Times New Roman" w:hAnsi="Times New Roman" w:eastAsia="仿宋" w:cs="Times New Roman"/>
          <w:color w:val="auto"/>
          <w:highlight w:val="none"/>
        </w:rPr>
        <w:t>工作</w:t>
      </w:r>
      <w:r>
        <w:rPr>
          <w:rFonts w:hint="default"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kern w:val="2"/>
          <w:sz w:val="32"/>
          <w:szCs w:val="32"/>
          <w:highlight w:val="none"/>
          <w:lang w:val="en-US" w:eastAsia="zh-CN" w:bidi="ar-SA"/>
        </w:rPr>
        <w:t>总</w:t>
      </w:r>
      <w:r>
        <w:rPr>
          <w:rFonts w:hint="default" w:ascii="Times New Roman" w:hAnsi="Times New Roman" w:eastAsia="仿宋" w:cs="Times New Roman"/>
          <w:color w:val="auto"/>
          <w:highlight w:val="none"/>
          <w:lang w:val="en-US" w:eastAsia="zh-CN"/>
        </w:rPr>
        <w:t>资金量占比100%。对项目现场建设工作开展实地了解，鉴于项目尚未完全投入使用，评价组对该项目采购人进行了现场问卷调查。</w:t>
      </w:r>
    </w:p>
    <w:p w14:paraId="101F0FF2">
      <w:pPr>
        <w:pStyle w:val="21"/>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楷体" w:hAnsi="楷体" w:eastAsia="楷体" w:cs="楷体"/>
          <w:color w:val="auto"/>
          <w:highlight w:val="none"/>
        </w:rPr>
      </w:pPr>
      <w:bookmarkStart w:id="59" w:name="_Toc26124"/>
      <w:bookmarkStart w:id="60" w:name="_Toc635"/>
      <w:bookmarkStart w:id="61" w:name="_Toc936"/>
      <w:bookmarkStart w:id="62" w:name="_Toc24813"/>
      <w:bookmarkStart w:id="63" w:name="_Toc10891"/>
      <w:bookmarkStart w:id="64" w:name="_Toc575607267"/>
      <w:bookmarkStart w:id="65" w:name="_Toc28904"/>
      <w:bookmarkStart w:id="66" w:name="_Toc10244"/>
      <w:r>
        <w:rPr>
          <w:rFonts w:hint="eastAsia" w:ascii="楷体" w:hAnsi="楷体" w:eastAsia="楷体" w:cs="楷体"/>
          <w:color w:val="auto"/>
          <w:kern w:val="2"/>
          <w:sz w:val="32"/>
          <w:szCs w:val="24"/>
          <w:highlight w:val="none"/>
          <w:lang w:val="en-US" w:eastAsia="zh-CN" w:bidi="zh-CN"/>
        </w:rPr>
        <w:t>（二）</w:t>
      </w:r>
      <w:r>
        <w:rPr>
          <w:rFonts w:hint="eastAsia" w:ascii="楷体" w:hAnsi="楷体" w:eastAsia="楷体" w:cs="楷体"/>
          <w:color w:val="auto"/>
          <w:highlight w:val="none"/>
        </w:rPr>
        <w:t>评价方法</w:t>
      </w:r>
      <w:bookmarkEnd w:id="59"/>
      <w:bookmarkEnd w:id="60"/>
      <w:bookmarkEnd w:id="61"/>
      <w:bookmarkEnd w:id="62"/>
      <w:bookmarkEnd w:id="63"/>
      <w:bookmarkEnd w:id="64"/>
      <w:bookmarkEnd w:id="65"/>
      <w:bookmarkEnd w:id="66"/>
    </w:p>
    <w:p w14:paraId="38EB35EB">
      <w:pPr>
        <w:pStyle w:val="27"/>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本次项目评价运用社会调查法、因素分析法等从多个角度对项目进行分析。</w:t>
      </w:r>
    </w:p>
    <w:p w14:paraId="0ECDEDFA">
      <w:pPr>
        <w:pStyle w:val="27"/>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1.社会调查法，通过实地踏勘、现场访谈、问卷调查方式等对项目内容的完成情况以及项目绩效目标的实现程度进行调查，对项目资金的使用效果进行分析。</w:t>
      </w:r>
    </w:p>
    <w:p w14:paraId="078704A5">
      <w:pPr>
        <w:pStyle w:val="27"/>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2.因素分析法，通过梳理影响绩效目标实现的内外因素，以及项目绩效目标的实现程度，分析各项因素对目标实现的影响力，从而进一步分析如何通过控制影响因素来提高项目的实施效果，达到项目绩效目标。</w:t>
      </w:r>
    </w:p>
    <w:p w14:paraId="6C3762EC">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67" w:name="_Toc1210"/>
      <w:bookmarkStart w:id="68" w:name="_Toc1729"/>
      <w:r>
        <w:rPr>
          <w:rFonts w:hint="eastAsia" w:ascii="黑体" w:hAnsi="黑体" w:eastAsia="黑体" w:cs="黑体"/>
          <w:color w:val="auto"/>
          <w:kern w:val="44"/>
          <w:sz w:val="32"/>
          <w:szCs w:val="44"/>
          <w:highlight w:val="none"/>
          <w:lang w:val="en-US" w:eastAsia="zh-CN" w:bidi="ar-SA"/>
        </w:rPr>
        <w:t>二、</w:t>
      </w:r>
      <w:r>
        <w:rPr>
          <w:rFonts w:hint="default" w:ascii="Times New Roman" w:hAnsi="Times New Roman" w:cs="Times New Roman"/>
          <w:color w:val="auto"/>
          <w:highlight w:val="none"/>
          <w:lang w:val="en-US" w:eastAsia="zh-CN"/>
        </w:rPr>
        <w:t>评价指标体系</w:t>
      </w:r>
      <w:bookmarkEnd w:id="67"/>
      <w:bookmarkEnd w:id="68"/>
    </w:p>
    <w:p w14:paraId="15C3D9FF">
      <w:pPr>
        <w:pStyle w:val="2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根据</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szCs w:val="32"/>
          <w:highlight w:val="none"/>
        </w:rPr>
        <w:t>德阳市罗江区财政局关于开展202</w:t>
      </w:r>
      <w:r>
        <w:rPr>
          <w:rFonts w:hint="default" w:ascii="Times New Roman" w:hAnsi="Times New Roman" w:eastAsia="仿宋" w:cs="Times New Roman"/>
          <w:szCs w:val="32"/>
          <w:highlight w:val="none"/>
          <w:lang w:val="en-US" w:eastAsia="zh-CN"/>
        </w:rPr>
        <w:t>4</w:t>
      </w:r>
      <w:r>
        <w:rPr>
          <w:rFonts w:hint="default" w:ascii="Times New Roman" w:hAnsi="Times New Roman" w:eastAsia="仿宋" w:cs="Times New Roman"/>
          <w:szCs w:val="32"/>
          <w:highlight w:val="none"/>
        </w:rPr>
        <w:t>年重点绩效评价工作的通知》（德市罗财绩〔202</w:t>
      </w:r>
      <w:r>
        <w:rPr>
          <w:rFonts w:hint="default" w:ascii="Times New Roman" w:hAnsi="Times New Roman" w:eastAsia="仿宋" w:cs="Times New Roman"/>
          <w:szCs w:val="32"/>
          <w:highlight w:val="none"/>
          <w:lang w:val="en-US" w:eastAsia="zh-CN"/>
        </w:rPr>
        <w:t>4</w:t>
      </w:r>
      <w:r>
        <w:rPr>
          <w:rFonts w:hint="default" w:ascii="Times New Roman" w:hAnsi="Times New Roman" w:eastAsia="仿宋" w:cs="Times New Roman"/>
          <w:szCs w:val="32"/>
          <w:highlight w:val="none"/>
        </w:rPr>
        <w:t>〕</w:t>
      </w:r>
      <w:r>
        <w:rPr>
          <w:rFonts w:hint="default" w:ascii="Times New Roman" w:hAnsi="Times New Roman" w:eastAsia="仿宋" w:cs="Times New Roman"/>
          <w:szCs w:val="32"/>
          <w:highlight w:val="none"/>
          <w:lang w:val="en-US" w:eastAsia="zh-CN"/>
        </w:rPr>
        <w:t>5</w:t>
      </w:r>
      <w:r>
        <w:rPr>
          <w:rFonts w:hint="default" w:ascii="Times New Roman" w:hAnsi="Times New Roman" w:eastAsia="仿宋" w:cs="Times New Roman"/>
          <w:szCs w:val="32"/>
          <w:highlight w:val="none"/>
        </w:rPr>
        <w:t>号）</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德阳市罗江区人民政府办公室关于印发〈德阳市罗江区政府采购管理办法〉的通知</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德市罗府办发</w:t>
      </w:r>
      <w:r>
        <w:rPr>
          <w:rFonts w:hint="default" w:ascii="Times New Roman" w:hAnsi="Times New Roman" w:eastAsia="仿宋" w:cs="Times New Roman"/>
          <w:szCs w:val="32"/>
          <w:highlight w:val="none"/>
        </w:rPr>
        <w:t>〔202</w:t>
      </w:r>
      <w:r>
        <w:rPr>
          <w:rFonts w:hint="default" w:ascii="Times New Roman" w:hAnsi="Times New Roman" w:eastAsia="仿宋" w:cs="Times New Roman"/>
          <w:szCs w:val="32"/>
          <w:highlight w:val="none"/>
          <w:lang w:val="en-US" w:eastAsia="zh-CN"/>
        </w:rPr>
        <w:t>1</w:t>
      </w:r>
      <w:r>
        <w:rPr>
          <w:rFonts w:hint="default" w:ascii="Times New Roman" w:hAnsi="Times New Roman" w:eastAsia="仿宋" w:cs="Times New Roman"/>
          <w:szCs w:val="32"/>
          <w:highlight w:val="none"/>
        </w:rPr>
        <w:t>〕</w:t>
      </w:r>
      <w:r>
        <w:rPr>
          <w:rFonts w:hint="default" w:ascii="Times New Roman" w:hAnsi="Times New Roman" w:eastAsia="仿宋" w:cs="Times New Roman"/>
          <w:szCs w:val="32"/>
          <w:highlight w:val="none"/>
          <w:lang w:val="en-US" w:eastAsia="zh-CN"/>
        </w:rPr>
        <w:t>94</w:t>
      </w:r>
      <w:r>
        <w:rPr>
          <w:rFonts w:hint="default" w:ascii="Times New Roman" w:hAnsi="Times New Roman" w:eastAsia="仿宋" w:cs="Times New Roman"/>
          <w:szCs w:val="32"/>
          <w:highlight w:val="none"/>
        </w:rPr>
        <w:t>号</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德阳市罗江区人民政府办公室关于印发〈德阳市罗江区政府分散采购管理办法〉的通知</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德市罗府办发</w:t>
      </w:r>
      <w:r>
        <w:rPr>
          <w:rFonts w:hint="default" w:ascii="Times New Roman" w:hAnsi="Times New Roman" w:eastAsia="仿宋" w:cs="Times New Roman"/>
          <w:szCs w:val="32"/>
          <w:highlight w:val="none"/>
        </w:rPr>
        <w:t>〔202</w:t>
      </w:r>
      <w:r>
        <w:rPr>
          <w:rFonts w:hint="default" w:ascii="Times New Roman" w:hAnsi="Times New Roman" w:eastAsia="仿宋" w:cs="Times New Roman"/>
          <w:szCs w:val="32"/>
          <w:highlight w:val="none"/>
          <w:lang w:val="en-US" w:eastAsia="zh-CN"/>
        </w:rPr>
        <w:t>1</w:t>
      </w:r>
      <w:r>
        <w:rPr>
          <w:rFonts w:hint="default" w:ascii="Times New Roman" w:hAnsi="Times New Roman" w:eastAsia="仿宋" w:cs="Times New Roman"/>
          <w:szCs w:val="32"/>
          <w:highlight w:val="none"/>
        </w:rPr>
        <w:t>〕</w:t>
      </w:r>
      <w:r>
        <w:rPr>
          <w:rFonts w:hint="default" w:ascii="Times New Roman" w:hAnsi="Times New Roman" w:eastAsia="仿宋" w:cs="Times New Roman"/>
          <w:szCs w:val="32"/>
          <w:highlight w:val="none"/>
          <w:lang w:val="en-US" w:eastAsia="zh-CN"/>
        </w:rPr>
        <w:t>95</w:t>
      </w:r>
      <w:r>
        <w:rPr>
          <w:rFonts w:hint="default" w:ascii="Times New Roman" w:hAnsi="Times New Roman" w:eastAsia="仿宋" w:cs="Times New Roman"/>
          <w:szCs w:val="32"/>
          <w:highlight w:val="none"/>
        </w:rPr>
        <w:t>号</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color w:val="auto"/>
          <w:highlight w:val="none"/>
          <w:lang w:val="en-US" w:eastAsia="zh-CN"/>
        </w:rPr>
        <w:t>文件</w:t>
      </w:r>
      <w:r>
        <w:rPr>
          <w:rFonts w:hint="default" w:ascii="Times New Roman" w:hAnsi="Times New Roman" w:eastAsia="仿宋" w:cs="Times New Roman"/>
          <w:color w:val="auto"/>
          <w:highlight w:val="none"/>
        </w:rPr>
        <w:t>，评价组围绕需求相关性</w:t>
      </w:r>
      <w:r>
        <w:rPr>
          <w:rFonts w:hint="default" w:ascii="Times New Roman" w:hAnsi="Times New Roman" w:eastAsia="仿宋" w:cs="Times New Roman"/>
          <w:color w:val="auto"/>
          <w:highlight w:val="none"/>
          <w:lang w:val="en-US" w:eastAsia="zh-CN"/>
        </w:rPr>
        <w:t>、过程规范性、政策有效性、交易经济性、内部控制设计评价指标</w:t>
      </w:r>
      <w:r>
        <w:rPr>
          <w:rFonts w:hint="default" w:ascii="Times New Roman" w:hAnsi="Times New Roman" w:eastAsia="仿宋" w:cs="Times New Roman"/>
          <w:color w:val="auto"/>
          <w:highlight w:val="none"/>
        </w:rPr>
        <w:t>。</w:t>
      </w:r>
    </w:p>
    <w:p w14:paraId="3D2E7E6E">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cs="Times New Roman"/>
          <w:color w:val="auto"/>
          <w:sz w:val="32"/>
          <w:szCs w:val="32"/>
          <w:highlight w:val="none"/>
          <w:lang w:val="en-US" w:eastAsia="zh-CN"/>
        </w:rPr>
      </w:pPr>
      <w:bookmarkStart w:id="69" w:name="_Toc15629"/>
      <w:bookmarkStart w:id="70" w:name="_Toc19754"/>
      <w:r>
        <w:rPr>
          <w:rFonts w:hint="default" w:ascii="Times New Roman" w:hAnsi="Times New Roman" w:cs="Times New Roman"/>
          <w:color w:val="auto"/>
          <w:sz w:val="32"/>
          <w:szCs w:val="32"/>
          <w:highlight w:val="none"/>
          <w:lang w:val="en-US" w:eastAsia="zh-CN"/>
        </w:rPr>
        <w:t>第三部分  综合评价结论</w:t>
      </w:r>
      <w:bookmarkEnd w:id="69"/>
      <w:bookmarkEnd w:id="70"/>
    </w:p>
    <w:p w14:paraId="085CB168">
      <w:pPr>
        <w:pStyle w:val="27"/>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color w:val="auto"/>
          <w:highlight w:val="none"/>
        </w:rPr>
      </w:pPr>
      <w:r>
        <w:rPr>
          <w:rFonts w:hint="default" w:ascii="Times New Roman" w:hAnsi="Times New Roman" w:eastAsia="仿宋" w:cs="Times New Roman"/>
          <w:color w:val="auto"/>
          <w:highlight w:val="none"/>
        </w:rPr>
        <w:t>根据评价指标体系，</w:t>
      </w:r>
      <w:r>
        <w:rPr>
          <w:rFonts w:hint="default" w:ascii="Times New Roman" w:hAnsi="Times New Roman" w:eastAsia="仿宋" w:cs="Times New Roman"/>
          <w:color w:val="auto"/>
          <w:highlight w:val="none"/>
          <w:lang w:val="en-US" w:eastAsia="zh-CN"/>
        </w:rPr>
        <w:t>该</w:t>
      </w:r>
      <w:r>
        <w:rPr>
          <w:rFonts w:hint="default" w:ascii="Times New Roman" w:hAnsi="Times New Roman" w:eastAsia="仿宋" w:cs="Times New Roman"/>
          <w:color w:val="auto"/>
          <w:highlight w:val="none"/>
        </w:rPr>
        <w:t>项目评价得分为</w:t>
      </w:r>
      <w:r>
        <w:rPr>
          <w:rFonts w:hint="default" w:ascii="Times New Roman" w:hAnsi="Times New Roman" w:eastAsia="仿宋" w:cs="Times New Roman"/>
          <w:color w:val="auto"/>
          <w:highlight w:val="none"/>
          <w:lang w:val="en-US" w:eastAsia="zh-CN"/>
        </w:rPr>
        <w:t>92.39</w:t>
      </w:r>
      <w:r>
        <w:rPr>
          <w:rFonts w:hint="default" w:ascii="Times New Roman" w:hAnsi="Times New Roman" w:eastAsia="仿宋" w:cs="Times New Roman"/>
          <w:color w:val="auto"/>
          <w:highlight w:val="none"/>
        </w:rPr>
        <w:t>分。其中：需求相关性</w:t>
      </w:r>
      <w:r>
        <w:rPr>
          <w:rFonts w:hint="default" w:ascii="Times New Roman" w:hAnsi="Times New Roman" w:eastAsia="仿宋" w:cs="Times New Roman"/>
          <w:color w:val="auto"/>
          <w:highlight w:val="none"/>
          <w:lang w:val="en-US" w:eastAsia="zh-CN"/>
        </w:rPr>
        <w:t>指标1</w:t>
      </w:r>
      <w:r>
        <w:rPr>
          <w:rFonts w:hint="default" w:ascii="Times New Roman" w:hAnsi="Times New Roman" w:eastAsia="仿宋" w:cs="Times New Roman"/>
          <w:color w:val="auto"/>
          <w:highlight w:val="none"/>
        </w:rPr>
        <w:t>0分，评价得分</w:t>
      </w:r>
      <w:r>
        <w:rPr>
          <w:rFonts w:hint="default" w:ascii="Times New Roman" w:hAnsi="Times New Roman" w:eastAsia="仿宋" w:cs="Times New Roman"/>
          <w:color w:val="auto"/>
          <w:highlight w:val="none"/>
          <w:lang w:val="en-US" w:eastAsia="zh-CN"/>
        </w:rPr>
        <w:t>9</w:t>
      </w:r>
      <w:r>
        <w:rPr>
          <w:rFonts w:hint="default" w:ascii="Times New Roman" w:hAnsi="Times New Roman" w:eastAsia="仿宋" w:cs="Times New Roman"/>
          <w:color w:val="auto"/>
          <w:highlight w:val="none"/>
        </w:rPr>
        <w:t>分；过程规范性指标</w:t>
      </w:r>
      <w:r>
        <w:rPr>
          <w:rFonts w:hint="default" w:ascii="Times New Roman" w:hAnsi="Times New Roman" w:eastAsia="仿宋" w:cs="Times New Roman"/>
          <w:color w:val="auto"/>
          <w:highlight w:val="none"/>
          <w:lang w:val="en-US" w:eastAsia="zh-CN"/>
        </w:rPr>
        <w:t>24</w:t>
      </w:r>
      <w:r>
        <w:rPr>
          <w:rFonts w:hint="default" w:ascii="Times New Roman" w:hAnsi="Times New Roman" w:eastAsia="仿宋" w:cs="Times New Roman"/>
          <w:color w:val="auto"/>
          <w:highlight w:val="none"/>
        </w:rPr>
        <w:t>分，评价得分</w:t>
      </w:r>
      <w:r>
        <w:rPr>
          <w:rFonts w:hint="default" w:ascii="Times New Roman" w:hAnsi="Times New Roman" w:eastAsia="仿宋" w:cs="Times New Roman"/>
          <w:color w:val="auto"/>
          <w:highlight w:val="none"/>
          <w:lang w:val="en-US" w:eastAsia="zh-CN"/>
        </w:rPr>
        <w:t>22</w:t>
      </w:r>
      <w:r>
        <w:rPr>
          <w:rFonts w:hint="default" w:ascii="Times New Roman" w:hAnsi="Times New Roman" w:eastAsia="仿宋" w:cs="Times New Roman"/>
          <w:color w:val="auto"/>
          <w:highlight w:val="none"/>
        </w:rPr>
        <w:t>分；政策有效性指标</w:t>
      </w:r>
      <w:r>
        <w:rPr>
          <w:rFonts w:hint="default" w:ascii="Times New Roman" w:hAnsi="Times New Roman" w:eastAsia="仿宋" w:cs="Times New Roman"/>
          <w:color w:val="auto"/>
          <w:highlight w:val="none"/>
          <w:lang w:val="en-US" w:eastAsia="zh-CN"/>
        </w:rPr>
        <w:t>10</w:t>
      </w:r>
      <w:r>
        <w:rPr>
          <w:rFonts w:hint="default" w:ascii="Times New Roman" w:hAnsi="Times New Roman" w:eastAsia="仿宋" w:cs="Times New Roman"/>
          <w:color w:val="auto"/>
          <w:highlight w:val="none"/>
        </w:rPr>
        <w:t>分，评价得分</w:t>
      </w:r>
      <w:r>
        <w:rPr>
          <w:rFonts w:hint="default" w:ascii="Times New Roman" w:hAnsi="Times New Roman" w:eastAsia="仿宋" w:cs="Times New Roman"/>
          <w:color w:val="auto"/>
          <w:highlight w:val="none"/>
          <w:lang w:val="en-US" w:eastAsia="zh-CN"/>
        </w:rPr>
        <w:t>10</w:t>
      </w:r>
      <w:r>
        <w:rPr>
          <w:rFonts w:hint="default" w:ascii="Times New Roman" w:hAnsi="Times New Roman" w:eastAsia="仿宋" w:cs="Times New Roman"/>
          <w:color w:val="auto"/>
          <w:highlight w:val="none"/>
        </w:rPr>
        <w:t>分；交易经济性指标</w:t>
      </w:r>
      <w:r>
        <w:rPr>
          <w:rFonts w:hint="default" w:ascii="Times New Roman" w:hAnsi="Times New Roman" w:eastAsia="仿宋" w:cs="Times New Roman"/>
          <w:color w:val="auto"/>
          <w:highlight w:val="none"/>
          <w:lang w:val="en-US" w:eastAsia="zh-CN"/>
        </w:rPr>
        <w:t>29</w:t>
      </w:r>
      <w:r>
        <w:rPr>
          <w:rFonts w:hint="default" w:ascii="Times New Roman" w:hAnsi="Times New Roman" w:eastAsia="仿宋" w:cs="Times New Roman"/>
          <w:color w:val="auto"/>
          <w:highlight w:val="none"/>
        </w:rPr>
        <w:t>分，评价得分</w:t>
      </w:r>
      <w:r>
        <w:rPr>
          <w:rFonts w:hint="default" w:ascii="Times New Roman" w:hAnsi="Times New Roman" w:eastAsia="仿宋" w:cs="Times New Roman"/>
          <w:color w:val="auto"/>
          <w:highlight w:val="none"/>
          <w:lang w:val="en-US" w:eastAsia="zh-CN"/>
        </w:rPr>
        <w:t>27</w:t>
      </w:r>
      <w:r>
        <w:rPr>
          <w:rFonts w:hint="default" w:ascii="Times New Roman" w:hAnsi="Times New Roman" w:eastAsia="仿宋" w:cs="Times New Roman"/>
          <w:color w:val="auto"/>
          <w:highlight w:val="none"/>
        </w:rPr>
        <w:t>分</w:t>
      </w:r>
      <w:r>
        <w:rPr>
          <w:rFonts w:hint="default"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内部控制指标1</w:t>
      </w:r>
      <w:r>
        <w:rPr>
          <w:rFonts w:hint="default" w:ascii="Times New Roman" w:hAnsi="Times New Roman" w:eastAsia="仿宋" w:cs="Times New Roman"/>
          <w:color w:val="auto"/>
          <w:highlight w:val="none"/>
          <w:lang w:val="en-US" w:eastAsia="zh-CN"/>
        </w:rPr>
        <w:t>9</w:t>
      </w:r>
      <w:r>
        <w:rPr>
          <w:rFonts w:hint="default" w:ascii="Times New Roman" w:hAnsi="Times New Roman" w:eastAsia="仿宋" w:cs="Times New Roman"/>
          <w:color w:val="auto"/>
          <w:highlight w:val="none"/>
        </w:rPr>
        <w:t>分，评价得分</w:t>
      </w:r>
      <w:r>
        <w:rPr>
          <w:rFonts w:hint="default" w:ascii="Times New Roman" w:hAnsi="Times New Roman" w:eastAsia="仿宋" w:cs="Times New Roman"/>
          <w:color w:val="auto"/>
          <w:highlight w:val="none"/>
          <w:lang w:val="en-US" w:eastAsia="zh-CN"/>
        </w:rPr>
        <w:t>17</w:t>
      </w:r>
      <w:r>
        <w:rPr>
          <w:rFonts w:hint="default" w:ascii="Times New Roman" w:hAnsi="Times New Roman" w:eastAsia="仿宋" w:cs="Times New Roman"/>
          <w:color w:val="auto"/>
          <w:highlight w:val="none"/>
        </w:rPr>
        <w:t>分。</w:t>
      </w:r>
      <w:r>
        <w:rPr>
          <w:rFonts w:hint="default" w:ascii="Times New Roman" w:hAnsi="Times New Roman" w:eastAsia="仿宋" w:cs="Times New Roman"/>
          <w:color w:val="auto"/>
          <w:highlight w:val="none"/>
          <w:lang w:val="en-US" w:eastAsia="zh-CN"/>
        </w:rPr>
        <w:t>参照评分结果，</w:t>
      </w:r>
      <w:r>
        <w:rPr>
          <w:rFonts w:hint="default" w:ascii="Times New Roman" w:hAnsi="Times New Roman" w:eastAsia="仿宋" w:cs="Times New Roman"/>
          <w:color w:val="auto"/>
          <w:highlight w:val="none"/>
        </w:rPr>
        <w:t>项目</w:t>
      </w:r>
      <w:r>
        <w:rPr>
          <w:rFonts w:hint="default" w:ascii="Times New Roman" w:hAnsi="Times New Roman" w:eastAsia="仿宋" w:cs="Times New Roman"/>
          <w:color w:val="auto"/>
          <w:highlight w:val="none"/>
          <w:lang w:val="en-US" w:eastAsia="zh-CN"/>
        </w:rPr>
        <w:t>采购意向</w:t>
      </w:r>
      <w:r>
        <w:rPr>
          <w:rFonts w:hint="default" w:ascii="Times New Roman" w:hAnsi="Times New Roman" w:eastAsia="仿宋" w:cs="Times New Roman"/>
          <w:color w:val="auto"/>
          <w:highlight w:val="none"/>
        </w:rPr>
        <w:t>依据充分、</w:t>
      </w:r>
      <w:r>
        <w:rPr>
          <w:rFonts w:hint="default" w:ascii="Times New Roman" w:hAnsi="Times New Roman" w:eastAsia="仿宋" w:cs="Times New Roman"/>
          <w:color w:val="auto"/>
          <w:highlight w:val="none"/>
          <w:lang w:val="en-US" w:eastAsia="zh-CN"/>
        </w:rPr>
        <w:t>采购程序</w:t>
      </w:r>
      <w:r>
        <w:rPr>
          <w:rFonts w:hint="default" w:ascii="Times New Roman" w:hAnsi="Times New Roman" w:eastAsia="仿宋" w:cs="Times New Roman"/>
          <w:color w:val="auto"/>
          <w:highlight w:val="none"/>
        </w:rPr>
        <w:t>严密，符合</w:t>
      </w:r>
      <w:r>
        <w:rPr>
          <w:rFonts w:hint="default" w:ascii="Times New Roman" w:hAnsi="Times New Roman" w:eastAsia="仿宋" w:cs="Times New Roman"/>
          <w:color w:val="auto"/>
          <w:highlight w:val="none"/>
          <w:lang w:val="en-US" w:eastAsia="zh-CN"/>
        </w:rPr>
        <w:t>区</w:t>
      </w:r>
      <w:r>
        <w:rPr>
          <w:rFonts w:hint="default" w:ascii="Times New Roman" w:hAnsi="Times New Roman" w:eastAsia="仿宋" w:cs="Times New Roman"/>
          <w:color w:val="auto"/>
          <w:highlight w:val="none"/>
        </w:rPr>
        <w:t>委、</w:t>
      </w:r>
      <w:r>
        <w:rPr>
          <w:rFonts w:hint="default" w:ascii="Times New Roman" w:hAnsi="Times New Roman" w:eastAsia="仿宋" w:cs="Times New Roman"/>
          <w:color w:val="auto"/>
          <w:highlight w:val="none"/>
          <w:lang w:val="en-US" w:eastAsia="zh-CN"/>
        </w:rPr>
        <w:t>区</w:t>
      </w:r>
      <w:r>
        <w:rPr>
          <w:rFonts w:hint="default" w:ascii="Times New Roman" w:hAnsi="Times New Roman" w:eastAsia="仿宋" w:cs="Times New Roman"/>
          <w:color w:val="auto"/>
          <w:highlight w:val="none"/>
        </w:rPr>
        <w:t>政府重大决策部署和宏观政策规划。项目资金使用符合预算批复用途。评价指标体系得分见表</w:t>
      </w:r>
      <w:r>
        <w:rPr>
          <w:rFonts w:hint="default" w:ascii="Times New Roman" w:hAnsi="Times New Roman" w:eastAsia="仿宋" w:cs="Times New Roman"/>
          <w:color w:val="auto"/>
          <w:highlight w:val="none"/>
          <w:lang w:val="en-US" w:eastAsia="zh-CN"/>
        </w:rPr>
        <w:t>3</w:t>
      </w:r>
      <w:r>
        <w:rPr>
          <w:rFonts w:hint="default" w:ascii="Times New Roman" w:hAnsi="Times New Roman" w:eastAsia="仿宋" w:cs="Times New Roman"/>
          <w:color w:val="auto"/>
          <w:highlight w:val="none"/>
        </w:rPr>
        <w:t>-1，具体评分过程见附件</w:t>
      </w:r>
      <w:r>
        <w:rPr>
          <w:rFonts w:hint="default" w:ascii="Times New Roman" w:hAnsi="Times New Roman" w:eastAsia="仿宋" w:cs="Times New Roman"/>
          <w:color w:val="auto"/>
          <w:highlight w:val="none"/>
          <w:lang w:val="en-US" w:eastAsia="zh-CN"/>
        </w:rPr>
        <w:t>3-1</w:t>
      </w:r>
      <w:r>
        <w:rPr>
          <w:rFonts w:hint="default" w:ascii="Times New Roman" w:hAnsi="Times New Roman" w:eastAsia="仿宋" w:cs="Times New Roman"/>
          <w:color w:val="auto"/>
          <w:highlight w:val="none"/>
        </w:rPr>
        <w:t>。</w:t>
      </w:r>
    </w:p>
    <w:p w14:paraId="06C6A762">
      <w:pPr>
        <w:pStyle w:val="2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楷体" w:cs="Times New Roman"/>
          <w:b/>
          <w:bCs/>
          <w:color w:val="auto"/>
          <w:sz w:val="30"/>
          <w:szCs w:val="30"/>
          <w:highlight w:val="none"/>
        </w:rPr>
      </w:pPr>
      <w:r>
        <w:rPr>
          <w:rFonts w:hint="default" w:ascii="Times New Roman" w:hAnsi="Times New Roman" w:eastAsia="楷体" w:cs="Times New Roman"/>
          <w:b/>
          <w:bCs/>
          <w:color w:val="auto"/>
          <w:sz w:val="30"/>
          <w:szCs w:val="30"/>
          <w:highlight w:val="none"/>
        </w:rPr>
        <w:t>表</w:t>
      </w:r>
      <w:r>
        <w:rPr>
          <w:rFonts w:hint="default" w:ascii="Times New Roman" w:hAnsi="Times New Roman" w:eastAsia="楷体" w:cs="Times New Roman"/>
          <w:b/>
          <w:bCs/>
          <w:color w:val="auto"/>
          <w:sz w:val="30"/>
          <w:szCs w:val="30"/>
          <w:highlight w:val="none"/>
          <w:lang w:val="en-US" w:eastAsia="zh-CN"/>
        </w:rPr>
        <w:t>3</w:t>
      </w:r>
      <w:r>
        <w:rPr>
          <w:rFonts w:hint="default" w:ascii="Times New Roman" w:hAnsi="Times New Roman" w:eastAsia="楷体" w:cs="Times New Roman"/>
          <w:b/>
          <w:bCs/>
          <w:color w:val="auto"/>
          <w:sz w:val="30"/>
          <w:szCs w:val="30"/>
          <w:highlight w:val="none"/>
        </w:rPr>
        <w:t>-</w:t>
      </w:r>
      <w:r>
        <w:rPr>
          <w:rFonts w:hint="default" w:ascii="Times New Roman" w:hAnsi="Times New Roman" w:eastAsia="楷体" w:cs="Times New Roman"/>
          <w:b/>
          <w:bCs/>
          <w:color w:val="auto"/>
          <w:sz w:val="30"/>
          <w:szCs w:val="30"/>
          <w:highlight w:val="none"/>
          <w:lang w:val="en-US" w:eastAsia="zh-CN"/>
        </w:rPr>
        <w:t>1</w:t>
      </w:r>
      <w:r>
        <w:rPr>
          <w:rFonts w:hint="default" w:ascii="Times New Roman" w:hAnsi="Times New Roman" w:eastAsia="楷体" w:cs="Times New Roman"/>
          <w:b/>
          <w:bCs/>
          <w:color w:val="auto"/>
          <w:sz w:val="30"/>
          <w:szCs w:val="30"/>
          <w:highlight w:val="none"/>
        </w:rPr>
        <w:t xml:space="preserve">  </w:t>
      </w:r>
      <w:r>
        <w:rPr>
          <w:rFonts w:hint="default" w:ascii="Times New Roman" w:hAnsi="Times New Roman" w:eastAsia="楷体" w:cs="Times New Roman"/>
          <w:b/>
          <w:bCs/>
          <w:color w:val="auto"/>
          <w:sz w:val="30"/>
          <w:szCs w:val="30"/>
          <w:highlight w:val="none"/>
          <w:lang w:val="en-US" w:eastAsia="zh-CN"/>
        </w:rPr>
        <w:t>政策采购</w:t>
      </w:r>
      <w:r>
        <w:rPr>
          <w:rFonts w:hint="default" w:ascii="Times New Roman" w:hAnsi="Times New Roman" w:eastAsia="楷体" w:cs="Times New Roman"/>
          <w:b/>
          <w:bCs/>
          <w:color w:val="auto"/>
          <w:sz w:val="30"/>
          <w:szCs w:val="30"/>
          <w:highlight w:val="none"/>
        </w:rPr>
        <w:t>项目</w:t>
      </w:r>
      <w:r>
        <w:rPr>
          <w:rFonts w:hint="default" w:ascii="Times New Roman" w:hAnsi="Times New Roman" w:eastAsia="楷体" w:cs="Times New Roman"/>
          <w:b/>
          <w:bCs/>
          <w:color w:val="auto"/>
          <w:sz w:val="30"/>
          <w:szCs w:val="30"/>
          <w:highlight w:val="none"/>
          <w:lang w:val="en-US" w:eastAsia="zh-CN"/>
        </w:rPr>
        <w:t>评价指标体系得分</w:t>
      </w:r>
      <w:r>
        <w:rPr>
          <w:rFonts w:hint="default" w:ascii="Times New Roman" w:hAnsi="Times New Roman" w:eastAsia="楷体" w:cs="Times New Roman"/>
          <w:b/>
          <w:bCs/>
          <w:color w:val="auto"/>
          <w:sz w:val="30"/>
          <w:szCs w:val="30"/>
          <w:highlight w:val="none"/>
        </w:rPr>
        <w:t>情况表</w:t>
      </w:r>
    </w:p>
    <w:tbl>
      <w:tblPr>
        <w:tblStyle w:val="15"/>
        <w:tblW w:w="506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9"/>
        <w:gridCol w:w="798"/>
        <w:gridCol w:w="872"/>
        <w:gridCol w:w="3043"/>
        <w:gridCol w:w="724"/>
        <w:gridCol w:w="876"/>
        <w:gridCol w:w="800"/>
        <w:gridCol w:w="1257"/>
      </w:tblGrid>
      <w:tr w14:paraId="19E68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blHeader/>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B5A39">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一级指标</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64ABA">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二级指标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0C85B">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三级指标</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62CE8">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评分标准</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53028">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权重</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EDEC4">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得分</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858D9">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扣分</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9656C">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扣分原因</w:t>
            </w:r>
          </w:p>
        </w:tc>
      </w:tr>
      <w:tr w14:paraId="6FF58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955D1">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需求相关性（10分）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9C00A">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采购预算（1分）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F869A">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预算编制完整性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42DED">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是否按照部门预算要求编制政府采购预算</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0E99">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E031">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CF5E">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10AB6">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0039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4C2E6">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4FE37">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绩效目标（4分）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0B6A">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绩效目标合理性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40819">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是否编制绩效目标；②绩效目标是否设置明确、清晰、可衡量的数量、质量和时效目标；③绩效目标的预期产出和效益是否符合正常业绩要求；④项目绩效目标是否与预算批复的项目投资额度资金量相匹配。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9A3FB">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C142">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2443">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DFB7">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经济效益指标</w:t>
            </w:r>
          </w:p>
          <w:p w14:paraId="47537143">
            <w:pPr>
              <w:pStyle w:val="49"/>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、可持续影响指标，且两个指标的指标值设置过于冗长、未能有效衡量项目的效益情况。</w:t>
            </w:r>
          </w:p>
        </w:tc>
      </w:tr>
      <w:tr w14:paraId="329C0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2E87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F4AF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采购意向（2分）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BD1E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采购意向合规性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19A5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①采购意向在四川政府采购网公开至项目采购公告发出是否不少于30天；②采购意向公开内容是否规范。每项1分，满足则得分，不满足则扣除对应权重分。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529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2ED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6F5C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BD9A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C15F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A7F1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5598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采购需求（3分）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13E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采购需求明确性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EC6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①采购需求是否与绩效目标、采购意向相匹配；②采购需求编制是否规范；③采购需求是否随采购公告进行公开或者在公告发布前已公开。每项1分，满足则得分，不满足则扣除对应权重分。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ED6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2825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1B7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22B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79BFB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8"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E7623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过程规范性（24分）</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2119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采购方式和程序（8分）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57F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采购方式合规性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3D1D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①政府采购方式选择是否符合法律规定；②计划备案内容是否完整，标的与品目是否相符。每项1分，满足则得分，不满足则扣除对应权重分。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0623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465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33C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24F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1A1D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8"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B451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BAA6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EBB4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采购公告公示</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C29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采购公告和采购文件是否按照相关规定在四川政府采购网上发布；②信息发布是否完整、无错字、漏字、别字，无涉密信息，无个人隐私信息；③采购文件是否免费提供。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168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20B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3F9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C9F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7985F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5272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AB9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988C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采购程序规范性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171B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采购程序是否合法规范</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AD1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8A7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DAC0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EEB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07FE4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82E5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947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评审专家（4分）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0CE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专家使用合规性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E938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评审专家的抽取使用是否符合规定；②是否委派采购人代表参加评审；③是否按照《四川省政府采购评审专家劳务报酬标准》的规定支付专家评审费；④专家组是否按法定程序组成，专家是否与项目、专业相匹配。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655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DF2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A539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556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49A4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955E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DA29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采购执行效率（12分）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CA31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开评标（报价评审）规范性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2D0C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①是否按照法定程序及采购文件规定开标（报价）、评标（评审）；②是否及时对评审专家、代理机构、采购人进行履职或信用评价。其中①为两分，②为一分，满足则得分，不满足则扣除对应权重分。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3D9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31BC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5630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497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12899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6"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6630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01EE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48C3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中标（成交）结果公示</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04B0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 xml:space="preserve">是否在中标（成交）采购人确定之日起2个工作日内进行中标（成交）结果公示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A08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B71F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6AC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D950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43A8C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BB4A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09FE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9EFA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 xml:space="preserve">合同签订 </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56D0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是否在中标（成交）通知书发出之日起30日内进行合同签订；若超过30日签订合同不得分。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199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A699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3A2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BAE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26F3D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A655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3F10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7901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合同公告</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3595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已在四川政府采购网上公告，其公告时间是否在合同签订之日起2个工作日内</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E1E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CF4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E02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8A6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未在合同签订之日起2个工作日内进行公告。</w:t>
            </w:r>
          </w:p>
        </w:tc>
      </w:tr>
      <w:tr w14:paraId="3570F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C59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D283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5A33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合同备案</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3D3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已在四川政府采购网上备案，其备案时间是否在合同签订之日起7个工作日内</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3AC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0E8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39B5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A03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A17F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13DB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政策有效性（10分）</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CFAB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政府采购政策落实（7分）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1175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节能产品情况</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403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①采购文件是否执行政府采购节能产品采购政策；②采购文件是否执行强制采购节能产品政策。每项1分，满足则得分，不满足则扣除对应权重分。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29EE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A5E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97CF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4430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5B00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1FC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A7D3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A2B8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环保产品情况</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8D0D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采购文件是否执行政府采购环保产品采购政策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E9C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79C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F6A2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9A9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864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2F47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C7EC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A158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支持中小企业发展政策</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CA90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采购文件是否执行政府采购支持促进中小企业发展政策，如未执行预付款、专门面向、预留份额、价格扣除等惠企政策，每项扣2分，扣完为止。</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6A89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6</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E4B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6</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7736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E89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6E9F2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ED1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20EE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2DF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落实监狱企业、残疾人福利企业政府采购政策</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CA01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采购文件是否执行政府采购支持促进监狱企业、残疾人福利性单位政策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9D9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8F9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B920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4B1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840D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2"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A404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0ED4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D2AD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政府采购合同融资政策</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24ED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①是否对政府采购合同融资提供便利；②是否确认合同账户，配合银行做好贷款支持和资金回款。每项1分，满足则得分，不满足则扣除对应权重分。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3AEE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DDA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24E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AA82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670AF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9F5C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9D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保证金管理（3分）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2FF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履约保证金管理</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383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①是否取消收取履约保证金；②如果收取履约保证金，是否可以收取银行保函；③如果收取履约保证金，是否按时退还。如满足①项，则得满分，如不满足①项，则先扣1分，②③项各一分，根据实际情况打分。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1925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5408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25E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0</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74F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00C9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AD80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交易经济性（29分）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6B31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采购经济性（4分）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04F1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采购预算执行率</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BBB0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①是否按计划执行采购；②采购金额是否低于市场价（市场价通过门店调查、网购查询、同类比较等方式确认）；③采购质量是否达到要求；④使用能否高效应用。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246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335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E7D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4BC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9796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F1D7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1F1C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合同履约效率（10）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BE9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合同履约验收</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5F25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合同履约达到验收条件时，采购人向采购人发出项目验收建议后，是否在7个工作日内启动项目验收</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8EEA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83DD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8AE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253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4D6C1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7"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0C27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7BF6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8F70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大型复杂或公共服务项目验收</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3A24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大型或者复杂采购项目，是否邀请专业检测机构参与验收；面向社会公众的项目是否邀请服务对象参与验收</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7B6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B91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52B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CAB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4538A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D2AF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3CAC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3F4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履约验收公示</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2F7E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是否在验收意见确认后2个工作日内在“四川政府采购网”公示验收意见</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010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FF28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BD6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46A3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 xml:space="preserve">截至绩效评价日，该项目已开展竣工验收，但白马关镇人民政府未将履约验收情况，按照四川省政府采购网对合同履约验收情况公示要求进行公示。 </w:t>
            </w:r>
          </w:p>
        </w:tc>
      </w:tr>
      <w:tr w14:paraId="271A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BEFA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E78E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12A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履约付款及时性</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97FC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①采购项目是否在合同签订且具备实施条件后按规定比例支付预付款；②采购项目验收后，是否在收到发票后5个工作日内，进行支付；③是否按照合同约定时间节点支付合同款。①②项各两分，③项一分。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2B2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0CEE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7B1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EB8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3F45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1016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9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4683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受益群体满意度（15分）</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7B5F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bidi="ar"/>
              </w:rPr>
              <w:t>根据项目情况，对管网建设周边居民进行社会调查工作。满意度达85%及以上，得满分，每低于目标值1%，扣5%权重分。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92F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15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8BD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bidi="ar"/>
              </w:rPr>
            </w:pPr>
            <w:r>
              <w:rPr>
                <w:rFonts w:hint="default" w:ascii="Times New Roman" w:hAnsi="Times New Roman" w:eastAsia="仿宋" w:cs="Times New Roman"/>
                <w:b w:val="0"/>
                <w:bCs w:val="0"/>
                <w:color w:val="auto"/>
                <w:sz w:val="24"/>
                <w:szCs w:val="24"/>
                <w:highlight w:val="none"/>
                <w:u w:val="none"/>
                <w:lang w:val="en-US" w:eastAsia="zh-CN" w:bidi="ar"/>
              </w:rPr>
              <w:t>15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C07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71E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45F5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7F2D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内部控制（19分）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8377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采购内控（5分）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C0B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采购内部控制制度</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5DF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①是否按照相关规定建立内控制度；②是否合理设置采购岗位；③是否建立内部采购审核流程；④是否公平公正参与评审，是否因评审中存在倾向性或指定性情形导致举报、投诉等；⑤对质疑投诉是否按时进行答复。每项1分，满足则得分，不满足则扣除对应权重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960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F37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1EB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DEF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未制定完善项目采购管理制度。</w:t>
            </w:r>
          </w:p>
        </w:tc>
      </w:tr>
      <w:tr w14:paraId="3B81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78DD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652E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采购公平性（6分）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84C5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采购人质疑</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A6B7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是否存在采购人或代理机构因采购文件、过程和结果等违反相关法律法规或制度规定而产生有效质疑</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B1D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FC5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99A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DC9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7F43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C24B1">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02D7A">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4217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采购人投诉</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54E1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是否存在采购人或代理机构因采购文件、过程和结果等违反相关法律法规或制度规定而产生有效投诉，处理决定投诉事项成立，或者要求重新采购的有效投诉不得分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3803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5D9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800D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B009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7CD78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5A23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63FA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15B4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举报</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E7E6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是否产生有效举报，存在有效举报不得分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147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0DC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1DB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268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51D7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F684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AC516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信息公开  （8分）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1A3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采购信息获取度</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7B55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是否在“四川政府采购网”进行公开；是否方便各当事人及时获取政府采购信息，发布的信息要素是否齐全</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5DE22">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71C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0C3D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517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4EEBA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4"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10A54">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AA66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2B095">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采购信息透明度</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4C7A6">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是否按照政府采购要求公开信息内容，信息内容格式是否符合要求，信息公布内容是否完整</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B61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BABE">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bidi="ar"/>
              </w:rPr>
            </w:pPr>
            <w:r>
              <w:rPr>
                <w:rFonts w:hint="default" w:ascii="Times New Roman" w:hAnsi="Times New Roman" w:eastAsia="仿宋" w:cs="Times New Roman"/>
                <w:b w:val="0"/>
                <w:bCs w:val="0"/>
                <w:color w:val="auto"/>
                <w:sz w:val="24"/>
                <w:szCs w:val="24"/>
                <w:highlight w:val="none"/>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F19E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CDBE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val="0"/>
                <w:bCs w:val="0"/>
                <w:color w:val="auto"/>
                <w:sz w:val="24"/>
                <w:szCs w:val="24"/>
                <w:highlight w:val="none"/>
                <w:u w:val="none"/>
                <w:lang w:val="en-US" w:eastAsia="zh-CN" w:bidi="ar"/>
              </w:rPr>
            </w:pPr>
          </w:p>
        </w:tc>
      </w:tr>
      <w:tr w14:paraId="3B65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3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67835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bidi="ar"/>
              </w:rPr>
            </w:pPr>
            <w:r>
              <w:rPr>
                <w:rFonts w:hint="default" w:ascii="Times New Roman" w:hAnsi="Times New Roman" w:eastAsia="仿宋" w:cs="Times New Roman"/>
                <w:b/>
                <w:bCs/>
                <w:color w:val="auto"/>
                <w:sz w:val="24"/>
                <w:szCs w:val="24"/>
                <w:highlight w:val="none"/>
                <w:u w:val="none"/>
                <w:lang w:val="en-US" w:eastAsia="zh-CN" w:bidi="ar"/>
              </w:rPr>
              <w:t>合计（换算前）</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CF123">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bidi="ar"/>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E8E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92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038C">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85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F8C7">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7</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BD5B">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p>
        </w:tc>
      </w:tr>
      <w:tr w14:paraId="1588F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3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19BBD8">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合计（换算后）</w:t>
            </w:r>
          </w:p>
        </w:tc>
        <w:tc>
          <w:tcPr>
            <w:tcW w:w="1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6955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bidi="ar"/>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71D9">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100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E9ECF">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92.39</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3C00">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r>
              <w:rPr>
                <w:rFonts w:hint="default" w:ascii="Times New Roman" w:hAnsi="Times New Roman" w:eastAsia="仿宋" w:cs="Times New Roman"/>
                <w:b/>
                <w:bCs/>
                <w:color w:val="auto"/>
                <w:sz w:val="24"/>
                <w:szCs w:val="24"/>
                <w:highlight w:val="none"/>
                <w:u w:val="none"/>
                <w:lang w:val="en-US" w:eastAsia="zh-CN" w:bidi="ar"/>
              </w:rPr>
              <w:t>7.61</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BAFD">
            <w:pPr>
              <w:pStyle w:val="49"/>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仿宋" w:cs="Times New Roman"/>
                <w:b/>
                <w:bCs/>
                <w:color w:val="auto"/>
                <w:sz w:val="24"/>
                <w:szCs w:val="24"/>
                <w:highlight w:val="none"/>
                <w:u w:val="none"/>
                <w:lang w:val="en-US" w:eastAsia="zh-CN" w:bidi="ar"/>
              </w:rPr>
            </w:pPr>
          </w:p>
        </w:tc>
      </w:tr>
    </w:tbl>
    <w:p w14:paraId="6E246C2F">
      <w:pPr>
        <w:pStyle w:val="3"/>
        <w:keepNext w:val="0"/>
        <w:keepLines w:val="0"/>
        <w:pageBreakBefore w:val="0"/>
        <w:widowControl/>
        <w:numPr>
          <w:ilvl w:val="0"/>
          <w:numId w:val="0"/>
        </w:numPr>
        <w:kinsoku/>
        <w:wordWrap/>
        <w:overflowPunct/>
        <w:topLinePunct w:val="0"/>
        <w:autoSpaceDE/>
        <w:autoSpaceDN/>
        <w:bidi w:val="0"/>
        <w:adjustRightInd/>
        <w:snapToGrid/>
        <w:spacing w:before="437" w:beforeLines="100" w:line="560" w:lineRule="exact"/>
        <w:ind w:left="0" w:leftChars="0"/>
        <w:jc w:val="center"/>
        <w:textAlignment w:val="auto"/>
        <w:rPr>
          <w:rFonts w:hint="default" w:ascii="Times New Roman" w:hAnsi="Times New Roman" w:cs="Times New Roman"/>
          <w:color w:val="auto"/>
          <w:sz w:val="32"/>
          <w:szCs w:val="32"/>
          <w:highlight w:val="none"/>
          <w:lang w:val="en-US" w:eastAsia="zh-CN"/>
        </w:rPr>
      </w:pPr>
      <w:bookmarkStart w:id="71" w:name="_Toc10737"/>
      <w:bookmarkStart w:id="72" w:name="_Toc16494"/>
      <w:r>
        <w:rPr>
          <w:rFonts w:hint="default" w:ascii="Times New Roman" w:hAnsi="Times New Roman" w:cs="Times New Roman"/>
          <w:color w:val="auto"/>
          <w:sz w:val="32"/>
          <w:szCs w:val="32"/>
          <w:highlight w:val="none"/>
          <w:lang w:val="en-US" w:eastAsia="zh-CN"/>
        </w:rPr>
        <w:t>第四部分  绩效评价指标分析</w:t>
      </w:r>
      <w:bookmarkEnd w:id="71"/>
      <w:bookmarkEnd w:id="72"/>
    </w:p>
    <w:p w14:paraId="5E0C2A66">
      <w:pPr>
        <w:pStyle w:val="22"/>
        <w:keepNext w:val="0"/>
        <w:keepLines w:val="0"/>
        <w:pageBreakBefore w:val="0"/>
        <w:widowControl/>
        <w:numPr>
          <w:ilvl w:val="0"/>
          <w:numId w:val="0"/>
        </w:numPr>
        <w:kinsoku/>
        <w:wordWrap/>
        <w:overflowPunct/>
        <w:topLinePunct w:val="0"/>
        <w:autoSpaceDE/>
        <w:autoSpaceDN/>
        <w:bidi w:val="0"/>
        <w:adjustRightInd/>
        <w:snapToGrid/>
        <w:spacing w:line="560" w:lineRule="exact"/>
        <w:ind w:left="220" w:leftChars="0" w:firstLine="420" w:firstLineChars="0"/>
        <w:textAlignment w:val="auto"/>
        <w:rPr>
          <w:rFonts w:hint="default" w:ascii="Times New Roman" w:hAnsi="Times New Roman" w:cs="Times New Roman"/>
          <w:color w:val="auto"/>
          <w:sz w:val="32"/>
          <w:szCs w:val="32"/>
          <w:highlight w:val="none"/>
          <w:lang w:val="en-US" w:eastAsia="zh-CN"/>
        </w:rPr>
      </w:pPr>
      <w:bookmarkStart w:id="73" w:name="_Toc2199"/>
      <w:bookmarkStart w:id="74" w:name="_Toc31965"/>
      <w:r>
        <w:rPr>
          <w:rFonts w:hint="eastAsia" w:ascii="黑体" w:hAnsi="黑体" w:eastAsia="黑体" w:cs="黑体"/>
          <w:color w:val="auto"/>
          <w:kern w:val="44"/>
          <w:sz w:val="32"/>
          <w:szCs w:val="32"/>
          <w:highlight w:val="none"/>
          <w:lang w:val="en-US" w:eastAsia="zh-CN" w:bidi="ar-SA"/>
        </w:rPr>
        <w:t>一、</w:t>
      </w:r>
      <w:r>
        <w:rPr>
          <w:rFonts w:hint="default" w:ascii="Times New Roman" w:hAnsi="Times New Roman" w:cs="Times New Roman"/>
          <w:color w:val="auto"/>
          <w:sz w:val="32"/>
          <w:szCs w:val="32"/>
          <w:highlight w:val="none"/>
        </w:rPr>
        <w:t>需求相关性</w:t>
      </w:r>
      <w:bookmarkEnd w:id="73"/>
      <w:bookmarkEnd w:id="74"/>
    </w:p>
    <w:p w14:paraId="5F9DD1FC">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“需求相关性”方面包含“</w:t>
      </w:r>
      <w:r>
        <w:rPr>
          <w:rFonts w:hint="default" w:ascii="Times New Roman" w:hAnsi="Times New Roman" w:eastAsia="仿宋" w:cs="Times New Roman"/>
          <w:color w:val="auto"/>
          <w:kern w:val="2"/>
          <w:sz w:val="32"/>
          <w:szCs w:val="32"/>
          <w:highlight w:val="none"/>
          <w:lang w:val="en-US" w:eastAsia="zh-CN" w:bidi="ar-SA"/>
        </w:rPr>
        <w:t>预算编制完整性”“</w:t>
      </w:r>
      <w:r>
        <w:rPr>
          <w:rFonts w:hint="default" w:ascii="Times New Roman" w:hAnsi="Times New Roman" w:eastAsia="仿宋" w:cs="Times New Roman"/>
          <w:color w:val="auto"/>
          <w:highlight w:val="none"/>
          <w:lang w:val="en-US" w:eastAsia="zh-CN"/>
        </w:rPr>
        <w:t>绩效目标合理性”“采购意向合规性”“采购需求明确性”四个评价指标。满分10分，评价得分9分。</w:t>
      </w:r>
    </w:p>
    <w:p w14:paraId="01107D29">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 w:cs="Times New Roman"/>
          <w:color w:val="auto"/>
          <w:highlight w:val="none"/>
        </w:rPr>
      </w:pPr>
      <w:bookmarkStart w:id="75" w:name="_Toc18398"/>
      <w:bookmarkStart w:id="76" w:name="_Toc680355422"/>
      <w:bookmarkStart w:id="77" w:name="_Toc10772"/>
      <w:bookmarkStart w:id="78" w:name="_Toc21045"/>
      <w:bookmarkStart w:id="79" w:name="_Toc17823"/>
      <w:bookmarkStart w:id="80" w:name="_Toc10735"/>
      <w:r>
        <w:rPr>
          <w:rFonts w:hint="default" w:ascii="Times New Roman" w:hAnsi="Times New Roman" w:eastAsia="楷体" w:cs="Times New Roman"/>
          <w:color w:val="auto"/>
          <w:kern w:val="2"/>
          <w:sz w:val="32"/>
          <w:szCs w:val="24"/>
          <w:highlight w:val="none"/>
          <w:lang w:val="en-US" w:eastAsia="zh-CN" w:bidi="zh-CN"/>
        </w:rPr>
        <w:t>（一）</w:t>
      </w:r>
      <w:r>
        <w:rPr>
          <w:rFonts w:hint="default" w:ascii="Times New Roman" w:hAnsi="Times New Roman" w:eastAsia="楷体" w:cs="Times New Roman"/>
          <w:color w:val="auto"/>
          <w:highlight w:val="none"/>
          <w:lang w:val="en-US" w:eastAsia="zh-CN"/>
        </w:rPr>
        <w:t>“</w:t>
      </w:r>
      <w:r>
        <w:rPr>
          <w:rFonts w:hint="default" w:ascii="Times New Roman" w:hAnsi="Times New Roman" w:eastAsia="楷体" w:cs="Times New Roman"/>
          <w:color w:val="auto"/>
          <w:kern w:val="2"/>
          <w:sz w:val="32"/>
          <w:szCs w:val="32"/>
          <w:highlight w:val="none"/>
          <w:lang w:val="en-US" w:eastAsia="zh-CN" w:bidi="ar-SA"/>
        </w:rPr>
        <w:t>预算编制完整性</w:t>
      </w:r>
      <w:r>
        <w:rPr>
          <w:rFonts w:hint="default" w:ascii="Times New Roman" w:hAnsi="Times New Roman" w:eastAsia="楷体" w:cs="Times New Roman"/>
          <w:color w:val="auto"/>
          <w:highlight w:val="none"/>
          <w:lang w:val="en-US" w:eastAsia="zh-CN"/>
        </w:rPr>
        <w:t>”指标1分，本次评价得分1分。</w:t>
      </w:r>
      <w:bookmarkEnd w:id="75"/>
      <w:bookmarkEnd w:id="76"/>
      <w:bookmarkEnd w:id="77"/>
      <w:bookmarkEnd w:id="78"/>
      <w:bookmarkEnd w:id="79"/>
      <w:bookmarkEnd w:id="80"/>
    </w:p>
    <w:p w14:paraId="6794547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经查看部门预算表及项目库，该项目按部门预算要求编制了《政府采购预算表》，采购数量为1项，预算编制完整。</w:t>
      </w:r>
    </w:p>
    <w:p w14:paraId="436E8B12">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highlight w:val="none"/>
          <w:lang w:val="en-US" w:eastAsia="zh-CN"/>
        </w:rPr>
      </w:pPr>
      <w:bookmarkStart w:id="81" w:name="_Toc8208"/>
      <w:bookmarkStart w:id="82" w:name="_Toc1530640926"/>
      <w:bookmarkStart w:id="83" w:name="_Toc13981"/>
      <w:bookmarkStart w:id="84" w:name="_Toc3698"/>
      <w:bookmarkStart w:id="85" w:name="_Toc31068"/>
      <w:bookmarkStart w:id="86" w:name="_Toc18121"/>
      <w:r>
        <w:rPr>
          <w:rFonts w:hint="default" w:ascii="Times New Roman" w:hAnsi="Times New Roman" w:eastAsia="楷体" w:cs="Times New Roman"/>
          <w:color w:val="auto"/>
          <w:kern w:val="2"/>
          <w:sz w:val="32"/>
          <w:szCs w:val="24"/>
          <w:highlight w:val="none"/>
          <w:lang w:val="en-US" w:eastAsia="zh-CN" w:bidi="zh-CN"/>
        </w:rPr>
        <w:t>（二）</w:t>
      </w:r>
      <w:r>
        <w:rPr>
          <w:rFonts w:hint="default" w:ascii="Times New Roman" w:hAnsi="Times New Roman" w:eastAsia="楷体" w:cs="Times New Roman"/>
          <w:color w:val="auto"/>
          <w:highlight w:val="none"/>
          <w:lang w:val="en-US" w:eastAsia="zh-CN"/>
        </w:rPr>
        <w:t>“绩效目标合理性”指标4分，本次评价得分3分。</w:t>
      </w:r>
      <w:bookmarkEnd w:id="81"/>
      <w:bookmarkEnd w:id="82"/>
      <w:bookmarkEnd w:id="83"/>
      <w:bookmarkEnd w:id="84"/>
      <w:bookmarkEnd w:id="85"/>
      <w:bookmarkEnd w:id="86"/>
    </w:p>
    <w:p w14:paraId="1E2999FA">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绩效目标表》，该项目设置的经济效益指标“项目对当地群众收入影响”、可持续影响指标“对本地文旅融合发展的持续影响”设置不具体，未有效反映项目实施的效益，且两个指标的指标值“就近吸收劳动力，增加群众经济收入水平”“促进文旅融合发展，带动本地经济社会全面可持续发展”设置过于冗长、未能有效衡量项目的效益情况。</w:t>
      </w:r>
    </w:p>
    <w:p w14:paraId="0D15CC41">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 w:cs="Times New Roman"/>
          <w:color w:val="auto"/>
          <w:highlight w:val="none"/>
          <w:lang w:val="en-US" w:eastAsia="zh-CN"/>
        </w:rPr>
      </w:pPr>
      <w:bookmarkStart w:id="87" w:name="_Toc27387"/>
      <w:bookmarkStart w:id="88" w:name="_Toc26759"/>
      <w:bookmarkStart w:id="89" w:name="_Toc19942"/>
      <w:bookmarkStart w:id="90" w:name="_Toc14571"/>
      <w:bookmarkStart w:id="91" w:name="_Toc775435869"/>
      <w:bookmarkStart w:id="92" w:name="_Toc13691"/>
      <w:r>
        <w:rPr>
          <w:rFonts w:hint="default" w:ascii="Times New Roman" w:hAnsi="Times New Roman" w:eastAsia="楷体" w:cs="Times New Roman"/>
          <w:color w:val="auto"/>
          <w:kern w:val="2"/>
          <w:sz w:val="32"/>
          <w:szCs w:val="24"/>
          <w:highlight w:val="none"/>
          <w:lang w:val="en-US" w:eastAsia="zh-CN" w:bidi="zh-CN"/>
        </w:rPr>
        <w:t>（三）“采购意向合规性”指标2分，本次评价得分2分。</w:t>
      </w:r>
      <w:bookmarkEnd w:id="87"/>
      <w:bookmarkEnd w:id="88"/>
      <w:bookmarkEnd w:id="89"/>
      <w:bookmarkEnd w:id="90"/>
      <w:bookmarkEnd w:id="91"/>
      <w:bookmarkEnd w:id="92"/>
    </w:p>
    <w:p w14:paraId="14CDC8C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按照《国家发展改革委关于进一步推进投资项目审批制度改革的若干意见》（发改投资〔2021〕1813号）第（十）点有关规定，所有依法必须招标的投资项目，其招标采购活动全部纳入公共资源交易平台，实行透明化管理、阳光交易。按照公共资源交易平台操作流程，工程类项目采购无需在公共资源交易平台采购网上进行采购意向公开。该项目</w:t>
      </w:r>
      <w:r>
        <w:rPr>
          <w:rFonts w:hint="default" w:ascii="Times New Roman" w:hAnsi="Times New Roman" w:eastAsia="仿宋" w:cs="Times New Roman"/>
          <w:highlight w:val="none"/>
          <w:lang w:val="en-US" w:eastAsia="zh-CN"/>
        </w:rPr>
        <w:t>设计服务采购在四川政府采购网上进行意向公开，</w:t>
      </w:r>
      <w:r>
        <w:rPr>
          <w:rFonts w:hint="default" w:ascii="Times New Roman" w:hAnsi="Times New Roman" w:eastAsia="仿宋" w:cs="Times New Roman"/>
          <w:color w:val="auto"/>
          <w:highlight w:val="none"/>
          <w:lang w:val="en-US" w:eastAsia="zh-CN"/>
        </w:rPr>
        <w:t>白马关镇人民政府于2022年11月2日进行了意向公开。</w:t>
      </w:r>
    </w:p>
    <w:p w14:paraId="6D50C21F">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93" w:name="_Toc17257"/>
      <w:bookmarkStart w:id="94" w:name="_Toc12361"/>
      <w:bookmarkStart w:id="95" w:name="_Toc12279"/>
      <w:bookmarkStart w:id="96" w:name="_Toc13832"/>
      <w:bookmarkStart w:id="97" w:name="_Toc1819880287"/>
      <w:r>
        <w:rPr>
          <w:rFonts w:hint="default" w:ascii="Times New Roman" w:hAnsi="Times New Roman" w:eastAsia="楷体" w:cs="Times New Roman"/>
          <w:color w:val="auto"/>
          <w:kern w:val="2"/>
          <w:sz w:val="32"/>
          <w:szCs w:val="24"/>
          <w:highlight w:val="none"/>
          <w:lang w:val="en-US" w:eastAsia="zh-CN" w:bidi="zh-CN"/>
        </w:rPr>
        <w:t>（四）“采购需求明确性”指标3分，本次评价得分3分。</w:t>
      </w:r>
      <w:bookmarkEnd w:id="93"/>
      <w:bookmarkEnd w:id="94"/>
      <w:bookmarkEnd w:id="95"/>
      <w:bookmarkEnd w:id="96"/>
      <w:bookmarkEnd w:id="97"/>
    </w:p>
    <w:p w14:paraId="685953AB">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白马关镇人民政府公开的采购需求文件，采购需求编制包含了项目概述、服务内容及要求、商务要求等内容；该项目的采购需求与绩效目标、采购意向相匹配；采购需求随德阳市罗江区白马关镇人民政府德阳市罗江区宝峰山农文旅提升建设项目（设计服务采购）竞争性磋商公告进行公开。</w:t>
      </w:r>
    </w:p>
    <w:p w14:paraId="63F9ED00">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98" w:name="_Toc12235"/>
      <w:bookmarkStart w:id="99" w:name="_Toc26048"/>
      <w:r>
        <w:rPr>
          <w:rFonts w:hint="eastAsia" w:ascii="黑体" w:hAnsi="黑体" w:eastAsia="黑体" w:cs="黑体"/>
          <w:color w:val="auto"/>
          <w:kern w:val="44"/>
          <w:sz w:val="32"/>
          <w:szCs w:val="44"/>
          <w:highlight w:val="none"/>
          <w:lang w:val="en-US" w:eastAsia="zh-CN" w:bidi="ar-SA"/>
        </w:rPr>
        <w:t>二、</w:t>
      </w:r>
      <w:r>
        <w:rPr>
          <w:rFonts w:hint="default" w:ascii="Times New Roman" w:hAnsi="Times New Roman" w:cs="Times New Roman"/>
          <w:color w:val="auto"/>
          <w:highlight w:val="none"/>
          <w:lang w:val="en-US" w:eastAsia="zh-CN"/>
        </w:rPr>
        <w:t>过程规范性</w:t>
      </w:r>
      <w:bookmarkEnd w:id="98"/>
      <w:bookmarkEnd w:id="99"/>
    </w:p>
    <w:p w14:paraId="09AAFD88">
      <w:pPr>
        <w:pStyle w:val="2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“过程规范性”方面包含“</w:t>
      </w:r>
      <w:r>
        <w:rPr>
          <w:rFonts w:hint="default" w:ascii="Times New Roman" w:hAnsi="Times New Roman" w:eastAsia="仿宋" w:cs="Times New Roman"/>
          <w:color w:val="auto"/>
          <w:kern w:val="2"/>
          <w:sz w:val="32"/>
          <w:szCs w:val="32"/>
          <w:highlight w:val="none"/>
          <w:lang w:val="en-US" w:eastAsia="zh-CN" w:bidi="ar-SA"/>
        </w:rPr>
        <w:t>采购方式合规性”“</w:t>
      </w:r>
      <w:r>
        <w:rPr>
          <w:rFonts w:hint="default" w:ascii="Times New Roman" w:hAnsi="Times New Roman" w:eastAsia="仿宋" w:cs="Times New Roman"/>
          <w:color w:val="auto"/>
          <w:highlight w:val="none"/>
          <w:lang w:val="en-US" w:eastAsia="zh-CN"/>
        </w:rPr>
        <w:t>采购公告公示”“采购程序规范性”“专家使用合规性”“开评标（报价评审）规范性”“中标（成交）结果公示”“合同签订”“合同公告”“合同备案”九个评价指标。满分24分，评价得分22分。</w:t>
      </w:r>
    </w:p>
    <w:p w14:paraId="75C9EB6D">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 w:cs="Times New Roman"/>
          <w:color w:val="auto"/>
          <w:highlight w:val="none"/>
          <w:lang w:val="en-US" w:eastAsia="zh-CN"/>
        </w:rPr>
      </w:pPr>
      <w:bookmarkStart w:id="100" w:name="_Toc10551"/>
      <w:bookmarkStart w:id="101" w:name="_Toc11796"/>
      <w:bookmarkStart w:id="102" w:name="_Toc8445"/>
      <w:bookmarkStart w:id="103" w:name="_Toc1368656994"/>
      <w:bookmarkStart w:id="104" w:name="_Toc17254"/>
      <w:bookmarkStart w:id="105" w:name="_Toc15211"/>
      <w:r>
        <w:rPr>
          <w:rFonts w:hint="default" w:ascii="Times New Roman" w:hAnsi="Times New Roman" w:eastAsia="楷体" w:cs="Times New Roman"/>
          <w:color w:val="auto"/>
          <w:kern w:val="2"/>
          <w:sz w:val="32"/>
          <w:szCs w:val="24"/>
          <w:highlight w:val="none"/>
          <w:lang w:val="en-US" w:eastAsia="zh-CN" w:bidi="zh-CN"/>
        </w:rPr>
        <w:t>（一）“采购方式合规性”指标2分，本次评价得分2分。</w:t>
      </w:r>
      <w:bookmarkEnd w:id="100"/>
      <w:bookmarkEnd w:id="101"/>
      <w:bookmarkEnd w:id="102"/>
      <w:bookmarkEnd w:id="103"/>
      <w:bookmarkEnd w:id="104"/>
      <w:bookmarkEnd w:id="105"/>
    </w:p>
    <w:p w14:paraId="3445DC78">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2022年11月14日白马关镇人民政府提交《罗江区政府采购实施计划备案表》中包含采购单位、项目名称、预算总金额、采购控制价、项目类别、采购方式、采购内容、是否涉及进口产品采购、执行方式、组织形式、是否专门面向中小企业采购、是否涉及进口产品采购、是否为政府购买服务项目、单位联系人及联系电话13个内容，计划备案内容完整。其中该项目采购方式采用竞争性磋商采购，符合德阳市罗江区政府采购相关规定；项目名称“德阳市罗江区宝峰山农文旅提升建设项目（设计服务采购）”，标的与品目相符。</w:t>
      </w:r>
    </w:p>
    <w:p w14:paraId="31158EE3">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白马关镇人民政府提供的《德阳市罗江区发展和改革局关于德阳市罗江区宝峰山农文旅提升建设项目可行性研究报告的批复》（德市罗发改投资〔2022〕123号）文件，宝峰山农文旅提升建设项目施工采购经过发改批复，采购方式规范合理。</w:t>
      </w:r>
    </w:p>
    <w:p w14:paraId="7CC03D87">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06" w:name="_Toc1320755141"/>
      <w:bookmarkStart w:id="107" w:name="_Toc19952"/>
      <w:bookmarkStart w:id="108" w:name="_Toc12427"/>
      <w:bookmarkStart w:id="109" w:name="_Toc10684"/>
      <w:bookmarkStart w:id="110" w:name="_Toc20815"/>
      <w:r>
        <w:rPr>
          <w:rFonts w:hint="default" w:ascii="Times New Roman" w:hAnsi="Times New Roman" w:eastAsia="楷体" w:cs="Times New Roman"/>
          <w:color w:val="auto"/>
          <w:kern w:val="2"/>
          <w:sz w:val="32"/>
          <w:szCs w:val="24"/>
          <w:highlight w:val="none"/>
          <w:lang w:val="en-US" w:eastAsia="zh-CN" w:bidi="zh-CN"/>
        </w:rPr>
        <w:t>（二）“采购公告公示”指标3分，本次评价得分3分。</w:t>
      </w:r>
      <w:bookmarkEnd w:id="106"/>
      <w:bookmarkEnd w:id="107"/>
      <w:bookmarkEnd w:id="108"/>
      <w:bookmarkEnd w:id="109"/>
      <w:bookmarkEnd w:id="110"/>
    </w:p>
    <w:p w14:paraId="4E25954D">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2022年11月14日白马关镇人民政府在四川政府采购网上发布“德阳市罗江区白马关镇人民政府德阳市罗江区宝峰山农文旅提升建设项目（设计服务采购）竞争性磋商公告”，该项目为竞争性磋商，信息发布完整、无错字、漏字、别字，无涉密信息，无个人隐私信息等情况。采购文件免费获取。</w:t>
      </w:r>
    </w:p>
    <w:p w14:paraId="5CFDDE7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2023年1月17日，白马关镇人民政府在全国公共资源交易平台（四川省）发布“德阳市罗江区白马关镇人民政府关于德阳市罗江区宝峰山农文旅提升建设项目房屋建筑工程的招标公告”，信息包括招标条件、项目概况与范围、投标人资格要求、资格审查办法、资格审查文件的获取等内容，信息发布完整、无错字、漏字、别字，无涉密信息，无个人隐私信息等情况。采购文件免费获取。</w:t>
      </w:r>
    </w:p>
    <w:p w14:paraId="531E7C29">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11" w:name="_Toc26465"/>
      <w:bookmarkStart w:id="112" w:name="_Toc12644"/>
      <w:bookmarkStart w:id="113" w:name="_Toc20664"/>
      <w:bookmarkStart w:id="114" w:name="_Toc3523"/>
      <w:bookmarkStart w:id="115" w:name="_Toc1540679395"/>
      <w:r>
        <w:rPr>
          <w:rFonts w:hint="default" w:ascii="Times New Roman" w:hAnsi="Times New Roman" w:eastAsia="楷体" w:cs="Times New Roman"/>
          <w:color w:val="auto"/>
          <w:kern w:val="2"/>
          <w:sz w:val="32"/>
          <w:szCs w:val="24"/>
          <w:highlight w:val="none"/>
          <w:lang w:val="en-US" w:eastAsia="zh-CN" w:bidi="zh-CN"/>
        </w:rPr>
        <w:t>（三）“采购程序规范性”指标3分，本次评价得分3分。</w:t>
      </w:r>
      <w:bookmarkEnd w:id="111"/>
      <w:bookmarkEnd w:id="112"/>
      <w:bookmarkEnd w:id="113"/>
      <w:bookmarkEnd w:id="114"/>
      <w:bookmarkEnd w:id="115"/>
    </w:p>
    <w:p w14:paraId="015A858B">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rPr>
      </w:pPr>
      <w:r>
        <w:rPr>
          <w:rFonts w:hint="default" w:ascii="Times New Roman" w:hAnsi="Times New Roman" w:eastAsia="仿宋" w:cs="Times New Roman"/>
          <w:color w:val="auto"/>
          <w:highlight w:val="none"/>
          <w:lang w:val="en-US" w:eastAsia="zh-CN"/>
        </w:rPr>
        <w:t>该项目委托四川正益工程项目管理有限公司开展政府采购。符合德阳市罗江区政府采购相关规定，以及四川省政府采购网和全国公共资源交易中心（四川省）操作流程，采购程序合法规范。</w:t>
      </w:r>
    </w:p>
    <w:p w14:paraId="740FA878">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16" w:name="_Toc14196"/>
      <w:bookmarkStart w:id="117" w:name="_Toc1988259886"/>
      <w:bookmarkStart w:id="118" w:name="_Toc22473"/>
      <w:bookmarkStart w:id="119" w:name="_Toc12146"/>
      <w:bookmarkStart w:id="120" w:name="_Toc3290"/>
      <w:r>
        <w:rPr>
          <w:rFonts w:hint="default" w:ascii="Times New Roman" w:hAnsi="Times New Roman" w:eastAsia="楷体" w:cs="Times New Roman"/>
          <w:color w:val="auto"/>
          <w:kern w:val="2"/>
          <w:sz w:val="32"/>
          <w:szCs w:val="24"/>
          <w:highlight w:val="none"/>
          <w:lang w:val="en-US" w:eastAsia="zh-CN" w:bidi="zh-CN"/>
        </w:rPr>
        <w:t>（四）“专家使用合规性”指标4分，本次评价得分4分。</w:t>
      </w:r>
      <w:bookmarkEnd w:id="116"/>
      <w:bookmarkEnd w:id="117"/>
      <w:bookmarkEnd w:id="118"/>
      <w:bookmarkEnd w:id="119"/>
      <w:bookmarkEnd w:id="120"/>
    </w:p>
    <w:p w14:paraId="7FC8752E">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设计部分抽取的专家分为技术专家黄建勋和经济专家吴宇，业主单位代表王明山、技术专家黄建勋及经济专家吴宇三人组成评标委员会，专家抽取符合规定，已按照《四川省政府采购评审专家劳务报酬标准》的规定支付专家评审费。专家组按照法定程序组成，专家与项目、专业相匹配。</w:t>
      </w:r>
    </w:p>
    <w:p w14:paraId="58D4E371">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21" w:name="_Toc1882"/>
      <w:bookmarkStart w:id="122" w:name="_Toc1838356682"/>
      <w:bookmarkStart w:id="123" w:name="_Toc5546"/>
      <w:bookmarkStart w:id="124" w:name="_Toc2143"/>
      <w:bookmarkStart w:id="125" w:name="_Toc26413"/>
      <w:r>
        <w:rPr>
          <w:rFonts w:hint="default" w:ascii="Times New Roman" w:hAnsi="Times New Roman" w:eastAsia="楷体" w:cs="Times New Roman"/>
          <w:color w:val="auto"/>
          <w:kern w:val="2"/>
          <w:sz w:val="32"/>
          <w:szCs w:val="24"/>
          <w:highlight w:val="none"/>
          <w:lang w:val="en-US" w:eastAsia="zh-CN" w:bidi="zh-CN"/>
        </w:rPr>
        <w:t>（五）“开评标（报价评审）规范性”指标3分，本次评价得分3分。</w:t>
      </w:r>
      <w:bookmarkEnd w:id="121"/>
      <w:bookmarkEnd w:id="122"/>
      <w:bookmarkEnd w:id="123"/>
      <w:bookmarkEnd w:id="124"/>
      <w:bookmarkEnd w:id="125"/>
    </w:p>
    <w:p w14:paraId="2D3B0C0A">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设计部分于2022年11月25日开标，首先由华甘工程设计有限公司于2022年11月25日签到，其次中外建华诚（北京）工程设计咨询有限公司、大成建研科技有限公司依次签到，于2022年11月25日10:00时在四川正益工程项目管理有限公司进行开标及评审，按照法定程序及投标文件规定进行评审，并及时对评审专家、代理机构、采购人进行履职或信用评价。</w:t>
      </w:r>
    </w:p>
    <w:p w14:paraId="386E56C3">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2023年2月9日，白马关人民政府委托四川正益工程项目管理有限公司按照法定程序、公共资源交易中心操作流程以及采购文件规定，对该项目工程施工部分进行开标，开标流程规范。</w:t>
      </w:r>
    </w:p>
    <w:p w14:paraId="02809CA1">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26" w:name="_Toc20286"/>
      <w:bookmarkStart w:id="127" w:name="_Toc1413524985"/>
      <w:bookmarkStart w:id="128" w:name="_Toc31212"/>
      <w:bookmarkStart w:id="129" w:name="_Toc31871"/>
      <w:bookmarkStart w:id="130" w:name="_Toc22378"/>
      <w:r>
        <w:rPr>
          <w:rFonts w:hint="default" w:ascii="Times New Roman" w:hAnsi="Times New Roman" w:eastAsia="楷体" w:cs="Times New Roman"/>
          <w:color w:val="auto"/>
          <w:kern w:val="2"/>
          <w:sz w:val="32"/>
          <w:szCs w:val="24"/>
          <w:highlight w:val="none"/>
          <w:lang w:val="en-US" w:eastAsia="zh-CN" w:bidi="zh-CN"/>
        </w:rPr>
        <w:t>（六）“中标（成交）结果公示”指标2分，本次评价得分2分。</w:t>
      </w:r>
      <w:bookmarkEnd w:id="126"/>
      <w:bookmarkEnd w:id="127"/>
      <w:bookmarkEnd w:id="128"/>
      <w:bookmarkEnd w:id="129"/>
      <w:bookmarkEnd w:id="130"/>
    </w:p>
    <w:p w14:paraId="00F4ED9C">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在中标（成交）采购人确定之日起2个工作日内进行中标（成交）结果公示。2022年11月25日在四川正益工程项目管理有限公司通过专家组评审确定中外建华诚（北京）工程设计咨询有限公司为中标采购人，2022年11月25日在四川政府采购网上发布“德阳市罗江区白马关镇人民政府宝峰山农文旅提升建设项目中标（成交）结果公告”。2023年2月9日该项目工程施工部分完成开标，2023年2月10日，对评标结果进行了公示。</w:t>
      </w:r>
    </w:p>
    <w:p w14:paraId="776D9A95">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31" w:name="_Toc14962"/>
      <w:bookmarkStart w:id="132" w:name="_Toc29668"/>
      <w:bookmarkStart w:id="133" w:name="_Toc18625"/>
      <w:bookmarkStart w:id="134" w:name="_Toc20968"/>
      <w:bookmarkStart w:id="135" w:name="_Toc1650319781"/>
      <w:r>
        <w:rPr>
          <w:rFonts w:hint="default" w:ascii="Times New Roman" w:hAnsi="Times New Roman" w:eastAsia="楷体" w:cs="Times New Roman"/>
          <w:color w:val="auto"/>
          <w:kern w:val="2"/>
          <w:sz w:val="32"/>
          <w:szCs w:val="24"/>
          <w:highlight w:val="none"/>
          <w:lang w:val="en-US" w:eastAsia="zh-CN" w:bidi="zh-CN"/>
        </w:rPr>
        <w:t>（七）“合同签订”指标5分，本次评价得分5分。</w:t>
      </w:r>
      <w:bookmarkEnd w:id="131"/>
      <w:bookmarkEnd w:id="132"/>
      <w:bookmarkEnd w:id="133"/>
      <w:bookmarkEnd w:id="134"/>
      <w:bookmarkEnd w:id="135"/>
    </w:p>
    <w:p w14:paraId="2CA94BF7">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rPr>
      </w:pPr>
      <w:r>
        <w:rPr>
          <w:rFonts w:hint="default" w:ascii="Times New Roman" w:hAnsi="Times New Roman" w:eastAsia="仿宋" w:cs="Times New Roman"/>
          <w:color w:val="auto"/>
          <w:highlight w:val="none"/>
          <w:lang w:val="en-US" w:eastAsia="zh-CN"/>
        </w:rPr>
        <w:t>2022年11月25日白马关镇人民政府采购中外建华诚（北京）工程设计咨询有限公司发出中标（成交）通知书。白马关镇人民政府与中外建华诚（北京）工程设计咨询有限公司于2022年11月28日签订“德阳市罗江区白马关镇人民政府宝峰山农文旅提升建设项目政府采购合同”；2023年2月10日白马关镇人民政府公示了宝峰山农文旅提升建设项目房屋建筑工程的中标人，2023年2月20日白马关镇人民政府与四川纹江致远建筑开发工程有限公司签订了建设工程施工合同。</w:t>
      </w:r>
    </w:p>
    <w:p w14:paraId="1E9DA3EB">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36" w:name="_Toc25774615"/>
      <w:bookmarkStart w:id="137" w:name="_Toc24670"/>
      <w:bookmarkStart w:id="138" w:name="_Toc21673"/>
      <w:bookmarkStart w:id="139" w:name="_Toc5126"/>
      <w:bookmarkStart w:id="140" w:name="_Toc23310"/>
      <w:r>
        <w:rPr>
          <w:rFonts w:hint="default" w:ascii="Times New Roman" w:hAnsi="Times New Roman" w:eastAsia="楷体" w:cs="Times New Roman"/>
          <w:color w:val="auto"/>
          <w:kern w:val="2"/>
          <w:sz w:val="32"/>
          <w:szCs w:val="24"/>
          <w:highlight w:val="none"/>
          <w:lang w:val="en-US" w:eastAsia="zh-CN" w:bidi="zh-CN"/>
        </w:rPr>
        <w:t>（八）“合同公告”指标2分，本次评价得分0分。</w:t>
      </w:r>
      <w:bookmarkEnd w:id="136"/>
      <w:bookmarkEnd w:id="137"/>
      <w:bookmarkEnd w:id="138"/>
      <w:bookmarkEnd w:id="139"/>
      <w:bookmarkEnd w:id="140"/>
    </w:p>
    <w:p w14:paraId="2A687B9E">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扣分原因：未在合同签订之日起2个工作日内进行公告。白马关镇人民政府与中外建华诚（北京）工程设计咨询有限公司于2022年11月28日签订德阳市罗江区白马关镇人民政府宝峰山农文旅提升建设项目《政府采购合同》。2023年4月4日白马关镇人民政府在政府采购网上公告“德阳市罗江区白马关镇人民政府宝峰山农文旅提升建设项目政府采购合同”；2023年2月20日白马关镇人民政府与四川纹江致远建筑开发工程有限公司签订了建设工程施工合同并在2023年4月11日进行了合同公示。</w:t>
      </w:r>
    </w:p>
    <w:p w14:paraId="77E2C52B">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highlight w:val="none"/>
          <w:lang w:val="en-US" w:eastAsia="zh-CN"/>
        </w:rPr>
      </w:pPr>
      <w:bookmarkStart w:id="141" w:name="_Toc1549741258"/>
      <w:bookmarkStart w:id="142" w:name="_Toc11587"/>
      <w:bookmarkStart w:id="143" w:name="_Toc17323"/>
      <w:bookmarkStart w:id="144" w:name="_Toc15150"/>
      <w:bookmarkStart w:id="145" w:name="_Toc25672"/>
      <w:r>
        <w:rPr>
          <w:rFonts w:hint="default" w:ascii="Times New Roman" w:hAnsi="Times New Roman" w:eastAsia="楷体" w:cs="Times New Roman"/>
          <w:color w:val="auto"/>
          <w:kern w:val="2"/>
          <w:sz w:val="32"/>
          <w:szCs w:val="24"/>
          <w:highlight w:val="none"/>
          <w:lang w:val="en-US" w:eastAsia="zh-CN" w:bidi="zh-CN"/>
        </w:rPr>
        <w:t>（九）</w:t>
      </w:r>
      <w:r>
        <w:rPr>
          <w:rFonts w:hint="default" w:ascii="Times New Roman" w:hAnsi="Times New Roman" w:eastAsia="楷体" w:cs="Times New Roman"/>
          <w:color w:val="auto"/>
          <w:highlight w:val="none"/>
          <w:lang w:val="en-US" w:eastAsia="zh-CN"/>
        </w:rPr>
        <w:t>“合同备案”指标该项目不涉及，不纳入指标计分。</w:t>
      </w:r>
      <w:bookmarkEnd w:id="141"/>
      <w:bookmarkEnd w:id="142"/>
      <w:bookmarkEnd w:id="143"/>
      <w:bookmarkEnd w:id="144"/>
      <w:bookmarkEnd w:id="145"/>
    </w:p>
    <w:p w14:paraId="731744A5">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该项目不涉及合同备案。</w:t>
      </w:r>
    </w:p>
    <w:p w14:paraId="478EA558">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146" w:name="_Toc14317"/>
      <w:bookmarkStart w:id="147" w:name="_Toc15062"/>
      <w:bookmarkStart w:id="148" w:name="_Toc26481"/>
      <w:r>
        <w:rPr>
          <w:rFonts w:hint="eastAsia" w:ascii="黑体" w:hAnsi="黑体" w:eastAsia="黑体" w:cs="黑体"/>
          <w:color w:val="auto"/>
          <w:kern w:val="44"/>
          <w:sz w:val="32"/>
          <w:szCs w:val="44"/>
          <w:highlight w:val="none"/>
          <w:lang w:val="en-US" w:eastAsia="zh-CN" w:bidi="ar-SA"/>
        </w:rPr>
        <w:t>三、</w:t>
      </w:r>
      <w:r>
        <w:rPr>
          <w:rFonts w:hint="default" w:ascii="Times New Roman" w:hAnsi="Times New Roman" w:cs="Times New Roman"/>
          <w:color w:val="auto"/>
          <w:highlight w:val="none"/>
          <w:lang w:val="en-US" w:eastAsia="zh-CN"/>
        </w:rPr>
        <w:t>政策有效性</w:t>
      </w:r>
      <w:bookmarkEnd w:id="146"/>
      <w:bookmarkEnd w:id="147"/>
      <w:bookmarkEnd w:id="148"/>
    </w:p>
    <w:p w14:paraId="2FFEEE8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政策有效性</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方面包含</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节能产品情况</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环保产品情况</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支持中小企业发展政策</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落实监狱企业、残疾人福利企业政府采购政策</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履约保证金管理</w:t>
      </w:r>
      <w:r>
        <w:rPr>
          <w:rFonts w:hint="eastAsia" w:ascii="Times New Roman" w:hAnsi="Times New Roman" w:eastAsia="仿宋" w:cs="Times New Roman"/>
          <w:color w:val="auto"/>
          <w:highlight w:val="none"/>
          <w:lang w:val="en-US" w:eastAsia="zh-CN"/>
        </w:rPr>
        <w:t>”</w:t>
      </w:r>
      <w:r>
        <w:rPr>
          <w:rFonts w:hint="default" w:ascii="Times New Roman" w:hAnsi="Times New Roman" w:eastAsia="仿宋" w:cs="Times New Roman"/>
          <w:color w:val="auto"/>
          <w:highlight w:val="none"/>
          <w:lang w:val="en-US" w:eastAsia="zh-CN"/>
        </w:rPr>
        <w:t>五个评价指标，满分10分，评价得分10分。</w:t>
      </w:r>
    </w:p>
    <w:p w14:paraId="24F40B92">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49" w:name="_Toc26539"/>
      <w:bookmarkStart w:id="150" w:name="_Toc8028"/>
      <w:bookmarkStart w:id="151" w:name="_Toc31027"/>
      <w:bookmarkStart w:id="152" w:name="_Toc583101803"/>
      <w:bookmarkStart w:id="153" w:name="_Toc25112"/>
      <w:bookmarkStart w:id="154" w:name="_Toc10556"/>
      <w:r>
        <w:rPr>
          <w:rFonts w:hint="default" w:ascii="Times New Roman" w:hAnsi="Times New Roman" w:eastAsia="楷体" w:cs="Times New Roman"/>
          <w:color w:val="auto"/>
          <w:kern w:val="2"/>
          <w:sz w:val="32"/>
          <w:szCs w:val="24"/>
          <w:highlight w:val="none"/>
          <w:lang w:val="en-US" w:eastAsia="zh-CN" w:bidi="zh-CN"/>
        </w:rPr>
        <w:t>（一）</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节能产品情况</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指标该项目不涉及，不纳入指标计分。</w:t>
      </w:r>
      <w:bookmarkEnd w:id="149"/>
      <w:bookmarkEnd w:id="150"/>
      <w:bookmarkEnd w:id="151"/>
      <w:bookmarkEnd w:id="152"/>
      <w:bookmarkEnd w:id="153"/>
      <w:bookmarkEnd w:id="154"/>
    </w:p>
    <w:p w14:paraId="1CDBDAC0">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德阳市罗江区白马关镇人民政府宝峰山农文旅提升建设项目中设计服务采购不属于采购物品类项目，因此不涉及节能产品；房屋建筑工程采购无节能产品强制规定。</w:t>
      </w:r>
    </w:p>
    <w:p w14:paraId="34AC1379">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55" w:name="_Toc24866"/>
      <w:bookmarkStart w:id="156" w:name="_Toc1224121760"/>
      <w:bookmarkStart w:id="157" w:name="_Toc7891"/>
      <w:bookmarkStart w:id="158" w:name="_Toc27247"/>
      <w:bookmarkStart w:id="159" w:name="_Toc30975"/>
      <w:bookmarkStart w:id="160" w:name="_Toc24916"/>
      <w:r>
        <w:rPr>
          <w:rFonts w:hint="default" w:ascii="Times New Roman" w:hAnsi="Times New Roman" w:eastAsia="楷体" w:cs="Times New Roman"/>
          <w:color w:val="auto"/>
          <w:kern w:val="2"/>
          <w:sz w:val="32"/>
          <w:szCs w:val="24"/>
          <w:highlight w:val="none"/>
          <w:lang w:val="en-US" w:eastAsia="zh-CN" w:bidi="zh-CN"/>
        </w:rPr>
        <w:t>（二）</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环保产品情况</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指标该项目不涉及，不纳入指标计分。</w:t>
      </w:r>
      <w:bookmarkEnd w:id="155"/>
      <w:bookmarkEnd w:id="156"/>
      <w:bookmarkEnd w:id="157"/>
      <w:bookmarkEnd w:id="158"/>
      <w:bookmarkEnd w:id="159"/>
      <w:bookmarkEnd w:id="160"/>
    </w:p>
    <w:p w14:paraId="0F67521B">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德阳市罗江区白马关镇人民政府宝峰山农文旅提升建设项目中设计服务采购不属于采购物品类项目，因此不涉及环保产品；房屋建筑工程采购无环保产品强制规定。</w:t>
      </w:r>
    </w:p>
    <w:p w14:paraId="3827D580">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61" w:name="_Toc10710"/>
      <w:bookmarkStart w:id="162" w:name="_Toc921082060"/>
      <w:bookmarkStart w:id="163" w:name="_Toc13067"/>
      <w:bookmarkStart w:id="164" w:name="_Toc28074"/>
      <w:bookmarkStart w:id="165" w:name="_Toc9574"/>
      <w:r>
        <w:rPr>
          <w:rFonts w:hint="default" w:ascii="Times New Roman" w:hAnsi="Times New Roman" w:eastAsia="楷体" w:cs="Times New Roman"/>
          <w:color w:val="auto"/>
          <w:kern w:val="2"/>
          <w:sz w:val="32"/>
          <w:szCs w:val="24"/>
          <w:highlight w:val="none"/>
          <w:lang w:val="en-US" w:eastAsia="zh-CN" w:bidi="zh-CN"/>
        </w:rPr>
        <w:t>（三）</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支持中小企业发展政策</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指标6分，本次评价得分6分。</w:t>
      </w:r>
      <w:bookmarkEnd w:id="161"/>
      <w:bookmarkEnd w:id="162"/>
      <w:bookmarkEnd w:id="163"/>
      <w:bookmarkEnd w:id="164"/>
      <w:bookmarkEnd w:id="165"/>
    </w:p>
    <w:p w14:paraId="56B1036A">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根据该项目“德阳市罗江区白马关镇人民政府德阳市罗江区宝峰山农文旅提升建设项目（设计服务采购）竞争性磋商公告</w:t>
      </w:r>
      <w:r>
        <w:rPr>
          <w:rFonts w:hint="default" w:ascii="Times New Roman" w:hAnsi="Times New Roman" w:eastAsia="仿宋" w:cs="Times New Roman"/>
          <w:highlight w:val="none"/>
          <w:lang w:eastAsia="zh-CN"/>
        </w:rPr>
        <w:t>”</w:t>
      </w:r>
      <w:r>
        <w:rPr>
          <w:rFonts w:hint="default" w:ascii="Times New Roman" w:hAnsi="Times New Roman" w:eastAsia="仿宋" w:cs="Times New Roman"/>
          <w:color w:val="auto"/>
          <w:highlight w:val="none"/>
          <w:lang w:val="en-US" w:eastAsia="zh-CN"/>
        </w:rPr>
        <w:t>，第二点“本项目专门面向中小企业（残疾人福利性单位、监狱企业视同小微企业）采购”。采购文件已执行政府采购支持促进中小企业发展政策。</w:t>
      </w:r>
    </w:p>
    <w:p w14:paraId="71007125">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66" w:name="_Toc23436"/>
      <w:r>
        <w:rPr>
          <w:rFonts w:hint="default" w:ascii="Times New Roman" w:hAnsi="Times New Roman" w:eastAsia="楷体" w:cs="Times New Roman"/>
          <w:color w:val="auto"/>
          <w:kern w:val="2"/>
          <w:sz w:val="32"/>
          <w:szCs w:val="24"/>
          <w:highlight w:val="none"/>
          <w:lang w:val="en-US" w:eastAsia="zh-CN" w:bidi="zh-CN"/>
        </w:rPr>
        <w:t>（四）</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落实监狱企业、残疾人福利企业政府采购政策</w:t>
      </w:r>
      <w:r>
        <w:rPr>
          <w:rFonts w:hint="eastAsia" w:ascii="Times New Roman" w:hAnsi="Times New Roman" w:eastAsia="楷体" w:cs="Times New Roman"/>
          <w:color w:val="auto"/>
          <w:kern w:val="2"/>
          <w:sz w:val="32"/>
          <w:szCs w:val="24"/>
          <w:highlight w:val="none"/>
          <w:lang w:val="en-US" w:eastAsia="zh-CN" w:bidi="zh-CN"/>
        </w:rPr>
        <w:t>”</w:t>
      </w:r>
      <w:r>
        <w:rPr>
          <w:rFonts w:hint="default" w:ascii="Times New Roman" w:hAnsi="Times New Roman" w:eastAsia="楷体" w:cs="Times New Roman"/>
          <w:color w:val="auto"/>
          <w:kern w:val="2"/>
          <w:sz w:val="32"/>
          <w:szCs w:val="24"/>
          <w:highlight w:val="none"/>
          <w:lang w:val="en-US" w:eastAsia="zh-CN" w:bidi="zh-CN"/>
        </w:rPr>
        <w:t>指标1分，本次评价得分1分。</w:t>
      </w:r>
      <w:bookmarkEnd w:id="166"/>
    </w:p>
    <w:p w14:paraId="36C9CD0C">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根据该项目“德阳市罗江区白马关镇人民政府德阳市罗江区宝峰山农文旅提升建设项目（设计服务采购）竞争性磋商公告</w:t>
      </w:r>
      <w:r>
        <w:rPr>
          <w:rFonts w:hint="default" w:ascii="Times New Roman" w:hAnsi="Times New Roman" w:eastAsia="仿宋" w:cs="Times New Roman"/>
          <w:highlight w:val="none"/>
          <w:lang w:eastAsia="zh-CN"/>
        </w:rPr>
        <w:t>”</w:t>
      </w:r>
      <w:r>
        <w:rPr>
          <w:rFonts w:hint="default" w:ascii="Times New Roman" w:hAnsi="Times New Roman" w:eastAsia="仿宋" w:cs="Times New Roman"/>
          <w:color w:val="auto"/>
          <w:highlight w:val="none"/>
          <w:lang w:val="en-US" w:eastAsia="zh-CN"/>
        </w:rPr>
        <w:t>，第二点“本项目专门面向中小企业（残疾人福利性单位、监狱企业视同小微企业）采购”。该项目采购文件已落实企业、残疾人福利企业政府采购政策。</w:t>
      </w:r>
    </w:p>
    <w:p w14:paraId="1A8E1A2A">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67" w:name="_Toc19227"/>
      <w:r>
        <w:rPr>
          <w:rFonts w:hint="default" w:ascii="Times New Roman" w:hAnsi="Times New Roman" w:eastAsia="楷体" w:cs="Times New Roman"/>
          <w:color w:val="auto"/>
          <w:kern w:val="2"/>
          <w:sz w:val="32"/>
          <w:szCs w:val="24"/>
          <w:highlight w:val="none"/>
          <w:lang w:val="en-US" w:eastAsia="zh-CN" w:bidi="zh-CN"/>
        </w:rPr>
        <w:t>（五）“政府采购合同融资政策”指标该项目不涉及，不纳入指标计分。</w:t>
      </w:r>
      <w:bookmarkEnd w:id="167"/>
    </w:p>
    <w:p w14:paraId="461EECB2">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德阳市罗江区白马关镇人民政府宝峰山农文旅提升建设项目政府采购不涉及合同融资政策，本指标不纳入计分。</w:t>
      </w:r>
    </w:p>
    <w:p w14:paraId="579DA8BA">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68" w:name="_Toc14736"/>
      <w:bookmarkStart w:id="169" w:name="_Toc11605"/>
      <w:bookmarkStart w:id="170" w:name="_Toc12554"/>
      <w:bookmarkStart w:id="171" w:name="_Toc32556"/>
      <w:bookmarkStart w:id="172" w:name="_Toc1564054844"/>
      <w:r>
        <w:rPr>
          <w:rFonts w:hint="default" w:ascii="Times New Roman" w:hAnsi="Times New Roman" w:eastAsia="楷体" w:cs="Times New Roman"/>
          <w:color w:val="auto"/>
          <w:kern w:val="2"/>
          <w:sz w:val="32"/>
          <w:szCs w:val="24"/>
          <w:highlight w:val="none"/>
          <w:lang w:val="en-US" w:eastAsia="zh-CN" w:bidi="zh-CN"/>
        </w:rPr>
        <w:t>（六）“履约保证金管理”指标3分，本次评价得分3分。</w:t>
      </w:r>
      <w:bookmarkEnd w:id="168"/>
      <w:bookmarkEnd w:id="169"/>
      <w:bookmarkEnd w:id="170"/>
      <w:bookmarkEnd w:id="171"/>
      <w:bookmarkEnd w:id="172"/>
    </w:p>
    <w:p w14:paraId="7DC8AA93">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根据该项目“德阳市罗江区白马关镇人民政府德阳市罗江区宝峰山农文旅提升建设项目（设计服务采购）竞争性磋商公告</w:t>
      </w:r>
      <w:r>
        <w:rPr>
          <w:rFonts w:hint="default" w:ascii="Times New Roman" w:hAnsi="Times New Roman" w:eastAsia="仿宋" w:cs="Times New Roman"/>
          <w:highlight w:val="none"/>
          <w:lang w:eastAsia="zh-CN"/>
        </w:rPr>
        <w:t>”</w:t>
      </w:r>
      <w:r>
        <w:rPr>
          <w:rFonts w:hint="default" w:ascii="Times New Roman" w:hAnsi="Times New Roman" w:eastAsia="仿宋" w:cs="Times New Roman"/>
          <w:highlight w:val="none"/>
          <w:lang w:val="en-US" w:eastAsia="zh-CN"/>
        </w:rPr>
        <w:t>以及“德阳市罗江区白马关镇人民政府关于德阳市罗江区宝峰山农文旅提升建设项目房屋建筑工程的招标公告”</w:t>
      </w:r>
      <w:r>
        <w:rPr>
          <w:rFonts w:hint="default" w:ascii="Times New Roman" w:hAnsi="Times New Roman" w:eastAsia="仿宋" w:cs="Times New Roman"/>
          <w:highlight w:val="none"/>
          <w:lang w:eastAsia="zh-CN"/>
        </w:rPr>
        <w:t>，</w:t>
      </w:r>
      <w:r>
        <w:rPr>
          <w:rFonts w:hint="default" w:ascii="Times New Roman" w:hAnsi="Times New Roman" w:eastAsia="仿宋" w:cs="Times New Roman"/>
          <w:highlight w:val="none"/>
          <w:lang w:val="en-US" w:eastAsia="zh-CN"/>
        </w:rPr>
        <w:t>该项目未提出收取履约保证金的要求。</w:t>
      </w:r>
    </w:p>
    <w:p w14:paraId="359BF9E9">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173" w:name="_Toc22871"/>
      <w:bookmarkStart w:id="174" w:name="_Toc11844"/>
      <w:r>
        <w:rPr>
          <w:rFonts w:hint="eastAsia" w:ascii="黑体" w:hAnsi="黑体" w:eastAsia="黑体" w:cs="黑体"/>
          <w:color w:val="auto"/>
          <w:kern w:val="44"/>
          <w:sz w:val="32"/>
          <w:szCs w:val="44"/>
          <w:highlight w:val="none"/>
          <w:lang w:val="en-US" w:eastAsia="zh-CN" w:bidi="ar-SA"/>
        </w:rPr>
        <w:t>四、</w:t>
      </w:r>
      <w:r>
        <w:rPr>
          <w:rFonts w:hint="default" w:ascii="Times New Roman" w:hAnsi="Times New Roman" w:cs="Times New Roman"/>
          <w:color w:val="auto"/>
          <w:highlight w:val="none"/>
          <w:lang w:val="en-US" w:eastAsia="zh-CN"/>
        </w:rPr>
        <w:t>交易经济性</w:t>
      </w:r>
      <w:bookmarkEnd w:id="173"/>
      <w:bookmarkEnd w:id="174"/>
    </w:p>
    <w:p w14:paraId="7B98267E">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Style w:val="28"/>
          <w:rFonts w:hint="default" w:ascii="Times New Roman" w:hAnsi="Times New Roman" w:eastAsia="仿宋" w:cs="Times New Roman"/>
          <w:color w:val="auto"/>
          <w:highlight w:val="none"/>
          <w:lang w:val="en-US" w:eastAsia="zh-CN"/>
        </w:rPr>
        <w:t>“交易经济性”</w:t>
      </w:r>
      <w:r>
        <w:rPr>
          <w:rFonts w:hint="default" w:ascii="Times New Roman" w:hAnsi="Times New Roman" w:eastAsia="仿宋" w:cs="Times New Roman"/>
          <w:color w:val="auto"/>
          <w:highlight w:val="none"/>
          <w:lang w:val="en-US" w:eastAsia="zh-CN"/>
        </w:rPr>
        <w:t>方面包含“采购经济性”“履约付款及时性”“受益群体满意度”三个二级评价指标满分29分，评价得分29分，涉及“采购预算执行率”“合同履约验收”“大型复杂或公共服务项目验收”“履约验收公示”“履约付款及时性”“受益群体满意度”等6个三级指标。</w:t>
      </w:r>
    </w:p>
    <w:p w14:paraId="195FA4DD">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75" w:name="_Toc1534086998"/>
      <w:bookmarkStart w:id="176" w:name="_Toc10837"/>
      <w:bookmarkStart w:id="177" w:name="_Toc19055"/>
      <w:bookmarkStart w:id="178" w:name="_Toc6554"/>
      <w:bookmarkStart w:id="179" w:name="_Toc13424"/>
      <w:bookmarkStart w:id="180" w:name="_Toc25068"/>
      <w:r>
        <w:rPr>
          <w:rFonts w:hint="default" w:ascii="Times New Roman" w:hAnsi="Times New Roman" w:eastAsia="楷体" w:cs="Times New Roman"/>
          <w:color w:val="auto"/>
          <w:kern w:val="2"/>
          <w:sz w:val="32"/>
          <w:szCs w:val="24"/>
          <w:highlight w:val="none"/>
          <w:lang w:val="en-US" w:eastAsia="zh-CN" w:bidi="zh-CN"/>
        </w:rPr>
        <w:t>（一）“采购预算执行率”指标4分，本次评价得分4分。</w:t>
      </w:r>
      <w:bookmarkEnd w:id="175"/>
      <w:bookmarkEnd w:id="176"/>
      <w:bookmarkEnd w:id="177"/>
      <w:bookmarkEnd w:id="178"/>
    </w:p>
    <w:p w14:paraId="3BCDAED9">
      <w:pPr>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经评价组查阅资料发现，白马关镇人民政府已按计划进行采购，根据“</w:t>
      </w:r>
      <w:r>
        <w:rPr>
          <w:rFonts w:hint="default" w:ascii="Times New Roman" w:hAnsi="Times New Roman" w:eastAsia="仿宋" w:cs="Times New Roman"/>
          <w:highlight w:val="none"/>
          <w:lang w:val="en-US" w:eastAsia="zh-CN"/>
        </w:rPr>
        <w:t>德阳市罗江区宝峰山农文旅提升建设项目（设计服务采购）中标（成交）结果公告</w:t>
      </w:r>
      <w:r>
        <w:rPr>
          <w:rFonts w:hint="default" w:ascii="Times New Roman" w:hAnsi="Times New Roman" w:eastAsia="仿宋" w:cs="Times New Roman"/>
          <w:color w:val="auto"/>
          <w:highlight w:val="none"/>
          <w:lang w:val="en-US" w:eastAsia="zh-CN"/>
        </w:rPr>
        <w:t>”，招标控制价750,000元；中标金额为748,000元；中标金额在预算金额内。根据</w:t>
      </w:r>
      <w:r>
        <w:rPr>
          <w:rFonts w:hint="default" w:ascii="Times New Roman" w:hAnsi="Times New Roman" w:eastAsia="仿宋" w:cs="Times New Roman"/>
          <w:highlight w:val="none"/>
          <w:lang w:val="en-US" w:eastAsia="zh-CN"/>
        </w:rPr>
        <w:t>“德阳市罗江区白马关镇人民政府关于德阳市罗江区宝峰山农文旅提升建设项目房屋建筑工程的中标人公告”，招标控制价为28988241.46元，中标金额为26326526.92元，两个部分的中标金额都低于控制价。采购金额符合市场行情，采购质量达到要求，能够得到高效应用。</w:t>
      </w:r>
    </w:p>
    <w:p w14:paraId="519DE08F">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81" w:name="_Toc4374"/>
      <w:bookmarkStart w:id="182" w:name="_Toc711509504"/>
      <w:bookmarkStart w:id="183" w:name="_Toc21323"/>
      <w:bookmarkStart w:id="184" w:name="_Toc15022"/>
      <w:r>
        <w:rPr>
          <w:rFonts w:hint="default" w:ascii="Times New Roman" w:hAnsi="Times New Roman" w:eastAsia="楷体" w:cs="Times New Roman"/>
          <w:color w:val="auto"/>
          <w:kern w:val="2"/>
          <w:sz w:val="32"/>
          <w:szCs w:val="24"/>
          <w:highlight w:val="none"/>
          <w:lang w:val="en-US" w:eastAsia="zh-CN" w:bidi="zh-CN"/>
        </w:rPr>
        <w:t>（二）“合同履约验收”指标2分，本次评价得分2分。</w:t>
      </w:r>
      <w:bookmarkEnd w:id="181"/>
    </w:p>
    <w:p w14:paraId="249BBA7D">
      <w:pPr>
        <w:pStyle w:val="2"/>
        <w:rPr>
          <w:rFonts w:hint="default" w:ascii="Times New Roman" w:hAnsi="Times New Roman" w:eastAsia="仿宋" w:cs="Times New Roman"/>
          <w:highlight w:val="none"/>
          <w:lang w:val="en-US" w:eastAsia="zh-CN"/>
        </w:rPr>
      </w:pPr>
      <w:r>
        <w:rPr>
          <w:rFonts w:hint="default" w:ascii="Times New Roman" w:hAnsi="Times New Roman" w:eastAsia="仿宋" w:cs="Times New Roman"/>
          <w:color w:val="auto"/>
          <w:kern w:val="2"/>
          <w:sz w:val="32"/>
          <w:szCs w:val="24"/>
          <w:highlight w:val="none"/>
          <w:lang w:val="en-US" w:eastAsia="zh-CN" w:bidi="zh-CN"/>
        </w:rPr>
        <w:t>截至绩效评价日，该项目合同履约达到验收条件，供应商向采购人发出验收建议后，在规定时间内启动验收，竣工验收工作已完成。</w:t>
      </w:r>
    </w:p>
    <w:p w14:paraId="022842DF">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85" w:name="_Toc26964"/>
      <w:r>
        <w:rPr>
          <w:rFonts w:hint="default" w:ascii="Times New Roman" w:hAnsi="Times New Roman" w:eastAsia="楷体" w:cs="Times New Roman"/>
          <w:color w:val="auto"/>
          <w:kern w:val="2"/>
          <w:sz w:val="32"/>
          <w:szCs w:val="24"/>
          <w:highlight w:val="none"/>
          <w:lang w:val="en-US" w:eastAsia="zh-CN" w:bidi="zh-CN"/>
        </w:rPr>
        <w:t>（三）“大型复杂或公共服务项目验收”指标1分，本次评价得分1分。</w:t>
      </w:r>
      <w:bookmarkEnd w:id="185"/>
    </w:p>
    <w:p w14:paraId="01408C6C">
      <w:pPr>
        <w:pStyle w:val="2"/>
        <w:rPr>
          <w:rFonts w:hint="default" w:ascii="Times New Roman" w:hAnsi="Times New Roman" w:eastAsia="仿宋" w:cs="Times New Roman"/>
          <w:highlight w:val="none"/>
          <w:lang w:val="en-US" w:eastAsia="zh-CN"/>
        </w:rPr>
      </w:pPr>
      <w:r>
        <w:rPr>
          <w:rFonts w:hint="default" w:ascii="Times New Roman" w:hAnsi="Times New Roman" w:eastAsia="仿宋" w:cs="Times New Roman"/>
          <w:highlight w:val="none"/>
          <w:lang w:val="en-US" w:eastAsia="zh-CN"/>
        </w:rPr>
        <w:t>白马关镇人民政府组织本单位、勘察和设计单位、施工单位、监理单位等专业机构对该项目开展验收工作。</w:t>
      </w:r>
    </w:p>
    <w:p w14:paraId="2F459542">
      <w:pPr>
        <w:outlineLvl w:val="1"/>
        <w:rPr>
          <w:rFonts w:hint="default" w:ascii="Times New Roman" w:hAnsi="Times New Roman" w:eastAsia="仿宋" w:cs="Times New Roman"/>
          <w:highlight w:val="none"/>
          <w:lang w:val="en-US" w:eastAsia="zh-CN"/>
        </w:rPr>
      </w:pPr>
      <w:bookmarkStart w:id="186" w:name="_Toc11787"/>
      <w:r>
        <w:rPr>
          <w:rFonts w:hint="default" w:ascii="Times New Roman" w:hAnsi="Times New Roman" w:eastAsia="楷体" w:cs="Times New Roman"/>
          <w:color w:val="auto"/>
          <w:kern w:val="2"/>
          <w:sz w:val="32"/>
          <w:szCs w:val="24"/>
          <w:highlight w:val="none"/>
          <w:lang w:val="en-US" w:eastAsia="zh-CN" w:bidi="zh-CN"/>
        </w:rPr>
        <w:t>（四）“验收履约公示”指标2分，本次评价得分0分。</w:t>
      </w:r>
      <w:bookmarkEnd w:id="186"/>
    </w:p>
    <w:p w14:paraId="60F9B33A">
      <w:pPr>
        <w:pStyle w:val="2"/>
        <w:rPr>
          <w:rFonts w:hint="default" w:ascii="Times New Roman" w:hAnsi="Times New Roman" w:eastAsia="仿宋" w:cs="Times New Roman"/>
          <w:color w:val="auto"/>
          <w:kern w:val="2"/>
          <w:sz w:val="32"/>
          <w:szCs w:val="24"/>
          <w:highlight w:val="none"/>
          <w:lang w:val="en-US" w:eastAsia="zh-CN" w:bidi="zh-CN"/>
        </w:rPr>
      </w:pPr>
      <w:r>
        <w:rPr>
          <w:rFonts w:hint="default" w:ascii="Times New Roman" w:hAnsi="Times New Roman" w:eastAsia="仿宋" w:cs="Times New Roman"/>
          <w:color w:val="auto"/>
          <w:kern w:val="2"/>
          <w:sz w:val="32"/>
          <w:szCs w:val="24"/>
          <w:highlight w:val="none"/>
          <w:lang w:val="en-US" w:eastAsia="zh-CN" w:bidi="zh-CN"/>
        </w:rPr>
        <w:t>截至绩效评价日，该项目已开展竣工验收，但白马关镇人民政府未将履约验收情况，按照四川省政府采购网对合同履约验收情况公示要求进行公示。</w:t>
      </w:r>
    </w:p>
    <w:p w14:paraId="072FD6A5">
      <w:pPr>
        <w:pStyle w:val="21"/>
        <w:keepLines w:val="0"/>
        <w:pageBreakBefore w:val="0"/>
        <w:numPr>
          <w:ilvl w:val="0"/>
          <w:numId w:val="0"/>
        </w:numPr>
        <w:kinsoku/>
        <w:wordWrap/>
        <w:overflowPunct/>
        <w:topLinePunct w:val="0"/>
        <w:autoSpaceDE/>
        <w:autoSpaceDN/>
        <w:bidi w:val="0"/>
        <w:adjustRightInd/>
        <w:snapToGrid/>
        <w:spacing w:line="560" w:lineRule="exact"/>
        <w:ind w:left="57"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87" w:name="_Toc24261"/>
      <w:r>
        <w:rPr>
          <w:rFonts w:hint="default" w:ascii="Times New Roman" w:hAnsi="Times New Roman" w:eastAsia="楷体" w:cs="Times New Roman"/>
          <w:color w:val="auto"/>
          <w:kern w:val="2"/>
          <w:sz w:val="32"/>
          <w:szCs w:val="24"/>
          <w:highlight w:val="none"/>
          <w:lang w:val="en-US" w:eastAsia="zh-CN" w:bidi="zh-CN"/>
        </w:rPr>
        <w:t>（五）“履约付款及时性”指标5分，本次评价得分5分。</w:t>
      </w:r>
      <w:bookmarkEnd w:id="179"/>
      <w:bookmarkEnd w:id="180"/>
      <w:bookmarkEnd w:id="182"/>
      <w:bookmarkEnd w:id="183"/>
      <w:bookmarkEnd w:id="184"/>
      <w:bookmarkEnd w:id="187"/>
    </w:p>
    <w:p w14:paraId="131D1944">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政府采购合同》，该项目设计合同价为74.8万元，施工合同价为2632.65万元，设计合同约定付款方式为：“合同签订后7日内支付合同总额的30%；提供经审核合格的施工图后7日内支付合同总额的40%；项目竣工验收合格后支付合同总额的30%。服务费最长支付期限为施工图审核通过后两年，如最长支付期限届满未能完成工程竣工验收的，甲方应当在届满之日前支付剩余30%服务费。”</w:t>
      </w:r>
    </w:p>
    <w:p w14:paraId="2830D35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施工合同约定付款方式为：“签订合同进场并搭建完临时设备后，支付合同价款的18%作为预付款，每月按核定完成工作量的70%申请工程款。工程竣工验收合格后可支付工程进度款至合同价的70%，工程结算审核后14个工作日内支付工程款至审核结算价的90%，项目财务决算后可付清除质量保证金以外的工程余款。质量保证金为3%，质保金在质保期满后按本合同约定无息退还。”</w:t>
      </w:r>
    </w:p>
    <w:p w14:paraId="6869A65A">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该项目在合同签订且具备实施条件后，根据供应商付款申请，按合同约定的比例及时地支付资金。</w:t>
      </w:r>
    </w:p>
    <w:p w14:paraId="5C56F340">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88" w:name="_Toc9613"/>
      <w:bookmarkStart w:id="189" w:name="_Toc27391"/>
      <w:bookmarkStart w:id="190" w:name="_Toc24146"/>
      <w:bookmarkStart w:id="191" w:name="_Toc23142"/>
      <w:bookmarkStart w:id="192" w:name="_Toc1151287232"/>
      <w:bookmarkStart w:id="193" w:name="_Toc6238"/>
      <w:r>
        <w:rPr>
          <w:rFonts w:hint="default" w:ascii="Times New Roman" w:hAnsi="Times New Roman" w:eastAsia="楷体" w:cs="Times New Roman"/>
          <w:color w:val="auto"/>
          <w:kern w:val="2"/>
          <w:sz w:val="32"/>
          <w:szCs w:val="24"/>
          <w:highlight w:val="none"/>
          <w:lang w:val="en-US" w:eastAsia="zh-CN" w:bidi="zh-CN"/>
        </w:rPr>
        <w:t>（六）“受益群体满意度”指标15分，本次评价得分15分。</w:t>
      </w:r>
      <w:bookmarkEnd w:id="188"/>
      <w:bookmarkEnd w:id="189"/>
      <w:bookmarkEnd w:id="190"/>
      <w:bookmarkEnd w:id="191"/>
      <w:bookmarkEnd w:id="192"/>
      <w:bookmarkEnd w:id="193"/>
    </w:p>
    <w:p w14:paraId="75DC28D8">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highlight w:val="none"/>
          <w:lang w:val="en-US" w:eastAsia="zh-CN"/>
        </w:rPr>
      </w:pPr>
      <w:r>
        <w:rPr>
          <w:rFonts w:hint="default" w:ascii="Times New Roman" w:hAnsi="Times New Roman" w:eastAsia="仿宋" w:cs="Times New Roman"/>
          <w:color w:val="auto"/>
          <w:highlight w:val="none"/>
          <w:lang w:val="en-US" w:eastAsia="zh-CN"/>
        </w:rPr>
        <w:t>通过对德阳市罗江区白马关镇宝峰山农文旅提升建设项目采购人进行现场访问，形成有效问卷1份，其中满意1份，一般0份，不满意0份，满意度总分50分，实际得分50分，故满意度为50/50*100%=100%。</w:t>
      </w:r>
    </w:p>
    <w:p w14:paraId="24E0901E">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194" w:name="_Toc24258"/>
      <w:bookmarkStart w:id="195" w:name="_Toc22041"/>
      <w:r>
        <w:rPr>
          <w:rFonts w:hint="eastAsia" w:ascii="黑体" w:hAnsi="黑体" w:eastAsia="黑体" w:cs="黑体"/>
          <w:color w:val="auto"/>
          <w:kern w:val="44"/>
          <w:sz w:val="32"/>
          <w:szCs w:val="44"/>
          <w:highlight w:val="none"/>
          <w:lang w:val="en-US" w:eastAsia="zh-CN" w:bidi="ar-SA"/>
        </w:rPr>
        <w:t>五、</w:t>
      </w:r>
      <w:r>
        <w:rPr>
          <w:rFonts w:hint="default" w:ascii="Times New Roman" w:hAnsi="Times New Roman" w:cs="Times New Roman"/>
          <w:color w:val="auto"/>
          <w:highlight w:val="none"/>
          <w:lang w:val="en-US" w:eastAsia="zh-CN"/>
        </w:rPr>
        <w:t>内部控制</w:t>
      </w:r>
      <w:bookmarkEnd w:id="194"/>
      <w:bookmarkEnd w:id="195"/>
    </w:p>
    <w:p w14:paraId="26AB1954">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Style w:val="28"/>
          <w:rFonts w:hint="default" w:ascii="Times New Roman" w:hAnsi="Times New Roman" w:eastAsia="仿宋" w:cs="Times New Roman"/>
          <w:color w:val="auto"/>
          <w:highlight w:val="none"/>
          <w:lang w:val="en-US" w:eastAsia="zh-CN"/>
        </w:rPr>
        <w:t>“内部控制”方</w:t>
      </w:r>
      <w:r>
        <w:rPr>
          <w:rFonts w:hint="default" w:ascii="Times New Roman" w:hAnsi="Times New Roman" w:eastAsia="仿宋" w:cs="Times New Roman"/>
          <w:color w:val="auto"/>
          <w:highlight w:val="none"/>
          <w:lang w:val="en-US" w:eastAsia="zh-CN"/>
        </w:rPr>
        <w:t>面包含“采购内部控制制度”“采购人质疑”“采购人投诉”“举报”“采购信息获取度”“采购信息透明度”六个评价指标。满分19分，评价得分17分。</w:t>
      </w:r>
    </w:p>
    <w:p w14:paraId="68B27ADB">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196" w:name="_Toc18914"/>
      <w:bookmarkStart w:id="197" w:name="_Toc13181"/>
      <w:bookmarkStart w:id="198" w:name="_Toc25845"/>
      <w:bookmarkStart w:id="199" w:name="_Toc31671696"/>
      <w:bookmarkStart w:id="200" w:name="_Toc22165"/>
      <w:bookmarkStart w:id="201" w:name="_Toc23416"/>
      <w:r>
        <w:rPr>
          <w:rFonts w:hint="default" w:ascii="Times New Roman" w:hAnsi="Times New Roman" w:eastAsia="楷体" w:cs="Times New Roman"/>
          <w:color w:val="auto"/>
          <w:kern w:val="2"/>
          <w:sz w:val="32"/>
          <w:szCs w:val="24"/>
          <w:highlight w:val="none"/>
          <w:lang w:val="en-US" w:eastAsia="zh-CN" w:bidi="zh-CN"/>
        </w:rPr>
        <w:t>（一）“采购内部控制制度”指标5分，本次评价得分3分。</w:t>
      </w:r>
      <w:bookmarkEnd w:id="196"/>
      <w:bookmarkEnd w:id="197"/>
      <w:bookmarkEnd w:id="198"/>
      <w:bookmarkEnd w:id="199"/>
      <w:bookmarkEnd w:id="200"/>
      <w:bookmarkEnd w:id="201"/>
    </w:p>
    <w:p w14:paraId="69336D3F">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评价组研读《德阳市罗江区白马关镇人民政府制度汇编》《德阳市罗江区白马关镇人民政府内部控制制度汇编》后发现，白马关镇人民政府制定了采购内部控制制度，但未具体地、合理地设置采购岗位，未明确采购审核流程，未制定政府采购合规性评审、质疑投诉等事项的应对机制。</w:t>
      </w:r>
    </w:p>
    <w:p w14:paraId="54F66CE4">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202" w:name="_Toc11028"/>
      <w:bookmarkStart w:id="203" w:name="_Toc19726"/>
      <w:bookmarkStart w:id="204" w:name="_Toc6397"/>
      <w:bookmarkStart w:id="205" w:name="_Toc911"/>
      <w:bookmarkStart w:id="206" w:name="_Toc17943"/>
      <w:bookmarkStart w:id="207" w:name="_Toc1877733863"/>
      <w:r>
        <w:rPr>
          <w:rFonts w:hint="default" w:ascii="Times New Roman" w:hAnsi="Times New Roman" w:eastAsia="楷体" w:cs="Times New Roman"/>
          <w:color w:val="auto"/>
          <w:kern w:val="2"/>
          <w:sz w:val="32"/>
          <w:szCs w:val="24"/>
          <w:highlight w:val="none"/>
          <w:lang w:val="en-US" w:eastAsia="zh-CN" w:bidi="zh-CN"/>
        </w:rPr>
        <w:t>（二）“采购人质疑”指标2分，本次评价得分2分。</w:t>
      </w:r>
      <w:bookmarkEnd w:id="202"/>
      <w:bookmarkEnd w:id="203"/>
      <w:bookmarkEnd w:id="204"/>
      <w:bookmarkEnd w:id="205"/>
      <w:bookmarkEnd w:id="206"/>
      <w:bookmarkEnd w:id="207"/>
    </w:p>
    <w:p w14:paraId="6449B073">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经评价组查阅资料，该项采购过程中未出现存在采购人或代理机构因采购文件、过程和结果等违反相关法律法规或制度规定而产生有效质疑的情况。</w:t>
      </w:r>
    </w:p>
    <w:p w14:paraId="0FBEBC75">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208" w:name="_Toc4492"/>
      <w:bookmarkStart w:id="209" w:name="_Toc1800842776"/>
      <w:bookmarkStart w:id="210" w:name="_Toc13258"/>
      <w:bookmarkStart w:id="211" w:name="_Toc26154"/>
      <w:bookmarkStart w:id="212" w:name="_Toc18177"/>
      <w:r>
        <w:rPr>
          <w:rFonts w:hint="default" w:ascii="Times New Roman" w:hAnsi="Times New Roman" w:eastAsia="楷体" w:cs="Times New Roman"/>
          <w:color w:val="auto"/>
          <w:kern w:val="2"/>
          <w:sz w:val="32"/>
          <w:szCs w:val="24"/>
          <w:highlight w:val="none"/>
          <w:lang w:val="en-US" w:eastAsia="zh-CN" w:bidi="zh-CN"/>
        </w:rPr>
        <w:t>（三）“采购人投诉”指标2分，本次评价得分2分。</w:t>
      </w:r>
      <w:bookmarkEnd w:id="208"/>
      <w:bookmarkEnd w:id="209"/>
      <w:bookmarkEnd w:id="210"/>
      <w:bookmarkEnd w:id="211"/>
      <w:bookmarkEnd w:id="212"/>
    </w:p>
    <w:p w14:paraId="546678FB">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经评价组查阅资料，该项采购过程中未出现存在采购人或代理机构因采购文件、过程和结果等违反相关法律法规或制度规定而产生有效投诉，处理决定投诉事项成立，或者要求重新采购的有效投诉的情况。</w:t>
      </w:r>
    </w:p>
    <w:p w14:paraId="5929BB9D">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213" w:name="_Toc8572"/>
      <w:bookmarkStart w:id="214" w:name="_Toc4623"/>
      <w:bookmarkStart w:id="215" w:name="_Toc8076"/>
      <w:bookmarkStart w:id="216" w:name="_Toc130015414"/>
      <w:bookmarkStart w:id="217" w:name="_Toc20249"/>
      <w:r>
        <w:rPr>
          <w:rFonts w:hint="default" w:ascii="Times New Roman" w:hAnsi="Times New Roman" w:eastAsia="楷体" w:cs="Times New Roman"/>
          <w:color w:val="auto"/>
          <w:kern w:val="2"/>
          <w:sz w:val="32"/>
          <w:szCs w:val="24"/>
          <w:highlight w:val="none"/>
          <w:lang w:val="en-US" w:eastAsia="zh-CN" w:bidi="zh-CN"/>
        </w:rPr>
        <w:t>（四）“举报”指标2分，本次评价得分2分。</w:t>
      </w:r>
      <w:bookmarkEnd w:id="213"/>
      <w:bookmarkEnd w:id="214"/>
      <w:bookmarkEnd w:id="215"/>
      <w:bookmarkEnd w:id="216"/>
      <w:bookmarkEnd w:id="217"/>
    </w:p>
    <w:p w14:paraId="3D4C2C97">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经评价组查阅资料，该项采购过程中未出现存在举报的情况。</w:t>
      </w:r>
    </w:p>
    <w:p w14:paraId="5DB48D05">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218" w:name="_Toc24456"/>
      <w:bookmarkStart w:id="219" w:name="_Toc11524"/>
      <w:bookmarkStart w:id="220" w:name="_Toc31108"/>
      <w:bookmarkStart w:id="221" w:name="_Toc23496"/>
      <w:bookmarkStart w:id="222" w:name="_Toc1178194099"/>
      <w:r>
        <w:rPr>
          <w:rFonts w:hint="default" w:ascii="Times New Roman" w:hAnsi="Times New Roman" w:eastAsia="楷体" w:cs="Times New Roman"/>
          <w:color w:val="auto"/>
          <w:kern w:val="2"/>
          <w:sz w:val="32"/>
          <w:szCs w:val="24"/>
          <w:highlight w:val="none"/>
          <w:lang w:val="en-US" w:eastAsia="zh-CN" w:bidi="zh-CN"/>
        </w:rPr>
        <w:t>（五）“采购信息获取度”指标4分，本次评价得分4分。</w:t>
      </w:r>
      <w:bookmarkEnd w:id="218"/>
      <w:bookmarkEnd w:id="219"/>
      <w:bookmarkEnd w:id="220"/>
      <w:bookmarkEnd w:id="221"/>
      <w:bookmarkEnd w:id="222"/>
    </w:p>
    <w:p w14:paraId="48CF7802">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根据2022年11月4日白马关镇人民政府在四川政府采购网上发布的“白马关镇人民政府2022年度政府采购意向公告（第一批）”，该项目为竞争性磋商，该公告信息要素齐全。</w:t>
      </w:r>
    </w:p>
    <w:p w14:paraId="33805516">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auto"/>
          <w:kern w:val="2"/>
          <w:sz w:val="32"/>
          <w:szCs w:val="24"/>
          <w:highlight w:val="none"/>
          <w:lang w:val="en-US" w:eastAsia="zh-CN" w:bidi="zh-CN"/>
        </w:rPr>
      </w:pPr>
      <w:bookmarkStart w:id="223" w:name="_Toc28763"/>
      <w:bookmarkStart w:id="224" w:name="_Toc26392"/>
      <w:bookmarkStart w:id="225" w:name="_Toc2108996553"/>
      <w:bookmarkStart w:id="226" w:name="_Toc28479"/>
      <w:bookmarkStart w:id="227" w:name="_Toc13129"/>
      <w:r>
        <w:rPr>
          <w:rFonts w:hint="default" w:ascii="Times New Roman" w:hAnsi="Times New Roman" w:eastAsia="楷体" w:cs="Times New Roman"/>
          <w:color w:val="auto"/>
          <w:kern w:val="2"/>
          <w:sz w:val="32"/>
          <w:szCs w:val="24"/>
          <w:highlight w:val="none"/>
          <w:lang w:val="en-US" w:eastAsia="zh-CN" w:bidi="zh-CN"/>
        </w:rPr>
        <w:t>（六）“采购信息透明度”指标4分，本次评价得分4分。</w:t>
      </w:r>
      <w:bookmarkEnd w:id="223"/>
      <w:bookmarkEnd w:id="224"/>
      <w:bookmarkEnd w:id="225"/>
      <w:bookmarkEnd w:id="226"/>
      <w:bookmarkEnd w:id="227"/>
    </w:p>
    <w:p w14:paraId="6EC5433C">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根据2022年11月4日白马关镇人民政府在四川政府采购网上发布的“白马关镇人民政府2022年度政府采购意向公告（第一批）”，该项目按照政府采购要求公开信息内容，信息内容格式符合要求，信息公布内容完整。</w:t>
      </w:r>
    </w:p>
    <w:p w14:paraId="26471483">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cs="Times New Roman"/>
          <w:color w:val="auto"/>
          <w:sz w:val="32"/>
          <w:szCs w:val="32"/>
          <w:highlight w:val="none"/>
          <w:lang w:val="en-US" w:eastAsia="zh-CN"/>
        </w:rPr>
      </w:pPr>
      <w:bookmarkStart w:id="228" w:name="_Toc2479"/>
      <w:bookmarkStart w:id="229" w:name="_Toc19457"/>
      <w:r>
        <w:rPr>
          <w:rFonts w:hint="default" w:ascii="Times New Roman" w:hAnsi="Times New Roman" w:cs="Times New Roman"/>
          <w:color w:val="auto"/>
          <w:sz w:val="32"/>
          <w:szCs w:val="32"/>
          <w:highlight w:val="none"/>
          <w:lang w:val="en-US" w:eastAsia="zh-CN"/>
        </w:rPr>
        <w:t>第五部分  存在主要问题</w:t>
      </w:r>
      <w:bookmarkEnd w:id="228"/>
      <w:bookmarkEnd w:id="229"/>
    </w:p>
    <w:p w14:paraId="397E98CD">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220" w:leftChars="0" w:firstLine="420" w:firstLineChars="0"/>
        <w:textAlignment w:val="auto"/>
        <w:rPr>
          <w:rFonts w:hint="default" w:ascii="Times New Roman" w:hAnsi="Times New Roman" w:cs="Times New Roman"/>
          <w:color w:val="auto"/>
          <w:highlight w:val="none"/>
          <w:lang w:eastAsia="zh-CN"/>
        </w:rPr>
      </w:pPr>
      <w:bookmarkStart w:id="230" w:name="_Toc1681870270"/>
      <w:bookmarkStart w:id="231" w:name="_Toc6487"/>
      <w:bookmarkStart w:id="232" w:name="_Toc19807"/>
      <w:r>
        <w:rPr>
          <w:rFonts w:hint="eastAsia" w:ascii="黑体" w:hAnsi="黑体" w:eastAsia="黑体" w:cs="黑体"/>
          <w:color w:val="auto"/>
          <w:kern w:val="44"/>
          <w:sz w:val="32"/>
          <w:szCs w:val="44"/>
          <w:highlight w:val="none"/>
          <w:lang w:val="zh-CN" w:eastAsia="zh-CN" w:bidi="ar-SA"/>
        </w:rPr>
        <w:t>一、</w:t>
      </w:r>
      <w:r>
        <w:rPr>
          <w:rFonts w:hint="default" w:ascii="Times New Roman" w:hAnsi="Times New Roman" w:cs="Times New Roman"/>
          <w:color w:val="auto"/>
          <w:highlight w:val="none"/>
          <w:lang w:val="en-US" w:eastAsia="zh-CN"/>
        </w:rPr>
        <w:t>绩效目标设置</w:t>
      </w:r>
      <w:bookmarkEnd w:id="230"/>
      <w:r>
        <w:rPr>
          <w:rFonts w:hint="eastAsia" w:ascii="Times New Roman" w:hAnsi="Times New Roman" w:cs="Times New Roman"/>
          <w:color w:val="auto"/>
          <w:highlight w:val="none"/>
          <w:lang w:val="en-US" w:eastAsia="zh-CN"/>
        </w:rPr>
        <w:t>合理性、可衡量性不足</w:t>
      </w:r>
      <w:bookmarkEnd w:id="231"/>
      <w:bookmarkEnd w:id="232"/>
    </w:p>
    <w:p w14:paraId="380CBD70">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该项目设置的经济效益指标“项目对当地群众收入影响”、可持续影响指标“对本地文旅融合发展的持续影响”设置不具体，未有效反映项目实施的效益，且两个指标的指标值“就近吸收劳动力，增加群众经济收入水平”“促进文旅融合发展，带动本地经济社会全面可持续发展”设置过于冗长、未能有效衡量项目的效益情况。</w:t>
      </w:r>
    </w:p>
    <w:p w14:paraId="5CF61E44">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eastAsia="zh-CN"/>
        </w:rPr>
      </w:pPr>
      <w:bookmarkStart w:id="233" w:name="_Toc4164"/>
      <w:bookmarkStart w:id="234" w:name="_Toc10257"/>
      <w:bookmarkStart w:id="235" w:name="_Toc2013866076"/>
      <w:r>
        <w:rPr>
          <w:rFonts w:hint="eastAsia" w:ascii="黑体" w:hAnsi="黑体" w:cs="黑体"/>
          <w:color w:val="auto"/>
          <w:kern w:val="44"/>
          <w:sz w:val="32"/>
          <w:szCs w:val="44"/>
          <w:highlight w:val="none"/>
          <w:lang w:val="en-US" w:eastAsia="zh-CN" w:bidi="ar-SA"/>
        </w:rPr>
        <w:t>二</w:t>
      </w:r>
      <w:r>
        <w:rPr>
          <w:rFonts w:hint="eastAsia" w:ascii="黑体" w:hAnsi="黑体" w:eastAsia="黑体" w:cs="黑体"/>
          <w:color w:val="auto"/>
          <w:kern w:val="44"/>
          <w:sz w:val="32"/>
          <w:szCs w:val="44"/>
          <w:highlight w:val="none"/>
          <w:lang w:val="zh-CN" w:eastAsia="zh-CN" w:bidi="ar-SA"/>
        </w:rPr>
        <w:t>、</w:t>
      </w:r>
      <w:r>
        <w:rPr>
          <w:rFonts w:hint="default" w:ascii="Times New Roman" w:hAnsi="Times New Roman" w:cs="Times New Roman"/>
          <w:b w:val="0"/>
          <w:bCs w:val="0"/>
          <w:color w:val="auto"/>
          <w:highlight w:val="none"/>
          <w:lang w:val="en-US" w:eastAsia="zh-CN"/>
        </w:rPr>
        <w:t>采购</w:t>
      </w:r>
      <w:r>
        <w:rPr>
          <w:rFonts w:hint="default" w:ascii="Times New Roman" w:hAnsi="Times New Roman" w:eastAsia="黑体" w:cs="Times New Roman"/>
          <w:b w:val="0"/>
          <w:bCs w:val="0"/>
          <w:color w:val="auto"/>
          <w:highlight w:val="none"/>
          <w:lang w:val="en-US" w:eastAsia="zh-CN"/>
        </w:rPr>
        <w:t>管理</w:t>
      </w:r>
      <w:r>
        <w:rPr>
          <w:rFonts w:hint="default" w:ascii="Times New Roman" w:hAnsi="Times New Roman" w:cs="Times New Roman"/>
          <w:b w:val="0"/>
          <w:bCs w:val="0"/>
          <w:color w:val="auto"/>
          <w:highlight w:val="none"/>
          <w:lang w:val="en-US" w:eastAsia="zh-CN"/>
        </w:rPr>
        <w:t>制度不健全</w:t>
      </w:r>
      <w:bookmarkEnd w:id="233"/>
      <w:bookmarkEnd w:id="234"/>
      <w:bookmarkEnd w:id="235"/>
    </w:p>
    <w:p w14:paraId="2D95A8FA">
      <w:pPr>
        <w:pStyle w:val="27"/>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评价组研读《德阳市罗江区白马关镇人民政府制度汇编》《德阳市罗江区白马关镇人民政府内部控制制度汇编》后发现，白马关镇人民政府制定了采购内部控制制度，但未具体地、合理地设置采购岗位，未明确采购审核流程，未制定政府采购合规性评审、质疑投诉等事项的应对机制。</w:t>
      </w:r>
    </w:p>
    <w:p w14:paraId="17506FA2">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val="en-US" w:eastAsia="zh-CN"/>
        </w:rPr>
      </w:pPr>
      <w:bookmarkStart w:id="236" w:name="_Toc19459"/>
      <w:bookmarkStart w:id="237" w:name="_Toc9928"/>
      <w:r>
        <w:rPr>
          <w:rFonts w:hint="eastAsia" w:ascii="黑体" w:hAnsi="黑体" w:cs="黑体"/>
          <w:color w:val="auto"/>
          <w:kern w:val="44"/>
          <w:sz w:val="32"/>
          <w:szCs w:val="44"/>
          <w:highlight w:val="none"/>
          <w:lang w:val="en-US" w:eastAsia="zh-CN" w:bidi="ar-SA"/>
        </w:rPr>
        <w:t>三</w:t>
      </w:r>
      <w:r>
        <w:rPr>
          <w:rFonts w:hint="eastAsia" w:ascii="黑体" w:hAnsi="黑体" w:eastAsia="黑体" w:cs="黑体"/>
          <w:color w:val="auto"/>
          <w:kern w:val="44"/>
          <w:sz w:val="32"/>
          <w:szCs w:val="44"/>
          <w:highlight w:val="none"/>
          <w:lang w:val="zh-CN" w:eastAsia="zh-CN" w:bidi="ar-SA"/>
        </w:rPr>
        <w:t>、</w:t>
      </w:r>
      <w:r>
        <w:rPr>
          <w:rFonts w:hint="default" w:ascii="Times New Roman" w:hAnsi="Times New Roman" w:cs="Times New Roman"/>
          <w:color w:val="auto"/>
          <w:highlight w:val="none"/>
          <w:lang w:val="en-US" w:eastAsia="zh-CN"/>
        </w:rPr>
        <w:t>公示不及时</w:t>
      </w:r>
      <w:r>
        <w:rPr>
          <w:rFonts w:hint="eastAsia" w:ascii="Times New Roman" w:hAnsi="Times New Roman" w:cs="Times New Roman"/>
          <w:color w:val="auto"/>
          <w:highlight w:val="none"/>
          <w:lang w:val="en-US" w:eastAsia="zh-CN"/>
        </w:rPr>
        <w:t>、不完整</w:t>
      </w:r>
      <w:bookmarkEnd w:id="236"/>
      <w:bookmarkEnd w:id="237"/>
    </w:p>
    <w:p w14:paraId="50936438">
      <w:pPr>
        <w:pStyle w:val="27"/>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2022年11月28日在四川正益工程项目管理有限公司通过专家组评审确定中外建华诚（北京）工程设计咨询有限公司为中标采购人，确定2023年4月4日在四川政府采购网上发布“德阳市罗江区白马关镇人民政府宝峰山农文旅提升建设项目中标（成交）结果公告”，中标（成交）结果公示不及时。</w:t>
      </w:r>
    </w:p>
    <w:p w14:paraId="03AA014F">
      <w:pPr>
        <w:pStyle w:val="27"/>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kern w:val="2"/>
          <w:sz w:val="32"/>
          <w:szCs w:val="24"/>
          <w:highlight w:val="none"/>
          <w:lang w:val="en-US" w:eastAsia="zh-CN" w:bidi="zh-CN"/>
        </w:rPr>
        <w:t>截至绩效评价日，该项目已开展竣工验收，但白马关镇人民政府未将履约验收情况，按照四川省政府采购网对合同履约验收情况公示要求进行公示。</w:t>
      </w:r>
    </w:p>
    <w:p w14:paraId="2BB03BCE">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cs="Times New Roman"/>
          <w:color w:val="auto"/>
          <w:sz w:val="32"/>
          <w:szCs w:val="32"/>
          <w:highlight w:val="none"/>
          <w:lang w:val="en-US" w:eastAsia="zh-CN"/>
        </w:rPr>
      </w:pPr>
      <w:bookmarkStart w:id="238" w:name="_Toc26901"/>
      <w:bookmarkStart w:id="239" w:name="_Toc5185"/>
      <w:r>
        <w:rPr>
          <w:rFonts w:hint="default" w:ascii="Times New Roman" w:hAnsi="Times New Roman" w:cs="Times New Roman"/>
          <w:color w:val="auto"/>
          <w:sz w:val="32"/>
          <w:szCs w:val="32"/>
          <w:highlight w:val="none"/>
          <w:lang w:val="en-US" w:eastAsia="zh-CN"/>
        </w:rPr>
        <w:t>第六部分  相关措施建议</w:t>
      </w:r>
      <w:bookmarkEnd w:id="238"/>
      <w:bookmarkEnd w:id="239"/>
    </w:p>
    <w:p w14:paraId="6B177A00">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color w:val="auto"/>
          <w:highlight w:val="none"/>
          <w:lang w:eastAsia="zh-CN"/>
        </w:rPr>
      </w:pPr>
      <w:bookmarkStart w:id="240" w:name="_Toc26195"/>
      <w:bookmarkStart w:id="241" w:name="_Toc29176"/>
      <w:bookmarkStart w:id="242" w:name="_Toc544596541"/>
      <w:bookmarkStart w:id="243" w:name="_Toc111038814"/>
      <w:bookmarkStart w:id="244" w:name="_Toc89805444"/>
      <w:r>
        <w:rPr>
          <w:rFonts w:hint="eastAsia" w:ascii="黑体" w:hAnsi="黑体" w:eastAsia="黑体" w:cs="黑体"/>
          <w:b/>
          <w:bCs/>
          <w:color w:val="auto"/>
          <w:kern w:val="44"/>
          <w:sz w:val="32"/>
          <w:szCs w:val="44"/>
          <w:highlight w:val="none"/>
          <w:lang w:val="zh-CN" w:eastAsia="zh-CN" w:bidi="ar-SA"/>
        </w:rPr>
        <w:t>一、</w:t>
      </w:r>
      <w:r>
        <w:rPr>
          <w:rFonts w:hint="default" w:ascii="Times New Roman" w:hAnsi="Times New Roman" w:eastAsia="黑体" w:cs="Times New Roman"/>
          <w:b w:val="0"/>
          <w:bCs w:val="0"/>
          <w:color w:val="auto"/>
          <w:highlight w:val="none"/>
          <w:lang w:eastAsia="zh-CN"/>
        </w:rPr>
        <w:t>提高</w:t>
      </w:r>
      <w:r>
        <w:rPr>
          <w:rFonts w:hint="default" w:ascii="Times New Roman" w:hAnsi="Times New Roman" w:eastAsia="黑体" w:cs="Times New Roman"/>
          <w:b w:val="0"/>
          <w:bCs w:val="0"/>
          <w:color w:val="auto"/>
          <w:highlight w:val="none"/>
          <w:lang w:val="en-US" w:eastAsia="zh-CN"/>
        </w:rPr>
        <w:t>绩效目标设置</w:t>
      </w:r>
      <w:r>
        <w:rPr>
          <w:rFonts w:hint="default" w:ascii="Times New Roman" w:hAnsi="Times New Roman" w:eastAsia="黑体" w:cs="Times New Roman"/>
          <w:b w:val="0"/>
          <w:bCs w:val="0"/>
          <w:color w:val="auto"/>
          <w:highlight w:val="none"/>
          <w:lang w:eastAsia="zh-CN"/>
        </w:rPr>
        <w:t>的科学性和准确性</w:t>
      </w:r>
      <w:bookmarkEnd w:id="240"/>
      <w:bookmarkEnd w:id="241"/>
      <w:bookmarkEnd w:id="242"/>
    </w:p>
    <w:p w14:paraId="33C38618">
      <w:pPr>
        <w:pStyle w:val="2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highlight w:val="none"/>
          <w:lang w:val="en-US" w:eastAsia="zh-CN"/>
        </w:rPr>
      </w:pPr>
      <w:r>
        <w:rPr>
          <w:rFonts w:hint="default" w:ascii="Times New Roman" w:hAnsi="Times New Roman" w:eastAsia="仿宋" w:cs="Times New Roman"/>
          <w:color w:val="auto"/>
          <w:highlight w:val="none"/>
          <w:lang w:val="en-US" w:eastAsia="zh-CN"/>
        </w:rPr>
        <w:t>绩效目标是指财政预算资金计划在一定期限内达到的产出和效果。绩效目标是绩效管理的基础和起点，前提和依据，发挥着重要的引领作用。结合历史年度项目实施情况及资金使用情况，合理编制项目绩效目标，尽可能设置预期能够完成又能体现项目效益的绩效目标，提高绩效目标及目标值的科学性和准确性。合理完整地编制绩效目标，明确效益指标设置方式。</w:t>
      </w:r>
    </w:p>
    <w:p w14:paraId="0B2D80F9">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highlight w:val="none"/>
          <w:lang w:val="en-US" w:eastAsia="zh-Hans"/>
        </w:rPr>
      </w:pPr>
      <w:bookmarkStart w:id="245" w:name="_Toc24864"/>
      <w:bookmarkStart w:id="246" w:name="_Toc32111"/>
      <w:bookmarkStart w:id="247" w:name="_Toc458761073"/>
      <w:r>
        <w:rPr>
          <w:rFonts w:hint="eastAsia" w:ascii="黑体" w:hAnsi="黑体" w:cs="黑体"/>
          <w:color w:val="auto"/>
          <w:kern w:val="44"/>
          <w:sz w:val="32"/>
          <w:szCs w:val="32"/>
          <w:highlight w:val="none"/>
          <w:lang w:val="en-US" w:eastAsia="zh-CN" w:bidi="ar-SA"/>
        </w:rPr>
        <w:t>二</w:t>
      </w:r>
      <w:r>
        <w:rPr>
          <w:rFonts w:hint="eastAsia" w:ascii="黑体" w:hAnsi="黑体" w:eastAsia="黑体" w:cs="黑体"/>
          <w:color w:val="auto"/>
          <w:kern w:val="44"/>
          <w:sz w:val="32"/>
          <w:szCs w:val="32"/>
          <w:highlight w:val="none"/>
          <w:lang w:val="en-US" w:eastAsia="zh-Hans" w:bidi="ar-SA"/>
        </w:rPr>
        <w:t>、</w:t>
      </w:r>
      <w:r>
        <w:rPr>
          <w:rFonts w:hint="default" w:ascii="Times New Roman" w:hAnsi="Times New Roman" w:cs="Times New Roman"/>
          <w:b w:val="0"/>
          <w:bCs w:val="0"/>
          <w:color w:val="auto"/>
          <w:highlight w:val="none"/>
          <w:lang w:val="en-US" w:eastAsia="zh-CN"/>
        </w:rPr>
        <w:t>完善采购</w:t>
      </w:r>
      <w:r>
        <w:rPr>
          <w:rFonts w:hint="default" w:ascii="Times New Roman" w:hAnsi="Times New Roman" w:eastAsia="黑体" w:cs="Times New Roman"/>
          <w:b w:val="0"/>
          <w:bCs w:val="0"/>
          <w:color w:val="auto"/>
          <w:highlight w:val="none"/>
          <w:lang w:val="en-US" w:eastAsia="zh-CN"/>
        </w:rPr>
        <w:t>管理</w:t>
      </w:r>
      <w:r>
        <w:rPr>
          <w:rFonts w:hint="default" w:ascii="Times New Roman" w:hAnsi="Times New Roman" w:cs="Times New Roman"/>
          <w:b w:val="0"/>
          <w:bCs w:val="0"/>
          <w:color w:val="auto"/>
          <w:highlight w:val="none"/>
          <w:lang w:val="en-US" w:eastAsia="zh-CN"/>
        </w:rPr>
        <w:t>制度</w:t>
      </w:r>
      <w:bookmarkEnd w:id="245"/>
      <w:bookmarkEnd w:id="246"/>
      <w:bookmarkEnd w:id="247"/>
    </w:p>
    <w:p w14:paraId="5CF13B57">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highlight w:val="none"/>
          <w:lang w:val="en-US" w:eastAsia="zh-Hans"/>
        </w:rPr>
      </w:pPr>
      <w:r>
        <w:rPr>
          <w:rFonts w:hint="default" w:ascii="Times New Roman" w:hAnsi="Times New Roman" w:eastAsia="仿宋" w:cs="Times New Roman"/>
          <w:color w:val="auto"/>
          <w:sz w:val="32"/>
          <w:szCs w:val="32"/>
          <w:highlight w:val="none"/>
          <w:lang w:val="en-US" w:eastAsia="zh-CN"/>
        </w:rPr>
        <w:t>建议白马关镇人民政府根据《行政事业性单位内部控制规范（试行）》</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德阳市罗江区人民政府办公室关于印发〈德阳市罗江区政府采购管理办法〉的通知</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德市罗府办发</w:t>
      </w:r>
      <w:r>
        <w:rPr>
          <w:rFonts w:hint="default" w:ascii="Times New Roman" w:hAnsi="Times New Roman" w:eastAsia="仿宋" w:cs="Times New Roman"/>
          <w:szCs w:val="32"/>
          <w:highlight w:val="none"/>
        </w:rPr>
        <w:t>〔202</w:t>
      </w:r>
      <w:r>
        <w:rPr>
          <w:rFonts w:hint="default" w:ascii="Times New Roman" w:hAnsi="Times New Roman" w:eastAsia="仿宋" w:cs="Times New Roman"/>
          <w:szCs w:val="32"/>
          <w:highlight w:val="none"/>
          <w:lang w:val="en-US" w:eastAsia="zh-CN"/>
        </w:rPr>
        <w:t>1</w:t>
      </w:r>
      <w:r>
        <w:rPr>
          <w:rFonts w:hint="default" w:ascii="Times New Roman" w:hAnsi="Times New Roman" w:eastAsia="仿宋" w:cs="Times New Roman"/>
          <w:szCs w:val="32"/>
          <w:highlight w:val="none"/>
        </w:rPr>
        <w:t>〕</w:t>
      </w:r>
      <w:r>
        <w:rPr>
          <w:rFonts w:hint="default" w:ascii="Times New Roman" w:hAnsi="Times New Roman" w:eastAsia="仿宋" w:cs="Times New Roman"/>
          <w:szCs w:val="32"/>
          <w:highlight w:val="none"/>
          <w:lang w:val="en-US" w:eastAsia="zh-CN"/>
        </w:rPr>
        <w:t>94</w:t>
      </w:r>
      <w:r>
        <w:rPr>
          <w:rFonts w:hint="default" w:ascii="Times New Roman" w:hAnsi="Times New Roman" w:eastAsia="仿宋" w:cs="Times New Roman"/>
          <w:szCs w:val="32"/>
          <w:highlight w:val="none"/>
        </w:rPr>
        <w:t>号</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德阳市罗江区人民政府办公室关于印发〈德阳市罗江区政府分散采购管理办法〉的通知</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德市罗府办发</w:t>
      </w:r>
      <w:r>
        <w:rPr>
          <w:rFonts w:hint="default" w:ascii="Times New Roman" w:hAnsi="Times New Roman" w:eastAsia="仿宋" w:cs="Times New Roman"/>
          <w:szCs w:val="32"/>
          <w:highlight w:val="none"/>
        </w:rPr>
        <w:t>〔202</w:t>
      </w:r>
      <w:r>
        <w:rPr>
          <w:rFonts w:hint="default" w:ascii="Times New Roman" w:hAnsi="Times New Roman" w:eastAsia="仿宋" w:cs="Times New Roman"/>
          <w:szCs w:val="32"/>
          <w:highlight w:val="none"/>
          <w:lang w:val="en-US" w:eastAsia="zh-CN"/>
        </w:rPr>
        <w:t>1</w:t>
      </w:r>
      <w:r>
        <w:rPr>
          <w:rFonts w:hint="default" w:ascii="Times New Roman" w:hAnsi="Times New Roman" w:eastAsia="仿宋" w:cs="Times New Roman"/>
          <w:szCs w:val="32"/>
          <w:highlight w:val="none"/>
        </w:rPr>
        <w:t>〕</w:t>
      </w:r>
      <w:r>
        <w:rPr>
          <w:rFonts w:hint="default" w:ascii="Times New Roman" w:hAnsi="Times New Roman" w:eastAsia="仿宋" w:cs="Times New Roman"/>
          <w:szCs w:val="32"/>
          <w:highlight w:val="none"/>
          <w:lang w:val="en-US" w:eastAsia="zh-CN"/>
        </w:rPr>
        <w:t>95</w:t>
      </w:r>
      <w:r>
        <w:rPr>
          <w:rFonts w:hint="default" w:ascii="Times New Roman" w:hAnsi="Times New Roman" w:eastAsia="仿宋" w:cs="Times New Roman"/>
          <w:szCs w:val="32"/>
          <w:highlight w:val="none"/>
        </w:rPr>
        <w:t>号</w:t>
      </w:r>
      <w:r>
        <w:rPr>
          <w:rFonts w:hint="default" w:ascii="Times New Roman" w:hAnsi="Times New Roman" w:eastAsia="仿宋" w:cs="Times New Roman"/>
          <w:szCs w:val="32"/>
          <w:highlight w:val="none"/>
          <w:lang w:eastAsia="zh-CN"/>
        </w:rPr>
        <w:t>）</w:t>
      </w:r>
      <w:r>
        <w:rPr>
          <w:rFonts w:hint="default" w:ascii="Times New Roman" w:hAnsi="Times New Roman" w:eastAsia="仿宋" w:cs="Times New Roman"/>
          <w:szCs w:val="32"/>
          <w:highlight w:val="none"/>
          <w:lang w:val="en-US" w:eastAsia="zh-CN"/>
        </w:rPr>
        <w:t>等文件要求，</w:t>
      </w:r>
      <w:r>
        <w:rPr>
          <w:rFonts w:hint="default" w:ascii="Times New Roman" w:hAnsi="Times New Roman" w:eastAsia="仿宋" w:cs="Times New Roman"/>
          <w:color w:val="auto"/>
          <w:sz w:val="32"/>
          <w:szCs w:val="32"/>
          <w:highlight w:val="none"/>
          <w:lang w:val="en-US" w:eastAsia="zh-CN"/>
        </w:rPr>
        <w:t>完善项目采购管理制度，</w:t>
      </w:r>
      <w:r>
        <w:rPr>
          <w:rFonts w:hint="default" w:ascii="Times New Roman" w:hAnsi="Times New Roman" w:eastAsia="仿宋" w:cs="Times New Roman"/>
          <w:color w:val="auto"/>
          <w:highlight w:val="none"/>
          <w:lang w:val="en-US" w:eastAsia="zh-CN"/>
        </w:rPr>
        <w:t>明确单位采购归口管理部门，由采购需求部门自行管理，相关采购管理制度，明确编制政府采购预算和实施计划、确定采购需求、组织采购活动、履约验收、监督检查等重点环节的内容。</w:t>
      </w:r>
    </w:p>
    <w:p w14:paraId="78D3CCEE">
      <w:pPr>
        <w:pStyle w:val="2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highlight w:val="none"/>
          <w:lang w:eastAsia="zh-CN"/>
        </w:rPr>
      </w:pPr>
      <w:bookmarkStart w:id="248" w:name="_Toc21861"/>
      <w:bookmarkStart w:id="249" w:name="_Toc7251"/>
      <w:r>
        <w:rPr>
          <w:rFonts w:hint="eastAsia" w:ascii="黑体" w:hAnsi="黑体" w:cs="黑体"/>
          <w:color w:val="auto"/>
          <w:kern w:val="44"/>
          <w:sz w:val="32"/>
          <w:szCs w:val="44"/>
          <w:highlight w:val="none"/>
          <w:lang w:val="en-US" w:eastAsia="zh-CN" w:bidi="ar-SA"/>
        </w:rPr>
        <w:t>三</w:t>
      </w:r>
      <w:r>
        <w:rPr>
          <w:rFonts w:hint="eastAsia" w:ascii="黑体" w:hAnsi="黑体" w:eastAsia="黑体" w:cs="黑体"/>
          <w:color w:val="auto"/>
          <w:kern w:val="44"/>
          <w:sz w:val="32"/>
          <w:szCs w:val="44"/>
          <w:highlight w:val="none"/>
          <w:lang w:val="zh-CN" w:eastAsia="zh-CN" w:bidi="ar-SA"/>
        </w:rPr>
        <w:t>、</w:t>
      </w:r>
      <w:r>
        <w:rPr>
          <w:rFonts w:hint="default" w:ascii="Times New Roman" w:hAnsi="Times New Roman" w:eastAsia="黑体" w:cs="Times New Roman"/>
          <w:b w:val="0"/>
          <w:bCs w:val="0"/>
          <w:color w:val="auto"/>
          <w:highlight w:val="none"/>
          <w:lang w:val="en-US" w:eastAsia="zh-CN"/>
        </w:rPr>
        <w:t>及时</w:t>
      </w:r>
      <w:r>
        <w:rPr>
          <w:rFonts w:hint="default" w:ascii="Times New Roman" w:hAnsi="Times New Roman" w:cs="Times New Roman"/>
          <w:b w:val="0"/>
          <w:bCs w:val="0"/>
          <w:color w:val="auto"/>
          <w:highlight w:val="none"/>
          <w:lang w:val="en-US" w:eastAsia="zh-CN"/>
        </w:rPr>
        <w:t>进行合同</w:t>
      </w:r>
      <w:r>
        <w:rPr>
          <w:rFonts w:hint="default" w:ascii="Times New Roman" w:hAnsi="Times New Roman" w:eastAsia="黑体" w:cs="Times New Roman"/>
          <w:b w:val="0"/>
          <w:bCs w:val="0"/>
          <w:color w:val="auto"/>
          <w:highlight w:val="none"/>
          <w:lang w:val="en-US" w:eastAsia="zh-CN"/>
        </w:rPr>
        <w:t>公示</w:t>
      </w:r>
      <w:bookmarkEnd w:id="248"/>
      <w:bookmarkEnd w:id="249"/>
    </w:p>
    <w:p w14:paraId="3534E6D2">
      <w:pPr>
        <w:pStyle w:val="27"/>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highlight w:val="none"/>
          <w:lang w:val="en-US" w:eastAsia="zh-Hans"/>
        </w:rPr>
      </w:pPr>
      <w:r>
        <w:rPr>
          <w:rFonts w:hint="default" w:ascii="Times New Roman" w:hAnsi="Times New Roman" w:eastAsia="仿宋" w:cs="Times New Roman"/>
          <w:color w:val="auto"/>
          <w:sz w:val="32"/>
          <w:szCs w:val="32"/>
          <w:highlight w:val="none"/>
          <w:lang w:val="en-US" w:eastAsia="zh-CN"/>
        </w:rPr>
        <w:t>建议通过政府采购网，及时对采购意向、中标采购人、合同等进行公示、备案，规范采购项目管理。对于已竣工验收的合同，要及时按照政府采购网操作流程，进行履约验收公示。</w:t>
      </w:r>
    </w:p>
    <w:p w14:paraId="7BF1B871">
      <w:pPr>
        <w:keepNext w:val="0"/>
        <w:keepLines w:val="0"/>
        <w:pageBreakBefore w:val="0"/>
        <w:widowControl w:val="0"/>
        <w:tabs>
          <w:tab w:val="left" w:pos="1043"/>
        </w:tabs>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color w:val="auto"/>
          <w:highlight w:val="none"/>
          <w:lang w:val="en-US" w:eastAsia="zh-CN"/>
        </w:rPr>
        <w:sectPr>
          <w:footerReference r:id="rId12"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435" w:charSpace="0"/>
        </w:sectPr>
      </w:pPr>
    </w:p>
    <w:bookmarkEnd w:id="243"/>
    <w:bookmarkEnd w:id="244"/>
    <w:p w14:paraId="4088C16E">
      <w:pPr>
        <w:widowControl/>
        <w:spacing w:line="240" w:lineRule="auto"/>
        <w:ind w:firstLine="0" w:firstLineChars="0"/>
        <w:jc w:val="left"/>
        <w:rPr>
          <w:rFonts w:hint="default" w:ascii="Times New Roman Regular" w:hAnsi="Times New Roman Regular" w:cs="Times New Roman Regular"/>
          <w:color w:val="auto"/>
          <w:highlight w:val="none"/>
        </w:rPr>
      </w:pPr>
    </w:p>
    <w:sectPr>
      <w:pgSz w:w="16838" w:h="11906" w:orient="landscape"/>
      <w:pgMar w:top="1588" w:right="2098" w:bottom="1474" w:left="1985" w:header="851" w:footer="992" w:gutter="0"/>
      <w:pgBorders>
        <w:top w:val="none" w:sz="0" w:space="0"/>
        <w:left w:val="none" w:sz="0" w:space="0"/>
        <w:bottom w:val="none" w:sz="0" w:space="0"/>
        <w:right w:val="none" w:sz="0" w:space="0"/>
      </w:pgBorders>
      <w:pgNumType w:fmt="decimal"/>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06427AF-D304-4DF5-A93A-2CFEB317E8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3E08D66-0CFE-4441-B5BF-E0BDA72CCD0D}"/>
  </w:font>
  <w:font w:name="方正小标宋简体">
    <w:panose1 w:val="03000509000000000000"/>
    <w:charset w:val="86"/>
    <w:family w:val="auto"/>
    <w:pitch w:val="default"/>
    <w:sig w:usb0="00000001" w:usb1="080E0000" w:usb2="00000000" w:usb3="00000000" w:csb0="00040000" w:csb1="00000000"/>
    <w:embedRegular r:id="rId3" w:fontKey="{68D1E0B5-D512-4B50-A2CE-4799FDBDFA7C}"/>
  </w:font>
  <w:font w:name="Luxi Sans">
    <w:altName w:val="Segoe Print"/>
    <w:panose1 w:val="00000000000000000000"/>
    <w:charset w:val="00"/>
    <w:family w:val="auto"/>
    <w:pitch w:val="default"/>
    <w:sig w:usb0="00000000" w:usb1="00000000" w:usb2="00000000" w:usb3="00000000" w:csb0="00000000" w:csb1="00000000"/>
  </w:font>
  <w:font w:name="FangSong_GB2312">
    <w:altName w:val="仿宋_GB2312"/>
    <w:panose1 w:val="02010609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4" w:fontKey="{A9E798AD-475B-49A0-BAE2-D644DFAF46B6}"/>
  </w:font>
  <w:font w:name="仿宋">
    <w:panose1 w:val="02010609060101010101"/>
    <w:charset w:val="86"/>
    <w:family w:val="modern"/>
    <w:pitch w:val="default"/>
    <w:sig w:usb0="800002BF" w:usb1="38CF7CFA" w:usb2="00000016" w:usb3="00000000" w:csb0="00040001" w:csb1="00000000"/>
    <w:embedRegular r:id="rId5" w:fontKey="{6399E19A-8CF4-4E3A-B624-22B851C6CC31}"/>
  </w:font>
  <w:font w:name="Heiti SC Medium">
    <w:altName w:val="宋体"/>
    <w:panose1 w:val="02000000000000000000"/>
    <w:charset w:val="86"/>
    <w:family w:val="auto"/>
    <w:pitch w:val="default"/>
    <w:sig w:usb0="00000000" w:usb1="00000000" w:usb2="00000000" w:usb3="00000000" w:csb0="203E0000"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embedRegular r:id="rId6" w:fontKey="{22B29385-A954-4E56-ACB3-BF148F164305}"/>
  </w:font>
  <w:font w:name="小标宋">
    <w:altName w:val="方正小标宋简体"/>
    <w:panose1 w:val="00000000000000000000"/>
    <w:charset w:val="86"/>
    <w:family w:val="roman"/>
    <w:pitch w:val="default"/>
    <w:sig w:usb0="00000000" w:usb1="00000000" w:usb2="00000000" w:usb3="00000000" w:csb0="00000000" w:csb1="00000000"/>
    <w:embedRegular r:id="rId7" w:fontKey="{2CAB918A-B711-42B4-9378-A017992E7A6C}"/>
  </w:font>
  <w:font w:name="楷体">
    <w:panose1 w:val="02010609060101010101"/>
    <w:charset w:val="86"/>
    <w:family w:val="auto"/>
    <w:pitch w:val="default"/>
    <w:sig w:usb0="800002BF" w:usb1="38CF7CFA" w:usb2="00000016" w:usb3="00000000" w:csb0="00040001" w:csb1="00000000"/>
    <w:embedRegular r:id="rId8" w:fontKey="{135F4DBD-5A3C-43E1-8513-C233ED13C28A}"/>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B1CBA">
    <w:pPr>
      <w:pStyle w:val="9"/>
      <w:ind w:firstLine="360"/>
      <w:jc w:val="center"/>
    </w:pPr>
  </w:p>
  <w:p w14:paraId="6AC9186A">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C4A4">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71192">
    <w:pPr>
      <w:pStyle w:val="9"/>
      <w:ind w:firstLine="360"/>
      <w:jc w:val="center"/>
    </w:pPr>
  </w:p>
  <w:p w14:paraId="5ABE0EEC">
    <w:pPr>
      <w:pStyle w:val="9"/>
      <w:ind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BF1A6">
    <w:pPr>
      <w:pStyle w:val="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9A87">
    <w:pPr>
      <w:pStyle w:val="9"/>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A57F8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A57F8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5A8D">
    <w:pPr>
      <w:pStyle w:val="10"/>
      <w:pBdr>
        <w:bottom w:val="none" w:color="auto" w:sz="0" w:space="1"/>
      </w:pBdr>
      <w:tabs>
        <w:tab w:val="left" w:pos="2528"/>
      </w:tabs>
      <w:ind w:firstLine="360"/>
      <w:jc w:val="left"/>
      <w:rPr>
        <w:rFonts w:hint="eastAsia" w:eastAsia="宋体"/>
        <w:lang w:eastAsia="zh-CN"/>
      </w:rPr>
    </w:pPr>
    <w:r>
      <w:rPr>
        <w:rFonts w:hint="eastAsia"/>
        <w:lang w:eastAsia="zh-CN"/>
      </w:rPr>
      <w:tab/>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E495B">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253F3">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F2D32"/>
    <w:multiLevelType w:val="multilevel"/>
    <w:tmpl w:val="01BF2D32"/>
    <w:lvl w:ilvl="0" w:tentative="0">
      <w:start w:val="1"/>
      <w:numFmt w:val="chineseCountingThousand"/>
      <w:pStyle w:val="3"/>
      <w:suff w:val="nothing"/>
      <w:lvlText w:val="%1、"/>
      <w:lvlJc w:val="left"/>
      <w:pPr>
        <w:ind w:left="0" w:firstLine="57"/>
      </w:pPr>
      <w:rPr>
        <w:rFonts w:hint="eastAsia"/>
      </w:rPr>
    </w:lvl>
    <w:lvl w:ilvl="1" w:tentative="0">
      <w:start w:val="1"/>
      <w:numFmt w:val="lowerLetter"/>
      <w:lvlText w:val="%2)"/>
      <w:lvlJc w:val="left"/>
      <w:pPr>
        <w:ind w:left="1720" w:hanging="420"/>
      </w:pPr>
    </w:lvl>
    <w:lvl w:ilvl="2" w:tentative="0">
      <w:start w:val="1"/>
      <w:numFmt w:val="lowerRoman"/>
      <w:lvlText w:val="%3."/>
      <w:lvlJc w:val="right"/>
      <w:pPr>
        <w:ind w:left="2140" w:hanging="420"/>
      </w:pPr>
    </w:lvl>
    <w:lvl w:ilvl="3" w:tentative="0">
      <w:start w:val="1"/>
      <w:numFmt w:val="decimal"/>
      <w:lvlText w:val="%4."/>
      <w:lvlJc w:val="left"/>
      <w:pPr>
        <w:ind w:left="2560" w:hanging="420"/>
      </w:pPr>
    </w:lvl>
    <w:lvl w:ilvl="4" w:tentative="0">
      <w:start w:val="1"/>
      <w:numFmt w:val="lowerLetter"/>
      <w:lvlText w:val="%5)"/>
      <w:lvlJc w:val="left"/>
      <w:pPr>
        <w:ind w:left="2980" w:hanging="420"/>
      </w:pPr>
    </w:lvl>
    <w:lvl w:ilvl="5" w:tentative="0">
      <w:start w:val="1"/>
      <w:numFmt w:val="lowerRoman"/>
      <w:lvlText w:val="%6."/>
      <w:lvlJc w:val="right"/>
      <w:pPr>
        <w:ind w:left="3400" w:hanging="420"/>
      </w:pPr>
    </w:lvl>
    <w:lvl w:ilvl="6" w:tentative="0">
      <w:start w:val="1"/>
      <w:numFmt w:val="decimal"/>
      <w:lvlText w:val="%7."/>
      <w:lvlJc w:val="left"/>
      <w:pPr>
        <w:ind w:left="3820" w:hanging="420"/>
      </w:pPr>
    </w:lvl>
    <w:lvl w:ilvl="7" w:tentative="0">
      <w:start w:val="1"/>
      <w:numFmt w:val="lowerLetter"/>
      <w:lvlText w:val="%8)"/>
      <w:lvlJc w:val="left"/>
      <w:pPr>
        <w:ind w:left="4240" w:hanging="420"/>
      </w:pPr>
    </w:lvl>
    <w:lvl w:ilvl="8" w:tentative="0">
      <w:start w:val="1"/>
      <w:numFmt w:val="lowerRoman"/>
      <w:lvlText w:val="%9."/>
      <w:lvlJc w:val="right"/>
      <w:pPr>
        <w:ind w:left="4660" w:hanging="420"/>
      </w:pPr>
    </w:lvl>
  </w:abstractNum>
  <w:abstractNum w:abstractNumId="1">
    <w:nsid w:val="04F138AD"/>
    <w:multiLevelType w:val="multilevel"/>
    <w:tmpl w:val="04F138AD"/>
    <w:lvl w:ilvl="0" w:tentative="0">
      <w:start w:val="1"/>
      <w:numFmt w:val="chineseCountingThousand"/>
      <w:pStyle w:val="4"/>
      <w:suff w:val="nothing"/>
      <w:lvlText w:val="(%1)"/>
      <w:lvlJc w:val="left"/>
      <w:pPr>
        <w:ind w:left="57" w:firstLine="510"/>
      </w:pPr>
      <w:rPr>
        <w:lang w:bidi="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45220EC5"/>
    <w:multiLevelType w:val="singleLevel"/>
    <w:tmpl w:val="45220EC5"/>
    <w:lvl w:ilvl="0" w:tentative="0">
      <w:start w:val="1"/>
      <w:numFmt w:val="chineseCounting"/>
      <w:pStyle w:val="22"/>
      <w:suff w:val="nothing"/>
      <w:lvlText w:val="%1、"/>
      <w:lvlJc w:val="left"/>
      <w:pPr>
        <w:ind w:left="220" w:firstLine="420"/>
      </w:pPr>
      <w:rPr>
        <w:rFonts w:hint="eastAsia" w:ascii="黑体" w:hAnsi="黑体" w:eastAsia="黑体" w:cs="黑体"/>
      </w:rPr>
    </w:lvl>
  </w:abstractNum>
  <w:abstractNum w:abstractNumId="3">
    <w:nsid w:val="47746188"/>
    <w:multiLevelType w:val="multilevel"/>
    <w:tmpl w:val="47746188"/>
    <w:lvl w:ilvl="0" w:tentative="0">
      <w:start w:val="1"/>
      <w:numFmt w:val="decimal"/>
      <w:pStyle w:val="5"/>
      <w:suff w:val="nothing"/>
      <w:lvlText w:val="%1."/>
      <w:lvlJc w:val="left"/>
      <w:pPr>
        <w:ind w:left="0" w:firstLine="567"/>
      </w:pPr>
      <w:rPr>
        <w:lang w:bidi="zh-CN"/>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0"/>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4ZjZiZWUyMWY3NGEwZTJlNTkxODY4MDIyMTY4YmMifQ=="/>
  </w:docVars>
  <w:rsids>
    <w:rsidRoot w:val="06F71B67"/>
    <w:rsid w:val="000114C1"/>
    <w:rsid w:val="00044FA8"/>
    <w:rsid w:val="00063717"/>
    <w:rsid w:val="00087E8D"/>
    <w:rsid w:val="000B317B"/>
    <w:rsid w:val="000E634F"/>
    <w:rsid w:val="00116BD0"/>
    <w:rsid w:val="00117499"/>
    <w:rsid w:val="00122EDF"/>
    <w:rsid w:val="00135100"/>
    <w:rsid w:val="0014057A"/>
    <w:rsid w:val="00160652"/>
    <w:rsid w:val="0017213E"/>
    <w:rsid w:val="001870BE"/>
    <w:rsid w:val="001F3AD4"/>
    <w:rsid w:val="001F6678"/>
    <w:rsid w:val="00250F87"/>
    <w:rsid w:val="002E41BD"/>
    <w:rsid w:val="002F7EFE"/>
    <w:rsid w:val="00300BA8"/>
    <w:rsid w:val="00323174"/>
    <w:rsid w:val="00352548"/>
    <w:rsid w:val="0035577C"/>
    <w:rsid w:val="00373609"/>
    <w:rsid w:val="00394C03"/>
    <w:rsid w:val="003B44CC"/>
    <w:rsid w:val="003F34DF"/>
    <w:rsid w:val="00422C60"/>
    <w:rsid w:val="00444C2E"/>
    <w:rsid w:val="00447768"/>
    <w:rsid w:val="00477F7C"/>
    <w:rsid w:val="004854D9"/>
    <w:rsid w:val="004950EC"/>
    <w:rsid w:val="004A73D1"/>
    <w:rsid w:val="004C610A"/>
    <w:rsid w:val="004D0DB7"/>
    <w:rsid w:val="004E3FB7"/>
    <w:rsid w:val="00582577"/>
    <w:rsid w:val="00582A5A"/>
    <w:rsid w:val="005A7208"/>
    <w:rsid w:val="005B1475"/>
    <w:rsid w:val="00680029"/>
    <w:rsid w:val="00692FA7"/>
    <w:rsid w:val="006C01C5"/>
    <w:rsid w:val="006C11DA"/>
    <w:rsid w:val="006C6416"/>
    <w:rsid w:val="006D2A98"/>
    <w:rsid w:val="006D3F25"/>
    <w:rsid w:val="006E2E31"/>
    <w:rsid w:val="006F4398"/>
    <w:rsid w:val="007244DA"/>
    <w:rsid w:val="0075075A"/>
    <w:rsid w:val="007553D3"/>
    <w:rsid w:val="00764DEC"/>
    <w:rsid w:val="00774299"/>
    <w:rsid w:val="007A4DBE"/>
    <w:rsid w:val="007D1B99"/>
    <w:rsid w:val="007D349B"/>
    <w:rsid w:val="007E2AB5"/>
    <w:rsid w:val="007E429C"/>
    <w:rsid w:val="00823FB4"/>
    <w:rsid w:val="00856B14"/>
    <w:rsid w:val="00865756"/>
    <w:rsid w:val="0087169B"/>
    <w:rsid w:val="008D00E5"/>
    <w:rsid w:val="00916FBA"/>
    <w:rsid w:val="009305BF"/>
    <w:rsid w:val="00971395"/>
    <w:rsid w:val="00971F8F"/>
    <w:rsid w:val="009C2DDA"/>
    <w:rsid w:val="009D6488"/>
    <w:rsid w:val="009F4DBA"/>
    <w:rsid w:val="00A075F8"/>
    <w:rsid w:val="00A10C42"/>
    <w:rsid w:val="00A21753"/>
    <w:rsid w:val="00A23442"/>
    <w:rsid w:val="00A52919"/>
    <w:rsid w:val="00A613CC"/>
    <w:rsid w:val="00A74861"/>
    <w:rsid w:val="00AA5850"/>
    <w:rsid w:val="00AA6E6E"/>
    <w:rsid w:val="00AE6C0B"/>
    <w:rsid w:val="00B07FE7"/>
    <w:rsid w:val="00B3560F"/>
    <w:rsid w:val="00B54435"/>
    <w:rsid w:val="00B60F96"/>
    <w:rsid w:val="00B669CA"/>
    <w:rsid w:val="00B774B9"/>
    <w:rsid w:val="00B81848"/>
    <w:rsid w:val="00B85CF1"/>
    <w:rsid w:val="00B97DFA"/>
    <w:rsid w:val="00BA75F3"/>
    <w:rsid w:val="00C108CD"/>
    <w:rsid w:val="00C16262"/>
    <w:rsid w:val="00C470BD"/>
    <w:rsid w:val="00C60623"/>
    <w:rsid w:val="00C72356"/>
    <w:rsid w:val="00C91CF8"/>
    <w:rsid w:val="00CA52DB"/>
    <w:rsid w:val="00CC20EA"/>
    <w:rsid w:val="00CD4B2C"/>
    <w:rsid w:val="00CD7DB1"/>
    <w:rsid w:val="00D321CA"/>
    <w:rsid w:val="00D348D3"/>
    <w:rsid w:val="00D5666E"/>
    <w:rsid w:val="00D6431C"/>
    <w:rsid w:val="00D76C40"/>
    <w:rsid w:val="00D86277"/>
    <w:rsid w:val="00D94154"/>
    <w:rsid w:val="00DA69C3"/>
    <w:rsid w:val="00E204E2"/>
    <w:rsid w:val="00E23B02"/>
    <w:rsid w:val="00E2414D"/>
    <w:rsid w:val="00E279D0"/>
    <w:rsid w:val="00E832E1"/>
    <w:rsid w:val="00E919CA"/>
    <w:rsid w:val="00E93BCC"/>
    <w:rsid w:val="00EA78AE"/>
    <w:rsid w:val="00EC68BA"/>
    <w:rsid w:val="00EE4750"/>
    <w:rsid w:val="00F04A12"/>
    <w:rsid w:val="00F2673C"/>
    <w:rsid w:val="00F311D0"/>
    <w:rsid w:val="00F5071E"/>
    <w:rsid w:val="00F511C4"/>
    <w:rsid w:val="00F60FCD"/>
    <w:rsid w:val="00F61A6D"/>
    <w:rsid w:val="00F640DE"/>
    <w:rsid w:val="00F646C5"/>
    <w:rsid w:val="00F67D85"/>
    <w:rsid w:val="00F97804"/>
    <w:rsid w:val="00FA58CD"/>
    <w:rsid w:val="00FA74C6"/>
    <w:rsid w:val="00FB1EA7"/>
    <w:rsid w:val="00FB75A8"/>
    <w:rsid w:val="00FE6FA5"/>
    <w:rsid w:val="01017A51"/>
    <w:rsid w:val="013712F7"/>
    <w:rsid w:val="01422176"/>
    <w:rsid w:val="01521C77"/>
    <w:rsid w:val="0156017A"/>
    <w:rsid w:val="01655E65"/>
    <w:rsid w:val="019555B6"/>
    <w:rsid w:val="01CE1B7E"/>
    <w:rsid w:val="01E52B01"/>
    <w:rsid w:val="024D195A"/>
    <w:rsid w:val="02693733"/>
    <w:rsid w:val="02BA631C"/>
    <w:rsid w:val="02D90FB5"/>
    <w:rsid w:val="02E37041"/>
    <w:rsid w:val="0313544C"/>
    <w:rsid w:val="036A1510"/>
    <w:rsid w:val="0370464D"/>
    <w:rsid w:val="03A82039"/>
    <w:rsid w:val="03ED490A"/>
    <w:rsid w:val="03F51DD9"/>
    <w:rsid w:val="04500A4D"/>
    <w:rsid w:val="04641FC7"/>
    <w:rsid w:val="04671EF4"/>
    <w:rsid w:val="048209F9"/>
    <w:rsid w:val="04B62533"/>
    <w:rsid w:val="04DF6B8E"/>
    <w:rsid w:val="0506249B"/>
    <w:rsid w:val="05264894"/>
    <w:rsid w:val="053242B0"/>
    <w:rsid w:val="0551139F"/>
    <w:rsid w:val="055C757F"/>
    <w:rsid w:val="05A860C5"/>
    <w:rsid w:val="05AF5900"/>
    <w:rsid w:val="05CC0260"/>
    <w:rsid w:val="0660244D"/>
    <w:rsid w:val="067B3231"/>
    <w:rsid w:val="068B1EC9"/>
    <w:rsid w:val="06AE5BB8"/>
    <w:rsid w:val="06F118E3"/>
    <w:rsid w:val="06F71B67"/>
    <w:rsid w:val="070D0B30"/>
    <w:rsid w:val="071C0D73"/>
    <w:rsid w:val="074E2E05"/>
    <w:rsid w:val="075A7AEE"/>
    <w:rsid w:val="079A5FB6"/>
    <w:rsid w:val="07E35D35"/>
    <w:rsid w:val="07F97408"/>
    <w:rsid w:val="08187F22"/>
    <w:rsid w:val="08376F06"/>
    <w:rsid w:val="08595DEE"/>
    <w:rsid w:val="087C3598"/>
    <w:rsid w:val="087D7F38"/>
    <w:rsid w:val="089D5EE4"/>
    <w:rsid w:val="08FF19CC"/>
    <w:rsid w:val="090F55BF"/>
    <w:rsid w:val="09212671"/>
    <w:rsid w:val="094B5940"/>
    <w:rsid w:val="095F13EB"/>
    <w:rsid w:val="09BE506B"/>
    <w:rsid w:val="09D805E4"/>
    <w:rsid w:val="09E65669"/>
    <w:rsid w:val="09E85885"/>
    <w:rsid w:val="09ED786C"/>
    <w:rsid w:val="0A13455E"/>
    <w:rsid w:val="0A3D797F"/>
    <w:rsid w:val="0A5D1DCF"/>
    <w:rsid w:val="0A60366D"/>
    <w:rsid w:val="0A682522"/>
    <w:rsid w:val="0AFC751E"/>
    <w:rsid w:val="0B001298"/>
    <w:rsid w:val="0B1332B5"/>
    <w:rsid w:val="0B521370"/>
    <w:rsid w:val="0BC00C3E"/>
    <w:rsid w:val="0BE61950"/>
    <w:rsid w:val="0C126BE9"/>
    <w:rsid w:val="0C41127C"/>
    <w:rsid w:val="0C9D4705"/>
    <w:rsid w:val="0C9E3391"/>
    <w:rsid w:val="0CC4769C"/>
    <w:rsid w:val="0CC812B8"/>
    <w:rsid w:val="0CDF1CB3"/>
    <w:rsid w:val="0D105DBB"/>
    <w:rsid w:val="0D350DE1"/>
    <w:rsid w:val="0D714751"/>
    <w:rsid w:val="0DBA3094"/>
    <w:rsid w:val="0DC03FEB"/>
    <w:rsid w:val="0DFB4B32"/>
    <w:rsid w:val="0E49695C"/>
    <w:rsid w:val="0ECF3C75"/>
    <w:rsid w:val="0ED539DE"/>
    <w:rsid w:val="0EEC54CF"/>
    <w:rsid w:val="0F6341D2"/>
    <w:rsid w:val="0F71556D"/>
    <w:rsid w:val="0FC3794B"/>
    <w:rsid w:val="101051ED"/>
    <w:rsid w:val="10120F66"/>
    <w:rsid w:val="10563548"/>
    <w:rsid w:val="10953945"/>
    <w:rsid w:val="10A30E60"/>
    <w:rsid w:val="111429E7"/>
    <w:rsid w:val="11286567"/>
    <w:rsid w:val="11385D0D"/>
    <w:rsid w:val="11AE2F10"/>
    <w:rsid w:val="11B87BB9"/>
    <w:rsid w:val="11E7661B"/>
    <w:rsid w:val="11EB5F12"/>
    <w:rsid w:val="12686265"/>
    <w:rsid w:val="127A1044"/>
    <w:rsid w:val="128D6FC9"/>
    <w:rsid w:val="12C34799"/>
    <w:rsid w:val="12C80181"/>
    <w:rsid w:val="12E7492B"/>
    <w:rsid w:val="13B51E7B"/>
    <w:rsid w:val="13F15336"/>
    <w:rsid w:val="141537BB"/>
    <w:rsid w:val="141765D4"/>
    <w:rsid w:val="1461070D"/>
    <w:rsid w:val="14834BFC"/>
    <w:rsid w:val="14BF71E2"/>
    <w:rsid w:val="150D43F1"/>
    <w:rsid w:val="154742D4"/>
    <w:rsid w:val="15610299"/>
    <w:rsid w:val="15A765F4"/>
    <w:rsid w:val="15B30587"/>
    <w:rsid w:val="15E11B06"/>
    <w:rsid w:val="15E71217"/>
    <w:rsid w:val="162C1666"/>
    <w:rsid w:val="16604817"/>
    <w:rsid w:val="16753FFC"/>
    <w:rsid w:val="169E776D"/>
    <w:rsid w:val="16B72867"/>
    <w:rsid w:val="16C94348"/>
    <w:rsid w:val="16E0780E"/>
    <w:rsid w:val="16E21F48"/>
    <w:rsid w:val="16F30965"/>
    <w:rsid w:val="16F52434"/>
    <w:rsid w:val="1706559C"/>
    <w:rsid w:val="173F02B3"/>
    <w:rsid w:val="17620A24"/>
    <w:rsid w:val="17676F91"/>
    <w:rsid w:val="178564C1"/>
    <w:rsid w:val="17B84A3E"/>
    <w:rsid w:val="17D631C0"/>
    <w:rsid w:val="17DB4333"/>
    <w:rsid w:val="18446C99"/>
    <w:rsid w:val="187A3B4C"/>
    <w:rsid w:val="18A312F5"/>
    <w:rsid w:val="18E45469"/>
    <w:rsid w:val="18FA4C8D"/>
    <w:rsid w:val="19766A09"/>
    <w:rsid w:val="19913856"/>
    <w:rsid w:val="19CA21E8"/>
    <w:rsid w:val="19D159ED"/>
    <w:rsid w:val="1A072278"/>
    <w:rsid w:val="1A5A3C35"/>
    <w:rsid w:val="1A6913CC"/>
    <w:rsid w:val="1A7A42D7"/>
    <w:rsid w:val="1AE17EB2"/>
    <w:rsid w:val="1AFE7FA5"/>
    <w:rsid w:val="1AFF658A"/>
    <w:rsid w:val="1B097409"/>
    <w:rsid w:val="1B2E0C1E"/>
    <w:rsid w:val="1B5468D6"/>
    <w:rsid w:val="1BC16616"/>
    <w:rsid w:val="1BCD0437"/>
    <w:rsid w:val="1C0F4EF3"/>
    <w:rsid w:val="1C2E5379"/>
    <w:rsid w:val="1C3D736A"/>
    <w:rsid w:val="1C7C6570"/>
    <w:rsid w:val="1CA70C88"/>
    <w:rsid w:val="1CAB4C1C"/>
    <w:rsid w:val="1CC2176A"/>
    <w:rsid w:val="1CC72A6C"/>
    <w:rsid w:val="1D384EF4"/>
    <w:rsid w:val="1D593312"/>
    <w:rsid w:val="1D9A259A"/>
    <w:rsid w:val="1DF61EC7"/>
    <w:rsid w:val="1E0345E3"/>
    <w:rsid w:val="1E067C30"/>
    <w:rsid w:val="1E1862E1"/>
    <w:rsid w:val="1E423C86"/>
    <w:rsid w:val="1EE7180F"/>
    <w:rsid w:val="1F663AFB"/>
    <w:rsid w:val="1FF3423D"/>
    <w:rsid w:val="20475159"/>
    <w:rsid w:val="20664686"/>
    <w:rsid w:val="2093568E"/>
    <w:rsid w:val="20AA343C"/>
    <w:rsid w:val="20B94A00"/>
    <w:rsid w:val="217971B6"/>
    <w:rsid w:val="21837F15"/>
    <w:rsid w:val="21C978F2"/>
    <w:rsid w:val="22397B1D"/>
    <w:rsid w:val="22631AF5"/>
    <w:rsid w:val="22644A35"/>
    <w:rsid w:val="22877591"/>
    <w:rsid w:val="228A0E2F"/>
    <w:rsid w:val="229C7A83"/>
    <w:rsid w:val="22B45EAC"/>
    <w:rsid w:val="22D05B81"/>
    <w:rsid w:val="22D87F8B"/>
    <w:rsid w:val="238735C1"/>
    <w:rsid w:val="23CB749A"/>
    <w:rsid w:val="23CD5478"/>
    <w:rsid w:val="23E340D4"/>
    <w:rsid w:val="24174F97"/>
    <w:rsid w:val="242A0B1C"/>
    <w:rsid w:val="242B6642"/>
    <w:rsid w:val="247C4FA9"/>
    <w:rsid w:val="24990D97"/>
    <w:rsid w:val="24AD7057"/>
    <w:rsid w:val="24CF521F"/>
    <w:rsid w:val="24DD5C71"/>
    <w:rsid w:val="25CC175F"/>
    <w:rsid w:val="26084833"/>
    <w:rsid w:val="261B276F"/>
    <w:rsid w:val="262670C1"/>
    <w:rsid w:val="26467763"/>
    <w:rsid w:val="265A320F"/>
    <w:rsid w:val="269E21F3"/>
    <w:rsid w:val="26AA0214"/>
    <w:rsid w:val="26C3146C"/>
    <w:rsid w:val="26E33204"/>
    <w:rsid w:val="26F45F0A"/>
    <w:rsid w:val="27007A65"/>
    <w:rsid w:val="27CE5C62"/>
    <w:rsid w:val="27EE3C0E"/>
    <w:rsid w:val="28094EEC"/>
    <w:rsid w:val="283D6944"/>
    <w:rsid w:val="284137DE"/>
    <w:rsid w:val="287A56DC"/>
    <w:rsid w:val="28A65ED5"/>
    <w:rsid w:val="28DA1CCE"/>
    <w:rsid w:val="2910079E"/>
    <w:rsid w:val="29165C15"/>
    <w:rsid w:val="291D3FA7"/>
    <w:rsid w:val="29220014"/>
    <w:rsid w:val="29363ABF"/>
    <w:rsid w:val="294A1318"/>
    <w:rsid w:val="297B5976"/>
    <w:rsid w:val="29B75621"/>
    <w:rsid w:val="2A2414DD"/>
    <w:rsid w:val="2A7725E1"/>
    <w:rsid w:val="2AC135BE"/>
    <w:rsid w:val="2B0D3438"/>
    <w:rsid w:val="2B1841B1"/>
    <w:rsid w:val="2B40111A"/>
    <w:rsid w:val="2B6F150A"/>
    <w:rsid w:val="2BDD6474"/>
    <w:rsid w:val="2C11611D"/>
    <w:rsid w:val="2C677A6F"/>
    <w:rsid w:val="2C8114F5"/>
    <w:rsid w:val="2CD739E1"/>
    <w:rsid w:val="2CE11B97"/>
    <w:rsid w:val="2D0A159E"/>
    <w:rsid w:val="2D597EB8"/>
    <w:rsid w:val="2D641099"/>
    <w:rsid w:val="2DB47F9C"/>
    <w:rsid w:val="2DC25921"/>
    <w:rsid w:val="2DE6547D"/>
    <w:rsid w:val="2DE7682C"/>
    <w:rsid w:val="2E352597"/>
    <w:rsid w:val="2EAA04F5"/>
    <w:rsid w:val="2ED81174"/>
    <w:rsid w:val="2F0D736D"/>
    <w:rsid w:val="2F236894"/>
    <w:rsid w:val="2F2F5238"/>
    <w:rsid w:val="2F6A44C2"/>
    <w:rsid w:val="2FAF1ED5"/>
    <w:rsid w:val="2FCC2A87"/>
    <w:rsid w:val="2FF62048"/>
    <w:rsid w:val="2FFB336C"/>
    <w:rsid w:val="3069162C"/>
    <w:rsid w:val="307355F9"/>
    <w:rsid w:val="31003E6F"/>
    <w:rsid w:val="310444A3"/>
    <w:rsid w:val="31200BCF"/>
    <w:rsid w:val="31682D26"/>
    <w:rsid w:val="317620A8"/>
    <w:rsid w:val="31880C30"/>
    <w:rsid w:val="318F1FBE"/>
    <w:rsid w:val="31B1364E"/>
    <w:rsid w:val="31B13702"/>
    <w:rsid w:val="31B847E2"/>
    <w:rsid w:val="31D50476"/>
    <w:rsid w:val="31D65E3F"/>
    <w:rsid w:val="31DD5420"/>
    <w:rsid w:val="323B392A"/>
    <w:rsid w:val="329D4BAF"/>
    <w:rsid w:val="33355B3F"/>
    <w:rsid w:val="3349219F"/>
    <w:rsid w:val="33666D01"/>
    <w:rsid w:val="338F274A"/>
    <w:rsid w:val="34126335"/>
    <w:rsid w:val="344572AC"/>
    <w:rsid w:val="34825E0A"/>
    <w:rsid w:val="34A00986"/>
    <w:rsid w:val="34A456B7"/>
    <w:rsid w:val="34C94621"/>
    <w:rsid w:val="34CE1050"/>
    <w:rsid w:val="34E35404"/>
    <w:rsid w:val="351A4295"/>
    <w:rsid w:val="35675000"/>
    <w:rsid w:val="358B14D9"/>
    <w:rsid w:val="3595639E"/>
    <w:rsid w:val="359C2EFC"/>
    <w:rsid w:val="35B23DBA"/>
    <w:rsid w:val="35DC779C"/>
    <w:rsid w:val="360A60B7"/>
    <w:rsid w:val="361B02C4"/>
    <w:rsid w:val="36B04C59"/>
    <w:rsid w:val="36C441C5"/>
    <w:rsid w:val="36CE16C1"/>
    <w:rsid w:val="37033371"/>
    <w:rsid w:val="37590C4E"/>
    <w:rsid w:val="375D7FC7"/>
    <w:rsid w:val="37A147F9"/>
    <w:rsid w:val="37A70E90"/>
    <w:rsid w:val="37AD7642"/>
    <w:rsid w:val="37BD53AB"/>
    <w:rsid w:val="37F5DC1E"/>
    <w:rsid w:val="38033706"/>
    <w:rsid w:val="380354B4"/>
    <w:rsid w:val="38293977"/>
    <w:rsid w:val="382D2531"/>
    <w:rsid w:val="3851621F"/>
    <w:rsid w:val="3885411B"/>
    <w:rsid w:val="388859B9"/>
    <w:rsid w:val="388D2FD0"/>
    <w:rsid w:val="38A30A45"/>
    <w:rsid w:val="39423DBA"/>
    <w:rsid w:val="398268AC"/>
    <w:rsid w:val="39C36110"/>
    <w:rsid w:val="39CB3DB0"/>
    <w:rsid w:val="39F72DF7"/>
    <w:rsid w:val="3A2A5198"/>
    <w:rsid w:val="3AF9494C"/>
    <w:rsid w:val="3B037579"/>
    <w:rsid w:val="3B3C308E"/>
    <w:rsid w:val="3B4572FE"/>
    <w:rsid w:val="3BC45E60"/>
    <w:rsid w:val="3BD756F9"/>
    <w:rsid w:val="3C5207B8"/>
    <w:rsid w:val="3CBB22C5"/>
    <w:rsid w:val="3CFB3E14"/>
    <w:rsid w:val="3D1B504E"/>
    <w:rsid w:val="3D3C45F6"/>
    <w:rsid w:val="3D516CC2"/>
    <w:rsid w:val="3DA41149"/>
    <w:rsid w:val="3DD70E68"/>
    <w:rsid w:val="3DDA47F7"/>
    <w:rsid w:val="3DF80EEB"/>
    <w:rsid w:val="3E1D5848"/>
    <w:rsid w:val="3F31011D"/>
    <w:rsid w:val="3F4F2336"/>
    <w:rsid w:val="3F7D78FA"/>
    <w:rsid w:val="3F827606"/>
    <w:rsid w:val="3F8A59EE"/>
    <w:rsid w:val="4025200D"/>
    <w:rsid w:val="404552A0"/>
    <w:rsid w:val="407947D7"/>
    <w:rsid w:val="40A52D1A"/>
    <w:rsid w:val="417C1E33"/>
    <w:rsid w:val="41874A60"/>
    <w:rsid w:val="41E55808"/>
    <w:rsid w:val="424130F0"/>
    <w:rsid w:val="42442951"/>
    <w:rsid w:val="424741EF"/>
    <w:rsid w:val="42791C50"/>
    <w:rsid w:val="4283791D"/>
    <w:rsid w:val="42A66938"/>
    <w:rsid w:val="42A718CF"/>
    <w:rsid w:val="431F6959"/>
    <w:rsid w:val="434C41B3"/>
    <w:rsid w:val="43B65AD0"/>
    <w:rsid w:val="43B9111D"/>
    <w:rsid w:val="43BB6C43"/>
    <w:rsid w:val="43C255EA"/>
    <w:rsid w:val="43CA332A"/>
    <w:rsid w:val="440208A8"/>
    <w:rsid w:val="44092DCB"/>
    <w:rsid w:val="444035EC"/>
    <w:rsid w:val="444E3BFD"/>
    <w:rsid w:val="444E3F5B"/>
    <w:rsid w:val="44760DBC"/>
    <w:rsid w:val="44825A5F"/>
    <w:rsid w:val="44AB6CB7"/>
    <w:rsid w:val="45091C30"/>
    <w:rsid w:val="45137A06"/>
    <w:rsid w:val="453D3D89"/>
    <w:rsid w:val="45404AAF"/>
    <w:rsid w:val="4553788C"/>
    <w:rsid w:val="45944760"/>
    <w:rsid w:val="45C7686F"/>
    <w:rsid w:val="45C81AEB"/>
    <w:rsid w:val="45F4643C"/>
    <w:rsid w:val="45F64419"/>
    <w:rsid w:val="461450BA"/>
    <w:rsid w:val="46342CDD"/>
    <w:rsid w:val="46347950"/>
    <w:rsid w:val="46460837"/>
    <w:rsid w:val="465B470D"/>
    <w:rsid w:val="46B96BE1"/>
    <w:rsid w:val="46CE3131"/>
    <w:rsid w:val="46EB2166"/>
    <w:rsid w:val="474D5970"/>
    <w:rsid w:val="47727ECE"/>
    <w:rsid w:val="47963589"/>
    <w:rsid w:val="47A83982"/>
    <w:rsid w:val="47B42327"/>
    <w:rsid w:val="47C7388B"/>
    <w:rsid w:val="47CD605D"/>
    <w:rsid w:val="47D66741"/>
    <w:rsid w:val="47DD7AD0"/>
    <w:rsid w:val="48164637"/>
    <w:rsid w:val="484B6119"/>
    <w:rsid w:val="485F583B"/>
    <w:rsid w:val="489F4D85"/>
    <w:rsid w:val="48A00C25"/>
    <w:rsid w:val="48A06A44"/>
    <w:rsid w:val="48C93B11"/>
    <w:rsid w:val="49194B47"/>
    <w:rsid w:val="495A4583"/>
    <w:rsid w:val="496D6C31"/>
    <w:rsid w:val="49902F97"/>
    <w:rsid w:val="499A554C"/>
    <w:rsid w:val="49E371FA"/>
    <w:rsid w:val="4A047446"/>
    <w:rsid w:val="4A143650"/>
    <w:rsid w:val="4A1C2405"/>
    <w:rsid w:val="4A235542"/>
    <w:rsid w:val="4A2B0F44"/>
    <w:rsid w:val="4A7F79B1"/>
    <w:rsid w:val="4AA2290B"/>
    <w:rsid w:val="4AAF6DD6"/>
    <w:rsid w:val="4AE72A13"/>
    <w:rsid w:val="4AE90539"/>
    <w:rsid w:val="4B047121"/>
    <w:rsid w:val="4B7324F9"/>
    <w:rsid w:val="4BC114B6"/>
    <w:rsid w:val="4C115F9A"/>
    <w:rsid w:val="4C2B677F"/>
    <w:rsid w:val="4C512A53"/>
    <w:rsid w:val="4C575977"/>
    <w:rsid w:val="4C9359FB"/>
    <w:rsid w:val="4CA46E0E"/>
    <w:rsid w:val="4CCF74E6"/>
    <w:rsid w:val="4CD33FCC"/>
    <w:rsid w:val="4D2C6E03"/>
    <w:rsid w:val="4D480CB5"/>
    <w:rsid w:val="4D487DCD"/>
    <w:rsid w:val="4D5A74CD"/>
    <w:rsid w:val="4D676907"/>
    <w:rsid w:val="4D762779"/>
    <w:rsid w:val="4D857D45"/>
    <w:rsid w:val="4D8865FA"/>
    <w:rsid w:val="4DA1635B"/>
    <w:rsid w:val="4DF252CB"/>
    <w:rsid w:val="4E0631B0"/>
    <w:rsid w:val="4E0906A4"/>
    <w:rsid w:val="4E217FEA"/>
    <w:rsid w:val="4E2234FC"/>
    <w:rsid w:val="4E2F0959"/>
    <w:rsid w:val="4E5700DC"/>
    <w:rsid w:val="4E915170"/>
    <w:rsid w:val="4E9407BC"/>
    <w:rsid w:val="4EC866B8"/>
    <w:rsid w:val="4ED82D9F"/>
    <w:rsid w:val="4EF9381F"/>
    <w:rsid w:val="4F18763F"/>
    <w:rsid w:val="4F31425D"/>
    <w:rsid w:val="4F462BAB"/>
    <w:rsid w:val="4F4977F9"/>
    <w:rsid w:val="4F626B0C"/>
    <w:rsid w:val="4F674123"/>
    <w:rsid w:val="4FBE01E7"/>
    <w:rsid w:val="4FDA66A3"/>
    <w:rsid w:val="4FFA6972"/>
    <w:rsid w:val="50A218B6"/>
    <w:rsid w:val="50B96C00"/>
    <w:rsid w:val="50BE4216"/>
    <w:rsid w:val="50CD4459"/>
    <w:rsid w:val="50D175F2"/>
    <w:rsid w:val="50E97283"/>
    <w:rsid w:val="51143E36"/>
    <w:rsid w:val="51361FFF"/>
    <w:rsid w:val="51447334"/>
    <w:rsid w:val="516F72BF"/>
    <w:rsid w:val="518415BB"/>
    <w:rsid w:val="51864D34"/>
    <w:rsid w:val="5189484F"/>
    <w:rsid w:val="51C921D5"/>
    <w:rsid w:val="51FF0643"/>
    <w:rsid w:val="522E717A"/>
    <w:rsid w:val="52374280"/>
    <w:rsid w:val="524E2E8A"/>
    <w:rsid w:val="526D1A50"/>
    <w:rsid w:val="529E042C"/>
    <w:rsid w:val="52C84ED8"/>
    <w:rsid w:val="52E2243E"/>
    <w:rsid w:val="52E86AB4"/>
    <w:rsid w:val="52F1442F"/>
    <w:rsid w:val="530211CC"/>
    <w:rsid w:val="53155374"/>
    <w:rsid w:val="531B5950"/>
    <w:rsid w:val="531F036B"/>
    <w:rsid w:val="533D58C6"/>
    <w:rsid w:val="536D57D7"/>
    <w:rsid w:val="53890B0C"/>
    <w:rsid w:val="539858AA"/>
    <w:rsid w:val="53CB0E04"/>
    <w:rsid w:val="53CB4404"/>
    <w:rsid w:val="53EC109A"/>
    <w:rsid w:val="541067AB"/>
    <w:rsid w:val="541D1254"/>
    <w:rsid w:val="54436F0C"/>
    <w:rsid w:val="547370C6"/>
    <w:rsid w:val="549E05E7"/>
    <w:rsid w:val="54B971CF"/>
    <w:rsid w:val="55256612"/>
    <w:rsid w:val="555227DD"/>
    <w:rsid w:val="55560A06"/>
    <w:rsid w:val="556658CF"/>
    <w:rsid w:val="55A54A12"/>
    <w:rsid w:val="55DB6C3C"/>
    <w:rsid w:val="55E77D6B"/>
    <w:rsid w:val="56004375"/>
    <w:rsid w:val="563F3703"/>
    <w:rsid w:val="5697709C"/>
    <w:rsid w:val="56F2179E"/>
    <w:rsid w:val="572A6162"/>
    <w:rsid w:val="572A7A28"/>
    <w:rsid w:val="573C2D18"/>
    <w:rsid w:val="57433125"/>
    <w:rsid w:val="575C4187"/>
    <w:rsid w:val="57684EDC"/>
    <w:rsid w:val="57923D07"/>
    <w:rsid w:val="57AE2E6C"/>
    <w:rsid w:val="57CB5699"/>
    <w:rsid w:val="583406A7"/>
    <w:rsid w:val="58577DFB"/>
    <w:rsid w:val="58873140"/>
    <w:rsid w:val="58A41F44"/>
    <w:rsid w:val="58B16DE5"/>
    <w:rsid w:val="58BA3B70"/>
    <w:rsid w:val="58E047BA"/>
    <w:rsid w:val="58FE78A6"/>
    <w:rsid w:val="592F3F03"/>
    <w:rsid w:val="59301A29"/>
    <w:rsid w:val="597265D0"/>
    <w:rsid w:val="59821F33"/>
    <w:rsid w:val="598619EA"/>
    <w:rsid w:val="599D73A3"/>
    <w:rsid w:val="59A26483"/>
    <w:rsid w:val="59FB5B93"/>
    <w:rsid w:val="5A307F33"/>
    <w:rsid w:val="5A346EE5"/>
    <w:rsid w:val="5A390534"/>
    <w:rsid w:val="5AB34136"/>
    <w:rsid w:val="5ADE11A6"/>
    <w:rsid w:val="5AE14D89"/>
    <w:rsid w:val="5AEC2CC5"/>
    <w:rsid w:val="5B0B1E06"/>
    <w:rsid w:val="5B112C8E"/>
    <w:rsid w:val="5B385C61"/>
    <w:rsid w:val="5BB57FC4"/>
    <w:rsid w:val="5BD448EE"/>
    <w:rsid w:val="5C2E03D8"/>
    <w:rsid w:val="5C350A9E"/>
    <w:rsid w:val="5C3705AA"/>
    <w:rsid w:val="5C3B7F77"/>
    <w:rsid w:val="5C4F5811"/>
    <w:rsid w:val="5C6E0A64"/>
    <w:rsid w:val="5C871960"/>
    <w:rsid w:val="5CBE4DCE"/>
    <w:rsid w:val="5CF41D3E"/>
    <w:rsid w:val="5D3F048D"/>
    <w:rsid w:val="5D3F6ADC"/>
    <w:rsid w:val="5D521F6E"/>
    <w:rsid w:val="5DDE660B"/>
    <w:rsid w:val="5E127950"/>
    <w:rsid w:val="5E300C31"/>
    <w:rsid w:val="5E443FAD"/>
    <w:rsid w:val="5E7FFFD1"/>
    <w:rsid w:val="5ED15115"/>
    <w:rsid w:val="5EF01A3F"/>
    <w:rsid w:val="5F13397F"/>
    <w:rsid w:val="5F357D99"/>
    <w:rsid w:val="5F521F20"/>
    <w:rsid w:val="5F697A43"/>
    <w:rsid w:val="5F895171"/>
    <w:rsid w:val="5F9D32AC"/>
    <w:rsid w:val="5FCC6587"/>
    <w:rsid w:val="5FFB8266"/>
    <w:rsid w:val="603D6B66"/>
    <w:rsid w:val="60762418"/>
    <w:rsid w:val="60767C9F"/>
    <w:rsid w:val="60953464"/>
    <w:rsid w:val="60B30F76"/>
    <w:rsid w:val="60B371C8"/>
    <w:rsid w:val="60C111C3"/>
    <w:rsid w:val="60DC0AC2"/>
    <w:rsid w:val="60FD6695"/>
    <w:rsid w:val="610D086E"/>
    <w:rsid w:val="61570A8C"/>
    <w:rsid w:val="61781C79"/>
    <w:rsid w:val="61A33790"/>
    <w:rsid w:val="61BB10AD"/>
    <w:rsid w:val="61C947C9"/>
    <w:rsid w:val="620F48D2"/>
    <w:rsid w:val="62206498"/>
    <w:rsid w:val="62401C7C"/>
    <w:rsid w:val="6263230B"/>
    <w:rsid w:val="62C54F90"/>
    <w:rsid w:val="62D03ADA"/>
    <w:rsid w:val="62FB4E56"/>
    <w:rsid w:val="634A2A58"/>
    <w:rsid w:val="635D7F9A"/>
    <w:rsid w:val="63732C3E"/>
    <w:rsid w:val="63F7532D"/>
    <w:rsid w:val="64573577"/>
    <w:rsid w:val="645C6514"/>
    <w:rsid w:val="65163778"/>
    <w:rsid w:val="651D5558"/>
    <w:rsid w:val="652B47FF"/>
    <w:rsid w:val="65530F79"/>
    <w:rsid w:val="657C5397"/>
    <w:rsid w:val="65A11D5F"/>
    <w:rsid w:val="65A43583"/>
    <w:rsid w:val="65B90288"/>
    <w:rsid w:val="65C15EE3"/>
    <w:rsid w:val="65C77271"/>
    <w:rsid w:val="66403637"/>
    <w:rsid w:val="66410DD2"/>
    <w:rsid w:val="66415276"/>
    <w:rsid w:val="66967370"/>
    <w:rsid w:val="66A23F66"/>
    <w:rsid w:val="66FC374D"/>
    <w:rsid w:val="671D183F"/>
    <w:rsid w:val="673426E5"/>
    <w:rsid w:val="673565FE"/>
    <w:rsid w:val="67492634"/>
    <w:rsid w:val="674B52A8"/>
    <w:rsid w:val="67A1618A"/>
    <w:rsid w:val="67E14D7E"/>
    <w:rsid w:val="67E44F00"/>
    <w:rsid w:val="67F84EDB"/>
    <w:rsid w:val="68180E35"/>
    <w:rsid w:val="6853276C"/>
    <w:rsid w:val="686D2352"/>
    <w:rsid w:val="689577F9"/>
    <w:rsid w:val="68B60B17"/>
    <w:rsid w:val="68BC5088"/>
    <w:rsid w:val="692A5E73"/>
    <w:rsid w:val="692E487C"/>
    <w:rsid w:val="6942558D"/>
    <w:rsid w:val="69675EB2"/>
    <w:rsid w:val="697F058F"/>
    <w:rsid w:val="699807CA"/>
    <w:rsid w:val="6A055FB6"/>
    <w:rsid w:val="6A1F59EF"/>
    <w:rsid w:val="6A3749C6"/>
    <w:rsid w:val="6A4470E3"/>
    <w:rsid w:val="6A484E25"/>
    <w:rsid w:val="6A721EA2"/>
    <w:rsid w:val="6A7D177A"/>
    <w:rsid w:val="6AC02D8B"/>
    <w:rsid w:val="6ADA35A3"/>
    <w:rsid w:val="6B855C05"/>
    <w:rsid w:val="6BCF6E80"/>
    <w:rsid w:val="6BF82BED"/>
    <w:rsid w:val="6BFD5BD5"/>
    <w:rsid w:val="6C6D0B73"/>
    <w:rsid w:val="6CDE55CC"/>
    <w:rsid w:val="6D120B9C"/>
    <w:rsid w:val="6D415B5B"/>
    <w:rsid w:val="6D9263B7"/>
    <w:rsid w:val="6D945BE7"/>
    <w:rsid w:val="6DDE6E3C"/>
    <w:rsid w:val="6E573888"/>
    <w:rsid w:val="6E6637F6"/>
    <w:rsid w:val="6EB06808"/>
    <w:rsid w:val="6EB20ABF"/>
    <w:rsid w:val="6EDC5B3C"/>
    <w:rsid w:val="6F1051BC"/>
    <w:rsid w:val="6F1277AF"/>
    <w:rsid w:val="6F370FC4"/>
    <w:rsid w:val="6F911144"/>
    <w:rsid w:val="6F991C7F"/>
    <w:rsid w:val="6F9D176F"/>
    <w:rsid w:val="6FA348AB"/>
    <w:rsid w:val="6FA64AAB"/>
    <w:rsid w:val="6FBB1B0B"/>
    <w:rsid w:val="70097657"/>
    <w:rsid w:val="700A6ABE"/>
    <w:rsid w:val="701F5AB8"/>
    <w:rsid w:val="70253512"/>
    <w:rsid w:val="70634936"/>
    <w:rsid w:val="70757FF6"/>
    <w:rsid w:val="708015FF"/>
    <w:rsid w:val="70A1703D"/>
    <w:rsid w:val="70CE35DB"/>
    <w:rsid w:val="711315BD"/>
    <w:rsid w:val="712350DE"/>
    <w:rsid w:val="71384016"/>
    <w:rsid w:val="717402AD"/>
    <w:rsid w:val="71D95ABF"/>
    <w:rsid w:val="71E13469"/>
    <w:rsid w:val="71F950A9"/>
    <w:rsid w:val="72233A82"/>
    <w:rsid w:val="72275320"/>
    <w:rsid w:val="7242215A"/>
    <w:rsid w:val="725230E2"/>
    <w:rsid w:val="725C5275"/>
    <w:rsid w:val="728370A4"/>
    <w:rsid w:val="728E1843"/>
    <w:rsid w:val="72A20E4A"/>
    <w:rsid w:val="72B312A9"/>
    <w:rsid w:val="731D17F8"/>
    <w:rsid w:val="73B66F0D"/>
    <w:rsid w:val="73C86FF9"/>
    <w:rsid w:val="740F42BD"/>
    <w:rsid w:val="74116287"/>
    <w:rsid w:val="744D3038"/>
    <w:rsid w:val="746F2FAE"/>
    <w:rsid w:val="747607E0"/>
    <w:rsid w:val="74873609"/>
    <w:rsid w:val="748C1DB2"/>
    <w:rsid w:val="74AE3431"/>
    <w:rsid w:val="74F75A4D"/>
    <w:rsid w:val="75256005"/>
    <w:rsid w:val="752E238A"/>
    <w:rsid w:val="757C7849"/>
    <w:rsid w:val="758111EB"/>
    <w:rsid w:val="759A7252"/>
    <w:rsid w:val="75AE0F49"/>
    <w:rsid w:val="75B01AD0"/>
    <w:rsid w:val="75B208C0"/>
    <w:rsid w:val="75BF1D13"/>
    <w:rsid w:val="75C612F4"/>
    <w:rsid w:val="760C40E1"/>
    <w:rsid w:val="76200A04"/>
    <w:rsid w:val="762B1157"/>
    <w:rsid w:val="763224E5"/>
    <w:rsid w:val="76406335"/>
    <w:rsid w:val="76691709"/>
    <w:rsid w:val="766D176F"/>
    <w:rsid w:val="76910CDB"/>
    <w:rsid w:val="769A3E2D"/>
    <w:rsid w:val="76C23869"/>
    <w:rsid w:val="76D31F1A"/>
    <w:rsid w:val="77274014"/>
    <w:rsid w:val="774EFE15"/>
    <w:rsid w:val="77613082"/>
    <w:rsid w:val="77616805"/>
    <w:rsid w:val="776B3F01"/>
    <w:rsid w:val="780CD37A"/>
    <w:rsid w:val="783464A3"/>
    <w:rsid w:val="784B788E"/>
    <w:rsid w:val="78514954"/>
    <w:rsid w:val="787E7C64"/>
    <w:rsid w:val="78AA6CAB"/>
    <w:rsid w:val="78F9378E"/>
    <w:rsid w:val="790F6B0E"/>
    <w:rsid w:val="791E4FA3"/>
    <w:rsid w:val="793425DB"/>
    <w:rsid w:val="794B4DE6"/>
    <w:rsid w:val="795178B0"/>
    <w:rsid w:val="796230E1"/>
    <w:rsid w:val="797D616D"/>
    <w:rsid w:val="79C03BB0"/>
    <w:rsid w:val="79C43D9C"/>
    <w:rsid w:val="7A680BCB"/>
    <w:rsid w:val="7AA346C7"/>
    <w:rsid w:val="7AB931D5"/>
    <w:rsid w:val="7B164183"/>
    <w:rsid w:val="7B2C7E4B"/>
    <w:rsid w:val="7B3B1E3C"/>
    <w:rsid w:val="7B494559"/>
    <w:rsid w:val="7BA415AB"/>
    <w:rsid w:val="7BA560CE"/>
    <w:rsid w:val="7BFA5853"/>
    <w:rsid w:val="7CAF663E"/>
    <w:rsid w:val="7CCA3477"/>
    <w:rsid w:val="7CED53B8"/>
    <w:rsid w:val="7D022350"/>
    <w:rsid w:val="7D1074ED"/>
    <w:rsid w:val="7D5F671E"/>
    <w:rsid w:val="7D621902"/>
    <w:rsid w:val="7D6733BC"/>
    <w:rsid w:val="7D9D0B8C"/>
    <w:rsid w:val="7D9F3323"/>
    <w:rsid w:val="7DAA1493"/>
    <w:rsid w:val="7DC12ACC"/>
    <w:rsid w:val="7DDC2D72"/>
    <w:rsid w:val="7E282B4B"/>
    <w:rsid w:val="7E2C6E5F"/>
    <w:rsid w:val="7E3037AE"/>
    <w:rsid w:val="7E5E656D"/>
    <w:rsid w:val="7E636C75"/>
    <w:rsid w:val="7E7F34FE"/>
    <w:rsid w:val="7EA624E3"/>
    <w:rsid w:val="7EA877E8"/>
    <w:rsid w:val="7EAB552B"/>
    <w:rsid w:val="7EF5A9E2"/>
    <w:rsid w:val="7F011296"/>
    <w:rsid w:val="7F0D0D9D"/>
    <w:rsid w:val="7F1C2780"/>
    <w:rsid w:val="7F392B36"/>
    <w:rsid w:val="7F5D3337"/>
    <w:rsid w:val="7F673200"/>
    <w:rsid w:val="7FEB5DDD"/>
    <w:rsid w:val="7FF2112D"/>
    <w:rsid w:val="B7BD8B4E"/>
    <w:rsid w:val="BAFD5A78"/>
    <w:rsid w:val="BAFF958E"/>
    <w:rsid w:val="BB535082"/>
    <w:rsid w:val="CEE90DEB"/>
    <w:rsid w:val="DDBF937C"/>
    <w:rsid w:val="DF638084"/>
    <w:rsid w:val="DFBF783C"/>
    <w:rsid w:val="DFF835B4"/>
    <w:rsid w:val="EC7F80F5"/>
    <w:rsid w:val="EEB5983D"/>
    <w:rsid w:val="F7DEF9AC"/>
    <w:rsid w:val="FBFF0A7E"/>
    <w:rsid w:val="FDF90515"/>
    <w:rsid w:val="FF7D44E8"/>
    <w:rsid w:val="FF7FD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33"/>
    <w:qFormat/>
    <w:uiPriority w:val="0"/>
    <w:pPr>
      <w:keepNext/>
      <w:keepLines/>
      <w:numPr>
        <w:ilvl w:val="0"/>
        <w:numId w:val="1"/>
      </w:numPr>
      <w:ind w:firstLine="200"/>
      <w:outlineLvl w:val="0"/>
    </w:pPr>
    <w:rPr>
      <w:rFonts w:ascii="Times New Roman" w:hAnsi="Times New Roman" w:eastAsia="方正小标宋简体"/>
      <w:bCs/>
      <w:kern w:val="44"/>
      <w:sz w:val="44"/>
      <w:szCs w:val="44"/>
    </w:rPr>
  </w:style>
  <w:style w:type="paragraph" w:styleId="4">
    <w:name w:val="heading 2"/>
    <w:basedOn w:val="1"/>
    <w:next w:val="1"/>
    <w:link w:val="32"/>
    <w:qFormat/>
    <w:uiPriority w:val="1"/>
    <w:pPr>
      <w:keepNext/>
      <w:keepLines/>
      <w:numPr>
        <w:ilvl w:val="0"/>
        <w:numId w:val="2"/>
      </w:numPr>
      <w:ind w:firstLine="0" w:firstLineChars="0"/>
      <w:outlineLvl w:val="1"/>
    </w:pPr>
    <w:rPr>
      <w:rFonts w:ascii="仿宋_GB2312" w:hAnsi="Luxi Sans"/>
      <w:szCs w:val="24"/>
    </w:rPr>
  </w:style>
  <w:style w:type="paragraph" w:styleId="5">
    <w:name w:val="heading 3"/>
    <w:basedOn w:val="1"/>
    <w:next w:val="1"/>
    <w:link w:val="34"/>
    <w:unhideWhenUsed/>
    <w:qFormat/>
    <w:uiPriority w:val="0"/>
    <w:pPr>
      <w:keepNext/>
      <w:keepLines/>
      <w:numPr>
        <w:ilvl w:val="0"/>
        <w:numId w:val="3"/>
      </w:numPr>
      <w:adjustRightInd w:val="0"/>
      <w:ind w:firstLine="200"/>
      <w:outlineLvl w:val="2"/>
    </w:pPr>
    <w:rPr>
      <w:bCs/>
      <w:shd w:val="clear" w:color="auto" w:fill="FFFFFF"/>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styleId="6">
    <w:name w:val="annotation text"/>
    <w:basedOn w:val="1"/>
    <w:qFormat/>
    <w:uiPriority w:val="0"/>
    <w:pPr>
      <w:jc w:val="left"/>
    </w:pPr>
  </w:style>
  <w:style w:type="paragraph" w:styleId="7">
    <w:name w:val="Date"/>
    <w:basedOn w:val="1"/>
    <w:next w:val="1"/>
    <w:link w:val="44"/>
    <w:qFormat/>
    <w:uiPriority w:val="0"/>
    <w:pPr>
      <w:ind w:left="100" w:leftChars="2500"/>
    </w:pPr>
  </w:style>
  <w:style w:type="paragraph" w:styleId="8">
    <w:name w:val="Balloon Text"/>
    <w:basedOn w:val="1"/>
    <w:link w:val="35"/>
    <w:qFormat/>
    <w:uiPriority w:val="0"/>
    <w:rPr>
      <w:sz w:val="18"/>
      <w:szCs w:val="18"/>
    </w:rPr>
  </w:style>
  <w:style w:type="paragraph" w:styleId="9">
    <w:name w:val="footer"/>
    <w:basedOn w:val="1"/>
    <w:link w:val="40"/>
    <w:qFormat/>
    <w:uiPriority w:val="99"/>
    <w:pPr>
      <w:tabs>
        <w:tab w:val="center" w:pos="4153"/>
        <w:tab w:val="right" w:pos="8306"/>
      </w:tabs>
      <w:snapToGrid w:val="0"/>
      <w:jc w:val="left"/>
    </w:pPr>
    <w:rPr>
      <w:rFonts w:eastAsia="宋体"/>
      <w:sz w:val="18"/>
      <w:szCs w:val="18"/>
    </w:rPr>
  </w:style>
  <w:style w:type="paragraph" w:styleId="10">
    <w:name w:val="header"/>
    <w:basedOn w:val="1"/>
    <w:link w:val="41"/>
    <w:qFormat/>
    <w:uiPriority w:val="99"/>
    <w:pPr>
      <w:pBdr>
        <w:bottom w:val="single" w:color="auto" w:sz="6" w:space="1"/>
      </w:pBdr>
      <w:tabs>
        <w:tab w:val="center" w:pos="4153"/>
        <w:tab w:val="right" w:pos="8306"/>
      </w:tabs>
      <w:snapToGrid w:val="0"/>
      <w:jc w:val="center"/>
    </w:pPr>
    <w:rPr>
      <w:rFonts w:eastAsia="宋体"/>
      <w:sz w:val="18"/>
      <w:szCs w:val="18"/>
    </w:rPr>
  </w:style>
  <w:style w:type="paragraph" w:styleId="11">
    <w:name w:val="toc 1"/>
    <w:basedOn w:val="1"/>
    <w:next w:val="1"/>
    <w:unhideWhenUsed/>
    <w:qFormat/>
    <w:uiPriority w:val="39"/>
    <w:pPr>
      <w:spacing w:line="600" w:lineRule="exact"/>
      <w:ind w:firstLine="640"/>
    </w:pPr>
    <w:rPr>
      <w:kern w:val="0"/>
      <w:szCs w:val="28"/>
      <w:lang w:val="zh-CN"/>
    </w:rPr>
  </w:style>
  <w:style w:type="paragraph" w:styleId="12">
    <w:name w:val="footnote text"/>
    <w:basedOn w:val="1"/>
    <w:qFormat/>
    <w:uiPriority w:val="0"/>
    <w:pPr>
      <w:snapToGrid w:val="0"/>
      <w:spacing w:line="240" w:lineRule="auto"/>
      <w:jc w:val="left"/>
    </w:pPr>
    <w:rPr>
      <w:rFonts w:ascii="Times New Roman" w:hAnsi="Times New Roman" w:eastAsia="仿宋_GB2312" w:cs="Times New Roman"/>
      <w:sz w:val="18"/>
    </w:rPr>
  </w:style>
  <w:style w:type="paragraph" w:styleId="13">
    <w:name w:val="toc 2"/>
    <w:basedOn w:val="1"/>
    <w:next w:val="1"/>
    <w:unhideWhenUsed/>
    <w:qFormat/>
    <w:uiPriority w:val="39"/>
    <w:pPr>
      <w:spacing w:line="600" w:lineRule="exact"/>
      <w:ind w:left="420" w:leftChars="200" w:firstLine="640"/>
    </w:pPr>
    <w:rPr>
      <w:kern w:val="0"/>
      <w:szCs w:val="28"/>
      <w:lang w:val="zh-C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footnote reference"/>
    <w:basedOn w:val="17"/>
    <w:qFormat/>
    <w:uiPriority w:val="0"/>
    <w:rPr>
      <w:vertAlign w:val="superscript"/>
    </w:rPr>
  </w:style>
  <w:style w:type="paragraph" w:customStyle="1" w:styleId="21">
    <w:name w:val="擎业二级标题"/>
    <w:basedOn w:val="1"/>
    <w:next w:val="1"/>
    <w:qFormat/>
    <w:uiPriority w:val="0"/>
    <w:pPr>
      <w:keepNext/>
      <w:numPr>
        <w:ilvl w:val="0"/>
        <w:numId w:val="4"/>
      </w:numPr>
      <w:spacing w:line="576" w:lineRule="exact"/>
      <w:ind w:left="0" w:firstLine="640"/>
      <w:outlineLvl w:val="1"/>
    </w:pPr>
    <w:rPr>
      <w:rFonts w:hint="eastAsia" w:ascii="FangSong_GB2312" w:hAnsi="FangSong_GB2312" w:eastAsia="楷体_GB2312"/>
      <w:szCs w:val="24"/>
    </w:rPr>
  </w:style>
  <w:style w:type="paragraph" w:customStyle="1" w:styleId="22">
    <w:name w:val="擎业一级标题"/>
    <w:basedOn w:val="1"/>
    <w:next w:val="1"/>
    <w:link w:val="23"/>
    <w:qFormat/>
    <w:uiPriority w:val="0"/>
    <w:pPr>
      <w:keepNext/>
      <w:numPr>
        <w:ilvl w:val="0"/>
        <w:numId w:val="5"/>
      </w:numPr>
      <w:spacing w:line="576" w:lineRule="exact"/>
      <w:ind w:firstLine="420" w:firstLineChars="200"/>
      <w:outlineLvl w:val="0"/>
    </w:pPr>
    <w:rPr>
      <w:rFonts w:ascii="FangSong_GB2312" w:hAnsi="FangSong_GB2312" w:eastAsia="黑体" w:cs="仿宋_GB2312"/>
      <w:kern w:val="44"/>
      <w:szCs w:val="44"/>
      <w:lang w:val="zh-CN"/>
    </w:rPr>
  </w:style>
  <w:style w:type="character" w:customStyle="1" w:styleId="23">
    <w:name w:val="擎业一级标题 Char"/>
    <w:link w:val="22"/>
    <w:qFormat/>
    <w:uiPriority w:val="0"/>
    <w:rPr>
      <w:rFonts w:ascii="FangSong_GB2312" w:hAnsi="FangSong_GB2312" w:eastAsia="黑体" w:cs="仿宋_GB2312"/>
      <w:kern w:val="44"/>
      <w:szCs w:val="44"/>
      <w:lang w:val="zh-CN"/>
    </w:rPr>
  </w:style>
  <w:style w:type="paragraph" w:customStyle="1" w:styleId="24">
    <w:name w:val="擎业表文字"/>
    <w:basedOn w:val="1"/>
    <w:link w:val="25"/>
    <w:qFormat/>
    <w:uiPriority w:val="5"/>
    <w:pPr>
      <w:widowControl/>
      <w:pBdr>
        <w:between w:val="single" w:color="auto" w:sz="4" w:space="1"/>
      </w:pBdr>
      <w:spacing w:line="320" w:lineRule="exact"/>
      <w:ind w:firstLine="0" w:firstLineChars="0"/>
      <w:jc w:val="center"/>
    </w:pPr>
    <w:rPr>
      <w:rFonts w:ascii="Times New Roman" w:hAnsi="Times New Roman" w:eastAsia="FangSong_GB2312" w:cs="宋体"/>
      <w:bCs/>
      <w:color w:val="000000"/>
      <w:kern w:val="0"/>
      <w:sz w:val="22"/>
      <w:szCs w:val="22"/>
      <w:lang w:val="zh-CN"/>
    </w:rPr>
  </w:style>
  <w:style w:type="character" w:customStyle="1" w:styleId="25">
    <w:name w:val="汇政表文字 字符"/>
    <w:basedOn w:val="17"/>
    <w:link w:val="24"/>
    <w:qFormat/>
    <w:uiPriority w:val="5"/>
    <w:rPr>
      <w:rFonts w:ascii="Times New Roman" w:hAnsi="Times New Roman" w:eastAsia="FangSong_GB2312" w:cs="宋体"/>
      <w:bCs/>
      <w:color w:val="000000"/>
      <w:sz w:val="22"/>
      <w:szCs w:val="22"/>
      <w:lang w:val="zh-CN"/>
    </w:rPr>
  </w:style>
  <w:style w:type="paragraph" w:customStyle="1" w:styleId="26">
    <w:name w:val="附件标题"/>
    <w:basedOn w:val="1"/>
    <w:qFormat/>
    <w:uiPriority w:val="6"/>
    <w:pPr>
      <w:spacing w:before="120" w:after="60" w:line="240" w:lineRule="auto"/>
      <w:ind w:firstLine="0" w:firstLineChars="0"/>
      <w:outlineLvl w:val="0"/>
    </w:pPr>
    <w:rPr>
      <w:rFonts w:eastAsia="黑体"/>
      <w:b/>
      <w:kern w:val="0"/>
      <w:szCs w:val="28"/>
      <w:lang w:val="zh-CN"/>
    </w:rPr>
  </w:style>
  <w:style w:type="paragraph" w:customStyle="1" w:styleId="27">
    <w:name w:val="擎业正文"/>
    <w:basedOn w:val="1"/>
    <w:link w:val="28"/>
    <w:qFormat/>
    <w:uiPriority w:val="3"/>
    <w:pPr>
      <w:spacing w:line="576" w:lineRule="exact"/>
      <w:ind w:firstLine="640"/>
    </w:pPr>
    <w:rPr>
      <w:rFonts w:ascii="仿宋" w:hAnsi="仿宋" w:eastAsia="仿宋_GB2312"/>
      <w:kern w:val="0"/>
      <w:szCs w:val="28"/>
      <w:lang w:val="zh-CN"/>
    </w:rPr>
  </w:style>
  <w:style w:type="character" w:customStyle="1" w:styleId="28">
    <w:name w:val="擎业正文 字符"/>
    <w:link w:val="27"/>
    <w:qFormat/>
    <w:uiPriority w:val="3"/>
    <w:rPr>
      <w:rFonts w:ascii="仿宋" w:hAnsi="仿宋" w:eastAsia="仿宋_GB2312" w:cs="Times New Roman"/>
      <w:sz w:val="32"/>
      <w:szCs w:val="28"/>
      <w:lang w:val="zh-CN"/>
    </w:rPr>
  </w:style>
  <w:style w:type="paragraph" w:customStyle="1" w:styleId="29">
    <w:name w:val="擎业封面标题"/>
    <w:basedOn w:val="30"/>
    <w:qFormat/>
    <w:uiPriority w:val="0"/>
    <w:pPr>
      <w:ind w:left="0" w:leftChars="0"/>
      <w:jc w:val="center"/>
    </w:pPr>
    <w:rPr>
      <w:rFonts w:ascii="Times New Roman" w:hAnsi="Times New Roman" w:eastAsia="方正小标宋简体"/>
      <w:sz w:val="44"/>
    </w:rPr>
  </w:style>
  <w:style w:type="paragraph" w:customStyle="1" w:styleId="30">
    <w:name w:val="擎业封面项目信息"/>
    <w:basedOn w:val="1"/>
    <w:next w:val="29"/>
    <w:qFormat/>
    <w:uiPriority w:val="0"/>
    <w:pPr>
      <w:spacing w:before="120"/>
      <w:ind w:left="600" w:leftChars="600"/>
      <w:jc w:val="left"/>
    </w:pPr>
    <w:rPr>
      <w:rFonts w:eastAsia="黑体"/>
      <w:kern w:val="0"/>
      <w:sz w:val="28"/>
      <w:szCs w:val="28"/>
      <w:lang w:val="zh-CN"/>
    </w:rPr>
  </w:style>
  <w:style w:type="paragraph" w:customStyle="1" w:styleId="31">
    <w:name w:val="擎业三级标题"/>
    <w:basedOn w:val="1"/>
    <w:qFormat/>
    <w:uiPriority w:val="0"/>
    <w:pPr>
      <w:spacing w:line="576" w:lineRule="exact"/>
      <w:ind w:firstLine="640"/>
    </w:pPr>
    <w:rPr>
      <w:rFonts w:hint="eastAsia" w:ascii="FangSong_GB2312" w:hAnsi="FangSong_GB2312" w:cs="仿宋_GB2312"/>
    </w:rPr>
  </w:style>
  <w:style w:type="character" w:customStyle="1" w:styleId="32">
    <w:name w:val="标题 2 字符"/>
    <w:basedOn w:val="17"/>
    <w:link w:val="4"/>
    <w:qFormat/>
    <w:uiPriority w:val="1"/>
    <w:rPr>
      <w:rFonts w:ascii="仿宋_GB2312" w:hAnsi="Luxi Sans" w:eastAsia="仿宋_GB2312" w:cs="Times New Roman"/>
      <w:kern w:val="2"/>
      <w:sz w:val="32"/>
      <w:szCs w:val="24"/>
    </w:rPr>
  </w:style>
  <w:style w:type="character" w:customStyle="1" w:styleId="33">
    <w:name w:val="标题 1 字符"/>
    <w:basedOn w:val="17"/>
    <w:link w:val="3"/>
    <w:qFormat/>
    <w:uiPriority w:val="0"/>
    <w:rPr>
      <w:rFonts w:ascii="Times New Roman" w:hAnsi="Times New Roman" w:eastAsia="方正小标宋简体" w:cs="Times New Roman"/>
      <w:bCs/>
      <w:kern w:val="44"/>
      <w:sz w:val="44"/>
      <w:szCs w:val="44"/>
    </w:rPr>
  </w:style>
  <w:style w:type="character" w:customStyle="1" w:styleId="34">
    <w:name w:val="标题 3 字符"/>
    <w:basedOn w:val="17"/>
    <w:link w:val="5"/>
    <w:qFormat/>
    <w:uiPriority w:val="0"/>
    <w:rPr>
      <w:rFonts w:ascii="Times New Roman" w:hAnsi="Times New Roman" w:eastAsia="仿宋_GB2312" w:cs="Times New Roman"/>
      <w:bCs/>
      <w:kern w:val="2"/>
      <w:sz w:val="32"/>
      <w:szCs w:val="32"/>
      <w:lang w:val="zh-CN"/>
    </w:rPr>
  </w:style>
  <w:style w:type="character" w:customStyle="1" w:styleId="35">
    <w:name w:val="批注框文本 字符"/>
    <w:basedOn w:val="17"/>
    <w:link w:val="8"/>
    <w:qFormat/>
    <w:uiPriority w:val="0"/>
    <w:rPr>
      <w:rFonts w:ascii="Times New Roman" w:hAnsi="Times New Roman" w:eastAsia="仿宋_GB2312" w:cs="Times New Roman"/>
      <w:kern w:val="2"/>
      <w:sz w:val="18"/>
      <w:szCs w:val="18"/>
    </w:rPr>
  </w:style>
  <w:style w:type="paragraph" w:customStyle="1" w:styleId="36">
    <w:name w:val="擎业页码"/>
    <w:qFormat/>
    <w:uiPriority w:val="6"/>
    <w:pPr>
      <w:jc w:val="center"/>
    </w:pPr>
    <w:rPr>
      <w:rFonts w:ascii="Times New Roman" w:hAnsi="Times New Roman" w:eastAsia="Times New Roman" w:cs="Times New Roman"/>
      <w:sz w:val="21"/>
      <w:szCs w:val="28"/>
      <w:lang w:val="en-US" w:eastAsia="zh-CN" w:bidi="ar-SA"/>
    </w:rPr>
  </w:style>
  <w:style w:type="paragraph" w:customStyle="1" w:styleId="37">
    <w:name w:val="擎业目录标题"/>
    <w:basedOn w:val="1"/>
    <w:qFormat/>
    <w:uiPriority w:val="1"/>
    <w:pPr>
      <w:spacing w:before="480" w:after="360"/>
      <w:jc w:val="center"/>
    </w:pPr>
    <w:rPr>
      <w:rFonts w:eastAsia="黑体"/>
      <w:b/>
      <w:snapToGrid w:val="0"/>
      <w:szCs w:val="24"/>
    </w:rPr>
  </w:style>
  <w:style w:type="paragraph" w:customStyle="1" w:styleId="38">
    <w:name w:val="擎业封面信息"/>
    <w:basedOn w:val="1"/>
    <w:qFormat/>
    <w:uiPriority w:val="0"/>
    <w:pPr>
      <w:spacing w:before="120"/>
      <w:jc w:val="center"/>
    </w:pPr>
    <w:rPr>
      <w:rFonts w:ascii="Times New Roman" w:hAnsi="Times New Roman" w:eastAsia="Heiti SC Medium"/>
      <w:kern w:val="0"/>
      <w:sz w:val="28"/>
      <w:szCs w:val="28"/>
      <w:lang w:val="zh-CN"/>
    </w:rPr>
  </w:style>
  <w:style w:type="paragraph" w:styleId="39">
    <w:name w:val="List Paragraph"/>
    <w:basedOn w:val="1"/>
    <w:qFormat/>
    <w:uiPriority w:val="99"/>
    <w:pPr>
      <w:ind w:firstLine="420"/>
    </w:pPr>
  </w:style>
  <w:style w:type="character" w:customStyle="1" w:styleId="40">
    <w:name w:val="页脚 字符"/>
    <w:basedOn w:val="17"/>
    <w:link w:val="9"/>
    <w:qFormat/>
    <w:uiPriority w:val="99"/>
    <w:rPr>
      <w:rFonts w:ascii="Times New Roman" w:hAnsi="Times New Roman" w:eastAsia="宋体" w:cs="Times New Roman"/>
      <w:kern w:val="2"/>
      <w:sz w:val="18"/>
      <w:szCs w:val="18"/>
    </w:rPr>
  </w:style>
  <w:style w:type="character" w:customStyle="1" w:styleId="41">
    <w:name w:val="页眉 字符"/>
    <w:basedOn w:val="17"/>
    <w:link w:val="10"/>
    <w:qFormat/>
    <w:uiPriority w:val="99"/>
    <w:rPr>
      <w:rFonts w:ascii="Times New Roman" w:hAnsi="Times New Roman" w:eastAsia="宋体" w:cs="Times New Roman"/>
      <w:kern w:val="2"/>
      <w:sz w:val="18"/>
      <w:szCs w:val="18"/>
    </w:rPr>
  </w:style>
  <w:style w:type="paragraph" w:customStyle="1" w:styleId="42">
    <w:name w:val="表格"/>
    <w:basedOn w:val="1"/>
    <w:link w:val="43"/>
    <w:qFormat/>
    <w:uiPriority w:val="0"/>
    <w:pPr>
      <w:ind w:firstLine="0" w:firstLineChars="0"/>
      <w:jc w:val="center"/>
    </w:pPr>
    <w:rPr>
      <w:b/>
      <w:bCs/>
      <w:sz w:val="22"/>
      <w:szCs w:val="18"/>
    </w:rPr>
  </w:style>
  <w:style w:type="character" w:customStyle="1" w:styleId="43">
    <w:name w:val="表格 字符"/>
    <w:basedOn w:val="17"/>
    <w:link w:val="42"/>
    <w:qFormat/>
    <w:uiPriority w:val="0"/>
    <w:rPr>
      <w:rFonts w:ascii="Times New Roman" w:hAnsi="Times New Roman" w:eastAsia="仿宋_GB2312" w:cs="Times New Roman"/>
      <w:b/>
      <w:bCs/>
      <w:kern w:val="2"/>
      <w:sz w:val="22"/>
      <w:szCs w:val="18"/>
    </w:rPr>
  </w:style>
  <w:style w:type="character" w:customStyle="1" w:styleId="44">
    <w:name w:val="日期 字符"/>
    <w:basedOn w:val="17"/>
    <w:link w:val="7"/>
    <w:qFormat/>
    <w:uiPriority w:val="0"/>
    <w:rPr>
      <w:rFonts w:ascii="Times New Roman" w:hAnsi="Times New Roman" w:eastAsia="仿宋_GB2312" w:cs="Times New Roman"/>
      <w:kern w:val="2"/>
      <w:sz w:val="32"/>
      <w:szCs w:val="32"/>
    </w:rPr>
  </w:style>
  <w:style w:type="character" w:customStyle="1" w:styleId="45">
    <w:name w:val="font11"/>
    <w:basedOn w:val="17"/>
    <w:qFormat/>
    <w:uiPriority w:val="0"/>
    <w:rPr>
      <w:rFonts w:ascii="仿宋_GB2312" w:eastAsia="仿宋_GB2312" w:cs="仿宋_GB2312"/>
      <w:b/>
      <w:bCs/>
      <w:color w:val="000000"/>
      <w:sz w:val="20"/>
      <w:szCs w:val="20"/>
      <w:u w:val="none"/>
    </w:rPr>
  </w:style>
  <w:style w:type="character" w:customStyle="1" w:styleId="46">
    <w:name w:val="font41"/>
    <w:basedOn w:val="17"/>
    <w:qFormat/>
    <w:uiPriority w:val="0"/>
    <w:rPr>
      <w:rFonts w:hint="eastAsia" w:ascii="仿宋_GB2312" w:eastAsia="仿宋_GB2312" w:cs="仿宋_GB2312"/>
      <w:color w:val="000000"/>
      <w:sz w:val="20"/>
      <w:szCs w:val="20"/>
      <w:u w:val="none"/>
    </w:rPr>
  </w:style>
  <w:style w:type="character" w:customStyle="1" w:styleId="47">
    <w:name w:val="font31"/>
    <w:basedOn w:val="17"/>
    <w:qFormat/>
    <w:uiPriority w:val="0"/>
    <w:rPr>
      <w:rFonts w:hint="default" w:ascii="Times New Roman" w:hAnsi="Times New Roman" w:cs="Times New Roman"/>
      <w:color w:val="000000"/>
      <w:sz w:val="20"/>
      <w:szCs w:val="20"/>
      <w:u w:val="none"/>
    </w:rPr>
  </w:style>
  <w:style w:type="character" w:customStyle="1" w:styleId="48">
    <w:name w:val="font21"/>
    <w:basedOn w:val="17"/>
    <w:qFormat/>
    <w:uiPriority w:val="0"/>
    <w:rPr>
      <w:rFonts w:hint="default" w:ascii="Times New Roman" w:hAnsi="Times New Roman" w:cs="Times New Roman"/>
      <w:b/>
      <w:bCs/>
      <w:color w:val="000000"/>
      <w:sz w:val="20"/>
      <w:szCs w:val="20"/>
      <w:u w:val="none"/>
    </w:rPr>
  </w:style>
  <w:style w:type="paragraph" w:customStyle="1" w:styleId="49">
    <w:name w:val="擎业表格字体"/>
    <w:basedOn w:val="1"/>
    <w:qFormat/>
    <w:uiPriority w:val="0"/>
    <w:pPr>
      <w:keepNext/>
      <w:spacing w:line="320" w:lineRule="exact"/>
      <w:ind w:firstLine="0" w:firstLineChars="0"/>
      <w:jc w:val="center"/>
    </w:pPr>
    <w:rPr>
      <w:rFonts w:ascii="Times New Roman" w:hAnsi="Times New Roman"/>
      <w:sz w:val="28"/>
      <w:szCs w:val="20"/>
    </w:rPr>
  </w:style>
  <w:style w:type="character" w:customStyle="1" w:styleId="50">
    <w:name w:val="font51"/>
    <w:basedOn w:val="17"/>
    <w:qFormat/>
    <w:uiPriority w:val="0"/>
    <w:rPr>
      <w:rFonts w:hint="eastAsia" w:ascii="等线" w:hAnsi="等线" w:eastAsia="等线" w:cs="等线"/>
      <w:color w:val="FF0000"/>
      <w:sz w:val="22"/>
      <w:szCs w:val="22"/>
      <w:u w:val="none"/>
    </w:rPr>
  </w:style>
  <w:style w:type="character" w:customStyle="1" w:styleId="51">
    <w:name w:val="font01"/>
    <w:basedOn w:val="17"/>
    <w:qFormat/>
    <w:uiPriority w:val="0"/>
    <w:rPr>
      <w:rFonts w:hint="eastAsia" w:ascii="等线" w:hAnsi="等线" w:eastAsia="等线" w:cs="等线"/>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19002</Words>
  <Characters>19787</Characters>
  <Lines>14</Lines>
  <Paragraphs>4</Paragraphs>
  <TotalTime>5</TotalTime>
  <ScaleCrop>false</ScaleCrop>
  <LinksUpToDate>false</LinksUpToDate>
  <CharactersWithSpaces>19853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2022-09-01T14:17:00Z</dcterms:created>
  <dc:creator>Administrator</dc:creator>
  <cp:lastModifiedBy>dpy</cp:lastModifiedBy>
  <dcterms:modified xsi:type="dcterms:W3CDTF">2025-03-03T02:01:57Z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6779E77A72224E19B690D1BA0852AF04_13</vt:lpwstr>
  </property>
</Properties>
</file>