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214C0">
      <w:pPr>
        <w:keepNext w:val="0"/>
        <w:keepLines w:val="0"/>
        <w:pageBreakBefore w:val="0"/>
        <w:kinsoku/>
        <w:wordWrap/>
        <w:overflowPunct/>
        <w:topLinePunct w:val="0"/>
        <w:autoSpaceDE/>
        <w:autoSpaceDN/>
        <w:bidi w:val="0"/>
        <w:spacing w:line="560" w:lineRule="exact"/>
        <w:ind w:firstLine="440" w:firstLineChars="100"/>
        <w:jc w:val="center"/>
        <w:textAlignment w:val="auto"/>
        <w:rPr>
          <w:rStyle w:val="12"/>
          <w:rFonts w:hint="eastAsia" w:ascii="方正小标宋简体" w:hAnsi="方正小标宋简体" w:eastAsia="方正小标宋简体" w:cs="方正小标宋简体"/>
          <w:b w:val="0"/>
          <w:bCs w:val="0"/>
          <w:color w:val="000000"/>
          <w:sz w:val="44"/>
          <w:szCs w:val="44"/>
          <w:lang w:val="en-US" w:eastAsia="zh-CN"/>
        </w:rPr>
      </w:pPr>
      <w:r>
        <w:rPr>
          <w:rStyle w:val="12"/>
          <w:rFonts w:hint="eastAsia" w:ascii="方正小标宋简体" w:hAnsi="方正小标宋简体" w:eastAsia="方正小标宋简体" w:cs="方正小标宋简体"/>
          <w:b w:val="0"/>
          <w:bCs w:val="0"/>
          <w:color w:val="000000"/>
          <w:sz w:val="44"/>
          <w:szCs w:val="44"/>
        </w:rPr>
        <w:t>德阳市罗江区</w:t>
      </w:r>
      <w:r>
        <w:rPr>
          <w:rStyle w:val="12"/>
          <w:rFonts w:hint="eastAsia" w:ascii="方正小标宋简体" w:hAnsi="方正小标宋简体" w:eastAsia="方正小标宋简体" w:cs="方正小标宋简体"/>
          <w:b w:val="0"/>
          <w:bCs w:val="0"/>
          <w:color w:val="000000"/>
          <w:sz w:val="44"/>
          <w:szCs w:val="44"/>
          <w:lang w:val="en-US" w:eastAsia="zh-CN"/>
        </w:rPr>
        <w:t>退役军人事务局</w:t>
      </w:r>
    </w:p>
    <w:p w14:paraId="489D3ED9">
      <w:pPr>
        <w:keepNext w:val="0"/>
        <w:keepLines w:val="0"/>
        <w:pageBreakBefore w:val="0"/>
        <w:kinsoku/>
        <w:wordWrap/>
        <w:overflowPunct/>
        <w:topLinePunct w:val="0"/>
        <w:autoSpaceDE/>
        <w:autoSpaceDN/>
        <w:bidi w:val="0"/>
        <w:spacing w:line="560" w:lineRule="exact"/>
        <w:ind w:firstLine="440" w:firstLineChars="100"/>
        <w:jc w:val="center"/>
        <w:textAlignment w:val="auto"/>
        <w:rPr>
          <w:rStyle w:val="12"/>
          <w:rFonts w:hint="eastAsia" w:ascii="方正小标宋简体" w:hAnsi="方正小标宋简体" w:eastAsia="方正小标宋简体" w:cs="方正小标宋简体"/>
          <w:b w:val="0"/>
          <w:bCs w:val="0"/>
          <w:color w:val="000000"/>
          <w:sz w:val="44"/>
          <w:szCs w:val="44"/>
        </w:rPr>
      </w:pPr>
      <w:r>
        <w:rPr>
          <w:rStyle w:val="12"/>
          <w:rFonts w:hint="eastAsia" w:ascii="方正小标宋简体" w:hAnsi="方正小标宋简体" w:eastAsia="方正小标宋简体" w:cs="方正小标宋简体"/>
          <w:b w:val="0"/>
          <w:bCs w:val="0"/>
          <w:color w:val="000000"/>
          <w:sz w:val="44"/>
          <w:szCs w:val="44"/>
          <w:lang w:val="en-US" w:eastAsia="zh-CN"/>
        </w:rPr>
        <w:t>2025</w:t>
      </w:r>
      <w:r>
        <w:rPr>
          <w:rStyle w:val="12"/>
          <w:rFonts w:hint="eastAsia" w:ascii="方正小标宋简体" w:hAnsi="方正小标宋简体" w:eastAsia="方正小标宋简体" w:cs="方正小标宋简体"/>
          <w:b w:val="0"/>
          <w:bCs w:val="0"/>
          <w:color w:val="000000"/>
          <w:sz w:val="44"/>
          <w:szCs w:val="44"/>
        </w:rPr>
        <w:t>年部门预算编制说明</w:t>
      </w:r>
    </w:p>
    <w:p w14:paraId="5E6FAF38">
      <w:pPr>
        <w:pStyle w:val="5"/>
        <w:keepNext w:val="0"/>
        <w:keepLines w:val="0"/>
        <w:pageBreakBefore w:val="0"/>
        <w:kinsoku/>
        <w:wordWrap/>
        <w:overflowPunct/>
        <w:topLinePunct w:val="0"/>
        <w:autoSpaceDE/>
        <w:autoSpaceDN/>
        <w:bidi w:val="0"/>
        <w:spacing w:line="560" w:lineRule="exact"/>
        <w:textAlignment w:val="auto"/>
      </w:pPr>
    </w:p>
    <w:p w14:paraId="32FC1C34">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0" w:firstLineChars="0"/>
        <w:jc w:val="center"/>
        <w:textAlignment w:val="auto"/>
        <w:rPr>
          <w:sz w:val="32"/>
          <w:szCs w:val="32"/>
        </w:rPr>
      </w:pPr>
      <w:r>
        <w:rPr>
          <w:rFonts w:ascii="宋体" w:hAnsi="宋体" w:eastAsia="宋体"/>
          <w:sz w:val="32"/>
          <w:szCs w:val="32"/>
        </w:rPr>
        <w:t>目录</w:t>
      </w:r>
    </w:p>
    <w:p w14:paraId="2286CA42">
      <w:pPr>
        <w:pStyle w:val="17"/>
        <w:keepNext w:val="0"/>
        <w:keepLines w:val="0"/>
        <w:pageBreakBefore w:val="0"/>
        <w:tabs>
          <w:tab w:val="right" w:leader="dot" w:pos="8845"/>
        </w:tabs>
        <w:kinsoku/>
        <w:wordWrap/>
        <w:overflowPunct/>
        <w:topLinePunct w:val="0"/>
        <w:autoSpaceDE/>
        <w:autoSpaceDN/>
        <w:bidi w:val="0"/>
        <w:spacing w:line="560" w:lineRule="exact"/>
        <w:textAlignment w:val="auto"/>
        <w:rPr>
          <w:b/>
          <w:sz w:val="32"/>
          <w:szCs w:val="32"/>
        </w:rPr>
      </w:pPr>
      <w:r>
        <w:rPr>
          <w:rStyle w:val="12"/>
          <w:rFonts w:hint="eastAsia" w:ascii="ˎ̥" w:hAnsi="ˎ̥"/>
          <w:b/>
          <w:bCs/>
          <w:color w:val="000000"/>
          <w:sz w:val="32"/>
          <w:szCs w:val="32"/>
        </w:rPr>
        <w:fldChar w:fldCharType="begin"/>
      </w:r>
      <w:r>
        <w:rPr>
          <w:rStyle w:val="12"/>
          <w:rFonts w:hint="eastAsia" w:ascii="ˎ̥" w:hAnsi="ˎ̥"/>
          <w:b/>
          <w:bCs/>
          <w:color w:val="000000"/>
          <w:sz w:val="32"/>
          <w:szCs w:val="32"/>
        </w:rPr>
        <w:instrText xml:space="preserve">TOC \o "1-2" \h \u </w:instrText>
      </w:r>
      <w:r>
        <w:rPr>
          <w:rStyle w:val="12"/>
          <w:rFonts w:hint="eastAsia" w:ascii="ˎ̥" w:hAnsi="ˎ̥"/>
          <w:b/>
          <w:bCs/>
          <w:color w:val="000000"/>
          <w:sz w:val="32"/>
          <w:szCs w:val="32"/>
        </w:rPr>
        <w:fldChar w:fldCharType="separate"/>
      </w:r>
      <w:r>
        <w:rPr>
          <w:rFonts w:hint="eastAsia" w:ascii="ˎ̥" w:hAnsi="ˎ̥"/>
          <w:b w:val="0"/>
          <w:bCs/>
          <w:color w:val="000000"/>
          <w:sz w:val="32"/>
          <w:szCs w:val="32"/>
        </w:rPr>
        <w:fldChar w:fldCharType="begin"/>
      </w:r>
      <w:r>
        <w:rPr>
          <w:rFonts w:hint="eastAsia" w:ascii="ˎ̥" w:hAnsi="ˎ̥"/>
          <w:b w:val="0"/>
          <w:bCs/>
          <w:sz w:val="32"/>
          <w:szCs w:val="32"/>
        </w:rPr>
        <w:instrText xml:space="preserve"> HYPERLINK \l _Toc28770 </w:instrText>
      </w:r>
      <w:r>
        <w:rPr>
          <w:rFonts w:hint="eastAsia" w:ascii="ˎ̥" w:hAnsi="ˎ̥"/>
          <w:b w:val="0"/>
          <w:bCs/>
          <w:sz w:val="32"/>
          <w:szCs w:val="32"/>
        </w:rPr>
        <w:fldChar w:fldCharType="separate"/>
      </w:r>
      <w:r>
        <w:rPr>
          <w:rFonts w:hint="eastAsia" w:ascii="黑体" w:hAnsi="黑体" w:eastAsia="黑体" w:cs="黑体"/>
          <w:b w:val="0"/>
          <w:bCs/>
          <w:sz w:val="32"/>
          <w:szCs w:val="32"/>
        </w:rPr>
        <w:t>一、基本职能及主要工作</w:t>
      </w:r>
      <w:r>
        <w:rPr>
          <w:b w:val="0"/>
          <w:bCs/>
          <w:sz w:val="32"/>
          <w:szCs w:val="32"/>
        </w:rPr>
        <w:tab/>
      </w:r>
      <w:bookmarkStart w:id="1" w:name="_GoBack"/>
      <w:bookmarkEnd w:id="1"/>
      <w:r>
        <w:rPr>
          <w:rFonts w:hint="eastAsia"/>
          <w:b w:val="0"/>
          <w:bCs/>
          <w:sz w:val="32"/>
          <w:szCs w:val="32"/>
          <w:lang w:val="en-US" w:eastAsia="zh-CN"/>
        </w:rPr>
        <w:t>1</w:t>
      </w:r>
      <w:r>
        <w:rPr>
          <w:rFonts w:hint="eastAsia" w:ascii="ˎ̥" w:hAnsi="ˎ̥"/>
          <w:b w:val="0"/>
          <w:bCs/>
          <w:color w:val="000000"/>
          <w:sz w:val="32"/>
          <w:szCs w:val="32"/>
        </w:rPr>
        <w:fldChar w:fldCharType="end"/>
      </w:r>
    </w:p>
    <w:p w14:paraId="2234005E">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eastAsia="宋体"/>
          <w:sz w:val="32"/>
          <w:szCs w:val="32"/>
          <w:lang w:val="en-US" w:eastAsia="zh-CN"/>
        </w:rPr>
      </w:pPr>
      <w:r>
        <w:rPr>
          <w:rFonts w:hint="eastAsia" w:ascii="ˎ̥" w:hAnsi="ˎ̥"/>
          <w:bCs/>
          <w:color w:val="000000"/>
          <w:sz w:val="32"/>
          <w:szCs w:val="32"/>
        </w:rPr>
        <w:fldChar w:fldCharType="begin"/>
      </w:r>
      <w:r>
        <w:rPr>
          <w:rFonts w:hint="eastAsia" w:ascii="ˎ̥" w:hAnsi="ˎ̥"/>
          <w:bCs/>
          <w:sz w:val="32"/>
          <w:szCs w:val="32"/>
        </w:rPr>
        <w:instrText xml:space="preserve"> HYPERLINK \l _Toc21884 </w:instrText>
      </w:r>
      <w:r>
        <w:rPr>
          <w:rFonts w:hint="eastAsia" w:ascii="ˎ̥" w:hAnsi="ˎ̥"/>
          <w:bCs/>
          <w:sz w:val="32"/>
          <w:szCs w:val="32"/>
        </w:rPr>
        <w:fldChar w:fldCharType="separate"/>
      </w:r>
      <w:r>
        <w:rPr>
          <w:rFonts w:hint="eastAsia" w:ascii="楷体_GB2312" w:hAnsi="楷体_GB2312" w:eastAsia="楷体_GB2312" w:cs="楷体_GB2312"/>
          <w:bCs/>
          <w:sz w:val="32"/>
          <w:szCs w:val="32"/>
        </w:rPr>
        <w:t>（一）机构设置及主要职责</w:t>
      </w:r>
      <w:r>
        <w:rPr>
          <w:sz w:val="32"/>
          <w:szCs w:val="32"/>
        </w:rPr>
        <w:tab/>
      </w:r>
      <w:r>
        <w:rPr>
          <w:rFonts w:hint="eastAsia" w:ascii="ˎ̥" w:hAnsi="ˎ̥"/>
          <w:bCs/>
          <w:color w:val="000000"/>
          <w:sz w:val="32"/>
          <w:szCs w:val="32"/>
        </w:rPr>
        <w:fldChar w:fldCharType="end"/>
      </w:r>
      <w:r>
        <w:rPr>
          <w:rFonts w:hint="eastAsia" w:ascii="ˎ̥" w:hAnsi="ˎ̥"/>
          <w:bCs/>
          <w:color w:val="000000"/>
          <w:sz w:val="32"/>
          <w:szCs w:val="32"/>
          <w:lang w:val="en-US" w:eastAsia="zh-CN"/>
        </w:rPr>
        <w:t>1</w:t>
      </w:r>
    </w:p>
    <w:p w14:paraId="79AA163D">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sz w:val="32"/>
          <w:szCs w:val="32"/>
        </w:rPr>
      </w:pPr>
      <w:r>
        <w:rPr>
          <w:rFonts w:hint="eastAsia" w:ascii="ˎ̥" w:hAnsi="ˎ̥"/>
          <w:bCs/>
          <w:color w:val="000000"/>
          <w:sz w:val="32"/>
          <w:szCs w:val="32"/>
        </w:rPr>
        <w:fldChar w:fldCharType="begin"/>
      </w:r>
      <w:r>
        <w:rPr>
          <w:rFonts w:hint="eastAsia" w:ascii="ˎ̥" w:hAnsi="ˎ̥"/>
          <w:bCs/>
          <w:sz w:val="32"/>
          <w:szCs w:val="32"/>
        </w:rPr>
        <w:instrText xml:space="preserve"> HYPERLINK \l _Toc818 </w:instrText>
      </w:r>
      <w:r>
        <w:rPr>
          <w:rFonts w:hint="eastAsia" w:ascii="ˎ̥" w:hAnsi="ˎ̥"/>
          <w:bCs/>
          <w:sz w:val="32"/>
          <w:szCs w:val="32"/>
        </w:rPr>
        <w:fldChar w:fldCharType="separate"/>
      </w:r>
      <w:r>
        <w:rPr>
          <w:rFonts w:hint="eastAsia" w:ascii="楷体_GB2312" w:hAnsi="楷体_GB2312" w:eastAsia="楷体_GB2312" w:cs="楷体_GB2312"/>
          <w:bCs/>
          <w:sz w:val="32"/>
          <w:szCs w:val="32"/>
        </w:rPr>
        <w:t>（二）20</w:t>
      </w:r>
      <w:r>
        <w:rPr>
          <w:rFonts w:hint="eastAsia" w:ascii="楷体_GB2312" w:hAnsi="楷体_GB2312" w:eastAsia="楷体_GB2312" w:cs="楷体_GB2312"/>
          <w:bCs/>
          <w:sz w:val="32"/>
          <w:szCs w:val="32"/>
          <w:lang w:val="en-US" w:eastAsia="zh-CN"/>
        </w:rPr>
        <w:t>25</w:t>
      </w:r>
      <w:r>
        <w:rPr>
          <w:rFonts w:hint="eastAsia" w:ascii="楷体_GB2312" w:hAnsi="楷体_GB2312" w:eastAsia="楷体_GB2312" w:cs="楷体_GB2312"/>
          <w:bCs/>
          <w:sz w:val="32"/>
          <w:szCs w:val="32"/>
        </w:rPr>
        <w:t>年重点工作</w:t>
      </w:r>
      <w:r>
        <w:rPr>
          <w:sz w:val="32"/>
          <w:szCs w:val="32"/>
        </w:rPr>
        <w:tab/>
      </w:r>
      <w:r>
        <w:rPr>
          <w:rFonts w:hint="eastAsia"/>
          <w:sz w:val="32"/>
          <w:szCs w:val="32"/>
          <w:lang w:val="en-US" w:eastAsia="zh-CN"/>
        </w:rPr>
        <w:t>5</w:t>
      </w:r>
      <w:r>
        <w:rPr>
          <w:rFonts w:hint="eastAsia" w:ascii="ˎ̥" w:hAnsi="ˎ̥"/>
          <w:bCs/>
          <w:color w:val="000000"/>
          <w:sz w:val="32"/>
          <w:szCs w:val="32"/>
        </w:rPr>
        <w:fldChar w:fldCharType="end"/>
      </w:r>
    </w:p>
    <w:p w14:paraId="3E696A10">
      <w:pPr>
        <w:pStyle w:val="17"/>
        <w:keepNext w:val="0"/>
        <w:keepLines w:val="0"/>
        <w:pageBreakBefore w:val="0"/>
        <w:tabs>
          <w:tab w:val="right" w:leader="dot" w:pos="8845"/>
        </w:tabs>
        <w:kinsoku/>
        <w:wordWrap/>
        <w:overflowPunct/>
        <w:topLinePunct w:val="0"/>
        <w:autoSpaceDE/>
        <w:autoSpaceDN/>
        <w:bidi w:val="0"/>
        <w:spacing w:line="560" w:lineRule="exact"/>
        <w:textAlignment w:val="auto"/>
        <w:rPr>
          <w:b w:val="0"/>
          <w:bCs/>
          <w:sz w:val="32"/>
          <w:szCs w:val="32"/>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_Toc27442 </w:instrText>
      </w:r>
      <w:r>
        <w:rPr>
          <w:rFonts w:hint="eastAsia" w:ascii="ˎ̥" w:hAnsi="ˎ̥"/>
          <w:b w:val="0"/>
          <w:bCs/>
          <w:sz w:val="32"/>
          <w:szCs w:val="32"/>
        </w:rPr>
        <w:fldChar w:fldCharType="separate"/>
      </w:r>
      <w:r>
        <w:rPr>
          <w:rFonts w:hint="eastAsia" w:ascii="黑体" w:hAnsi="黑体" w:eastAsia="黑体" w:cs="黑体"/>
          <w:b w:val="0"/>
          <w:bCs/>
          <w:sz w:val="32"/>
          <w:szCs w:val="32"/>
        </w:rPr>
        <w:t>二、部门预算单位构成</w:t>
      </w:r>
      <w:r>
        <w:rPr>
          <w:b w:val="0"/>
          <w:bCs/>
          <w:sz w:val="32"/>
          <w:szCs w:val="32"/>
        </w:rPr>
        <w:tab/>
      </w:r>
      <w:r>
        <w:rPr>
          <w:rFonts w:hint="eastAsia"/>
          <w:b w:val="0"/>
          <w:bCs/>
          <w:sz w:val="32"/>
          <w:szCs w:val="32"/>
          <w:lang w:val="en-US" w:eastAsia="zh-CN"/>
        </w:rPr>
        <w:t>7</w:t>
      </w:r>
      <w:r>
        <w:rPr>
          <w:rFonts w:hint="eastAsia" w:ascii="ˎ̥" w:hAnsi="ˎ̥"/>
          <w:b w:val="0"/>
          <w:bCs/>
          <w:color w:val="000000"/>
          <w:sz w:val="32"/>
          <w:szCs w:val="32"/>
        </w:rPr>
        <w:fldChar w:fldCharType="end"/>
      </w:r>
    </w:p>
    <w:p w14:paraId="0B4DA5FF">
      <w:pPr>
        <w:pStyle w:val="17"/>
        <w:keepNext w:val="0"/>
        <w:keepLines w:val="0"/>
        <w:pageBreakBefore w:val="0"/>
        <w:tabs>
          <w:tab w:val="right" w:leader="dot" w:pos="8845"/>
        </w:tabs>
        <w:kinsoku/>
        <w:wordWrap/>
        <w:overflowPunct/>
        <w:topLinePunct w:val="0"/>
        <w:autoSpaceDE/>
        <w:autoSpaceDN/>
        <w:bidi w:val="0"/>
        <w:spacing w:line="560" w:lineRule="exact"/>
        <w:textAlignment w:val="auto"/>
        <w:rPr>
          <w:b/>
          <w:sz w:val="32"/>
          <w:szCs w:val="32"/>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_Toc1848 </w:instrText>
      </w:r>
      <w:r>
        <w:rPr>
          <w:rFonts w:hint="eastAsia" w:ascii="ˎ̥" w:hAnsi="ˎ̥"/>
          <w:b w:val="0"/>
          <w:bCs/>
          <w:sz w:val="32"/>
          <w:szCs w:val="32"/>
        </w:rPr>
        <w:fldChar w:fldCharType="separate"/>
      </w:r>
      <w:r>
        <w:rPr>
          <w:rFonts w:hint="eastAsia" w:ascii="黑体" w:hAnsi="黑体" w:eastAsia="黑体" w:cs="黑体"/>
          <w:b w:val="0"/>
          <w:bCs/>
          <w:sz w:val="32"/>
          <w:szCs w:val="32"/>
        </w:rPr>
        <w:t>三、收支预算增减变化情况说明</w:t>
      </w:r>
      <w:r>
        <w:rPr>
          <w:b w:val="0"/>
          <w:bCs/>
          <w:sz w:val="32"/>
          <w:szCs w:val="32"/>
        </w:rPr>
        <w:tab/>
      </w:r>
      <w:r>
        <w:rPr>
          <w:rFonts w:hint="eastAsia"/>
          <w:b w:val="0"/>
          <w:bCs/>
          <w:sz w:val="32"/>
          <w:szCs w:val="32"/>
          <w:lang w:val="en-US" w:eastAsia="zh-CN"/>
        </w:rPr>
        <w:t>7</w:t>
      </w:r>
      <w:r>
        <w:rPr>
          <w:rFonts w:hint="eastAsia" w:ascii="ˎ̥" w:hAnsi="ˎ̥"/>
          <w:b w:val="0"/>
          <w:bCs/>
          <w:color w:val="000000"/>
          <w:sz w:val="32"/>
          <w:szCs w:val="32"/>
        </w:rPr>
        <w:fldChar w:fldCharType="end"/>
      </w:r>
    </w:p>
    <w:p w14:paraId="6DE36562">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eastAsia="宋体"/>
          <w:sz w:val="32"/>
          <w:szCs w:val="32"/>
          <w:lang w:val="en-US" w:eastAsia="zh-CN"/>
        </w:rPr>
      </w:pPr>
      <w:r>
        <w:rPr>
          <w:rFonts w:hint="eastAsia" w:ascii="ˎ̥" w:hAnsi="ˎ̥"/>
          <w:bCs/>
          <w:color w:val="000000"/>
          <w:sz w:val="32"/>
          <w:szCs w:val="32"/>
        </w:rPr>
        <w:fldChar w:fldCharType="begin"/>
      </w:r>
      <w:r>
        <w:rPr>
          <w:rFonts w:hint="eastAsia" w:ascii="ˎ̥" w:hAnsi="ˎ̥"/>
          <w:bCs/>
          <w:sz w:val="32"/>
          <w:szCs w:val="32"/>
        </w:rPr>
        <w:instrText xml:space="preserve"> HYPERLINK \l _Toc193 </w:instrText>
      </w:r>
      <w:r>
        <w:rPr>
          <w:rFonts w:hint="eastAsia" w:ascii="ˎ̥" w:hAnsi="ˎ̥"/>
          <w:bCs/>
          <w:sz w:val="32"/>
          <w:szCs w:val="32"/>
        </w:rPr>
        <w:fldChar w:fldCharType="separate"/>
      </w:r>
      <w:r>
        <w:rPr>
          <w:rFonts w:hint="eastAsia" w:ascii="楷体_GB2312" w:hAnsi="楷体_GB2312" w:eastAsia="楷体_GB2312" w:cs="楷体_GB2312"/>
          <w:bCs/>
          <w:sz w:val="32"/>
          <w:szCs w:val="32"/>
        </w:rPr>
        <w:t>（一）收入预算情况</w:t>
      </w:r>
      <w:r>
        <w:rPr>
          <w:sz w:val="32"/>
          <w:szCs w:val="32"/>
        </w:rPr>
        <w:tab/>
      </w:r>
      <w:r>
        <w:rPr>
          <w:rFonts w:hint="eastAsia" w:ascii="ˎ̥" w:hAnsi="ˎ̥"/>
          <w:bCs/>
          <w:color w:val="000000"/>
          <w:sz w:val="32"/>
          <w:szCs w:val="32"/>
        </w:rPr>
        <w:fldChar w:fldCharType="end"/>
      </w:r>
      <w:r>
        <w:rPr>
          <w:rFonts w:hint="eastAsia" w:ascii="ˎ̥" w:hAnsi="ˎ̥"/>
          <w:bCs/>
          <w:color w:val="000000"/>
          <w:sz w:val="32"/>
          <w:szCs w:val="32"/>
          <w:lang w:val="en-US" w:eastAsia="zh-CN"/>
        </w:rPr>
        <w:t>7</w:t>
      </w:r>
    </w:p>
    <w:p w14:paraId="60DD4A66">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eastAsia="宋体"/>
          <w:sz w:val="32"/>
          <w:szCs w:val="32"/>
          <w:lang w:val="en-US" w:eastAsia="zh-CN"/>
        </w:rPr>
      </w:pPr>
      <w:r>
        <w:rPr>
          <w:rFonts w:hint="eastAsia" w:ascii="ˎ̥" w:hAnsi="ˎ̥"/>
          <w:bCs/>
          <w:color w:val="000000"/>
          <w:sz w:val="32"/>
          <w:szCs w:val="32"/>
        </w:rPr>
        <w:fldChar w:fldCharType="begin"/>
      </w:r>
      <w:r>
        <w:rPr>
          <w:rFonts w:hint="eastAsia" w:ascii="ˎ̥" w:hAnsi="ˎ̥"/>
          <w:bCs/>
          <w:sz w:val="32"/>
          <w:szCs w:val="32"/>
        </w:rPr>
        <w:instrText xml:space="preserve"> HYPERLINK \l _Toc3651 </w:instrText>
      </w:r>
      <w:r>
        <w:rPr>
          <w:rFonts w:hint="eastAsia" w:ascii="ˎ̥" w:hAnsi="ˎ̥"/>
          <w:bCs/>
          <w:sz w:val="32"/>
          <w:szCs w:val="32"/>
        </w:rPr>
        <w:fldChar w:fldCharType="separate"/>
      </w:r>
      <w:r>
        <w:rPr>
          <w:rFonts w:hint="eastAsia" w:ascii="楷体_GB2312" w:hAnsi="楷体_GB2312" w:eastAsia="楷体_GB2312" w:cs="楷体_GB2312"/>
          <w:bCs/>
          <w:sz w:val="32"/>
          <w:szCs w:val="32"/>
        </w:rPr>
        <w:t>（二）支出预算情况</w:t>
      </w:r>
      <w:r>
        <w:rPr>
          <w:sz w:val="32"/>
          <w:szCs w:val="32"/>
        </w:rPr>
        <w:tab/>
      </w:r>
      <w:r>
        <w:rPr>
          <w:rFonts w:hint="eastAsia" w:ascii="ˎ̥" w:hAnsi="ˎ̥"/>
          <w:bCs/>
          <w:color w:val="000000"/>
          <w:sz w:val="32"/>
          <w:szCs w:val="32"/>
        </w:rPr>
        <w:fldChar w:fldCharType="end"/>
      </w:r>
      <w:r>
        <w:rPr>
          <w:rFonts w:hint="eastAsia" w:ascii="ˎ̥" w:hAnsi="ˎ̥"/>
          <w:bCs/>
          <w:color w:val="000000"/>
          <w:sz w:val="32"/>
          <w:szCs w:val="32"/>
          <w:lang w:val="en-US" w:eastAsia="zh-CN"/>
        </w:rPr>
        <w:t>7</w:t>
      </w:r>
    </w:p>
    <w:p w14:paraId="40FC1D02">
      <w:pPr>
        <w:pStyle w:val="17"/>
        <w:keepNext w:val="0"/>
        <w:keepLines w:val="0"/>
        <w:pageBreakBefore w:val="0"/>
        <w:tabs>
          <w:tab w:val="right" w:leader="dot" w:pos="8845"/>
        </w:tabs>
        <w:kinsoku/>
        <w:wordWrap/>
        <w:overflowPunct/>
        <w:topLinePunct w:val="0"/>
        <w:autoSpaceDE/>
        <w:autoSpaceDN/>
        <w:bidi w:val="0"/>
        <w:spacing w:line="560" w:lineRule="exact"/>
        <w:textAlignment w:val="auto"/>
        <w:rPr>
          <w:rFonts w:hint="eastAsia" w:eastAsia="宋体"/>
          <w:b w:val="0"/>
          <w:bCs/>
          <w:sz w:val="32"/>
          <w:szCs w:val="32"/>
          <w:lang w:val="en-US" w:eastAsia="zh-CN"/>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_Toc3738 </w:instrText>
      </w:r>
      <w:r>
        <w:rPr>
          <w:rFonts w:hint="eastAsia" w:ascii="ˎ̥" w:hAnsi="ˎ̥"/>
          <w:b w:val="0"/>
          <w:bCs/>
          <w:sz w:val="32"/>
          <w:szCs w:val="32"/>
        </w:rPr>
        <w:fldChar w:fldCharType="separate"/>
      </w:r>
      <w:r>
        <w:rPr>
          <w:rFonts w:hint="eastAsia" w:ascii="黑体" w:hAnsi="黑体" w:eastAsia="黑体" w:cs="黑体"/>
          <w:b w:val="0"/>
          <w:bCs/>
          <w:sz w:val="32"/>
          <w:szCs w:val="32"/>
        </w:rPr>
        <w:t>四、财政拨款收支预算情况说明</w:t>
      </w:r>
      <w:r>
        <w:rPr>
          <w:b w:val="0"/>
          <w:bCs/>
          <w:sz w:val="32"/>
          <w:szCs w:val="32"/>
        </w:rPr>
        <w:tab/>
      </w:r>
      <w:r>
        <w:rPr>
          <w:rFonts w:hint="eastAsia" w:ascii="ˎ̥" w:hAnsi="ˎ̥"/>
          <w:b w:val="0"/>
          <w:bCs/>
          <w:color w:val="000000"/>
          <w:sz w:val="32"/>
          <w:szCs w:val="32"/>
        </w:rPr>
        <w:fldChar w:fldCharType="end"/>
      </w:r>
      <w:r>
        <w:rPr>
          <w:rFonts w:hint="eastAsia" w:ascii="ˎ̥" w:hAnsi="ˎ̥"/>
          <w:b w:val="0"/>
          <w:bCs/>
          <w:color w:val="000000"/>
          <w:sz w:val="32"/>
          <w:szCs w:val="32"/>
          <w:lang w:val="en-US" w:eastAsia="zh-CN"/>
        </w:rPr>
        <w:t>8</w:t>
      </w:r>
    </w:p>
    <w:p w14:paraId="732C5D35">
      <w:pPr>
        <w:pStyle w:val="17"/>
        <w:keepNext w:val="0"/>
        <w:keepLines w:val="0"/>
        <w:pageBreakBefore w:val="0"/>
        <w:tabs>
          <w:tab w:val="right" w:leader="dot" w:pos="8845"/>
        </w:tabs>
        <w:kinsoku/>
        <w:wordWrap/>
        <w:overflowPunct/>
        <w:topLinePunct w:val="0"/>
        <w:autoSpaceDE/>
        <w:autoSpaceDN/>
        <w:bidi w:val="0"/>
        <w:spacing w:line="560" w:lineRule="exact"/>
        <w:textAlignment w:val="auto"/>
        <w:rPr>
          <w:rFonts w:hint="eastAsia" w:eastAsia="宋体"/>
          <w:b w:val="0"/>
          <w:bCs/>
          <w:sz w:val="32"/>
          <w:szCs w:val="32"/>
          <w:lang w:val="en-US" w:eastAsia="zh-CN"/>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_Toc3440 </w:instrText>
      </w:r>
      <w:r>
        <w:rPr>
          <w:rFonts w:hint="eastAsia" w:ascii="ˎ̥" w:hAnsi="ˎ̥"/>
          <w:b w:val="0"/>
          <w:bCs/>
          <w:sz w:val="32"/>
          <w:szCs w:val="32"/>
        </w:rPr>
        <w:fldChar w:fldCharType="separate"/>
      </w:r>
      <w:r>
        <w:rPr>
          <w:rFonts w:hint="eastAsia" w:ascii="黑体" w:hAnsi="黑体" w:eastAsia="黑体" w:cs="黑体"/>
          <w:b w:val="0"/>
          <w:bCs/>
          <w:sz w:val="32"/>
          <w:szCs w:val="32"/>
        </w:rPr>
        <w:t>五、一般公共预算当年拨款情况说明</w:t>
      </w:r>
      <w:r>
        <w:rPr>
          <w:b w:val="0"/>
          <w:bCs/>
          <w:sz w:val="32"/>
          <w:szCs w:val="32"/>
        </w:rPr>
        <w:tab/>
      </w:r>
      <w:r>
        <w:rPr>
          <w:rFonts w:hint="eastAsia" w:ascii="ˎ̥" w:hAnsi="ˎ̥"/>
          <w:b w:val="0"/>
          <w:bCs/>
          <w:color w:val="000000"/>
          <w:sz w:val="32"/>
          <w:szCs w:val="32"/>
        </w:rPr>
        <w:fldChar w:fldCharType="end"/>
      </w:r>
      <w:r>
        <w:rPr>
          <w:rFonts w:hint="eastAsia" w:ascii="ˎ̥" w:hAnsi="ˎ̥"/>
          <w:b w:val="0"/>
          <w:bCs/>
          <w:color w:val="000000"/>
          <w:sz w:val="32"/>
          <w:szCs w:val="32"/>
          <w:lang w:val="en-US" w:eastAsia="zh-CN"/>
        </w:rPr>
        <w:t>8</w:t>
      </w:r>
    </w:p>
    <w:p w14:paraId="2E8E5EB2">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eastAsia="宋体"/>
          <w:sz w:val="32"/>
          <w:szCs w:val="32"/>
          <w:lang w:val="en-US" w:eastAsia="zh-CN"/>
        </w:rPr>
      </w:pPr>
      <w:r>
        <w:rPr>
          <w:rFonts w:hint="eastAsia" w:ascii="ˎ̥" w:hAnsi="ˎ̥"/>
          <w:bCs/>
          <w:color w:val="000000"/>
          <w:sz w:val="32"/>
          <w:szCs w:val="32"/>
        </w:rPr>
        <w:fldChar w:fldCharType="begin"/>
      </w:r>
      <w:r>
        <w:rPr>
          <w:rFonts w:hint="eastAsia" w:ascii="ˎ̥" w:hAnsi="ˎ̥"/>
          <w:bCs/>
          <w:sz w:val="32"/>
          <w:szCs w:val="32"/>
        </w:rPr>
        <w:instrText xml:space="preserve"> HYPERLINK \l _Toc25098 </w:instrText>
      </w:r>
      <w:r>
        <w:rPr>
          <w:rFonts w:hint="eastAsia" w:ascii="ˎ̥" w:hAnsi="ˎ̥"/>
          <w:bCs/>
          <w:sz w:val="32"/>
          <w:szCs w:val="32"/>
        </w:rPr>
        <w:fldChar w:fldCharType="separate"/>
      </w:r>
      <w:r>
        <w:rPr>
          <w:rFonts w:hint="eastAsia" w:ascii="楷体_GB2312" w:hAnsi="楷体_GB2312" w:eastAsia="楷体_GB2312" w:cs="楷体_GB2312"/>
          <w:bCs/>
          <w:sz w:val="32"/>
          <w:szCs w:val="32"/>
        </w:rPr>
        <w:t>（一）一般公共预算当年拨款规模变化情况</w:t>
      </w:r>
      <w:r>
        <w:rPr>
          <w:sz w:val="32"/>
          <w:szCs w:val="32"/>
        </w:rPr>
        <w:tab/>
      </w:r>
      <w:r>
        <w:rPr>
          <w:rFonts w:hint="eastAsia" w:ascii="ˎ̥" w:hAnsi="ˎ̥"/>
          <w:bCs/>
          <w:color w:val="000000"/>
          <w:sz w:val="32"/>
          <w:szCs w:val="32"/>
        </w:rPr>
        <w:fldChar w:fldCharType="end"/>
      </w:r>
      <w:r>
        <w:rPr>
          <w:rFonts w:hint="eastAsia" w:ascii="ˎ̥" w:hAnsi="ˎ̥"/>
          <w:bCs/>
          <w:color w:val="000000"/>
          <w:sz w:val="32"/>
          <w:szCs w:val="32"/>
          <w:lang w:val="en-US" w:eastAsia="zh-CN"/>
        </w:rPr>
        <w:t>8</w:t>
      </w:r>
    </w:p>
    <w:p w14:paraId="191CCAFF">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 HYPERLINK \l _Toc16092 </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（二）一般公共预算当年拨款结构情况(按照功能科目类写)</w:t>
      </w:r>
      <w:r>
        <w:rPr>
          <w:rFonts w:hint="eastAsia" w:ascii="楷体_GB2312" w:hAnsi="楷体_GB2312" w:eastAsia="楷体_GB2312" w:cs="楷体_GB2312"/>
          <w:bCs/>
          <w:sz w:val="32"/>
          <w:szCs w:val="32"/>
        </w:rPr>
        <w:tab/>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val="en-US" w:eastAsia="zh-CN"/>
        </w:rPr>
        <w:t>8</w:t>
      </w:r>
    </w:p>
    <w:p w14:paraId="1551D5D9">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eastAsia="宋体"/>
          <w:sz w:val="32"/>
          <w:szCs w:val="32"/>
          <w:lang w:val="en-US" w:eastAsia="zh-CN"/>
        </w:rPr>
      </w:pPr>
      <w:r>
        <w:rPr>
          <w:rFonts w:hint="eastAsia" w:ascii="ˎ̥" w:hAnsi="ˎ̥"/>
          <w:bCs/>
          <w:color w:val="000000"/>
          <w:sz w:val="32"/>
          <w:szCs w:val="32"/>
        </w:rPr>
        <w:fldChar w:fldCharType="begin"/>
      </w:r>
      <w:r>
        <w:rPr>
          <w:rFonts w:hint="eastAsia" w:ascii="ˎ̥" w:hAnsi="ˎ̥"/>
          <w:bCs/>
          <w:sz w:val="32"/>
          <w:szCs w:val="32"/>
        </w:rPr>
        <w:instrText xml:space="preserve"> HYPERLINK \l _Toc28341 </w:instrText>
      </w:r>
      <w:r>
        <w:rPr>
          <w:rFonts w:hint="eastAsia" w:ascii="ˎ̥" w:hAnsi="ˎ̥"/>
          <w:bCs/>
          <w:sz w:val="32"/>
          <w:szCs w:val="32"/>
        </w:rPr>
        <w:fldChar w:fldCharType="separate"/>
      </w:r>
      <w:r>
        <w:rPr>
          <w:rFonts w:hint="eastAsia" w:ascii="楷体_GB2312" w:hAnsi="楷体_GB2312" w:eastAsia="楷体_GB2312" w:cs="楷体_GB2312"/>
          <w:bCs/>
          <w:sz w:val="32"/>
          <w:szCs w:val="32"/>
        </w:rPr>
        <w:t>（三）一般公共预算当年拨款具体使用情况（按功能科目类款项写）</w:t>
      </w:r>
      <w:r>
        <w:rPr>
          <w:sz w:val="32"/>
          <w:szCs w:val="32"/>
        </w:rPr>
        <w:tab/>
      </w:r>
      <w:r>
        <w:rPr>
          <w:rFonts w:hint="eastAsia" w:ascii="ˎ̥" w:hAnsi="ˎ̥"/>
          <w:bCs/>
          <w:color w:val="000000"/>
          <w:sz w:val="32"/>
          <w:szCs w:val="32"/>
        </w:rPr>
        <w:fldChar w:fldCharType="end"/>
      </w:r>
      <w:r>
        <w:rPr>
          <w:rFonts w:hint="eastAsia" w:ascii="ˎ̥" w:hAnsi="ˎ̥"/>
          <w:bCs/>
          <w:color w:val="000000"/>
          <w:sz w:val="32"/>
          <w:szCs w:val="32"/>
          <w:lang w:val="en-US" w:eastAsia="zh-CN"/>
        </w:rPr>
        <w:t>8</w:t>
      </w:r>
    </w:p>
    <w:p w14:paraId="50737253">
      <w:pPr>
        <w:pStyle w:val="17"/>
        <w:keepNext w:val="0"/>
        <w:keepLines w:val="0"/>
        <w:pageBreakBefore w:val="0"/>
        <w:tabs>
          <w:tab w:val="right" w:leader="dot" w:pos="8845"/>
        </w:tabs>
        <w:kinsoku/>
        <w:wordWrap/>
        <w:overflowPunct/>
        <w:topLinePunct w:val="0"/>
        <w:autoSpaceDE/>
        <w:autoSpaceDN/>
        <w:bidi w:val="0"/>
        <w:spacing w:line="560" w:lineRule="exact"/>
        <w:textAlignment w:val="auto"/>
        <w:rPr>
          <w:rFonts w:hint="eastAsia" w:eastAsia="宋体"/>
          <w:b w:val="0"/>
          <w:bCs/>
          <w:sz w:val="32"/>
          <w:szCs w:val="32"/>
          <w:lang w:val="en-US" w:eastAsia="zh-CN"/>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_Toc18858 </w:instrText>
      </w:r>
      <w:r>
        <w:rPr>
          <w:rFonts w:hint="eastAsia" w:ascii="ˎ̥" w:hAnsi="ˎ̥"/>
          <w:b w:val="0"/>
          <w:bCs/>
          <w:sz w:val="32"/>
          <w:szCs w:val="32"/>
        </w:rPr>
        <w:fldChar w:fldCharType="separate"/>
      </w:r>
      <w:r>
        <w:rPr>
          <w:rFonts w:hint="eastAsia" w:ascii="黑体" w:hAnsi="黑体" w:eastAsia="黑体" w:cs="黑体"/>
          <w:b w:val="0"/>
          <w:bCs/>
          <w:sz w:val="32"/>
          <w:szCs w:val="32"/>
        </w:rPr>
        <w:t>六、一般公共预算基本支出情况说明</w:t>
      </w:r>
      <w:r>
        <w:rPr>
          <w:b w:val="0"/>
          <w:bCs/>
          <w:sz w:val="32"/>
          <w:szCs w:val="32"/>
        </w:rPr>
        <w:tab/>
      </w:r>
      <w:r>
        <w:rPr>
          <w:rFonts w:hint="eastAsia"/>
          <w:b w:val="0"/>
          <w:bCs/>
          <w:sz w:val="32"/>
          <w:szCs w:val="32"/>
          <w:lang w:val="en-US" w:eastAsia="zh-CN"/>
        </w:rPr>
        <w:t>1</w:t>
      </w:r>
      <w:r>
        <w:rPr>
          <w:rFonts w:hint="eastAsia" w:ascii="ˎ̥" w:hAnsi="ˎ̥"/>
          <w:b w:val="0"/>
          <w:bCs/>
          <w:color w:val="000000"/>
          <w:sz w:val="32"/>
          <w:szCs w:val="32"/>
        </w:rPr>
        <w:fldChar w:fldCharType="end"/>
      </w:r>
      <w:r>
        <w:rPr>
          <w:rFonts w:hint="eastAsia" w:ascii="ˎ̥" w:hAnsi="ˎ̥"/>
          <w:b w:val="0"/>
          <w:bCs/>
          <w:color w:val="000000"/>
          <w:sz w:val="32"/>
          <w:szCs w:val="32"/>
          <w:lang w:val="en-US" w:eastAsia="zh-CN"/>
        </w:rPr>
        <w:t>1</w:t>
      </w:r>
    </w:p>
    <w:p w14:paraId="03C8587F">
      <w:pPr>
        <w:pStyle w:val="17"/>
        <w:keepNext w:val="0"/>
        <w:keepLines w:val="0"/>
        <w:pageBreakBefore w:val="0"/>
        <w:tabs>
          <w:tab w:val="right" w:leader="dot" w:pos="8845"/>
        </w:tabs>
        <w:kinsoku/>
        <w:wordWrap/>
        <w:overflowPunct/>
        <w:topLinePunct w:val="0"/>
        <w:autoSpaceDE/>
        <w:autoSpaceDN/>
        <w:bidi w:val="0"/>
        <w:spacing w:line="560" w:lineRule="exact"/>
        <w:textAlignment w:val="auto"/>
        <w:rPr>
          <w:rFonts w:hint="eastAsia" w:eastAsia="宋体"/>
          <w:b w:val="0"/>
          <w:bCs/>
          <w:sz w:val="32"/>
          <w:szCs w:val="32"/>
          <w:lang w:val="en-US" w:eastAsia="zh-CN"/>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_Toc256 </w:instrText>
      </w:r>
      <w:r>
        <w:rPr>
          <w:rFonts w:hint="eastAsia" w:ascii="ˎ̥" w:hAnsi="ˎ̥"/>
          <w:b w:val="0"/>
          <w:bCs/>
          <w:sz w:val="32"/>
          <w:szCs w:val="32"/>
        </w:rPr>
        <w:fldChar w:fldCharType="separate"/>
      </w:r>
      <w:r>
        <w:rPr>
          <w:rFonts w:hint="eastAsia" w:ascii="黑体" w:hAnsi="黑体" w:eastAsia="黑体" w:cs="黑体"/>
          <w:b w:val="0"/>
          <w:bCs/>
          <w:sz w:val="32"/>
          <w:szCs w:val="32"/>
        </w:rPr>
        <w:t>七、“三公”经费财政拨款预算安排情况说明</w:t>
      </w:r>
      <w:r>
        <w:rPr>
          <w:b w:val="0"/>
          <w:bCs/>
          <w:sz w:val="32"/>
          <w:szCs w:val="32"/>
        </w:rPr>
        <w:tab/>
      </w:r>
      <w:r>
        <w:rPr>
          <w:rFonts w:hint="eastAsia"/>
          <w:b w:val="0"/>
          <w:bCs/>
          <w:sz w:val="32"/>
          <w:szCs w:val="32"/>
          <w:lang w:val="en-US" w:eastAsia="zh-CN"/>
        </w:rPr>
        <w:t>1</w:t>
      </w:r>
      <w:r>
        <w:rPr>
          <w:rFonts w:hint="eastAsia" w:ascii="ˎ̥" w:hAnsi="ˎ̥"/>
          <w:b w:val="0"/>
          <w:bCs/>
          <w:color w:val="000000"/>
          <w:sz w:val="32"/>
          <w:szCs w:val="32"/>
        </w:rPr>
        <w:fldChar w:fldCharType="end"/>
      </w:r>
      <w:r>
        <w:rPr>
          <w:rFonts w:hint="eastAsia" w:ascii="ˎ̥" w:hAnsi="ˎ̥"/>
          <w:b w:val="0"/>
          <w:bCs/>
          <w:color w:val="000000"/>
          <w:sz w:val="32"/>
          <w:szCs w:val="32"/>
          <w:lang w:val="en-US" w:eastAsia="zh-CN"/>
        </w:rPr>
        <w:t>1</w:t>
      </w:r>
    </w:p>
    <w:p w14:paraId="430C87CB">
      <w:pPr>
        <w:pStyle w:val="17"/>
        <w:keepNext w:val="0"/>
        <w:keepLines w:val="0"/>
        <w:pageBreakBefore w:val="0"/>
        <w:tabs>
          <w:tab w:val="right" w:leader="dot" w:pos="8845"/>
        </w:tabs>
        <w:kinsoku/>
        <w:wordWrap/>
        <w:overflowPunct/>
        <w:topLinePunct w:val="0"/>
        <w:autoSpaceDE/>
        <w:autoSpaceDN/>
        <w:bidi w:val="0"/>
        <w:spacing w:line="560" w:lineRule="exact"/>
        <w:textAlignment w:val="auto"/>
        <w:rPr>
          <w:rFonts w:hint="eastAsia" w:eastAsia="宋体"/>
          <w:b w:val="0"/>
          <w:bCs/>
          <w:sz w:val="32"/>
          <w:szCs w:val="32"/>
          <w:lang w:val="en-US" w:eastAsia="zh-CN"/>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_Toc11086 </w:instrText>
      </w:r>
      <w:r>
        <w:rPr>
          <w:rFonts w:hint="eastAsia" w:ascii="ˎ̥" w:hAnsi="ˎ̥"/>
          <w:b w:val="0"/>
          <w:bCs/>
          <w:sz w:val="32"/>
          <w:szCs w:val="32"/>
        </w:rPr>
        <w:fldChar w:fldCharType="separate"/>
      </w:r>
      <w:r>
        <w:rPr>
          <w:rFonts w:hint="eastAsia" w:ascii="黑体" w:hAnsi="黑体" w:eastAsia="黑体" w:cs="黑体"/>
          <w:b w:val="0"/>
          <w:bCs/>
          <w:sz w:val="32"/>
          <w:szCs w:val="32"/>
        </w:rPr>
        <w:t>八、政府性基金预算收支情况说明</w:t>
      </w:r>
      <w:r>
        <w:rPr>
          <w:b w:val="0"/>
          <w:bCs/>
          <w:sz w:val="32"/>
          <w:szCs w:val="32"/>
        </w:rPr>
        <w:tab/>
      </w:r>
      <w:r>
        <w:rPr>
          <w:rFonts w:hint="eastAsia"/>
          <w:b w:val="0"/>
          <w:bCs/>
          <w:sz w:val="32"/>
          <w:szCs w:val="32"/>
          <w:lang w:val="en-US" w:eastAsia="zh-CN"/>
        </w:rPr>
        <w:t>1</w:t>
      </w:r>
      <w:r>
        <w:rPr>
          <w:rFonts w:hint="eastAsia" w:ascii="ˎ̥" w:hAnsi="ˎ̥"/>
          <w:b w:val="0"/>
          <w:bCs/>
          <w:color w:val="000000"/>
          <w:sz w:val="32"/>
          <w:szCs w:val="32"/>
        </w:rPr>
        <w:fldChar w:fldCharType="end"/>
      </w:r>
      <w:r>
        <w:rPr>
          <w:rFonts w:hint="eastAsia" w:ascii="ˎ̥" w:hAnsi="ˎ̥"/>
          <w:b w:val="0"/>
          <w:bCs/>
          <w:color w:val="000000"/>
          <w:sz w:val="32"/>
          <w:szCs w:val="32"/>
          <w:lang w:val="en-US" w:eastAsia="zh-CN"/>
        </w:rPr>
        <w:t>2</w:t>
      </w:r>
    </w:p>
    <w:p w14:paraId="7DC06989">
      <w:pPr>
        <w:pStyle w:val="17"/>
        <w:keepNext w:val="0"/>
        <w:keepLines w:val="0"/>
        <w:pageBreakBefore w:val="0"/>
        <w:tabs>
          <w:tab w:val="right" w:leader="dot" w:pos="8845"/>
        </w:tabs>
        <w:kinsoku/>
        <w:wordWrap/>
        <w:overflowPunct/>
        <w:topLinePunct w:val="0"/>
        <w:autoSpaceDE/>
        <w:autoSpaceDN/>
        <w:bidi w:val="0"/>
        <w:spacing w:line="560" w:lineRule="exact"/>
        <w:textAlignment w:val="auto"/>
        <w:rPr>
          <w:rFonts w:hint="eastAsia" w:eastAsia="宋体"/>
          <w:b w:val="0"/>
          <w:bCs/>
          <w:sz w:val="32"/>
          <w:szCs w:val="32"/>
          <w:lang w:val="en-US" w:eastAsia="zh-CN"/>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_Toc165 </w:instrText>
      </w:r>
      <w:r>
        <w:rPr>
          <w:rFonts w:hint="eastAsia" w:ascii="ˎ̥" w:hAnsi="ˎ̥"/>
          <w:b w:val="0"/>
          <w:bCs/>
          <w:sz w:val="32"/>
          <w:szCs w:val="32"/>
        </w:rPr>
        <w:fldChar w:fldCharType="separate"/>
      </w:r>
      <w:r>
        <w:rPr>
          <w:rFonts w:hint="eastAsia" w:ascii="黑体" w:hAnsi="黑体" w:eastAsia="黑体" w:cs="黑体"/>
          <w:b w:val="0"/>
          <w:bCs/>
          <w:sz w:val="32"/>
          <w:szCs w:val="32"/>
        </w:rPr>
        <w:t>九、国有资本经营预算支出情况说明</w:t>
      </w:r>
      <w:r>
        <w:rPr>
          <w:b w:val="0"/>
          <w:bCs/>
          <w:sz w:val="32"/>
          <w:szCs w:val="32"/>
        </w:rPr>
        <w:tab/>
      </w:r>
      <w:r>
        <w:rPr>
          <w:rFonts w:hint="eastAsia"/>
          <w:b w:val="0"/>
          <w:bCs/>
          <w:sz w:val="32"/>
          <w:szCs w:val="32"/>
          <w:lang w:val="en-US" w:eastAsia="zh-CN"/>
        </w:rPr>
        <w:t>1</w:t>
      </w:r>
      <w:r>
        <w:rPr>
          <w:rFonts w:hint="eastAsia" w:ascii="ˎ̥" w:hAnsi="ˎ̥"/>
          <w:b w:val="0"/>
          <w:bCs/>
          <w:color w:val="000000"/>
          <w:sz w:val="32"/>
          <w:szCs w:val="32"/>
        </w:rPr>
        <w:fldChar w:fldCharType="end"/>
      </w:r>
      <w:r>
        <w:rPr>
          <w:rFonts w:hint="eastAsia" w:ascii="ˎ̥" w:hAnsi="ˎ̥"/>
          <w:b w:val="0"/>
          <w:bCs/>
          <w:color w:val="000000"/>
          <w:sz w:val="32"/>
          <w:szCs w:val="32"/>
          <w:lang w:val="en-US" w:eastAsia="zh-CN"/>
        </w:rPr>
        <w:t>2</w:t>
      </w:r>
    </w:p>
    <w:p w14:paraId="2DE86ACF">
      <w:pPr>
        <w:pStyle w:val="17"/>
        <w:keepNext w:val="0"/>
        <w:keepLines w:val="0"/>
        <w:pageBreakBefore w:val="0"/>
        <w:tabs>
          <w:tab w:val="right" w:leader="dot" w:pos="8845"/>
        </w:tabs>
        <w:kinsoku/>
        <w:wordWrap/>
        <w:overflowPunct/>
        <w:topLinePunct w:val="0"/>
        <w:autoSpaceDE/>
        <w:autoSpaceDN/>
        <w:bidi w:val="0"/>
        <w:spacing w:line="560" w:lineRule="exact"/>
        <w:textAlignment w:val="auto"/>
        <w:rPr>
          <w:rFonts w:hint="eastAsia" w:eastAsia="宋体"/>
          <w:b w:val="0"/>
          <w:bCs/>
          <w:sz w:val="32"/>
          <w:szCs w:val="32"/>
          <w:lang w:val="en-US" w:eastAsia="zh-CN"/>
        </w:rPr>
      </w:pPr>
      <w:r>
        <w:rPr>
          <w:rFonts w:hint="eastAsia" w:ascii="ˎ̥" w:hAnsi="ˎ̥"/>
          <w:b w:val="0"/>
          <w:bCs/>
          <w:color w:val="000000"/>
          <w:sz w:val="32"/>
          <w:szCs w:val="32"/>
        </w:rPr>
        <w:fldChar w:fldCharType="begin"/>
      </w:r>
      <w:r>
        <w:rPr>
          <w:rFonts w:hint="eastAsia" w:ascii="ˎ̥" w:hAnsi="ˎ̥"/>
          <w:b w:val="0"/>
          <w:bCs/>
          <w:sz w:val="32"/>
          <w:szCs w:val="32"/>
        </w:rPr>
        <w:instrText xml:space="preserve"> HYPERLINK \l _Toc29771 </w:instrText>
      </w:r>
      <w:r>
        <w:rPr>
          <w:rFonts w:hint="eastAsia" w:ascii="ˎ̥" w:hAnsi="ˎ̥"/>
          <w:b w:val="0"/>
          <w:bCs/>
          <w:sz w:val="32"/>
          <w:szCs w:val="32"/>
        </w:rPr>
        <w:fldChar w:fldCharType="separate"/>
      </w:r>
      <w:r>
        <w:rPr>
          <w:rFonts w:hint="eastAsia" w:ascii="黑体" w:hAnsi="黑体" w:eastAsia="黑体" w:cs="黑体"/>
          <w:b w:val="0"/>
          <w:bCs/>
          <w:sz w:val="32"/>
          <w:szCs w:val="32"/>
        </w:rPr>
        <w:t>十、其他重要事项的情况说明</w:t>
      </w:r>
      <w:r>
        <w:rPr>
          <w:b w:val="0"/>
          <w:bCs/>
          <w:sz w:val="32"/>
          <w:szCs w:val="32"/>
        </w:rPr>
        <w:tab/>
      </w:r>
      <w:r>
        <w:rPr>
          <w:rFonts w:hint="eastAsia"/>
          <w:b w:val="0"/>
          <w:bCs/>
          <w:sz w:val="32"/>
          <w:szCs w:val="32"/>
          <w:lang w:val="en-US" w:eastAsia="zh-CN"/>
        </w:rPr>
        <w:t>1</w:t>
      </w:r>
      <w:r>
        <w:rPr>
          <w:rFonts w:hint="eastAsia" w:ascii="ˎ̥" w:hAnsi="ˎ̥"/>
          <w:b w:val="0"/>
          <w:bCs/>
          <w:color w:val="000000"/>
          <w:sz w:val="32"/>
          <w:szCs w:val="32"/>
        </w:rPr>
        <w:fldChar w:fldCharType="end"/>
      </w:r>
      <w:r>
        <w:rPr>
          <w:rFonts w:hint="eastAsia" w:ascii="ˎ̥" w:hAnsi="ˎ̥"/>
          <w:b w:val="0"/>
          <w:bCs/>
          <w:color w:val="000000"/>
          <w:sz w:val="32"/>
          <w:szCs w:val="32"/>
          <w:lang w:val="en-US" w:eastAsia="zh-CN"/>
        </w:rPr>
        <w:t>2</w:t>
      </w:r>
    </w:p>
    <w:p w14:paraId="4F6AF984">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 HYPERLINK \l _Toc11525 </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（一）机关运行经费</w:t>
      </w:r>
      <w:r>
        <w:rPr>
          <w:rFonts w:hint="eastAsia" w:ascii="楷体_GB2312" w:hAnsi="楷体_GB2312" w:eastAsia="楷体_GB2312" w:cs="楷体_GB2312"/>
          <w:bCs/>
          <w:sz w:val="32"/>
          <w:szCs w:val="32"/>
        </w:rPr>
        <w:tab/>
      </w:r>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val="en-US" w:eastAsia="zh-CN"/>
        </w:rPr>
        <w:t>2</w:t>
      </w:r>
    </w:p>
    <w:p w14:paraId="44415EA5">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 HYPERLINK \l _Toc15299 </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（二）政府采购情况</w:t>
      </w:r>
      <w:r>
        <w:rPr>
          <w:rFonts w:hint="eastAsia" w:ascii="楷体_GB2312" w:hAnsi="楷体_GB2312" w:eastAsia="楷体_GB2312" w:cs="楷体_GB2312"/>
          <w:bCs/>
          <w:sz w:val="32"/>
          <w:szCs w:val="32"/>
        </w:rPr>
        <w:tab/>
      </w:r>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val="en-US" w:eastAsia="zh-CN"/>
        </w:rPr>
        <w:t>2</w:t>
      </w:r>
    </w:p>
    <w:p w14:paraId="587B2B68">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 HYPERLINK \l _Toc18679 </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（三）国有资产占有使用情况</w:t>
      </w:r>
      <w:r>
        <w:rPr>
          <w:rFonts w:hint="eastAsia" w:ascii="楷体_GB2312" w:hAnsi="楷体_GB2312" w:eastAsia="楷体_GB2312" w:cs="楷体_GB2312"/>
          <w:bCs/>
          <w:sz w:val="32"/>
          <w:szCs w:val="32"/>
        </w:rPr>
        <w:tab/>
      </w:r>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val="en-US" w:eastAsia="zh-CN"/>
        </w:rPr>
        <w:t>2</w:t>
      </w:r>
    </w:p>
    <w:p w14:paraId="7A93E60E">
      <w:pPr>
        <w:pStyle w:val="18"/>
        <w:keepNext w:val="0"/>
        <w:keepLines w:val="0"/>
        <w:pageBreakBefore w:val="0"/>
        <w:tabs>
          <w:tab w:val="right" w:leader="dot" w:pos="8845"/>
        </w:tabs>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_GB2312" w:hAnsi="楷体_GB2312" w:eastAsia="楷体_GB2312" w:cs="楷体_GB2312"/>
          <w:bCs/>
          <w:sz w:val="32"/>
          <w:szCs w:val="32"/>
        </w:rPr>
        <w:fldChar w:fldCharType="begin"/>
      </w:r>
      <w:r>
        <w:rPr>
          <w:rFonts w:hint="eastAsia" w:ascii="楷体_GB2312" w:hAnsi="楷体_GB2312" w:eastAsia="楷体_GB2312" w:cs="楷体_GB2312"/>
          <w:bCs/>
          <w:sz w:val="32"/>
          <w:szCs w:val="32"/>
        </w:rPr>
        <w:instrText xml:space="preserve"> HYPERLINK \l _Toc2176 </w:instrText>
      </w:r>
      <w:r>
        <w:rPr>
          <w:rFonts w:hint="eastAsia" w:ascii="楷体_GB2312" w:hAnsi="楷体_GB2312" w:eastAsia="楷体_GB2312" w:cs="楷体_GB2312"/>
          <w:bCs/>
          <w:sz w:val="32"/>
          <w:szCs w:val="32"/>
        </w:rPr>
        <w:fldChar w:fldCharType="separate"/>
      </w:r>
      <w:r>
        <w:rPr>
          <w:rFonts w:hint="eastAsia" w:ascii="楷体_GB2312" w:hAnsi="楷体_GB2312" w:eastAsia="楷体_GB2312" w:cs="楷体_GB2312"/>
          <w:bCs/>
          <w:sz w:val="32"/>
          <w:szCs w:val="32"/>
        </w:rPr>
        <w:t>（四）绩效目标设置情况</w:t>
      </w:r>
      <w:r>
        <w:rPr>
          <w:rFonts w:hint="eastAsia" w:ascii="楷体_GB2312" w:hAnsi="楷体_GB2312" w:eastAsia="楷体_GB2312" w:cs="楷体_GB2312"/>
          <w:bCs/>
          <w:sz w:val="32"/>
          <w:szCs w:val="32"/>
        </w:rPr>
        <w:tab/>
      </w:r>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fldChar w:fldCharType="end"/>
      </w:r>
      <w:r>
        <w:rPr>
          <w:rFonts w:hint="eastAsia" w:ascii="楷体_GB2312" w:hAnsi="楷体_GB2312" w:eastAsia="楷体_GB2312" w:cs="楷体_GB2312"/>
          <w:bCs/>
          <w:sz w:val="32"/>
          <w:szCs w:val="32"/>
          <w:lang w:val="en-US" w:eastAsia="zh-CN"/>
        </w:rPr>
        <w:t>3</w:t>
      </w:r>
    </w:p>
    <w:p w14:paraId="6BA79379">
      <w:pPr>
        <w:pStyle w:val="17"/>
        <w:keepNext w:val="0"/>
        <w:keepLines w:val="0"/>
        <w:pageBreakBefore w:val="0"/>
        <w:tabs>
          <w:tab w:val="right" w:leader="dot" w:pos="8845"/>
        </w:tabs>
        <w:kinsoku/>
        <w:wordWrap/>
        <w:overflowPunct/>
        <w:topLinePunct w:val="0"/>
        <w:autoSpaceDE/>
        <w:autoSpaceDN/>
        <w:bidi w:val="0"/>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color w:val="000000"/>
          <w:sz w:val="32"/>
          <w:szCs w:val="32"/>
        </w:rPr>
        <w:fldChar w:fldCharType="begin"/>
      </w:r>
      <w:r>
        <w:rPr>
          <w:rFonts w:hint="eastAsia" w:ascii="黑体" w:hAnsi="黑体" w:eastAsia="黑体" w:cs="黑体"/>
          <w:b w:val="0"/>
          <w:bCs/>
          <w:sz w:val="32"/>
          <w:szCs w:val="32"/>
        </w:rPr>
        <w:instrText xml:space="preserve"> HYPERLINK \l _Toc6693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、名词解释</w:t>
      </w:r>
      <w:r>
        <w:rPr>
          <w:rFonts w:hint="eastAsia" w:ascii="黑体" w:hAnsi="黑体" w:eastAsia="黑体" w:cs="黑体"/>
          <w:b w:val="0"/>
          <w:bCs/>
          <w:sz w:val="32"/>
          <w:szCs w:val="32"/>
        </w:rPr>
        <w:tab/>
      </w:r>
      <w:r>
        <w:rPr>
          <w:rFonts w:hint="eastAsia" w:ascii="黑体" w:hAnsi="黑体" w:eastAsia="黑体" w:cs="黑体"/>
          <w:b w:val="0"/>
          <w:bCs/>
          <w:sz w:val="32"/>
          <w:szCs w:val="32"/>
          <w:lang w:val="en-US" w:eastAsia="zh-CN"/>
        </w:rPr>
        <w:t>1</w:t>
      </w:r>
      <w:r>
        <w:rPr>
          <w:rFonts w:hint="eastAsia" w:ascii="黑体" w:hAnsi="黑体" w:eastAsia="黑体" w:cs="黑体"/>
          <w:b w:val="0"/>
          <w:bCs/>
          <w:color w:val="000000"/>
          <w:sz w:val="32"/>
          <w:szCs w:val="32"/>
        </w:rPr>
        <w:fldChar w:fldCharType="end"/>
      </w:r>
      <w:r>
        <w:rPr>
          <w:rFonts w:hint="eastAsia" w:ascii="黑体" w:hAnsi="黑体" w:eastAsia="黑体" w:cs="黑体"/>
          <w:b w:val="0"/>
          <w:bCs/>
          <w:color w:val="000000"/>
          <w:sz w:val="32"/>
          <w:szCs w:val="32"/>
          <w:lang w:val="en-US" w:eastAsia="zh-CN"/>
        </w:rPr>
        <w:t>3</w:t>
      </w:r>
    </w:p>
    <w:p w14:paraId="6D40BA12">
      <w:pPr>
        <w:pStyle w:val="5"/>
        <w:keepNext w:val="0"/>
        <w:keepLines w:val="0"/>
        <w:pageBreakBefore w:val="0"/>
        <w:kinsoku/>
        <w:wordWrap/>
        <w:overflowPunct/>
        <w:topLinePunct w:val="0"/>
        <w:autoSpaceDE/>
        <w:autoSpaceDN/>
        <w:bidi w:val="0"/>
        <w:spacing w:line="560" w:lineRule="exact"/>
        <w:textAlignment w:val="auto"/>
        <w:rPr>
          <w:rFonts w:hint="eastAsia" w:ascii="ˎ̥" w:hAnsi="ˎ̥"/>
          <w:b/>
          <w:bCs/>
          <w:color w:val="000000"/>
          <w:sz w:val="32"/>
          <w:szCs w:val="32"/>
        </w:rPr>
      </w:pPr>
      <w:r>
        <w:rPr>
          <w:rFonts w:hint="eastAsia" w:ascii="ˎ̥" w:hAnsi="ˎ̥"/>
          <w:b/>
          <w:bCs/>
          <w:color w:val="000000"/>
          <w:sz w:val="32"/>
          <w:szCs w:val="32"/>
        </w:rPr>
        <w:fldChar w:fldCharType="end"/>
      </w:r>
    </w:p>
    <w:p w14:paraId="04D8D527">
      <w:pPr>
        <w:pStyle w:val="5"/>
        <w:keepNext w:val="0"/>
        <w:keepLines w:val="0"/>
        <w:pageBreakBefore w:val="0"/>
        <w:kinsoku/>
        <w:wordWrap/>
        <w:overflowPunct/>
        <w:topLinePunct w:val="0"/>
        <w:autoSpaceDE/>
        <w:autoSpaceDN/>
        <w:bidi w:val="0"/>
        <w:spacing w:line="560" w:lineRule="exact"/>
        <w:textAlignment w:val="auto"/>
        <w:rPr>
          <w:rFonts w:hint="eastAsia" w:ascii="ˎ̥" w:hAnsi="ˎ̥"/>
          <w:b/>
          <w:bCs/>
          <w:color w:val="000000"/>
          <w:sz w:val="32"/>
          <w:szCs w:val="32"/>
        </w:rPr>
      </w:pPr>
    </w:p>
    <w:p w14:paraId="02A65426">
      <w:pPr>
        <w:pStyle w:val="5"/>
        <w:keepNext w:val="0"/>
        <w:keepLines w:val="0"/>
        <w:pageBreakBefore w:val="0"/>
        <w:kinsoku/>
        <w:wordWrap/>
        <w:overflowPunct/>
        <w:topLinePunct w:val="0"/>
        <w:autoSpaceDE/>
        <w:autoSpaceDN/>
        <w:bidi w:val="0"/>
        <w:spacing w:line="560" w:lineRule="exact"/>
        <w:textAlignment w:val="auto"/>
        <w:rPr>
          <w:rFonts w:hint="eastAsia" w:ascii="ˎ̥" w:hAnsi="ˎ̥"/>
          <w:b/>
          <w:bCs/>
          <w:color w:val="000000"/>
          <w:sz w:val="32"/>
          <w:szCs w:val="32"/>
        </w:rPr>
      </w:pPr>
    </w:p>
    <w:p w14:paraId="6AA89F5D">
      <w:pPr>
        <w:pStyle w:val="5"/>
        <w:keepNext w:val="0"/>
        <w:keepLines w:val="0"/>
        <w:pageBreakBefore w:val="0"/>
        <w:kinsoku/>
        <w:wordWrap/>
        <w:overflowPunct/>
        <w:topLinePunct w:val="0"/>
        <w:autoSpaceDE/>
        <w:autoSpaceDN/>
        <w:bidi w:val="0"/>
        <w:spacing w:line="560" w:lineRule="exact"/>
        <w:textAlignment w:val="auto"/>
        <w:rPr>
          <w:rFonts w:hint="eastAsia" w:ascii="ˎ̥" w:hAnsi="ˎ̥"/>
          <w:b/>
          <w:bCs/>
          <w:color w:val="000000"/>
          <w:sz w:val="32"/>
          <w:szCs w:val="32"/>
        </w:rPr>
      </w:pPr>
    </w:p>
    <w:p w14:paraId="4BBBDC6C">
      <w:pPr>
        <w:pStyle w:val="5"/>
        <w:keepNext w:val="0"/>
        <w:keepLines w:val="0"/>
        <w:pageBreakBefore w:val="0"/>
        <w:kinsoku/>
        <w:wordWrap/>
        <w:overflowPunct/>
        <w:topLinePunct w:val="0"/>
        <w:autoSpaceDE/>
        <w:autoSpaceDN/>
        <w:bidi w:val="0"/>
        <w:spacing w:line="560" w:lineRule="exact"/>
        <w:textAlignment w:val="auto"/>
        <w:rPr>
          <w:rFonts w:hint="eastAsia" w:ascii="ˎ̥" w:hAnsi="ˎ̥"/>
          <w:b/>
          <w:bCs/>
          <w:color w:val="000000"/>
          <w:sz w:val="32"/>
          <w:szCs w:val="32"/>
        </w:rPr>
      </w:pPr>
    </w:p>
    <w:p w14:paraId="5E5A810B">
      <w:pPr>
        <w:pStyle w:val="5"/>
        <w:keepNext w:val="0"/>
        <w:keepLines w:val="0"/>
        <w:pageBreakBefore w:val="0"/>
        <w:kinsoku/>
        <w:wordWrap/>
        <w:overflowPunct/>
        <w:topLinePunct w:val="0"/>
        <w:autoSpaceDE/>
        <w:autoSpaceDN/>
        <w:bidi w:val="0"/>
        <w:spacing w:line="560" w:lineRule="exact"/>
        <w:textAlignment w:val="auto"/>
        <w:rPr>
          <w:rFonts w:hint="eastAsia" w:ascii="ˎ̥" w:hAnsi="ˎ̥"/>
          <w:b/>
          <w:bCs/>
          <w:color w:val="000000"/>
          <w:sz w:val="32"/>
          <w:szCs w:val="32"/>
        </w:rPr>
      </w:pPr>
    </w:p>
    <w:p w14:paraId="7128A06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sectPr>
          <w:pgSz w:w="11906" w:h="16838"/>
          <w:pgMar w:top="1984" w:right="1474" w:bottom="1701" w:left="1587" w:header="851" w:footer="992" w:gutter="0"/>
          <w:cols w:space="425" w:num="1"/>
          <w:docGrid w:type="lines" w:linePitch="312" w:charSpace="0"/>
        </w:sectPr>
      </w:pPr>
    </w:p>
    <w:p w14:paraId="605C9D7A">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olor w:val="auto"/>
          <w:sz w:val="32"/>
          <w:szCs w:val="32"/>
        </w:rPr>
      </w:pPr>
      <w:r>
        <w:rPr>
          <w:rFonts w:hint="eastAsia" w:ascii="黑体" w:hAnsi="黑体" w:eastAsia="黑体" w:cs="黑体"/>
          <w:color w:val="auto"/>
          <w:sz w:val="32"/>
          <w:szCs w:val="32"/>
        </w:rPr>
        <w:t>一、基本职能及主要工作</w:t>
      </w:r>
    </w:p>
    <w:p w14:paraId="43E6D7FE">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 w:hAnsi="楷体" w:eastAsia="楷体" w:cs="楷体"/>
          <w:color w:val="auto"/>
          <w:sz w:val="32"/>
          <w:szCs w:val="32"/>
        </w:rPr>
        <w:t>（一）机构设置及主要职责</w:t>
      </w:r>
    </w:p>
    <w:p w14:paraId="55A64350">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_GB2312" w:hAnsi="仿宋" w:eastAsia="仿宋_GB2312"/>
          <w:b/>
          <w:bCs/>
          <w:color w:val="auto"/>
          <w:sz w:val="32"/>
          <w:szCs w:val="32"/>
          <w:highlight w:val="none"/>
          <w:shd w:val="clear" w:color="auto" w:fill="auto"/>
        </w:rPr>
      </w:pPr>
      <w:r>
        <w:rPr>
          <w:rFonts w:hint="eastAsia" w:ascii="仿宋_GB2312" w:hAnsi="仿宋" w:eastAsia="仿宋_GB2312"/>
          <w:b/>
          <w:bCs/>
          <w:color w:val="auto"/>
          <w:sz w:val="32"/>
          <w:szCs w:val="32"/>
          <w:highlight w:val="none"/>
          <w:shd w:val="clear" w:color="auto" w:fill="auto"/>
        </w:rPr>
        <w:t>1．主要职能</w:t>
      </w:r>
    </w:p>
    <w:p w14:paraId="72598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）负责退役军人思想政治、管理保障和安置优抚工作等政策法规的组织实施。</w:t>
      </w:r>
    </w:p>
    <w:p w14:paraId="78886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w:t>
      </w:r>
      <w:r>
        <w:rPr>
          <w:rFonts w:hint="eastAsia" w:ascii="仿宋_GB2312" w:hAnsi="仿宋" w:eastAsia="仿宋_GB2312" w:cs="仿宋_GB2312"/>
          <w:color w:val="auto"/>
          <w:sz w:val="32"/>
          <w:szCs w:val="32"/>
        </w:rPr>
        <w:t>负责军队转业干部、复员干部、离休退休干部、退役士兵和无军籍退休退职职工的接收移交安置工作和自主择业、就业退役军人服务管理工作。</w:t>
      </w:r>
    </w:p>
    <w:p w14:paraId="2189E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）组织、实施、指导退役军人教育培训工作，协调扶持退役军人和随军随调家属就业创业。</w:t>
      </w:r>
    </w:p>
    <w:p w14:paraId="47B87B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w:t>
      </w:r>
      <w:r>
        <w:rPr>
          <w:rFonts w:hint="eastAsia" w:ascii="仿宋_GB2312" w:hAnsi="仿宋" w:eastAsia="仿宋_GB2312" w:cs="仿宋_GB2312"/>
          <w:color w:val="auto"/>
          <w:sz w:val="32"/>
          <w:szCs w:val="32"/>
        </w:rPr>
        <w:t>贯彻执行国家、省、市有关退役军人特殊保障政策</w:t>
      </w:r>
      <w:r>
        <w:rPr>
          <w:rFonts w:hint="eastAsia" w:ascii="仿宋_GB2312" w:hAnsi="仿宋_GB2312" w:eastAsia="仿宋_GB2312" w:cs="仿宋_GB2312"/>
          <w:bCs/>
          <w:color w:val="auto"/>
          <w:sz w:val="32"/>
          <w:szCs w:val="32"/>
        </w:rPr>
        <w:t>。</w:t>
      </w:r>
    </w:p>
    <w:p w14:paraId="193C4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w:t>
      </w:r>
      <w:r>
        <w:rPr>
          <w:rFonts w:hint="eastAsia" w:ascii="仿宋_GB2312" w:hAnsi="仿宋" w:eastAsia="仿宋_GB2312" w:cs="仿宋_GB2312"/>
          <w:color w:val="auto"/>
          <w:sz w:val="32"/>
          <w:szCs w:val="32"/>
        </w:rPr>
        <w:t>组织协调落实移交地方的离休退休军人、符合条件的其他退役军人和无军籍退休退职职工的住房保障工作，以及退役军人医疗保障、社会保险等待遇保障工作</w:t>
      </w:r>
      <w:r>
        <w:rPr>
          <w:rFonts w:hint="eastAsia" w:ascii="仿宋_GB2312" w:hAnsi="仿宋_GB2312" w:eastAsia="仿宋_GB2312" w:cs="仿宋_GB2312"/>
          <w:bCs/>
          <w:color w:val="auto"/>
          <w:sz w:val="32"/>
          <w:szCs w:val="32"/>
        </w:rPr>
        <w:t>。</w:t>
      </w:r>
    </w:p>
    <w:p w14:paraId="35989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6</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审核</w:t>
      </w:r>
      <w:r>
        <w:rPr>
          <w:rFonts w:hint="eastAsia" w:ascii="仿宋_GB2312" w:hAnsi="仿宋" w:eastAsia="仿宋_GB2312" w:cs="仿宋_GB2312"/>
          <w:color w:val="auto"/>
          <w:sz w:val="32"/>
          <w:szCs w:val="32"/>
        </w:rPr>
        <w:t>有关</w:t>
      </w:r>
      <w:r>
        <w:rPr>
          <w:rFonts w:hint="eastAsia" w:ascii="仿宋_GB2312" w:hAnsi="仿宋_GB2312" w:eastAsia="仿宋_GB2312" w:cs="仿宋_GB2312"/>
          <w:bCs/>
          <w:color w:val="auto"/>
          <w:sz w:val="32"/>
          <w:szCs w:val="32"/>
        </w:rPr>
        <w:t>退役军人医疗、疗养、养老等机构规划政策</w:t>
      </w:r>
      <w:r>
        <w:rPr>
          <w:rFonts w:hint="eastAsia" w:ascii="仿宋_GB2312" w:hAnsi="仿宋_GB2312" w:eastAsia="仿宋_GB2312" w:cs="仿宋_GB2312"/>
          <w:bCs/>
          <w:color w:val="auto"/>
          <w:sz w:val="32"/>
          <w:szCs w:val="32"/>
          <w:lang w:eastAsia="zh-CN"/>
        </w:rPr>
        <w:t>。</w:t>
      </w:r>
      <w:r>
        <w:rPr>
          <w:rFonts w:hint="eastAsia" w:ascii="仿宋_GB2312" w:hAnsi="仿宋" w:eastAsia="仿宋_GB2312" w:cs="仿宋_GB2312"/>
          <w:color w:val="auto"/>
          <w:sz w:val="32"/>
          <w:szCs w:val="32"/>
        </w:rPr>
        <w:t>承担不适宜继续服役的伤病残军人移交安置、退休安置、供养等工作</w:t>
      </w:r>
      <w:r>
        <w:rPr>
          <w:rFonts w:hint="eastAsia" w:ascii="仿宋_GB2312" w:hAnsi="仿宋" w:eastAsia="仿宋_GB2312" w:cs="仿宋_GB2312"/>
          <w:color w:val="auto"/>
          <w:sz w:val="32"/>
          <w:szCs w:val="32"/>
          <w:lang w:eastAsia="zh-CN"/>
        </w:rPr>
        <w:t>。</w:t>
      </w:r>
      <w:r>
        <w:rPr>
          <w:rFonts w:hint="eastAsia" w:ascii="仿宋_GB2312" w:hAnsi="仿宋_GB2312" w:eastAsia="仿宋_GB2312" w:cs="仿宋_GB2312"/>
          <w:bCs/>
          <w:color w:val="auto"/>
          <w:sz w:val="32"/>
          <w:szCs w:val="32"/>
        </w:rPr>
        <w:t>协调军供服务保障工作。</w:t>
      </w:r>
    </w:p>
    <w:p w14:paraId="153D5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7</w:t>
      </w:r>
      <w:r>
        <w:rPr>
          <w:rFonts w:hint="eastAsia" w:ascii="仿宋_GB2312" w:hAnsi="仿宋_GB2312" w:eastAsia="仿宋_GB2312" w:cs="仿宋_GB2312"/>
          <w:bCs/>
          <w:color w:val="auto"/>
          <w:sz w:val="32"/>
          <w:szCs w:val="32"/>
        </w:rPr>
        <w:t>）</w:t>
      </w:r>
      <w:r>
        <w:rPr>
          <w:rFonts w:hint="eastAsia" w:ascii="仿宋_GB2312" w:hAnsi="仿宋" w:eastAsia="仿宋_GB2312" w:cs="仿宋_GB2312"/>
          <w:color w:val="auto"/>
          <w:sz w:val="32"/>
          <w:szCs w:val="32"/>
        </w:rPr>
        <w:t>组织指导拥军优属工作。承担现役军人、退役军人、军队文职人员和军属的优待、抚恤等工作。贯彻执行国家、省有关国民党抗战老兵等有关人员优待政策</w:t>
      </w:r>
      <w:r>
        <w:rPr>
          <w:rFonts w:hint="eastAsia" w:ascii="仿宋_GB2312" w:hAnsi="仿宋_GB2312" w:eastAsia="仿宋_GB2312" w:cs="仿宋_GB2312"/>
          <w:bCs/>
          <w:color w:val="auto"/>
          <w:sz w:val="32"/>
          <w:szCs w:val="32"/>
        </w:rPr>
        <w:t>。</w:t>
      </w:r>
    </w:p>
    <w:p w14:paraId="6A11A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w:t>
      </w:r>
      <w:r>
        <w:rPr>
          <w:rFonts w:hint="eastAsia" w:ascii="仿宋_GB2312" w:hAnsi="仿宋" w:eastAsia="仿宋_GB2312" w:cs="仿宋_GB2312"/>
          <w:color w:val="auto"/>
          <w:sz w:val="32"/>
          <w:szCs w:val="32"/>
        </w:rPr>
        <w:t>负责烈士及退役军人荣誉奖励、军人公墓和烈士纪念设施的建设管理、纪念活动等工作，依法承担英雄烈士保护相关工作</w:t>
      </w:r>
      <w:r>
        <w:rPr>
          <w:rFonts w:hint="eastAsia" w:ascii="仿宋_GB2312" w:hAnsi="仿宋_GB2312" w:eastAsia="仿宋_GB2312" w:cs="仿宋_GB2312"/>
          <w:bCs/>
          <w:color w:val="auto"/>
          <w:sz w:val="32"/>
          <w:szCs w:val="32"/>
        </w:rPr>
        <w:t>。总结表彰和宣扬退役军人、退役军人工作单位和个人先进典型事迹。</w:t>
      </w:r>
    </w:p>
    <w:p w14:paraId="6509D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）落实退役军人相关法律法规和政策措施，组织、协调开展退役军人权益维护和有关人员的帮扶援助工作。</w:t>
      </w:r>
    </w:p>
    <w:p w14:paraId="061D5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val="en-US" w:eastAsia="zh-CN"/>
        </w:rPr>
        <w:t>10</w:t>
      </w:r>
      <w:r>
        <w:rPr>
          <w:rFonts w:hint="eastAsia" w:ascii="仿宋_GB2312" w:hAnsi="仿宋" w:eastAsia="仿宋_GB2312" w:cs="仿宋_GB2312"/>
          <w:color w:val="auto"/>
          <w:sz w:val="32"/>
          <w:szCs w:val="32"/>
        </w:rPr>
        <w:t>）参与退役军人事务分级负责机制和应急抢险联动机制建设。组织指导退役军人综合服务体系建设。配合落实退役军人党建工作。</w:t>
      </w:r>
    </w:p>
    <w:p w14:paraId="3A3B4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11</w:t>
      </w:r>
      <w:r>
        <w:rPr>
          <w:rFonts w:hint="eastAsia" w:ascii="仿宋_GB2312" w:hAnsi="仿宋_GB2312" w:eastAsia="仿宋_GB2312" w:cs="仿宋_GB2312"/>
          <w:bCs/>
          <w:color w:val="auto"/>
          <w:sz w:val="32"/>
          <w:szCs w:val="32"/>
        </w:rPr>
        <w:t>）负责职责范围内的安全生产、职业健康、生态环境保护等工作。</w:t>
      </w:r>
    </w:p>
    <w:p w14:paraId="708FE91B">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12</w:t>
      </w:r>
      <w:r>
        <w:rPr>
          <w:rFonts w:hint="eastAsia" w:ascii="仿宋_GB2312" w:hAnsi="仿宋_GB2312" w:eastAsia="仿宋_GB2312" w:cs="仿宋_GB2312"/>
          <w:bCs/>
          <w:color w:val="auto"/>
          <w:sz w:val="32"/>
          <w:szCs w:val="32"/>
        </w:rPr>
        <w:t>）完成区委和区政府交办的其他任务。</w:t>
      </w:r>
    </w:p>
    <w:p w14:paraId="1F62AFA8">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t>2．机构情况</w:t>
      </w:r>
    </w:p>
    <w:p w14:paraId="563003DD">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根据上述职责，</w:t>
      </w:r>
      <w:r>
        <w:rPr>
          <w:rFonts w:hint="eastAsia" w:ascii="仿宋_GB2312" w:hAnsi="仿宋" w:eastAsia="仿宋_GB2312"/>
          <w:color w:val="auto"/>
          <w:sz w:val="32"/>
          <w:szCs w:val="32"/>
          <w:lang w:eastAsia="zh-CN"/>
        </w:rPr>
        <w:t>罗江区退役军人事务局</w:t>
      </w:r>
      <w:r>
        <w:rPr>
          <w:rFonts w:hint="eastAsia" w:ascii="仿宋_GB2312" w:hAnsi="仿宋" w:eastAsia="仿宋_GB2312"/>
          <w:color w:val="auto"/>
          <w:sz w:val="32"/>
          <w:szCs w:val="32"/>
        </w:rPr>
        <w:t>设2个内设机构</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下设1个服务中心。</w:t>
      </w:r>
    </w:p>
    <w:p w14:paraId="09FA950D">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办公室</w:t>
      </w:r>
    </w:p>
    <w:p w14:paraId="4700EE7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负责文电、会务、档案、机要等机关日常运转工作。承担保密、信息、安全、后勤保障、政务公开、信息化建设、有关综合性文稿起草和史志编纂工作。</w:t>
      </w:r>
      <w:r>
        <w:rPr>
          <w:rFonts w:hint="eastAsia" w:ascii="仿宋_GB2312" w:hAnsi="仿宋_GB2312" w:eastAsia="仿宋_GB2312" w:cs="仿宋_GB2312"/>
          <w:bCs/>
          <w:color w:val="auto"/>
          <w:sz w:val="32"/>
          <w:szCs w:val="32"/>
        </w:rPr>
        <w:t>负责职责范围内的安全生产、职业健康、生态环境保护等工作。</w:t>
      </w:r>
      <w:r>
        <w:rPr>
          <w:rFonts w:hint="eastAsia" w:ascii="仿宋_GB2312" w:hAnsi="仿宋" w:eastAsia="仿宋_GB2312" w:cs="仿宋_GB2312"/>
          <w:color w:val="auto"/>
          <w:sz w:val="32"/>
          <w:szCs w:val="32"/>
        </w:rPr>
        <w:t>组织办理人大代表建议、政协委员提案。</w:t>
      </w:r>
      <w:r>
        <w:rPr>
          <w:rFonts w:hint="eastAsia" w:ascii="仿宋_GB2312" w:hAnsi="仿宋_GB2312" w:eastAsia="仿宋_GB2312" w:cs="仿宋_GB2312"/>
          <w:bCs/>
          <w:color w:val="auto"/>
          <w:sz w:val="32"/>
          <w:szCs w:val="32"/>
        </w:rPr>
        <w:t>负责全局工作目标任务的制定、管理及考核，机关党建及党群工作。</w:t>
      </w:r>
      <w:r>
        <w:rPr>
          <w:rFonts w:hint="eastAsia" w:ascii="仿宋_GB2312" w:hAnsi="仿宋" w:eastAsia="仿宋_GB2312" w:cs="仿宋_GB2312"/>
          <w:color w:val="auto"/>
          <w:sz w:val="32"/>
          <w:szCs w:val="32"/>
        </w:rPr>
        <w:t>负责机关机构编制、干部人事、教育培训和退休人员工作，指导本系统人才队伍建设。</w:t>
      </w:r>
      <w:r>
        <w:rPr>
          <w:rFonts w:hint="eastAsia" w:ascii="仿宋_GB2312" w:hAnsi="仿宋_GB2312" w:eastAsia="仿宋_GB2312" w:cs="仿宋_GB2312"/>
          <w:bCs/>
          <w:color w:val="auto"/>
          <w:sz w:val="32"/>
          <w:szCs w:val="32"/>
        </w:rPr>
        <w:t>承担退役军人总结表彰、荣誉奖励和烈士褒扬、纪念设施管理保护工作，依法承担英雄烈士保护相关工作。承担退役军人思想政治、舆论宣传工作。配合指导退役军人党建工作，全面推进退役军人党组织建设。拟定退役军人事业发展规划、年度计划，贯彻执行国家、省</w:t>
      </w:r>
      <w:r>
        <w:rPr>
          <w:rFonts w:hint="eastAsia" w:ascii="仿宋_GB2312" w:hAnsi="仿宋" w:eastAsia="仿宋_GB2312" w:cs="楷体_GB2312"/>
          <w:bCs/>
          <w:color w:val="auto"/>
          <w:sz w:val="32"/>
          <w:szCs w:val="32"/>
        </w:rPr>
        <w:t>退役军人管理保障基础设施建设标准。</w:t>
      </w:r>
      <w:r>
        <w:rPr>
          <w:rFonts w:hint="eastAsia" w:ascii="仿宋_GB2312" w:hAnsi="仿宋" w:eastAsia="仿宋_GB2312" w:cs="仿宋_GB2312"/>
          <w:bCs/>
          <w:color w:val="auto"/>
          <w:sz w:val="32"/>
          <w:szCs w:val="32"/>
        </w:rPr>
        <w:t>负责机关财务、政府采购、资产管理等工作。</w:t>
      </w:r>
      <w:r>
        <w:rPr>
          <w:rFonts w:hint="eastAsia" w:ascii="仿宋_GB2312" w:hAnsi="仿宋" w:eastAsia="仿宋_GB2312" w:cs="仿宋_GB2312"/>
          <w:color w:val="auto"/>
          <w:sz w:val="32"/>
          <w:szCs w:val="32"/>
        </w:rPr>
        <w:t>组织指导退役军人综合服务体系建设。</w:t>
      </w:r>
    </w:p>
    <w:p w14:paraId="141E668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）退役</w:t>
      </w:r>
      <w:r>
        <w:rPr>
          <w:rFonts w:hint="eastAsia" w:ascii="仿宋_GB2312" w:hAnsi="仿宋_GB2312" w:eastAsia="仿宋_GB2312" w:cs="仿宋_GB2312"/>
          <w:b w:val="0"/>
          <w:bCs/>
          <w:color w:val="auto"/>
          <w:sz w:val="32"/>
          <w:szCs w:val="32"/>
        </w:rPr>
        <w:t>军人</w:t>
      </w:r>
      <w:r>
        <w:rPr>
          <w:rFonts w:hint="eastAsia" w:ascii="仿宋_GB2312" w:hAnsi="仿宋_GB2312" w:eastAsia="仿宋_GB2312" w:cs="仿宋_GB2312"/>
          <w:b w:val="0"/>
          <w:bCs/>
          <w:color w:val="auto"/>
          <w:sz w:val="32"/>
          <w:szCs w:val="32"/>
          <w:lang w:eastAsia="zh-CN"/>
        </w:rPr>
        <w:t>管理</w:t>
      </w:r>
      <w:r>
        <w:rPr>
          <w:rFonts w:hint="eastAsia" w:ascii="仿宋_GB2312" w:hAnsi="仿宋_GB2312" w:eastAsia="仿宋_GB2312" w:cs="仿宋_GB2312"/>
          <w:b w:val="0"/>
          <w:bCs/>
          <w:color w:val="auto"/>
          <w:sz w:val="32"/>
          <w:szCs w:val="32"/>
        </w:rPr>
        <w:t>股</w:t>
      </w:r>
    </w:p>
    <w:p w14:paraId="577BBE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组织落实退役军人思想政治、管理保障和安置优抚等政策规章。承担规范性文件的合法性审查、备案和行政复议、行政应诉工作，承办退役军人法律事务。负责落实退役军人相关法律法规和政策措施，承担军人家属、退役军人合法权益维护和有关人员的帮扶援助工作。承担退役军人信访事项的接待、处理和答复，负责退役军人一般信访事项的交办、督办和协调处理工作。组织指导退役军人矛盾纠纷排查化解工作。参与退役军人事务分级负责机制和应急抢险联动机制建设，协调处理有关突发事件。承担</w:t>
      </w:r>
      <w:r>
        <w:rPr>
          <w:rFonts w:hint="eastAsia" w:ascii="仿宋_GB2312" w:hAnsi="仿宋" w:eastAsia="仿宋_GB2312" w:cs="楷体_GB2312"/>
          <w:bCs/>
          <w:color w:val="auto"/>
          <w:sz w:val="32"/>
          <w:szCs w:val="32"/>
        </w:rPr>
        <w:t>区级单位计划安置、计划外选调工作，拟订</w:t>
      </w:r>
      <w:r>
        <w:rPr>
          <w:rFonts w:hint="eastAsia" w:ascii="仿宋_GB2312" w:hAnsi="仿宋" w:eastAsia="仿宋_GB2312" w:cs="仿宋_GB2312"/>
          <w:color w:val="auto"/>
          <w:sz w:val="32"/>
          <w:szCs w:val="32"/>
        </w:rPr>
        <w:t>计划分配的军队转业干部、符合政府安排工作条件的退役士兵年度安置计划并组织实施。负责自主择业军队转业干部、复员干部、自主就业退役士兵的服务管理，承担接收移交安置、就业创业扶持和教育培训等工作，拟订就业创业年度计划并组织实施。指导开展有关自主择业军队转业干部、复员干部、自主就业退役士兵的中介服务工作。组织协调落实移交安置退役军人医疗保障、社会保险等待遇保障工作。扶持随军随调家属就业创业工作。承担现役军人、退役军人、军队文职人员及军属的优待、抚恤等工作。贯彻执行国家、省有关退役军人医疗、疗养、养老等优抚保障机构的规划政策。组织协调落实退役军人医疗保障、社会保险等工作，以及移交地方的离休退休军人、符合条件的其他退役军人和无军籍退休退职职工的住房保障工作，承担不适宜继续服役的伤病残军人移交安置、退休安置、供养等工作。贯彻执行国民党抗战老兵等有关人员优待政策。负责移交地方的军队离退休干部、退休士官和无军籍退休退职职工的移交安置和服务管理工作。</w:t>
      </w:r>
    </w:p>
    <w:p w14:paraId="2718972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b w:val="0"/>
          <w:bCs w:val="0"/>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区退役军人服务中心</w:t>
      </w:r>
    </w:p>
    <w:p w14:paraId="0217C6E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lang w:eastAsia="zh-CN"/>
        </w:rPr>
        <w:t>①负责</w:t>
      </w:r>
      <w:r>
        <w:rPr>
          <w:rFonts w:hint="eastAsia" w:ascii="仿宋_GB2312" w:hAnsi="仿宋_GB2312" w:eastAsia="仿宋_GB2312" w:cs="仿宋_GB2312"/>
          <w:color w:val="auto"/>
          <w:sz w:val="32"/>
          <w:szCs w:val="32"/>
        </w:rPr>
        <w:t>拟定退役军人服务中心</w:t>
      </w:r>
      <w:r>
        <w:rPr>
          <w:rFonts w:hint="eastAsia" w:ascii="仿宋_GB2312" w:hAnsi="仿宋_GB2312" w:eastAsia="仿宋_GB2312" w:cs="仿宋_GB2312"/>
          <w:color w:val="auto"/>
          <w:sz w:val="32"/>
          <w:szCs w:val="32"/>
          <w:lang w:eastAsia="zh-CN"/>
        </w:rPr>
        <w:t>中长期</w:t>
      </w:r>
      <w:r>
        <w:rPr>
          <w:rFonts w:hint="eastAsia" w:ascii="仿宋_GB2312" w:hAnsi="仿宋_GB2312" w:eastAsia="仿宋_GB2312" w:cs="仿宋_GB2312"/>
          <w:color w:val="auto"/>
          <w:sz w:val="32"/>
          <w:szCs w:val="32"/>
        </w:rPr>
        <w:t>发展规划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指导</w:t>
      </w:r>
      <w:r>
        <w:rPr>
          <w:rFonts w:hint="eastAsia" w:ascii="仿宋_GB2312" w:hAnsi="仿宋_GB2312" w:eastAsia="仿宋_GB2312" w:cs="仿宋_GB2312"/>
          <w:color w:val="auto"/>
          <w:kern w:val="0"/>
          <w:sz w:val="32"/>
          <w:szCs w:val="32"/>
          <w:lang w:val="en-US" w:eastAsia="zh-CN"/>
        </w:rPr>
        <w:t>镇、村（社区）两级</w:t>
      </w:r>
      <w:r>
        <w:rPr>
          <w:rFonts w:hint="eastAsia" w:ascii="仿宋_GB2312" w:hAnsi="仿宋_GB2312" w:eastAsia="仿宋_GB2312" w:cs="仿宋_GB2312"/>
          <w:color w:val="auto"/>
          <w:kern w:val="0"/>
          <w:sz w:val="32"/>
          <w:szCs w:val="32"/>
        </w:rPr>
        <w:t>退役军人服务</w:t>
      </w:r>
      <w:r>
        <w:rPr>
          <w:rFonts w:hint="eastAsia" w:ascii="仿宋_GB2312" w:hAnsi="仿宋_GB2312" w:eastAsia="仿宋_GB2312" w:cs="仿宋_GB2312"/>
          <w:color w:val="auto"/>
          <w:kern w:val="0"/>
          <w:sz w:val="32"/>
          <w:szCs w:val="32"/>
          <w:lang w:eastAsia="zh-CN"/>
        </w:rPr>
        <w:t>体系</w:t>
      </w:r>
      <w:r>
        <w:rPr>
          <w:rFonts w:hint="eastAsia" w:ascii="仿宋_GB2312" w:hAnsi="仿宋_GB2312" w:eastAsia="仿宋_GB2312" w:cs="仿宋_GB2312"/>
          <w:color w:val="auto"/>
          <w:kern w:val="0"/>
          <w:sz w:val="32"/>
          <w:szCs w:val="32"/>
        </w:rPr>
        <w:t>的建设</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rPr>
        <w:t>落实</w:t>
      </w:r>
      <w:r>
        <w:rPr>
          <w:rFonts w:hint="eastAsia" w:ascii="仿宋_GB2312" w:hAnsi="仿宋_GB2312" w:eastAsia="仿宋_GB2312" w:cs="仿宋_GB2312"/>
          <w:color w:val="auto"/>
          <w:kern w:val="0"/>
          <w:sz w:val="32"/>
          <w:szCs w:val="32"/>
          <w:lang w:eastAsia="zh-CN"/>
        </w:rPr>
        <w:t>；②</w:t>
      </w:r>
      <w:r>
        <w:rPr>
          <w:rFonts w:hint="eastAsia" w:ascii="仿宋_GB2312" w:hAnsi="仿宋_GB2312" w:eastAsia="仿宋_GB2312" w:cs="仿宋_GB2312"/>
          <w:color w:val="auto"/>
          <w:kern w:val="0"/>
          <w:sz w:val="32"/>
          <w:szCs w:val="32"/>
          <w:lang w:val="en-US" w:eastAsia="zh-CN"/>
        </w:rPr>
        <w:t>配合做好</w:t>
      </w:r>
      <w:r>
        <w:rPr>
          <w:rFonts w:hint="eastAsia" w:ascii="仿宋_GB2312" w:hAnsi="仿宋_GB2312" w:eastAsia="仿宋_GB2312" w:cs="仿宋_GB2312"/>
          <w:color w:val="auto"/>
          <w:sz w:val="32"/>
          <w:szCs w:val="32"/>
        </w:rPr>
        <w:t>军队转业干部、复员干部、离休退休干部、退役士兵和无军籍退休退职职工的</w:t>
      </w:r>
      <w:r>
        <w:rPr>
          <w:rFonts w:hint="eastAsia" w:ascii="仿宋_GB2312" w:hAnsi="仿宋_GB2312" w:eastAsia="仿宋_GB2312" w:cs="仿宋_GB2312"/>
          <w:color w:val="auto"/>
          <w:kern w:val="0"/>
          <w:sz w:val="32"/>
          <w:szCs w:val="32"/>
        </w:rPr>
        <w:t>组织关系、行政关系、供给关系、档案等转接、移交工作</w:t>
      </w:r>
      <w:r>
        <w:rPr>
          <w:rFonts w:hint="eastAsia" w:ascii="仿宋_GB2312" w:hAnsi="仿宋_GB2312" w:eastAsia="仿宋_GB2312" w:cs="仿宋_GB2312"/>
          <w:color w:val="auto"/>
          <w:kern w:val="0"/>
          <w:sz w:val="32"/>
          <w:szCs w:val="32"/>
          <w:lang w:eastAsia="zh-CN"/>
        </w:rPr>
        <w:t>；③配合做好</w:t>
      </w:r>
      <w:r>
        <w:rPr>
          <w:rFonts w:hint="eastAsia" w:ascii="仿宋_GB2312" w:hAnsi="仿宋_GB2312" w:eastAsia="仿宋_GB2312" w:cs="仿宋_GB2312"/>
          <w:color w:val="auto"/>
          <w:kern w:val="0"/>
          <w:sz w:val="32"/>
          <w:szCs w:val="32"/>
        </w:rPr>
        <w:t>退役军人</w:t>
      </w:r>
      <w:r>
        <w:rPr>
          <w:rFonts w:hint="eastAsia" w:ascii="仿宋_GB2312" w:hAnsi="仿宋_GB2312" w:eastAsia="仿宋_GB2312" w:cs="仿宋_GB2312"/>
          <w:color w:val="auto"/>
          <w:kern w:val="0"/>
          <w:sz w:val="32"/>
          <w:szCs w:val="32"/>
          <w:lang w:eastAsia="zh-CN"/>
        </w:rPr>
        <w:t>和其他优抚对象</w:t>
      </w:r>
      <w:r>
        <w:rPr>
          <w:rFonts w:hint="eastAsia" w:ascii="仿宋_GB2312" w:hAnsi="仿宋_GB2312" w:eastAsia="仿宋_GB2312" w:cs="仿宋_GB2312"/>
          <w:color w:val="auto"/>
          <w:kern w:val="0"/>
          <w:sz w:val="32"/>
          <w:szCs w:val="32"/>
        </w:rPr>
        <w:t>政策咨询服务工作</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sz w:val="32"/>
          <w:szCs w:val="32"/>
        </w:rPr>
        <w:t>有关政策法规宣传解释工作。</w:t>
      </w:r>
      <w:r>
        <w:rPr>
          <w:rFonts w:hint="eastAsia" w:ascii="仿宋_GB2312" w:hAnsi="仿宋_GB2312" w:eastAsia="仿宋_GB2312" w:cs="仿宋_GB2312"/>
          <w:color w:val="auto"/>
          <w:kern w:val="0"/>
          <w:sz w:val="32"/>
          <w:szCs w:val="32"/>
        </w:rPr>
        <w:t>配合</w:t>
      </w:r>
      <w:r>
        <w:rPr>
          <w:rFonts w:hint="eastAsia" w:ascii="仿宋_GB2312" w:hAnsi="仿宋_GB2312" w:eastAsia="仿宋_GB2312" w:cs="仿宋_GB2312"/>
          <w:color w:val="auto"/>
          <w:kern w:val="0"/>
          <w:sz w:val="32"/>
          <w:szCs w:val="32"/>
          <w:lang w:eastAsia="zh-CN"/>
        </w:rPr>
        <w:t>开展</w:t>
      </w:r>
      <w:r>
        <w:rPr>
          <w:rFonts w:hint="eastAsia" w:ascii="仿宋_GB2312" w:hAnsi="仿宋_GB2312" w:eastAsia="仿宋_GB2312" w:cs="仿宋_GB2312"/>
          <w:color w:val="auto"/>
          <w:kern w:val="0"/>
          <w:sz w:val="32"/>
          <w:szCs w:val="32"/>
        </w:rPr>
        <w:t>法律服务工作</w:t>
      </w:r>
      <w:r>
        <w:rPr>
          <w:rFonts w:hint="eastAsia" w:ascii="仿宋_GB2312" w:hAnsi="仿宋_GB2312" w:eastAsia="仿宋_GB2312" w:cs="仿宋_GB2312"/>
          <w:color w:val="auto"/>
          <w:kern w:val="0"/>
          <w:sz w:val="32"/>
          <w:szCs w:val="32"/>
          <w:lang w:eastAsia="zh-CN"/>
        </w:rPr>
        <w:t>；④</w:t>
      </w:r>
      <w:r>
        <w:rPr>
          <w:rFonts w:hint="eastAsia" w:ascii="仿宋_GB2312" w:hAnsi="仿宋_GB2312" w:eastAsia="仿宋_GB2312" w:cs="仿宋_GB2312"/>
          <w:bCs/>
          <w:color w:val="auto"/>
          <w:sz w:val="32"/>
          <w:szCs w:val="32"/>
          <w:lang w:eastAsia="zh-CN"/>
        </w:rPr>
        <w:t>负责</w:t>
      </w:r>
      <w:r>
        <w:rPr>
          <w:rFonts w:hint="eastAsia" w:ascii="仿宋_GB2312" w:hAnsi="仿宋_GB2312" w:eastAsia="仿宋_GB2312" w:cs="仿宋_GB2312"/>
          <w:bCs/>
          <w:color w:val="auto"/>
          <w:sz w:val="32"/>
          <w:szCs w:val="32"/>
          <w:lang w:val="en-US" w:eastAsia="zh-CN"/>
        </w:rPr>
        <w:t>组织</w:t>
      </w:r>
      <w:r>
        <w:rPr>
          <w:rFonts w:hint="eastAsia" w:ascii="仿宋_GB2312" w:hAnsi="仿宋_GB2312" w:eastAsia="仿宋_GB2312" w:cs="仿宋_GB2312"/>
          <w:color w:val="auto"/>
          <w:sz w:val="32"/>
          <w:szCs w:val="32"/>
        </w:rPr>
        <w:t>军队转业干部</w:t>
      </w:r>
      <w:r>
        <w:rPr>
          <w:rFonts w:hint="eastAsia" w:ascii="仿宋_GB2312" w:hAnsi="仿宋_GB2312" w:eastAsia="仿宋_GB2312" w:cs="仿宋_GB2312"/>
          <w:bCs/>
          <w:color w:val="auto"/>
          <w:sz w:val="32"/>
          <w:szCs w:val="32"/>
        </w:rPr>
        <w:t>岗前培训</w:t>
      </w:r>
      <w:r>
        <w:rPr>
          <w:rFonts w:hint="eastAsia" w:ascii="仿宋_GB2312" w:hAnsi="仿宋_GB2312" w:eastAsia="仿宋_GB2312" w:cs="仿宋_GB2312"/>
          <w:bCs/>
          <w:color w:val="auto"/>
          <w:sz w:val="32"/>
          <w:szCs w:val="32"/>
          <w:lang w:eastAsia="zh-CN"/>
        </w:rPr>
        <w:t>等服务</w:t>
      </w:r>
      <w:r>
        <w:rPr>
          <w:rFonts w:hint="eastAsia" w:ascii="仿宋_GB2312" w:hAnsi="仿宋_GB2312" w:eastAsia="仿宋_GB2312" w:cs="仿宋_GB2312"/>
          <w:bCs/>
          <w:color w:val="auto"/>
          <w:sz w:val="32"/>
          <w:szCs w:val="32"/>
        </w:rPr>
        <w:t>工作。</w:t>
      </w:r>
      <w:r>
        <w:rPr>
          <w:rFonts w:hint="eastAsia" w:ascii="仿宋_GB2312" w:hAnsi="仿宋_GB2312" w:eastAsia="仿宋_GB2312" w:cs="仿宋_GB2312"/>
          <w:color w:val="auto"/>
          <w:sz w:val="32"/>
          <w:szCs w:val="32"/>
          <w:lang w:eastAsia="zh-CN"/>
        </w:rPr>
        <w:t>承担</w:t>
      </w:r>
      <w:r>
        <w:rPr>
          <w:rFonts w:hint="eastAsia" w:ascii="仿宋_GB2312" w:hAnsi="仿宋_GB2312" w:eastAsia="仿宋_GB2312" w:cs="仿宋_GB2312"/>
          <w:color w:val="auto"/>
          <w:sz w:val="32"/>
          <w:szCs w:val="32"/>
        </w:rPr>
        <w:t>自主择业军队转业干部、复员干部、自主就业退役士兵的服务管理，配合搭建就业创业平台以及就业创业扶持和教育培训等工作</w:t>
      </w:r>
      <w:r>
        <w:rPr>
          <w:rFonts w:hint="eastAsia" w:ascii="仿宋_GB2312" w:hAnsi="仿宋_GB2312" w:eastAsia="仿宋_GB2312" w:cs="仿宋_GB2312"/>
          <w:color w:val="auto"/>
          <w:kern w:val="0"/>
          <w:sz w:val="32"/>
          <w:szCs w:val="32"/>
          <w:lang w:eastAsia="zh-CN"/>
        </w:rPr>
        <w:t>；⑤配合做好</w:t>
      </w:r>
      <w:r>
        <w:rPr>
          <w:rFonts w:hint="eastAsia" w:ascii="仿宋_GB2312" w:hAnsi="仿宋_GB2312" w:eastAsia="仿宋_GB2312" w:cs="仿宋_GB2312"/>
          <w:color w:val="auto"/>
          <w:sz w:val="32"/>
          <w:szCs w:val="32"/>
        </w:rPr>
        <w:t>现役军人、退役军人、军队文职人员及军属的优待、抚恤等工作，</w:t>
      </w:r>
      <w:r>
        <w:rPr>
          <w:rFonts w:hint="eastAsia" w:ascii="仿宋_GB2312" w:hAnsi="仿宋_GB2312" w:eastAsia="仿宋_GB2312" w:cs="仿宋_GB2312"/>
          <w:color w:val="auto"/>
          <w:kern w:val="0"/>
          <w:sz w:val="32"/>
          <w:szCs w:val="32"/>
          <w:lang w:eastAsia="zh-CN"/>
        </w:rPr>
        <w:t>配合做好</w:t>
      </w:r>
      <w:r>
        <w:rPr>
          <w:rFonts w:hint="eastAsia" w:ascii="仿宋_GB2312" w:hAnsi="仿宋_GB2312" w:eastAsia="仿宋_GB2312" w:cs="仿宋_GB2312"/>
          <w:color w:val="auto"/>
          <w:kern w:val="0"/>
          <w:sz w:val="32"/>
          <w:szCs w:val="32"/>
        </w:rPr>
        <w:t>军属、烈属、伤病残军人、带病返乡退役军人、评（调）残等事务性工作</w:t>
      </w:r>
      <w:r>
        <w:rPr>
          <w:rFonts w:hint="eastAsia" w:ascii="仿宋_GB2312" w:hAnsi="仿宋_GB2312" w:eastAsia="仿宋_GB2312" w:cs="仿宋_GB2312"/>
          <w:color w:val="auto"/>
          <w:sz w:val="32"/>
          <w:szCs w:val="32"/>
        </w:rPr>
        <w:t>。配合</w:t>
      </w:r>
      <w:r>
        <w:rPr>
          <w:rFonts w:hint="eastAsia" w:ascii="仿宋_GB2312" w:hAnsi="仿宋_GB2312" w:eastAsia="仿宋_GB2312" w:cs="仿宋_GB2312"/>
          <w:color w:val="auto"/>
          <w:kern w:val="0"/>
          <w:sz w:val="32"/>
          <w:szCs w:val="32"/>
        </w:rPr>
        <w:t>搭建生活困难退役军人、军属帮扶援助平台，做好生活困难退役军人及其他优抚对象帮扶援助工作</w:t>
      </w:r>
      <w:r>
        <w:rPr>
          <w:rFonts w:hint="eastAsia" w:ascii="仿宋_GB2312" w:hAnsi="仿宋_GB2312" w:eastAsia="仿宋_GB2312" w:cs="仿宋_GB2312"/>
          <w:color w:val="auto"/>
          <w:kern w:val="0"/>
          <w:sz w:val="32"/>
          <w:szCs w:val="32"/>
          <w:lang w:eastAsia="zh-CN"/>
        </w:rPr>
        <w:t>；⑥</w:t>
      </w:r>
      <w:r>
        <w:rPr>
          <w:rFonts w:hint="eastAsia" w:ascii="仿宋_GB2312" w:hAnsi="仿宋_GB2312" w:eastAsia="仿宋_GB2312" w:cs="仿宋_GB2312"/>
          <w:color w:val="auto"/>
          <w:sz w:val="32"/>
          <w:szCs w:val="32"/>
          <w:lang w:eastAsia="zh-CN"/>
        </w:rPr>
        <w:t>配合做好</w:t>
      </w:r>
      <w:r>
        <w:rPr>
          <w:rFonts w:hint="eastAsia" w:ascii="仿宋_GB2312" w:hAnsi="仿宋_GB2312" w:eastAsia="仿宋_GB2312" w:cs="仿宋_GB2312"/>
          <w:color w:val="auto"/>
          <w:sz w:val="32"/>
          <w:szCs w:val="32"/>
        </w:rPr>
        <w:t>退役军人和其他优抚对象信息采集、甄别、录入和分析工作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⑦</w:t>
      </w:r>
      <w:r>
        <w:rPr>
          <w:rFonts w:hint="eastAsia" w:ascii="仿宋_GB2312" w:hAnsi="仿宋_GB2312" w:eastAsia="仿宋_GB2312" w:cs="仿宋_GB2312"/>
          <w:bCs/>
          <w:color w:val="auto"/>
          <w:kern w:val="0"/>
          <w:sz w:val="32"/>
          <w:szCs w:val="32"/>
          <w:lang w:val="en-US" w:eastAsia="zh-CN"/>
        </w:rPr>
        <w:t>负责做好军队离退休干部接收安置和服务工作；</w:t>
      </w:r>
      <w:r>
        <w:rPr>
          <w:rFonts w:hint="eastAsia" w:ascii="仿宋_GB2312" w:hAnsi="仿宋_GB2312" w:eastAsia="仿宋_GB2312" w:cs="仿宋_GB2312"/>
          <w:color w:val="auto"/>
          <w:kern w:val="0"/>
          <w:sz w:val="32"/>
          <w:szCs w:val="32"/>
          <w:lang w:eastAsia="zh-CN"/>
        </w:rPr>
        <w:t>⑧</w:t>
      </w:r>
      <w:r>
        <w:rPr>
          <w:rFonts w:hint="eastAsia" w:ascii="仿宋_GB2312" w:hAnsi="仿宋_GB2312" w:eastAsia="仿宋_GB2312" w:cs="仿宋_GB2312"/>
          <w:bCs/>
          <w:color w:val="auto"/>
          <w:kern w:val="0"/>
          <w:sz w:val="32"/>
          <w:szCs w:val="32"/>
          <w:lang w:val="en-US" w:eastAsia="zh-CN"/>
        </w:rPr>
        <w:t>负责光荣院重点优抚对象</w:t>
      </w:r>
      <w:r>
        <w:rPr>
          <w:rFonts w:hint="eastAsia" w:ascii="仿宋_GB2312" w:hAnsi="仿宋_GB2312" w:eastAsia="仿宋_GB2312" w:cs="仿宋_GB2312"/>
          <w:bCs/>
          <w:color w:val="auto"/>
          <w:kern w:val="0"/>
          <w:sz w:val="32"/>
          <w:szCs w:val="32"/>
        </w:rPr>
        <w:t>的教育</w:t>
      </w:r>
      <w:r>
        <w:rPr>
          <w:rFonts w:hint="eastAsia" w:ascii="仿宋_GB2312" w:hAnsi="仿宋_GB2312" w:eastAsia="仿宋_GB2312" w:cs="仿宋_GB2312"/>
          <w:bCs/>
          <w:color w:val="auto"/>
          <w:kern w:val="0"/>
          <w:sz w:val="32"/>
          <w:szCs w:val="32"/>
          <w:lang w:eastAsia="zh-CN"/>
        </w:rPr>
        <w:t>管理、</w:t>
      </w:r>
      <w:r>
        <w:rPr>
          <w:rFonts w:hint="eastAsia" w:ascii="仿宋_GB2312" w:hAnsi="仿宋_GB2312" w:eastAsia="仿宋_GB2312" w:cs="仿宋_GB2312"/>
          <w:bCs/>
          <w:color w:val="auto"/>
          <w:kern w:val="0"/>
          <w:sz w:val="32"/>
          <w:szCs w:val="32"/>
        </w:rPr>
        <w:t>生活及服务工作</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color w:val="auto"/>
          <w:kern w:val="0"/>
          <w:sz w:val="32"/>
          <w:szCs w:val="32"/>
          <w:lang w:eastAsia="zh-CN"/>
        </w:rPr>
        <w:t>⑨</w:t>
      </w:r>
      <w:r>
        <w:rPr>
          <w:rFonts w:hint="eastAsia" w:ascii="仿宋_GB2312" w:hAnsi="仿宋_GB2312" w:eastAsia="仿宋_GB2312" w:cs="仿宋_GB2312"/>
          <w:color w:val="auto"/>
          <w:sz w:val="32"/>
          <w:szCs w:val="32"/>
        </w:rPr>
        <w:t>负责职责范围内的安全生产、职业健康、生态环境保护和社会信用体系建设等工作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eastAsia="zh-CN"/>
        </w:rPr>
        <w:t>⑩</w:t>
      </w:r>
      <w:r>
        <w:rPr>
          <w:rFonts w:hint="eastAsia" w:ascii="仿宋_GB2312" w:hAnsi="仿宋_GB2312" w:eastAsia="仿宋_GB2312" w:cs="仿宋_GB2312"/>
          <w:bCs/>
          <w:color w:val="auto"/>
          <w:kern w:val="0"/>
          <w:sz w:val="32"/>
          <w:szCs w:val="32"/>
        </w:rPr>
        <w:t>完成</w:t>
      </w:r>
      <w:r>
        <w:rPr>
          <w:rFonts w:hint="eastAsia" w:ascii="仿宋_GB2312" w:hAnsi="仿宋_GB2312" w:eastAsia="仿宋_GB2312" w:cs="仿宋_GB2312"/>
          <w:bCs/>
          <w:color w:val="auto"/>
          <w:kern w:val="0"/>
          <w:sz w:val="32"/>
          <w:szCs w:val="32"/>
          <w:lang w:eastAsia="zh-CN"/>
        </w:rPr>
        <w:t>区委、区政府和区退役军人事务局交办</w:t>
      </w:r>
      <w:r>
        <w:rPr>
          <w:rFonts w:hint="eastAsia" w:ascii="仿宋_GB2312" w:hAnsi="仿宋_GB2312" w:eastAsia="仿宋_GB2312" w:cs="仿宋_GB2312"/>
          <w:bCs/>
          <w:color w:val="auto"/>
          <w:kern w:val="0"/>
          <w:sz w:val="32"/>
          <w:szCs w:val="32"/>
        </w:rPr>
        <w:t>的其他</w:t>
      </w:r>
      <w:r>
        <w:rPr>
          <w:rFonts w:hint="eastAsia" w:ascii="仿宋_GB2312" w:hAnsi="仿宋_GB2312" w:eastAsia="仿宋_GB2312" w:cs="仿宋_GB2312"/>
          <w:bCs/>
          <w:color w:val="auto"/>
          <w:kern w:val="0"/>
          <w:sz w:val="32"/>
          <w:szCs w:val="32"/>
          <w:lang w:eastAsia="zh-CN"/>
        </w:rPr>
        <w:t>任务</w:t>
      </w:r>
      <w:r>
        <w:rPr>
          <w:rFonts w:hint="eastAsia" w:ascii="仿宋_GB2312" w:hAnsi="仿宋_GB2312" w:eastAsia="仿宋_GB2312" w:cs="仿宋_GB2312"/>
          <w:bCs/>
          <w:color w:val="auto"/>
          <w:kern w:val="0"/>
          <w:sz w:val="32"/>
          <w:szCs w:val="32"/>
        </w:rPr>
        <w:t>。</w:t>
      </w:r>
    </w:p>
    <w:p w14:paraId="6558F44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（二）</w:t>
      </w:r>
      <w:r>
        <w:rPr>
          <w:rFonts w:hint="eastAsia" w:ascii="楷体" w:hAnsi="楷体" w:eastAsia="楷体" w:cs="楷体"/>
          <w:color w:val="auto"/>
          <w:sz w:val="32"/>
          <w:szCs w:val="32"/>
          <w:lang w:val="en-US" w:eastAsia="zh-CN"/>
        </w:rPr>
        <w:t>2025</w:t>
      </w:r>
      <w:r>
        <w:rPr>
          <w:rFonts w:hint="eastAsia" w:ascii="楷体" w:hAnsi="楷体" w:eastAsia="楷体" w:cs="楷体"/>
          <w:color w:val="auto"/>
          <w:sz w:val="32"/>
          <w:szCs w:val="32"/>
        </w:rPr>
        <w:t>年工作打算</w:t>
      </w:r>
    </w:p>
    <w:p w14:paraId="7FEBFB5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2025年全面贯彻党的二十大和二十届三中全会精神，深入领会落实习近平总书记对退役军人工作重要指示精神，围绕“两个服务”，聚焦主责主业，着眼“五个好”，进一步全面深化改革，引导广大退役军人坚定政治信念为全域推进城乡融合发展作出新的更大贡献。</w:t>
      </w:r>
    </w:p>
    <w:p w14:paraId="7E2A25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（一）聚焦思想引领聚合力。</w:t>
      </w:r>
      <w:r>
        <w:rPr>
          <w:rFonts w:hint="eastAsia" w:ascii="仿宋" w:hAnsi="仿宋" w:eastAsia="仿宋" w:cs="仿宋"/>
          <w:b w:val="0"/>
          <w:bCs w:val="0"/>
          <w:color w:val="auto"/>
          <w:kern w:val="2"/>
          <w:sz w:val="32"/>
          <w:szCs w:val="32"/>
          <w:lang w:val="en-US" w:eastAsia="zh-CN" w:bidi="ar-SA"/>
        </w:rPr>
        <w:t>坚持政治统领、党建引领，努力提高区、镇、村（社区）三级服务站服务能力和水平。开展“老兵永远跟党走”系列活动，组织开展红色宣讲进机关、进学校、进军营、进企业、进社区、进小区，传承红色基因，凝聚爱军爱党爱国共识。</w:t>
      </w:r>
      <w:r>
        <w:rPr>
          <w:rFonts w:hint="eastAsia" w:ascii="仿宋_GB2312" w:hAnsi="仿宋_GB2312" w:eastAsia="仿宋_GB2312" w:cs="仿宋_GB2312"/>
          <w:color w:val="auto"/>
          <w:kern w:val="2"/>
          <w:sz w:val="32"/>
          <w:szCs w:val="32"/>
          <w:lang w:val="en-US" w:eastAsia="zh-CN" w:bidi="ar-SA"/>
        </w:rPr>
        <w:t>开展观看革命历史电影、参观红色教育基地、重温入党（军人）誓词、先进典型宣传等活动，教育引导广大退役军人弘扬光荣传统，努力培塑信念坚定、爱国奉献、奋发有为、诚信守法的新时代退役军人，鼓励倡导广大退役军人自觉建功新时代、奋进新征程。</w:t>
      </w:r>
    </w:p>
    <w:p w14:paraId="2A045C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2"/>
          <w:sz w:val="32"/>
          <w:szCs w:val="32"/>
          <w:lang w:val="en-US" w:eastAsia="zh-CN" w:bidi="ar-SA"/>
        </w:rPr>
      </w:pPr>
      <w:bookmarkStart w:id="0" w:name="OLE_LINK1"/>
      <w:r>
        <w:rPr>
          <w:rFonts w:hint="eastAsia" w:ascii="楷体" w:hAnsi="楷体" w:eastAsia="楷体" w:cs="楷体"/>
          <w:b/>
          <w:bCs/>
          <w:color w:val="auto"/>
          <w:kern w:val="2"/>
          <w:sz w:val="32"/>
          <w:szCs w:val="32"/>
          <w:lang w:val="en-US" w:eastAsia="zh-CN" w:bidi="ar-SA"/>
        </w:rPr>
        <w:t>（二）聚</w:t>
      </w:r>
      <w:bookmarkEnd w:id="0"/>
      <w:r>
        <w:rPr>
          <w:rFonts w:hint="eastAsia" w:ascii="楷体" w:hAnsi="楷体" w:eastAsia="楷体" w:cs="楷体"/>
          <w:b/>
          <w:bCs/>
          <w:color w:val="auto"/>
          <w:kern w:val="2"/>
          <w:sz w:val="32"/>
          <w:szCs w:val="32"/>
          <w:lang w:val="en-US" w:eastAsia="zh-CN" w:bidi="ar-SA"/>
        </w:rPr>
        <w:t>焦服务保障提效能</w:t>
      </w:r>
      <w:r>
        <w:rPr>
          <w:rFonts w:hint="eastAsia" w:ascii="仿宋" w:hAnsi="仿宋" w:eastAsia="仿宋" w:cs="仿宋"/>
          <w:b w:val="0"/>
          <w:bCs w:val="0"/>
          <w:color w:val="auto"/>
          <w:kern w:val="2"/>
          <w:sz w:val="32"/>
          <w:szCs w:val="32"/>
          <w:lang w:val="en-US" w:eastAsia="zh-CN" w:bidi="ar-SA"/>
        </w:rPr>
        <w:t>。持续加强区、镇、村（社区）服务体系建设，精准落实各项优抚政策，全面落实服务保障事项，推动服务保障工作提质增效。</w:t>
      </w:r>
      <w:r>
        <w:rPr>
          <w:rFonts w:hint="eastAsia" w:ascii="仿宋" w:hAnsi="仿宋" w:eastAsia="仿宋" w:cs="仿宋"/>
          <w:b/>
          <w:bCs/>
          <w:color w:val="auto"/>
          <w:kern w:val="2"/>
          <w:sz w:val="32"/>
          <w:szCs w:val="32"/>
          <w:lang w:val="en-US" w:eastAsia="zh-CN" w:bidi="ar-SA"/>
        </w:rPr>
        <w:t>一是</w:t>
      </w:r>
      <w:r>
        <w:rPr>
          <w:rFonts w:hint="eastAsia" w:ascii="仿宋" w:hAnsi="仿宋" w:eastAsia="仿宋" w:cs="仿宋"/>
          <w:b w:val="0"/>
          <w:bCs w:val="0"/>
          <w:color w:val="auto"/>
          <w:kern w:val="2"/>
          <w:sz w:val="32"/>
          <w:szCs w:val="32"/>
          <w:lang w:val="en-US" w:eastAsia="zh-CN" w:bidi="ar-SA"/>
        </w:rPr>
        <w:t>着力加强区服务中心服务保障能力建设，提升服务保障效能。</w:t>
      </w:r>
      <w:r>
        <w:rPr>
          <w:rFonts w:hint="eastAsia" w:ascii="仿宋" w:hAnsi="仿宋" w:eastAsia="仿宋" w:cs="仿宋"/>
          <w:b/>
          <w:bCs/>
          <w:color w:val="auto"/>
          <w:kern w:val="2"/>
          <w:sz w:val="32"/>
          <w:szCs w:val="32"/>
          <w:lang w:val="en-US" w:eastAsia="zh-CN" w:bidi="ar-SA"/>
        </w:rPr>
        <w:t>二是</w:t>
      </w:r>
      <w:r>
        <w:rPr>
          <w:rFonts w:hint="eastAsia" w:ascii="仿宋" w:hAnsi="仿宋" w:eastAsia="仿宋" w:cs="仿宋"/>
          <w:b w:val="0"/>
          <w:bCs w:val="0"/>
          <w:color w:val="auto"/>
          <w:kern w:val="2"/>
          <w:sz w:val="32"/>
          <w:szCs w:val="32"/>
          <w:lang w:val="en-US" w:eastAsia="zh-CN" w:bidi="ar-SA"/>
        </w:rPr>
        <w:t>总结调元镇退役军人服务站和武装部融合共建经验，在其余乡镇继续推动“部、站”融合共建。</w:t>
      </w:r>
      <w:r>
        <w:rPr>
          <w:rFonts w:hint="eastAsia" w:ascii="仿宋" w:hAnsi="仿宋" w:eastAsia="仿宋" w:cs="仿宋"/>
          <w:b/>
          <w:bCs/>
          <w:color w:val="auto"/>
          <w:kern w:val="2"/>
          <w:sz w:val="32"/>
          <w:szCs w:val="32"/>
          <w:lang w:val="en-US" w:eastAsia="zh-CN" w:bidi="ar-SA"/>
        </w:rPr>
        <w:t>三是</w:t>
      </w:r>
      <w:r>
        <w:rPr>
          <w:rFonts w:hint="eastAsia" w:ascii="仿宋" w:hAnsi="仿宋" w:eastAsia="仿宋" w:cs="仿宋"/>
          <w:b w:val="0"/>
          <w:bCs w:val="0"/>
          <w:color w:val="auto"/>
          <w:kern w:val="2"/>
          <w:sz w:val="32"/>
          <w:szCs w:val="32"/>
          <w:lang w:val="en-US" w:eastAsia="zh-CN" w:bidi="ar-SA"/>
        </w:rPr>
        <w:t>继续推动基层服务站融入村（社区）党群服务中心，推动服务事项融入村（社区）网格管理，将退役军人走访慰问、困难帮扶、信息采集等内容纳入网格事项，引导退役军人积极参与基层网格日常服务管理。</w:t>
      </w:r>
    </w:p>
    <w:p w14:paraId="74BEE1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（三）聚焦优抚褒扬增实效。</w:t>
      </w:r>
      <w:r>
        <w:rPr>
          <w:rFonts w:hint="eastAsia" w:ascii="仿宋" w:hAnsi="仿宋" w:eastAsia="仿宋" w:cs="仿宋"/>
          <w:b w:val="0"/>
          <w:bCs w:val="0"/>
          <w:color w:val="auto"/>
          <w:kern w:val="2"/>
          <w:sz w:val="32"/>
          <w:szCs w:val="32"/>
          <w:lang w:val="en-US" w:eastAsia="zh-CN" w:bidi="ar-SA"/>
        </w:rPr>
        <w:t>持续巩固提升全国双拥模范城创建成效，继续加强双拥主题公园、英烈纪念广场、爱国拥军示范街等双拥阵地的管理维护和提档升级，擦亮具有罗江特色的</w:t>
      </w:r>
      <w:r>
        <w:rPr>
          <w:rFonts w:hint="eastAsia" w:ascii="仿宋" w:hAnsi="仿宋" w:eastAsia="仿宋" w:cs="仿宋"/>
          <w:color w:val="auto"/>
          <w:kern w:val="2"/>
          <w:sz w:val="32"/>
          <w:szCs w:val="32"/>
          <w:lang w:val="en-US" w:eastAsia="zh-CN" w:bidi="ar-SA"/>
        </w:rPr>
        <w:t>各类拥军崇军</w:t>
      </w:r>
      <w:r>
        <w:rPr>
          <w:rFonts w:hint="eastAsia" w:ascii="仿宋" w:hAnsi="仿宋" w:eastAsia="仿宋" w:cs="仿宋"/>
          <w:b w:val="0"/>
          <w:bCs w:val="0"/>
          <w:color w:val="auto"/>
          <w:kern w:val="2"/>
          <w:sz w:val="32"/>
          <w:szCs w:val="32"/>
          <w:lang w:val="en-US" w:eastAsia="zh-CN" w:bidi="ar-SA"/>
        </w:rPr>
        <w:t>品牌。严格落实“四尊崇五关爱六必访”，</w:t>
      </w:r>
      <w:r>
        <w:rPr>
          <w:rFonts w:hint="eastAsia" w:ascii="仿宋_GB2312" w:hAnsi="宋体" w:eastAsia="仿宋_GB2312" w:cs="仿宋_GB2312"/>
          <w:color w:val="auto"/>
          <w:kern w:val="0"/>
          <w:sz w:val="32"/>
          <w:szCs w:val="32"/>
          <w:u w:val="none"/>
          <w:lang w:val="en-US" w:eastAsia="zh-CN"/>
        </w:rPr>
        <w:t>组织开展好清明节、“9</w:t>
      </w:r>
      <w:r>
        <w:rPr>
          <w:rFonts w:hint="eastAsia" w:ascii="仿宋_GB2312" w:hAnsi="仿宋_GB2312" w:eastAsia="仿宋_GB2312" w:cs="仿宋_GB2312"/>
          <w:color w:val="auto"/>
          <w:kern w:val="0"/>
          <w:sz w:val="32"/>
          <w:szCs w:val="32"/>
          <w:u w:val="none"/>
          <w:lang w:val="en-US" w:eastAsia="zh-CN"/>
        </w:rPr>
        <w:t>·</w:t>
      </w:r>
      <w:r>
        <w:rPr>
          <w:rFonts w:hint="eastAsia" w:ascii="仿宋_GB2312" w:hAnsi="宋体" w:eastAsia="仿宋_GB2312" w:cs="仿宋_GB2312"/>
          <w:color w:val="auto"/>
          <w:kern w:val="0"/>
          <w:sz w:val="32"/>
          <w:szCs w:val="32"/>
          <w:u w:val="none"/>
          <w:lang w:val="en-US" w:eastAsia="zh-CN"/>
        </w:rPr>
        <w:t>30”纪念祭扫英烈、为烈士寻亲等活动，</w:t>
      </w:r>
      <w:r>
        <w:rPr>
          <w:rFonts w:hint="eastAsia" w:ascii="仿宋_GB2312" w:hAnsi="仿宋_GB2312" w:eastAsia="仿宋_GB2312" w:cs="仿宋_GB2312"/>
          <w:sz w:val="32"/>
          <w:szCs w:val="32"/>
          <w:lang w:val="en-US" w:eastAsia="zh-CN"/>
        </w:rPr>
        <w:t>持续开展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送立功喜报、悬挂光荣</w:t>
      </w:r>
      <w:r>
        <w:rPr>
          <w:rFonts w:hint="eastAsia" w:ascii="仿宋_GB2312" w:hAnsi="仿宋_GB2312" w:eastAsia="仿宋_GB2312" w:cs="仿宋_GB2312"/>
          <w:color w:val="auto"/>
          <w:sz w:val="32"/>
          <w:szCs w:val="32"/>
        </w:rPr>
        <w:t>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春节、“八一”等重要节庆期间走访慰问，营造浓厚的尊军崇军拥军爱军的社会氛围，树牢“让军人成为全社会尊崇的职业、让退役军人成为全社会尊重的人”价值取向。</w:t>
      </w:r>
    </w:p>
    <w:p w14:paraId="730034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（四）聚焦就业创业促发展</w:t>
      </w:r>
      <w:r>
        <w:rPr>
          <w:rFonts w:hint="eastAsia" w:ascii="仿宋" w:hAnsi="仿宋" w:eastAsia="仿宋" w:cs="仿宋"/>
          <w:b w:val="0"/>
          <w:bCs w:val="0"/>
          <w:color w:val="auto"/>
          <w:kern w:val="2"/>
          <w:sz w:val="32"/>
          <w:szCs w:val="32"/>
          <w:lang w:val="en-US" w:eastAsia="zh-CN" w:bidi="ar-SA"/>
        </w:rPr>
        <w:t>。持续做好自主就业退役士兵适应性培训、学历提升及技能培训等工作。高质量完成年度符合条件的退役士兵安置任务。扎实开展“崇军行动”，用足用活就业创业政策，积极拓宽就业渠道，加强与人社局和辖区企业联系联动，适时举办退役军人专场招聘会。总结推广“兵支书”助力乡村振兴经验，让更多的“兵支书”在乡村振兴中建功立业。</w:t>
      </w:r>
      <w:r>
        <w:rPr>
          <w:rFonts w:hint="eastAsia" w:ascii="仿宋" w:hAnsi="仿宋" w:eastAsia="仿宋" w:cs="仿宋"/>
          <w:color w:val="auto"/>
          <w:kern w:val="2"/>
          <w:sz w:val="32"/>
          <w:szCs w:val="32"/>
          <w:lang w:val="en-US" w:eastAsia="zh-CN" w:bidi="ar-SA"/>
        </w:rPr>
        <w:t>紧盯</w:t>
      </w:r>
      <w:r>
        <w:rPr>
          <w:rFonts w:hint="eastAsia" w:ascii="仿宋" w:hAnsi="仿宋" w:eastAsia="仿宋" w:cs="仿宋"/>
          <w:color w:val="auto"/>
          <w:spacing w:val="0"/>
          <w:kern w:val="2"/>
          <w:sz w:val="32"/>
          <w:szCs w:val="32"/>
          <w:lang w:val="en-US" w:eastAsia="zh-CN" w:bidi="ar-SA"/>
        </w:rPr>
        <w:t>城乡融合产业发展需求，挖掘“土专家”“田秀才”等组建更多“退役军人农技服务队”。</w:t>
      </w:r>
      <w:r>
        <w:rPr>
          <w:rFonts w:hint="eastAsia" w:ascii="仿宋" w:hAnsi="仿宋" w:eastAsia="仿宋" w:cs="仿宋"/>
          <w:b w:val="0"/>
          <w:bCs w:val="0"/>
          <w:color w:val="auto"/>
          <w:kern w:val="2"/>
          <w:sz w:val="32"/>
          <w:szCs w:val="32"/>
          <w:lang w:val="en-US" w:eastAsia="zh-CN" w:bidi="ar-SA"/>
        </w:rPr>
        <w:t>鼓励支持辖区军创企业发展，打造具有罗江特色的退役军人就业创业品牌。</w:t>
      </w:r>
    </w:p>
    <w:p w14:paraId="0F2884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（五）聚焦安全稳定守底线。</w:t>
      </w:r>
      <w:r>
        <w:rPr>
          <w:rFonts w:hint="eastAsia" w:ascii="仿宋" w:hAnsi="仿宋" w:eastAsia="仿宋" w:cs="仿宋"/>
          <w:b w:val="0"/>
          <w:bCs w:val="0"/>
          <w:color w:val="auto"/>
          <w:kern w:val="2"/>
          <w:sz w:val="32"/>
          <w:szCs w:val="32"/>
          <w:lang w:val="en-US" w:eastAsia="zh-CN" w:bidi="ar-SA"/>
        </w:rPr>
        <w:t>加大矛盾隐患排查化解力度，严格落实领导包案制度，</w:t>
      </w:r>
      <w:r>
        <w:rPr>
          <w:rFonts w:hint="eastAsia" w:ascii="仿宋_GB2312" w:hAnsi="仿宋_GB2312" w:eastAsia="仿宋_GB2312" w:cs="仿宋_GB2312"/>
          <w:b w:val="0"/>
          <w:bCs w:val="0"/>
          <w:color w:val="auto"/>
          <w:spacing w:val="0"/>
          <w:kern w:val="2"/>
          <w:sz w:val="32"/>
          <w:szCs w:val="32"/>
          <w:lang w:val="en-US" w:eastAsia="zh-CN" w:bidi="ar-SA"/>
        </w:rPr>
        <w:t>定期分析研判和预警处置，</w:t>
      </w:r>
      <w:r>
        <w:rPr>
          <w:rFonts w:hint="eastAsia" w:ascii="仿宋" w:hAnsi="仿宋" w:eastAsia="仿宋" w:cs="仿宋"/>
          <w:b w:val="0"/>
          <w:bCs w:val="0"/>
          <w:color w:val="auto"/>
          <w:kern w:val="2"/>
          <w:sz w:val="32"/>
          <w:szCs w:val="32"/>
          <w:lang w:val="en-US" w:eastAsia="zh-CN" w:bidi="ar-SA"/>
        </w:rPr>
        <w:t>加强网络舆情正向引导，妥善解决好退役军人急难愁盼的事情，促进信访事项依法、高效、妥善解决，全力做到“事心双解”，坚决守牢退役军人领域安全稳定底线。</w:t>
      </w:r>
    </w:p>
    <w:p w14:paraId="042A0F10">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color w:val="auto"/>
          <w:sz w:val="32"/>
          <w:szCs w:val="32"/>
        </w:rPr>
      </w:pPr>
      <w:r>
        <w:rPr>
          <w:rFonts w:hint="eastAsia" w:ascii="楷体" w:hAnsi="楷体" w:eastAsia="楷体" w:cs="楷体"/>
          <w:b/>
          <w:bCs/>
          <w:color w:val="auto"/>
          <w:kern w:val="2"/>
          <w:sz w:val="32"/>
          <w:szCs w:val="32"/>
          <w:lang w:val="en-US" w:eastAsia="zh-CN" w:bidi="ar-SA"/>
        </w:rPr>
        <w:t>（六）聚焦自身建设强作为。</w:t>
      </w:r>
      <w:r>
        <w:rPr>
          <w:rFonts w:hint="eastAsia" w:ascii="仿宋" w:hAnsi="仿宋" w:eastAsia="仿宋" w:cs="仿宋"/>
          <w:b w:val="0"/>
          <w:bCs w:val="0"/>
          <w:color w:val="auto"/>
          <w:kern w:val="2"/>
          <w:sz w:val="32"/>
          <w:szCs w:val="32"/>
          <w:lang w:val="en-US" w:eastAsia="zh-CN" w:bidi="ar-SA"/>
        </w:rPr>
        <w:t>深化机关党建，落实全面从严治党主体责任和意识形态工作责任制各项要求，增强理想信念、提升能力素质、强化纪律作风，推动自身建设全面提升、全面过硬，为全区退役军人工作高质量发展打下坚实基础。</w:t>
      </w:r>
      <w:r>
        <w:rPr>
          <w:rFonts w:hint="eastAsia" w:ascii="仿宋_GB2312" w:eastAsia="仿宋_GB2312"/>
          <w:color w:val="auto"/>
          <w:sz w:val="32"/>
          <w:szCs w:val="32"/>
        </w:rPr>
        <w:t xml:space="preserve">        </w:t>
      </w:r>
    </w:p>
    <w:p w14:paraId="1E92C234">
      <w:pPr>
        <w:keepNext w:val="0"/>
        <w:keepLines w:val="0"/>
        <w:pageBreakBefore w:val="0"/>
        <w:kinsoku/>
        <w:wordWrap/>
        <w:overflowPunct/>
        <w:topLinePunct w:val="0"/>
        <w:autoSpaceDE/>
        <w:autoSpaceDN/>
        <w:bidi w:val="0"/>
        <w:spacing w:line="560" w:lineRule="exact"/>
        <w:ind w:firstLine="645"/>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二、部门预算单位构成</w:t>
      </w:r>
    </w:p>
    <w:p w14:paraId="7E3561AA">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德阳市罗江区退役军人事务局</w:t>
      </w:r>
      <w:r>
        <w:rPr>
          <w:rFonts w:hint="eastAsia" w:ascii="仿宋_GB2312" w:hAnsi="仿宋_GB2312" w:eastAsia="仿宋_GB2312"/>
          <w:color w:val="auto"/>
          <w:sz w:val="32"/>
          <w:szCs w:val="32"/>
        </w:rPr>
        <w:t>下属二级单位</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个，其中事业单位</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个。主要包括：</w:t>
      </w:r>
      <w:r>
        <w:rPr>
          <w:rFonts w:hint="eastAsia" w:ascii="仿宋_GB2312" w:hAnsi="仿宋_GB2312" w:eastAsia="仿宋_GB2312"/>
          <w:color w:val="auto"/>
          <w:sz w:val="32"/>
          <w:szCs w:val="32"/>
          <w:lang w:eastAsia="zh-CN"/>
        </w:rPr>
        <w:t>德阳市罗江区</w:t>
      </w:r>
      <w:r>
        <w:rPr>
          <w:rFonts w:hint="eastAsia" w:ascii="仿宋_GB2312" w:hAnsi="仿宋_GB2312" w:eastAsia="仿宋_GB2312"/>
          <w:color w:val="auto"/>
          <w:sz w:val="32"/>
          <w:szCs w:val="32"/>
          <w:lang w:val="en-US" w:eastAsia="zh-CN"/>
        </w:rPr>
        <w:t>退役军人</w:t>
      </w:r>
      <w:r>
        <w:rPr>
          <w:rFonts w:hint="eastAsia" w:ascii="仿宋_GB2312" w:hAnsi="仿宋_GB2312" w:eastAsia="仿宋_GB2312"/>
          <w:color w:val="auto"/>
          <w:sz w:val="32"/>
          <w:szCs w:val="32"/>
          <w:lang w:eastAsia="zh-CN"/>
        </w:rPr>
        <w:t>服务中心。</w:t>
      </w:r>
    </w:p>
    <w:p w14:paraId="51C25606">
      <w:pPr>
        <w:pStyle w:val="3"/>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color w:val="auto"/>
          <w:sz w:val="32"/>
          <w:szCs w:val="32"/>
          <w:highlight w:val="none"/>
        </w:rPr>
      </w:pPr>
      <w:r>
        <w:rPr>
          <w:rFonts w:hint="eastAsia" w:hAnsi="仿宋_GB2312"/>
          <w:color w:val="auto"/>
          <w:sz w:val="32"/>
          <w:szCs w:val="32"/>
          <w:highlight w:val="none"/>
          <w:lang w:eastAsia="zh-CN"/>
        </w:rPr>
        <w:t>德阳市罗江区退役军人事务局（含下属事业单位德阳市罗江区</w:t>
      </w:r>
      <w:r>
        <w:rPr>
          <w:rFonts w:hint="eastAsia" w:hAnsi="仿宋_GB2312"/>
          <w:color w:val="auto"/>
          <w:sz w:val="32"/>
          <w:szCs w:val="32"/>
          <w:highlight w:val="none"/>
          <w:lang w:val="en-US" w:eastAsia="zh-CN"/>
        </w:rPr>
        <w:t>退役军人</w:t>
      </w:r>
      <w:r>
        <w:rPr>
          <w:rFonts w:hint="eastAsia" w:hAnsi="仿宋_GB2312"/>
          <w:color w:val="auto"/>
          <w:sz w:val="32"/>
          <w:szCs w:val="32"/>
          <w:highlight w:val="none"/>
          <w:lang w:eastAsia="zh-CN"/>
        </w:rPr>
        <w:t>服务中心）</w:t>
      </w:r>
      <w:r>
        <w:rPr>
          <w:rFonts w:hint="eastAsia"/>
          <w:color w:val="auto"/>
          <w:sz w:val="32"/>
          <w:szCs w:val="32"/>
          <w:highlight w:val="none"/>
        </w:rPr>
        <w:t>总编制</w:t>
      </w:r>
      <w:r>
        <w:rPr>
          <w:rFonts w:hint="eastAsia"/>
          <w:color w:val="auto"/>
          <w:sz w:val="32"/>
          <w:szCs w:val="32"/>
          <w:highlight w:val="none"/>
          <w:lang w:val="en-US" w:eastAsia="zh-CN"/>
        </w:rPr>
        <w:t>12</w:t>
      </w:r>
      <w:r>
        <w:rPr>
          <w:rFonts w:hint="eastAsia"/>
          <w:color w:val="auto"/>
          <w:sz w:val="32"/>
          <w:szCs w:val="32"/>
          <w:highlight w:val="none"/>
        </w:rPr>
        <w:t>名，其中</w:t>
      </w:r>
      <w:r>
        <w:rPr>
          <w:rFonts w:hint="eastAsia"/>
          <w:color w:val="auto"/>
          <w:sz w:val="32"/>
          <w:szCs w:val="32"/>
          <w:highlight w:val="none"/>
          <w:lang w:val="en-US" w:eastAsia="zh-CN"/>
        </w:rPr>
        <w:t>行政</w:t>
      </w:r>
      <w:r>
        <w:rPr>
          <w:rFonts w:hint="eastAsia"/>
          <w:color w:val="auto"/>
          <w:sz w:val="32"/>
          <w:szCs w:val="32"/>
          <w:highlight w:val="none"/>
        </w:rPr>
        <w:t>编制</w:t>
      </w:r>
      <w:r>
        <w:rPr>
          <w:rFonts w:hint="eastAsia"/>
          <w:color w:val="auto"/>
          <w:sz w:val="32"/>
          <w:szCs w:val="32"/>
          <w:highlight w:val="none"/>
          <w:lang w:val="en-US" w:eastAsia="zh-CN"/>
        </w:rPr>
        <w:t>5</w:t>
      </w:r>
      <w:r>
        <w:rPr>
          <w:rFonts w:hint="eastAsia"/>
          <w:color w:val="auto"/>
          <w:sz w:val="32"/>
          <w:szCs w:val="32"/>
          <w:highlight w:val="none"/>
        </w:rPr>
        <w:t>名，事业编制</w:t>
      </w:r>
      <w:r>
        <w:rPr>
          <w:rFonts w:hint="eastAsia"/>
          <w:color w:val="auto"/>
          <w:sz w:val="32"/>
          <w:szCs w:val="32"/>
          <w:highlight w:val="none"/>
          <w:lang w:val="en-US" w:eastAsia="zh-CN"/>
        </w:rPr>
        <w:t>7</w:t>
      </w:r>
      <w:r>
        <w:rPr>
          <w:rFonts w:hint="eastAsia"/>
          <w:color w:val="auto"/>
          <w:sz w:val="32"/>
          <w:szCs w:val="32"/>
          <w:highlight w:val="none"/>
        </w:rPr>
        <w:t>名。在职人员总数</w:t>
      </w:r>
      <w:r>
        <w:rPr>
          <w:rFonts w:hint="eastAsia"/>
          <w:color w:val="auto"/>
          <w:sz w:val="32"/>
          <w:szCs w:val="32"/>
          <w:highlight w:val="none"/>
          <w:lang w:val="en-US" w:eastAsia="zh-CN"/>
        </w:rPr>
        <w:t>12</w:t>
      </w:r>
      <w:r>
        <w:rPr>
          <w:rFonts w:hint="eastAsia"/>
          <w:color w:val="auto"/>
          <w:sz w:val="32"/>
          <w:szCs w:val="32"/>
          <w:highlight w:val="none"/>
        </w:rPr>
        <w:t>人，其中：</w:t>
      </w:r>
      <w:r>
        <w:rPr>
          <w:rFonts w:hint="eastAsia"/>
          <w:color w:val="auto"/>
          <w:sz w:val="32"/>
          <w:szCs w:val="32"/>
          <w:highlight w:val="none"/>
          <w:lang w:val="en-US" w:eastAsia="zh-CN"/>
        </w:rPr>
        <w:t>行政</w:t>
      </w:r>
      <w:r>
        <w:rPr>
          <w:rFonts w:hint="eastAsia"/>
          <w:color w:val="auto"/>
          <w:sz w:val="32"/>
          <w:szCs w:val="32"/>
          <w:highlight w:val="none"/>
        </w:rPr>
        <w:t>编制</w:t>
      </w:r>
      <w:r>
        <w:rPr>
          <w:rFonts w:hint="eastAsia"/>
          <w:color w:val="auto"/>
          <w:sz w:val="32"/>
          <w:szCs w:val="32"/>
          <w:highlight w:val="none"/>
          <w:lang w:val="en-US" w:eastAsia="zh-CN"/>
        </w:rPr>
        <w:t>6</w:t>
      </w:r>
      <w:r>
        <w:rPr>
          <w:rFonts w:hint="eastAsia"/>
          <w:color w:val="auto"/>
          <w:sz w:val="32"/>
          <w:szCs w:val="32"/>
          <w:highlight w:val="none"/>
        </w:rPr>
        <w:t>名，事业编制</w:t>
      </w:r>
      <w:r>
        <w:rPr>
          <w:rFonts w:hint="eastAsia"/>
          <w:color w:val="auto"/>
          <w:sz w:val="32"/>
          <w:szCs w:val="32"/>
          <w:highlight w:val="none"/>
          <w:lang w:val="en-US" w:eastAsia="zh-CN"/>
        </w:rPr>
        <w:t>6</w:t>
      </w:r>
      <w:r>
        <w:rPr>
          <w:rFonts w:hint="eastAsia"/>
          <w:color w:val="auto"/>
          <w:sz w:val="32"/>
          <w:szCs w:val="32"/>
          <w:highlight w:val="none"/>
        </w:rPr>
        <w:t>名。本次公开数据包括所有下属二级单位数据。</w:t>
      </w:r>
    </w:p>
    <w:p w14:paraId="4BED02F0">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w:t>
      </w:r>
      <w:r>
        <w:rPr>
          <w:rFonts w:hint="eastAsia" w:ascii="黑体" w:hAnsi="黑体" w:eastAsia="黑体" w:cs="黑体"/>
          <w:color w:val="auto"/>
          <w:sz w:val="32"/>
          <w:szCs w:val="32"/>
          <w:highlight w:val="none"/>
        </w:rPr>
        <w:t>三、收支预算增减变化情况说明</w:t>
      </w:r>
    </w:p>
    <w:p w14:paraId="4B29B5B1">
      <w:pPr>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rPr>
        <w:t>　　按照综合预算的原则，</w:t>
      </w:r>
      <w:r>
        <w:rPr>
          <w:rFonts w:hint="eastAsia" w:ascii="仿宋_GB2312" w:hAnsi="仿宋_GB2312" w:eastAsia="仿宋_GB2312"/>
          <w:color w:val="auto"/>
          <w:sz w:val="32"/>
          <w:szCs w:val="32"/>
          <w:highlight w:val="none"/>
          <w:lang w:eastAsia="zh-CN"/>
        </w:rPr>
        <w:t>德阳市罗江区</w:t>
      </w:r>
      <w:r>
        <w:rPr>
          <w:rFonts w:hint="eastAsia" w:ascii="仿宋_GB2312" w:hAnsi="仿宋_GB2312" w:eastAsia="仿宋_GB2312"/>
          <w:color w:val="auto"/>
          <w:sz w:val="32"/>
          <w:szCs w:val="32"/>
          <w:highlight w:val="none"/>
          <w:lang w:val="en-US" w:eastAsia="zh-CN"/>
        </w:rPr>
        <w:t>退役军人事务局</w:t>
      </w:r>
      <w:r>
        <w:rPr>
          <w:rFonts w:hint="eastAsia" w:ascii="仿宋_GB2312" w:hAnsi="仿宋_GB2312" w:eastAsia="仿宋_GB2312"/>
          <w:color w:val="auto"/>
          <w:sz w:val="32"/>
          <w:szCs w:val="32"/>
          <w:highlight w:val="none"/>
        </w:rPr>
        <w:t>所有收支均包含下属单位数据，全部纳入部门预算管理。收入包括</w:t>
      </w:r>
      <w:r>
        <w:rPr>
          <w:rFonts w:hint="eastAsia" w:ascii="仿宋_GB2312" w:hAnsi="仿宋_GB2312" w:eastAsia="仿宋_GB2312"/>
          <w:color w:val="auto"/>
          <w:sz w:val="32"/>
          <w:szCs w:val="32"/>
          <w:highlight w:val="none"/>
          <w:lang w:eastAsia="zh-CN"/>
        </w:rPr>
        <w:t>：本级财政拨款收入</w:t>
      </w:r>
      <w:r>
        <w:rPr>
          <w:rFonts w:hint="eastAsia" w:ascii="仿宋_GB2312" w:hAnsi="仿宋_GB2312" w:eastAsia="仿宋_GB2312"/>
          <w:color w:val="auto"/>
          <w:sz w:val="32"/>
          <w:szCs w:val="32"/>
          <w:highlight w:val="none"/>
        </w:rPr>
        <w:t>主要是</w:t>
      </w:r>
      <w:r>
        <w:rPr>
          <w:rFonts w:hint="eastAsia" w:ascii="仿宋_GB2312" w:hAnsi="仿宋_GB2312" w:eastAsia="仿宋_GB2312"/>
          <w:color w:val="auto"/>
          <w:sz w:val="32"/>
          <w:szCs w:val="32"/>
          <w:highlight w:val="none"/>
          <w:lang w:eastAsia="zh-CN"/>
        </w:rPr>
        <w:t>项目配套资金、</w:t>
      </w:r>
      <w:r>
        <w:rPr>
          <w:rFonts w:hint="eastAsia" w:ascii="仿宋_GB2312" w:hAnsi="仿宋_GB2312" w:eastAsia="仿宋_GB2312"/>
          <w:color w:val="auto"/>
          <w:sz w:val="32"/>
          <w:szCs w:val="32"/>
          <w:highlight w:val="none"/>
          <w:lang w:val="en-US" w:eastAsia="zh-CN"/>
        </w:rPr>
        <w:t>人员和公用经费</w:t>
      </w:r>
      <w:r>
        <w:rPr>
          <w:rFonts w:hint="eastAsia" w:ascii="仿宋_GB2312" w:hAnsi="仿宋_GB2312" w:eastAsia="仿宋_GB2312"/>
          <w:color w:val="auto"/>
          <w:sz w:val="32"/>
          <w:szCs w:val="32"/>
          <w:highlight w:val="none"/>
          <w:lang w:eastAsia="zh-CN"/>
        </w:rPr>
        <w:t>等</w:t>
      </w:r>
      <w:r>
        <w:rPr>
          <w:rFonts w:hint="eastAsia" w:ascii="仿宋_GB2312" w:hAnsi="仿宋_GB2312" w:eastAsia="仿宋_GB2312"/>
          <w:color w:val="auto"/>
          <w:sz w:val="32"/>
          <w:szCs w:val="32"/>
          <w:highlight w:val="none"/>
        </w:rPr>
        <w:t>。</w:t>
      </w:r>
      <w:r>
        <w:rPr>
          <w:rFonts w:hint="eastAsia" w:ascii="仿宋_GB2312" w:hAnsi="仿宋_GB2312" w:eastAsia="仿宋_GB2312"/>
          <w:color w:val="auto"/>
          <w:sz w:val="32"/>
          <w:szCs w:val="32"/>
          <w:highlight w:val="none"/>
          <w:lang w:eastAsia="zh-CN"/>
        </w:rPr>
        <w:t>德阳市罗江区</w:t>
      </w:r>
      <w:r>
        <w:rPr>
          <w:rFonts w:hint="eastAsia" w:ascii="仿宋_GB2312" w:hAnsi="仿宋_GB2312" w:eastAsia="仿宋_GB2312"/>
          <w:color w:val="auto"/>
          <w:sz w:val="32"/>
          <w:szCs w:val="32"/>
          <w:highlight w:val="none"/>
          <w:lang w:val="en-US" w:eastAsia="zh-CN"/>
        </w:rPr>
        <w:t>退役军人事务局</w:t>
      </w:r>
      <w:r>
        <w:rPr>
          <w:rFonts w:hint="eastAsia" w:ascii="仿宋_GB2312" w:hAnsi="仿宋_GB2312" w:eastAsia="仿宋_GB2312"/>
          <w:color w:val="auto"/>
          <w:sz w:val="32"/>
          <w:szCs w:val="32"/>
          <w:highlight w:val="none"/>
        </w:rPr>
        <w:t>20</w:t>
      </w:r>
      <w:r>
        <w:rPr>
          <w:rFonts w:hint="eastAsia" w:ascii="仿宋_GB2312" w:hAnsi="仿宋_GB2312" w:eastAsia="仿宋_GB2312"/>
          <w:color w:val="auto"/>
          <w:sz w:val="32"/>
          <w:szCs w:val="32"/>
          <w:highlight w:val="none"/>
          <w:lang w:val="en-US" w:eastAsia="zh-CN"/>
        </w:rPr>
        <w:t>25</w:t>
      </w:r>
      <w:r>
        <w:rPr>
          <w:rFonts w:hint="eastAsia" w:ascii="仿宋_GB2312" w:hAnsi="仿宋_GB2312" w:eastAsia="仿宋_GB2312"/>
          <w:color w:val="auto"/>
          <w:sz w:val="32"/>
          <w:szCs w:val="32"/>
          <w:highlight w:val="none"/>
        </w:rPr>
        <w:t>年收支总预算</w:t>
      </w:r>
      <w:r>
        <w:rPr>
          <w:rFonts w:hint="eastAsia" w:ascii="仿宋_GB2312" w:hAnsi="仿宋_GB2312" w:eastAsia="仿宋_GB2312"/>
          <w:color w:val="auto"/>
          <w:sz w:val="32"/>
          <w:szCs w:val="32"/>
          <w:highlight w:val="none"/>
          <w:lang w:val="en-US" w:eastAsia="zh-CN"/>
        </w:rPr>
        <w:t>2179.78</w:t>
      </w:r>
      <w:r>
        <w:rPr>
          <w:rFonts w:hint="eastAsia" w:ascii="仿宋_GB2312" w:hAnsi="仿宋_GB2312" w:eastAsia="仿宋_GB2312"/>
          <w:color w:val="auto"/>
          <w:sz w:val="32"/>
          <w:szCs w:val="32"/>
          <w:highlight w:val="none"/>
        </w:rPr>
        <w:t>万元。</w:t>
      </w:r>
    </w:p>
    <w:p w14:paraId="2BC8C076">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w:t>
      </w:r>
      <w:r>
        <w:rPr>
          <w:rFonts w:hint="eastAsia" w:ascii="楷体" w:hAnsi="楷体" w:eastAsia="楷体" w:cs="楷体"/>
          <w:color w:val="auto"/>
          <w:sz w:val="32"/>
          <w:szCs w:val="32"/>
          <w:highlight w:val="none"/>
        </w:rPr>
        <w:t>（一）收入预算情况</w:t>
      </w:r>
    </w:p>
    <w:p w14:paraId="46CAC60D">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rPr>
        <w:t xml:space="preserve">    </w:t>
      </w:r>
      <w:r>
        <w:rPr>
          <w:rFonts w:ascii="仿宋_GB2312" w:hAnsi="仿宋_GB2312" w:eastAsia="仿宋_GB2312"/>
          <w:color w:val="auto"/>
          <w:sz w:val="32"/>
          <w:szCs w:val="32"/>
          <w:highlight w:val="none"/>
        </w:rPr>
        <w:t>20</w:t>
      </w:r>
      <w:r>
        <w:rPr>
          <w:rFonts w:hint="eastAsia" w:ascii="仿宋_GB2312" w:hAnsi="仿宋_GB2312" w:eastAsia="仿宋_GB2312"/>
          <w:color w:val="auto"/>
          <w:sz w:val="32"/>
          <w:szCs w:val="32"/>
          <w:highlight w:val="none"/>
          <w:lang w:val="en-US" w:eastAsia="zh-CN"/>
        </w:rPr>
        <w:t>25</w:t>
      </w:r>
      <w:r>
        <w:rPr>
          <w:rFonts w:ascii="仿宋_GB2312" w:hAnsi="仿宋_GB2312" w:eastAsia="仿宋_GB2312"/>
          <w:color w:val="auto"/>
          <w:sz w:val="32"/>
          <w:szCs w:val="32"/>
          <w:highlight w:val="none"/>
        </w:rPr>
        <w:t>年收入预算</w:t>
      </w:r>
      <w:r>
        <w:rPr>
          <w:rFonts w:hint="eastAsia" w:ascii="仿宋_GB2312" w:hAnsi="仿宋_GB2312" w:eastAsia="仿宋_GB2312"/>
          <w:color w:val="auto"/>
          <w:sz w:val="32"/>
          <w:szCs w:val="32"/>
          <w:highlight w:val="none"/>
          <w:lang w:val="en-US" w:eastAsia="zh-CN"/>
        </w:rPr>
        <w:t>2179.78</w:t>
      </w:r>
      <w:r>
        <w:rPr>
          <w:rFonts w:ascii="仿宋_GB2312" w:hAnsi="仿宋_GB2312" w:eastAsia="仿宋_GB2312"/>
          <w:color w:val="auto"/>
          <w:sz w:val="32"/>
          <w:szCs w:val="32"/>
          <w:highlight w:val="none"/>
        </w:rPr>
        <w:t>万元，其中：上年结转</w:t>
      </w:r>
      <w:r>
        <w:rPr>
          <w:rFonts w:hint="eastAsia" w:ascii="仿宋_GB2312" w:hAnsi="仿宋_GB2312" w:eastAsia="仿宋_GB2312"/>
          <w:color w:val="auto"/>
          <w:sz w:val="32"/>
          <w:szCs w:val="32"/>
          <w:highlight w:val="none"/>
          <w:lang w:val="en-US" w:eastAsia="zh-CN"/>
        </w:rPr>
        <w:t>0</w:t>
      </w:r>
      <w:r>
        <w:rPr>
          <w:rFonts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0</w:t>
      </w:r>
      <w:r>
        <w:rPr>
          <w:rFonts w:ascii="仿宋_GB2312" w:hAnsi="仿宋_GB2312" w:eastAsia="仿宋_GB2312"/>
          <w:color w:val="auto"/>
          <w:sz w:val="32"/>
          <w:szCs w:val="32"/>
          <w:highlight w:val="none"/>
        </w:rPr>
        <w:t>%；一般公共预算拨款收入</w:t>
      </w:r>
      <w:r>
        <w:rPr>
          <w:rFonts w:hint="eastAsia" w:ascii="仿宋_GB2312" w:hAnsi="仿宋_GB2312" w:eastAsia="仿宋_GB2312"/>
          <w:color w:val="auto"/>
          <w:sz w:val="32"/>
          <w:szCs w:val="32"/>
          <w:highlight w:val="none"/>
          <w:lang w:val="en-US" w:eastAsia="zh-CN"/>
        </w:rPr>
        <w:t>2179.78</w:t>
      </w:r>
      <w:r>
        <w:rPr>
          <w:rFonts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100</w:t>
      </w:r>
      <w:r>
        <w:rPr>
          <w:rFonts w:ascii="仿宋_GB2312" w:hAnsi="仿宋_GB2312" w:eastAsia="仿宋_GB2312"/>
          <w:color w:val="auto"/>
          <w:sz w:val="32"/>
          <w:szCs w:val="32"/>
          <w:highlight w:val="none"/>
        </w:rPr>
        <w:t>%；事业收入</w:t>
      </w:r>
      <w:r>
        <w:rPr>
          <w:rFonts w:hint="eastAsia" w:ascii="仿宋_GB2312" w:hAnsi="仿宋_GB2312" w:eastAsia="仿宋_GB2312"/>
          <w:color w:val="auto"/>
          <w:sz w:val="32"/>
          <w:szCs w:val="32"/>
          <w:highlight w:val="none"/>
          <w:lang w:val="en-US" w:eastAsia="zh-CN"/>
        </w:rPr>
        <w:t>0</w:t>
      </w:r>
      <w:r>
        <w:rPr>
          <w:rFonts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0</w:t>
      </w:r>
      <w:r>
        <w:rPr>
          <w:rFonts w:ascii="仿宋_GB2312" w:hAnsi="仿宋_GB2312" w:eastAsia="仿宋_GB2312"/>
          <w:color w:val="auto"/>
          <w:sz w:val="32"/>
          <w:szCs w:val="32"/>
          <w:highlight w:val="none"/>
        </w:rPr>
        <w:t>%；事业单位经营收</w:t>
      </w:r>
      <w:r>
        <w:rPr>
          <w:rFonts w:hint="eastAsia" w:ascii="仿宋_GB2312" w:hAnsi="仿宋_GB2312" w:eastAsia="仿宋_GB2312"/>
          <w:color w:val="auto"/>
          <w:sz w:val="32"/>
          <w:szCs w:val="32"/>
          <w:highlight w:val="none"/>
          <w:lang w:val="en-US" w:eastAsia="zh-CN"/>
        </w:rPr>
        <w:t>0</w:t>
      </w:r>
      <w:r>
        <w:rPr>
          <w:rFonts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0</w:t>
      </w:r>
      <w:r>
        <w:rPr>
          <w:rFonts w:ascii="仿宋_GB2312" w:hAnsi="仿宋_GB2312" w:eastAsia="仿宋_GB2312"/>
          <w:color w:val="auto"/>
          <w:sz w:val="32"/>
          <w:szCs w:val="32"/>
          <w:highlight w:val="none"/>
        </w:rPr>
        <w:t>%；其他收入</w:t>
      </w:r>
      <w:r>
        <w:rPr>
          <w:rFonts w:hint="eastAsia" w:ascii="仿宋_GB2312" w:hAnsi="仿宋_GB2312" w:eastAsia="仿宋_GB2312"/>
          <w:color w:val="auto"/>
          <w:sz w:val="32"/>
          <w:szCs w:val="32"/>
          <w:highlight w:val="none"/>
          <w:lang w:val="en-US" w:eastAsia="zh-CN"/>
        </w:rPr>
        <w:t>0</w:t>
      </w:r>
      <w:r>
        <w:rPr>
          <w:rFonts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0</w:t>
      </w:r>
      <w:r>
        <w:rPr>
          <w:rFonts w:ascii="仿宋_GB2312" w:hAnsi="仿宋_GB2312" w:eastAsia="仿宋_GB2312"/>
          <w:color w:val="auto"/>
          <w:sz w:val="32"/>
          <w:szCs w:val="32"/>
          <w:highlight w:val="none"/>
        </w:rPr>
        <w:t>%。</w:t>
      </w:r>
    </w:p>
    <w:p w14:paraId="193ACF43">
      <w:pPr>
        <w:keepNext w:val="0"/>
        <w:keepLines w:val="0"/>
        <w:pageBreakBefore w:val="0"/>
        <w:kinsoku/>
        <w:wordWrap/>
        <w:overflowPunct/>
        <w:topLinePunct w:val="0"/>
        <w:autoSpaceDE/>
        <w:autoSpaceDN/>
        <w:bidi w:val="0"/>
        <w:spacing w:line="560" w:lineRule="exact"/>
        <w:ind w:firstLine="645"/>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（二）支出预算情况</w:t>
      </w:r>
    </w:p>
    <w:p w14:paraId="25DE875C">
      <w:pPr>
        <w:keepNext w:val="0"/>
        <w:keepLines w:val="0"/>
        <w:pageBreakBefore w:val="0"/>
        <w:kinsoku/>
        <w:wordWrap/>
        <w:overflowPunct/>
        <w:topLinePunct w:val="0"/>
        <w:autoSpaceDE/>
        <w:autoSpaceDN/>
        <w:bidi w:val="0"/>
        <w:spacing w:line="560" w:lineRule="exact"/>
        <w:ind w:firstLine="645"/>
        <w:textAlignment w:val="auto"/>
        <w:rPr>
          <w:rFonts w:ascii="仿宋_GB2312" w:hAnsi="仿宋_GB2312" w:eastAsia="仿宋_GB2312"/>
          <w:color w:val="auto"/>
          <w:sz w:val="32"/>
          <w:szCs w:val="32"/>
          <w:highlight w:val="none"/>
        </w:rPr>
      </w:pPr>
      <w:r>
        <w:rPr>
          <w:rFonts w:ascii="仿宋_GB2312" w:hAnsi="仿宋_GB2312" w:eastAsia="仿宋_GB2312"/>
          <w:color w:val="auto"/>
          <w:sz w:val="32"/>
          <w:szCs w:val="32"/>
          <w:highlight w:val="none"/>
        </w:rPr>
        <w:t>20</w:t>
      </w:r>
      <w:r>
        <w:rPr>
          <w:rFonts w:hint="eastAsia" w:ascii="仿宋_GB2312" w:hAnsi="仿宋_GB2312" w:eastAsia="仿宋_GB2312"/>
          <w:color w:val="auto"/>
          <w:sz w:val="32"/>
          <w:szCs w:val="32"/>
          <w:highlight w:val="none"/>
          <w:lang w:val="en-US" w:eastAsia="zh-CN"/>
        </w:rPr>
        <w:t>25</w:t>
      </w:r>
      <w:r>
        <w:rPr>
          <w:rFonts w:ascii="仿宋_GB2312" w:hAnsi="仿宋_GB2312" w:eastAsia="仿宋_GB2312"/>
          <w:color w:val="auto"/>
          <w:sz w:val="32"/>
          <w:szCs w:val="32"/>
          <w:highlight w:val="none"/>
        </w:rPr>
        <w:t>年支出预算</w:t>
      </w:r>
      <w:r>
        <w:rPr>
          <w:rFonts w:hint="eastAsia" w:ascii="仿宋_GB2312" w:hAnsi="仿宋_GB2312" w:eastAsia="仿宋_GB2312"/>
          <w:color w:val="auto"/>
          <w:sz w:val="32"/>
          <w:szCs w:val="32"/>
          <w:highlight w:val="none"/>
          <w:lang w:val="en-US" w:eastAsia="zh-CN"/>
        </w:rPr>
        <w:t>2179.78</w:t>
      </w:r>
      <w:r>
        <w:rPr>
          <w:rFonts w:ascii="仿宋_GB2312" w:hAnsi="仿宋_GB2312" w:eastAsia="仿宋_GB2312"/>
          <w:color w:val="auto"/>
          <w:sz w:val="32"/>
          <w:szCs w:val="32"/>
          <w:highlight w:val="none"/>
        </w:rPr>
        <w:t>万元，其中：基本支出</w:t>
      </w:r>
      <w:r>
        <w:rPr>
          <w:rFonts w:hint="eastAsia" w:ascii="仿宋_GB2312" w:hAnsi="仿宋_GB2312" w:eastAsia="仿宋_GB2312"/>
          <w:color w:val="auto"/>
          <w:sz w:val="32"/>
          <w:szCs w:val="32"/>
          <w:highlight w:val="none"/>
          <w:lang w:val="en-US" w:eastAsia="zh-CN"/>
        </w:rPr>
        <w:t>233.05</w:t>
      </w:r>
      <w:r>
        <w:rPr>
          <w:rFonts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10.69</w:t>
      </w:r>
      <w:r>
        <w:rPr>
          <w:rFonts w:ascii="仿宋_GB2312" w:hAnsi="仿宋_GB2312" w:eastAsia="仿宋_GB2312"/>
          <w:color w:val="auto"/>
          <w:sz w:val="32"/>
          <w:szCs w:val="32"/>
          <w:highlight w:val="none"/>
        </w:rPr>
        <w:t>%；项目支出</w:t>
      </w:r>
      <w:r>
        <w:rPr>
          <w:rFonts w:hint="eastAsia" w:ascii="仿宋_GB2312" w:hAnsi="仿宋_GB2312" w:eastAsia="仿宋_GB2312"/>
          <w:color w:val="auto"/>
          <w:sz w:val="32"/>
          <w:szCs w:val="32"/>
          <w:highlight w:val="none"/>
          <w:lang w:val="en-US" w:eastAsia="zh-CN"/>
        </w:rPr>
        <w:t>1946.73</w:t>
      </w:r>
      <w:r>
        <w:rPr>
          <w:rFonts w:ascii="仿宋_GB2312" w:hAnsi="仿宋_GB2312" w:eastAsia="仿宋_GB2312"/>
          <w:color w:val="auto"/>
          <w:sz w:val="32"/>
          <w:szCs w:val="32"/>
          <w:highlight w:val="none"/>
        </w:rPr>
        <w:t>万元，占</w:t>
      </w:r>
      <w:r>
        <w:rPr>
          <w:rFonts w:hint="eastAsia" w:ascii="仿宋_GB2312" w:hAnsi="仿宋_GB2312" w:eastAsia="仿宋_GB2312"/>
          <w:color w:val="auto"/>
          <w:sz w:val="32"/>
          <w:szCs w:val="32"/>
          <w:highlight w:val="none"/>
          <w:lang w:val="en-US" w:eastAsia="zh-CN"/>
        </w:rPr>
        <w:t xml:space="preserve">89.31 </w:t>
      </w:r>
      <w:r>
        <w:rPr>
          <w:rFonts w:ascii="仿宋_GB2312" w:hAnsi="仿宋_GB2312" w:eastAsia="仿宋_GB2312"/>
          <w:color w:val="auto"/>
          <w:sz w:val="32"/>
          <w:szCs w:val="32"/>
          <w:highlight w:val="none"/>
        </w:rPr>
        <w:t>%。</w:t>
      </w:r>
    </w:p>
    <w:p w14:paraId="6BAC7482">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黑体" w:hAnsi="黑体" w:eastAsia="黑体" w:cs="黑体"/>
          <w:color w:val="auto"/>
          <w:sz w:val="32"/>
          <w:szCs w:val="32"/>
        </w:rPr>
        <w:t>四、财政拨款收支预算情况说明</w:t>
      </w:r>
    </w:p>
    <w:p w14:paraId="0D2252AB">
      <w:pPr>
        <w:keepNext w:val="0"/>
        <w:keepLines w:val="0"/>
        <w:pageBreakBefore w:val="0"/>
        <w:kinsoku/>
        <w:wordWrap/>
        <w:overflowPunct/>
        <w:topLinePunct w:val="0"/>
        <w:autoSpaceDE/>
        <w:autoSpaceDN/>
        <w:bidi w:val="0"/>
        <w:spacing w:line="560" w:lineRule="exact"/>
        <w:ind w:firstLine="645"/>
        <w:textAlignment w:val="auto"/>
        <w:rPr>
          <w:rFonts w:hint="eastAsia"/>
          <w:color w:val="auto"/>
          <w:sz w:val="32"/>
          <w:szCs w:val="32"/>
          <w:highlight w:val="none"/>
        </w:rPr>
      </w:pPr>
      <w:r>
        <w:rPr>
          <w:rFonts w:hint="eastAsia" w:ascii="仿宋_GB2312" w:hAnsi="仿宋_GB2312" w:eastAsia="仿宋_GB2312"/>
          <w:color w:val="auto"/>
          <w:sz w:val="32"/>
          <w:szCs w:val="32"/>
          <w:lang w:eastAsia="zh-CN"/>
        </w:rPr>
        <w:t>德阳市罗江区退役军人事务局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年财政拨款收支总预算</w:t>
      </w:r>
      <w:r>
        <w:rPr>
          <w:rFonts w:hint="eastAsia" w:ascii="仿宋_GB2312" w:hAnsi="仿宋_GB2312" w:eastAsia="仿宋_GB2312"/>
          <w:color w:val="auto"/>
          <w:sz w:val="32"/>
          <w:szCs w:val="32"/>
          <w:highlight w:val="none"/>
          <w:lang w:val="en-US" w:eastAsia="zh-CN"/>
        </w:rPr>
        <w:t>2179.78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highlight w:val="none"/>
        </w:rPr>
        <w:t>主要是</w:t>
      </w:r>
      <w:r>
        <w:rPr>
          <w:rFonts w:hint="eastAsia" w:ascii="仿宋_GB2312" w:hAnsi="仿宋_GB2312" w:eastAsia="仿宋_GB2312"/>
          <w:color w:val="auto"/>
          <w:sz w:val="32"/>
          <w:szCs w:val="32"/>
          <w:highlight w:val="none"/>
          <w:lang w:eastAsia="zh-CN"/>
        </w:rPr>
        <w:t>项目配套资金本级预算、人员工资等</w:t>
      </w:r>
      <w:r>
        <w:rPr>
          <w:rFonts w:hint="eastAsia"/>
          <w:color w:val="auto"/>
          <w:sz w:val="32"/>
          <w:szCs w:val="32"/>
          <w:highlight w:val="none"/>
        </w:rPr>
        <w:t>。</w:t>
      </w:r>
    </w:p>
    <w:p w14:paraId="1BBEBEA6">
      <w:pPr>
        <w:keepNext w:val="0"/>
        <w:keepLines w:val="0"/>
        <w:pageBreakBefore w:val="0"/>
        <w:kinsoku/>
        <w:wordWrap/>
        <w:overflowPunct/>
        <w:topLinePunct w:val="0"/>
        <w:autoSpaceDE/>
        <w:autoSpaceDN/>
        <w:bidi w:val="0"/>
        <w:spacing w:line="560" w:lineRule="exact"/>
        <w:ind w:firstLine="645"/>
        <w:textAlignment w:val="auto"/>
        <w:rPr>
          <w:rFonts w:ascii="仿宋_GB2312" w:hAnsi="仿宋_GB2312" w:eastAsia="仿宋_GB2312"/>
          <w:color w:val="auto"/>
          <w:sz w:val="32"/>
          <w:szCs w:val="32"/>
        </w:rPr>
      </w:pPr>
      <w:r>
        <w:rPr>
          <w:rFonts w:ascii="仿宋_GB2312" w:hAnsi="仿宋_GB2312" w:eastAsia="仿宋_GB2312"/>
          <w:color w:val="auto"/>
          <w:sz w:val="32"/>
          <w:szCs w:val="32"/>
        </w:rPr>
        <w:t>收入包括：本年一般公共预算拨款收入</w:t>
      </w:r>
      <w:r>
        <w:rPr>
          <w:rFonts w:hint="eastAsia" w:ascii="仿宋_GB2312" w:hAnsi="仿宋_GB2312" w:eastAsia="仿宋_GB2312"/>
          <w:color w:val="auto"/>
          <w:sz w:val="32"/>
          <w:szCs w:val="32"/>
          <w:lang w:val="en-US" w:eastAsia="zh-CN"/>
        </w:rPr>
        <w:t>2179.78</w:t>
      </w:r>
      <w:r>
        <w:rPr>
          <w:rFonts w:ascii="仿宋_GB2312" w:hAnsi="仿宋_GB2312" w:eastAsia="仿宋_GB2312"/>
          <w:color w:val="auto"/>
          <w:sz w:val="32"/>
          <w:szCs w:val="32"/>
        </w:rPr>
        <w:t>万元；</w:t>
      </w:r>
      <w:r>
        <w:rPr>
          <w:rFonts w:hint="eastAsia" w:ascii="仿宋_GB2312" w:hAnsi="仿宋_GB2312" w:eastAsia="仿宋_GB2312"/>
          <w:color w:val="auto"/>
          <w:sz w:val="32"/>
          <w:szCs w:val="32"/>
        </w:rPr>
        <w:t>支出包括：</w:t>
      </w:r>
      <w:r>
        <w:rPr>
          <w:rFonts w:hint="eastAsia" w:ascii="仿宋_GB2312" w:hAnsi="仿宋_GB2312" w:eastAsia="仿宋_GB2312"/>
          <w:color w:val="auto"/>
          <w:sz w:val="32"/>
          <w:szCs w:val="32"/>
          <w:lang w:val="en-US" w:eastAsia="zh-CN"/>
        </w:rPr>
        <w:t>一般公共服务支出2.75万元，</w:t>
      </w:r>
      <w:r>
        <w:rPr>
          <w:rFonts w:ascii="仿宋_GB2312" w:hAnsi="宋体" w:eastAsia="仿宋_GB2312" w:cs="仿宋_GB2312"/>
          <w:i w:val="0"/>
          <w:caps w:val="0"/>
          <w:color w:val="auto"/>
          <w:spacing w:val="0"/>
          <w:sz w:val="32"/>
          <w:szCs w:val="32"/>
          <w:shd w:val="clear" w:fill="FFFFFF"/>
        </w:rPr>
        <w:t>社会</w:t>
      </w:r>
      <w:r>
        <w:rPr>
          <w:rFonts w:hint="eastAsia" w:ascii="仿宋_GB2312" w:hAnsi="宋体" w:eastAsia="仿宋_GB2312" w:cs="仿宋_GB2312"/>
          <w:i w:val="0"/>
          <w:caps w:val="0"/>
          <w:color w:val="auto"/>
          <w:spacing w:val="0"/>
          <w:sz w:val="32"/>
          <w:szCs w:val="32"/>
          <w:shd w:val="clear" w:fill="FFFFFF"/>
          <w:lang w:val="en-US" w:eastAsia="zh-CN"/>
        </w:rPr>
        <w:t>福利和救助</w:t>
      </w:r>
      <w:r>
        <w:rPr>
          <w:rFonts w:ascii="仿宋_GB2312" w:hAnsi="宋体" w:eastAsia="仿宋_GB2312" w:cs="仿宋_GB2312"/>
          <w:i w:val="0"/>
          <w:caps w:val="0"/>
          <w:color w:val="auto"/>
          <w:spacing w:val="0"/>
          <w:sz w:val="32"/>
          <w:szCs w:val="32"/>
          <w:shd w:val="clear" w:fill="FFFFFF"/>
        </w:rPr>
        <w:t>支出</w:t>
      </w:r>
      <w:r>
        <w:rPr>
          <w:rFonts w:hint="eastAsia" w:ascii="仿宋_GB2312" w:hAnsi="宋体" w:eastAsia="仿宋_GB2312" w:cs="仿宋_GB2312"/>
          <w:i w:val="0"/>
          <w:caps w:val="0"/>
          <w:color w:val="auto"/>
          <w:spacing w:val="0"/>
          <w:sz w:val="32"/>
          <w:szCs w:val="32"/>
          <w:shd w:val="clear" w:fill="FFFFFF"/>
          <w:lang w:val="en-US" w:eastAsia="zh-CN"/>
        </w:rPr>
        <w:t>2151.86</w:t>
      </w:r>
      <w:r>
        <w:rPr>
          <w:rFonts w:hint="default" w:ascii="仿宋_GB2312" w:hAnsi="宋体" w:eastAsia="仿宋_GB2312" w:cs="仿宋_GB2312"/>
          <w:i w:val="0"/>
          <w:caps w:val="0"/>
          <w:color w:val="auto"/>
          <w:spacing w:val="0"/>
          <w:sz w:val="32"/>
          <w:szCs w:val="32"/>
          <w:shd w:val="clear" w:fill="FFFFFF"/>
        </w:rPr>
        <w:t>万元，</w:t>
      </w:r>
      <w:r>
        <w:rPr>
          <w:rFonts w:hint="eastAsia" w:ascii="仿宋_GB2312" w:hAnsi="宋体" w:eastAsia="仿宋_GB2312" w:cs="仿宋_GB2312"/>
          <w:i w:val="0"/>
          <w:caps w:val="0"/>
          <w:color w:val="auto"/>
          <w:spacing w:val="0"/>
          <w:sz w:val="32"/>
          <w:szCs w:val="32"/>
          <w:shd w:val="clear" w:fill="FFFFFF"/>
          <w:lang w:eastAsia="zh-CN"/>
        </w:rPr>
        <w:t>卫生健康</w:t>
      </w:r>
      <w:r>
        <w:rPr>
          <w:rFonts w:hint="default" w:ascii="仿宋_GB2312" w:hAnsi="宋体" w:eastAsia="仿宋_GB2312" w:cs="仿宋_GB2312"/>
          <w:i w:val="0"/>
          <w:caps w:val="0"/>
          <w:color w:val="auto"/>
          <w:spacing w:val="0"/>
          <w:sz w:val="32"/>
          <w:szCs w:val="32"/>
          <w:shd w:val="clear" w:fill="FFFFFF"/>
        </w:rPr>
        <w:t>支出</w:t>
      </w:r>
      <w:r>
        <w:rPr>
          <w:rFonts w:hint="eastAsia" w:ascii="仿宋_GB2312" w:hAnsi="宋体" w:eastAsia="仿宋_GB2312" w:cs="仿宋_GB2312"/>
          <w:i w:val="0"/>
          <w:caps w:val="0"/>
          <w:color w:val="auto"/>
          <w:spacing w:val="0"/>
          <w:sz w:val="32"/>
          <w:szCs w:val="32"/>
          <w:shd w:val="clear" w:fill="FFFFFF"/>
          <w:lang w:val="en-US" w:eastAsia="zh-CN"/>
        </w:rPr>
        <w:t>8.41</w:t>
      </w:r>
      <w:r>
        <w:rPr>
          <w:rFonts w:hint="default" w:ascii="仿宋_GB2312" w:hAnsi="宋体" w:eastAsia="仿宋_GB2312" w:cs="仿宋_GB2312"/>
          <w:i w:val="0"/>
          <w:caps w:val="0"/>
          <w:color w:val="auto"/>
          <w:spacing w:val="0"/>
          <w:sz w:val="32"/>
          <w:szCs w:val="32"/>
          <w:shd w:val="clear" w:fill="FFFFFF"/>
        </w:rPr>
        <w:t>万元，住房保障支出</w:t>
      </w:r>
      <w:r>
        <w:rPr>
          <w:rFonts w:hint="eastAsia" w:ascii="仿宋_GB2312" w:hAnsi="宋体" w:eastAsia="仿宋_GB2312" w:cs="仿宋_GB2312"/>
          <w:i w:val="0"/>
          <w:caps w:val="0"/>
          <w:color w:val="auto"/>
          <w:spacing w:val="0"/>
          <w:sz w:val="32"/>
          <w:szCs w:val="32"/>
          <w:shd w:val="clear" w:fill="FFFFFF"/>
          <w:lang w:val="en-US" w:eastAsia="zh-CN"/>
        </w:rPr>
        <w:t>16.76</w:t>
      </w:r>
      <w:r>
        <w:rPr>
          <w:rFonts w:hint="default" w:ascii="仿宋_GB2312" w:hAnsi="宋体" w:eastAsia="仿宋_GB2312" w:cs="仿宋_GB2312"/>
          <w:i w:val="0"/>
          <w:caps w:val="0"/>
          <w:color w:val="auto"/>
          <w:spacing w:val="0"/>
          <w:sz w:val="32"/>
          <w:szCs w:val="32"/>
          <w:shd w:val="clear" w:fill="FFFFFF"/>
        </w:rPr>
        <w:t>万元</w:t>
      </w:r>
      <w:r>
        <w:rPr>
          <w:rFonts w:hint="eastAsia" w:ascii="仿宋_GB2312" w:hAnsi="仿宋_GB2312" w:eastAsia="仿宋_GB2312"/>
          <w:color w:val="auto"/>
          <w:sz w:val="32"/>
          <w:szCs w:val="32"/>
        </w:rPr>
        <w:t>。</w:t>
      </w:r>
    </w:p>
    <w:p w14:paraId="53F9F21C">
      <w:pPr>
        <w:keepNext w:val="0"/>
        <w:keepLines w:val="0"/>
        <w:pageBreakBefore w:val="0"/>
        <w:numPr>
          <w:ilvl w:val="0"/>
          <w:numId w:val="1"/>
        </w:numPr>
        <w:kinsoku/>
        <w:wordWrap/>
        <w:overflowPunct/>
        <w:topLinePunct w:val="0"/>
        <w:autoSpaceDE/>
        <w:autoSpaceDN/>
        <w:bidi w:val="0"/>
        <w:spacing w:line="560" w:lineRule="exact"/>
        <w:ind w:left="640" w:leftChars="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一般公共预算当年拨款情况说明</w:t>
      </w:r>
    </w:p>
    <w:p w14:paraId="0B3A1F08">
      <w:pPr>
        <w:keepNext w:val="0"/>
        <w:keepLines w:val="0"/>
        <w:pageBreakBefore w:val="0"/>
        <w:numPr>
          <w:ilvl w:val="0"/>
          <w:numId w:val="0"/>
        </w:numPr>
        <w:kinsoku/>
        <w:wordWrap/>
        <w:overflowPunct/>
        <w:topLinePunct w:val="0"/>
        <w:autoSpaceDE/>
        <w:autoSpaceDN/>
        <w:bidi w:val="0"/>
        <w:spacing w:line="560" w:lineRule="exact"/>
        <w:ind w:left="640" w:leftChars="0"/>
        <w:textAlignment w:val="auto"/>
        <w:rPr>
          <w:rFonts w:ascii="仿宋_GB2312" w:hAnsi="仿宋_GB2312" w:eastAsia="仿宋_GB2312"/>
          <w:color w:val="auto"/>
          <w:sz w:val="32"/>
          <w:szCs w:val="32"/>
        </w:rPr>
      </w:pPr>
      <w:r>
        <w:rPr>
          <w:rFonts w:hint="eastAsia" w:ascii="楷体" w:hAnsi="楷体" w:eastAsia="楷体" w:cs="楷体"/>
          <w:color w:val="auto"/>
          <w:sz w:val="32"/>
          <w:szCs w:val="32"/>
        </w:rPr>
        <w:t>（一）一般公共预算当年拨款规模变化情况</w:t>
      </w:r>
    </w:p>
    <w:p w14:paraId="3307BBE3">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德阳市罗江区退役军人事务局</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年一般公共预算当年拨款</w:t>
      </w:r>
      <w:r>
        <w:rPr>
          <w:rFonts w:hint="eastAsia" w:ascii="仿宋_GB2312" w:hAnsi="仿宋_GB2312" w:eastAsia="仿宋_GB2312"/>
          <w:color w:val="auto"/>
          <w:sz w:val="32"/>
          <w:szCs w:val="32"/>
          <w:highlight w:val="none"/>
          <w:lang w:val="en-US" w:eastAsia="zh-CN"/>
        </w:rPr>
        <w:t>2179.78</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highlight w:val="none"/>
        </w:rPr>
        <w:t>主要是</w:t>
      </w:r>
      <w:r>
        <w:rPr>
          <w:rFonts w:hint="eastAsia" w:ascii="仿宋_GB2312" w:hAnsi="仿宋_GB2312" w:eastAsia="仿宋_GB2312"/>
          <w:color w:val="auto"/>
          <w:sz w:val="32"/>
          <w:szCs w:val="32"/>
          <w:highlight w:val="none"/>
          <w:lang w:eastAsia="zh-CN"/>
        </w:rPr>
        <w:t>项目配套资金本级预算、人员工资等，</w:t>
      </w:r>
      <w:r>
        <w:rPr>
          <w:rFonts w:hint="eastAsia" w:ascii="仿宋_GB2312" w:hAnsi="仿宋_GB2312" w:eastAsia="仿宋_GB2312"/>
          <w:color w:val="auto"/>
          <w:sz w:val="32"/>
          <w:szCs w:val="32"/>
          <w:highlight w:val="none"/>
          <w:lang w:val="en-US" w:eastAsia="zh-CN"/>
        </w:rPr>
        <w:t>较上年相比有所减少，主要原因为本年单位人员较上年减少7人，人员经费相应减少</w:t>
      </w:r>
      <w:r>
        <w:rPr>
          <w:rFonts w:hint="eastAsia" w:ascii="仿宋_GB2312" w:hAnsi="仿宋_GB2312" w:eastAsia="仿宋_GB2312"/>
          <w:color w:val="auto"/>
          <w:sz w:val="32"/>
          <w:szCs w:val="32"/>
        </w:rPr>
        <w:t>。</w:t>
      </w:r>
    </w:p>
    <w:p w14:paraId="55E5AB58">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楷体" w:hAnsi="楷体" w:eastAsia="楷体" w:cs="楷体"/>
          <w:color w:val="auto"/>
          <w:sz w:val="32"/>
          <w:szCs w:val="32"/>
        </w:rPr>
        <w:t>（二）一般公共预算当年拨款结构情况</w:t>
      </w:r>
    </w:p>
    <w:p w14:paraId="7E1D97F9">
      <w:pPr>
        <w:keepNext w:val="0"/>
        <w:keepLines w:val="0"/>
        <w:pageBreakBefore w:val="0"/>
        <w:kinsoku/>
        <w:wordWrap/>
        <w:overflowPunct/>
        <w:topLinePunct w:val="0"/>
        <w:autoSpaceDE/>
        <w:autoSpaceDN/>
        <w:bidi w:val="0"/>
        <w:spacing w:line="560" w:lineRule="exact"/>
        <w:ind w:firstLine="645"/>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一般公共服务支出2.75万元，</w:t>
      </w:r>
      <w:r>
        <w:rPr>
          <w:rFonts w:ascii="仿宋_GB2312" w:hAnsi="宋体" w:eastAsia="仿宋_GB2312" w:cs="仿宋_GB2312"/>
          <w:i w:val="0"/>
          <w:caps w:val="0"/>
          <w:color w:val="auto"/>
          <w:spacing w:val="0"/>
          <w:sz w:val="32"/>
          <w:szCs w:val="32"/>
          <w:shd w:val="clear" w:fill="FFFFFF"/>
        </w:rPr>
        <w:t>社会</w:t>
      </w:r>
      <w:r>
        <w:rPr>
          <w:rFonts w:hint="eastAsia" w:ascii="仿宋_GB2312" w:hAnsi="宋体" w:eastAsia="仿宋_GB2312" w:cs="仿宋_GB2312"/>
          <w:i w:val="0"/>
          <w:caps w:val="0"/>
          <w:color w:val="auto"/>
          <w:spacing w:val="0"/>
          <w:sz w:val="32"/>
          <w:szCs w:val="32"/>
          <w:shd w:val="clear" w:fill="FFFFFF"/>
          <w:lang w:val="en-US" w:eastAsia="zh-CN"/>
        </w:rPr>
        <w:t>福利和救助</w:t>
      </w:r>
      <w:r>
        <w:rPr>
          <w:rFonts w:ascii="仿宋_GB2312" w:hAnsi="宋体" w:eastAsia="仿宋_GB2312" w:cs="仿宋_GB2312"/>
          <w:i w:val="0"/>
          <w:caps w:val="0"/>
          <w:color w:val="auto"/>
          <w:spacing w:val="0"/>
          <w:sz w:val="32"/>
          <w:szCs w:val="32"/>
          <w:shd w:val="clear" w:fill="FFFFFF"/>
        </w:rPr>
        <w:t>支出</w:t>
      </w:r>
      <w:r>
        <w:rPr>
          <w:rFonts w:hint="eastAsia" w:ascii="仿宋_GB2312" w:hAnsi="宋体" w:eastAsia="仿宋_GB2312" w:cs="仿宋_GB2312"/>
          <w:i w:val="0"/>
          <w:caps w:val="0"/>
          <w:color w:val="auto"/>
          <w:spacing w:val="0"/>
          <w:sz w:val="32"/>
          <w:szCs w:val="32"/>
          <w:shd w:val="clear" w:fill="FFFFFF"/>
          <w:lang w:val="en-US" w:eastAsia="zh-CN"/>
        </w:rPr>
        <w:t>2151.86</w:t>
      </w:r>
      <w:r>
        <w:rPr>
          <w:rFonts w:hint="default" w:ascii="仿宋_GB2312" w:hAnsi="宋体" w:eastAsia="仿宋_GB2312" w:cs="仿宋_GB2312"/>
          <w:i w:val="0"/>
          <w:caps w:val="0"/>
          <w:color w:val="auto"/>
          <w:spacing w:val="0"/>
          <w:sz w:val="32"/>
          <w:szCs w:val="32"/>
          <w:shd w:val="clear" w:fill="FFFFFF"/>
        </w:rPr>
        <w:t>万元，</w:t>
      </w:r>
      <w:r>
        <w:rPr>
          <w:rFonts w:hint="eastAsia" w:ascii="仿宋_GB2312" w:hAnsi="宋体" w:eastAsia="仿宋_GB2312" w:cs="仿宋_GB2312"/>
          <w:i w:val="0"/>
          <w:caps w:val="0"/>
          <w:color w:val="auto"/>
          <w:spacing w:val="0"/>
          <w:sz w:val="32"/>
          <w:szCs w:val="32"/>
          <w:shd w:val="clear" w:fill="FFFFFF"/>
          <w:lang w:eastAsia="zh-CN"/>
        </w:rPr>
        <w:t>卫生健康</w:t>
      </w:r>
      <w:r>
        <w:rPr>
          <w:rFonts w:hint="default" w:ascii="仿宋_GB2312" w:hAnsi="宋体" w:eastAsia="仿宋_GB2312" w:cs="仿宋_GB2312"/>
          <w:i w:val="0"/>
          <w:caps w:val="0"/>
          <w:color w:val="auto"/>
          <w:spacing w:val="0"/>
          <w:sz w:val="32"/>
          <w:szCs w:val="32"/>
          <w:shd w:val="clear" w:fill="FFFFFF"/>
        </w:rPr>
        <w:t>支出</w:t>
      </w:r>
      <w:r>
        <w:rPr>
          <w:rFonts w:hint="eastAsia" w:ascii="仿宋_GB2312" w:hAnsi="宋体" w:eastAsia="仿宋_GB2312" w:cs="仿宋_GB2312"/>
          <w:i w:val="0"/>
          <w:caps w:val="0"/>
          <w:color w:val="auto"/>
          <w:spacing w:val="0"/>
          <w:sz w:val="32"/>
          <w:szCs w:val="32"/>
          <w:shd w:val="clear" w:fill="FFFFFF"/>
          <w:lang w:val="en-US" w:eastAsia="zh-CN"/>
        </w:rPr>
        <w:t>8.41</w:t>
      </w:r>
      <w:r>
        <w:rPr>
          <w:rFonts w:hint="default" w:ascii="仿宋_GB2312" w:hAnsi="宋体" w:eastAsia="仿宋_GB2312" w:cs="仿宋_GB2312"/>
          <w:i w:val="0"/>
          <w:caps w:val="0"/>
          <w:color w:val="auto"/>
          <w:spacing w:val="0"/>
          <w:sz w:val="32"/>
          <w:szCs w:val="32"/>
          <w:shd w:val="clear" w:fill="FFFFFF"/>
        </w:rPr>
        <w:t>万元，住房保障支出</w:t>
      </w:r>
      <w:r>
        <w:rPr>
          <w:rFonts w:hint="eastAsia" w:ascii="仿宋_GB2312" w:hAnsi="宋体" w:eastAsia="仿宋_GB2312" w:cs="仿宋_GB2312"/>
          <w:i w:val="0"/>
          <w:caps w:val="0"/>
          <w:color w:val="auto"/>
          <w:spacing w:val="0"/>
          <w:sz w:val="32"/>
          <w:szCs w:val="32"/>
          <w:shd w:val="clear" w:fill="FFFFFF"/>
          <w:lang w:val="en-US" w:eastAsia="zh-CN"/>
        </w:rPr>
        <w:t>16.76</w:t>
      </w:r>
      <w:r>
        <w:rPr>
          <w:rFonts w:hint="default" w:ascii="仿宋_GB2312" w:hAnsi="宋体" w:eastAsia="仿宋_GB2312" w:cs="仿宋_GB2312"/>
          <w:i w:val="0"/>
          <w:caps w:val="0"/>
          <w:color w:val="auto"/>
          <w:spacing w:val="0"/>
          <w:sz w:val="32"/>
          <w:szCs w:val="32"/>
          <w:shd w:val="clear" w:fill="FFFFFF"/>
        </w:rPr>
        <w:t>万元</w:t>
      </w:r>
      <w:r>
        <w:rPr>
          <w:rFonts w:hint="eastAsia" w:ascii="仿宋_GB2312" w:hAnsi="仿宋_GB2312" w:eastAsia="仿宋_GB2312"/>
          <w:color w:val="auto"/>
          <w:sz w:val="32"/>
          <w:szCs w:val="32"/>
        </w:rPr>
        <w:t>。</w:t>
      </w:r>
    </w:p>
    <w:p w14:paraId="38C1D517">
      <w:pPr>
        <w:keepNext w:val="0"/>
        <w:keepLines w:val="0"/>
        <w:pageBreakBefore w:val="0"/>
        <w:numPr>
          <w:ilvl w:val="0"/>
          <w:numId w:val="2"/>
        </w:numPr>
        <w:kinsoku/>
        <w:wordWrap/>
        <w:overflowPunct/>
        <w:topLinePunct w:val="0"/>
        <w:autoSpaceDE/>
        <w:autoSpaceDN/>
        <w:bidi w:val="0"/>
        <w:spacing w:line="560" w:lineRule="exact"/>
        <w:ind w:left="640" w:leftChars="0" w:firstLine="0" w:firstLineChars="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一般公共预算当年拨款具体使用情况</w:t>
      </w:r>
    </w:p>
    <w:p w14:paraId="21D32F5F">
      <w:pPr>
        <w:keepNext w:val="0"/>
        <w:keepLines w:val="0"/>
        <w:pageBreakBefore w:val="0"/>
        <w:numPr>
          <w:ilvl w:val="0"/>
          <w:numId w:val="0"/>
        </w:numPr>
        <w:kinsoku/>
        <w:wordWrap/>
        <w:overflowPunct/>
        <w:topLinePunct w:val="0"/>
        <w:autoSpaceDE/>
        <w:autoSpaceDN/>
        <w:bidi w:val="0"/>
        <w:spacing w:line="560" w:lineRule="exac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highlight w:val="none"/>
          <w:lang w:val="en-US" w:eastAsia="zh-CN"/>
        </w:rPr>
        <w:t>一般公共服务支出</w:t>
      </w:r>
      <w:r>
        <w:rPr>
          <w:rFonts w:hint="eastAsia" w:ascii="仿宋_GB2312" w:hAnsi="仿宋_GB2312" w:eastAsia="仿宋_GB2312"/>
          <w:color w:val="auto"/>
          <w:sz w:val="32"/>
          <w:szCs w:val="32"/>
          <w:highlight w:val="none"/>
        </w:rPr>
        <w:t>（类）</w:t>
      </w:r>
      <w:r>
        <w:rPr>
          <w:rFonts w:hint="eastAsia" w:ascii="仿宋_GB2312" w:hAnsi="仿宋_GB2312" w:eastAsia="仿宋_GB2312"/>
          <w:color w:val="auto"/>
          <w:sz w:val="32"/>
          <w:szCs w:val="32"/>
          <w:highlight w:val="none"/>
          <w:lang w:val="en-US" w:eastAsia="zh-CN"/>
        </w:rPr>
        <w:t>组织事务</w:t>
      </w:r>
      <w:r>
        <w:rPr>
          <w:rFonts w:hint="eastAsia" w:ascii="仿宋_GB2312" w:hAnsi="仿宋_GB2312" w:eastAsia="仿宋_GB2312"/>
          <w:color w:val="auto"/>
          <w:sz w:val="32"/>
          <w:szCs w:val="32"/>
          <w:highlight w:val="none"/>
        </w:rPr>
        <w:t>支出（款）</w:t>
      </w:r>
      <w:r>
        <w:rPr>
          <w:rFonts w:hint="eastAsia" w:ascii="仿宋_GB2312" w:hAnsi="仿宋_GB2312" w:eastAsia="仿宋_GB2312"/>
          <w:color w:val="auto"/>
          <w:sz w:val="32"/>
          <w:szCs w:val="32"/>
          <w:highlight w:val="none"/>
          <w:lang w:val="en-US" w:eastAsia="zh-CN"/>
        </w:rPr>
        <w:t>行政运行</w:t>
      </w:r>
      <w:r>
        <w:rPr>
          <w:rFonts w:hint="eastAsia" w:ascii="仿宋_GB2312" w:hAnsi="仿宋_GB2312" w:eastAsia="仿宋_GB2312"/>
          <w:color w:val="auto"/>
          <w:sz w:val="32"/>
          <w:szCs w:val="32"/>
          <w:highlight w:val="none"/>
        </w:rPr>
        <w:t>（项）</w:t>
      </w:r>
      <w:r>
        <w:rPr>
          <w:rFonts w:hint="eastAsia" w:ascii="仿宋_GB2312" w:hAnsi="仿宋_GB2312" w:eastAsia="仿宋_GB2312"/>
          <w:color w:val="auto"/>
          <w:sz w:val="32"/>
          <w:szCs w:val="32"/>
          <w:highlight w:val="none"/>
          <w:lang w:val="en-US" w:eastAsia="zh-CN"/>
        </w:rPr>
        <w:t>2025</w:t>
      </w:r>
      <w:r>
        <w:rPr>
          <w:rFonts w:hint="eastAsia" w:ascii="仿宋_GB2312" w:hAnsi="仿宋_GB2312" w:eastAsia="仿宋_GB2312"/>
          <w:color w:val="auto"/>
          <w:sz w:val="32"/>
          <w:szCs w:val="32"/>
          <w:highlight w:val="none"/>
        </w:rPr>
        <w:t>年预算数为</w:t>
      </w:r>
      <w:r>
        <w:rPr>
          <w:rFonts w:hint="eastAsia" w:ascii="仿宋_GB2312" w:hAnsi="仿宋_GB2312" w:eastAsia="仿宋_GB2312"/>
          <w:color w:val="auto"/>
          <w:sz w:val="32"/>
          <w:szCs w:val="32"/>
          <w:highlight w:val="none"/>
          <w:lang w:val="en-US" w:eastAsia="zh-CN"/>
        </w:rPr>
        <w:t>2.75</w:t>
      </w:r>
      <w:r>
        <w:rPr>
          <w:rFonts w:hint="eastAsia" w:ascii="仿宋_GB2312" w:hAnsi="仿宋_GB2312" w:eastAsia="仿宋_GB2312"/>
          <w:color w:val="auto"/>
          <w:sz w:val="32"/>
          <w:szCs w:val="32"/>
          <w:highlight w:val="none"/>
        </w:rPr>
        <w:t>万元，主要用于：</w:t>
      </w:r>
      <w:r>
        <w:rPr>
          <w:rFonts w:hint="eastAsia" w:ascii="仿宋_GB2312" w:hAnsi="仿宋_GB2312" w:eastAsia="仿宋_GB2312"/>
          <w:color w:val="auto"/>
          <w:sz w:val="32"/>
          <w:szCs w:val="32"/>
          <w:highlight w:val="none"/>
          <w:lang w:val="en-US" w:eastAsia="zh-CN"/>
        </w:rPr>
        <w:t>党建业务</w:t>
      </w:r>
      <w:r>
        <w:rPr>
          <w:rFonts w:hint="eastAsia" w:ascii="仿宋_GB2312" w:hAnsi="仿宋_GB2312" w:eastAsia="仿宋_GB2312"/>
          <w:color w:val="auto"/>
          <w:sz w:val="32"/>
          <w:szCs w:val="32"/>
          <w:highlight w:val="none"/>
        </w:rPr>
        <w:t>的支出。</w:t>
      </w:r>
    </w:p>
    <w:p w14:paraId="6649BAF8">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社会保障和就业支出（类）其他社会保障和就业支出（款）就业</w:t>
      </w:r>
      <w:r>
        <w:rPr>
          <w:rFonts w:hint="eastAsia" w:ascii="仿宋_GB2312" w:hAnsi="仿宋_GB2312" w:eastAsia="仿宋_GB2312"/>
          <w:color w:val="auto"/>
          <w:sz w:val="32"/>
          <w:szCs w:val="32"/>
          <w:lang w:val="en-US" w:eastAsia="zh-CN"/>
        </w:rPr>
        <w:t>管理事务</w:t>
      </w:r>
      <w:r>
        <w:rPr>
          <w:rFonts w:hint="eastAsia" w:ascii="仿宋_GB2312" w:hAnsi="仿宋_GB2312" w:eastAsia="仿宋_GB2312"/>
          <w:color w:val="auto"/>
          <w:sz w:val="32"/>
          <w:szCs w:val="32"/>
        </w:rPr>
        <w:t>支出（项）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8.00</w:t>
      </w:r>
      <w:r>
        <w:rPr>
          <w:rFonts w:hint="eastAsia" w:ascii="仿宋_GB2312" w:hAnsi="仿宋_GB2312" w:eastAsia="仿宋_GB2312"/>
          <w:color w:val="auto"/>
          <w:sz w:val="32"/>
          <w:szCs w:val="32"/>
        </w:rPr>
        <w:t>万元，主要用于：主要用于：</w:t>
      </w:r>
      <w:r>
        <w:rPr>
          <w:rFonts w:hint="eastAsia" w:ascii="仿宋_GB2312" w:hAnsi="仿宋_GB2312" w:eastAsia="仿宋_GB2312"/>
          <w:color w:val="auto"/>
          <w:sz w:val="32"/>
          <w:szCs w:val="32"/>
          <w:lang w:val="en-US" w:eastAsia="zh-CN"/>
        </w:rPr>
        <w:t>公益性岗位失业志愿兵伤残军人岗位补贴</w:t>
      </w:r>
      <w:r>
        <w:rPr>
          <w:rFonts w:hint="eastAsia" w:ascii="仿宋_GB2312" w:hAnsi="仿宋_GB2312" w:eastAsia="仿宋_GB2312"/>
          <w:color w:val="auto"/>
          <w:sz w:val="32"/>
          <w:szCs w:val="32"/>
        </w:rPr>
        <w:t>的支出。</w:t>
      </w:r>
    </w:p>
    <w:p w14:paraId="5E8C499B">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.社会保障和就业支出（类）行政事业单位离退休（款）机关事业单位基本养老保险缴费支出（项）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20.05</w:t>
      </w:r>
      <w:r>
        <w:rPr>
          <w:rFonts w:hint="eastAsia" w:ascii="仿宋_GB2312" w:hAnsi="仿宋_GB2312" w:eastAsia="仿宋_GB2312"/>
          <w:color w:val="auto"/>
          <w:sz w:val="32"/>
          <w:szCs w:val="32"/>
        </w:rPr>
        <w:t>万元，主要用于：机关人员养老保险缴费支出。</w:t>
      </w:r>
    </w:p>
    <w:p w14:paraId="6266A3C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.社会保障和就业支出（类）行政事业单位离退休（款）机关事业单位职业年金缴费支出（项）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10.03</w:t>
      </w:r>
      <w:r>
        <w:rPr>
          <w:rFonts w:hint="eastAsia" w:ascii="仿宋_GB2312" w:hAnsi="仿宋_GB2312" w:eastAsia="仿宋_GB2312"/>
          <w:color w:val="auto"/>
          <w:sz w:val="32"/>
          <w:szCs w:val="32"/>
        </w:rPr>
        <w:t>万元，主要用于：机关人员职业年金缴费支出。</w:t>
      </w:r>
    </w:p>
    <w:p w14:paraId="52F07622">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val="en-US" w:eastAsia="zh-CN"/>
        </w:rPr>
        <w:t>退役军</w:t>
      </w:r>
      <w:r>
        <w:rPr>
          <w:rFonts w:hint="eastAsia" w:ascii="仿宋_GB2312" w:hAnsi="仿宋_GB2312" w:eastAsia="仿宋_GB2312"/>
          <w:color w:val="auto"/>
          <w:sz w:val="32"/>
          <w:szCs w:val="32"/>
        </w:rPr>
        <w:t>人事业（款）</w:t>
      </w:r>
      <w:r>
        <w:rPr>
          <w:rFonts w:hint="eastAsia" w:ascii="仿宋_GB2312" w:hAnsi="仿宋_GB2312" w:eastAsia="仿宋_GB2312"/>
          <w:color w:val="auto"/>
          <w:sz w:val="32"/>
          <w:szCs w:val="32"/>
          <w:lang w:val="en-US" w:eastAsia="zh-CN"/>
        </w:rPr>
        <w:t>死亡抚恤</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伤残军人、三属人员抚恤</w:t>
      </w:r>
      <w:r>
        <w:rPr>
          <w:rFonts w:hint="eastAsia" w:ascii="仿宋_GB2312" w:hAnsi="仿宋_GB2312" w:eastAsia="仿宋_GB2312"/>
          <w:color w:val="auto"/>
          <w:sz w:val="32"/>
          <w:szCs w:val="32"/>
        </w:rPr>
        <w:t>方面的支出。</w:t>
      </w:r>
    </w:p>
    <w:p w14:paraId="1AD4289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val="en-US" w:eastAsia="zh-CN"/>
        </w:rPr>
        <w:t>退役军</w:t>
      </w:r>
      <w:r>
        <w:rPr>
          <w:rFonts w:hint="eastAsia" w:ascii="仿宋_GB2312" w:hAnsi="仿宋_GB2312" w:eastAsia="仿宋_GB2312"/>
          <w:color w:val="auto"/>
          <w:sz w:val="32"/>
          <w:szCs w:val="32"/>
        </w:rPr>
        <w:t>人事业（款）</w:t>
      </w:r>
      <w:r>
        <w:rPr>
          <w:rFonts w:hint="eastAsia" w:ascii="仿宋_GB2312" w:hAnsi="仿宋_GB2312" w:eastAsia="仿宋_GB2312"/>
          <w:color w:val="auto"/>
          <w:sz w:val="32"/>
          <w:szCs w:val="32"/>
          <w:lang w:val="en-US" w:eastAsia="zh-CN"/>
        </w:rPr>
        <w:t>伤残抚恤</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75</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伤残军人、三属人员抚恤</w:t>
      </w:r>
      <w:r>
        <w:rPr>
          <w:rFonts w:hint="eastAsia" w:ascii="仿宋_GB2312" w:hAnsi="仿宋_GB2312" w:eastAsia="仿宋_GB2312"/>
          <w:color w:val="auto"/>
          <w:sz w:val="32"/>
          <w:szCs w:val="32"/>
        </w:rPr>
        <w:t xml:space="preserve">方面的支出。 </w:t>
      </w:r>
    </w:p>
    <w:p w14:paraId="594B649D">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7</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eastAsia="zh-CN"/>
        </w:rPr>
        <w:t>退役军人事业</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val="en-US" w:eastAsia="zh-CN"/>
        </w:rPr>
        <w:t>在乡复员军人补助</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246.92</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在乡复员军人、带病回乡退役军人、参战参试人员补助</w:t>
      </w:r>
      <w:r>
        <w:rPr>
          <w:rFonts w:hint="eastAsia" w:ascii="仿宋_GB2312" w:hAnsi="仿宋_GB2312" w:eastAsia="仿宋_GB2312"/>
          <w:color w:val="auto"/>
          <w:sz w:val="32"/>
          <w:szCs w:val="32"/>
        </w:rPr>
        <w:t>等方面的支出。</w:t>
      </w:r>
    </w:p>
    <w:p w14:paraId="7478A20F">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8.</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eastAsia="zh-CN"/>
        </w:rPr>
        <w:t>退役军人事业</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val="en-US" w:eastAsia="zh-CN"/>
        </w:rPr>
        <w:t>退役安置</w:t>
      </w:r>
      <w:r>
        <w:rPr>
          <w:rFonts w:hint="eastAsia" w:ascii="仿宋_GB2312" w:hAnsi="仿宋_GB2312" w:eastAsia="仿宋_GB2312"/>
          <w:color w:val="auto"/>
          <w:sz w:val="32"/>
          <w:szCs w:val="32"/>
        </w:rPr>
        <w:t>支出（项）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305</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退役士兵地方性一次性经济补助</w:t>
      </w:r>
      <w:r>
        <w:rPr>
          <w:rFonts w:hint="eastAsia" w:ascii="仿宋_GB2312" w:hAnsi="仿宋_GB2312" w:eastAsia="仿宋_GB2312"/>
          <w:color w:val="auto"/>
          <w:sz w:val="32"/>
          <w:szCs w:val="32"/>
        </w:rPr>
        <w:t>方面的支出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退役士兵安置服务等</w:t>
      </w:r>
      <w:r>
        <w:rPr>
          <w:rFonts w:hint="eastAsia" w:ascii="仿宋_GB2312" w:hAnsi="仿宋_GB2312" w:eastAsia="仿宋_GB2312"/>
          <w:color w:val="auto"/>
          <w:sz w:val="32"/>
          <w:szCs w:val="32"/>
        </w:rPr>
        <w:t>。</w:t>
      </w:r>
    </w:p>
    <w:p w14:paraId="49BAEDA2">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eastAsia="仿宋_GB2312"/>
          <w:lang w:val="en-US" w:eastAsia="zh-CN"/>
        </w:rPr>
      </w:pPr>
      <w:r>
        <w:rPr>
          <w:rFonts w:hint="eastAsia" w:hAnsi="仿宋_GB2312"/>
          <w:color w:val="auto"/>
          <w:sz w:val="32"/>
          <w:szCs w:val="32"/>
          <w:lang w:val="en-US" w:eastAsia="zh-CN"/>
        </w:rPr>
        <w:t>9.</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eastAsia="zh-CN"/>
        </w:rPr>
        <w:t>退役军人事业</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val="en-US" w:eastAsia="zh-CN"/>
        </w:rPr>
        <w:t>军队转业干部安置</w:t>
      </w:r>
      <w:r>
        <w:rPr>
          <w:rFonts w:hint="eastAsia" w:ascii="仿宋_GB2312" w:hAnsi="仿宋_GB2312" w:eastAsia="仿宋_GB2312"/>
          <w:color w:val="auto"/>
          <w:sz w:val="32"/>
          <w:szCs w:val="32"/>
        </w:rPr>
        <w:t>支出（项）</w:t>
      </w:r>
      <w:r>
        <w:rPr>
          <w:rFonts w:hint="eastAsia" w:ascii="仿宋_GB2312" w:hAnsi="仿宋_GB2312" w:eastAsia="仿宋_GB2312"/>
          <w:color w:val="auto"/>
          <w:sz w:val="32"/>
          <w:szCs w:val="32"/>
          <w:lang w:val="en-US" w:eastAsia="zh-CN"/>
        </w:rPr>
        <w:t>202</w:t>
      </w:r>
      <w:r>
        <w:rPr>
          <w:rFonts w:hint="eastAsia" w:hAnsi="仿宋_GB2312"/>
          <w:color w:val="auto"/>
          <w:sz w:val="32"/>
          <w:szCs w:val="32"/>
          <w:lang w:val="en-US" w:eastAsia="zh-CN"/>
        </w:rPr>
        <w:t>5</w:t>
      </w:r>
      <w:r>
        <w:rPr>
          <w:rFonts w:hint="eastAsia" w:ascii="仿宋_GB2312" w:hAnsi="仿宋_GB2312" w:eastAsia="仿宋_GB2312"/>
          <w:color w:val="auto"/>
          <w:sz w:val="32"/>
          <w:szCs w:val="32"/>
        </w:rPr>
        <w:t>年预算数为</w:t>
      </w:r>
      <w:r>
        <w:rPr>
          <w:rFonts w:hint="eastAsia" w:hAnsi="仿宋_GB2312"/>
          <w:color w:val="auto"/>
          <w:sz w:val="32"/>
          <w:szCs w:val="32"/>
          <w:lang w:val="en-US" w:eastAsia="zh-CN"/>
        </w:rPr>
        <w:t>49.9</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军队转业干部安置、解困资金、体检、慰问等补助</w:t>
      </w:r>
      <w:r>
        <w:rPr>
          <w:rFonts w:hint="eastAsia" w:ascii="仿宋_GB2312" w:hAnsi="仿宋_GB2312" w:eastAsia="仿宋_GB2312"/>
          <w:color w:val="auto"/>
          <w:sz w:val="32"/>
          <w:szCs w:val="32"/>
        </w:rPr>
        <w:t>方面的支出。</w:t>
      </w:r>
    </w:p>
    <w:p w14:paraId="29E369E2">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10.</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val="en-US" w:eastAsia="zh-CN"/>
        </w:rPr>
        <w:t>退役军人事业</w:t>
      </w:r>
      <w:r>
        <w:rPr>
          <w:rFonts w:hint="eastAsia" w:ascii="仿宋_GB2312" w:hAnsi="仿宋_GB2312" w:eastAsia="仿宋_GB2312"/>
          <w:color w:val="auto"/>
          <w:sz w:val="32"/>
          <w:szCs w:val="32"/>
        </w:rPr>
        <w:t>（款）行政运行（项）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91.23</w:t>
      </w:r>
      <w:r>
        <w:rPr>
          <w:rFonts w:hint="eastAsia" w:ascii="仿宋_GB2312" w:hAnsi="仿宋_GB2312" w:eastAsia="仿宋_GB2312"/>
          <w:color w:val="auto"/>
          <w:sz w:val="32"/>
          <w:szCs w:val="32"/>
        </w:rPr>
        <w:t>万元，主要用于：人员工资，保障机关日常运行等方面的经费支出。</w:t>
      </w:r>
    </w:p>
    <w:p w14:paraId="3B9FA64F">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hAnsi="仿宋_GB2312"/>
          <w:color w:val="auto"/>
          <w:sz w:val="32"/>
          <w:szCs w:val="32"/>
          <w:lang w:val="en-US" w:eastAsia="zh-CN"/>
        </w:rPr>
      </w:pPr>
      <w:r>
        <w:rPr>
          <w:rFonts w:hint="eastAsia" w:hAnsi="仿宋_GB2312"/>
          <w:color w:val="auto"/>
          <w:sz w:val="32"/>
          <w:szCs w:val="32"/>
          <w:lang w:val="en-US" w:eastAsia="zh-CN"/>
        </w:rPr>
        <w:t>11.</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eastAsia="zh-CN"/>
        </w:rPr>
        <w:t>退役军人事业</w:t>
      </w:r>
      <w:r>
        <w:rPr>
          <w:rFonts w:hint="eastAsia" w:ascii="仿宋_GB2312" w:hAnsi="仿宋_GB2312" w:eastAsia="仿宋_GB2312"/>
          <w:color w:val="auto"/>
          <w:sz w:val="32"/>
          <w:szCs w:val="32"/>
        </w:rPr>
        <w:t>（款）</w:t>
      </w:r>
      <w:r>
        <w:rPr>
          <w:rFonts w:hint="eastAsia" w:hAnsi="仿宋_GB2312"/>
          <w:color w:val="auto"/>
          <w:sz w:val="32"/>
          <w:szCs w:val="32"/>
          <w:lang w:val="en-US" w:eastAsia="zh-CN"/>
        </w:rPr>
        <w:t>拥军优抚</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val="en-US" w:eastAsia="zh-CN"/>
        </w:rPr>
        <w:t>202</w:t>
      </w:r>
      <w:r>
        <w:rPr>
          <w:rFonts w:hint="eastAsia" w:hAnsi="仿宋_GB2312"/>
          <w:color w:val="auto"/>
          <w:sz w:val="32"/>
          <w:szCs w:val="32"/>
          <w:lang w:val="en-US" w:eastAsia="zh-CN"/>
        </w:rPr>
        <w:t>5</w:t>
      </w:r>
      <w:r>
        <w:rPr>
          <w:rFonts w:hint="eastAsia" w:ascii="仿宋_GB2312" w:hAnsi="仿宋_GB2312" w:eastAsia="仿宋_GB2312"/>
          <w:color w:val="auto"/>
          <w:sz w:val="32"/>
          <w:szCs w:val="32"/>
        </w:rPr>
        <w:t>年预算数为</w:t>
      </w:r>
      <w:r>
        <w:rPr>
          <w:rFonts w:hint="eastAsia" w:hAnsi="仿宋_GB2312"/>
          <w:color w:val="auto"/>
          <w:sz w:val="32"/>
          <w:szCs w:val="32"/>
          <w:lang w:val="en-US" w:eastAsia="zh-CN"/>
        </w:rPr>
        <w:t>1200.91</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慰问驻军单位、全区退役军人、现役军人及家属全覆盖慰问、大学生入伍奖励金等</w:t>
      </w:r>
      <w:r>
        <w:rPr>
          <w:rFonts w:hint="eastAsia" w:ascii="仿宋_GB2312" w:hAnsi="仿宋_GB2312" w:eastAsia="仿宋_GB2312"/>
          <w:color w:val="auto"/>
          <w:sz w:val="32"/>
          <w:szCs w:val="32"/>
        </w:rPr>
        <w:t>方面的支出。</w:t>
      </w:r>
    </w:p>
    <w:p w14:paraId="3083C136">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hAnsi="仿宋_GB2312"/>
          <w:color w:val="auto"/>
          <w:sz w:val="32"/>
          <w:szCs w:val="32"/>
          <w:lang w:val="en-US" w:eastAsia="zh-CN"/>
        </w:rPr>
        <w:t>12.</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val="en-US" w:eastAsia="zh-CN"/>
        </w:rPr>
        <w:t>退役军人事业</w:t>
      </w:r>
      <w:r>
        <w:rPr>
          <w:rFonts w:hint="eastAsia" w:ascii="仿宋_GB2312" w:hAnsi="仿宋_GB2312" w:eastAsia="仿宋_GB2312"/>
          <w:color w:val="auto"/>
          <w:sz w:val="32"/>
          <w:szCs w:val="32"/>
        </w:rPr>
        <w:t>（款）</w:t>
      </w:r>
      <w:r>
        <w:rPr>
          <w:rFonts w:hint="eastAsia" w:hAnsi="仿宋_GB2312"/>
          <w:color w:val="auto"/>
          <w:sz w:val="32"/>
          <w:szCs w:val="32"/>
          <w:lang w:val="en-US" w:eastAsia="zh-CN"/>
        </w:rPr>
        <w:t>信息化建设</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hAnsi="仿宋_GB2312"/>
          <w:color w:val="auto"/>
          <w:sz w:val="32"/>
          <w:szCs w:val="32"/>
          <w:lang w:val="en-US" w:eastAsia="zh-CN"/>
        </w:rPr>
        <w:t>5</w:t>
      </w:r>
      <w:r>
        <w:rPr>
          <w:rFonts w:hint="eastAsia" w:ascii="仿宋_GB2312" w:hAnsi="仿宋_GB2312" w:eastAsia="仿宋_GB2312"/>
          <w:color w:val="auto"/>
          <w:sz w:val="32"/>
          <w:szCs w:val="32"/>
        </w:rPr>
        <w:t>万元，主要用于：</w:t>
      </w:r>
      <w:r>
        <w:rPr>
          <w:rFonts w:hint="eastAsia" w:hAnsi="仿宋_GB2312"/>
          <w:color w:val="auto"/>
          <w:sz w:val="32"/>
          <w:szCs w:val="32"/>
          <w:lang w:val="en-US" w:eastAsia="zh-CN"/>
        </w:rPr>
        <w:t>退役军人事务工作相关系统运行、维护等产生服务费和采购开支等</w:t>
      </w:r>
      <w:r>
        <w:rPr>
          <w:rFonts w:hint="eastAsia" w:ascii="仿宋_GB2312" w:hAnsi="仿宋_GB2312" w:eastAsia="仿宋_GB2312"/>
          <w:color w:val="auto"/>
          <w:sz w:val="32"/>
          <w:szCs w:val="32"/>
        </w:rPr>
        <w:t>。</w:t>
      </w:r>
    </w:p>
    <w:p w14:paraId="7C7E835D">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hAnsi="仿宋_GB2312"/>
          <w:color w:val="auto"/>
          <w:sz w:val="32"/>
          <w:szCs w:val="32"/>
          <w:lang w:val="en-US" w:eastAsia="zh-CN"/>
        </w:rPr>
        <w:t>13.</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val="en-US" w:eastAsia="zh-CN"/>
        </w:rPr>
        <w:t>退役军人事业</w:t>
      </w:r>
      <w:r>
        <w:rPr>
          <w:rFonts w:hint="eastAsia" w:ascii="仿宋_GB2312" w:hAnsi="仿宋_GB2312" w:eastAsia="仿宋_GB2312"/>
          <w:color w:val="auto"/>
          <w:sz w:val="32"/>
          <w:szCs w:val="32"/>
        </w:rPr>
        <w:t>（款）</w:t>
      </w:r>
      <w:r>
        <w:rPr>
          <w:rFonts w:hint="eastAsia" w:hAnsi="仿宋_GB2312"/>
          <w:color w:val="auto"/>
          <w:sz w:val="32"/>
          <w:szCs w:val="32"/>
          <w:lang w:val="en-US" w:eastAsia="zh-CN"/>
        </w:rPr>
        <w:t>事业</w:t>
      </w:r>
      <w:r>
        <w:rPr>
          <w:rFonts w:hint="eastAsia" w:ascii="仿宋_GB2312" w:hAnsi="仿宋_GB2312" w:eastAsia="仿宋_GB2312"/>
          <w:color w:val="auto"/>
          <w:sz w:val="32"/>
          <w:szCs w:val="32"/>
        </w:rPr>
        <w:t>运行（项）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hAnsi="仿宋_GB2312"/>
          <w:color w:val="auto"/>
          <w:sz w:val="32"/>
          <w:szCs w:val="32"/>
          <w:lang w:val="en-US" w:eastAsia="zh-CN"/>
        </w:rPr>
        <w:t>83.3</w:t>
      </w:r>
      <w:r>
        <w:rPr>
          <w:rFonts w:hint="eastAsia" w:ascii="仿宋_GB2312" w:hAnsi="仿宋_GB2312" w:eastAsia="仿宋_GB2312"/>
          <w:color w:val="auto"/>
          <w:sz w:val="32"/>
          <w:szCs w:val="32"/>
        </w:rPr>
        <w:t>万元，主要用于：人员工资，保障机关日常运行等方面的经费支出。</w:t>
      </w:r>
    </w:p>
    <w:p w14:paraId="163E9D51">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olor w:val="auto"/>
          <w:sz w:val="32"/>
          <w:szCs w:val="32"/>
        </w:rPr>
      </w:pPr>
      <w:r>
        <w:rPr>
          <w:rFonts w:hint="eastAsia" w:hAnsi="仿宋_GB2312"/>
          <w:color w:val="auto"/>
          <w:sz w:val="32"/>
          <w:szCs w:val="32"/>
          <w:lang w:val="en-US" w:eastAsia="zh-CN"/>
        </w:rPr>
        <w:t>14.</w:t>
      </w:r>
      <w:r>
        <w:rPr>
          <w:rFonts w:hint="eastAsia" w:ascii="仿宋_GB2312" w:hAnsi="仿宋_GB2312" w:eastAsia="仿宋_GB2312"/>
          <w:color w:val="auto"/>
          <w:sz w:val="32"/>
          <w:szCs w:val="32"/>
        </w:rPr>
        <w:t>社会保障和就业支出（类）</w:t>
      </w:r>
      <w:r>
        <w:rPr>
          <w:rFonts w:hint="eastAsia" w:ascii="仿宋_GB2312" w:hAnsi="仿宋_GB2312" w:eastAsia="仿宋_GB2312"/>
          <w:color w:val="auto"/>
          <w:sz w:val="32"/>
          <w:szCs w:val="32"/>
          <w:lang w:eastAsia="zh-CN"/>
        </w:rPr>
        <w:t>退役军人事业</w:t>
      </w:r>
      <w:r>
        <w:rPr>
          <w:rFonts w:hint="eastAsia" w:ascii="仿宋_GB2312" w:hAnsi="仿宋_GB2312" w:eastAsia="仿宋_GB2312"/>
          <w:color w:val="auto"/>
          <w:sz w:val="32"/>
          <w:szCs w:val="32"/>
        </w:rPr>
        <w:t>（款）</w:t>
      </w:r>
      <w:r>
        <w:rPr>
          <w:rFonts w:hint="eastAsia" w:ascii="仿宋_GB2312" w:hAnsi="仿宋_GB2312" w:eastAsia="仿宋_GB2312"/>
          <w:color w:val="auto"/>
          <w:sz w:val="32"/>
          <w:szCs w:val="32"/>
          <w:lang w:val="en-US" w:eastAsia="zh-CN"/>
        </w:rPr>
        <w:t>其他退役军人事务管理支出</w:t>
      </w:r>
      <w:r>
        <w:rPr>
          <w:rFonts w:hint="eastAsia" w:ascii="仿宋_GB2312" w:hAnsi="仿宋_GB2312" w:eastAsia="仿宋_GB2312"/>
          <w:color w:val="auto"/>
          <w:sz w:val="32"/>
          <w:szCs w:val="32"/>
        </w:rPr>
        <w:t>（项）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退役军人管理服务、就业创业服务工作开展、保护英烈纪念设施等</w:t>
      </w:r>
      <w:r>
        <w:rPr>
          <w:rFonts w:hint="eastAsia" w:ascii="仿宋_GB2312" w:hAnsi="仿宋_GB2312" w:eastAsia="仿宋_GB2312"/>
          <w:color w:val="auto"/>
          <w:sz w:val="32"/>
          <w:szCs w:val="32"/>
        </w:rPr>
        <w:t>方面的支出。</w:t>
      </w:r>
    </w:p>
    <w:p w14:paraId="7E50DA12">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olor w:val="auto"/>
          <w:sz w:val="32"/>
          <w:szCs w:val="32"/>
          <w:highlight w:val="none"/>
        </w:rPr>
      </w:pPr>
      <w:r>
        <w:rPr>
          <w:rFonts w:hint="eastAsia" w:hAnsi="仿宋_GB2312"/>
          <w:color w:val="auto"/>
          <w:sz w:val="32"/>
          <w:szCs w:val="32"/>
          <w:lang w:val="en-US" w:eastAsia="zh-CN"/>
        </w:rPr>
        <w:t>15.</w:t>
      </w:r>
      <w:r>
        <w:rPr>
          <w:rFonts w:hint="eastAsia" w:ascii="仿宋_GB2312" w:hAnsi="仿宋_GB2312" w:eastAsia="仿宋_GB2312"/>
          <w:color w:val="auto"/>
          <w:sz w:val="32"/>
          <w:szCs w:val="32"/>
          <w:highlight w:val="none"/>
          <w:lang w:val="en-US" w:eastAsia="zh-CN"/>
        </w:rPr>
        <w:t>财政代缴社会保险费支出</w:t>
      </w:r>
      <w:r>
        <w:rPr>
          <w:rFonts w:hint="eastAsia" w:ascii="仿宋_GB2312" w:hAnsi="仿宋_GB2312" w:eastAsia="仿宋_GB2312"/>
          <w:color w:val="auto"/>
          <w:sz w:val="32"/>
          <w:szCs w:val="32"/>
          <w:highlight w:val="none"/>
        </w:rPr>
        <w:t>（类）</w:t>
      </w:r>
      <w:r>
        <w:rPr>
          <w:rFonts w:hint="eastAsia" w:ascii="仿宋_GB2312" w:hAnsi="仿宋_GB2312" w:eastAsia="仿宋_GB2312"/>
          <w:color w:val="auto"/>
          <w:sz w:val="32"/>
          <w:szCs w:val="32"/>
          <w:highlight w:val="none"/>
          <w:lang w:val="en-US" w:eastAsia="zh-CN"/>
        </w:rPr>
        <w:t>财政代缴其他社会保险费支出</w:t>
      </w:r>
      <w:r>
        <w:rPr>
          <w:rFonts w:hint="eastAsia" w:ascii="仿宋_GB2312" w:hAnsi="仿宋_GB2312" w:eastAsia="仿宋_GB2312"/>
          <w:color w:val="auto"/>
          <w:sz w:val="32"/>
          <w:szCs w:val="32"/>
          <w:highlight w:val="none"/>
        </w:rPr>
        <w:t>（款）</w:t>
      </w:r>
      <w:r>
        <w:rPr>
          <w:rFonts w:hint="eastAsia" w:ascii="仿宋_GB2312" w:hAnsi="仿宋_GB2312" w:eastAsia="仿宋_GB2312"/>
          <w:color w:val="auto"/>
          <w:sz w:val="32"/>
          <w:szCs w:val="32"/>
          <w:highlight w:val="none"/>
          <w:lang w:val="en-US" w:eastAsia="zh-CN"/>
        </w:rPr>
        <w:t>部分退役士兵社保接续</w:t>
      </w:r>
      <w:r>
        <w:rPr>
          <w:rFonts w:hint="eastAsia" w:ascii="仿宋_GB2312" w:hAnsi="仿宋_GB2312" w:eastAsia="仿宋_GB2312"/>
          <w:color w:val="auto"/>
          <w:sz w:val="32"/>
          <w:szCs w:val="32"/>
          <w:highlight w:val="none"/>
        </w:rPr>
        <w:t>支出（项）</w:t>
      </w:r>
      <w:r>
        <w:rPr>
          <w:rFonts w:hint="eastAsia" w:ascii="仿宋_GB2312" w:hAnsi="仿宋_GB2312" w:eastAsia="仿宋_GB2312"/>
          <w:color w:val="auto"/>
          <w:sz w:val="32"/>
          <w:szCs w:val="32"/>
          <w:highlight w:val="none"/>
          <w:lang w:val="en-US" w:eastAsia="zh-CN"/>
        </w:rPr>
        <w:t>2025</w:t>
      </w:r>
      <w:r>
        <w:rPr>
          <w:rFonts w:hint="eastAsia" w:ascii="仿宋_GB2312" w:hAnsi="仿宋_GB2312" w:eastAsia="仿宋_GB2312"/>
          <w:color w:val="auto"/>
          <w:sz w:val="32"/>
          <w:szCs w:val="32"/>
          <w:highlight w:val="none"/>
        </w:rPr>
        <w:t>年预算数为</w:t>
      </w:r>
      <w:r>
        <w:rPr>
          <w:rFonts w:hint="eastAsia" w:ascii="仿宋_GB2312" w:hAnsi="仿宋_GB2312" w:eastAsia="仿宋_GB2312"/>
          <w:color w:val="auto"/>
          <w:sz w:val="32"/>
          <w:szCs w:val="32"/>
          <w:highlight w:val="none"/>
          <w:lang w:val="en-US" w:eastAsia="zh-CN"/>
        </w:rPr>
        <w:t>10</w:t>
      </w:r>
      <w:r>
        <w:rPr>
          <w:rFonts w:hint="eastAsia" w:ascii="仿宋_GB2312" w:hAnsi="仿宋_GB2312" w:eastAsia="仿宋_GB2312"/>
          <w:color w:val="auto"/>
          <w:sz w:val="32"/>
          <w:szCs w:val="32"/>
          <w:highlight w:val="none"/>
        </w:rPr>
        <w:t>万元，主要用于：</w:t>
      </w:r>
      <w:r>
        <w:rPr>
          <w:rFonts w:hint="eastAsia" w:ascii="仿宋_GB2312" w:hAnsi="仿宋_GB2312" w:eastAsia="仿宋_GB2312"/>
          <w:color w:val="auto"/>
          <w:sz w:val="32"/>
          <w:szCs w:val="32"/>
          <w:highlight w:val="none"/>
          <w:lang w:val="en-US" w:eastAsia="zh-CN"/>
        </w:rPr>
        <w:t>缴纳符合政策的退役士兵社保接续购买</w:t>
      </w:r>
      <w:r>
        <w:rPr>
          <w:rFonts w:hint="eastAsia" w:ascii="仿宋_GB2312" w:hAnsi="仿宋_GB2312" w:eastAsia="仿宋_GB2312"/>
          <w:color w:val="auto"/>
          <w:sz w:val="32"/>
          <w:szCs w:val="32"/>
          <w:highlight w:val="none"/>
        </w:rPr>
        <w:t>方面的支出。</w:t>
      </w:r>
    </w:p>
    <w:p w14:paraId="6EB07D0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16.</w:t>
      </w:r>
      <w:r>
        <w:rPr>
          <w:rFonts w:hint="eastAsia" w:ascii="仿宋_GB2312" w:hAnsi="仿宋_GB2312" w:eastAsia="仿宋_GB2312"/>
          <w:color w:val="auto"/>
          <w:sz w:val="32"/>
          <w:szCs w:val="32"/>
        </w:rPr>
        <w:t xml:space="preserve"> 社会保障和就业支出（类）其他社会保障和就业支出（款）其他社会保障和就业支出（项）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0.53</w:t>
      </w:r>
      <w:r>
        <w:rPr>
          <w:rFonts w:hint="eastAsia" w:ascii="仿宋_GB2312" w:hAnsi="仿宋_GB2312" w:eastAsia="仿宋_GB2312"/>
          <w:color w:val="auto"/>
          <w:sz w:val="32"/>
          <w:szCs w:val="32"/>
        </w:rPr>
        <w:t>万元，主要用于：主要用于：职工失业保险和工伤保险缴费的支出。</w:t>
      </w:r>
    </w:p>
    <w:p w14:paraId="7AA6AEA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hAnsi="仿宋_GB2312"/>
          <w:color w:val="auto"/>
          <w:sz w:val="32"/>
          <w:szCs w:val="32"/>
          <w:lang w:val="en-US" w:eastAsia="zh-CN"/>
        </w:rPr>
        <w:t>17.</w:t>
      </w:r>
      <w:r>
        <w:rPr>
          <w:rFonts w:hint="eastAsia" w:ascii="仿宋_GB2312" w:hAnsi="仿宋_GB2312" w:eastAsia="仿宋_GB2312"/>
          <w:color w:val="auto"/>
          <w:sz w:val="32"/>
          <w:szCs w:val="32"/>
        </w:rPr>
        <w:t>卫生健康支出（类）行政事业单位医疗（款）行政单位医疗（项）</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年预算数为</w:t>
      </w:r>
      <w:r>
        <w:rPr>
          <w:rFonts w:hint="eastAsia" w:ascii="仿宋_GB2312" w:hAnsi="仿宋_GB2312" w:eastAsia="仿宋_GB2312"/>
          <w:color w:val="auto"/>
          <w:sz w:val="32"/>
          <w:szCs w:val="32"/>
          <w:lang w:val="en-US" w:eastAsia="zh-CN"/>
        </w:rPr>
        <w:t>4.11</w:t>
      </w:r>
      <w:r>
        <w:rPr>
          <w:rFonts w:hint="eastAsia" w:ascii="仿宋_GB2312" w:hAnsi="仿宋_GB2312" w:eastAsia="仿宋_GB2312"/>
          <w:color w:val="auto"/>
          <w:sz w:val="32"/>
          <w:szCs w:val="32"/>
        </w:rPr>
        <w:t>万元，主要用于：机关人员医疗保险缴费的支出。</w:t>
      </w:r>
    </w:p>
    <w:p w14:paraId="4E299967">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hAnsi="仿宋_GB2312"/>
          <w:color w:val="auto"/>
          <w:sz w:val="32"/>
          <w:szCs w:val="32"/>
          <w:lang w:eastAsia="zh-CN"/>
        </w:rPr>
      </w:pPr>
      <w:r>
        <w:rPr>
          <w:rFonts w:hint="eastAsia" w:ascii="仿宋_GB2312" w:hAnsi="仿宋_GB2312" w:eastAsia="仿宋_GB2312"/>
          <w:color w:val="auto"/>
          <w:sz w:val="32"/>
          <w:szCs w:val="32"/>
        </w:rPr>
        <w:t>1</w:t>
      </w:r>
      <w:r>
        <w:rPr>
          <w:rFonts w:hint="eastAsia" w:hAnsi="仿宋_GB2312"/>
          <w:color w:val="auto"/>
          <w:sz w:val="32"/>
          <w:szCs w:val="32"/>
          <w:lang w:val="en-US" w:eastAsia="zh-CN"/>
        </w:rPr>
        <w:t>8</w:t>
      </w:r>
      <w:r>
        <w:rPr>
          <w:rFonts w:hint="eastAsia" w:ascii="仿宋_GB2312" w:hAnsi="仿宋_GB2312" w:eastAsia="仿宋_GB2312"/>
          <w:color w:val="auto"/>
          <w:sz w:val="32"/>
          <w:szCs w:val="32"/>
        </w:rPr>
        <w:t>.卫生健康支出（类）行政事业单位医疗（款）事业单位医疗（项）</w:t>
      </w:r>
      <w:r>
        <w:rPr>
          <w:rFonts w:hint="eastAsia" w:ascii="仿宋_GB2312" w:hAnsi="仿宋_GB2312" w:eastAsia="仿宋_GB2312"/>
          <w:color w:val="auto"/>
          <w:sz w:val="32"/>
          <w:szCs w:val="32"/>
          <w:lang w:val="en-US" w:eastAsia="zh-CN"/>
        </w:rPr>
        <w:t>202</w:t>
      </w:r>
      <w:r>
        <w:rPr>
          <w:rFonts w:hint="eastAsia" w:hAnsi="仿宋_GB2312"/>
          <w:color w:val="auto"/>
          <w:sz w:val="32"/>
          <w:szCs w:val="32"/>
          <w:lang w:val="en-US" w:eastAsia="zh-CN"/>
        </w:rPr>
        <w:t>5</w:t>
      </w:r>
      <w:r>
        <w:rPr>
          <w:rFonts w:hint="eastAsia" w:ascii="仿宋_GB2312" w:hAnsi="仿宋_GB2312" w:eastAsia="仿宋_GB2312"/>
          <w:color w:val="auto"/>
          <w:sz w:val="32"/>
          <w:szCs w:val="32"/>
        </w:rPr>
        <w:t>年预算数为</w:t>
      </w:r>
      <w:r>
        <w:rPr>
          <w:rFonts w:hint="eastAsia" w:hAnsi="仿宋_GB2312"/>
          <w:color w:val="auto"/>
          <w:sz w:val="32"/>
          <w:szCs w:val="32"/>
          <w:lang w:val="en-US" w:eastAsia="zh-CN"/>
        </w:rPr>
        <w:t>4.29</w:t>
      </w:r>
      <w:r>
        <w:rPr>
          <w:rFonts w:hint="eastAsia" w:ascii="仿宋_GB2312" w:hAnsi="仿宋_GB2312" w:eastAsia="仿宋_GB2312"/>
          <w:color w:val="auto"/>
          <w:sz w:val="32"/>
          <w:szCs w:val="32"/>
        </w:rPr>
        <w:t>万元，主要用于：</w:t>
      </w:r>
      <w:r>
        <w:rPr>
          <w:rFonts w:hint="eastAsia" w:ascii="仿宋_GB2312" w:hAnsi="仿宋_GB2312" w:eastAsia="仿宋_GB2312"/>
          <w:color w:val="auto"/>
          <w:sz w:val="32"/>
          <w:szCs w:val="32"/>
          <w:lang w:val="en-US" w:eastAsia="zh-CN"/>
        </w:rPr>
        <w:t>退役军人服务</w:t>
      </w:r>
      <w:r>
        <w:rPr>
          <w:rFonts w:hint="eastAsia" w:ascii="仿宋_GB2312" w:hAnsi="仿宋_GB2312" w:eastAsia="仿宋_GB2312"/>
          <w:color w:val="auto"/>
          <w:sz w:val="32"/>
          <w:szCs w:val="32"/>
        </w:rPr>
        <w:t>中心人员医疗保险缴费的支出</w:t>
      </w:r>
      <w:r>
        <w:rPr>
          <w:rFonts w:hint="eastAsia" w:hAnsi="仿宋_GB2312"/>
          <w:color w:val="auto"/>
          <w:sz w:val="32"/>
          <w:szCs w:val="32"/>
          <w:lang w:eastAsia="zh-CN"/>
        </w:rPr>
        <w:t>。</w:t>
      </w:r>
    </w:p>
    <w:p w14:paraId="02975D4A">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hAnsi="仿宋_GB2312"/>
          <w:color w:val="auto"/>
          <w:sz w:val="32"/>
          <w:szCs w:val="32"/>
          <w:lang w:val="en-US" w:eastAsia="zh-CN"/>
        </w:rPr>
      </w:pPr>
      <w:r>
        <w:rPr>
          <w:rFonts w:hint="eastAsia" w:hAnsi="仿宋_GB2312"/>
          <w:color w:val="auto"/>
          <w:sz w:val="32"/>
          <w:szCs w:val="32"/>
          <w:lang w:val="en-US" w:eastAsia="zh-CN"/>
        </w:rPr>
        <w:t>19.</w:t>
      </w:r>
      <w:r>
        <w:rPr>
          <w:rFonts w:hint="eastAsia" w:ascii="仿宋_GB2312" w:hAnsi="仿宋_GB2312" w:eastAsia="仿宋_GB2312"/>
          <w:color w:val="auto"/>
          <w:sz w:val="32"/>
          <w:szCs w:val="32"/>
        </w:rPr>
        <w:t>住房保障支出（类）住房改革支出（款）住房公积金（项）</w:t>
      </w:r>
      <w:r>
        <w:rPr>
          <w:rFonts w:hint="eastAsia" w:ascii="仿宋_GB2312" w:hAnsi="仿宋_GB2312" w:eastAsia="仿宋_GB2312"/>
          <w:color w:val="auto"/>
          <w:sz w:val="32"/>
          <w:szCs w:val="32"/>
          <w:lang w:val="en-US" w:eastAsia="zh-CN"/>
        </w:rPr>
        <w:t>202</w:t>
      </w:r>
      <w:r>
        <w:rPr>
          <w:rFonts w:hint="eastAsia" w:hAnsi="仿宋_GB2312"/>
          <w:color w:val="auto"/>
          <w:sz w:val="32"/>
          <w:szCs w:val="32"/>
          <w:lang w:val="en-US" w:eastAsia="zh-CN"/>
        </w:rPr>
        <w:t>5</w:t>
      </w:r>
      <w:r>
        <w:rPr>
          <w:rFonts w:hint="eastAsia" w:ascii="仿宋_GB2312" w:hAnsi="仿宋_GB2312" w:eastAsia="仿宋_GB2312"/>
          <w:color w:val="auto"/>
          <w:sz w:val="32"/>
          <w:szCs w:val="32"/>
        </w:rPr>
        <w:t>年预算数为</w:t>
      </w:r>
      <w:r>
        <w:rPr>
          <w:rFonts w:hint="eastAsia" w:hAnsi="仿宋_GB2312"/>
          <w:color w:val="auto"/>
          <w:sz w:val="32"/>
          <w:szCs w:val="32"/>
          <w:lang w:val="en-US" w:eastAsia="zh-CN"/>
        </w:rPr>
        <w:t>16.76</w:t>
      </w:r>
      <w:r>
        <w:rPr>
          <w:rFonts w:hint="eastAsia" w:ascii="仿宋_GB2312" w:hAnsi="仿宋_GB2312" w:eastAsia="仿宋_GB2312"/>
          <w:color w:val="auto"/>
          <w:sz w:val="32"/>
          <w:szCs w:val="32"/>
        </w:rPr>
        <w:t>万元，主要用于：机关</w:t>
      </w:r>
      <w:r>
        <w:rPr>
          <w:rFonts w:hint="eastAsia" w:ascii="仿宋_GB2312" w:hAnsi="仿宋_GB2312" w:eastAsia="仿宋_GB2312"/>
          <w:color w:val="auto"/>
          <w:sz w:val="32"/>
          <w:szCs w:val="32"/>
          <w:lang w:val="en-US" w:eastAsia="zh-CN"/>
        </w:rPr>
        <w:t>事业</w:t>
      </w:r>
      <w:r>
        <w:rPr>
          <w:rFonts w:hint="eastAsia" w:ascii="仿宋_GB2312" w:hAnsi="仿宋_GB2312" w:eastAsia="仿宋_GB2312"/>
          <w:color w:val="auto"/>
          <w:sz w:val="32"/>
          <w:szCs w:val="32"/>
        </w:rPr>
        <w:t>人员公积金缴费的支出。</w:t>
      </w:r>
    </w:p>
    <w:p w14:paraId="3459E6E5">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olor w:val="auto"/>
          <w:sz w:val="32"/>
          <w:szCs w:val="32"/>
        </w:rPr>
      </w:pPr>
      <w:r>
        <w:rPr>
          <w:rFonts w:hint="eastAsia" w:ascii="黑体" w:hAnsi="黑体" w:eastAsia="黑体" w:cs="黑体"/>
          <w:color w:val="auto"/>
          <w:sz w:val="32"/>
          <w:szCs w:val="32"/>
        </w:rPr>
        <w:t>六、一般公共预算基本支出情况说明</w:t>
      </w:r>
    </w:p>
    <w:p w14:paraId="2F7C1843">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eastAsia="zh-CN"/>
        </w:rPr>
        <w:t>德阳市罗江区退役军人事务局</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年一般公共预算基本支出</w:t>
      </w:r>
      <w:r>
        <w:rPr>
          <w:rFonts w:hint="eastAsia" w:ascii="仿宋_GB2312" w:hAnsi="仿宋_GB2312" w:eastAsia="仿宋_GB2312"/>
          <w:color w:val="auto"/>
          <w:sz w:val="32"/>
          <w:szCs w:val="32"/>
          <w:lang w:val="en-US" w:eastAsia="zh-CN"/>
        </w:rPr>
        <w:t>233.05</w:t>
      </w:r>
      <w:r>
        <w:rPr>
          <w:rFonts w:hint="eastAsia" w:ascii="仿宋_GB2312" w:hAnsi="仿宋_GB2312" w:eastAsia="仿宋_GB2312"/>
          <w:color w:val="auto"/>
          <w:sz w:val="32"/>
          <w:szCs w:val="32"/>
        </w:rPr>
        <w:t>万元，其中：</w:t>
      </w:r>
    </w:p>
    <w:p w14:paraId="17D8B732">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人员经费</w:t>
      </w:r>
      <w:r>
        <w:rPr>
          <w:rFonts w:hint="eastAsia" w:ascii="仿宋_GB2312" w:hAnsi="仿宋_GB2312" w:eastAsia="仿宋_GB2312"/>
          <w:color w:val="auto"/>
          <w:sz w:val="32"/>
          <w:szCs w:val="32"/>
          <w:lang w:val="en-US" w:eastAsia="zh-CN"/>
        </w:rPr>
        <w:t>206.73</w:t>
      </w:r>
      <w:r>
        <w:rPr>
          <w:rFonts w:hint="eastAsia" w:ascii="仿宋_GB2312" w:hAnsi="仿宋_GB2312" w:eastAsia="仿宋_GB2312"/>
          <w:color w:val="auto"/>
          <w:sz w:val="32"/>
          <w:szCs w:val="32"/>
        </w:rPr>
        <w:t>万元，主要包括：基本工资、津贴补贴、奖金、社会保险缴费、绩效工资、机关事业单位基本养老保险缴费、职业年金缴费、其他工资福利支出。</w:t>
      </w:r>
    </w:p>
    <w:p w14:paraId="06B45A68">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公用经费</w:t>
      </w:r>
      <w:r>
        <w:rPr>
          <w:rFonts w:hint="eastAsia" w:ascii="仿宋_GB2312" w:hAnsi="仿宋_GB2312" w:eastAsia="仿宋_GB2312"/>
          <w:color w:val="auto"/>
          <w:sz w:val="32"/>
          <w:szCs w:val="32"/>
          <w:lang w:val="en-US" w:eastAsia="zh-CN"/>
        </w:rPr>
        <w:t>26.32</w:t>
      </w:r>
      <w:r>
        <w:rPr>
          <w:rFonts w:hint="eastAsia" w:ascii="仿宋_GB2312" w:hAnsi="仿宋_GB2312" w:eastAsia="仿宋_GB2312"/>
          <w:color w:val="auto"/>
          <w:sz w:val="32"/>
          <w:szCs w:val="32"/>
        </w:rPr>
        <w:t>万元，主要包括：办公费、印刷费、咨询费、手续费、水电费、邮电费、差旅费、维修（护）费、租赁费、会议费、培训费、劳务费、工会经费、福利费、其他商品和服务支出。</w:t>
      </w:r>
    </w:p>
    <w:p w14:paraId="37440C49">
      <w:pPr>
        <w:keepNext w:val="0"/>
        <w:keepLines w:val="0"/>
        <w:pageBreakBefore w:val="0"/>
        <w:kinsoku/>
        <w:wordWrap/>
        <w:overflowPunct/>
        <w:topLinePunct w:val="0"/>
        <w:autoSpaceDE/>
        <w:autoSpaceDN/>
        <w:bidi w:val="0"/>
        <w:spacing w:line="560" w:lineRule="exact"/>
        <w:ind w:firstLine="480" w:firstLineChars="150"/>
        <w:textAlignment w:val="auto"/>
        <w:rPr>
          <w:rFonts w:ascii="仿宋_GB2312" w:hAnsi="仿宋_GB2312" w:eastAsia="仿宋_GB2312"/>
          <w:color w:val="auto"/>
          <w:sz w:val="32"/>
          <w:szCs w:val="32"/>
        </w:rPr>
      </w:pPr>
      <w:r>
        <w:rPr>
          <w:rFonts w:hint="eastAsia" w:ascii="黑体" w:hAnsi="黑体" w:eastAsia="黑体" w:cs="黑体"/>
          <w:color w:val="auto"/>
          <w:sz w:val="32"/>
          <w:szCs w:val="32"/>
        </w:rPr>
        <w:t>七、“三公”经费财政拨款预算安排情况说明</w:t>
      </w:r>
    </w:p>
    <w:p w14:paraId="4BBA19DE">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德阳市罗江区退役军人事务局</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年“三公”经费财政拨款预算数</w:t>
      </w:r>
      <w:r>
        <w:rPr>
          <w:rFonts w:hint="eastAsia" w:ascii="仿宋_GB2312" w:hAnsi="仿宋_GB2312" w:eastAsia="仿宋_GB2312"/>
          <w:color w:val="auto"/>
          <w:sz w:val="32"/>
          <w:szCs w:val="32"/>
          <w:lang w:val="en-US" w:eastAsia="zh-CN"/>
        </w:rPr>
        <w:t>0.3</w:t>
      </w:r>
      <w:r>
        <w:rPr>
          <w:rFonts w:hint="eastAsia" w:ascii="仿宋_GB2312" w:hAnsi="仿宋_GB2312" w:eastAsia="仿宋_GB2312"/>
          <w:color w:val="auto"/>
          <w:sz w:val="32"/>
          <w:szCs w:val="32"/>
        </w:rPr>
        <w:t>万元，其中：因公出国（境）经费</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万元，公务接待费</w:t>
      </w:r>
      <w:r>
        <w:rPr>
          <w:rFonts w:hint="eastAsia" w:ascii="仿宋_GB2312" w:hAnsi="仿宋_GB2312" w:eastAsia="仿宋_GB2312"/>
          <w:color w:val="auto"/>
          <w:sz w:val="32"/>
          <w:szCs w:val="32"/>
          <w:lang w:val="en-US" w:eastAsia="zh-CN"/>
        </w:rPr>
        <w:t>0.3</w:t>
      </w:r>
      <w:r>
        <w:rPr>
          <w:rFonts w:hint="eastAsia" w:ascii="仿宋_GB2312" w:hAnsi="仿宋_GB2312" w:eastAsia="仿宋_GB2312"/>
          <w:color w:val="auto"/>
          <w:sz w:val="32"/>
          <w:szCs w:val="32"/>
        </w:rPr>
        <w:t>万元，公务用车购置</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万元，公务用车运行维护费</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w:t>
      </w:r>
    </w:p>
    <w:p w14:paraId="304B57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hAnsi="仿宋_GB2312" w:eastAsia="仿宋_GB2312"/>
          <w:color w:val="auto"/>
          <w:sz w:val="32"/>
          <w:szCs w:val="32"/>
          <w:highlight w:val="none"/>
        </w:rPr>
        <w:t>（一）因公出国（境）经费与</w:t>
      </w:r>
      <w:r>
        <w:rPr>
          <w:rFonts w:hint="eastAsia" w:ascii="仿宋_GB2312" w:hAnsi="仿宋_GB2312" w:eastAsia="仿宋_GB2312"/>
          <w:color w:val="auto"/>
          <w:sz w:val="32"/>
          <w:szCs w:val="32"/>
          <w:highlight w:val="none"/>
          <w:lang w:eastAsia="zh-CN"/>
        </w:rPr>
        <w:t>20</w:t>
      </w:r>
      <w:r>
        <w:rPr>
          <w:rFonts w:hint="eastAsia" w:ascii="仿宋_GB2312" w:hAnsi="仿宋_GB2312" w:eastAsia="仿宋_GB2312"/>
          <w:color w:val="auto"/>
          <w:sz w:val="32"/>
          <w:szCs w:val="32"/>
          <w:highlight w:val="none"/>
          <w:lang w:val="en-US" w:eastAsia="zh-CN"/>
        </w:rPr>
        <w:t>24</w:t>
      </w:r>
      <w:r>
        <w:rPr>
          <w:rFonts w:hint="eastAsia" w:ascii="仿宋_GB2312" w:hAnsi="仿宋_GB2312" w:eastAsia="仿宋_GB2312"/>
          <w:color w:val="auto"/>
          <w:sz w:val="32"/>
          <w:szCs w:val="32"/>
          <w:highlight w:val="none"/>
        </w:rPr>
        <w:t>年预算持平。主要原因是</w:t>
      </w:r>
      <w:r>
        <w:rPr>
          <w:rFonts w:hint="eastAsia" w:ascii="仿宋_GB2312" w:hAnsi="仿宋_GB2312" w:eastAsia="仿宋_GB2312"/>
          <w:color w:val="auto"/>
          <w:sz w:val="32"/>
          <w:szCs w:val="32"/>
          <w:highlight w:val="none"/>
          <w:lang w:eastAsia="zh-CN"/>
        </w:rPr>
        <w:t>未安排因公出国</w:t>
      </w:r>
      <w:r>
        <w:rPr>
          <w:rFonts w:hint="eastAsia" w:ascii="仿宋_GB2312" w:hAnsi="仿宋_GB2312" w:eastAsia="仿宋_GB2312"/>
          <w:color w:val="auto"/>
          <w:sz w:val="32"/>
          <w:szCs w:val="32"/>
          <w:highlight w:val="none"/>
        </w:rPr>
        <w:t>。</w:t>
      </w:r>
    </w:p>
    <w:p w14:paraId="1C766B19">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rPr>
        <w:t>（二）公务接待费</w:t>
      </w:r>
      <w:r>
        <w:rPr>
          <w:rFonts w:hint="eastAsia" w:ascii="仿宋_GB2312" w:hAnsi="仿宋_GB2312" w:eastAsia="仿宋_GB2312"/>
          <w:color w:val="auto"/>
          <w:sz w:val="32"/>
          <w:szCs w:val="32"/>
          <w:highlight w:val="none"/>
          <w:lang w:val="en-US" w:eastAsia="zh-CN"/>
        </w:rPr>
        <w:t>预算经费0.3万元，与2024年预算持平，未缩减接待费预算主要原因是2024年预算金额较低，结合2024年实际接待经费开支情况，缩减预算难于保证2025年正常经费开支需求。</w:t>
      </w:r>
    </w:p>
    <w:p w14:paraId="4074065B">
      <w:pPr>
        <w:keepNext w:val="0"/>
        <w:keepLines w:val="0"/>
        <w:pageBreakBefore w:val="0"/>
        <w:kinsoku/>
        <w:wordWrap/>
        <w:overflowPunct/>
        <w:topLinePunct w:val="0"/>
        <w:autoSpaceDE/>
        <w:autoSpaceDN/>
        <w:bidi w:val="0"/>
        <w:spacing w:line="560" w:lineRule="exact"/>
        <w:ind w:firstLine="645"/>
        <w:textAlignment w:val="auto"/>
        <w:rPr>
          <w:rFonts w:hint="eastAsia" w:ascii="仿宋_GB2312" w:eastAsia="仿宋_GB2312"/>
          <w:color w:val="auto"/>
          <w:sz w:val="32"/>
          <w:szCs w:val="32"/>
          <w:highlight w:val="none"/>
        </w:rPr>
      </w:pPr>
      <w:r>
        <w:rPr>
          <w:rFonts w:hint="eastAsia" w:ascii="仿宋_GB2312" w:hAnsi="仿宋_GB2312" w:eastAsia="仿宋_GB2312"/>
          <w:color w:val="auto"/>
          <w:sz w:val="32"/>
          <w:szCs w:val="32"/>
          <w:highlight w:val="none"/>
        </w:rPr>
        <w:t>（三）</w:t>
      </w:r>
      <w:r>
        <w:rPr>
          <w:rFonts w:hint="eastAsia" w:ascii="楷体_GB2312" w:eastAsia="楷体_GB2312"/>
          <w:bCs/>
          <w:color w:val="auto"/>
          <w:sz w:val="32"/>
          <w:szCs w:val="32"/>
          <w:highlight w:val="none"/>
        </w:rPr>
        <w:t>公务用车购置及运行维护费与</w:t>
      </w:r>
      <w:r>
        <w:rPr>
          <w:rFonts w:hint="eastAsia" w:ascii="楷体_GB2312" w:eastAsia="楷体_GB2312"/>
          <w:bCs/>
          <w:color w:val="auto"/>
          <w:sz w:val="32"/>
          <w:szCs w:val="32"/>
          <w:highlight w:val="none"/>
          <w:lang w:eastAsia="zh-CN"/>
        </w:rPr>
        <w:t>20</w:t>
      </w:r>
      <w:r>
        <w:rPr>
          <w:rFonts w:hint="eastAsia" w:ascii="楷体_GB2312" w:eastAsia="楷体_GB2312"/>
          <w:bCs/>
          <w:color w:val="auto"/>
          <w:sz w:val="32"/>
          <w:szCs w:val="32"/>
          <w:highlight w:val="none"/>
          <w:lang w:val="en-US" w:eastAsia="zh-CN"/>
        </w:rPr>
        <w:t>24</w:t>
      </w:r>
      <w:r>
        <w:rPr>
          <w:rFonts w:hint="eastAsia" w:ascii="楷体_GB2312" w:eastAsia="楷体_GB2312"/>
          <w:bCs/>
          <w:color w:val="auto"/>
          <w:sz w:val="32"/>
          <w:szCs w:val="32"/>
          <w:highlight w:val="none"/>
        </w:rPr>
        <w:t>年预算持平。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公务车改革后，单位未安排公务用车购置费及公务用车运行费</w:t>
      </w:r>
      <w:r>
        <w:rPr>
          <w:rFonts w:hint="eastAsia" w:ascii="仿宋_GB2312" w:eastAsia="仿宋_GB2312"/>
          <w:color w:val="auto"/>
          <w:sz w:val="32"/>
          <w:szCs w:val="32"/>
          <w:highlight w:val="none"/>
        </w:rPr>
        <w:t>。</w:t>
      </w:r>
    </w:p>
    <w:p w14:paraId="769CE77D">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auto"/>
          <w:sz w:val="32"/>
          <w:szCs w:val="32"/>
          <w:highlight w:val="none"/>
        </w:rPr>
      </w:pPr>
      <w:r>
        <w:rPr>
          <w:rFonts w:hint="eastAsia" w:ascii="仿宋_GB2312" w:hAnsi="仿宋_GB2312" w:eastAsia="仿宋_GB2312"/>
          <w:color w:val="auto"/>
          <w:sz w:val="32"/>
          <w:szCs w:val="32"/>
          <w:highlight w:val="none"/>
        </w:rPr>
        <w:t>　　单位现有公务用车</w:t>
      </w:r>
      <w:r>
        <w:rPr>
          <w:rFonts w:hint="eastAsia" w:ascii="仿宋_GB2312" w:hAnsi="仿宋_GB2312" w:eastAsia="仿宋_GB2312"/>
          <w:color w:val="auto"/>
          <w:sz w:val="32"/>
          <w:szCs w:val="32"/>
          <w:highlight w:val="none"/>
          <w:lang w:val="en-US" w:eastAsia="zh-CN"/>
        </w:rPr>
        <w:t>0</w:t>
      </w:r>
      <w:r>
        <w:rPr>
          <w:rFonts w:hint="eastAsia" w:ascii="仿宋_GB2312" w:hAnsi="仿宋_GB2312" w:eastAsia="仿宋_GB2312"/>
          <w:color w:val="auto"/>
          <w:sz w:val="32"/>
          <w:szCs w:val="32"/>
          <w:highlight w:val="none"/>
        </w:rPr>
        <w:t>辆。</w:t>
      </w:r>
    </w:p>
    <w:p w14:paraId="1FB82AC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八、政府性基金预算收支情况说明</w:t>
      </w:r>
    </w:p>
    <w:p w14:paraId="1140B8D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highlight w:val="none"/>
        </w:rPr>
      </w:pPr>
      <w:r>
        <w:rPr>
          <w:rFonts w:hint="eastAsia" w:ascii="仿宋_GB2312" w:hAnsi="仿宋_GB2312" w:eastAsia="仿宋_GB2312"/>
          <w:color w:val="auto"/>
          <w:sz w:val="32"/>
          <w:szCs w:val="32"/>
          <w:highlight w:val="none"/>
          <w:lang w:eastAsia="zh-CN"/>
        </w:rPr>
        <w:t>202</w:t>
      </w:r>
      <w:r>
        <w:rPr>
          <w:rFonts w:hint="eastAsia" w:ascii="仿宋_GB2312" w:hAnsi="仿宋_GB2312" w:eastAsia="仿宋_GB2312"/>
          <w:color w:val="auto"/>
          <w:sz w:val="32"/>
          <w:szCs w:val="32"/>
          <w:highlight w:val="none"/>
          <w:lang w:val="en-US" w:eastAsia="zh-CN"/>
        </w:rPr>
        <w:t>5</w:t>
      </w:r>
      <w:r>
        <w:rPr>
          <w:rFonts w:hint="eastAsia" w:ascii="仿宋_GB2312" w:hAnsi="仿宋_GB2312" w:eastAsia="仿宋_GB2312"/>
          <w:color w:val="auto"/>
          <w:sz w:val="32"/>
          <w:szCs w:val="32"/>
          <w:highlight w:val="none"/>
        </w:rPr>
        <w:t>年无政府性基金预算。</w:t>
      </w:r>
    </w:p>
    <w:p w14:paraId="70760D53">
      <w:pPr>
        <w:keepNext w:val="0"/>
        <w:keepLines w:val="0"/>
        <w:pageBreakBefore w:val="0"/>
        <w:kinsoku/>
        <w:wordWrap/>
        <w:overflowPunct/>
        <w:topLinePunct w:val="0"/>
        <w:autoSpaceDE/>
        <w:autoSpaceDN/>
        <w:bidi w:val="0"/>
        <w:spacing w:line="560" w:lineRule="exact"/>
        <w:ind w:firstLine="645"/>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九、国有资本经营预算支出情况说明</w:t>
      </w:r>
    </w:p>
    <w:p w14:paraId="330F85DC">
      <w:pPr>
        <w:keepNext w:val="0"/>
        <w:keepLines w:val="0"/>
        <w:pageBreakBefore w:val="0"/>
        <w:kinsoku/>
        <w:wordWrap/>
        <w:overflowPunct/>
        <w:topLinePunct w:val="0"/>
        <w:autoSpaceDE/>
        <w:autoSpaceDN/>
        <w:bidi w:val="0"/>
        <w:spacing w:line="560" w:lineRule="exact"/>
        <w:ind w:firstLine="645"/>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德阳市罗江区退役军人事务局</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年使用国有资本经营预算拨款安排</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万元，其中：基本支出</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万元，项目支出</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万元。</w:t>
      </w:r>
    </w:p>
    <w:p w14:paraId="2C36EC12">
      <w:pPr>
        <w:keepNext w:val="0"/>
        <w:keepLines w:val="0"/>
        <w:pageBreakBefore w:val="0"/>
        <w:numPr>
          <w:ilvl w:val="0"/>
          <w:numId w:val="0"/>
        </w:numPr>
        <w:kinsoku/>
        <w:wordWrap/>
        <w:overflowPunct/>
        <w:topLinePunct w:val="0"/>
        <w:autoSpaceDE/>
        <w:autoSpaceDN/>
        <w:bidi w:val="0"/>
        <w:spacing w:line="560" w:lineRule="exact"/>
        <w:ind w:left="640" w:leftChars="0"/>
        <w:textAlignment w:val="auto"/>
        <w:rPr>
          <w:rFonts w:hint="eastAsia" w:ascii="仿宋_GB2312" w:hAnsi="仿宋_GB2312" w:eastAsia="仿宋_GB2312"/>
          <w:color w:val="auto"/>
          <w:sz w:val="32"/>
          <w:szCs w:val="32"/>
          <w:lang w:val="en-US" w:eastAsia="zh-CN"/>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其他重要事项的情况说明</w:t>
      </w:r>
    </w:p>
    <w:p w14:paraId="2EF3F8E8">
      <w:pPr>
        <w:keepNext w:val="0"/>
        <w:keepLines w:val="0"/>
        <w:pageBreakBefore w:val="0"/>
        <w:kinsoku/>
        <w:wordWrap/>
        <w:overflowPunct/>
        <w:topLinePunct w:val="0"/>
        <w:autoSpaceDE/>
        <w:autoSpaceDN/>
        <w:bidi w:val="0"/>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olor w:val="auto"/>
          <w:sz w:val="32"/>
          <w:szCs w:val="32"/>
        </w:rPr>
        <w:t>　　</w:t>
      </w:r>
      <w:r>
        <w:rPr>
          <w:rFonts w:hint="eastAsia" w:ascii="楷体" w:hAnsi="楷体" w:eastAsia="楷体" w:cs="楷体"/>
          <w:color w:val="auto"/>
          <w:sz w:val="32"/>
          <w:szCs w:val="32"/>
        </w:rPr>
        <w:t>（一）机关运行经费</w:t>
      </w:r>
    </w:p>
    <w:p w14:paraId="0E51250E">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w:t>
      </w:r>
      <w:r>
        <w:rPr>
          <w:rFonts w:ascii="仿宋_GB2312" w:hAnsi="宋体" w:eastAsia="仿宋_GB2312" w:cs="仿宋_GB2312"/>
          <w:i w:val="0"/>
          <w:caps w:val="0"/>
          <w:color w:val="auto"/>
          <w:spacing w:val="0"/>
          <w:sz w:val="32"/>
          <w:szCs w:val="32"/>
          <w:shd w:val="clear" w:fill="FFFFFF"/>
        </w:rPr>
        <w:t>德阳市</w:t>
      </w:r>
      <w:r>
        <w:rPr>
          <w:rFonts w:hint="eastAsia" w:ascii="仿宋_GB2312" w:hAnsi="宋体" w:eastAsia="仿宋_GB2312" w:cs="仿宋_GB2312"/>
          <w:i w:val="0"/>
          <w:caps w:val="0"/>
          <w:color w:val="auto"/>
          <w:spacing w:val="0"/>
          <w:sz w:val="32"/>
          <w:szCs w:val="32"/>
          <w:shd w:val="clear" w:fill="FFFFFF"/>
          <w:lang w:eastAsia="zh-CN"/>
        </w:rPr>
        <w:t>罗江区退役军人事务局</w:t>
      </w:r>
      <w:r>
        <w:rPr>
          <w:rFonts w:ascii="仿宋_GB2312" w:hAnsi="宋体" w:eastAsia="仿宋_GB2312" w:cs="仿宋_GB2312"/>
          <w:i w:val="0"/>
          <w:caps w:val="0"/>
          <w:color w:val="auto"/>
          <w:spacing w:val="0"/>
          <w:sz w:val="32"/>
          <w:szCs w:val="32"/>
          <w:shd w:val="clear" w:fill="FFFFFF"/>
        </w:rPr>
        <w:t>（含下属事业单位德阳市罗江区</w:t>
      </w:r>
      <w:r>
        <w:rPr>
          <w:rFonts w:hint="eastAsia" w:ascii="仿宋_GB2312" w:hAnsi="宋体" w:eastAsia="仿宋_GB2312" w:cs="仿宋_GB2312"/>
          <w:i w:val="0"/>
          <w:caps w:val="0"/>
          <w:color w:val="auto"/>
          <w:spacing w:val="0"/>
          <w:sz w:val="32"/>
          <w:szCs w:val="32"/>
          <w:shd w:val="clear" w:fill="FFFFFF"/>
          <w:lang w:val="en-US" w:eastAsia="zh-CN"/>
        </w:rPr>
        <w:t>退役军人</w:t>
      </w:r>
      <w:r>
        <w:rPr>
          <w:rFonts w:ascii="仿宋_GB2312" w:hAnsi="宋体" w:eastAsia="仿宋_GB2312" w:cs="仿宋_GB2312"/>
          <w:i w:val="0"/>
          <w:caps w:val="0"/>
          <w:color w:val="auto"/>
          <w:spacing w:val="0"/>
          <w:sz w:val="32"/>
          <w:szCs w:val="32"/>
          <w:shd w:val="clear" w:fill="FFFFFF"/>
        </w:rPr>
        <w:t>服务中心）</w:t>
      </w:r>
      <w:r>
        <w:rPr>
          <w:rFonts w:hint="default" w:ascii="仿宋_GB2312" w:hAnsi="宋体" w:eastAsia="仿宋_GB2312" w:cs="仿宋_GB2312"/>
          <w:i w:val="0"/>
          <w:caps w:val="0"/>
          <w:color w:val="auto"/>
          <w:spacing w:val="0"/>
          <w:sz w:val="32"/>
          <w:szCs w:val="32"/>
          <w:shd w:val="clear" w:fill="FFFFFF"/>
        </w:rPr>
        <w:t>机关运行经费财政拨款预算为</w:t>
      </w:r>
      <w:r>
        <w:rPr>
          <w:rFonts w:hint="eastAsia" w:ascii="仿宋_GB2312" w:hAnsi="宋体" w:eastAsia="仿宋_GB2312" w:cs="仿宋_GB2312"/>
          <w:i w:val="0"/>
          <w:caps w:val="0"/>
          <w:color w:val="auto"/>
          <w:spacing w:val="0"/>
          <w:sz w:val="32"/>
          <w:szCs w:val="32"/>
          <w:shd w:val="clear" w:fill="FFFFFF"/>
          <w:lang w:val="en-US" w:eastAsia="zh-CN"/>
        </w:rPr>
        <w:t>233.05万元</w:t>
      </w:r>
      <w:r>
        <w:rPr>
          <w:rFonts w:hint="eastAsia" w:ascii="仿宋_GB2312" w:hAnsi="仿宋_GB2312" w:eastAsia="仿宋_GB2312"/>
          <w:color w:val="auto"/>
          <w:sz w:val="32"/>
          <w:szCs w:val="32"/>
          <w:lang w:eastAsia="zh-CN"/>
        </w:rPr>
        <w:t>。</w:t>
      </w:r>
    </w:p>
    <w:p w14:paraId="7BA0DC79">
      <w:pPr>
        <w:keepNext w:val="0"/>
        <w:keepLines w:val="0"/>
        <w:pageBreakBefore w:val="0"/>
        <w:kinsoku/>
        <w:wordWrap/>
        <w:overflowPunct/>
        <w:topLinePunct w:val="0"/>
        <w:autoSpaceDE/>
        <w:autoSpaceDN/>
        <w:bidi w:val="0"/>
        <w:spacing w:line="560" w:lineRule="exact"/>
        <w:ind w:firstLine="64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w:t>
      </w:r>
      <w:r>
        <w:rPr>
          <w:rFonts w:hint="eastAsia" w:ascii="楷体" w:hAnsi="楷体" w:eastAsia="楷体" w:cs="楷体"/>
          <w:color w:val="auto"/>
          <w:sz w:val="32"/>
          <w:szCs w:val="32"/>
        </w:rPr>
        <w:t>二）政府采购情况</w:t>
      </w:r>
    </w:p>
    <w:p w14:paraId="5C64B51E">
      <w:pPr>
        <w:keepNext w:val="0"/>
        <w:keepLines w:val="0"/>
        <w:pageBreakBefore w:val="0"/>
        <w:kinsoku/>
        <w:wordWrap/>
        <w:overflowPunct/>
        <w:topLinePunct w:val="0"/>
        <w:autoSpaceDE/>
        <w:autoSpaceDN/>
        <w:bidi w:val="0"/>
        <w:spacing w:line="560" w:lineRule="exact"/>
        <w:ind w:firstLine="640"/>
        <w:textAlignment w:val="auto"/>
        <w:rPr>
          <w:rFonts w:hint="default"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lang w:val="en-US" w:eastAsia="zh-CN"/>
        </w:rPr>
        <w:t>2025</w:t>
      </w:r>
      <w:r>
        <w:rPr>
          <w:rFonts w:ascii="仿宋_GB2312" w:hAnsi="宋体" w:eastAsia="仿宋_GB2312" w:cs="仿宋_GB2312"/>
          <w:i w:val="0"/>
          <w:caps w:val="0"/>
          <w:color w:val="auto"/>
          <w:spacing w:val="0"/>
          <w:sz w:val="32"/>
          <w:szCs w:val="32"/>
          <w:shd w:val="clear" w:fill="FFFFFF"/>
        </w:rPr>
        <w:t>年，</w:t>
      </w:r>
      <w:r>
        <w:rPr>
          <w:rFonts w:hint="default" w:ascii="仿宋_GB2312" w:hAnsi="宋体" w:eastAsia="仿宋_GB2312" w:cs="仿宋_GB2312"/>
          <w:i w:val="0"/>
          <w:caps w:val="0"/>
          <w:color w:val="auto"/>
          <w:spacing w:val="0"/>
          <w:sz w:val="32"/>
          <w:szCs w:val="32"/>
          <w:shd w:val="clear" w:fill="FFFFFF"/>
        </w:rPr>
        <w:t>德阳市</w:t>
      </w:r>
      <w:r>
        <w:rPr>
          <w:rFonts w:hint="eastAsia" w:ascii="仿宋_GB2312" w:hAnsi="宋体" w:eastAsia="仿宋_GB2312" w:cs="仿宋_GB2312"/>
          <w:i w:val="0"/>
          <w:caps w:val="0"/>
          <w:color w:val="auto"/>
          <w:spacing w:val="0"/>
          <w:sz w:val="32"/>
          <w:szCs w:val="32"/>
          <w:shd w:val="clear" w:fill="FFFFFF"/>
          <w:lang w:eastAsia="zh-CN"/>
        </w:rPr>
        <w:t>罗江区退役军人事务局</w:t>
      </w:r>
      <w:r>
        <w:rPr>
          <w:rFonts w:hint="default" w:ascii="仿宋_GB2312" w:hAnsi="宋体" w:eastAsia="仿宋_GB2312" w:cs="仿宋_GB2312"/>
          <w:i w:val="0"/>
          <w:caps w:val="0"/>
          <w:color w:val="auto"/>
          <w:spacing w:val="0"/>
          <w:sz w:val="32"/>
          <w:szCs w:val="32"/>
          <w:shd w:val="clear" w:fill="FFFFFF"/>
        </w:rPr>
        <w:t>没有安排政府采购预算支出。</w:t>
      </w:r>
    </w:p>
    <w:p w14:paraId="2895A60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（三）国有资产占有使用情况</w:t>
      </w:r>
    </w:p>
    <w:p w14:paraId="2BF35029">
      <w:pPr>
        <w:keepNext w:val="0"/>
        <w:keepLines w:val="0"/>
        <w:pageBreakBefore w:val="0"/>
        <w:kinsoku/>
        <w:wordWrap/>
        <w:overflowPunct/>
        <w:topLinePunct w:val="0"/>
        <w:autoSpaceDE/>
        <w:autoSpaceDN/>
        <w:bidi w:val="0"/>
        <w:spacing w:line="560" w:lineRule="exact"/>
        <w:ind w:firstLine="320" w:firstLineChars="100"/>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olor w:val="auto"/>
          <w:sz w:val="32"/>
          <w:szCs w:val="32"/>
          <w:highlight w:val="none"/>
        </w:rPr>
        <w:t>　截至</w:t>
      </w:r>
      <w:r>
        <w:rPr>
          <w:rFonts w:hint="eastAsia" w:ascii="仿宋_GB2312" w:hAnsi="仿宋_GB2312" w:eastAsia="仿宋_GB2312"/>
          <w:color w:val="auto"/>
          <w:sz w:val="32"/>
          <w:szCs w:val="32"/>
          <w:highlight w:val="none"/>
          <w:lang w:val="en-US" w:eastAsia="zh-CN"/>
        </w:rPr>
        <w:t>2024</w:t>
      </w:r>
      <w:r>
        <w:rPr>
          <w:rFonts w:hint="eastAsia" w:ascii="仿宋_GB2312" w:hAnsi="仿宋_GB2312" w:eastAsia="仿宋_GB2312"/>
          <w:color w:val="auto"/>
          <w:sz w:val="32"/>
          <w:szCs w:val="32"/>
          <w:highlight w:val="none"/>
        </w:rPr>
        <w:t>年底，</w:t>
      </w:r>
      <w:r>
        <w:rPr>
          <w:rFonts w:hint="eastAsia" w:ascii="仿宋_GB2312" w:hAnsi="仿宋_GB2312" w:eastAsia="仿宋_GB2312"/>
          <w:color w:val="auto"/>
          <w:sz w:val="32"/>
          <w:szCs w:val="32"/>
          <w:highlight w:val="none"/>
          <w:lang w:eastAsia="zh-CN"/>
        </w:rPr>
        <w:t>德阳市罗江区退役军人事务局</w:t>
      </w:r>
      <w:r>
        <w:rPr>
          <w:rFonts w:hint="eastAsia" w:ascii="仿宋_GB2312" w:hAnsi="仿宋_GB2312" w:eastAsia="仿宋_GB2312"/>
          <w:color w:val="auto"/>
          <w:sz w:val="32"/>
          <w:szCs w:val="32"/>
          <w:highlight w:val="none"/>
        </w:rPr>
        <w:t>所属各预算单位共有</w:t>
      </w:r>
      <w:r>
        <w:rPr>
          <w:rFonts w:hint="eastAsia" w:ascii="仿宋_GB2312" w:eastAsia="仿宋_GB2312"/>
          <w:color w:val="auto"/>
          <w:sz w:val="32"/>
          <w:szCs w:val="32"/>
          <w:highlight w:val="none"/>
        </w:rPr>
        <w:t>固定资产总额</w:t>
      </w:r>
      <w:r>
        <w:rPr>
          <w:rFonts w:hint="eastAsia" w:ascii="仿宋_GB2312" w:eastAsia="仿宋_GB2312"/>
          <w:color w:val="auto"/>
          <w:sz w:val="32"/>
          <w:szCs w:val="32"/>
          <w:highlight w:val="none"/>
          <w:lang w:val="en-US" w:eastAsia="zh-CN"/>
        </w:rPr>
        <w:t>35.85</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79E27BDC">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w:t>
      </w:r>
      <w:r>
        <w:rPr>
          <w:rFonts w:hint="eastAsia" w:ascii="仿宋_GB2312" w:hAnsi="仿宋_GB2312" w:eastAsia="仿宋_GB2312"/>
          <w:color w:val="auto"/>
          <w:sz w:val="32"/>
          <w:szCs w:val="32"/>
          <w:lang w:val="en-US" w:eastAsia="zh-CN"/>
        </w:rPr>
        <w:t>2025</w:t>
      </w:r>
      <w:r>
        <w:rPr>
          <w:rFonts w:hint="eastAsia" w:ascii="仿宋_GB2312" w:hAnsi="仿宋_GB2312" w:eastAsia="仿宋_GB2312"/>
          <w:color w:val="auto"/>
          <w:sz w:val="32"/>
          <w:szCs w:val="32"/>
        </w:rPr>
        <w:t>年部门预算未安排购置车辆及单位价值200万元以上大型设备。</w:t>
      </w:r>
    </w:p>
    <w:p w14:paraId="160EF422">
      <w:pPr>
        <w:keepNext w:val="0"/>
        <w:keepLines w:val="0"/>
        <w:pageBreakBefore w:val="0"/>
        <w:kinsoku/>
        <w:wordWrap/>
        <w:overflowPunct/>
        <w:topLinePunct w:val="0"/>
        <w:autoSpaceDE/>
        <w:autoSpaceDN/>
        <w:bidi w:val="0"/>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olor w:val="auto"/>
          <w:sz w:val="32"/>
          <w:szCs w:val="32"/>
        </w:rPr>
        <w:t>　　</w:t>
      </w:r>
      <w:r>
        <w:rPr>
          <w:rFonts w:hint="eastAsia" w:ascii="楷体" w:hAnsi="楷体" w:eastAsia="楷体" w:cs="楷体"/>
          <w:color w:val="auto"/>
          <w:sz w:val="32"/>
          <w:szCs w:val="32"/>
        </w:rPr>
        <w:t>（四）绩效目标设置情况</w:t>
      </w:r>
    </w:p>
    <w:p w14:paraId="6C8BFE2E">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德阳市罗江区退役军人事务局</w:t>
      </w:r>
      <w:r>
        <w:rPr>
          <w:rFonts w:hint="eastAsia" w:ascii="仿宋_GB2312" w:hAnsi="仿宋_GB2312" w:eastAsia="仿宋_GB2312"/>
          <w:color w:val="auto"/>
          <w:sz w:val="32"/>
          <w:szCs w:val="32"/>
        </w:rPr>
        <w:t>部门通用项目和专用项目均按要求实行绩效目标管理，涉及一般公共预算当年拨款</w:t>
      </w:r>
      <w:r>
        <w:rPr>
          <w:rFonts w:hint="eastAsia" w:ascii="仿宋_GB2312" w:hAnsi="仿宋_GB2312" w:eastAsia="仿宋_GB2312"/>
          <w:color w:val="auto"/>
          <w:sz w:val="32"/>
          <w:szCs w:val="32"/>
          <w:highlight w:val="none"/>
          <w:lang w:val="en-US" w:eastAsia="zh-CN"/>
        </w:rPr>
        <w:t>2179.78</w:t>
      </w:r>
      <w:r>
        <w:rPr>
          <w:rFonts w:hint="eastAsia" w:ascii="仿宋_GB2312" w:hAnsi="仿宋_GB2312" w:eastAsia="仿宋_GB2312"/>
          <w:color w:val="auto"/>
          <w:sz w:val="32"/>
          <w:szCs w:val="32"/>
        </w:rPr>
        <w:t>万元。</w:t>
      </w:r>
    </w:p>
    <w:p w14:paraId="36656FB4">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color w:val="auto"/>
          <w:sz w:val="32"/>
          <w:szCs w:val="32"/>
          <w:lang w:val="en-US" w:eastAsia="zh-CN"/>
        </w:rPr>
      </w:pPr>
      <w:r>
        <w:rPr>
          <w:rFonts w:hint="eastAsia" w:ascii="仿宋_GB2312" w:hAnsi="仿宋_GB2312" w:eastAsia="仿宋_GB2312"/>
          <w:color w:val="auto"/>
          <w:sz w:val="32"/>
          <w:szCs w:val="32"/>
        </w:rPr>
        <w:t>　</w:t>
      </w:r>
      <w:r>
        <w:rPr>
          <w:rFonts w:hint="eastAsia" w:ascii="黑体" w:hAnsi="黑体" w:eastAsia="黑体" w:cs="黑体"/>
          <w:color w:val="auto"/>
          <w:sz w:val="32"/>
          <w:szCs w:val="32"/>
          <w:lang w:val="en-US" w:eastAsia="zh-CN"/>
        </w:rPr>
        <w:t>　十一、名词解释</w:t>
      </w:r>
    </w:p>
    <w:p w14:paraId="7440AE8A">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（一）一般公共预算拨款收入：指区级财政当年拨付的资金。</w:t>
      </w:r>
    </w:p>
    <w:p w14:paraId="001A100A">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　　（二）上年结转：指以前年度尚未完成、结转到本年仍按原规定用途继续使用的资金。</w:t>
      </w:r>
    </w:p>
    <w:p w14:paraId="583262A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（三）基本支出：指为保障机构正常运转、完成日常工作任务所必需的人员经费和日常公用经费。</w:t>
      </w:r>
    </w:p>
    <w:p w14:paraId="354A6B57">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rPr>
        <w:t>（四）项目支出：指在基本支出之外，为完成特定的行政工作任务或事业发展目标所发生的支出。</w:t>
      </w:r>
    </w:p>
    <w:p w14:paraId="18AD6411">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93C46B4">
      <w:pPr>
        <w:pStyle w:val="5"/>
        <w:keepNext w:val="0"/>
        <w:keepLines w:val="0"/>
        <w:pageBreakBefore w:val="0"/>
        <w:kinsoku/>
        <w:wordWrap/>
        <w:overflowPunct/>
        <w:topLinePunct w:val="0"/>
        <w:autoSpaceDE/>
        <w:autoSpaceDN/>
        <w:bidi w:val="0"/>
        <w:spacing w:line="560" w:lineRule="exact"/>
        <w:textAlignment w:val="auto"/>
        <w:rPr>
          <w:sz w:val="32"/>
          <w:szCs w:val="32"/>
        </w:rPr>
      </w:pPr>
    </w:p>
    <w:p w14:paraId="76790F29">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罗江区</w:t>
      </w:r>
      <w:r>
        <w:rPr>
          <w:rFonts w:hint="eastAsia" w:ascii="仿宋_GB2312" w:hAnsi="仿宋_GB2312" w:eastAsia="仿宋_GB2312"/>
          <w:sz w:val="32"/>
          <w:szCs w:val="32"/>
          <w:lang w:val="en-US" w:eastAsia="zh-CN"/>
        </w:rPr>
        <w:t>退役军人事务局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14:paraId="18A2050C">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14:paraId="091859FA">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sz w:val="32"/>
          <w:szCs w:val="32"/>
          <w:lang w:val="en-US" w:eastAsia="zh-CN"/>
        </w:rPr>
        <w:t>3.部门预算项目支出绩效目标公开表</w:t>
      </w:r>
    </w:p>
    <w:p w14:paraId="7989CEDA">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03E1F8B6">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2F278BE4">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01D7791E">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35A13045">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3FBCE7D0">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16929E27">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6E81866E">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50186A3D">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099422E9">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3926838E">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362DDB39">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p w14:paraId="28BD0060">
      <w:pPr>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附件1：</w:t>
      </w:r>
    </w:p>
    <w:p w14:paraId="7179B380">
      <w:pPr>
        <w:pStyle w:val="5"/>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olor w:val="auto"/>
          <w:sz w:val="32"/>
          <w:szCs w:val="32"/>
          <w:lang w:val="en-US" w:eastAsia="zh-CN"/>
        </w:rPr>
      </w:pPr>
    </w:p>
    <w:p w14:paraId="3AFC27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14:paraId="705CBF96">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14:paraId="4240D8E1">
      <w:pPr>
        <w:keepNext w:val="0"/>
        <w:keepLines w:val="0"/>
        <w:pageBreakBefore w:val="0"/>
        <w:widowControl w:val="0"/>
        <w:numPr>
          <w:ilvl w:val="1"/>
          <w:numId w:val="4"/>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14:paraId="3294ED45">
      <w:pPr>
        <w:keepNext w:val="0"/>
        <w:keepLines w:val="0"/>
        <w:pageBreakBefore w:val="0"/>
        <w:widowControl w:val="0"/>
        <w:numPr>
          <w:ilvl w:val="1"/>
          <w:numId w:val="4"/>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14:paraId="714C7F3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14:paraId="4D84616C">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14:paraId="736E940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14:paraId="180DEFF9">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14:paraId="0DB7C4C8">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14:paraId="1CD13CD5">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14:paraId="0833B278">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14:paraId="230639B0">
      <w:pPr>
        <w:keepNext w:val="0"/>
        <w:keepLines w:val="0"/>
        <w:pageBreakBefore w:val="0"/>
        <w:widowControl w:val="0"/>
        <w:numPr>
          <w:ilvl w:val="1"/>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14:paraId="7FDFB03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14:paraId="549AD5F4">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olor w:val="auto"/>
          <w:sz w:val="32"/>
          <w:szCs w:val="32"/>
          <w:lang w:val="en-US" w:eastAsia="zh-CN"/>
        </w:rPr>
      </w:pPr>
    </w:p>
    <w:sectPr>
      <w:footerReference r:id="rId3" w:type="default"/>
      <w:pgSz w:w="11906" w:h="16838"/>
      <w:pgMar w:top="1984" w:right="1474"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D9C5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996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3D996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BCCB4"/>
    <w:multiLevelType w:val="singleLevel"/>
    <w:tmpl w:val="9A7BCCB4"/>
    <w:lvl w:ilvl="0" w:tentative="0">
      <w:start w:val="5"/>
      <w:numFmt w:val="chineseCounting"/>
      <w:suff w:val="nothing"/>
      <w:lvlText w:val="%1、"/>
      <w:lvlJc w:val="left"/>
      <w:pPr>
        <w:ind w:left="640" w:leftChars="0" w:firstLine="0" w:firstLineChars="0"/>
      </w:pPr>
      <w:rPr>
        <w:rFonts w:hint="eastAsia"/>
      </w:rPr>
    </w:lvl>
  </w:abstractNum>
  <w:abstractNum w:abstractNumId="1">
    <w:nsid w:val="A418CA72"/>
    <w:multiLevelType w:val="singleLevel"/>
    <w:tmpl w:val="A418CA72"/>
    <w:lvl w:ilvl="0" w:tentative="0">
      <w:start w:val="3"/>
      <w:numFmt w:val="chineseCounting"/>
      <w:suff w:val="nothing"/>
      <w:lvlText w:val="（%1）"/>
      <w:lvlJc w:val="left"/>
      <w:pPr>
        <w:ind w:left="640" w:leftChars="0" w:firstLine="0" w:firstLineChars="0"/>
      </w:pPr>
      <w:rPr>
        <w:rFonts w:hint="eastAsia"/>
      </w:rPr>
    </w:lvl>
  </w:abstractNum>
  <w:abstractNum w:abstractNumId="2">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44197BEA"/>
    <w:multiLevelType w:val="singleLevel"/>
    <w:tmpl w:val="44197BEA"/>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MGMyNzYyNTBkYzU4NGFiN2JjMmJjNWYyZThkZGQ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83618"/>
    <w:rsid w:val="00DC34F5"/>
    <w:rsid w:val="00EE23D3"/>
    <w:rsid w:val="00FD2791"/>
    <w:rsid w:val="00FD2F29"/>
    <w:rsid w:val="01054FE7"/>
    <w:rsid w:val="01156DE1"/>
    <w:rsid w:val="01163AFD"/>
    <w:rsid w:val="01931A7A"/>
    <w:rsid w:val="01EE08EC"/>
    <w:rsid w:val="01F571E8"/>
    <w:rsid w:val="02377683"/>
    <w:rsid w:val="025C0A06"/>
    <w:rsid w:val="026B5000"/>
    <w:rsid w:val="02932F57"/>
    <w:rsid w:val="0332572E"/>
    <w:rsid w:val="0390448C"/>
    <w:rsid w:val="03A055CA"/>
    <w:rsid w:val="050F05C1"/>
    <w:rsid w:val="05453FE3"/>
    <w:rsid w:val="0550249F"/>
    <w:rsid w:val="057755AE"/>
    <w:rsid w:val="05B10A90"/>
    <w:rsid w:val="05E82977"/>
    <w:rsid w:val="05ED2952"/>
    <w:rsid w:val="06BC553A"/>
    <w:rsid w:val="07095052"/>
    <w:rsid w:val="07432426"/>
    <w:rsid w:val="089D3FB7"/>
    <w:rsid w:val="0A110938"/>
    <w:rsid w:val="0B853670"/>
    <w:rsid w:val="0BA94E05"/>
    <w:rsid w:val="0BBA5AC4"/>
    <w:rsid w:val="0BBB7256"/>
    <w:rsid w:val="0BDE52BA"/>
    <w:rsid w:val="0C664031"/>
    <w:rsid w:val="0C970233"/>
    <w:rsid w:val="0CBC3A4D"/>
    <w:rsid w:val="0DDF2FE9"/>
    <w:rsid w:val="0E84390E"/>
    <w:rsid w:val="0F8222DA"/>
    <w:rsid w:val="0F8B386B"/>
    <w:rsid w:val="0FA4706B"/>
    <w:rsid w:val="0FB6439F"/>
    <w:rsid w:val="134D3EAA"/>
    <w:rsid w:val="13522181"/>
    <w:rsid w:val="143F7483"/>
    <w:rsid w:val="17752C9A"/>
    <w:rsid w:val="187509D4"/>
    <w:rsid w:val="195645A6"/>
    <w:rsid w:val="19895CD6"/>
    <w:rsid w:val="1994455F"/>
    <w:rsid w:val="19F16090"/>
    <w:rsid w:val="1A6D2C0E"/>
    <w:rsid w:val="1A747E04"/>
    <w:rsid w:val="1A8B57AF"/>
    <w:rsid w:val="1BFB0EB1"/>
    <w:rsid w:val="1C4A0389"/>
    <w:rsid w:val="1CEB6F83"/>
    <w:rsid w:val="1DC267BA"/>
    <w:rsid w:val="1E03348E"/>
    <w:rsid w:val="1E283304"/>
    <w:rsid w:val="1E3B65A4"/>
    <w:rsid w:val="1F243D17"/>
    <w:rsid w:val="1F282554"/>
    <w:rsid w:val="1F2825F7"/>
    <w:rsid w:val="1F363F35"/>
    <w:rsid w:val="1FCE268A"/>
    <w:rsid w:val="20356846"/>
    <w:rsid w:val="2041503A"/>
    <w:rsid w:val="2139587A"/>
    <w:rsid w:val="216A0CFE"/>
    <w:rsid w:val="21E87040"/>
    <w:rsid w:val="221A7755"/>
    <w:rsid w:val="221C767D"/>
    <w:rsid w:val="22BD4DB6"/>
    <w:rsid w:val="234E6EE7"/>
    <w:rsid w:val="23DE3059"/>
    <w:rsid w:val="24473002"/>
    <w:rsid w:val="24B94963"/>
    <w:rsid w:val="24CD2851"/>
    <w:rsid w:val="24F60E79"/>
    <w:rsid w:val="25283D1B"/>
    <w:rsid w:val="25846F3B"/>
    <w:rsid w:val="25DF5076"/>
    <w:rsid w:val="276F4A98"/>
    <w:rsid w:val="279C55DC"/>
    <w:rsid w:val="289D251A"/>
    <w:rsid w:val="298E6156"/>
    <w:rsid w:val="2A5F18B0"/>
    <w:rsid w:val="2A9A6113"/>
    <w:rsid w:val="2CBD72B2"/>
    <w:rsid w:val="2CD827F5"/>
    <w:rsid w:val="2D1D613B"/>
    <w:rsid w:val="309E676F"/>
    <w:rsid w:val="30C419B0"/>
    <w:rsid w:val="31090B2C"/>
    <w:rsid w:val="31C00058"/>
    <w:rsid w:val="32017B18"/>
    <w:rsid w:val="33E25B24"/>
    <w:rsid w:val="35062E20"/>
    <w:rsid w:val="3595551A"/>
    <w:rsid w:val="35CA376C"/>
    <w:rsid w:val="35CA4616"/>
    <w:rsid w:val="368A369C"/>
    <w:rsid w:val="37482641"/>
    <w:rsid w:val="383D6974"/>
    <w:rsid w:val="3AB3456F"/>
    <w:rsid w:val="3BFA65F3"/>
    <w:rsid w:val="3D2D3192"/>
    <w:rsid w:val="3D552769"/>
    <w:rsid w:val="3E5304BF"/>
    <w:rsid w:val="3EA85EAD"/>
    <w:rsid w:val="3F8844F1"/>
    <w:rsid w:val="40731A58"/>
    <w:rsid w:val="40C1550B"/>
    <w:rsid w:val="41272CA9"/>
    <w:rsid w:val="42574C5A"/>
    <w:rsid w:val="42991D01"/>
    <w:rsid w:val="43CA50D8"/>
    <w:rsid w:val="444A40AA"/>
    <w:rsid w:val="44C97250"/>
    <w:rsid w:val="44E1584B"/>
    <w:rsid w:val="44EA2769"/>
    <w:rsid w:val="45246649"/>
    <w:rsid w:val="45C30388"/>
    <w:rsid w:val="47AB318C"/>
    <w:rsid w:val="47D90DCA"/>
    <w:rsid w:val="47E56984"/>
    <w:rsid w:val="487B51EB"/>
    <w:rsid w:val="49766440"/>
    <w:rsid w:val="49997A26"/>
    <w:rsid w:val="4A0C3539"/>
    <w:rsid w:val="4B2C6655"/>
    <w:rsid w:val="4B786569"/>
    <w:rsid w:val="4B9819AC"/>
    <w:rsid w:val="4C3E54F9"/>
    <w:rsid w:val="4CD52CD7"/>
    <w:rsid w:val="4CF072F9"/>
    <w:rsid w:val="503B5FC7"/>
    <w:rsid w:val="52042264"/>
    <w:rsid w:val="52EA6B41"/>
    <w:rsid w:val="54F621D1"/>
    <w:rsid w:val="575B631B"/>
    <w:rsid w:val="57805D82"/>
    <w:rsid w:val="57934896"/>
    <w:rsid w:val="57A31A70"/>
    <w:rsid w:val="580F7ED5"/>
    <w:rsid w:val="587518CF"/>
    <w:rsid w:val="58E21BFB"/>
    <w:rsid w:val="59576FB6"/>
    <w:rsid w:val="5B290D3A"/>
    <w:rsid w:val="5B7430CD"/>
    <w:rsid w:val="5B7525DF"/>
    <w:rsid w:val="5B762AF8"/>
    <w:rsid w:val="5C06246A"/>
    <w:rsid w:val="5C532D01"/>
    <w:rsid w:val="5C557633"/>
    <w:rsid w:val="5EFD05B4"/>
    <w:rsid w:val="5F535045"/>
    <w:rsid w:val="5F8F3665"/>
    <w:rsid w:val="5FE173B9"/>
    <w:rsid w:val="61616C24"/>
    <w:rsid w:val="617A5F38"/>
    <w:rsid w:val="62281B7E"/>
    <w:rsid w:val="625C2A3D"/>
    <w:rsid w:val="62683CAE"/>
    <w:rsid w:val="63116428"/>
    <w:rsid w:val="643B2D61"/>
    <w:rsid w:val="6458377D"/>
    <w:rsid w:val="65907EF7"/>
    <w:rsid w:val="668A3DA8"/>
    <w:rsid w:val="6712437A"/>
    <w:rsid w:val="68C93D5C"/>
    <w:rsid w:val="68D91796"/>
    <w:rsid w:val="69740B4D"/>
    <w:rsid w:val="6A423E14"/>
    <w:rsid w:val="6A73725E"/>
    <w:rsid w:val="6AAA5DDD"/>
    <w:rsid w:val="6CA92AAF"/>
    <w:rsid w:val="6CC12C93"/>
    <w:rsid w:val="6CF4256B"/>
    <w:rsid w:val="6F9D54EF"/>
    <w:rsid w:val="6FAD74D8"/>
    <w:rsid w:val="70657527"/>
    <w:rsid w:val="73151FDD"/>
    <w:rsid w:val="74392575"/>
    <w:rsid w:val="748F53FE"/>
    <w:rsid w:val="765E3944"/>
    <w:rsid w:val="765F52BF"/>
    <w:rsid w:val="76816016"/>
    <w:rsid w:val="77103EEA"/>
    <w:rsid w:val="77B05DB7"/>
    <w:rsid w:val="77E85BE2"/>
    <w:rsid w:val="78932DA4"/>
    <w:rsid w:val="78937500"/>
    <w:rsid w:val="78E734DC"/>
    <w:rsid w:val="796C14D7"/>
    <w:rsid w:val="79AB0FA2"/>
    <w:rsid w:val="7A5F62EE"/>
    <w:rsid w:val="7A747570"/>
    <w:rsid w:val="7A9E283F"/>
    <w:rsid w:val="7BBE08B2"/>
    <w:rsid w:val="7E0B5DDF"/>
    <w:rsid w:val="7E8B7A87"/>
    <w:rsid w:val="7F7D47B2"/>
    <w:rsid w:val="7F820039"/>
    <w:rsid w:val="7FB2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16"/>
    <w:qFormat/>
    <w:uiPriority w:val="0"/>
    <w:pPr>
      <w:spacing w:before="93" w:beforeLines="30"/>
    </w:pPr>
    <w:rPr>
      <w:rFonts w:ascii="仿宋_GB2312" w:eastAsia="仿宋_GB2312"/>
      <w:sz w:val="30"/>
    </w:rPr>
  </w:style>
  <w:style w:type="paragraph" w:styleId="4">
    <w:name w:val="Body Text Indent"/>
    <w:basedOn w:val="1"/>
    <w:autoRedefine/>
    <w:unhideWhenUsed/>
    <w:qFormat/>
    <w:uiPriority w:val="99"/>
    <w:pPr>
      <w:spacing w:after="120"/>
      <w:ind w:left="420" w:leftChars="200"/>
    </w:pPr>
  </w:style>
  <w:style w:type="paragraph" w:styleId="5">
    <w:name w:val="Body Text Indent 2"/>
    <w:basedOn w:val="1"/>
    <w:unhideWhenUsed/>
    <w:qFormat/>
    <w:uiPriority w:val="99"/>
    <w:pPr>
      <w:spacing w:after="120" w:line="480" w:lineRule="auto"/>
      <w:ind w:left="420" w:leftChars="200" w:firstLine="880" w:firstLineChars="200"/>
    </w:pPr>
    <w:rPr>
      <w:rFonts w:eastAsia="仿宋_GB2312"/>
      <w:sz w:val="32"/>
      <w:szCs w:val="21"/>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autoRedefine/>
    <w:unhideWhenUsed/>
    <w:qFormat/>
    <w:uiPriority w:val="99"/>
    <w:pPr>
      <w:ind w:firstLine="420" w:firstLineChars="200"/>
    </w:pPr>
    <w:rPr>
      <w:rFonts w:ascii="Calibri" w:hAnsi="Calibri" w:eastAsia="宋体" w:cs="Times New Roman"/>
      <w:szCs w:val="22"/>
    </w:rPr>
  </w:style>
  <w:style w:type="character" w:styleId="12">
    <w:name w:val="Emphasis"/>
    <w:basedOn w:val="11"/>
    <w:autoRedefine/>
    <w:qFormat/>
    <w:uiPriority w:val="20"/>
  </w:style>
  <w:style w:type="paragraph" w:styleId="13">
    <w:name w:val="List Paragraph"/>
    <w:basedOn w:val="1"/>
    <w:autoRedefine/>
    <w:qFormat/>
    <w:uiPriority w:val="34"/>
    <w:pPr>
      <w:ind w:firstLine="420" w:firstLineChars="200"/>
    </w:pPr>
  </w:style>
  <w:style w:type="character" w:customStyle="1" w:styleId="14">
    <w:name w:val="页眉 Char"/>
    <w:basedOn w:val="11"/>
    <w:link w:val="7"/>
    <w:autoRedefine/>
    <w:qFormat/>
    <w:uiPriority w:val="99"/>
    <w:rPr>
      <w:rFonts w:ascii="宋体" w:hAnsi="Times New Roman" w:eastAsia="宋体" w:cs="Times New Roman"/>
      <w:sz w:val="18"/>
      <w:szCs w:val="18"/>
    </w:rPr>
  </w:style>
  <w:style w:type="character" w:customStyle="1" w:styleId="15">
    <w:name w:val="页脚 Char"/>
    <w:basedOn w:val="11"/>
    <w:link w:val="6"/>
    <w:autoRedefine/>
    <w:qFormat/>
    <w:uiPriority w:val="99"/>
    <w:rPr>
      <w:rFonts w:ascii="宋体" w:hAnsi="Times New Roman" w:eastAsia="宋体" w:cs="Times New Roman"/>
      <w:sz w:val="18"/>
      <w:szCs w:val="18"/>
    </w:rPr>
  </w:style>
  <w:style w:type="character" w:customStyle="1" w:styleId="16">
    <w:name w:val="正文文本 Char"/>
    <w:basedOn w:val="11"/>
    <w:link w:val="3"/>
    <w:autoRedefine/>
    <w:qFormat/>
    <w:uiPriority w:val="0"/>
    <w:rPr>
      <w:rFonts w:ascii="仿宋_GB2312" w:hAnsi="Times New Roman" w:eastAsia="仿宋_GB2312" w:cs="Times New Roman"/>
      <w:kern w:val="2"/>
      <w:sz w:val="30"/>
      <w:szCs w:val="24"/>
    </w:rPr>
  </w:style>
  <w:style w:type="paragraph" w:customStyle="1" w:styleId="17">
    <w:name w:val="WPSOffice手动目录 1"/>
    <w:autoRedefine/>
    <w:qFormat/>
    <w:uiPriority w:val="0"/>
    <w:pPr>
      <w:ind w:leftChars="0"/>
    </w:pPr>
    <w:rPr>
      <w:rFonts w:ascii="Calibri" w:hAnsi="Calibri" w:eastAsia="宋体" w:cs="Times New Roman"/>
      <w:sz w:val="20"/>
      <w:szCs w:val="20"/>
    </w:rPr>
  </w:style>
  <w:style w:type="paragraph" w:customStyle="1" w:styleId="18">
    <w:name w:val="WPSOffice手动目录 2"/>
    <w:autoRedefine/>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17</Pages>
  <Words>7379</Words>
  <Characters>7754</Characters>
  <Lines>17</Lines>
  <Paragraphs>4</Paragraphs>
  <TotalTime>0</TotalTime>
  <ScaleCrop>false</ScaleCrop>
  <LinksUpToDate>false</LinksUpToDate>
  <CharactersWithSpaces>7841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龙恩</cp:lastModifiedBy>
  <dcterms:modified xsi:type="dcterms:W3CDTF">2025-02-08T08:29:35Z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1514467F0A8C42AF87020D3004D89CD5</vt:lpwstr>
  </property>
</Properties>
</file>