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5DEBA">
      <w:pPr>
        <w:spacing w:line="600" w:lineRule="exact"/>
        <w:jc w:val="center"/>
        <w:outlineLvl w:val="0"/>
        <w:rPr>
          <w:rFonts w:ascii="Times New Roman" w:hAnsi="Times New Roman" w:eastAsia="方正小标宋简体"/>
          <w:color w:val="000000"/>
          <w:sz w:val="72"/>
          <w:szCs w:val="72"/>
          <w:highlight w:val="none"/>
        </w:rPr>
      </w:pPr>
    </w:p>
    <w:p w14:paraId="1D3C05D4">
      <w:pPr>
        <w:spacing w:line="600" w:lineRule="exact"/>
        <w:jc w:val="center"/>
        <w:outlineLvl w:val="0"/>
        <w:rPr>
          <w:rFonts w:ascii="Times New Roman" w:hAnsi="Times New Roman" w:eastAsia="方正小标宋简体"/>
          <w:color w:val="000000"/>
          <w:sz w:val="72"/>
          <w:szCs w:val="72"/>
          <w:highlight w:val="none"/>
        </w:rPr>
      </w:pPr>
    </w:p>
    <w:p w14:paraId="0469C8C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Style w:val="11"/>
          <w:rFonts w:hint="eastAsia" w:ascii="Times New Roman" w:hAnsi="Times New Roman" w:eastAsia="方正小标宋简体" w:cs="方正小标宋简体"/>
          <w:b/>
          <w:bCs/>
          <w:color w:val="000000"/>
          <w:sz w:val="44"/>
          <w:szCs w:val="44"/>
          <w:highlight w:val="none"/>
          <w:lang w:val="en-US" w:eastAsia="zh-CN"/>
        </w:rPr>
      </w:pPr>
    </w:p>
    <w:p w14:paraId="46EDD32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Style w:val="11"/>
          <w:rFonts w:hint="eastAsia" w:ascii="Times New Roman" w:hAnsi="Times New Roman" w:eastAsia="方正小标宋简体" w:cs="方正小标宋简体"/>
          <w:b/>
          <w:bCs/>
          <w:color w:val="000000"/>
          <w:sz w:val="44"/>
          <w:szCs w:val="44"/>
          <w:highlight w:val="none"/>
          <w:lang w:val="en-US" w:eastAsia="zh-CN"/>
        </w:rPr>
      </w:pPr>
      <w:r>
        <w:rPr>
          <w:rStyle w:val="11"/>
          <w:rFonts w:hint="eastAsia" w:ascii="Times New Roman" w:hAnsi="Times New Roman" w:eastAsia="方正小标宋简体" w:cs="方正小标宋简体"/>
          <w:b/>
          <w:bCs/>
          <w:color w:val="000000"/>
          <w:sz w:val="44"/>
          <w:szCs w:val="44"/>
          <w:highlight w:val="none"/>
          <w:lang w:val="en-US" w:eastAsia="zh-CN"/>
        </w:rPr>
        <w:t>2025年度中国共产党德阳市罗江区委员会</w:t>
      </w:r>
    </w:p>
    <w:p w14:paraId="38A6CFA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Style w:val="11"/>
          <w:rFonts w:hint="eastAsia" w:ascii="Times New Roman" w:hAnsi="Times New Roman" w:eastAsia="方正小标宋简体" w:cs="方正小标宋简体"/>
          <w:b/>
          <w:bCs/>
          <w:color w:val="000000"/>
          <w:sz w:val="44"/>
          <w:szCs w:val="44"/>
          <w:highlight w:val="none"/>
          <w:lang w:val="en-US" w:eastAsia="zh-CN"/>
        </w:rPr>
      </w:pPr>
      <w:r>
        <w:rPr>
          <w:rStyle w:val="11"/>
          <w:rFonts w:hint="eastAsia" w:ascii="Times New Roman" w:hAnsi="Times New Roman" w:eastAsia="方正小标宋简体" w:cs="方正小标宋简体"/>
          <w:b/>
          <w:bCs/>
          <w:color w:val="000000"/>
          <w:sz w:val="44"/>
          <w:szCs w:val="44"/>
          <w:highlight w:val="none"/>
          <w:lang w:val="en-US" w:eastAsia="zh-CN"/>
        </w:rPr>
        <w:t>社会工作部部门预算公开</w:t>
      </w:r>
    </w:p>
    <w:p w14:paraId="5729A957">
      <w:pPr>
        <w:ind w:firstLine="412" w:firstLineChars="100"/>
        <w:jc w:val="center"/>
        <w:rPr>
          <w:rStyle w:val="11"/>
          <w:rFonts w:hint="eastAsia" w:ascii="Times New Roman" w:hAnsi="Times New Roman"/>
          <w:b/>
          <w:bCs/>
          <w:color w:val="000000"/>
          <w:sz w:val="41"/>
          <w:szCs w:val="41"/>
          <w:highlight w:val="none"/>
          <w:lang w:val="en-US" w:eastAsia="zh-CN"/>
        </w:rPr>
        <w:sectPr>
          <w:pgSz w:w="11906" w:h="16838"/>
          <w:pgMar w:top="2098" w:right="1474" w:bottom="1984" w:left="1587" w:header="851" w:footer="992" w:gutter="0"/>
          <w:pgNumType w:fmt="decimal" w:start="1"/>
          <w:cols w:space="425" w:num="1"/>
          <w:docGrid w:type="lines" w:linePitch="312" w:charSpace="0"/>
        </w:sectPr>
      </w:pPr>
    </w:p>
    <w:p w14:paraId="789DD52E">
      <w:pPr>
        <w:keepNext w:val="0"/>
        <w:keepLines w:val="0"/>
        <w:pageBreakBefore w:val="0"/>
        <w:widowControl w:val="0"/>
        <w:kinsoku/>
        <w:wordWrap/>
        <w:overflowPunct/>
        <w:topLinePunct w:val="0"/>
        <w:autoSpaceDE/>
        <w:autoSpaceDN/>
        <w:bidi w:val="0"/>
        <w:adjustRightInd/>
        <w:snapToGrid/>
        <w:spacing w:line="579" w:lineRule="exact"/>
        <w:jc w:val="both"/>
        <w:textAlignment w:val="auto"/>
        <w:rPr>
          <w:rStyle w:val="11"/>
          <w:rFonts w:hint="eastAsia" w:ascii="Times New Roman" w:hAnsi="Times New Roman" w:eastAsia="黑体" w:cs="黑体"/>
          <w:b/>
          <w:bCs/>
          <w:color w:val="000000"/>
          <w:sz w:val="44"/>
          <w:szCs w:val="44"/>
          <w:highlight w:val="none"/>
          <w:lang w:val="en-US" w:eastAsia="zh-CN"/>
        </w:rPr>
      </w:pPr>
    </w:p>
    <w:p w14:paraId="3E40BC4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Style w:val="11"/>
          <w:rFonts w:hint="eastAsia" w:ascii="Times New Roman" w:hAnsi="Times New Roman" w:eastAsia="黑体" w:cs="黑体"/>
          <w:b/>
          <w:bCs/>
          <w:color w:val="000000"/>
          <w:sz w:val="41"/>
          <w:szCs w:val="41"/>
          <w:highlight w:val="none"/>
        </w:rPr>
      </w:pPr>
      <w:r>
        <w:rPr>
          <w:rStyle w:val="11"/>
          <w:rFonts w:hint="eastAsia" w:ascii="Times New Roman" w:hAnsi="Times New Roman" w:eastAsia="黑体" w:cs="黑体"/>
          <w:b/>
          <w:bCs/>
          <w:color w:val="000000"/>
          <w:sz w:val="44"/>
          <w:szCs w:val="44"/>
          <w:highlight w:val="none"/>
          <w:lang w:val="en-US" w:eastAsia="zh-CN"/>
        </w:rPr>
        <w:t>中国共产党德阳市罗江区委员会社会工作部</w:t>
      </w:r>
      <w:r>
        <w:rPr>
          <w:rFonts w:hint="eastAsia" w:ascii="Times New Roman" w:hAnsi="Times New Roman" w:eastAsia="黑体" w:cs="黑体"/>
          <w:sz w:val="40"/>
          <w:szCs w:val="40"/>
          <w:highlight w:val="none"/>
          <w:lang w:val="en-US" w:eastAsia="zh-CN"/>
        </w:rPr>
        <w:t>2025</w:t>
      </w:r>
      <w:r>
        <w:rPr>
          <w:rStyle w:val="11"/>
          <w:rFonts w:hint="eastAsia" w:ascii="Times New Roman" w:hAnsi="Times New Roman" w:eastAsia="黑体" w:cs="黑体"/>
          <w:b/>
          <w:bCs/>
          <w:color w:val="000000"/>
          <w:sz w:val="41"/>
          <w:szCs w:val="41"/>
          <w:highlight w:val="none"/>
          <w:lang w:val="en-US" w:eastAsia="zh-CN"/>
        </w:rPr>
        <w:t>年部门预算编制说明</w:t>
      </w:r>
    </w:p>
    <w:p w14:paraId="125505E3">
      <w:pPr>
        <w:ind w:firstLine="412" w:firstLineChars="100"/>
        <w:jc w:val="center"/>
        <w:rPr>
          <w:rStyle w:val="11"/>
          <w:rFonts w:ascii="Times New Roman" w:hAnsi="Times New Roman"/>
          <w:b/>
          <w:bCs/>
          <w:color w:val="000000"/>
          <w:sz w:val="41"/>
          <w:szCs w:val="41"/>
          <w:highlight w:val="none"/>
        </w:rPr>
      </w:pPr>
    </w:p>
    <w:sdt>
      <w:sdtPr>
        <w:rPr>
          <w:rFonts w:ascii="Times New Roman" w:hAnsi="Times New Roman" w:eastAsia="宋体" w:cs="Times New Roman"/>
          <w:kern w:val="2"/>
          <w:sz w:val="21"/>
          <w:szCs w:val="24"/>
          <w:highlight w:val="none"/>
          <w:lang w:val="en-US" w:eastAsia="zh-CN" w:bidi="ar-SA"/>
        </w:rPr>
        <w:id w:val="147471545"/>
        <w15:color w:val="DBDBDB"/>
      </w:sdtPr>
      <w:sdtEndPr>
        <w:rPr>
          <w:rFonts w:hint="eastAsia" w:ascii="Times New Roman" w:hAnsi="Times New Roman" w:eastAsia="宋体" w:cs="Times New Roman"/>
          <w:b/>
          <w:bCs/>
          <w:color w:val="000000"/>
          <w:kern w:val="2"/>
          <w:sz w:val="48"/>
          <w:szCs w:val="41"/>
          <w:highlight w:val="none"/>
          <w:lang w:val="en-US" w:eastAsia="zh-CN" w:bidi="ar-SA"/>
        </w:rPr>
      </w:sdtEndPr>
      <w:sdtContent>
        <w:p w14:paraId="087F28F6">
          <w:pPr>
            <w:spacing w:line="240" w:lineRule="auto"/>
            <w:ind w:left="0" w:leftChars="0" w:right="0" w:rightChars="0" w:firstLine="0" w:firstLineChars="0"/>
            <w:jc w:val="center"/>
            <w:rPr>
              <w:rFonts w:ascii="Times New Roman" w:hAnsi="Times New Roman"/>
              <w:highlight w:val="none"/>
            </w:rPr>
          </w:pPr>
          <w:r>
            <w:rPr>
              <w:rFonts w:ascii="Times New Roman" w:hAnsi="Times New Roman" w:eastAsia="宋体"/>
              <w:sz w:val="32"/>
              <w:szCs w:val="32"/>
              <w:highlight w:val="none"/>
            </w:rPr>
            <w:t>目录</w:t>
          </w:r>
        </w:p>
        <w:p w14:paraId="14603BCC">
          <w:pPr>
            <w:pStyle w:val="14"/>
            <w:tabs>
              <w:tab w:val="right" w:leader="dot" w:pos="8845"/>
            </w:tabs>
            <w:spacing w:line="240" w:lineRule="auto"/>
            <w:ind w:firstLine="0" w:firstLineChars="0"/>
            <w:rPr>
              <w:rFonts w:ascii="Times New Roman" w:hAnsi="Times New Roman"/>
              <w:b/>
              <w:highlight w:val="none"/>
            </w:rPr>
          </w:pPr>
          <w:r>
            <w:rPr>
              <w:rStyle w:val="11"/>
              <w:rFonts w:hint="eastAsia" w:ascii="Times New Roman" w:hAnsi="Times New Roman"/>
              <w:b/>
              <w:bCs/>
              <w:color w:val="000000"/>
              <w:sz w:val="41"/>
              <w:szCs w:val="41"/>
              <w:highlight w:val="none"/>
            </w:rPr>
            <w:fldChar w:fldCharType="begin"/>
          </w:r>
          <w:r>
            <w:rPr>
              <w:rStyle w:val="11"/>
              <w:rFonts w:hint="eastAsia" w:ascii="Times New Roman" w:hAnsi="Times New Roman"/>
              <w:b/>
              <w:bCs/>
              <w:color w:val="000000"/>
              <w:sz w:val="41"/>
              <w:szCs w:val="41"/>
              <w:highlight w:val="none"/>
            </w:rPr>
            <w:instrText xml:space="preserve">TOC \o "1-2" \h \u </w:instrText>
          </w:r>
          <w:r>
            <w:rPr>
              <w:rStyle w:val="11"/>
              <w:rFonts w:hint="eastAsia" w:ascii="Times New Roman" w:hAnsi="Times New Roman"/>
              <w:b/>
              <w:bCs/>
              <w:color w:val="000000"/>
              <w:sz w:val="41"/>
              <w:szCs w:val="41"/>
              <w:highlight w:val="none"/>
            </w:rPr>
            <w:fldChar w:fldCharType="separate"/>
          </w: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_Toc28770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一、基本职能及主要工作</w:t>
          </w:r>
          <w:r>
            <w:rPr>
              <w:rFonts w:ascii="Times New Roman" w:hAnsi="Times New Roman"/>
              <w:b/>
              <w:highlight w:val="none"/>
            </w:rPr>
            <w:tab/>
          </w:r>
          <w:r>
            <w:rPr>
              <w:rFonts w:hint="eastAsia" w:ascii="Times New Roman" w:hAnsi="Times New Roman" w:eastAsia="方正仿宋_GB2312" w:cs="Times New Roman"/>
              <w:kern w:val="2"/>
              <w:sz w:val="22"/>
              <w:szCs w:val="22"/>
              <w:highlight w:val="none"/>
              <w:lang w:val="en-US" w:eastAsia="zh-CN" w:bidi="ar-SA"/>
            </w:rPr>
            <w:fldChar w:fldCharType="begin"/>
          </w:r>
          <w:r>
            <w:rPr>
              <w:rFonts w:hint="eastAsia" w:ascii="Times New Roman" w:hAnsi="Times New Roman" w:eastAsia="方正仿宋_GB2312" w:cs="Times New Roman"/>
              <w:kern w:val="2"/>
              <w:sz w:val="22"/>
              <w:szCs w:val="22"/>
              <w:highlight w:val="none"/>
              <w:lang w:val="en-US" w:eastAsia="zh-CN" w:bidi="ar-SA"/>
            </w:rPr>
            <w:instrText xml:space="preserve"> PAGEREF _Toc28770 \h </w:instrText>
          </w:r>
          <w:r>
            <w:rPr>
              <w:rFonts w:hint="eastAsia" w:ascii="Times New Roman" w:hAnsi="Times New Roman" w:eastAsia="方正仿宋_GB2312" w:cs="Times New Roman"/>
              <w:kern w:val="2"/>
              <w:sz w:val="22"/>
              <w:szCs w:val="22"/>
              <w:highlight w:val="none"/>
              <w:lang w:val="en-US" w:eastAsia="zh-CN" w:bidi="ar-SA"/>
            </w:rPr>
            <w:fldChar w:fldCharType="separate"/>
          </w:r>
          <w:r>
            <w:rPr>
              <w:rFonts w:hint="eastAsia" w:ascii="Times New Roman" w:hAnsi="Times New Roman" w:eastAsia="方正仿宋_GB2312" w:cs="Times New Roman"/>
              <w:kern w:val="2"/>
              <w:sz w:val="22"/>
              <w:szCs w:val="22"/>
              <w:highlight w:val="none"/>
              <w:lang w:val="en-US" w:eastAsia="zh-CN" w:bidi="ar-SA"/>
            </w:rPr>
            <w:t>1</w:t>
          </w:r>
          <w:r>
            <w:rPr>
              <w:rFonts w:hint="eastAsia" w:ascii="Times New Roman" w:hAnsi="Times New Roman" w:eastAsia="方正仿宋_GB2312" w:cs="Times New Roman"/>
              <w:kern w:val="2"/>
              <w:sz w:val="22"/>
              <w:szCs w:val="22"/>
              <w:highlight w:val="none"/>
              <w:lang w:val="en-US" w:eastAsia="zh-CN" w:bidi="ar-SA"/>
            </w:rPr>
            <w:fldChar w:fldCharType="end"/>
          </w:r>
          <w:r>
            <w:rPr>
              <w:rFonts w:hint="eastAsia" w:ascii="Times New Roman" w:hAnsi="Times New Roman"/>
              <w:b/>
              <w:bCs/>
              <w:color w:val="000000"/>
              <w:szCs w:val="41"/>
              <w:highlight w:val="none"/>
            </w:rPr>
            <w:fldChar w:fldCharType="end"/>
          </w:r>
        </w:p>
        <w:p w14:paraId="3A849164">
          <w:pPr>
            <w:pStyle w:val="15"/>
            <w:tabs>
              <w:tab w:val="right" w:leader="dot" w:pos="8845"/>
            </w:tabs>
            <w:spacing w:line="240" w:lineRule="auto"/>
            <w:ind w:left="0" w:leftChars="0" w:firstLine="0" w:firstLineChars="0"/>
            <w:rPr>
              <w:rFonts w:ascii="Times New Roman" w:hAnsi="Times New Roman"/>
              <w:highlight w:val="none"/>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_Toc21884 </w:instrText>
          </w:r>
          <w:r>
            <w:rPr>
              <w:rFonts w:hint="eastAsia" w:ascii="Times New Roman" w:hAnsi="Times New Roman"/>
              <w:bCs/>
              <w:szCs w:val="41"/>
              <w:highlight w:val="none"/>
            </w:rPr>
            <w:fldChar w:fldCharType="separate"/>
          </w:r>
          <w:r>
            <w:rPr>
              <w:rFonts w:hint="eastAsia" w:ascii="Times New Roman" w:hAnsi="Times New Roman" w:eastAsia="楷体_GB2312" w:cs="楷体_GB2312"/>
              <w:bCs/>
              <w:szCs w:val="32"/>
              <w:highlight w:val="none"/>
            </w:rPr>
            <w:t>（一）机构设置及主要职责</w:t>
          </w:r>
          <w:r>
            <w:rPr>
              <w:rFonts w:ascii="Times New Roman" w:hAnsi="Times New Roman"/>
              <w:highlight w:val="none"/>
            </w:rPr>
            <w:tab/>
          </w:r>
          <w:r>
            <w:rPr>
              <w:rFonts w:hint="default" w:ascii="Times New Roman" w:hAnsi="Times New Roman" w:cs="Times New Roman"/>
              <w:highlight w:val="none"/>
              <w:lang w:val="en-US" w:eastAsia="zh-CN"/>
            </w:rPr>
            <w:t>1</w:t>
          </w:r>
          <w:r>
            <w:rPr>
              <w:rFonts w:hint="eastAsia" w:ascii="Times New Roman" w:hAnsi="Times New Roman"/>
              <w:bCs/>
              <w:color w:val="000000"/>
              <w:szCs w:val="41"/>
              <w:highlight w:val="none"/>
            </w:rPr>
            <w:fldChar w:fldCharType="end"/>
          </w:r>
        </w:p>
        <w:p w14:paraId="1ED2B00A">
          <w:pPr>
            <w:pStyle w:val="15"/>
            <w:tabs>
              <w:tab w:val="right" w:leader="dot" w:pos="8845"/>
            </w:tabs>
            <w:spacing w:line="240" w:lineRule="auto"/>
            <w:ind w:left="0" w:leftChars="0" w:firstLine="0" w:firstLineChars="0"/>
            <w:rPr>
              <w:rFonts w:ascii="Times New Roman" w:hAnsi="Times New Roman"/>
              <w:highlight w:val="none"/>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_Toc818 </w:instrText>
          </w:r>
          <w:r>
            <w:rPr>
              <w:rFonts w:hint="eastAsia" w:ascii="Times New Roman" w:hAnsi="Times New Roman"/>
              <w:bCs/>
              <w:szCs w:val="41"/>
              <w:highlight w:val="none"/>
            </w:rPr>
            <w:fldChar w:fldCharType="separate"/>
          </w:r>
          <w:r>
            <w:rPr>
              <w:rFonts w:hint="eastAsia" w:ascii="Times New Roman" w:hAnsi="Times New Roman" w:eastAsia="楷体_GB2312" w:cs="楷体_GB2312"/>
              <w:bCs/>
              <w:szCs w:val="32"/>
              <w:highlight w:val="none"/>
            </w:rPr>
            <w:t>（二）</w:t>
          </w:r>
          <w:r>
            <w:rPr>
              <w:rFonts w:hint="eastAsia" w:ascii="Times New Roman" w:hAnsi="Times New Roman" w:eastAsia="方正仿宋_GB2312" w:cs="Times New Roman"/>
              <w:kern w:val="2"/>
              <w:sz w:val="21"/>
              <w:szCs w:val="21"/>
              <w:highlight w:val="none"/>
              <w:lang w:val="en-US" w:eastAsia="zh-CN" w:bidi="ar-SA"/>
            </w:rPr>
            <w:t>2025</w:t>
          </w:r>
          <w:r>
            <w:rPr>
              <w:rFonts w:hint="eastAsia" w:ascii="Times New Roman" w:hAnsi="Times New Roman" w:eastAsia="楷体_GB2312" w:cs="楷体_GB2312"/>
              <w:bCs/>
              <w:szCs w:val="32"/>
              <w:highlight w:val="none"/>
            </w:rPr>
            <w:t>年重点工作</w:t>
          </w:r>
          <w:r>
            <w:rPr>
              <w:rFonts w:ascii="Times New Roman" w:hAnsi="Times New Roman"/>
              <w:highlight w:val="none"/>
            </w:rPr>
            <w:tab/>
          </w:r>
          <w:r>
            <w:rPr>
              <w:rFonts w:hint="default" w:ascii="Times New Roman" w:hAnsi="Times New Roman" w:cs="Times New Roman"/>
              <w:highlight w:val="none"/>
              <w:lang w:val="en-US" w:eastAsia="zh-CN"/>
            </w:rPr>
            <w:t>1</w:t>
          </w:r>
          <w:r>
            <w:rPr>
              <w:rFonts w:hint="eastAsia" w:ascii="Times New Roman" w:hAnsi="Times New Roman"/>
              <w:bCs/>
              <w:color w:val="000000"/>
              <w:szCs w:val="41"/>
              <w:highlight w:val="none"/>
            </w:rPr>
            <w:fldChar w:fldCharType="end"/>
          </w:r>
        </w:p>
        <w:p w14:paraId="562463BF">
          <w:pPr>
            <w:pStyle w:val="14"/>
            <w:tabs>
              <w:tab w:val="right" w:leader="dot" w:pos="8845"/>
            </w:tabs>
            <w:spacing w:line="240" w:lineRule="auto"/>
            <w:ind w:firstLine="0" w:firstLineChars="0"/>
            <w:rPr>
              <w:rFonts w:ascii="Times New Roman" w:hAnsi="Times New Roman"/>
              <w:b/>
              <w:highlight w:val="none"/>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_Toc27442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二、部门预算单位构成</w:t>
          </w:r>
          <w:r>
            <w:rPr>
              <w:rFonts w:ascii="Times New Roman" w:hAnsi="Times New Roman"/>
              <w:b/>
              <w:highlight w:val="none"/>
            </w:rPr>
            <w:tab/>
          </w:r>
          <w:r>
            <w:rPr>
              <w:rFonts w:hint="eastAsia" w:ascii="Times New Roman" w:hAnsi="Times New Roman" w:cs="Times New Roman"/>
              <w:b/>
              <w:highlight w:val="none"/>
              <w:lang w:val="en-US" w:eastAsia="zh-CN"/>
            </w:rPr>
            <w:t>6</w:t>
          </w:r>
          <w:r>
            <w:rPr>
              <w:rFonts w:hint="eastAsia" w:ascii="Times New Roman" w:hAnsi="Times New Roman"/>
              <w:b/>
              <w:bCs/>
              <w:color w:val="000000"/>
              <w:szCs w:val="41"/>
              <w:highlight w:val="none"/>
            </w:rPr>
            <w:fldChar w:fldCharType="end"/>
          </w:r>
        </w:p>
        <w:p w14:paraId="6741C6A1">
          <w:pPr>
            <w:pStyle w:val="14"/>
            <w:tabs>
              <w:tab w:val="right" w:leader="dot" w:pos="8845"/>
            </w:tabs>
            <w:spacing w:line="240" w:lineRule="auto"/>
            <w:ind w:firstLine="0" w:firstLineChars="0"/>
            <w:rPr>
              <w:rFonts w:ascii="Times New Roman" w:hAnsi="Times New Roman"/>
              <w:b/>
              <w:highlight w:val="none"/>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_Toc1848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三、收支预算增减变化情况说明</w:t>
          </w:r>
          <w:r>
            <w:rPr>
              <w:rFonts w:ascii="Times New Roman" w:hAnsi="Times New Roman"/>
              <w:b/>
              <w:highlight w:val="none"/>
            </w:rPr>
            <w:tab/>
          </w:r>
          <w:r>
            <w:rPr>
              <w:rFonts w:hint="eastAsia" w:ascii="Times New Roman" w:hAnsi="Times New Roman" w:cs="Times New Roman"/>
              <w:b/>
              <w:highlight w:val="none"/>
              <w:lang w:val="en-US" w:eastAsia="zh-CN"/>
            </w:rPr>
            <w:t>6</w:t>
          </w:r>
          <w:r>
            <w:rPr>
              <w:rFonts w:hint="eastAsia" w:ascii="Times New Roman" w:hAnsi="Times New Roman"/>
              <w:b/>
              <w:bCs/>
              <w:color w:val="000000"/>
              <w:szCs w:val="41"/>
              <w:highlight w:val="none"/>
            </w:rPr>
            <w:fldChar w:fldCharType="end"/>
          </w:r>
        </w:p>
        <w:p w14:paraId="56F326B7">
          <w:pPr>
            <w:pStyle w:val="15"/>
            <w:tabs>
              <w:tab w:val="right" w:leader="dot" w:pos="8845"/>
            </w:tabs>
            <w:spacing w:line="240" w:lineRule="auto"/>
            <w:ind w:left="0" w:leftChars="0" w:firstLine="0" w:firstLineChars="0"/>
            <w:rPr>
              <w:rFonts w:ascii="Times New Roman" w:hAnsi="Times New Roman"/>
              <w:highlight w:val="none"/>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_Toc193 </w:instrText>
          </w:r>
          <w:r>
            <w:rPr>
              <w:rFonts w:hint="eastAsia" w:ascii="Times New Roman" w:hAnsi="Times New Roman"/>
              <w:bCs/>
              <w:szCs w:val="41"/>
              <w:highlight w:val="none"/>
            </w:rPr>
            <w:fldChar w:fldCharType="separate"/>
          </w:r>
          <w:r>
            <w:rPr>
              <w:rFonts w:hint="eastAsia" w:ascii="Times New Roman" w:hAnsi="Times New Roman" w:eastAsia="楷体_GB2312" w:cs="楷体_GB2312"/>
              <w:bCs/>
              <w:szCs w:val="32"/>
              <w:highlight w:val="none"/>
            </w:rPr>
            <w:t>（一）收入预算情况</w:t>
          </w:r>
          <w:r>
            <w:rPr>
              <w:rFonts w:ascii="Times New Roman" w:hAnsi="Times New Roman"/>
              <w:highlight w:val="none"/>
            </w:rPr>
            <w:tab/>
          </w:r>
          <w:r>
            <w:rPr>
              <w:rFonts w:hint="eastAsia" w:ascii="Times New Roman" w:hAnsi="Times New Roman" w:cs="Times New Roman"/>
              <w:highlight w:val="none"/>
              <w:lang w:val="en-US" w:eastAsia="zh-CN"/>
            </w:rPr>
            <w:t>6</w:t>
          </w:r>
          <w:r>
            <w:rPr>
              <w:rFonts w:hint="eastAsia" w:ascii="Times New Roman" w:hAnsi="Times New Roman"/>
              <w:bCs/>
              <w:color w:val="000000"/>
              <w:szCs w:val="41"/>
              <w:highlight w:val="none"/>
            </w:rPr>
            <w:fldChar w:fldCharType="end"/>
          </w:r>
        </w:p>
        <w:p w14:paraId="01B659D2">
          <w:pPr>
            <w:pStyle w:val="15"/>
            <w:tabs>
              <w:tab w:val="right" w:leader="dot" w:pos="8845"/>
            </w:tabs>
            <w:spacing w:line="240" w:lineRule="auto"/>
            <w:ind w:left="0" w:leftChars="0" w:firstLine="0" w:firstLineChars="0"/>
            <w:rPr>
              <w:rFonts w:ascii="Times New Roman" w:hAnsi="Times New Roman"/>
              <w:highlight w:val="none"/>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_Toc3651 </w:instrText>
          </w:r>
          <w:r>
            <w:rPr>
              <w:rFonts w:hint="eastAsia" w:ascii="Times New Roman" w:hAnsi="Times New Roman"/>
              <w:bCs/>
              <w:szCs w:val="41"/>
              <w:highlight w:val="none"/>
            </w:rPr>
            <w:fldChar w:fldCharType="separate"/>
          </w:r>
          <w:r>
            <w:rPr>
              <w:rFonts w:hint="eastAsia" w:ascii="Times New Roman" w:hAnsi="Times New Roman" w:eastAsia="楷体_GB2312" w:cs="楷体_GB2312"/>
              <w:bCs/>
              <w:szCs w:val="32"/>
              <w:highlight w:val="none"/>
            </w:rPr>
            <w:t>（二）支出预算情况</w:t>
          </w:r>
          <w:r>
            <w:rPr>
              <w:rFonts w:ascii="Times New Roman" w:hAnsi="Times New Roman"/>
              <w:highlight w:val="none"/>
            </w:rPr>
            <w:tab/>
          </w:r>
          <w:r>
            <w:rPr>
              <w:rFonts w:hint="eastAsia" w:ascii="Times New Roman" w:hAnsi="Times New Roman" w:cs="Times New Roman"/>
              <w:highlight w:val="none"/>
              <w:lang w:val="en-US" w:eastAsia="zh-CN"/>
            </w:rPr>
            <w:t>7</w:t>
          </w:r>
          <w:r>
            <w:rPr>
              <w:rFonts w:hint="eastAsia" w:ascii="Times New Roman" w:hAnsi="Times New Roman"/>
              <w:bCs/>
              <w:color w:val="000000"/>
              <w:szCs w:val="41"/>
              <w:highlight w:val="none"/>
            </w:rPr>
            <w:fldChar w:fldCharType="end"/>
          </w:r>
        </w:p>
        <w:p w14:paraId="3E713DCA">
          <w:pPr>
            <w:pStyle w:val="14"/>
            <w:tabs>
              <w:tab w:val="right" w:leader="dot" w:pos="8845"/>
            </w:tabs>
            <w:spacing w:line="240" w:lineRule="auto"/>
            <w:ind w:firstLine="0" w:firstLineChars="0"/>
            <w:rPr>
              <w:rFonts w:ascii="Times New Roman" w:hAnsi="Times New Roman"/>
              <w:b/>
              <w:highlight w:val="none"/>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_Toc3738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四、财政拨款收支预算情况说明</w:t>
          </w:r>
          <w:r>
            <w:rPr>
              <w:rFonts w:ascii="Times New Roman" w:hAnsi="Times New Roman"/>
              <w:b/>
              <w:highlight w:val="none"/>
            </w:rPr>
            <w:tab/>
          </w:r>
          <w:r>
            <w:rPr>
              <w:rFonts w:hint="eastAsia" w:ascii="Times New Roman" w:hAnsi="Times New Roman" w:cs="Times New Roman"/>
              <w:b/>
              <w:highlight w:val="none"/>
              <w:lang w:val="en-US" w:eastAsia="zh-CN"/>
            </w:rPr>
            <w:t>7</w:t>
          </w:r>
          <w:r>
            <w:rPr>
              <w:rFonts w:hint="eastAsia" w:ascii="Times New Roman" w:hAnsi="Times New Roman"/>
              <w:b/>
              <w:bCs/>
              <w:color w:val="000000"/>
              <w:szCs w:val="41"/>
              <w:highlight w:val="none"/>
            </w:rPr>
            <w:fldChar w:fldCharType="end"/>
          </w:r>
        </w:p>
        <w:p w14:paraId="36C4B4BA">
          <w:pPr>
            <w:pStyle w:val="14"/>
            <w:tabs>
              <w:tab w:val="right" w:leader="dot" w:pos="8845"/>
            </w:tabs>
            <w:spacing w:line="240" w:lineRule="auto"/>
            <w:ind w:firstLine="0" w:firstLineChars="0"/>
            <w:rPr>
              <w:rFonts w:ascii="Times New Roman" w:hAnsi="Times New Roman"/>
              <w:b/>
              <w:highlight w:val="none"/>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_Toc3440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五、一般公共预算当年拨款情况说明</w:t>
          </w:r>
          <w:r>
            <w:rPr>
              <w:rFonts w:ascii="Times New Roman" w:hAnsi="Times New Roman"/>
              <w:b/>
              <w:highlight w:val="none"/>
            </w:rPr>
            <w:tab/>
          </w:r>
          <w:r>
            <w:rPr>
              <w:rFonts w:hint="eastAsia" w:ascii="Times New Roman" w:hAnsi="Times New Roman" w:cs="Times New Roman"/>
              <w:b/>
              <w:highlight w:val="none"/>
              <w:lang w:val="en-US" w:eastAsia="zh-CN"/>
            </w:rPr>
            <w:t>7</w:t>
          </w:r>
          <w:r>
            <w:rPr>
              <w:rFonts w:hint="eastAsia" w:ascii="Times New Roman" w:hAnsi="Times New Roman"/>
              <w:b/>
              <w:bCs/>
              <w:color w:val="000000"/>
              <w:szCs w:val="41"/>
              <w:highlight w:val="none"/>
            </w:rPr>
            <w:fldChar w:fldCharType="end"/>
          </w:r>
        </w:p>
        <w:p w14:paraId="28613E0E">
          <w:pPr>
            <w:pStyle w:val="15"/>
            <w:tabs>
              <w:tab w:val="right" w:leader="dot" w:pos="8845"/>
            </w:tabs>
            <w:spacing w:line="240" w:lineRule="auto"/>
            <w:ind w:left="0" w:leftChars="0" w:firstLine="0" w:firstLineChars="0"/>
            <w:rPr>
              <w:rFonts w:ascii="Times New Roman" w:hAnsi="Times New Roman"/>
              <w:highlight w:val="none"/>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_Toc25098 </w:instrText>
          </w:r>
          <w:r>
            <w:rPr>
              <w:rFonts w:hint="eastAsia" w:ascii="Times New Roman" w:hAnsi="Times New Roman"/>
              <w:bCs/>
              <w:szCs w:val="41"/>
              <w:highlight w:val="none"/>
            </w:rPr>
            <w:fldChar w:fldCharType="separate"/>
          </w:r>
          <w:r>
            <w:rPr>
              <w:rFonts w:hint="eastAsia" w:ascii="Times New Roman" w:hAnsi="Times New Roman" w:eastAsia="楷体_GB2312" w:cs="楷体_GB2312"/>
              <w:bCs/>
              <w:szCs w:val="32"/>
              <w:highlight w:val="none"/>
            </w:rPr>
            <w:t>（一）一般公共预算当年拨款规模变化情况</w:t>
          </w:r>
          <w:r>
            <w:rPr>
              <w:rFonts w:ascii="Times New Roman" w:hAnsi="Times New Roman"/>
              <w:highlight w:val="none"/>
            </w:rPr>
            <w:tab/>
          </w:r>
          <w:r>
            <w:rPr>
              <w:rFonts w:hint="eastAsia" w:ascii="Times New Roman" w:hAnsi="Times New Roman" w:cs="Times New Roman"/>
              <w:highlight w:val="none"/>
              <w:lang w:val="en-US" w:eastAsia="zh-CN"/>
            </w:rPr>
            <w:t>7</w:t>
          </w:r>
          <w:r>
            <w:rPr>
              <w:rFonts w:hint="eastAsia" w:ascii="Times New Roman" w:hAnsi="Times New Roman"/>
              <w:bCs/>
              <w:color w:val="000000"/>
              <w:szCs w:val="41"/>
              <w:highlight w:val="none"/>
            </w:rPr>
            <w:fldChar w:fldCharType="end"/>
          </w:r>
        </w:p>
        <w:p w14:paraId="6A2CA803">
          <w:pPr>
            <w:pStyle w:val="15"/>
            <w:tabs>
              <w:tab w:val="right" w:leader="dot" w:pos="8845"/>
            </w:tabs>
            <w:spacing w:line="240" w:lineRule="auto"/>
            <w:ind w:left="0" w:leftChars="0" w:firstLine="0" w:firstLineChars="0"/>
            <w:rPr>
              <w:rFonts w:ascii="Times New Roman" w:hAnsi="Times New Roman"/>
              <w:highlight w:val="none"/>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_Toc16092 </w:instrText>
          </w:r>
          <w:r>
            <w:rPr>
              <w:rFonts w:hint="eastAsia" w:ascii="Times New Roman" w:hAnsi="Times New Roman"/>
              <w:bCs/>
              <w:szCs w:val="41"/>
              <w:highlight w:val="none"/>
            </w:rPr>
            <w:fldChar w:fldCharType="separate"/>
          </w:r>
          <w:r>
            <w:rPr>
              <w:rFonts w:hint="eastAsia" w:ascii="Times New Roman" w:hAnsi="Times New Roman" w:eastAsia="仿宋_GB2312"/>
              <w:bCs/>
              <w:szCs w:val="32"/>
              <w:highlight w:val="none"/>
            </w:rPr>
            <w:t>（二）</w:t>
          </w:r>
          <w:r>
            <w:rPr>
              <w:rFonts w:hint="eastAsia" w:ascii="Times New Roman" w:hAnsi="Times New Roman" w:eastAsia="楷体_GB2312" w:cs="楷体_GB2312"/>
              <w:bCs/>
              <w:szCs w:val="32"/>
              <w:highlight w:val="none"/>
            </w:rPr>
            <w:t>一般公共预算当年拨款结构情况(按照功能科目类写)</w:t>
          </w:r>
          <w:r>
            <w:rPr>
              <w:rFonts w:ascii="Times New Roman" w:hAnsi="Times New Roman"/>
              <w:highlight w:val="none"/>
            </w:rPr>
            <w:tab/>
          </w:r>
          <w:r>
            <w:rPr>
              <w:rFonts w:hint="eastAsia" w:ascii="Times New Roman" w:hAnsi="Times New Roman" w:cs="Times New Roman"/>
              <w:highlight w:val="none"/>
              <w:lang w:val="en-US" w:eastAsia="zh-CN"/>
            </w:rPr>
            <w:t>7</w:t>
          </w:r>
          <w:r>
            <w:rPr>
              <w:rFonts w:hint="eastAsia" w:ascii="Times New Roman" w:hAnsi="Times New Roman"/>
              <w:bCs/>
              <w:color w:val="000000"/>
              <w:szCs w:val="41"/>
              <w:highlight w:val="none"/>
            </w:rPr>
            <w:fldChar w:fldCharType="end"/>
          </w:r>
        </w:p>
        <w:p w14:paraId="321E5A1E">
          <w:pPr>
            <w:pStyle w:val="15"/>
            <w:tabs>
              <w:tab w:val="right" w:leader="dot" w:pos="8845"/>
            </w:tabs>
            <w:spacing w:line="240" w:lineRule="auto"/>
            <w:ind w:left="0" w:leftChars="0" w:firstLine="0" w:firstLineChars="0"/>
            <w:rPr>
              <w:rFonts w:ascii="Times New Roman" w:hAnsi="Times New Roman"/>
              <w:highlight w:val="none"/>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_Toc28341 </w:instrText>
          </w:r>
          <w:r>
            <w:rPr>
              <w:rFonts w:hint="eastAsia" w:ascii="Times New Roman" w:hAnsi="Times New Roman"/>
              <w:bCs/>
              <w:szCs w:val="41"/>
              <w:highlight w:val="none"/>
            </w:rPr>
            <w:fldChar w:fldCharType="separate"/>
          </w:r>
          <w:r>
            <w:rPr>
              <w:rFonts w:hint="eastAsia" w:ascii="Times New Roman" w:hAnsi="Times New Roman" w:eastAsia="楷体_GB2312" w:cs="楷体_GB2312"/>
              <w:bCs/>
              <w:szCs w:val="32"/>
              <w:highlight w:val="none"/>
            </w:rPr>
            <w:t>（三）一般公共预算当年拨款具体使用情况（按功能科目类款项写）</w:t>
          </w:r>
          <w:r>
            <w:rPr>
              <w:rFonts w:ascii="Times New Roman" w:hAnsi="Times New Roman"/>
              <w:highlight w:val="none"/>
            </w:rPr>
            <w:tab/>
          </w:r>
          <w:r>
            <w:rPr>
              <w:rFonts w:hint="eastAsia" w:ascii="Times New Roman" w:hAnsi="Times New Roman" w:cs="Times New Roman"/>
              <w:highlight w:val="none"/>
              <w:lang w:val="en-US" w:eastAsia="zh-CN"/>
            </w:rPr>
            <w:t>8</w:t>
          </w:r>
          <w:r>
            <w:rPr>
              <w:rFonts w:hint="eastAsia" w:ascii="Times New Roman" w:hAnsi="Times New Roman"/>
              <w:bCs/>
              <w:color w:val="000000"/>
              <w:szCs w:val="41"/>
              <w:highlight w:val="none"/>
            </w:rPr>
            <w:fldChar w:fldCharType="end"/>
          </w:r>
        </w:p>
        <w:p w14:paraId="273A0AE3">
          <w:pPr>
            <w:pStyle w:val="14"/>
            <w:tabs>
              <w:tab w:val="right" w:leader="dot" w:pos="8845"/>
            </w:tabs>
            <w:spacing w:line="240" w:lineRule="auto"/>
            <w:ind w:firstLine="0" w:firstLineChars="0"/>
            <w:rPr>
              <w:rFonts w:ascii="Times New Roman" w:hAnsi="Times New Roman"/>
              <w:b/>
              <w:highlight w:val="none"/>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_Toc18858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六、一般公共预算基本支出情况说明</w:t>
          </w:r>
          <w:r>
            <w:rPr>
              <w:rFonts w:ascii="Times New Roman" w:hAnsi="Times New Roman"/>
              <w:b/>
              <w:highlight w:val="none"/>
            </w:rPr>
            <w:tab/>
          </w:r>
          <w:r>
            <w:rPr>
              <w:rFonts w:hint="eastAsia" w:ascii="Times New Roman" w:hAnsi="Times New Roman" w:cs="Times New Roman"/>
              <w:b/>
              <w:highlight w:val="none"/>
              <w:lang w:val="en-US" w:eastAsia="zh-CN"/>
            </w:rPr>
            <w:t>8</w:t>
          </w:r>
          <w:r>
            <w:rPr>
              <w:rFonts w:hint="eastAsia" w:ascii="Times New Roman" w:hAnsi="Times New Roman"/>
              <w:b/>
              <w:bCs/>
              <w:color w:val="000000"/>
              <w:szCs w:val="41"/>
              <w:highlight w:val="none"/>
            </w:rPr>
            <w:fldChar w:fldCharType="end"/>
          </w:r>
        </w:p>
        <w:p w14:paraId="738A7F75">
          <w:pPr>
            <w:pStyle w:val="14"/>
            <w:tabs>
              <w:tab w:val="right" w:leader="dot" w:pos="8845"/>
            </w:tabs>
            <w:spacing w:line="240" w:lineRule="auto"/>
            <w:ind w:firstLine="0" w:firstLineChars="0"/>
            <w:rPr>
              <w:rFonts w:ascii="Times New Roman" w:hAnsi="Times New Roman"/>
              <w:b/>
              <w:highlight w:val="none"/>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_Toc256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七、“三公”经费财政拨款预算安排情况说明</w:t>
          </w:r>
          <w:r>
            <w:rPr>
              <w:rFonts w:ascii="Times New Roman" w:hAnsi="Times New Roman"/>
              <w:b/>
              <w:highlight w:val="none"/>
            </w:rPr>
            <w:tab/>
          </w:r>
          <w:r>
            <w:rPr>
              <w:rFonts w:hint="eastAsia" w:ascii="Times New Roman" w:hAnsi="Times New Roman" w:cs="Times New Roman"/>
              <w:b/>
              <w:highlight w:val="none"/>
              <w:lang w:val="en-US" w:eastAsia="zh-CN"/>
            </w:rPr>
            <w:t>9</w:t>
          </w:r>
          <w:r>
            <w:rPr>
              <w:rFonts w:hint="eastAsia" w:ascii="Times New Roman" w:hAnsi="Times New Roman"/>
              <w:b/>
              <w:bCs/>
              <w:color w:val="000000"/>
              <w:szCs w:val="41"/>
              <w:highlight w:val="none"/>
            </w:rPr>
            <w:fldChar w:fldCharType="end"/>
          </w:r>
        </w:p>
        <w:p w14:paraId="1D645F0E">
          <w:pPr>
            <w:pStyle w:val="14"/>
            <w:tabs>
              <w:tab w:val="right" w:leader="dot" w:pos="8845"/>
            </w:tabs>
            <w:spacing w:line="240" w:lineRule="auto"/>
            <w:ind w:firstLine="0" w:firstLineChars="0"/>
            <w:rPr>
              <w:rFonts w:ascii="Times New Roman" w:hAnsi="Times New Roman"/>
              <w:b/>
              <w:highlight w:val="none"/>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_Toc11086 </w:instrText>
          </w:r>
          <w:r>
            <w:rPr>
              <w:rFonts w:hint="eastAsia" w:ascii="Times New Roman" w:hAnsi="Times New Roman"/>
              <w:b/>
              <w:bCs/>
              <w:szCs w:val="41"/>
              <w:highlight w:val="none"/>
            </w:rPr>
            <w:fldChar w:fldCharType="separate"/>
          </w:r>
          <w:r>
            <w:rPr>
              <w:rFonts w:hint="eastAsia" w:ascii="Times New Roman" w:hAnsi="Times New Roman" w:eastAsia="黑体" w:cs="黑体"/>
              <w:b/>
              <w:bCs w:val="0"/>
              <w:szCs w:val="32"/>
              <w:highlight w:val="none"/>
            </w:rPr>
            <w:t>八、政府性基金预算收支情况说明</w:t>
          </w:r>
          <w:r>
            <w:rPr>
              <w:rFonts w:ascii="Times New Roman" w:hAnsi="Times New Roman"/>
              <w:b/>
              <w:highlight w:val="none"/>
            </w:rPr>
            <w:tab/>
          </w:r>
          <w:r>
            <w:rPr>
              <w:rFonts w:hint="eastAsia" w:ascii="Times New Roman" w:hAnsi="Times New Roman" w:cs="Times New Roman"/>
              <w:b/>
              <w:highlight w:val="none"/>
              <w:lang w:val="en-US" w:eastAsia="zh-CN"/>
            </w:rPr>
            <w:t>9</w:t>
          </w:r>
          <w:r>
            <w:rPr>
              <w:rFonts w:hint="eastAsia" w:ascii="Times New Roman" w:hAnsi="Times New Roman"/>
              <w:b/>
              <w:bCs/>
              <w:color w:val="000000"/>
              <w:szCs w:val="41"/>
              <w:highlight w:val="none"/>
            </w:rPr>
            <w:fldChar w:fldCharType="end"/>
          </w:r>
        </w:p>
        <w:p w14:paraId="14E2EF2B">
          <w:pPr>
            <w:pStyle w:val="14"/>
            <w:tabs>
              <w:tab w:val="right" w:leader="dot" w:pos="8845"/>
            </w:tabs>
            <w:spacing w:line="240" w:lineRule="auto"/>
            <w:ind w:firstLine="0" w:firstLineChars="0"/>
            <w:rPr>
              <w:rFonts w:hint="eastAsia" w:ascii="Times New Roman" w:hAnsi="Times New Roman" w:eastAsia="宋体"/>
              <w:b/>
              <w:highlight w:val="none"/>
              <w:lang w:val="en-US" w:eastAsia="zh-CN"/>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_Toc165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九、国有资本经营预算支出情况说明</w:t>
          </w:r>
          <w:r>
            <w:rPr>
              <w:rFonts w:ascii="Times New Roman" w:hAnsi="Times New Roman"/>
              <w:b/>
              <w:highlight w:val="none"/>
            </w:rPr>
            <w:tab/>
          </w:r>
          <w:r>
            <w:rPr>
              <w:rFonts w:hint="eastAsia" w:ascii="Times New Roman" w:hAnsi="Times New Roman" w:cs="Times New Roman"/>
              <w:b/>
              <w:highlight w:val="none"/>
              <w:lang w:val="en-US" w:eastAsia="zh-CN"/>
            </w:rPr>
            <w:t>1</w:t>
          </w:r>
          <w:r>
            <w:rPr>
              <w:rFonts w:hint="eastAsia" w:ascii="Times New Roman" w:hAnsi="Times New Roman"/>
              <w:b/>
              <w:bCs/>
              <w:color w:val="000000"/>
              <w:szCs w:val="41"/>
              <w:highlight w:val="none"/>
            </w:rPr>
            <w:fldChar w:fldCharType="end"/>
          </w:r>
          <w:r>
            <w:rPr>
              <w:rFonts w:hint="eastAsia" w:ascii="Times New Roman" w:hAnsi="Times New Roman"/>
              <w:b/>
              <w:bCs/>
              <w:color w:val="000000"/>
              <w:szCs w:val="41"/>
              <w:highlight w:val="none"/>
              <w:lang w:val="en-US" w:eastAsia="zh-CN"/>
            </w:rPr>
            <w:t>0</w:t>
          </w:r>
        </w:p>
        <w:p w14:paraId="5239601D">
          <w:pPr>
            <w:pStyle w:val="14"/>
            <w:tabs>
              <w:tab w:val="right" w:leader="dot" w:pos="8845"/>
            </w:tabs>
            <w:spacing w:line="240" w:lineRule="auto"/>
            <w:ind w:firstLine="0" w:firstLineChars="0"/>
            <w:rPr>
              <w:rFonts w:hint="eastAsia" w:ascii="Times New Roman" w:hAnsi="Times New Roman" w:eastAsia="宋体"/>
              <w:b/>
              <w:highlight w:val="none"/>
              <w:lang w:val="en-US" w:eastAsia="zh-CN"/>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_Toc29771 </w:instrText>
          </w:r>
          <w:r>
            <w:rPr>
              <w:rFonts w:hint="eastAsia" w:ascii="Times New Roman" w:hAnsi="Times New Roman"/>
              <w:b/>
              <w:bCs/>
              <w:szCs w:val="41"/>
              <w:highlight w:val="none"/>
            </w:rPr>
            <w:fldChar w:fldCharType="separate"/>
          </w:r>
          <w:r>
            <w:rPr>
              <w:rFonts w:hint="eastAsia" w:ascii="Times New Roman" w:hAnsi="Times New Roman" w:eastAsia="黑体" w:cs="黑体"/>
              <w:b/>
              <w:szCs w:val="32"/>
              <w:highlight w:val="none"/>
            </w:rPr>
            <w:t>十、其他重要事项的情况说明</w:t>
          </w:r>
          <w:r>
            <w:rPr>
              <w:rFonts w:ascii="Times New Roman" w:hAnsi="Times New Roman"/>
              <w:b/>
              <w:highlight w:val="none"/>
            </w:rPr>
            <w:tab/>
          </w:r>
          <w:r>
            <w:rPr>
              <w:rFonts w:hint="eastAsia" w:ascii="Times New Roman" w:hAnsi="Times New Roman" w:cs="Times New Roman"/>
              <w:b/>
              <w:highlight w:val="none"/>
              <w:lang w:val="en-US" w:eastAsia="zh-CN"/>
            </w:rPr>
            <w:t>1</w:t>
          </w:r>
          <w:r>
            <w:rPr>
              <w:rFonts w:hint="eastAsia" w:ascii="Times New Roman" w:hAnsi="Times New Roman"/>
              <w:b/>
              <w:bCs/>
              <w:color w:val="000000"/>
              <w:szCs w:val="41"/>
              <w:highlight w:val="none"/>
            </w:rPr>
            <w:fldChar w:fldCharType="end"/>
          </w:r>
          <w:r>
            <w:rPr>
              <w:rFonts w:hint="eastAsia" w:ascii="Times New Roman" w:hAnsi="Times New Roman"/>
              <w:b/>
              <w:bCs/>
              <w:color w:val="000000"/>
              <w:szCs w:val="41"/>
              <w:highlight w:val="none"/>
              <w:lang w:val="en-US" w:eastAsia="zh-CN"/>
            </w:rPr>
            <w:t>0</w:t>
          </w:r>
        </w:p>
        <w:p w14:paraId="045CF774">
          <w:pPr>
            <w:pStyle w:val="15"/>
            <w:tabs>
              <w:tab w:val="right" w:leader="dot" w:pos="8845"/>
            </w:tabs>
            <w:spacing w:line="240" w:lineRule="auto"/>
            <w:ind w:left="0" w:leftChars="0" w:firstLine="0" w:firstLineChars="0"/>
            <w:rPr>
              <w:rFonts w:hint="eastAsia" w:ascii="Times New Roman" w:hAnsi="Times New Roman" w:eastAsia="宋体"/>
              <w:highlight w:val="none"/>
              <w:lang w:val="en-US" w:eastAsia="zh-CN"/>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_Toc11525 </w:instrText>
          </w:r>
          <w:r>
            <w:rPr>
              <w:rFonts w:hint="eastAsia" w:ascii="Times New Roman" w:hAnsi="Times New Roman"/>
              <w:bCs/>
              <w:szCs w:val="41"/>
              <w:highlight w:val="none"/>
            </w:rPr>
            <w:fldChar w:fldCharType="separate"/>
          </w:r>
          <w:r>
            <w:rPr>
              <w:rFonts w:hint="eastAsia" w:ascii="Times New Roman" w:hAnsi="Times New Roman" w:eastAsia="仿宋_GB2312"/>
              <w:szCs w:val="32"/>
              <w:highlight w:val="none"/>
            </w:rPr>
            <w:t>（一）</w:t>
          </w:r>
          <w:r>
            <w:rPr>
              <w:rFonts w:hint="eastAsia" w:ascii="Times New Roman" w:hAnsi="Times New Roman" w:eastAsia="楷体_GB2312" w:cs="楷体_GB2312"/>
              <w:bCs/>
              <w:szCs w:val="32"/>
              <w:highlight w:val="none"/>
            </w:rPr>
            <w:t>机关运行经费</w:t>
          </w:r>
          <w:r>
            <w:rPr>
              <w:rFonts w:ascii="Times New Roman" w:hAnsi="Times New Roman"/>
              <w:highlight w:val="none"/>
            </w:rPr>
            <w:tab/>
          </w:r>
          <w:r>
            <w:rPr>
              <w:rFonts w:hint="eastAsia" w:ascii="Times New Roman" w:hAnsi="Times New Roman" w:cs="Times New Roman"/>
              <w:highlight w:val="none"/>
              <w:lang w:val="en-US" w:eastAsia="zh-CN"/>
            </w:rPr>
            <w:t>1</w:t>
          </w:r>
          <w:r>
            <w:rPr>
              <w:rFonts w:hint="eastAsia" w:ascii="Times New Roman" w:hAnsi="Times New Roman"/>
              <w:bCs/>
              <w:color w:val="000000"/>
              <w:szCs w:val="41"/>
              <w:highlight w:val="none"/>
            </w:rPr>
            <w:fldChar w:fldCharType="end"/>
          </w:r>
          <w:r>
            <w:rPr>
              <w:rFonts w:hint="eastAsia" w:ascii="Times New Roman" w:hAnsi="Times New Roman"/>
              <w:bCs/>
              <w:color w:val="000000"/>
              <w:szCs w:val="41"/>
              <w:highlight w:val="none"/>
              <w:lang w:val="en-US" w:eastAsia="zh-CN"/>
            </w:rPr>
            <w:t>0</w:t>
          </w:r>
        </w:p>
        <w:p w14:paraId="26146E0C">
          <w:pPr>
            <w:pStyle w:val="15"/>
            <w:tabs>
              <w:tab w:val="right" w:leader="dot" w:pos="8845"/>
            </w:tabs>
            <w:spacing w:line="240" w:lineRule="auto"/>
            <w:ind w:left="0" w:leftChars="0" w:firstLine="0" w:firstLineChars="0"/>
            <w:rPr>
              <w:rFonts w:hint="eastAsia" w:ascii="Times New Roman" w:hAnsi="Times New Roman" w:eastAsia="宋体"/>
              <w:highlight w:val="none"/>
              <w:lang w:val="en-US" w:eastAsia="zh-CN"/>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_Toc15299 </w:instrText>
          </w:r>
          <w:r>
            <w:rPr>
              <w:rFonts w:hint="eastAsia" w:ascii="Times New Roman" w:hAnsi="Times New Roman"/>
              <w:bCs/>
              <w:szCs w:val="41"/>
              <w:highlight w:val="none"/>
            </w:rPr>
            <w:fldChar w:fldCharType="separate"/>
          </w:r>
          <w:r>
            <w:rPr>
              <w:rFonts w:hint="eastAsia" w:ascii="Times New Roman" w:hAnsi="Times New Roman" w:eastAsia="仿宋_GB2312"/>
              <w:szCs w:val="32"/>
              <w:highlight w:val="none"/>
            </w:rPr>
            <w:t>（二）</w:t>
          </w:r>
          <w:r>
            <w:rPr>
              <w:rFonts w:hint="eastAsia" w:ascii="Times New Roman" w:hAnsi="Times New Roman" w:eastAsia="楷体_GB2312" w:cs="楷体_GB2312"/>
              <w:bCs/>
              <w:szCs w:val="32"/>
              <w:highlight w:val="none"/>
            </w:rPr>
            <w:t>政府采购情况</w:t>
          </w:r>
          <w:r>
            <w:rPr>
              <w:rFonts w:ascii="Times New Roman" w:hAnsi="Times New Roman"/>
              <w:highlight w:val="none"/>
            </w:rPr>
            <w:tab/>
          </w:r>
          <w:r>
            <w:rPr>
              <w:rFonts w:hint="eastAsia" w:ascii="Times New Roman" w:hAnsi="Times New Roman" w:cs="Times New Roman"/>
              <w:highlight w:val="none"/>
              <w:lang w:val="en-US" w:eastAsia="zh-CN"/>
            </w:rPr>
            <w:t>1</w:t>
          </w:r>
          <w:r>
            <w:rPr>
              <w:rFonts w:hint="eastAsia" w:ascii="Times New Roman" w:hAnsi="Times New Roman"/>
              <w:bCs/>
              <w:color w:val="000000"/>
              <w:szCs w:val="41"/>
              <w:highlight w:val="none"/>
            </w:rPr>
            <w:fldChar w:fldCharType="end"/>
          </w:r>
          <w:r>
            <w:rPr>
              <w:rFonts w:hint="eastAsia" w:ascii="Times New Roman" w:hAnsi="Times New Roman"/>
              <w:bCs/>
              <w:color w:val="000000"/>
              <w:szCs w:val="41"/>
              <w:highlight w:val="none"/>
              <w:lang w:val="en-US" w:eastAsia="zh-CN"/>
            </w:rPr>
            <w:t>0</w:t>
          </w:r>
        </w:p>
        <w:p w14:paraId="64B97720">
          <w:pPr>
            <w:pStyle w:val="15"/>
            <w:tabs>
              <w:tab w:val="right" w:leader="dot" w:pos="8845"/>
            </w:tabs>
            <w:spacing w:line="240" w:lineRule="auto"/>
            <w:ind w:left="0" w:leftChars="0" w:firstLine="0" w:firstLineChars="0"/>
            <w:rPr>
              <w:rFonts w:hint="eastAsia" w:ascii="Times New Roman" w:hAnsi="Times New Roman" w:eastAsia="宋体"/>
              <w:highlight w:val="none"/>
              <w:lang w:val="en-US" w:eastAsia="zh-CN"/>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_Toc18679 </w:instrText>
          </w:r>
          <w:r>
            <w:rPr>
              <w:rFonts w:hint="eastAsia" w:ascii="Times New Roman" w:hAnsi="Times New Roman"/>
              <w:bCs/>
              <w:szCs w:val="41"/>
              <w:highlight w:val="none"/>
            </w:rPr>
            <w:fldChar w:fldCharType="separate"/>
          </w:r>
          <w:r>
            <w:rPr>
              <w:rFonts w:hint="eastAsia" w:ascii="Times New Roman" w:hAnsi="Times New Roman" w:eastAsia="仿宋_GB2312"/>
              <w:szCs w:val="32"/>
              <w:highlight w:val="none"/>
            </w:rPr>
            <w:t>（三）</w:t>
          </w:r>
          <w:r>
            <w:rPr>
              <w:rFonts w:hint="eastAsia" w:ascii="Times New Roman" w:hAnsi="Times New Roman" w:eastAsia="楷体_GB2312" w:cs="楷体_GB2312"/>
              <w:bCs/>
              <w:szCs w:val="32"/>
              <w:highlight w:val="none"/>
            </w:rPr>
            <w:t>国有资产占有使用情况</w:t>
          </w:r>
          <w:r>
            <w:rPr>
              <w:rFonts w:ascii="Times New Roman" w:hAnsi="Times New Roman"/>
              <w:highlight w:val="none"/>
            </w:rPr>
            <w:tab/>
          </w:r>
          <w:r>
            <w:rPr>
              <w:rFonts w:hint="eastAsia" w:ascii="Times New Roman" w:hAnsi="Times New Roman" w:cs="Times New Roman"/>
              <w:highlight w:val="none"/>
              <w:lang w:val="en-US" w:eastAsia="zh-CN"/>
            </w:rPr>
            <w:t>1</w:t>
          </w:r>
          <w:r>
            <w:rPr>
              <w:rFonts w:hint="eastAsia" w:ascii="Times New Roman" w:hAnsi="Times New Roman"/>
              <w:bCs/>
              <w:color w:val="000000"/>
              <w:szCs w:val="41"/>
              <w:highlight w:val="none"/>
            </w:rPr>
            <w:fldChar w:fldCharType="end"/>
          </w:r>
          <w:r>
            <w:rPr>
              <w:rFonts w:hint="eastAsia" w:ascii="Times New Roman" w:hAnsi="Times New Roman"/>
              <w:bCs/>
              <w:color w:val="000000"/>
              <w:szCs w:val="41"/>
              <w:highlight w:val="none"/>
              <w:lang w:val="en-US" w:eastAsia="zh-CN"/>
            </w:rPr>
            <w:t>0</w:t>
          </w:r>
        </w:p>
        <w:p w14:paraId="1AF3BC16">
          <w:pPr>
            <w:pStyle w:val="15"/>
            <w:tabs>
              <w:tab w:val="right" w:leader="dot" w:pos="8845"/>
            </w:tabs>
            <w:spacing w:line="240" w:lineRule="auto"/>
            <w:ind w:left="0" w:leftChars="0" w:firstLine="0" w:firstLineChars="0"/>
            <w:rPr>
              <w:rFonts w:hint="eastAsia" w:ascii="Times New Roman" w:hAnsi="Times New Roman" w:eastAsia="宋体"/>
              <w:highlight w:val="none"/>
              <w:lang w:val="en-US" w:eastAsia="zh-CN"/>
            </w:rPr>
          </w:pPr>
          <w:r>
            <w:rPr>
              <w:rFonts w:hint="eastAsia" w:ascii="Times New Roman" w:hAnsi="Times New Roman"/>
              <w:bCs/>
              <w:color w:val="000000"/>
              <w:szCs w:val="41"/>
              <w:highlight w:val="none"/>
            </w:rPr>
            <w:fldChar w:fldCharType="begin"/>
          </w:r>
          <w:r>
            <w:rPr>
              <w:rFonts w:hint="eastAsia" w:ascii="Times New Roman" w:hAnsi="Times New Roman"/>
              <w:bCs/>
              <w:szCs w:val="41"/>
              <w:highlight w:val="none"/>
            </w:rPr>
            <w:instrText xml:space="preserve"> HYPERLINK \l _Toc2176 </w:instrText>
          </w:r>
          <w:r>
            <w:rPr>
              <w:rFonts w:hint="eastAsia" w:ascii="Times New Roman" w:hAnsi="Times New Roman"/>
              <w:bCs/>
              <w:szCs w:val="41"/>
              <w:highlight w:val="none"/>
            </w:rPr>
            <w:fldChar w:fldCharType="separate"/>
          </w:r>
          <w:r>
            <w:rPr>
              <w:rFonts w:hint="eastAsia" w:ascii="Times New Roman" w:hAnsi="Times New Roman" w:eastAsia="仿宋_GB2312"/>
              <w:szCs w:val="32"/>
              <w:highlight w:val="none"/>
            </w:rPr>
            <w:t>（四）</w:t>
          </w:r>
          <w:r>
            <w:rPr>
              <w:rFonts w:hint="eastAsia" w:ascii="Times New Roman" w:hAnsi="Times New Roman" w:eastAsia="楷体_GB2312" w:cs="楷体_GB2312"/>
              <w:bCs/>
              <w:szCs w:val="32"/>
              <w:highlight w:val="none"/>
            </w:rPr>
            <w:t>绩效目标设置情况</w:t>
          </w:r>
          <w:r>
            <w:rPr>
              <w:rFonts w:ascii="Times New Roman" w:hAnsi="Times New Roman"/>
              <w:highlight w:val="none"/>
            </w:rPr>
            <w:tab/>
          </w:r>
          <w:r>
            <w:rPr>
              <w:rFonts w:hint="eastAsia" w:ascii="Times New Roman" w:hAnsi="Times New Roman" w:cs="Times New Roman"/>
              <w:highlight w:val="none"/>
              <w:lang w:val="en-US" w:eastAsia="zh-CN"/>
            </w:rPr>
            <w:t>1</w:t>
          </w:r>
          <w:r>
            <w:rPr>
              <w:rFonts w:hint="eastAsia" w:ascii="Times New Roman" w:hAnsi="Times New Roman"/>
              <w:bCs/>
              <w:color w:val="000000"/>
              <w:szCs w:val="41"/>
              <w:highlight w:val="none"/>
            </w:rPr>
            <w:fldChar w:fldCharType="end"/>
          </w:r>
          <w:r>
            <w:rPr>
              <w:rFonts w:hint="eastAsia" w:ascii="Times New Roman" w:hAnsi="Times New Roman"/>
              <w:bCs/>
              <w:color w:val="000000"/>
              <w:szCs w:val="41"/>
              <w:highlight w:val="none"/>
              <w:lang w:val="en-US" w:eastAsia="zh-CN"/>
            </w:rPr>
            <w:t>0</w:t>
          </w:r>
        </w:p>
        <w:p w14:paraId="46812AA2">
          <w:pPr>
            <w:pStyle w:val="14"/>
            <w:tabs>
              <w:tab w:val="right" w:leader="dot" w:pos="8845"/>
            </w:tabs>
            <w:spacing w:line="240" w:lineRule="auto"/>
            <w:ind w:firstLine="0" w:firstLineChars="0"/>
            <w:rPr>
              <w:rFonts w:hint="eastAsia" w:ascii="Times New Roman" w:hAnsi="Times New Roman" w:eastAsia="宋体"/>
              <w:b/>
              <w:highlight w:val="none"/>
              <w:lang w:val="en-US" w:eastAsia="zh-CN"/>
            </w:rPr>
          </w:pPr>
          <w:r>
            <w:rPr>
              <w:rFonts w:hint="eastAsia" w:ascii="Times New Roman" w:hAnsi="Times New Roman"/>
              <w:b/>
              <w:bCs/>
              <w:color w:val="000000"/>
              <w:szCs w:val="41"/>
              <w:highlight w:val="none"/>
            </w:rPr>
            <w:fldChar w:fldCharType="begin"/>
          </w:r>
          <w:r>
            <w:rPr>
              <w:rFonts w:hint="eastAsia" w:ascii="Times New Roman" w:hAnsi="Times New Roman"/>
              <w:b/>
              <w:bCs/>
              <w:szCs w:val="41"/>
              <w:highlight w:val="none"/>
            </w:rPr>
            <w:instrText xml:space="preserve"> HYPERLINK \l _Toc6693 </w:instrText>
          </w:r>
          <w:r>
            <w:rPr>
              <w:rFonts w:hint="eastAsia" w:ascii="Times New Roman" w:hAnsi="Times New Roman"/>
              <w:b/>
              <w:bCs/>
              <w:szCs w:val="41"/>
              <w:highlight w:val="none"/>
            </w:rPr>
            <w:fldChar w:fldCharType="separate"/>
          </w:r>
          <w:r>
            <w:rPr>
              <w:rFonts w:hint="eastAsia" w:ascii="Times New Roman" w:hAnsi="Times New Roman" w:eastAsia="仿宋_GB2312"/>
              <w:b/>
              <w:szCs w:val="32"/>
              <w:highlight w:val="none"/>
            </w:rPr>
            <w:t>十</w:t>
          </w:r>
          <w:r>
            <w:rPr>
              <w:rFonts w:hint="eastAsia" w:ascii="Times New Roman" w:hAnsi="Times New Roman" w:eastAsia="仿宋_GB2312"/>
              <w:b/>
              <w:szCs w:val="32"/>
              <w:highlight w:val="none"/>
              <w:lang w:eastAsia="zh-CN"/>
            </w:rPr>
            <w:t>一</w:t>
          </w:r>
          <w:r>
            <w:rPr>
              <w:rFonts w:hint="eastAsia" w:ascii="Times New Roman" w:hAnsi="Times New Roman" w:eastAsia="仿宋_GB2312"/>
              <w:b/>
              <w:szCs w:val="32"/>
              <w:highlight w:val="none"/>
            </w:rPr>
            <w:t>、名词解释</w:t>
          </w:r>
          <w:r>
            <w:rPr>
              <w:rFonts w:ascii="Times New Roman" w:hAnsi="Times New Roman"/>
              <w:b/>
              <w:highlight w:val="none"/>
            </w:rPr>
            <w:tab/>
          </w:r>
          <w:r>
            <w:rPr>
              <w:rFonts w:hint="eastAsia" w:ascii="Times New Roman" w:hAnsi="Times New Roman" w:cs="Times New Roman"/>
              <w:b/>
              <w:highlight w:val="none"/>
              <w:lang w:val="en-US" w:eastAsia="zh-CN"/>
            </w:rPr>
            <w:t>1</w:t>
          </w:r>
          <w:r>
            <w:rPr>
              <w:rFonts w:hint="eastAsia" w:ascii="Times New Roman" w:hAnsi="Times New Roman"/>
              <w:b/>
              <w:bCs/>
              <w:color w:val="000000"/>
              <w:szCs w:val="41"/>
              <w:highlight w:val="none"/>
            </w:rPr>
            <w:fldChar w:fldCharType="end"/>
          </w:r>
          <w:r>
            <w:rPr>
              <w:rFonts w:hint="eastAsia" w:ascii="Times New Roman" w:hAnsi="Times New Roman"/>
              <w:b/>
              <w:bCs/>
              <w:color w:val="000000"/>
              <w:szCs w:val="41"/>
              <w:highlight w:val="none"/>
              <w:lang w:val="en-US" w:eastAsia="zh-CN"/>
            </w:rPr>
            <w:t>0</w:t>
          </w:r>
        </w:p>
        <w:p w14:paraId="1F4EA1C0">
          <w:pPr>
            <w:pStyle w:val="7"/>
            <w:ind w:left="0" w:leftChars="0" w:firstLine="0" w:firstLineChars="0"/>
            <w:rPr>
              <w:rFonts w:ascii="Times New Roman" w:hAnsi="Times New Roman"/>
              <w:highlight w:val="none"/>
            </w:rPr>
          </w:pPr>
          <w:r>
            <w:rPr>
              <w:rFonts w:hint="eastAsia" w:ascii="Times New Roman" w:hAnsi="Times New Roman"/>
              <w:b/>
              <w:bCs/>
              <w:color w:val="000000"/>
              <w:szCs w:val="41"/>
              <w:highlight w:val="none"/>
            </w:rPr>
            <w:fldChar w:fldCharType="end"/>
          </w:r>
          <w:bookmarkStart w:id="0" w:name="_Toc28770"/>
          <w:bookmarkEnd w:id="0"/>
          <w:bookmarkStart w:id="1" w:name="_Toc3604"/>
          <w:bookmarkEnd w:id="1"/>
        </w:p>
      </w:sdtContent>
    </w:sdt>
    <w:p w14:paraId="2A8C8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highlight w:val="none"/>
        </w:rPr>
      </w:pPr>
    </w:p>
    <w:p w14:paraId="71E228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highlight w:val="none"/>
        </w:rPr>
      </w:pPr>
    </w:p>
    <w:p w14:paraId="6C301F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highlight w:val="none"/>
        </w:rPr>
      </w:pPr>
    </w:p>
    <w:p w14:paraId="2E82B3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highlight w:val="none"/>
        </w:rPr>
      </w:pPr>
    </w:p>
    <w:p w14:paraId="306183BC">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黑体" w:cs="黑体"/>
          <w:b/>
          <w:bCs/>
          <w:sz w:val="32"/>
          <w:szCs w:val="32"/>
          <w:highlight w:val="none"/>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14:paraId="3F07E477">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一、基本职能及主要工作</w:t>
      </w:r>
    </w:p>
    <w:p w14:paraId="415DD9B1">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CESI楷体-GB2312" w:cs="CESI楷体-GB2312"/>
          <w:b/>
          <w:bCs/>
          <w:sz w:val="32"/>
          <w:szCs w:val="32"/>
          <w:highlight w:val="none"/>
          <w:lang w:val="en-US" w:eastAsia="zh-CN"/>
        </w:rPr>
      </w:pPr>
      <w:r>
        <w:rPr>
          <w:rFonts w:hint="eastAsia" w:ascii="Times New Roman" w:hAnsi="Times New Roman" w:eastAsia="CESI楷体-GB2312" w:cs="CESI楷体-GB2312"/>
          <w:b/>
          <w:bCs/>
          <w:sz w:val="32"/>
          <w:szCs w:val="32"/>
          <w:highlight w:val="none"/>
          <w:lang w:val="en-US" w:eastAsia="zh-CN"/>
        </w:rPr>
        <w:t>（一）区委社会工作部机构设置及主要职责</w:t>
      </w:r>
    </w:p>
    <w:p w14:paraId="072749EF">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按照“三定方案”确定的中共德阳市罗江区委社会工作部（以下简称社工部）机关作为区委职能部门，加挂区委“两新”工委牌子。社工部统一领导区信访局，区城乡基层治理促进中心纳入社工部管理，社工部为独立一级预决算单位。社工部下设办公室、基层治理和人才股、行业协会商会和两企三新股。</w:t>
      </w:r>
    </w:p>
    <w:p w14:paraId="1CD0A260">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CESI楷体-GB2312" w:cs="CESI楷体-GB2312"/>
          <w:b/>
          <w:bCs/>
          <w:sz w:val="32"/>
          <w:szCs w:val="32"/>
          <w:highlight w:val="none"/>
          <w:lang w:val="en-US" w:eastAsia="zh-CN"/>
        </w:rPr>
      </w:pPr>
      <w:r>
        <w:rPr>
          <w:rFonts w:hint="eastAsia" w:ascii="Times New Roman" w:hAnsi="Times New Roman" w:eastAsia="CESI楷体-GB2312" w:cs="CESI楷体-GB2312"/>
          <w:b/>
          <w:bCs/>
          <w:sz w:val="32"/>
          <w:szCs w:val="32"/>
          <w:highlight w:val="none"/>
          <w:lang w:val="en-US" w:eastAsia="zh-CN"/>
        </w:rPr>
        <w:t>（二）2024年重点工作</w:t>
      </w:r>
    </w:p>
    <w:p w14:paraId="6DF154D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仿宋_GB2312"/>
          <w:b w:val="0"/>
          <w:bCs w:val="0"/>
          <w:snapToGrid/>
          <w:kern w:val="0"/>
          <w:sz w:val="32"/>
          <w:szCs w:val="32"/>
          <w:highlight w:val="none"/>
          <w:lang w:val="en-US" w:eastAsia="zh-CN"/>
        </w:rPr>
      </w:pPr>
      <w:r>
        <w:rPr>
          <w:rFonts w:hint="eastAsia" w:ascii="Times New Roman" w:hAnsi="Times New Roman" w:eastAsia="楷体_GB2312" w:cs="楷体_GB2312"/>
          <w:b/>
          <w:bCs/>
          <w:snapToGrid/>
          <w:kern w:val="2"/>
          <w:sz w:val="32"/>
          <w:szCs w:val="32"/>
          <w:highlight w:val="none"/>
          <w:lang w:val="en-US" w:eastAsia="zh-CN" w:bidi="ar-SA"/>
        </w:rPr>
        <w:t>1.围绕重点任务，扎实推进机制体系建设。</w:t>
      </w:r>
      <w:r>
        <w:rPr>
          <w:rFonts w:hint="eastAsia" w:ascii="Times New Roman" w:hAnsi="Times New Roman" w:eastAsia="仿宋_GB2312" w:cs="仿宋_GB2312"/>
          <w:b w:val="0"/>
          <w:bCs w:val="0"/>
          <w:snapToGrid/>
          <w:kern w:val="0"/>
          <w:sz w:val="32"/>
          <w:szCs w:val="32"/>
          <w:highlight w:val="none"/>
          <w:lang w:val="en-US" w:eastAsia="zh-CN"/>
        </w:rPr>
        <w:t>围绕国家乡村振兴示范县创建和全域推进城乡融合发展任务，狠抓工作落实。</w:t>
      </w:r>
      <w:r>
        <w:rPr>
          <w:rFonts w:hint="eastAsia" w:ascii="Times New Roman" w:hAnsi="Times New Roman" w:eastAsia="仿宋_GB2312" w:cs="仿宋_GB2312"/>
          <w:b/>
          <w:bCs/>
          <w:snapToGrid/>
          <w:kern w:val="0"/>
          <w:sz w:val="32"/>
          <w:szCs w:val="32"/>
          <w:highlight w:val="none"/>
          <w:lang w:val="en-US" w:eastAsia="zh-CN"/>
        </w:rPr>
        <w:t>一是规范议事协商机制。</w:t>
      </w:r>
      <w:r>
        <w:rPr>
          <w:rFonts w:hint="eastAsia" w:ascii="Times New Roman" w:hAnsi="Times New Roman" w:eastAsia="仿宋_GB2312" w:cs="仿宋_GB2312"/>
          <w:b w:val="0"/>
          <w:bCs w:val="0"/>
          <w:snapToGrid/>
          <w:kern w:val="0"/>
          <w:sz w:val="32"/>
          <w:szCs w:val="32"/>
          <w:highlight w:val="none"/>
          <w:lang w:val="en-US" w:eastAsia="zh-CN"/>
        </w:rPr>
        <w:t>制定出台《城乡社区协商指导目录》，细化9类55项城乡社区议事协商事项，明确协商程序、质效评价、监督管理等环节。</w:t>
      </w:r>
      <w:r>
        <w:rPr>
          <w:rFonts w:hint="eastAsia" w:ascii="Times New Roman" w:hAnsi="Times New Roman" w:eastAsia="仿宋_GB2312" w:cs="仿宋_GB2312"/>
          <w:b/>
          <w:bCs/>
          <w:snapToGrid/>
          <w:kern w:val="0"/>
          <w:sz w:val="32"/>
          <w:szCs w:val="32"/>
          <w:highlight w:val="none"/>
          <w:lang w:val="en-US" w:eastAsia="zh-CN"/>
        </w:rPr>
        <w:t>二是搭建议事协商平台。</w:t>
      </w:r>
      <w:r>
        <w:rPr>
          <w:rFonts w:hint="eastAsia" w:ascii="Times New Roman" w:hAnsi="Times New Roman" w:eastAsia="仿宋_GB2312" w:cs="仿宋_GB2312"/>
          <w:b w:val="0"/>
          <w:bCs w:val="0"/>
          <w:snapToGrid/>
          <w:kern w:val="0"/>
          <w:sz w:val="32"/>
          <w:szCs w:val="32"/>
          <w:highlight w:val="none"/>
          <w:lang w:val="en-US" w:eastAsia="zh-CN"/>
        </w:rPr>
        <w:t>指导镇村建成“众议堂”“议事厅”“民生议事广场”等各类议事阵地42个。</w:t>
      </w:r>
      <w:r>
        <w:rPr>
          <w:rFonts w:hint="eastAsia" w:ascii="Times New Roman" w:hAnsi="Times New Roman" w:eastAsia="仿宋_GB2312" w:cs="仿宋_GB2312"/>
          <w:b/>
          <w:bCs/>
          <w:snapToGrid/>
          <w:kern w:val="0"/>
          <w:sz w:val="32"/>
          <w:szCs w:val="32"/>
          <w:highlight w:val="none"/>
          <w:lang w:val="en-US" w:eastAsia="zh-CN"/>
        </w:rPr>
        <w:t>三是深化定向议事代表会议制度。</w:t>
      </w:r>
      <w:r>
        <w:rPr>
          <w:rFonts w:hint="eastAsia" w:ascii="Times New Roman" w:hAnsi="Times New Roman" w:eastAsia="仿宋_GB2312" w:cs="仿宋_GB2312"/>
          <w:b w:val="0"/>
          <w:bCs w:val="0"/>
          <w:snapToGrid/>
          <w:kern w:val="0"/>
          <w:sz w:val="32"/>
          <w:szCs w:val="32"/>
          <w:highlight w:val="none"/>
          <w:lang w:val="en-US" w:eastAsia="zh-CN"/>
        </w:rPr>
        <w:t>筛选确定20余个</w:t>
      </w:r>
      <w:r>
        <w:rPr>
          <w:rFonts w:hint="default" w:ascii="Times New Roman" w:hAnsi="Times New Roman" w:eastAsia="仿宋_GB2312" w:cs="仿宋_GB2312"/>
          <w:b w:val="0"/>
          <w:bCs w:val="0"/>
          <w:snapToGrid/>
          <w:kern w:val="0"/>
          <w:sz w:val="32"/>
          <w:szCs w:val="32"/>
          <w:highlight w:val="none"/>
          <w:lang w:val="en-US" w:eastAsia="zh-CN"/>
        </w:rPr>
        <w:t>制度</w:t>
      </w:r>
      <w:r>
        <w:rPr>
          <w:rFonts w:hint="eastAsia" w:ascii="Times New Roman" w:hAnsi="Times New Roman" w:eastAsia="仿宋_GB2312" w:cs="仿宋_GB2312"/>
          <w:b w:val="0"/>
          <w:bCs w:val="0"/>
          <w:snapToGrid/>
          <w:kern w:val="0"/>
          <w:sz w:val="32"/>
          <w:szCs w:val="32"/>
          <w:highlight w:val="none"/>
          <w:lang w:val="en-US" w:eastAsia="zh-CN"/>
        </w:rPr>
        <w:t>推行较好的村，形成了示范带动效应。</w:t>
      </w:r>
    </w:p>
    <w:p w14:paraId="3439A23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仿宋_GB2312"/>
          <w:b w:val="0"/>
          <w:bCs w:val="0"/>
          <w:snapToGrid/>
          <w:kern w:val="0"/>
          <w:sz w:val="32"/>
          <w:szCs w:val="32"/>
          <w:highlight w:val="none"/>
          <w:lang w:val="en-US" w:eastAsia="zh-CN"/>
        </w:rPr>
      </w:pPr>
      <w:r>
        <w:rPr>
          <w:rFonts w:hint="eastAsia" w:ascii="Times New Roman" w:hAnsi="Times New Roman" w:eastAsia="楷体_GB2312" w:cs="楷体_GB2312"/>
          <w:b/>
          <w:bCs/>
          <w:snapToGrid/>
          <w:kern w:val="2"/>
          <w:sz w:val="32"/>
          <w:szCs w:val="32"/>
          <w:highlight w:val="none"/>
          <w:lang w:val="en-US" w:eastAsia="zh-CN" w:bidi="ar-SA"/>
        </w:rPr>
        <w:t>2.围绕强基赋能，推进党建引领基层治理。</w:t>
      </w:r>
      <w:r>
        <w:rPr>
          <w:rFonts w:hint="eastAsia" w:ascii="Times New Roman" w:hAnsi="Times New Roman" w:eastAsia="仿宋_GB2312" w:cs="仿宋_GB2312"/>
          <w:b/>
          <w:bCs/>
          <w:snapToGrid/>
          <w:kern w:val="0"/>
          <w:sz w:val="32"/>
          <w:szCs w:val="32"/>
          <w:highlight w:val="none"/>
          <w:lang w:val="en-US" w:eastAsia="zh-CN"/>
        </w:rPr>
        <w:t>一是精准施策，破解“小马拉大车”</w:t>
      </w:r>
      <w:r>
        <w:rPr>
          <w:rFonts w:hint="eastAsia" w:ascii="Times New Roman" w:hAnsi="Times New Roman" w:eastAsia="仿宋_GB2312" w:cs="仿宋_GB2312"/>
          <w:b w:val="0"/>
          <w:bCs w:val="0"/>
          <w:snapToGrid/>
          <w:kern w:val="0"/>
          <w:sz w:val="32"/>
          <w:szCs w:val="32"/>
          <w:highlight w:val="none"/>
          <w:lang w:val="en-US" w:eastAsia="zh-CN"/>
        </w:rPr>
        <w:t>。</w:t>
      </w:r>
      <w:r>
        <w:rPr>
          <w:rFonts w:hint="eastAsia" w:ascii="Times New Roman" w:hAnsi="Times New Roman" w:eastAsia="仿宋_GB2312" w:cs="仿宋_GB2312"/>
          <w:snapToGrid/>
          <w:kern w:val="2"/>
          <w:sz w:val="32"/>
          <w:szCs w:val="32"/>
          <w:highlight w:val="none"/>
          <w:lang w:val="en-US" w:eastAsia="zh-CN"/>
        </w:rPr>
        <w:t>印发全区破解“小马拉大车”突出问题提升基层治理服务能力任务清单，定期开展调度，已完成清单任务87.5%</w:t>
      </w:r>
      <w:r>
        <w:rPr>
          <w:rFonts w:hint="default" w:ascii="Times New Roman" w:hAnsi="Times New Roman" w:eastAsia="仿宋_GB2312" w:cs="仿宋_GB2312"/>
          <w:snapToGrid/>
          <w:kern w:val="2"/>
          <w:sz w:val="32"/>
          <w:szCs w:val="32"/>
          <w:highlight w:val="none"/>
          <w:lang w:val="en-US" w:eastAsia="zh-CN"/>
        </w:rPr>
        <w:t>。</w:t>
      </w:r>
      <w:r>
        <w:rPr>
          <w:rFonts w:hint="eastAsia" w:ascii="Times New Roman" w:hAnsi="Times New Roman" w:eastAsia="仿宋_GB2312" w:cs="仿宋_GB2312"/>
          <w:b/>
          <w:bCs/>
          <w:snapToGrid/>
          <w:kern w:val="2"/>
          <w:sz w:val="32"/>
          <w:szCs w:val="32"/>
          <w:highlight w:val="none"/>
          <w:lang w:val="en-US" w:eastAsia="zh-CN"/>
        </w:rPr>
        <w:t>二是共建共享，提升基层参与度。</w:t>
      </w:r>
      <w:r>
        <w:rPr>
          <w:rFonts w:hint="eastAsia" w:ascii="Times New Roman" w:hAnsi="Times New Roman" w:eastAsia="仿宋_GB2312" w:cs="仿宋_GB2312"/>
          <w:b w:val="0"/>
          <w:bCs w:val="0"/>
          <w:snapToGrid/>
          <w:kern w:val="2"/>
          <w:sz w:val="32"/>
          <w:szCs w:val="32"/>
          <w:highlight w:val="none"/>
          <w:lang w:val="en-US" w:eastAsia="zh-CN"/>
        </w:rPr>
        <w:t>实施“满城星”行动，</w:t>
      </w:r>
      <w:r>
        <w:rPr>
          <w:rFonts w:hint="eastAsia" w:ascii="Times New Roman" w:hAnsi="Times New Roman" w:eastAsia="仿宋_GB2312" w:cs="仿宋_GB2312"/>
          <w:snapToGrid/>
          <w:kern w:val="2"/>
          <w:sz w:val="32"/>
          <w:szCs w:val="32"/>
          <w:highlight w:val="none"/>
          <w:lang w:val="en-US" w:eastAsia="zh-CN"/>
        </w:rPr>
        <w:t>完成2023年</w:t>
      </w:r>
      <w:r>
        <w:rPr>
          <w:rFonts w:hint="default" w:ascii="Times New Roman" w:hAnsi="Times New Roman" w:eastAsia="仿宋_GB2312" w:cs="仿宋_GB2312"/>
          <w:snapToGrid/>
          <w:kern w:val="2"/>
          <w:sz w:val="32"/>
          <w:szCs w:val="32"/>
          <w:highlight w:val="none"/>
          <w:lang w:val="en-US" w:eastAsia="zh-CN"/>
        </w:rPr>
        <w:t>度</w:t>
      </w:r>
      <w:r>
        <w:rPr>
          <w:rFonts w:hint="eastAsia" w:ascii="Times New Roman" w:hAnsi="Times New Roman" w:eastAsia="仿宋_GB2312" w:cs="仿宋_GB2312"/>
          <w:snapToGrid/>
          <w:kern w:val="2"/>
          <w:sz w:val="32"/>
          <w:szCs w:val="32"/>
          <w:highlight w:val="none"/>
          <w:lang w:val="en-US" w:eastAsia="zh-CN"/>
        </w:rPr>
        <w:t>44个星级小区</w:t>
      </w:r>
      <w:r>
        <w:rPr>
          <w:rFonts w:hint="default" w:ascii="Times New Roman" w:hAnsi="Times New Roman" w:eastAsia="仿宋_GB2312" w:cs="仿宋_GB2312"/>
          <w:snapToGrid/>
          <w:kern w:val="2"/>
          <w:sz w:val="32"/>
          <w:szCs w:val="32"/>
          <w:highlight w:val="none"/>
          <w:lang w:val="en-US" w:eastAsia="zh-CN"/>
        </w:rPr>
        <w:t>评定</w:t>
      </w:r>
      <w:r>
        <w:rPr>
          <w:rFonts w:hint="eastAsia" w:ascii="Times New Roman" w:hAnsi="Times New Roman" w:eastAsia="仿宋_GB2312" w:cs="仿宋_GB2312"/>
          <w:snapToGrid/>
          <w:kern w:val="2"/>
          <w:sz w:val="32"/>
          <w:szCs w:val="32"/>
          <w:highlight w:val="none"/>
          <w:lang w:val="en-US" w:eastAsia="zh-CN"/>
        </w:rPr>
        <w:t>，发放小区业委会、党组织书记奖补资金63万余元；实施“</w:t>
      </w:r>
      <w:r>
        <w:rPr>
          <w:rFonts w:hint="default" w:ascii="Times New Roman" w:hAnsi="Times New Roman" w:eastAsia="仿宋_GB2312" w:cs="仿宋_GB2312"/>
          <w:snapToGrid/>
          <w:kern w:val="2"/>
          <w:sz w:val="32"/>
          <w:szCs w:val="32"/>
          <w:highlight w:val="none"/>
          <w:lang w:val="en-US" w:eastAsia="zh-CN"/>
        </w:rPr>
        <w:t>幸福罗江·民生微实事</w:t>
      </w:r>
      <w:r>
        <w:rPr>
          <w:rFonts w:hint="eastAsia" w:ascii="Times New Roman" w:hAnsi="Times New Roman" w:eastAsia="仿宋_GB2312" w:cs="仿宋_GB2312"/>
          <w:snapToGrid/>
          <w:kern w:val="2"/>
          <w:sz w:val="32"/>
          <w:szCs w:val="32"/>
          <w:highlight w:val="none"/>
          <w:lang w:val="en-US" w:eastAsia="zh-CN"/>
        </w:rPr>
        <w:t>”品牌建设，</w:t>
      </w:r>
      <w:r>
        <w:rPr>
          <w:rFonts w:hint="default" w:ascii="Times New Roman" w:hAnsi="Times New Roman" w:eastAsia="仿宋_GB2312" w:cs="仿宋_GB2312"/>
          <w:snapToGrid/>
          <w:kern w:val="2"/>
          <w:sz w:val="32"/>
          <w:szCs w:val="32"/>
          <w:highlight w:val="none"/>
          <w:lang w:val="en-US" w:eastAsia="zh-CN"/>
        </w:rPr>
        <w:t>支持39个村（社区）</w:t>
      </w:r>
      <w:r>
        <w:rPr>
          <w:rFonts w:hint="eastAsia" w:ascii="Times New Roman" w:hAnsi="Times New Roman" w:eastAsia="仿宋_GB2312" w:cs="仿宋_GB2312"/>
          <w:snapToGrid/>
          <w:kern w:val="2"/>
          <w:sz w:val="32"/>
          <w:szCs w:val="32"/>
          <w:highlight w:val="none"/>
          <w:lang w:val="en-US" w:eastAsia="zh-CN"/>
        </w:rPr>
        <w:t>共计</w:t>
      </w:r>
      <w:r>
        <w:rPr>
          <w:rFonts w:hint="default" w:ascii="Times New Roman" w:hAnsi="Times New Roman" w:eastAsia="仿宋_GB2312" w:cs="仿宋_GB2312"/>
          <w:snapToGrid/>
          <w:kern w:val="2"/>
          <w:sz w:val="32"/>
          <w:szCs w:val="32"/>
          <w:highlight w:val="none"/>
          <w:lang w:val="en-US" w:eastAsia="zh-CN"/>
        </w:rPr>
        <w:t>40个</w:t>
      </w:r>
      <w:r>
        <w:rPr>
          <w:rFonts w:hint="eastAsia" w:ascii="Times New Roman" w:hAnsi="Times New Roman" w:eastAsia="仿宋_GB2312" w:cs="仿宋_GB2312"/>
          <w:snapToGrid/>
          <w:kern w:val="2"/>
          <w:sz w:val="32"/>
          <w:szCs w:val="32"/>
          <w:highlight w:val="none"/>
          <w:lang w:val="en-US" w:eastAsia="zh-CN"/>
        </w:rPr>
        <w:t>民生微实事，撬动社会资源111万余元，有效激发基层干部、群众、组织活力。</w:t>
      </w:r>
      <w:r>
        <w:rPr>
          <w:rFonts w:hint="eastAsia" w:ascii="Times New Roman" w:hAnsi="Times New Roman" w:eastAsia="仿宋_GB2312" w:cs="仿宋_GB2312"/>
          <w:b/>
          <w:bCs/>
          <w:snapToGrid/>
          <w:kern w:val="2"/>
          <w:sz w:val="32"/>
          <w:szCs w:val="32"/>
          <w:highlight w:val="none"/>
          <w:lang w:val="en-US" w:eastAsia="zh-CN"/>
        </w:rPr>
        <w:t>三是统筹资源，搭建社工服务体系。</w:t>
      </w:r>
      <w:r>
        <w:rPr>
          <w:rFonts w:hint="eastAsia" w:ascii="Times New Roman" w:hAnsi="Times New Roman" w:eastAsia="仿宋_GB2312" w:cs="仿宋_GB2312"/>
          <w:b w:val="0"/>
          <w:bCs w:val="0"/>
          <w:snapToGrid/>
          <w:kern w:val="0"/>
          <w:sz w:val="32"/>
          <w:szCs w:val="32"/>
          <w:highlight w:val="none"/>
          <w:lang w:val="en-US" w:eastAsia="zh-CN"/>
        </w:rPr>
        <w:t>制定《德阳市罗江区社会工作平台建设方案》，构建1+7+N社会工作服务体系，建设区级社会工作平台。</w:t>
      </w:r>
    </w:p>
    <w:p w14:paraId="6CE56DA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仿宋_GB2312"/>
          <w:b w:val="0"/>
          <w:bCs w:val="0"/>
          <w:snapToGrid/>
          <w:kern w:val="0"/>
          <w:sz w:val="32"/>
          <w:szCs w:val="32"/>
          <w:highlight w:val="none"/>
          <w:lang w:val="en-US" w:eastAsia="zh-CN"/>
        </w:rPr>
      </w:pPr>
      <w:r>
        <w:rPr>
          <w:rFonts w:hint="eastAsia" w:ascii="Times New Roman" w:hAnsi="Times New Roman" w:eastAsia="楷体_GB2312" w:cs="楷体_GB2312"/>
          <w:b/>
          <w:bCs/>
          <w:snapToGrid/>
          <w:kern w:val="0"/>
          <w:sz w:val="32"/>
          <w:szCs w:val="32"/>
          <w:highlight w:val="none"/>
          <w:lang w:val="en-US" w:eastAsia="zh-CN"/>
        </w:rPr>
        <w:t>3.围绕提质增效，稳步深化“两企三新”党建。</w:t>
      </w:r>
      <w:r>
        <w:rPr>
          <w:rFonts w:hint="eastAsia" w:ascii="Times New Roman" w:hAnsi="Times New Roman" w:eastAsia="仿宋_GB2312" w:cs="仿宋_GB2312"/>
          <w:b/>
          <w:bCs/>
          <w:snapToGrid/>
          <w:kern w:val="0"/>
          <w:sz w:val="32"/>
          <w:szCs w:val="32"/>
          <w:highlight w:val="none"/>
          <w:lang w:val="en-US" w:eastAsia="zh-CN"/>
        </w:rPr>
        <w:t>一是思想引领，注重日常教育培训。</w:t>
      </w:r>
      <w:r>
        <w:rPr>
          <w:rFonts w:hint="eastAsia" w:ascii="Times New Roman" w:hAnsi="Times New Roman" w:eastAsia="仿宋_GB2312" w:cs="仿宋_GB2312"/>
          <w:b w:val="0"/>
          <w:bCs w:val="0"/>
          <w:snapToGrid/>
          <w:kern w:val="0"/>
          <w:sz w:val="32"/>
          <w:szCs w:val="32"/>
          <w:highlight w:val="none"/>
          <w:lang w:val="en-US" w:eastAsia="zh-CN"/>
        </w:rPr>
        <w:t>推进新兴领域党纪学习教育，开展党的二十届三中全会精神宣讲，引导基层党组织开展学习活动300余场次。</w:t>
      </w:r>
      <w:r>
        <w:rPr>
          <w:rFonts w:hint="eastAsia" w:ascii="Times New Roman" w:hAnsi="Times New Roman" w:eastAsia="仿宋_GB2312" w:cs="仿宋_GB2312"/>
          <w:b/>
          <w:bCs/>
          <w:snapToGrid/>
          <w:kern w:val="0"/>
          <w:sz w:val="32"/>
          <w:szCs w:val="32"/>
          <w:highlight w:val="none"/>
          <w:lang w:val="en-US" w:eastAsia="zh-CN"/>
        </w:rPr>
        <w:t>二是重点突出，持续推进“两个覆盖”。</w:t>
      </w:r>
      <w:r>
        <w:rPr>
          <w:rFonts w:hint="eastAsia" w:ascii="Times New Roman" w:hAnsi="Times New Roman" w:eastAsia="仿宋_GB2312" w:cs="仿宋_GB2312"/>
          <w:b w:val="0"/>
          <w:bCs w:val="0"/>
          <w:snapToGrid/>
          <w:kern w:val="0"/>
          <w:sz w:val="32"/>
          <w:szCs w:val="32"/>
          <w:highlight w:val="none"/>
          <w:lang w:val="en-US" w:eastAsia="zh-CN"/>
        </w:rPr>
        <w:t>整合30个责任单位资源，开展行业协会商会和“两企三新”调查摸底，完善“五个清”和行业协会商会台账信息340余条，实现专精特新和符合条件规上企业党组织覆盖率100%。开展新就业群体调研，创新“派驻帮建”“龙头领建”等方式建立新就业群体党组织5个，发挥货车司机“暖心之家”、工邮户外劳动者驿站作用，做优凝聚服务。</w:t>
      </w:r>
      <w:r>
        <w:rPr>
          <w:rFonts w:hint="eastAsia" w:ascii="Times New Roman" w:hAnsi="Times New Roman" w:eastAsia="仿宋_GB2312" w:cs="仿宋_GB2312"/>
          <w:b/>
          <w:bCs/>
          <w:snapToGrid/>
          <w:kern w:val="0"/>
          <w:sz w:val="32"/>
          <w:szCs w:val="32"/>
          <w:highlight w:val="none"/>
          <w:lang w:val="en-US" w:eastAsia="zh-CN"/>
        </w:rPr>
        <w:t>三是机制保障，完善两新工委运行。</w:t>
      </w:r>
      <w:r>
        <w:rPr>
          <w:rFonts w:hint="eastAsia" w:ascii="Times New Roman" w:hAnsi="Times New Roman" w:eastAsia="仿宋_GB2312" w:cs="仿宋_GB2312"/>
          <w:b w:val="0"/>
          <w:bCs w:val="0"/>
          <w:snapToGrid/>
          <w:kern w:val="0"/>
          <w:sz w:val="32"/>
          <w:szCs w:val="32"/>
          <w:highlight w:val="none"/>
          <w:lang w:val="en-US" w:eastAsia="zh-CN"/>
        </w:rPr>
        <w:t>制定2024年工作要点和两新组织党建工作重点任务清单，明确28项重点任务，强化“管行业管党建”工作责任。</w:t>
      </w:r>
      <w:r>
        <w:rPr>
          <w:rFonts w:hint="eastAsia" w:ascii="Times New Roman" w:hAnsi="Times New Roman" w:eastAsia="仿宋_GB2312" w:cs="仿宋_GB2312"/>
          <w:b/>
          <w:bCs/>
          <w:snapToGrid/>
          <w:kern w:val="0"/>
          <w:sz w:val="32"/>
          <w:szCs w:val="32"/>
          <w:highlight w:val="none"/>
          <w:lang w:val="en-US" w:eastAsia="zh-CN"/>
        </w:rPr>
        <w:t>四是以点带面，着力强化示范引领。</w:t>
      </w:r>
      <w:r>
        <w:rPr>
          <w:rFonts w:hint="eastAsia" w:ascii="Times New Roman" w:hAnsi="Times New Roman" w:eastAsia="仿宋_GB2312" w:cs="仿宋_GB2312"/>
          <w:b w:val="0"/>
          <w:bCs w:val="0"/>
          <w:snapToGrid/>
          <w:kern w:val="0"/>
          <w:sz w:val="32"/>
          <w:szCs w:val="32"/>
          <w:highlight w:val="none"/>
          <w:lang w:val="en-US" w:eastAsia="zh-CN"/>
        </w:rPr>
        <w:t>开展星级党组织运行分析和“评星定级”专项辅导，发挥迪弗电工“一线五创”、通用学校“四心融合”党建工作品牌示范作用。获评四川省优秀党务工作者1个，市委两新工委两优一先3个。</w:t>
      </w:r>
    </w:p>
    <w:p w14:paraId="57BF026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仿宋_GB2312"/>
          <w:snapToGrid/>
          <w:kern w:val="2"/>
          <w:sz w:val="32"/>
          <w:szCs w:val="32"/>
          <w:highlight w:val="none"/>
          <w:lang w:val="en-US" w:eastAsia="zh-CN"/>
        </w:rPr>
      </w:pPr>
      <w:r>
        <w:rPr>
          <w:rFonts w:hint="eastAsia" w:ascii="Times New Roman" w:hAnsi="Times New Roman" w:eastAsia="楷体_GB2312" w:cs="楷体_GB2312"/>
          <w:b/>
          <w:bCs/>
          <w:snapToGrid/>
          <w:kern w:val="2"/>
          <w:sz w:val="32"/>
          <w:szCs w:val="32"/>
          <w:highlight w:val="none"/>
          <w:lang w:val="en-US" w:eastAsia="zh-CN" w:bidi="ar-SA"/>
        </w:rPr>
        <w:t>4.围绕人才优先，健全志愿服务和人才发展工作体系。</w:t>
      </w:r>
      <w:r>
        <w:rPr>
          <w:rFonts w:hint="eastAsia" w:ascii="Times New Roman" w:hAnsi="Times New Roman" w:eastAsia="仿宋_GB2312" w:cs="仿宋_GB2312"/>
          <w:b/>
          <w:bCs/>
          <w:snapToGrid/>
          <w:kern w:val="0"/>
          <w:sz w:val="32"/>
          <w:szCs w:val="32"/>
          <w:highlight w:val="none"/>
          <w:lang w:val="en-US" w:eastAsia="zh-CN"/>
        </w:rPr>
        <w:t>一是夯实基础，组建志愿服务队伍。</w:t>
      </w:r>
      <w:r>
        <w:rPr>
          <w:rFonts w:hint="eastAsia" w:ascii="Times New Roman" w:hAnsi="Times New Roman" w:eastAsia="仿宋_GB2312" w:cs="仿宋_GB2312"/>
          <w:snapToGrid/>
          <w:kern w:val="2"/>
          <w:sz w:val="32"/>
          <w:szCs w:val="32"/>
          <w:highlight w:val="none"/>
          <w:lang w:val="en-US" w:eastAsia="zh-CN"/>
        </w:rPr>
        <w:t>注册志愿服务团队302支，注册志愿者近5.29万余人、占常住人口的25.3%。</w:t>
      </w:r>
      <w:r>
        <w:rPr>
          <w:rFonts w:hint="eastAsia" w:ascii="Times New Roman" w:hAnsi="Times New Roman" w:eastAsia="仿宋_GB2312" w:cs="仿宋_GB2312"/>
          <w:b/>
          <w:bCs/>
          <w:snapToGrid/>
          <w:kern w:val="0"/>
          <w:sz w:val="32"/>
          <w:szCs w:val="32"/>
          <w:highlight w:val="none"/>
          <w:lang w:val="en-US" w:eastAsia="zh-CN"/>
        </w:rPr>
        <w:t>二是重点提能，夯实治理人才队伍。</w:t>
      </w:r>
      <w:r>
        <w:rPr>
          <w:rFonts w:hint="default" w:ascii="Times New Roman" w:hAnsi="Times New Roman" w:eastAsia="仿宋_GB2312" w:cs="仿宋_GB2312"/>
          <w:snapToGrid/>
          <w:kern w:val="2"/>
          <w:sz w:val="32"/>
          <w:szCs w:val="32"/>
          <w:highlight w:val="none"/>
          <w:lang w:val="en-US" w:eastAsia="zh-CN"/>
        </w:rPr>
        <w:t>建立分级培训制度，</w:t>
      </w:r>
      <w:r>
        <w:rPr>
          <w:rFonts w:hint="eastAsia" w:ascii="Times New Roman" w:hAnsi="Times New Roman" w:eastAsia="仿宋_GB2312" w:cs="仿宋_GB2312"/>
          <w:snapToGrid/>
          <w:kern w:val="2"/>
          <w:sz w:val="32"/>
          <w:szCs w:val="32"/>
          <w:highlight w:val="none"/>
          <w:lang w:val="en-US" w:eastAsia="zh-CN"/>
        </w:rPr>
        <w:t>举办专题培训</w:t>
      </w:r>
      <w:r>
        <w:rPr>
          <w:rFonts w:hint="default" w:ascii="Times New Roman" w:hAnsi="Times New Roman" w:eastAsia="仿宋_GB2312" w:cs="仿宋_GB2312"/>
          <w:snapToGrid/>
          <w:kern w:val="2"/>
          <w:sz w:val="32"/>
          <w:szCs w:val="32"/>
          <w:highlight w:val="none"/>
          <w:lang w:val="en-US" w:eastAsia="zh-CN"/>
        </w:rPr>
        <w:t>，</w:t>
      </w:r>
      <w:r>
        <w:rPr>
          <w:rFonts w:hint="eastAsia" w:ascii="Times New Roman" w:hAnsi="Times New Roman" w:eastAsia="仿宋_GB2312" w:cs="仿宋_GB2312"/>
          <w:snapToGrid/>
          <w:kern w:val="2"/>
          <w:sz w:val="32"/>
          <w:szCs w:val="32"/>
          <w:highlight w:val="none"/>
          <w:lang w:val="en-US" w:eastAsia="zh-CN"/>
        </w:rPr>
        <w:t>开展</w:t>
      </w:r>
      <w:r>
        <w:rPr>
          <w:rFonts w:hint="default" w:ascii="Times New Roman" w:hAnsi="Times New Roman" w:eastAsia="仿宋_GB2312" w:cs="仿宋_GB2312"/>
          <w:snapToGrid/>
          <w:kern w:val="2"/>
          <w:sz w:val="32"/>
          <w:szCs w:val="32"/>
          <w:highlight w:val="none"/>
          <w:lang w:val="en-US" w:eastAsia="zh-CN"/>
        </w:rPr>
        <w:t>各层级干部专题培训4期</w:t>
      </w:r>
      <w:r>
        <w:rPr>
          <w:rFonts w:hint="eastAsia" w:ascii="Times New Roman" w:hAnsi="Times New Roman" w:eastAsia="仿宋_GB2312" w:cs="仿宋_GB2312"/>
          <w:snapToGrid/>
          <w:kern w:val="2"/>
          <w:sz w:val="32"/>
          <w:szCs w:val="32"/>
          <w:highlight w:val="none"/>
          <w:lang w:val="en-US" w:eastAsia="zh-CN"/>
        </w:rPr>
        <w:t>。组织</w:t>
      </w:r>
      <w:r>
        <w:rPr>
          <w:rFonts w:hint="default" w:ascii="Times New Roman" w:hAnsi="Times New Roman" w:eastAsia="仿宋_GB2312" w:cs="仿宋_GB2312"/>
          <w:snapToGrid/>
          <w:kern w:val="2"/>
          <w:sz w:val="32"/>
          <w:szCs w:val="32"/>
          <w:highlight w:val="none"/>
          <w:lang w:val="en-US" w:eastAsia="zh-CN"/>
        </w:rPr>
        <w:t>210余名社区工作者、社会工作从业人员等参加社工考试考前培训，</w:t>
      </w:r>
      <w:r>
        <w:rPr>
          <w:rFonts w:hint="eastAsia" w:ascii="Times New Roman" w:hAnsi="Times New Roman" w:eastAsia="仿宋_GB2312" w:cs="仿宋_GB2312"/>
          <w:snapToGrid/>
          <w:kern w:val="2"/>
          <w:sz w:val="32"/>
          <w:szCs w:val="32"/>
          <w:highlight w:val="none"/>
          <w:lang w:val="en-US" w:eastAsia="zh-CN"/>
        </w:rPr>
        <w:t>全区新增持证社工80余名</w:t>
      </w:r>
      <w:r>
        <w:rPr>
          <w:rFonts w:hint="default" w:ascii="Times New Roman" w:hAnsi="Times New Roman" w:eastAsia="仿宋_GB2312" w:cs="仿宋_GB2312"/>
          <w:snapToGrid/>
          <w:kern w:val="2"/>
          <w:sz w:val="32"/>
          <w:szCs w:val="32"/>
          <w:highlight w:val="none"/>
          <w:lang w:val="en-US" w:eastAsia="zh-CN"/>
        </w:rPr>
        <w:t>。</w:t>
      </w:r>
      <w:r>
        <w:rPr>
          <w:rFonts w:hint="eastAsia" w:ascii="Times New Roman" w:hAnsi="Times New Roman" w:eastAsia="仿宋_GB2312" w:cs="仿宋_GB2312"/>
          <w:b/>
          <w:bCs/>
          <w:snapToGrid/>
          <w:kern w:val="2"/>
          <w:sz w:val="32"/>
          <w:szCs w:val="32"/>
          <w:highlight w:val="none"/>
          <w:lang w:val="en-US" w:eastAsia="zh-CN"/>
        </w:rPr>
        <w:t>三是逐步优化，建设党建人才队伍。</w:t>
      </w:r>
      <w:r>
        <w:rPr>
          <w:rFonts w:hint="eastAsia" w:ascii="Times New Roman" w:hAnsi="Times New Roman" w:eastAsia="仿宋_GB2312" w:cs="仿宋_GB2312"/>
          <w:snapToGrid/>
          <w:kern w:val="2"/>
          <w:sz w:val="32"/>
          <w:szCs w:val="32"/>
          <w:highlight w:val="none"/>
          <w:lang w:val="en-US" w:eastAsia="zh-CN"/>
        </w:rPr>
        <w:t>完善区级兼职党建指导员管理办法，实施党建指导员“主动融入支部、主动参与活动、主动服务需求”领航行动，推动园区30余个企业党支部开展工作，解决企业审批办证、用工用水等问题52个，规范安全环保等问题76个。</w:t>
      </w:r>
    </w:p>
    <w:p w14:paraId="4123090C">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仿宋_GB2312"/>
          <w:b/>
          <w:bCs/>
          <w:snapToGrid/>
          <w:kern w:val="0"/>
          <w:sz w:val="32"/>
          <w:szCs w:val="32"/>
          <w:highlight w:val="none"/>
          <w:lang w:val="en-US" w:eastAsia="zh-CN"/>
        </w:rPr>
      </w:pPr>
      <w:r>
        <w:rPr>
          <w:rFonts w:hint="eastAsia" w:ascii="Times New Roman" w:hAnsi="Times New Roman" w:eastAsia="楷体_GB2312" w:cs="楷体_GB2312"/>
          <w:b/>
          <w:bCs/>
          <w:snapToGrid/>
          <w:kern w:val="2"/>
          <w:sz w:val="32"/>
          <w:szCs w:val="32"/>
          <w:highlight w:val="none"/>
          <w:lang w:val="en-US" w:eastAsia="zh-CN" w:bidi="ar-SA"/>
        </w:rPr>
        <w:t>5.围绕“四部建设”，建设社会工作模范机关。</w:t>
      </w:r>
      <w:r>
        <w:rPr>
          <w:rFonts w:hint="eastAsia" w:ascii="Times New Roman" w:hAnsi="Times New Roman" w:eastAsia="仿宋_GB2312" w:cs="仿宋_GB2312"/>
          <w:b/>
          <w:bCs/>
          <w:snapToGrid/>
          <w:kern w:val="0"/>
          <w:sz w:val="32"/>
          <w:szCs w:val="32"/>
          <w:highlight w:val="none"/>
          <w:lang w:val="en-US" w:eastAsia="zh-CN"/>
        </w:rPr>
        <w:t>一是</w:t>
      </w:r>
      <w:r>
        <w:rPr>
          <w:rFonts w:hint="default" w:ascii="Times New Roman" w:hAnsi="Times New Roman" w:eastAsia="仿宋_GB2312" w:cs="仿宋_GB2312"/>
          <w:b/>
          <w:bCs/>
          <w:snapToGrid/>
          <w:kern w:val="0"/>
          <w:sz w:val="32"/>
          <w:szCs w:val="32"/>
          <w:highlight w:val="none"/>
          <w:lang w:val="en-US" w:eastAsia="zh-CN"/>
        </w:rPr>
        <w:t>政治立部，</w:t>
      </w:r>
      <w:r>
        <w:rPr>
          <w:rFonts w:hint="eastAsia" w:ascii="Times New Roman" w:hAnsi="Times New Roman" w:eastAsia="仿宋_GB2312" w:cs="仿宋_GB2312"/>
          <w:b/>
          <w:bCs/>
          <w:snapToGrid/>
          <w:kern w:val="0"/>
          <w:sz w:val="32"/>
          <w:szCs w:val="32"/>
          <w:highlight w:val="none"/>
          <w:lang w:val="en-US" w:eastAsia="zh-CN"/>
        </w:rPr>
        <w:t>贯彻</w:t>
      </w:r>
      <w:r>
        <w:rPr>
          <w:rFonts w:hint="default" w:ascii="Times New Roman" w:hAnsi="Times New Roman" w:eastAsia="仿宋_GB2312" w:cs="仿宋_GB2312"/>
          <w:b/>
          <w:bCs/>
          <w:snapToGrid/>
          <w:kern w:val="0"/>
          <w:sz w:val="32"/>
          <w:szCs w:val="32"/>
          <w:highlight w:val="none"/>
          <w:lang w:val="en-US" w:eastAsia="zh-CN"/>
        </w:rPr>
        <w:t>中省市区</w:t>
      </w:r>
      <w:r>
        <w:rPr>
          <w:rFonts w:hint="eastAsia" w:ascii="Times New Roman" w:hAnsi="Times New Roman" w:eastAsia="仿宋_GB2312" w:cs="仿宋_GB2312"/>
          <w:b/>
          <w:bCs/>
          <w:snapToGrid/>
          <w:kern w:val="0"/>
          <w:sz w:val="32"/>
          <w:szCs w:val="32"/>
          <w:highlight w:val="none"/>
          <w:lang w:val="en-US" w:eastAsia="zh-CN"/>
        </w:rPr>
        <w:t>部署。</w:t>
      </w:r>
      <w:r>
        <w:rPr>
          <w:rFonts w:hint="eastAsia" w:ascii="Times New Roman" w:hAnsi="Times New Roman" w:eastAsia="仿宋_GB2312" w:cs="Times New Roman"/>
          <w:b w:val="0"/>
          <w:bCs/>
          <w:snapToGrid/>
          <w:kern w:val="0"/>
          <w:sz w:val="32"/>
          <w:szCs w:val="32"/>
          <w:highlight w:val="none"/>
          <w:lang w:val="en-US" w:eastAsia="zh-CN"/>
        </w:rPr>
        <w:t>深刻领会习近平总书记关于深化党和国家机构改革的重要讲话精神，全面完成机改组建。</w:t>
      </w:r>
      <w:r>
        <w:rPr>
          <w:rFonts w:hint="eastAsia" w:ascii="Times New Roman" w:hAnsi="Times New Roman" w:eastAsia="仿宋_GB2312" w:cs="仿宋_GB2312"/>
          <w:snapToGrid/>
          <w:kern w:val="2"/>
          <w:sz w:val="32"/>
          <w:szCs w:val="32"/>
          <w:highlight w:val="none"/>
          <w:lang w:val="en-US" w:eastAsia="zh-CN" w:bidi="ar-SA"/>
        </w:rPr>
        <w:t>深化党纪学习教育，组织部务会专门学、</w:t>
      </w:r>
      <w:r>
        <w:rPr>
          <w:rFonts w:hint="eastAsia" w:ascii="Times New Roman" w:eastAsia="仿宋_GB2312" w:cs="仿宋_GB2312"/>
          <w:snapToGrid/>
          <w:kern w:val="2"/>
          <w:sz w:val="32"/>
          <w:szCs w:val="32"/>
          <w:highlight w:val="none"/>
          <w:lang w:val="en-US" w:eastAsia="zh-CN" w:bidi="ar-SA"/>
        </w:rPr>
        <w:t>理论学习中心组</w:t>
      </w:r>
      <w:r>
        <w:rPr>
          <w:rFonts w:hint="eastAsia" w:ascii="Times New Roman" w:hAnsi="Times New Roman" w:eastAsia="仿宋_GB2312" w:cs="仿宋_GB2312"/>
          <w:snapToGrid/>
          <w:kern w:val="2"/>
          <w:sz w:val="32"/>
          <w:szCs w:val="32"/>
          <w:highlight w:val="none"/>
          <w:lang w:val="en-US" w:eastAsia="zh-CN" w:bidi="ar-SA"/>
        </w:rPr>
        <w:t>专题学、机关支部专项讨论，开展主题党日活动和警示教育3次，推动《条例》入脑入心。</w:t>
      </w:r>
      <w:r>
        <w:rPr>
          <w:rFonts w:hint="eastAsia" w:ascii="Times New Roman" w:hAnsi="Times New Roman" w:eastAsia="仿宋_GB2312" w:cs="仿宋_GB2312"/>
          <w:b/>
          <w:bCs/>
          <w:snapToGrid/>
          <w:kern w:val="0"/>
          <w:sz w:val="32"/>
          <w:szCs w:val="32"/>
          <w:highlight w:val="none"/>
          <w:lang w:val="en-US" w:eastAsia="zh-CN"/>
        </w:rPr>
        <w:t>二是</w:t>
      </w:r>
      <w:r>
        <w:rPr>
          <w:rFonts w:hint="default" w:ascii="Times New Roman" w:hAnsi="Times New Roman" w:eastAsia="仿宋_GB2312" w:cs="仿宋_GB2312"/>
          <w:b/>
          <w:bCs/>
          <w:snapToGrid/>
          <w:kern w:val="0"/>
          <w:sz w:val="32"/>
          <w:szCs w:val="32"/>
          <w:highlight w:val="none"/>
          <w:lang w:val="en-US" w:eastAsia="zh-CN"/>
        </w:rPr>
        <w:t>从严治部，构建机关管理体系</w:t>
      </w:r>
      <w:r>
        <w:rPr>
          <w:rFonts w:hint="eastAsia" w:ascii="Times New Roman" w:hAnsi="Times New Roman" w:eastAsia="仿宋_GB2312" w:cs="仿宋_GB2312"/>
          <w:b/>
          <w:bCs/>
          <w:snapToGrid/>
          <w:kern w:val="0"/>
          <w:sz w:val="32"/>
          <w:szCs w:val="32"/>
          <w:highlight w:val="none"/>
          <w:lang w:val="en-US" w:eastAsia="zh-CN"/>
        </w:rPr>
        <w:t>。</w:t>
      </w:r>
      <w:r>
        <w:rPr>
          <w:rFonts w:hint="eastAsia" w:ascii="Times New Roman" w:hAnsi="Times New Roman" w:eastAsia="仿宋_GB2312" w:cs="Times New Roman"/>
          <w:b w:val="0"/>
          <w:bCs/>
          <w:snapToGrid/>
          <w:kern w:val="0"/>
          <w:sz w:val="32"/>
          <w:szCs w:val="32"/>
          <w:highlight w:val="none"/>
          <w:lang w:val="en-US" w:eastAsia="zh-CN"/>
        </w:rPr>
        <w:t>按照“单行+汇编”方式，从严推进机关制度建设，重点做好部务会议事规则、意识形态工作责任制等5项单行制度编制工作，形成工作手册3套、制度汇编4套。落实意识形态工作责任，每季度定期开展分析研判。</w:t>
      </w:r>
      <w:r>
        <w:rPr>
          <w:rFonts w:hint="eastAsia" w:ascii="Times New Roman" w:hAnsi="Times New Roman" w:eastAsia="仿宋_GB2312" w:cs="仿宋_GB2312"/>
          <w:b/>
          <w:bCs/>
          <w:snapToGrid/>
          <w:kern w:val="0"/>
          <w:sz w:val="32"/>
          <w:szCs w:val="32"/>
          <w:highlight w:val="none"/>
          <w:lang w:val="en-US" w:eastAsia="zh-CN"/>
        </w:rPr>
        <w:t>三是</w:t>
      </w:r>
      <w:r>
        <w:rPr>
          <w:rFonts w:hint="default" w:ascii="Times New Roman" w:hAnsi="Times New Roman" w:eastAsia="仿宋_GB2312" w:cs="仿宋_GB2312"/>
          <w:b/>
          <w:bCs/>
          <w:snapToGrid/>
          <w:kern w:val="0"/>
          <w:sz w:val="32"/>
          <w:szCs w:val="32"/>
          <w:highlight w:val="none"/>
          <w:lang w:val="en-US" w:eastAsia="zh-CN"/>
        </w:rPr>
        <w:t>学习强部，营造浓厚学习氛围</w:t>
      </w:r>
      <w:r>
        <w:rPr>
          <w:rFonts w:hint="eastAsia" w:ascii="Times New Roman" w:hAnsi="Times New Roman" w:eastAsia="仿宋_GB2312" w:cs="仿宋_GB2312"/>
          <w:b/>
          <w:bCs/>
          <w:snapToGrid/>
          <w:kern w:val="0"/>
          <w:sz w:val="32"/>
          <w:szCs w:val="32"/>
          <w:highlight w:val="none"/>
          <w:lang w:val="en-US" w:eastAsia="zh-CN"/>
        </w:rPr>
        <w:t>。</w:t>
      </w:r>
      <w:r>
        <w:rPr>
          <w:rFonts w:hint="eastAsia" w:ascii="Times New Roman" w:hAnsi="Times New Roman" w:eastAsia="仿宋_GB2312" w:cs="仿宋_GB2312"/>
          <w:b w:val="0"/>
          <w:bCs w:val="0"/>
          <w:snapToGrid/>
          <w:kern w:val="0"/>
          <w:sz w:val="32"/>
          <w:szCs w:val="32"/>
          <w:highlight w:val="none"/>
          <w:lang w:val="en-US" w:eastAsia="zh-CN"/>
        </w:rPr>
        <w:t>落实“第一议题”制度，第一时间学习习近平总书记关于社会工作的重</w:t>
      </w:r>
      <w:bookmarkStart w:id="2" w:name="_GoBack"/>
      <w:bookmarkEnd w:id="2"/>
      <w:r>
        <w:rPr>
          <w:rFonts w:hint="eastAsia" w:ascii="Times New Roman" w:hAnsi="Times New Roman" w:eastAsia="仿宋_GB2312" w:cs="仿宋_GB2312"/>
          <w:b w:val="0"/>
          <w:bCs w:val="0"/>
          <w:snapToGrid/>
          <w:kern w:val="0"/>
          <w:sz w:val="32"/>
          <w:szCs w:val="32"/>
          <w:highlight w:val="none"/>
          <w:lang w:val="en-US" w:eastAsia="zh-CN"/>
        </w:rPr>
        <w:t>要论述。建立学习制度，将党的二十届三中全会精神及中、省、市、区有关社会工作会议精神纳入</w:t>
      </w:r>
      <w:r>
        <w:rPr>
          <w:rFonts w:hint="eastAsia" w:ascii="Times New Roman" w:eastAsia="仿宋_GB2312" w:cs="仿宋_GB2312"/>
          <w:b w:val="0"/>
          <w:bCs w:val="0"/>
          <w:snapToGrid/>
          <w:kern w:val="0"/>
          <w:sz w:val="32"/>
          <w:szCs w:val="32"/>
          <w:highlight w:val="none"/>
          <w:lang w:val="en-US" w:eastAsia="zh-CN"/>
        </w:rPr>
        <w:t>理论学习中心组</w:t>
      </w:r>
      <w:r>
        <w:rPr>
          <w:rFonts w:hint="eastAsia" w:ascii="Times New Roman" w:hAnsi="Times New Roman" w:eastAsia="仿宋_GB2312" w:cs="仿宋_GB2312"/>
          <w:b w:val="0"/>
          <w:bCs w:val="0"/>
          <w:snapToGrid/>
          <w:kern w:val="0"/>
          <w:sz w:val="32"/>
          <w:szCs w:val="32"/>
          <w:highlight w:val="none"/>
          <w:lang w:val="en-US" w:eastAsia="zh-CN"/>
        </w:rPr>
        <w:t>专题学习，进一步悟规律，明方向。</w:t>
      </w:r>
      <w:r>
        <w:rPr>
          <w:rFonts w:hint="eastAsia" w:ascii="Times New Roman" w:hAnsi="Times New Roman" w:eastAsia="仿宋_GB2312" w:cs="仿宋_GB2312"/>
          <w:b/>
          <w:bCs/>
          <w:snapToGrid/>
          <w:kern w:val="0"/>
          <w:sz w:val="32"/>
          <w:szCs w:val="32"/>
          <w:highlight w:val="none"/>
          <w:lang w:val="en-US" w:eastAsia="zh-CN"/>
        </w:rPr>
        <w:t>四是</w:t>
      </w:r>
      <w:r>
        <w:rPr>
          <w:rFonts w:hint="default" w:ascii="Times New Roman" w:hAnsi="Times New Roman" w:eastAsia="仿宋_GB2312" w:cs="仿宋_GB2312"/>
          <w:b/>
          <w:bCs/>
          <w:snapToGrid/>
          <w:kern w:val="0"/>
          <w:sz w:val="32"/>
          <w:szCs w:val="32"/>
          <w:highlight w:val="none"/>
          <w:lang w:val="en-US" w:eastAsia="zh-CN"/>
        </w:rPr>
        <w:t>实干兴部，抓紧抓实各项工作</w:t>
      </w:r>
      <w:r>
        <w:rPr>
          <w:rFonts w:hint="eastAsia" w:ascii="Times New Roman" w:hAnsi="Times New Roman" w:eastAsia="仿宋_GB2312" w:cs="仿宋_GB2312"/>
          <w:b/>
          <w:bCs/>
          <w:snapToGrid/>
          <w:kern w:val="0"/>
          <w:sz w:val="32"/>
          <w:szCs w:val="32"/>
          <w:highlight w:val="none"/>
          <w:lang w:val="en-US" w:eastAsia="zh-CN"/>
        </w:rPr>
        <w:t>。</w:t>
      </w:r>
      <w:r>
        <w:rPr>
          <w:rFonts w:hint="eastAsia" w:ascii="Times New Roman" w:hAnsi="Times New Roman" w:eastAsia="仿宋_GB2312" w:cs="仿宋_GB2312"/>
          <w:b w:val="0"/>
          <w:bCs w:val="0"/>
          <w:snapToGrid/>
          <w:kern w:val="0"/>
          <w:sz w:val="32"/>
          <w:szCs w:val="32"/>
          <w:highlight w:val="none"/>
          <w:lang w:val="en-US" w:eastAsia="zh-CN"/>
        </w:rPr>
        <w:t>突出“牵头抓总、统筹协调、重点突破、督办落实”思路，</w:t>
      </w:r>
      <w:r>
        <w:rPr>
          <w:rFonts w:hint="eastAsia" w:ascii="Times New Roman" w:hAnsi="Times New Roman" w:eastAsia="仿宋_GB2312" w:cs="仿宋_GB2312"/>
          <w:b w:val="0"/>
          <w:bCs w:val="0"/>
          <w:snapToGrid/>
          <w:color w:val="auto"/>
          <w:kern w:val="0"/>
          <w:sz w:val="32"/>
          <w:szCs w:val="32"/>
          <w:highlight w:val="none"/>
          <w:lang w:val="en-US" w:eastAsia="zh-CN"/>
        </w:rPr>
        <w:t>建立机关周例会和工作提示单制度，开展基层调研30余次，加强指导调度，推动工作落实。</w:t>
      </w:r>
    </w:p>
    <w:p w14:paraId="0124C276">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二、部门预算单位构成</w:t>
      </w:r>
    </w:p>
    <w:p w14:paraId="692F35A5">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社工部下属二级预算单位</w:t>
      </w:r>
      <w:r>
        <w:rPr>
          <w:rFonts w:hint="default" w:ascii="Times New Roman" w:hAnsi="Times New Roman" w:eastAsia="方正仿宋_GB2312" w:cs="Times New Roman"/>
          <w:sz w:val="32"/>
          <w:szCs w:val="32"/>
          <w:highlight w:val="none"/>
          <w:lang w:val="en-US" w:eastAsia="zh-CN"/>
        </w:rPr>
        <w:t>1</w:t>
      </w:r>
      <w:r>
        <w:rPr>
          <w:rFonts w:hint="eastAsia" w:ascii="Times New Roman" w:hAnsi="Times New Roman" w:eastAsia="方正仿宋_GB2312" w:cs="方正仿宋_GB2312"/>
          <w:sz w:val="32"/>
          <w:szCs w:val="32"/>
          <w:highlight w:val="none"/>
          <w:lang w:val="en-US" w:eastAsia="zh-CN"/>
        </w:rPr>
        <w:t>个，是德阳市罗江区城乡基层治理促进中心。本次公开数据包括德阳市罗江区城乡基层治理促进中心所有数据。</w:t>
      </w:r>
    </w:p>
    <w:p w14:paraId="468DA60B">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社工部总编制12名，其中行政编制7名，事业编制5名。在职人员总数</w:t>
      </w:r>
      <w:r>
        <w:rPr>
          <w:rFonts w:hint="eastAsia" w:ascii="Times New Roman" w:hAnsi="Times New Roman" w:eastAsia="方正仿宋_GB2312" w:cs="Times New Roman"/>
          <w:sz w:val="32"/>
          <w:szCs w:val="32"/>
          <w:highlight w:val="none"/>
          <w:lang w:val="en-US" w:eastAsia="zh-CN"/>
        </w:rPr>
        <w:t>9</w:t>
      </w:r>
      <w:r>
        <w:rPr>
          <w:rFonts w:hint="eastAsia" w:ascii="Times New Roman" w:hAnsi="Times New Roman" w:eastAsia="方正仿宋_GB2312" w:cs="方正仿宋_GB2312"/>
          <w:sz w:val="32"/>
          <w:szCs w:val="32"/>
          <w:highlight w:val="none"/>
          <w:lang w:val="en-US" w:eastAsia="zh-CN"/>
        </w:rPr>
        <w:t>人，其中：行政人员5人，事业人员4人。</w:t>
      </w:r>
    </w:p>
    <w:p w14:paraId="7E7DB80F">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三、收支预算增减变化情况说明</w:t>
      </w:r>
    </w:p>
    <w:p w14:paraId="1F1AF428">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eastAsia" w:ascii="Times New Roman" w:eastAsia="方正仿宋_GB2312" w:cs="Times New Roman"/>
          <w:b/>
          <w:bCs w:val="0"/>
          <w:color w:val="000000" w:themeColor="text1"/>
          <w:kern w:val="2"/>
          <w:sz w:val="32"/>
          <w:szCs w:val="32"/>
          <w:highlight w:val="none"/>
          <w:lang w:val="en-US" w:eastAsia="zh-CN" w:bidi="ar-SA"/>
          <w14:textFill>
            <w14:solidFill>
              <w14:schemeClr w14:val="tx1"/>
            </w14:solidFill>
          </w14:textFill>
        </w:rPr>
        <w:t>因机构改革，社工部于2024年5月成立，年初未编制2024年预算，部门成立后行政运行经费和项目经费从原职能部门划转，故2024年预算金额为0万元。</w:t>
      </w:r>
      <w:r>
        <w:rPr>
          <w:rFonts w:hint="default" w:ascii="Times New Roman" w:hAnsi="Times New Roman" w:eastAsia="方正仿宋_GB2312" w:cs="Times New Roman"/>
          <w:b/>
          <w:bCs w:val="0"/>
          <w:color w:val="000000" w:themeColor="text1"/>
          <w:kern w:val="2"/>
          <w:sz w:val="32"/>
          <w:szCs w:val="32"/>
          <w:highlight w:val="none"/>
          <w:lang w:val="en-US" w:eastAsia="zh-CN" w:bidi="ar-SA"/>
          <w14:textFill>
            <w14:solidFill>
              <w14:schemeClr w14:val="tx1"/>
            </w14:solidFill>
          </w14:textFill>
        </w:rPr>
        <w:t>收入包括</w:t>
      </w:r>
      <w:r>
        <w:rPr>
          <w:rFonts w:hint="default" w:ascii="Times New Roman" w:hAnsi="Times New Roman" w:eastAsia="方正仿宋_GB2312" w:cs="Times New Roman"/>
          <w:sz w:val="32"/>
          <w:szCs w:val="32"/>
          <w:highlight w:val="none"/>
          <w:lang w:val="en-US" w:eastAsia="zh-CN"/>
        </w:rPr>
        <w:t>：财政拨款收入</w:t>
      </w:r>
      <w:r>
        <w:rPr>
          <w:rFonts w:hint="eastAsia" w:ascii="Times New Roman" w:hAnsi="Times New Roman" w:eastAsia="方正仿宋_GB2312" w:cs="Times New Roman"/>
          <w:sz w:val="32"/>
          <w:szCs w:val="32"/>
          <w:highlight w:val="none"/>
          <w:lang w:val="en-US" w:eastAsia="zh-CN"/>
        </w:rPr>
        <w:t>644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w:t>
      </w:r>
      <w:r>
        <w:rPr>
          <w:rFonts w:hint="eastAsia" w:ascii="Times New Roman" w:eastAsia="方正仿宋_GB2312" w:cs="Times New Roman"/>
          <w:sz w:val="32"/>
          <w:szCs w:val="32"/>
          <w:highlight w:val="none"/>
          <w:lang w:val="en-US" w:eastAsia="zh-CN"/>
        </w:rPr>
        <w:t>；</w:t>
      </w:r>
      <w:r>
        <w:rPr>
          <w:rFonts w:hint="default" w:ascii="Times New Roman" w:hAnsi="Times New Roman" w:eastAsia="方正仿宋_GB2312" w:cs="Times New Roman"/>
          <w:b/>
          <w:bCs w:val="0"/>
          <w:color w:val="000000" w:themeColor="text1"/>
          <w:kern w:val="2"/>
          <w:sz w:val="32"/>
          <w:szCs w:val="32"/>
          <w:highlight w:val="none"/>
          <w:lang w:val="en-US" w:eastAsia="zh-CN" w:bidi="ar-SA"/>
          <w14:textFill>
            <w14:solidFill>
              <w14:schemeClr w14:val="tx1"/>
            </w14:solidFill>
          </w14:textFill>
        </w:rPr>
        <w:t>支出包括：</w:t>
      </w:r>
      <w:r>
        <w:rPr>
          <w:rFonts w:hint="default" w:ascii="Times New Roman" w:hAnsi="Times New Roman" w:eastAsia="方正仿宋_GB2312" w:cs="Times New Roman"/>
          <w:sz w:val="32"/>
          <w:szCs w:val="32"/>
          <w:highlight w:val="none"/>
          <w:lang w:val="en-US" w:eastAsia="zh-CN"/>
        </w:rPr>
        <w:t>工资福利支出</w:t>
      </w:r>
      <w:r>
        <w:rPr>
          <w:rFonts w:hint="eastAsia" w:ascii="Times New Roman" w:hAnsi="Times New Roman" w:eastAsia="方正仿宋_GB2312" w:cs="Times New Roman"/>
          <w:sz w:val="32"/>
          <w:szCs w:val="32"/>
          <w:highlight w:val="none"/>
          <w:lang w:val="en-US" w:eastAsia="zh-CN"/>
        </w:rPr>
        <w:t>138</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4</w:t>
      </w:r>
      <w:r>
        <w:rPr>
          <w:rFonts w:hint="eastAsia" w:ascii="Times New Roman" w:eastAsia="方正仿宋_GB2312" w:cs="Times New Roman"/>
          <w:sz w:val="32"/>
          <w:szCs w:val="32"/>
          <w:highlight w:val="none"/>
          <w:lang w:val="en-US" w:eastAsia="zh-CN"/>
        </w:rPr>
        <w:t>0</w:t>
      </w:r>
      <w:r>
        <w:rPr>
          <w:rFonts w:hint="default" w:ascii="Times New Roman" w:hAnsi="Times New Roman" w:eastAsia="方正仿宋_GB2312" w:cs="Times New Roman"/>
          <w:sz w:val="32"/>
          <w:szCs w:val="32"/>
          <w:highlight w:val="none"/>
          <w:lang w:val="en-US" w:eastAsia="zh-CN"/>
        </w:rPr>
        <w:t>万元</w:t>
      </w:r>
      <w:r>
        <w:rPr>
          <w:rFonts w:hint="eastAsia" w:asci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商品和服务支出</w:t>
      </w:r>
      <w:r>
        <w:rPr>
          <w:rFonts w:hint="eastAsia" w:ascii="Times New Roman" w:hAnsi="Times New Roman" w:eastAsia="方正仿宋_GB2312" w:cs="Times New Roman"/>
          <w:sz w:val="32"/>
          <w:szCs w:val="32"/>
          <w:highlight w:val="none"/>
          <w:lang w:val="en-US" w:eastAsia="zh-CN"/>
        </w:rPr>
        <w:t>442</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8</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w:t>
      </w:r>
      <w:r>
        <w:rPr>
          <w:rFonts w:hint="eastAsia" w:asci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对个人和家庭的补助支出</w:t>
      </w:r>
      <w:r>
        <w:rPr>
          <w:rFonts w:hint="eastAsia" w:ascii="Times New Roman" w:hAnsi="Times New Roman" w:eastAsia="方正仿宋_GB2312" w:cs="Times New Roman"/>
          <w:sz w:val="32"/>
          <w:szCs w:val="32"/>
          <w:highlight w:val="none"/>
          <w:lang w:val="en-US" w:eastAsia="zh-CN"/>
        </w:rPr>
        <w:t>27</w:t>
      </w:r>
      <w:r>
        <w:rPr>
          <w:rFonts w:hint="eastAsia" w:ascii="Times New Roman" w:eastAsia="方正仿宋_GB2312" w:cs="Times New Roman"/>
          <w:sz w:val="32"/>
          <w:szCs w:val="32"/>
          <w:highlight w:val="none"/>
          <w:lang w:val="en-US" w:eastAsia="zh-CN"/>
        </w:rPr>
        <w:t>.30</w:t>
      </w:r>
      <w:r>
        <w:rPr>
          <w:rFonts w:hint="default" w:ascii="Times New Roman" w:hAnsi="Times New Roman" w:eastAsia="方正仿宋_GB2312" w:cs="Times New Roman"/>
          <w:sz w:val="32"/>
          <w:szCs w:val="32"/>
          <w:highlight w:val="none"/>
          <w:lang w:val="en-US" w:eastAsia="zh-CN"/>
        </w:rPr>
        <w:t>万元</w:t>
      </w:r>
      <w:r>
        <w:rPr>
          <w:rFonts w:hint="eastAsia" w:asci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对企业补助</w:t>
      </w:r>
      <w:r>
        <w:rPr>
          <w:rFonts w:hint="eastAsia" w:ascii="Times New Roman" w:hAnsi="Times New Roman" w:eastAsia="方正仿宋_GB2312" w:cs="Times New Roman"/>
          <w:sz w:val="32"/>
          <w:szCs w:val="32"/>
          <w:highlight w:val="none"/>
          <w:lang w:val="en-US" w:eastAsia="zh-CN"/>
        </w:rPr>
        <w:t>支出35.5</w:t>
      </w:r>
      <w:r>
        <w:rPr>
          <w:rFonts w:hint="eastAsia" w:ascii="Times New Roman" w:eastAsia="方正仿宋_GB2312" w:cs="Times New Roman"/>
          <w:sz w:val="32"/>
          <w:szCs w:val="32"/>
          <w:highlight w:val="none"/>
          <w:lang w:val="en-US" w:eastAsia="zh-CN"/>
        </w:rPr>
        <w:t>0</w:t>
      </w:r>
      <w:r>
        <w:rPr>
          <w:rFonts w:hint="eastAsia" w:ascii="Times New Roman" w:hAnsi="Times New Roman" w:eastAsia="方正仿宋_GB2312" w:cs="Times New Roman"/>
          <w:sz w:val="32"/>
          <w:szCs w:val="32"/>
          <w:highlight w:val="none"/>
          <w:lang w:val="en-US" w:eastAsia="zh-CN"/>
        </w:rPr>
        <w:t>万元</w:t>
      </w:r>
      <w:r>
        <w:rPr>
          <w:rFonts w:hint="default" w:ascii="Times New Roman" w:hAnsi="Times New Roman" w:eastAsia="方正仿宋_GB2312" w:cs="Times New Roman"/>
          <w:sz w:val="32"/>
          <w:szCs w:val="32"/>
          <w:highlight w:val="none"/>
          <w:lang w:val="en-US" w:eastAsia="zh-CN"/>
        </w:rPr>
        <w:t>。</w:t>
      </w:r>
      <w:r>
        <w:rPr>
          <w:rFonts w:hint="eastAsia" w:ascii="Times New Roman" w:hAnsi="Times New Roman" w:eastAsia="方正仿宋_GB2312" w:cs="方正仿宋_GB2312"/>
          <w:sz w:val="32"/>
          <w:szCs w:val="32"/>
          <w:highlight w:val="none"/>
          <w:lang w:val="en-US" w:eastAsia="zh-CN"/>
        </w:rPr>
        <w:t>社工部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年收支总预算</w:t>
      </w:r>
      <w:r>
        <w:rPr>
          <w:rFonts w:hint="eastAsia" w:ascii="Times New Roman" w:hAnsi="Times New Roman" w:eastAsia="方正仿宋_GB2312" w:cs="Times New Roman"/>
          <w:sz w:val="32"/>
          <w:szCs w:val="32"/>
          <w:highlight w:val="none"/>
          <w:lang w:val="en-US" w:eastAsia="zh-CN"/>
        </w:rPr>
        <w:t>644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w:t>
      </w:r>
    </w:p>
    <w:p w14:paraId="2825BB86">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（一）收入预算情况</w:t>
      </w:r>
    </w:p>
    <w:p w14:paraId="09503DFD">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 xml:space="preserve"> </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年收入预算</w:t>
      </w:r>
      <w:r>
        <w:rPr>
          <w:rFonts w:hint="eastAsia" w:ascii="Times New Roman" w:hAnsi="Times New Roman" w:eastAsia="方正仿宋_GB2312" w:cs="Times New Roman"/>
          <w:sz w:val="32"/>
          <w:szCs w:val="32"/>
          <w:highlight w:val="none"/>
          <w:lang w:val="en-US" w:eastAsia="zh-CN"/>
        </w:rPr>
        <w:t>644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万元，其中：上年结转0万元，占0%；一般公共预算拨款收入</w:t>
      </w:r>
      <w:r>
        <w:rPr>
          <w:rFonts w:hint="eastAsia" w:ascii="Times New Roman" w:hAnsi="Times New Roman" w:eastAsia="方正仿宋_GB2312" w:cs="Times New Roman"/>
          <w:sz w:val="32"/>
          <w:szCs w:val="32"/>
          <w:highlight w:val="none"/>
          <w:lang w:val="en-US" w:eastAsia="zh-CN"/>
        </w:rPr>
        <w:t>644.06</w:t>
      </w:r>
      <w:r>
        <w:rPr>
          <w:rFonts w:hint="default" w:ascii="Times New Roman" w:hAnsi="Times New Roman" w:eastAsia="方正仿宋_GB2312" w:cs="Times New Roman"/>
          <w:sz w:val="32"/>
          <w:szCs w:val="32"/>
          <w:highlight w:val="none"/>
          <w:lang w:val="en-US" w:eastAsia="zh-CN"/>
        </w:rPr>
        <w:t>万元，占100%；政府性基金预算拨款收入0万元，占0%。</w:t>
      </w:r>
    </w:p>
    <w:p w14:paraId="61B922BB">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（二）支出预算情况</w:t>
      </w:r>
    </w:p>
    <w:p w14:paraId="3FE4AFBD">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年支出预算</w:t>
      </w:r>
      <w:r>
        <w:rPr>
          <w:rFonts w:hint="eastAsia" w:ascii="Times New Roman" w:hAnsi="Times New Roman" w:eastAsia="方正仿宋_GB2312" w:cs="Times New Roman"/>
          <w:sz w:val="32"/>
          <w:szCs w:val="32"/>
          <w:highlight w:val="none"/>
          <w:lang w:val="en-US" w:eastAsia="zh-CN"/>
        </w:rPr>
        <w:t>644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万元，其中：基本支出</w:t>
      </w:r>
      <w:r>
        <w:rPr>
          <w:rFonts w:hint="eastAsia" w:ascii="Times New Roman" w:hAnsi="Times New Roman" w:eastAsia="方正仿宋_GB2312" w:cs="Times New Roman"/>
          <w:sz w:val="32"/>
          <w:szCs w:val="32"/>
          <w:highlight w:val="none"/>
          <w:lang w:val="en-US" w:eastAsia="zh-CN"/>
        </w:rPr>
        <w:t>164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万元，占</w:t>
      </w:r>
      <w:r>
        <w:rPr>
          <w:rFonts w:hint="eastAsia" w:ascii="Times New Roman" w:eastAsia="方正仿宋_GB2312" w:cs="Times New Roman"/>
          <w:sz w:val="32"/>
          <w:szCs w:val="32"/>
          <w:highlight w:val="none"/>
          <w:lang w:val="en-US" w:eastAsia="zh-CN"/>
        </w:rPr>
        <w:t>25.47</w:t>
      </w:r>
      <w:r>
        <w:rPr>
          <w:rFonts w:hint="default" w:ascii="Times New Roman" w:hAnsi="Times New Roman" w:eastAsia="方正仿宋_GB2312" w:cs="Times New Roman"/>
          <w:sz w:val="32"/>
          <w:szCs w:val="32"/>
          <w:highlight w:val="none"/>
          <w:lang w:val="en-US" w:eastAsia="zh-CN"/>
        </w:rPr>
        <w:t>%；项目支出</w:t>
      </w:r>
      <w:r>
        <w:rPr>
          <w:rFonts w:hint="eastAsia" w:ascii="Times New Roman" w:hAnsi="Times New Roman" w:eastAsia="方正仿宋_GB2312" w:cs="Times New Roman"/>
          <w:sz w:val="32"/>
          <w:szCs w:val="32"/>
          <w:highlight w:val="none"/>
          <w:lang w:val="en-US" w:eastAsia="zh-CN"/>
        </w:rPr>
        <w:t>480万元，占</w:t>
      </w:r>
      <w:r>
        <w:rPr>
          <w:rFonts w:hint="eastAsia" w:ascii="Times New Roman" w:eastAsia="方正仿宋_GB2312" w:cs="Times New Roman"/>
          <w:sz w:val="32"/>
          <w:szCs w:val="32"/>
          <w:highlight w:val="none"/>
          <w:lang w:val="en-US" w:eastAsia="zh-CN"/>
        </w:rPr>
        <w:t>74.53</w:t>
      </w:r>
      <w:r>
        <w:rPr>
          <w:rFonts w:hint="eastAsia" w:ascii="Times New Roman" w:hAnsi="Times New Roman" w:eastAsia="方正仿宋_GB2312" w:cs="Times New Roman"/>
          <w:sz w:val="32"/>
          <w:szCs w:val="32"/>
          <w:highlight w:val="none"/>
          <w:lang w:val="en-US" w:eastAsia="zh-CN"/>
        </w:rPr>
        <w:t>%</w:t>
      </w:r>
    </w:p>
    <w:p w14:paraId="0F9D61E7">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四、财政拨款收支预算情况说明</w:t>
      </w:r>
    </w:p>
    <w:p w14:paraId="239427EE">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社工部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年财政拨款收支总预算</w:t>
      </w:r>
      <w:r>
        <w:rPr>
          <w:rFonts w:hint="eastAsia" w:ascii="Times New Roman" w:hAnsi="Times New Roman" w:eastAsia="方正仿宋_GB2312" w:cs="Times New Roman"/>
          <w:sz w:val="32"/>
          <w:szCs w:val="32"/>
          <w:highlight w:val="none"/>
          <w:lang w:val="en-US" w:eastAsia="zh-CN"/>
        </w:rPr>
        <w:t>644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万元。主要是</w:t>
      </w:r>
      <w:r>
        <w:rPr>
          <w:rFonts w:hint="eastAsia" w:ascii="Times New Roman" w:eastAsia="方正仿宋_GB2312" w:cs="Times New Roman"/>
          <w:sz w:val="32"/>
          <w:szCs w:val="32"/>
          <w:highlight w:val="none"/>
          <w:lang w:val="en-US" w:eastAsia="zh-CN"/>
        </w:rPr>
        <w:t>用于</w:t>
      </w:r>
      <w:r>
        <w:rPr>
          <w:rFonts w:hint="eastAsia" w:ascii="Times New Roman" w:hAnsi="Times New Roman" w:eastAsia="方正仿宋_GB2312" w:cs="Times New Roman"/>
          <w:sz w:val="32"/>
          <w:szCs w:val="32"/>
          <w:highlight w:val="none"/>
          <w:lang w:val="en-US" w:eastAsia="zh-CN"/>
        </w:rPr>
        <w:t>重点</w:t>
      </w:r>
      <w:r>
        <w:rPr>
          <w:rFonts w:hint="eastAsia" w:ascii="Times New Roman" w:eastAsia="方正仿宋_GB2312" w:cs="Times New Roman"/>
          <w:sz w:val="32"/>
          <w:szCs w:val="32"/>
          <w:highlight w:val="none"/>
          <w:lang w:val="en-US" w:eastAsia="zh-CN"/>
        </w:rPr>
        <w:t>项目</w:t>
      </w:r>
      <w:r>
        <w:rPr>
          <w:rFonts w:hint="eastAsia" w:ascii="Times New Roman" w:hAnsi="Times New Roman" w:eastAsia="方正仿宋_GB2312" w:cs="Times New Roman"/>
          <w:sz w:val="32"/>
          <w:szCs w:val="32"/>
          <w:highlight w:val="none"/>
          <w:lang w:val="en-US" w:eastAsia="zh-CN"/>
        </w:rPr>
        <w:t>工作和</w:t>
      </w:r>
      <w:r>
        <w:rPr>
          <w:rFonts w:hint="default" w:ascii="Times New Roman" w:hAnsi="Times New Roman" w:eastAsia="方正仿宋_GB2312" w:cs="Times New Roman"/>
          <w:sz w:val="32"/>
          <w:szCs w:val="32"/>
          <w:highlight w:val="none"/>
          <w:lang w:val="en-US" w:eastAsia="zh-CN"/>
        </w:rPr>
        <w:t>基本支出。</w:t>
      </w:r>
    </w:p>
    <w:p w14:paraId="5972BC76">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收入包括：本年一般公共预算拨款收入</w:t>
      </w:r>
      <w:r>
        <w:rPr>
          <w:rFonts w:hint="eastAsia" w:ascii="Times New Roman" w:hAnsi="Times New Roman" w:eastAsia="方正仿宋_GB2312" w:cs="Times New Roman"/>
          <w:sz w:val="32"/>
          <w:szCs w:val="32"/>
          <w:highlight w:val="none"/>
          <w:lang w:val="en-US" w:eastAsia="zh-CN"/>
        </w:rPr>
        <w:t>644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万元、政府性基金预算拨款收入0万元、上年结转一般公共预算拨款收入0万元；支出包括：基本支出</w:t>
      </w:r>
      <w:r>
        <w:rPr>
          <w:rFonts w:hint="eastAsia" w:ascii="Times New Roman" w:hAnsi="Times New Roman" w:eastAsia="方正仿宋_GB2312" w:cs="Times New Roman"/>
          <w:sz w:val="32"/>
          <w:szCs w:val="32"/>
          <w:highlight w:val="none"/>
          <w:lang w:val="en-US" w:eastAsia="zh-CN"/>
        </w:rPr>
        <w:t>164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eastAsia" w:ascii="Times New Roman" w:hAnsi="Times New Roman" w:eastAsia="方正仿宋_GB2312" w:cs="Times New Roman"/>
          <w:sz w:val="32"/>
          <w:szCs w:val="32"/>
          <w:highlight w:val="none"/>
          <w:lang w:val="en-US" w:eastAsia="zh-CN"/>
        </w:rPr>
        <w:t>万元，项目支出480</w:t>
      </w:r>
      <w:r>
        <w:rPr>
          <w:rFonts w:hint="eastAsia" w:ascii="Times New Roman" w:eastAsia="方正仿宋_GB2312" w:cs="Times New Roman"/>
          <w:sz w:val="32"/>
          <w:szCs w:val="32"/>
          <w:highlight w:val="none"/>
          <w:lang w:val="en-US" w:eastAsia="zh-CN"/>
        </w:rPr>
        <w:t>.00</w:t>
      </w:r>
      <w:r>
        <w:rPr>
          <w:rFonts w:hint="eastAsia" w:ascii="Times New Roman" w:hAnsi="Times New Roman" w:eastAsia="方正仿宋_GB2312" w:cs="Times New Roman"/>
          <w:sz w:val="32"/>
          <w:szCs w:val="32"/>
          <w:highlight w:val="none"/>
          <w:lang w:val="en-US" w:eastAsia="zh-CN"/>
        </w:rPr>
        <w:t>万元</w:t>
      </w:r>
      <w:r>
        <w:rPr>
          <w:rFonts w:hint="default" w:ascii="Times New Roman" w:hAnsi="Times New Roman" w:eastAsia="方正仿宋_GB2312" w:cs="Times New Roman"/>
          <w:sz w:val="32"/>
          <w:szCs w:val="32"/>
          <w:highlight w:val="none"/>
          <w:lang w:val="en-US" w:eastAsia="zh-CN"/>
        </w:rPr>
        <w:t>。</w:t>
      </w:r>
    </w:p>
    <w:p w14:paraId="444208A0">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五、一般公共预算当年拨款情况说明</w:t>
      </w:r>
    </w:p>
    <w:p w14:paraId="49D4E1C5">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（一）一般公共预算当年拨款规模变化情况</w:t>
      </w:r>
    </w:p>
    <w:p w14:paraId="1CD5CF7E">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社工部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年一般公共预算当年拨款</w:t>
      </w:r>
      <w:r>
        <w:rPr>
          <w:rFonts w:hint="eastAsia" w:ascii="Times New Roman" w:hAnsi="Times New Roman" w:eastAsia="方正仿宋_GB2312" w:cs="Times New Roman"/>
          <w:sz w:val="32"/>
          <w:szCs w:val="32"/>
          <w:highlight w:val="none"/>
          <w:lang w:val="en-US" w:eastAsia="zh-CN"/>
        </w:rPr>
        <w:t>644.06</w:t>
      </w:r>
      <w:r>
        <w:rPr>
          <w:rFonts w:hint="default" w:ascii="Times New Roman" w:hAnsi="Times New Roman" w:eastAsia="方正仿宋_GB2312" w:cs="Times New Roman"/>
          <w:sz w:val="32"/>
          <w:szCs w:val="32"/>
          <w:highlight w:val="none"/>
          <w:lang w:val="en-US" w:eastAsia="zh-CN"/>
        </w:rPr>
        <w:t>万元，主要是</w:t>
      </w:r>
      <w:r>
        <w:rPr>
          <w:rFonts w:hint="eastAsia" w:ascii="Times New Roman" w:eastAsia="方正仿宋_GB2312" w:cs="Times New Roman"/>
          <w:sz w:val="32"/>
          <w:szCs w:val="32"/>
          <w:highlight w:val="none"/>
          <w:lang w:val="en-US" w:eastAsia="zh-CN"/>
        </w:rPr>
        <w:t>用于</w:t>
      </w:r>
      <w:r>
        <w:rPr>
          <w:rFonts w:hint="eastAsia" w:ascii="Times New Roman" w:hAnsi="Times New Roman" w:eastAsia="方正仿宋_GB2312" w:cs="Times New Roman"/>
          <w:sz w:val="32"/>
          <w:szCs w:val="32"/>
          <w:highlight w:val="none"/>
          <w:lang w:val="en-US" w:eastAsia="zh-CN"/>
        </w:rPr>
        <w:t>重点</w:t>
      </w:r>
      <w:r>
        <w:rPr>
          <w:rFonts w:hint="eastAsia" w:ascii="Times New Roman" w:eastAsia="方正仿宋_GB2312" w:cs="Times New Roman"/>
          <w:sz w:val="32"/>
          <w:szCs w:val="32"/>
          <w:highlight w:val="none"/>
          <w:lang w:val="en-US" w:eastAsia="zh-CN"/>
        </w:rPr>
        <w:t>项目</w:t>
      </w:r>
      <w:r>
        <w:rPr>
          <w:rFonts w:hint="eastAsia" w:ascii="Times New Roman" w:hAnsi="Times New Roman" w:eastAsia="方正仿宋_GB2312" w:cs="Times New Roman"/>
          <w:sz w:val="32"/>
          <w:szCs w:val="32"/>
          <w:highlight w:val="none"/>
          <w:lang w:val="en-US" w:eastAsia="zh-CN"/>
        </w:rPr>
        <w:t>工作和</w:t>
      </w:r>
      <w:r>
        <w:rPr>
          <w:rFonts w:hint="default" w:ascii="Times New Roman" w:hAnsi="Times New Roman" w:eastAsia="方正仿宋_GB2312" w:cs="Times New Roman"/>
          <w:sz w:val="32"/>
          <w:szCs w:val="32"/>
          <w:highlight w:val="none"/>
          <w:lang w:val="en-US" w:eastAsia="zh-CN"/>
        </w:rPr>
        <w:t>基本支出。</w:t>
      </w:r>
      <w:r>
        <w:rPr>
          <w:rFonts w:hint="eastAsia" w:ascii="Times New Roman" w:eastAsia="方正仿宋_GB2312" w:cs="Times New Roman"/>
          <w:sz w:val="32"/>
          <w:szCs w:val="32"/>
          <w:highlight w:val="none"/>
          <w:lang w:val="en-US" w:eastAsia="zh-CN"/>
        </w:rPr>
        <w:t>2024年一般公共预算拨款0万元。</w:t>
      </w:r>
    </w:p>
    <w:p w14:paraId="6082E321">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一般公共预算当年拨款结构情况</w:t>
      </w:r>
    </w:p>
    <w:p w14:paraId="75F348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2312" w:cs="Times New Roman"/>
          <w:color w:val="FF0000"/>
          <w:sz w:val="32"/>
          <w:szCs w:val="32"/>
          <w:highlight w:val="none"/>
          <w:lang w:val="en-US" w:eastAsia="zh-CN"/>
        </w:rPr>
      </w:pPr>
      <w:r>
        <w:rPr>
          <w:rFonts w:hint="default" w:ascii="Times New Roman" w:hAnsi="Times New Roman" w:eastAsia="方正仿宋_GB2312" w:cs="Times New Roman"/>
          <w:color w:val="FF0000"/>
          <w:sz w:val="32"/>
          <w:szCs w:val="32"/>
          <w:highlight w:val="none"/>
          <w:lang w:val="en-US" w:eastAsia="zh-CN"/>
        </w:rPr>
        <w:t>一般公共服务支出</w:t>
      </w:r>
      <w:r>
        <w:rPr>
          <w:rFonts w:hint="eastAsia" w:ascii="Times New Roman" w:eastAsia="方正仿宋_GB2312" w:cs="Times New Roman"/>
          <w:color w:val="FF0000"/>
          <w:sz w:val="32"/>
          <w:szCs w:val="32"/>
          <w:highlight w:val="none"/>
          <w:lang w:val="en-US" w:eastAsia="zh-CN"/>
        </w:rPr>
        <w:t>644.06</w:t>
      </w:r>
      <w:r>
        <w:rPr>
          <w:rFonts w:hint="default" w:ascii="Times New Roman" w:hAnsi="Times New Roman" w:eastAsia="方正仿宋_GB2312" w:cs="Times New Roman"/>
          <w:color w:val="FF0000"/>
          <w:sz w:val="32"/>
          <w:szCs w:val="32"/>
          <w:highlight w:val="none"/>
          <w:lang w:val="en-US" w:eastAsia="zh-CN"/>
        </w:rPr>
        <w:t>万元，占</w:t>
      </w:r>
      <w:r>
        <w:rPr>
          <w:rFonts w:hint="eastAsia" w:ascii="Times New Roman" w:eastAsia="方正仿宋_GB2312" w:cs="Times New Roman"/>
          <w:color w:val="FF0000"/>
          <w:sz w:val="32"/>
          <w:szCs w:val="32"/>
          <w:highlight w:val="none"/>
          <w:lang w:val="en-US" w:eastAsia="zh-CN"/>
        </w:rPr>
        <w:t>100</w:t>
      </w:r>
      <w:r>
        <w:rPr>
          <w:rFonts w:hint="default" w:ascii="Times New Roman" w:hAnsi="Times New Roman" w:eastAsia="方正仿宋_GB2312" w:cs="Times New Roman"/>
          <w:color w:val="FF0000"/>
          <w:sz w:val="32"/>
          <w:szCs w:val="32"/>
          <w:highlight w:val="none"/>
          <w:lang w:val="en-US" w:eastAsia="zh-CN"/>
        </w:rPr>
        <w:t>%</w:t>
      </w:r>
      <w:r>
        <w:rPr>
          <w:rFonts w:hint="eastAsia" w:ascii="Times New Roman" w:eastAsia="方正仿宋_GB2312" w:cs="Times New Roman"/>
          <w:color w:val="FF0000"/>
          <w:sz w:val="32"/>
          <w:szCs w:val="32"/>
          <w:highlight w:val="none"/>
          <w:lang w:val="en-US" w:eastAsia="zh-CN"/>
        </w:rPr>
        <w:t>。其中：工资福利</w:t>
      </w:r>
      <w:r>
        <w:rPr>
          <w:rFonts w:hint="default" w:ascii="Times New Roman" w:hAnsi="Times New Roman" w:eastAsia="方正仿宋_GB2312" w:cs="Times New Roman"/>
          <w:color w:val="FF0000"/>
          <w:sz w:val="32"/>
          <w:szCs w:val="32"/>
          <w:highlight w:val="none"/>
          <w:lang w:val="en-US" w:eastAsia="zh-CN"/>
        </w:rPr>
        <w:t>支出</w:t>
      </w:r>
      <w:r>
        <w:rPr>
          <w:rFonts w:hint="eastAsia" w:ascii="Times New Roman" w:eastAsia="方正仿宋_GB2312" w:cs="Times New Roman"/>
          <w:color w:val="FF0000"/>
          <w:sz w:val="32"/>
          <w:szCs w:val="32"/>
          <w:highlight w:val="none"/>
          <w:lang w:val="en-US" w:eastAsia="zh-CN"/>
        </w:rPr>
        <w:t>138.40</w:t>
      </w:r>
      <w:r>
        <w:rPr>
          <w:rFonts w:hint="default" w:ascii="Times New Roman" w:hAnsi="Times New Roman" w:eastAsia="方正仿宋_GB2312" w:cs="Times New Roman"/>
          <w:color w:val="FF0000"/>
          <w:sz w:val="32"/>
          <w:szCs w:val="32"/>
          <w:highlight w:val="none"/>
          <w:lang w:val="en-US" w:eastAsia="zh-CN"/>
        </w:rPr>
        <w:t>万元，占</w:t>
      </w:r>
      <w:r>
        <w:rPr>
          <w:rFonts w:hint="eastAsia" w:ascii="Times New Roman" w:eastAsia="方正仿宋_GB2312" w:cs="Times New Roman"/>
          <w:color w:val="FF0000"/>
          <w:sz w:val="32"/>
          <w:szCs w:val="32"/>
          <w:highlight w:val="none"/>
          <w:lang w:val="en-US" w:eastAsia="zh-CN"/>
        </w:rPr>
        <w:t>21.49</w:t>
      </w:r>
      <w:r>
        <w:rPr>
          <w:rFonts w:hint="default" w:ascii="Times New Roman" w:hAnsi="Times New Roman" w:eastAsia="方正仿宋_GB2312" w:cs="Times New Roman"/>
          <w:color w:val="FF0000"/>
          <w:sz w:val="32"/>
          <w:szCs w:val="32"/>
          <w:highlight w:val="none"/>
          <w:lang w:val="en-US" w:eastAsia="zh-CN"/>
        </w:rPr>
        <w:t>%</w:t>
      </w:r>
      <w:r>
        <w:rPr>
          <w:rFonts w:hint="eastAsia" w:ascii="Times New Roman" w:eastAsia="方正仿宋_GB2312" w:cs="Times New Roman"/>
          <w:color w:val="FF0000"/>
          <w:sz w:val="32"/>
          <w:szCs w:val="32"/>
          <w:highlight w:val="none"/>
          <w:lang w:val="en-US" w:eastAsia="zh-CN"/>
        </w:rPr>
        <w:t>；商品和服务支出442.86，占68.76%</w:t>
      </w:r>
      <w:r>
        <w:rPr>
          <w:rFonts w:hint="default" w:ascii="Times New Roman" w:hAnsi="Times New Roman" w:eastAsia="方正仿宋_GB2312" w:cs="Times New Roman"/>
          <w:color w:val="FF0000"/>
          <w:sz w:val="32"/>
          <w:szCs w:val="32"/>
          <w:highlight w:val="none"/>
          <w:lang w:val="en-US" w:eastAsia="zh-CN"/>
        </w:rPr>
        <w:t>；</w:t>
      </w:r>
      <w:r>
        <w:rPr>
          <w:rFonts w:hint="eastAsia" w:ascii="Times New Roman" w:eastAsia="方正仿宋_GB2312" w:cs="Times New Roman"/>
          <w:color w:val="FF0000"/>
          <w:sz w:val="32"/>
          <w:szCs w:val="32"/>
          <w:highlight w:val="none"/>
          <w:lang w:val="en-US" w:eastAsia="zh-CN"/>
        </w:rPr>
        <w:t>对个人和家庭的补助</w:t>
      </w:r>
      <w:r>
        <w:rPr>
          <w:rFonts w:hint="default" w:ascii="Times New Roman" w:hAnsi="Times New Roman" w:eastAsia="方正仿宋_GB2312" w:cs="Times New Roman"/>
          <w:color w:val="FF0000"/>
          <w:sz w:val="32"/>
          <w:szCs w:val="32"/>
          <w:highlight w:val="none"/>
          <w:lang w:val="en-US" w:eastAsia="zh-CN"/>
        </w:rPr>
        <w:t>支出</w:t>
      </w:r>
      <w:r>
        <w:rPr>
          <w:rFonts w:hint="eastAsia" w:ascii="Times New Roman" w:eastAsia="方正仿宋_GB2312" w:cs="Times New Roman"/>
          <w:color w:val="FF0000"/>
          <w:sz w:val="32"/>
          <w:szCs w:val="32"/>
          <w:highlight w:val="none"/>
          <w:lang w:val="en-US" w:eastAsia="zh-CN"/>
        </w:rPr>
        <w:t>27.28</w:t>
      </w:r>
      <w:r>
        <w:rPr>
          <w:rFonts w:hint="default" w:ascii="Times New Roman" w:hAnsi="Times New Roman" w:eastAsia="方正仿宋_GB2312" w:cs="Times New Roman"/>
          <w:color w:val="FF0000"/>
          <w:sz w:val="32"/>
          <w:szCs w:val="32"/>
          <w:highlight w:val="none"/>
          <w:lang w:val="en-US" w:eastAsia="zh-CN"/>
        </w:rPr>
        <w:t>万元，占</w:t>
      </w:r>
      <w:r>
        <w:rPr>
          <w:rFonts w:hint="eastAsia" w:ascii="Times New Roman" w:eastAsia="方正仿宋_GB2312" w:cs="Times New Roman"/>
          <w:color w:val="FF0000"/>
          <w:sz w:val="32"/>
          <w:szCs w:val="32"/>
          <w:highlight w:val="none"/>
          <w:lang w:val="en-US" w:eastAsia="zh-CN"/>
        </w:rPr>
        <w:t>4.24</w:t>
      </w:r>
      <w:r>
        <w:rPr>
          <w:rFonts w:hint="default" w:ascii="Times New Roman" w:hAnsi="Times New Roman" w:eastAsia="方正仿宋_GB2312" w:cs="Times New Roman"/>
          <w:color w:val="FF0000"/>
          <w:sz w:val="32"/>
          <w:szCs w:val="32"/>
          <w:highlight w:val="none"/>
          <w:lang w:val="en-US" w:eastAsia="zh-CN"/>
        </w:rPr>
        <w:t>%</w:t>
      </w:r>
      <w:r>
        <w:rPr>
          <w:rFonts w:hint="eastAsia" w:ascii="Times New Roman" w:eastAsia="方正仿宋_GB2312" w:cs="Times New Roman"/>
          <w:color w:val="FF0000"/>
          <w:sz w:val="32"/>
          <w:szCs w:val="32"/>
          <w:highlight w:val="none"/>
          <w:lang w:val="en-US" w:eastAsia="zh-CN"/>
        </w:rPr>
        <w:t>；对企业补助支出35.50，占5.51%</w:t>
      </w:r>
      <w:r>
        <w:rPr>
          <w:rFonts w:hint="default" w:ascii="Times New Roman" w:hAnsi="Times New Roman" w:eastAsia="方正仿宋_GB2312" w:cs="Times New Roman"/>
          <w:color w:val="FF0000"/>
          <w:sz w:val="32"/>
          <w:szCs w:val="32"/>
          <w:highlight w:val="none"/>
          <w:lang w:val="en-US" w:eastAsia="zh-CN"/>
        </w:rPr>
        <w:t>。</w:t>
      </w:r>
    </w:p>
    <w:p w14:paraId="341D33F1">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5" w:firstLineChars="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一般公共预算当年拨款具体使用情况</w:t>
      </w:r>
    </w:p>
    <w:p w14:paraId="4566F71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1.一般公共服务（类）</w:t>
      </w:r>
      <w:r>
        <w:rPr>
          <w:rFonts w:hint="eastAsia" w:ascii="Times New Roman" w:hAnsi="Times New Roman" w:eastAsia="方正仿宋_GB2312" w:cs="Times New Roman"/>
          <w:sz w:val="32"/>
          <w:szCs w:val="32"/>
          <w:highlight w:val="none"/>
          <w:lang w:val="en-US" w:eastAsia="zh-CN"/>
        </w:rPr>
        <w:t>社会事务</w:t>
      </w:r>
      <w:r>
        <w:rPr>
          <w:rFonts w:hint="default" w:ascii="Times New Roman" w:hAnsi="Times New Roman" w:eastAsia="方正仿宋_GB2312" w:cs="Times New Roman"/>
          <w:sz w:val="32"/>
          <w:szCs w:val="32"/>
          <w:highlight w:val="none"/>
          <w:lang w:val="en-US" w:eastAsia="zh-CN"/>
        </w:rPr>
        <w:t>（款）行政运行（项）202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hAnsi="Times New Roman" w:eastAsia="方正仿宋_GB2312" w:cs="Times New Roman"/>
          <w:sz w:val="32"/>
          <w:szCs w:val="32"/>
          <w:highlight w:val="none"/>
          <w:lang w:val="en-US" w:eastAsia="zh-CN"/>
        </w:rPr>
        <w:t>101.71</w:t>
      </w:r>
      <w:r>
        <w:rPr>
          <w:rFonts w:hint="default" w:ascii="Times New Roman" w:hAnsi="Times New Roman" w:eastAsia="方正仿宋_GB2312" w:cs="Times New Roman"/>
          <w:sz w:val="32"/>
          <w:szCs w:val="32"/>
          <w:highlight w:val="none"/>
          <w:lang w:val="en-US" w:eastAsia="zh-CN"/>
        </w:rPr>
        <w:t>万元，主要用于：行政单位人员工资及公用</w:t>
      </w:r>
      <w:r>
        <w:rPr>
          <w:rFonts w:hint="eastAsia" w:ascii="Times New Roman" w:hAnsi="Times New Roman" w:eastAsia="方正仿宋_GB2312" w:cs="Times New Roman"/>
          <w:sz w:val="32"/>
          <w:szCs w:val="32"/>
          <w:highlight w:val="none"/>
          <w:lang w:val="en-US" w:eastAsia="zh-CN"/>
        </w:rPr>
        <w:t>等</w:t>
      </w:r>
      <w:r>
        <w:rPr>
          <w:rFonts w:hint="default" w:ascii="Times New Roman" w:hAnsi="Times New Roman" w:eastAsia="方正仿宋_GB2312" w:cs="Times New Roman"/>
          <w:sz w:val="32"/>
          <w:szCs w:val="32"/>
          <w:highlight w:val="none"/>
          <w:lang w:val="en-US" w:eastAsia="zh-CN"/>
        </w:rPr>
        <w:t>支出。</w:t>
      </w:r>
    </w:p>
    <w:p w14:paraId="78D3FCFF">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2.一般公共服务（类）</w:t>
      </w:r>
      <w:r>
        <w:rPr>
          <w:rFonts w:hint="eastAsia" w:ascii="Times New Roman" w:hAnsi="Times New Roman" w:eastAsia="方正仿宋_GB2312" w:cs="Times New Roman"/>
          <w:sz w:val="32"/>
          <w:szCs w:val="32"/>
          <w:highlight w:val="none"/>
          <w:lang w:val="en-US" w:eastAsia="zh-CN"/>
        </w:rPr>
        <w:t>社会事务</w:t>
      </w:r>
      <w:r>
        <w:rPr>
          <w:rFonts w:hint="default" w:ascii="Times New Roman" w:hAnsi="Times New Roman" w:eastAsia="方正仿宋_GB2312" w:cs="Times New Roman"/>
          <w:sz w:val="32"/>
          <w:szCs w:val="32"/>
          <w:highlight w:val="none"/>
          <w:lang w:val="en-US" w:eastAsia="zh-CN"/>
        </w:rPr>
        <w:t>（款）</w:t>
      </w:r>
      <w:r>
        <w:rPr>
          <w:rFonts w:hint="eastAsia" w:ascii="Times New Roman" w:hAnsi="Times New Roman" w:eastAsia="方正仿宋_GB2312" w:cs="Times New Roman"/>
          <w:sz w:val="32"/>
          <w:szCs w:val="32"/>
          <w:highlight w:val="none"/>
          <w:lang w:val="en-US" w:eastAsia="zh-CN"/>
        </w:rPr>
        <w:t>事业</w:t>
      </w:r>
      <w:r>
        <w:rPr>
          <w:rFonts w:hint="default" w:ascii="Times New Roman" w:hAnsi="Times New Roman" w:eastAsia="方正仿宋_GB2312" w:cs="Times New Roman"/>
          <w:sz w:val="32"/>
          <w:szCs w:val="32"/>
          <w:highlight w:val="none"/>
          <w:lang w:val="en-US" w:eastAsia="zh-CN"/>
        </w:rPr>
        <w:t>运行（项）202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年预算数为62.35万元，主要用于：</w:t>
      </w:r>
      <w:r>
        <w:rPr>
          <w:rFonts w:hint="eastAsia" w:ascii="Times New Roman" w:hAnsi="Times New Roman" w:eastAsia="方正仿宋_GB2312" w:cs="Times New Roman"/>
          <w:sz w:val="32"/>
          <w:szCs w:val="32"/>
          <w:highlight w:val="none"/>
          <w:lang w:val="en-US" w:eastAsia="zh-CN"/>
        </w:rPr>
        <w:t>事业单位</w:t>
      </w:r>
      <w:r>
        <w:rPr>
          <w:rFonts w:hint="default" w:ascii="Times New Roman" w:hAnsi="Times New Roman" w:eastAsia="方正仿宋_GB2312" w:cs="Times New Roman"/>
          <w:sz w:val="32"/>
          <w:szCs w:val="32"/>
          <w:highlight w:val="none"/>
          <w:lang w:val="en-US" w:eastAsia="zh-CN"/>
        </w:rPr>
        <w:t>的人员工资及公用</w:t>
      </w:r>
      <w:r>
        <w:rPr>
          <w:rFonts w:hint="eastAsia" w:ascii="Times New Roman" w:hAnsi="Times New Roman" w:eastAsia="方正仿宋_GB2312" w:cs="Times New Roman"/>
          <w:sz w:val="32"/>
          <w:szCs w:val="32"/>
          <w:highlight w:val="none"/>
          <w:lang w:val="en-US" w:eastAsia="zh-CN"/>
        </w:rPr>
        <w:t>等</w:t>
      </w:r>
      <w:r>
        <w:rPr>
          <w:rFonts w:hint="default" w:ascii="Times New Roman" w:hAnsi="Times New Roman" w:eastAsia="方正仿宋_GB2312" w:cs="Times New Roman"/>
          <w:sz w:val="32"/>
          <w:szCs w:val="32"/>
          <w:highlight w:val="none"/>
          <w:lang w:val="en-US" w:eastAsia="zh-CN"/>
        </w:rPr>
        <w:t>支出。</w:t>
      </w:r>
    </w:p>
    <w:p w14:paraId="3F6AA8CB">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3.住房保障支出（类）行政</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事业</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单位住房改革支出（款）住房公积金（项）202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hAnsi="Times New Roman" w:eastAsia="方正仿宋_GB2312" w:cs="Times New Roman"/>
          <w:sz w:val="32"/>
          <w:szCs w:val="32"/>
          <w:highlight w:val="none"/>
          <w:lang w:val="en-US" w:eastAsia="zh-CN"/>
        </w:rPr>
        <w:t>11.1</w:t>
      </w:r>
      <w:r>
        <w:rPr>
          <w:rFonts w:hint="eastAsia" w:ascii="Times New Roman" w:eastAsia="方正仿宋_GB2312" w:cs="Times New Roman"/>
          <w:sz w:val="32"/>
          <w:szCs w:val="32"/>
          <w:highlight w:val="none"/>
          <w:lang w:val="en-US" w:eastAsia="zh-CN"/>
        </w:rPr>
        <w:t>7</w:t>
      </w:r>
      <w:r>
        <w:rPr>
          <w:rFonts w:hint="default" w:ascii="Times New Roman" w:hAnsi="Times New Roman" w:eastAsia="方正仿宋_GB2312" w:cs="Times New Roman"/>
          <w:sz w:val="32"/>
          <w:szCs w:val="32"/>
          <w:highlight w:val="none"/>
          <w:lang w:val="en-US" w:eastAsia="zh-CN"/>
        </w:rPr>
        <w:t>万元，主要用于：人员住房公积金支出。</w:t>
      </w:r>
    </w:p>
    <w:p w14:paraId="7E0D7693">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.社会保障</w:t>
      </w:r>
      <w:r>
        <w:rPr>
          <w:rFonts w:hint="eastAsia" w:ascii="Times New Roman" w:hAnsi="Times New Roman" w:eastAsia="方正仿宋_GB2312" w:cs="Times New Roman"/>
          <w:sz w:val="32"/>
          <w:szCs w:val="32"/>
          <w:highlight w:val="none"/>
          <w:lang w:val="en-US" w:eastAsia="zh-CN"/>
        </w:rPr>
        <w:t>、医疗、职业年金等</w:t>
      </w:r>
      <w:r>
        <w:rPr>
          <w:rFonts w:hint="default" w:ascii="Times New Roman" w:hAnsi="Times New Roman" w:eastAsia="方正仿宋_GB2312" w:cs="Times New Roman"/>
          <w:sz w:val="32"/>
          <w:szCs w:val="32"/>
          <w:highlight w:val="none"/>
          <w:lang w:val="en-US" w:eastAsia="zh-CN"/>
        </w:rPr>
        <w:t>（类）行政</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事业</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单位</w:t>
      </w:r>
      <w:r>
        <w:rPr>
          <w:rFonts w:hint="eastAsia" w:ascii="Times New Roman" w:hAnsi="Times New Roman" w:eastAsia="方正仿宋_GB2312" w:cs="Times New Roman"/>
          <w:sz w:val="32"/>
          <w:szCs w:val="32"/>
          <w:highlight w:val="none"/>
          <w:lang w:val="en-US" w:eastAsia="zh-CN"/>
        </w:rPr>
        <w:t>养老、基本医疗、</w:t>
      </w:r>
      <w:r>
        <w:rPr>
          <w:rFonts w:hint="default" w:ascii="Times New Roman" w:hAnsi="Times New Roman" w:eastAsia="方正仿宋_GB2312" w:cs="Times New Roman"/>
          <w:sz w:val="32"/>
          <w:szCs w:val="32"/>
          <w:highlight w:val="none"/>
          <w:lang w:val="en-US" w:eastAsia="zh-CN"/>
        </w:rPr>
        <w:t>职业年金</w:t>
      </w:r>
      <w:r>
        <w:rPr>
          <w:rFonts w:hint="eastAsia" w:ascii="Times New Roman" w:hAnsi="Times New Roman" w:eastAsia="方正仿宋_GB2312" w:cs="Times New Roman"/>
          <w:sz w:val="32"/>
          <w:szCs w:val="32"/>
          <w:highlight w:val="none"/>
          <w:lang w:val="en-US" w:eastAsia="zh-CN"/>
        </w:rPr>
        <w:t>等</w:t>
      </w:r>
      <w:r>
        <w:rPr>
          <w:rFonts w:hint="default" w:ascii="Times New Roman" w:hAnsi="Times New Roman" w:eastAsia="方正仿宋_GB2312" w:cs="Times New Roman"/>
          <w:sz w:val="32"/>
          <w:szCs w:val="32"/>
          <w:highlight w:val="none"/>
          <w:lang w:val="en-US" w:eastAsia="zh-CN"/>
        </w:rPr>
        <w:t>支出（款）行政</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事业</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单位</w:t>
      </w:r>
      <w:r>
        <w:rPr>
          <w:rFonts w:hint="eastAsia" w:ascii="Times New Roman" w:hAnsi="Times New Roman" w:eastAsia="方正仿宋_GB2312" w:cs="Times New Roman"/>
          <w:sz w:val="32"/>
          <w:szCs w:val="32"/>
          <w:highlight w:val="none"/>
          <w:lang w:val="en-US" w:eastAsia="zh-CN"/>
        </w:rPr>
        <w:t>养老、基本医疗、</w:t>
      </w:r>
      <w:r>
        <w:rPr>
          <w:rFonts w:hint="default" w:ascii="Times New Roman" w:hAnsi="Times New Roman" w:eastAsia="方正仿宋_GB2312" w:cs="Times New Roman"/>
          <w:sz w:val="32"/>
          <w:szCs w:val="32"/>
          <w:highlight w:val="none"/>
          <w:lang w:val="en-US" w:eastAsia="zh-CN"/>
        </w:rPr>
        <w:t>职业年金</w:t>
      </w:r>
      <w:r>
        <w:rPr>
          <w:rFonts w:hint="eastAsia" w:ascii="Times New Roman" w:hAnsi="Times New Roman" w:eastAsia="方正仿宋_GB2312" w:cs="Times New Roman"/>
          <w:sz w:val="32"/>
          <w:szCs w:val="32"/>
          <w:highlight w:val="none"/>
          <w:lang w:val="en-US" w:eastAsia="zh-CN"/>
        </w:rPr>
        <w:t>等</w:t>
      </w:r>
      <w:r>
        <w:rPr>
          <w:rFonts w:hint="default" w:ascii="Times New Roman" w:hAnsi="Times New Roman" w:eastAsia="方正仿宋_GB2312" w:cs="Times New Roman"/>
          <w:sz w:val="32"/>
          <w:szCs w:val="32"/>
          <w:highlight w:val="none"/>
          <w:lang w:val="en-US" w:eastAsia="zh-CN"/>
        </w:rPr>
        <w:t>保险缴费支出（项）202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hAnsi="Times New Roman" w:eastAsia="方正仿宋_GB2312" w:cs="Times New Roman"/>
          <w:sz w:val="32"/>
          <w:szCs w:val="32"/>
          <w:highlight w:val="none"/>
          <w:lang w:val="en-US" w:eastAsia="zh-CN"/>
        </w:rPr>
        <w:t>25.</w:t>
      </w:r>
      <w:r>
        <w:rPr>
          <w:rFonts w:hint="eastAsia" w:ascii="Times New Roman" w:eastAsia="方正仿宋_GB2312" w:cs="Times New Roman"/>
          <w:sz w:val="32"/>
          <w:szCs w:val="32"/>
          <w:highlight w:val="none"/>
          <w:lang w:val="en-US" w:eastAsia="zh-CN"/>
        </w:rPr>
        <w:t>88</w:t>
      </w:r>
      <w:r>
        <w:rPr>
          <w:rFonts w:hint="default" w:ascii="Times New Roman" w:hAnsi="Times New Roman" w:eastAsia="方正仿宋_GB2312" w:cs="Times New Roman"/>
          <w:sz w:val="32"/>
          <w:szCs w:val="32"/>
          <w:highlight w:val="none"/>
          <w:lang w:val="en-US" w:eastAsia="zh-CN"/>
        </w:rPr>
        <w:t>万元，主要用于：人员</w:t>
      </w:r>
      <w:r>
        <w:rPr>
          <w:rFonts w:hint="eastAsia" w:ascii="Times New Roman" w:hAnsi="Times New Roman" w:eastAsia="方正仿宋_GB2312" w:cs="Times New Roman"/>
          <w:sz w:val="32"/>
          <w:szCs w:val="32"/>
          <w:highlight w:val="none"/>
          <w:lang w:val="en-US" w:eastAsia="zh-CN"/>
        </w:rPr>
        <w:t>基本养老、基本医疗、</w:t>
      </w:r>
      <w:r>
        <w:rPr>
          <w:rFonts w:hint="default" w:ascii="Times New Roman" w:hAnsi="Times New Roman" w:eastAsia="方正仿宋_GB2312" w:cs="Times New Roman"/>
          <w:sz w:val="32"/>
          <w:szCs w:val="32"/>
          <w:highlight w:val="none"/>
          <w:lang w:val="en-US" w:eastAsia="zh-CN"/>
        </w:rPr>
        <w:t>职业年金</w:t>
      </w:r>
      <w:r>
        <w:rPr>
          <w:rFonts w:hint="eastAsia" w:ascii="Times New Roman" w:hAnsi="Times New Roman" w:eastAsia="方正仿宋_GB2312" w:cs="Times New Roman"/>
          <w:sz w:val="32"/>
          <w:szCs w:val="32"/>
          <w:highlight w:val="none"/>
          <w:lang w:val="en-US" w:eastAsia="zh-CN"/>
        </w:rPr>
        <w:t>等</w:t>
      </w:r>
      <w:r>
        <w:rPr>
          <w:rFonts w:hint="default" w:ascii="Times New Roman" w:hAnsi="Times New Roman" w:eastAsia="方正仿宋_GB2312" w:cs="Times New Roman"/>
          <w:sz w:val="32"/>
          <w:szCs w:val="32"/>
          <w:highlight w:val="none"/>
          <w:lang w:val="en-US" w:eastAsia="zh-CN"/>
        </w:rPr>
        <w:t>支出。</w:t>
      </w:r>
    </w:p>
    <w:p w14:paraId="71307054">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工资、津贴补贴等</w:t>
      </w:r>
      <w:r>
        <w:rPr>
          <w:rFonts w:hint="default" w:ascii="Times New Roman" w:hAnsi="Times New Roman" w:eastAsia="方正仿宋_GB2312" w:cs="Times New Roman"/>
          <w:sz w:val="32"/>
          <w:szCs w:val="32"/>
          <w:highlight w:val="none"/>
          <w:lang w:val="en-US" w:eastAsia="zh-CN"/>
        </w:rPr>
        <w:t>支出</w:t>
      </w:r>
      <w:r>
        <w:rPr>
          <w:rFonts w:hint="eastAsia" w:ascii="Times New Roman" w:hAnsi="Times New Roman" w:eastAsia="方正仿宋_GB2312" w:cs="Times New Roman"/>
          <w:sz w:val="32"/>
          <w:szCs w:val="32"/>
          <w:highlight w:val="none"/>
          <w:lang w:val="en-US" w:eastAsia="zh-CN"/>
        </w:rPr>
        <w:t>（类）</w:t>
      </w:r>
      <w:r>
        <w:rPr>
          <w:rFonts w:hint="default" w:ascii="Times New Roman" w:hAnsi="Times New Roman" w:eastAsia="方正仿宋_GB2312" w:cs="Times New Roman"/>
          <w:sz w:val="32"/>
          <w:szCs w:val="32"/>
          <w:highlight w:val="none"/>
          <w:lang w:val="en-US" w:eastAsia="zh-CN"/>
        </w:rPr>
        <w:t>行政</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事业</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单位</w:t>
      </w:r>
      <w:r>
        <w:rPr>
          <w:rFonts w:hint="eastAsia" w:ascii="Times New Roman" w:hAnsi="Times New Roman" w:eastAsia="方正仿宋_GB2312" w:cs="Times New Roman"/>
          <w:sz w:val="32"/>
          <w:szCs w:val="32"/>
          <w:highlight w:val="none"/>
          <w:lang w:val="en-US" w:eastAsia="zh-CN"/>
        </w:rPr>
        <w:t>工资、津贴补贴等</w:t>
      </w:r>
      <w:r>
        <w:rPr>
          <w:rFonts w:hint="default" w:ascii="Times New Roman" w:hAnsi="Times New Roman" w:eastAsia="方正仿宋_GB2312" w:cs="Times New Roman"/>
          <w:sz w:val="32"/>
          <w:szCs w:val="32"/>
          <w:highlight w:val="none"/>
          <w:lang w:val="en-US" w:eastAsia="zh-CN"/>
        </w:rPr>
        <w:t>支出（款）行政</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事业</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单位</w:t>
      </w:r>
      <w:r>
        <w:rPr>
          <w:rFonts w:hint="eastAsia" w:ascii="Times New Roman" w:hAnsi="Times New Roman" w:eastAsia="方正仿宋_GB2312" w:cs="Times New Roman"/>
          <w:sz w:val="32"/>
          <w:szCs w:val="32"/>
          <w:highlight w:val="none"/>
          <w:lang w:val="en-US" w:eastAsia="zh-CN"/>
        </w:rPr>
        <w:t>工资、津贴补贴等</w:t>
      </w:r>
      <w:r>
        <w:rPr>
          <w:rFonts w:hint="default" w:ascii="Times New Roman" w:hAnsi="Times New Roman" w:eastAsia="方正仿宋_GB2312" w:cs="Times New Roman"/>
          <w:sz w:val="32"/>
          <w:szCs w:val="32"/>
          <w:highlight w:val="none"/>
          <w:lang w:val="en-US" w:eastAsia="zh-CN"/>
        </w:rPr>
        <w:t>支出（项）202</w:t>
      </w:r>
      <w:r>
        <w:rPr>
          <w:rFonts w:hint="eastAsia" w:asci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年预算数为</w:t>
      </w:r>
      <w:r>
        <w:rPr>
          <w:rFonts w:hint="eastAsia" w:ascii="Times New Roman" w:hAnsi="Times New Roman" w:eastAsia="方正仿宋_GB2312" w:cs="Times New Roman"/>
          <w:sz w:val="32"/>
          <w:szCs w:val="32"/>
          <w:highlight w:val="none"/>
          <w:lang w:val="en-US" w:eastAsia="zh-CN"/>
        </w:rPr>
        <w:t>101.66</w:t>
      </w:r>
      <w:r>
        <w:rPr>
          <w:rFonts w:hint="default" w:ascii="Times New Roman" w:hAnsi="Times New Roman" w:eastAsia="方正仿宋_GB2312" w:cs="Times New Roman"/>
          <w:sz w:val="32"/>
          <w:szCs w:val="32"/>
          <w:highlight w:val="none"/>
          <w:lang w:val="en-US" w:eastAsia="zh-CN"/>
        </w:rPr>
        <w:t>万元，主要用于：人员</w:t>
      </w:r>
      <w:r>
        <w:rPr>
          <w:rFonts w:hint="eastAsia" w:ascii="Times New Roman" w:hAnsi="Times New Roman" w:eastAsia="方正仿宋_GB2312" w:cs="Times New Roman"/>
          <w:sz w:val="32"/>
          <w:szCs w:val="32"/>
          <w:highlight w:val="none"/>
          <w:lang w:val="en-US" w:eastAsia="zh-CN"/>
        </w:rPr>
        <w:t>工资、津贴补贴等</w:t>
      </w:r>
      <w:r>
        <w:rPr>
          <w:rFonts w:hint="default" w:ascii="Times New Roman" w:hAnsi="Times New Roman" w:eastAsia="方正仿宋_GB2312" w:cs="Times New Roman"/>
          <w:sz w:val="32"/>
          <w:szCs w:val="32"/>
          <w:highlight w:val="none"/>
          <w:lang w:val="en-US" w:eastAsia="zh-CN"/>
        </w:rPr>
        <w:t>支出。</w:t>
      </w:r>
    </w:p>
    <w:p w14:paraId="40F4312B">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六、一般公共预算基本支出情况说明</w:t>
      </w:r>
    </w:p>
    <w:p w14:paraId="4226B5C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社工部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年一般公共预算基本支出</w:t>
      </w:r>
      <w:r>
        <w:rPr>
          <w:rFonts w:hint="eastAsia" w:ascii="Times New Roman" w:hAnsi="Times New Roman" w:eastAsia="方正仿宋_GB2312" w:cs="Times New Roman"/>
          <w:sz w:val="32"/>
          <w:szCs w:val="32"/>
          <w:highlight w:val="none"/>
          <w:lang w:val="en-US" w:eastAsia="zh-CN"/>
        </w:rPr>
        <w:t>164</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lang w:val="en-US" w:eastAsia="zh-CN"/>
        </w:rPr>
        <w:t>万元，其中：人员经费</w:t>
      </w:r>
      <w:r>
        <w:rPr>
          <w:rFonts w:hint="eastAsia" w:ascii="Times New Roman" w:hAnsi="Times New Roman" w:eastAsia="方正仿宋_GB2312" w:cs="Times New Roman"/>
          <w:sz w:val="32"/>
          <w:szCs w:val="32"/>
          <w:highlight w:val="none"/>
          <w:lang w:val="en-US" w:eastAsia="zh-CN"/>
        </w:rPr>
        <w:t>142</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4</w:t>
      </w:r>
      <w:r>
        <w:rPr>
          <w:rFonts w:hint="eastAsia" w:asci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万元，主要包括：基本工资、津贴补贴、奖金、绩效工资、机关事业单位基本养老保险缴费、职业年金缴费</w:t>
      </w:r>
      <w:r>
        <w:rPr>
          <w:rFonts w:hint="eastAsia" w:ascii="Times New Roman" w:hAnsi="Times New Roman" w:eastAsia="方正仿宋_GB2312" w:cs="Times New Roman"/>
          <w:sz w:val="32"/>
          <w:szCs w:val="32"/>
          <w:highlight w:val="none"/>
          <w:lang w:val="en-US" w:eastAsia="zh-CN"/>
        </w:rPr>
        <w:t>、其他</w:t>
      </w:r>
      <w:r>
        <w:rPr>
          <w:rFonts w:hint="default" w:ascii="Times New Roman" w:hAnsi="Times New Roman" w:eastAsia="方正仿宋_GB2312" w:cs="Times New Roman"/>
          <w:sz w:val="32"/>
          <w:szCs w:val="32"/>
          <w:highlight w:val="none"/>
          <w:lang w:val="en-US" w:eastAsia="zh-CN"/>
        </w:rPr>
        <w:t>社会保险缴费、</w:t>
      </w:r>
      <w:r>
        <w:rPr>
          <w:rFonts w:hint="eastAsia" w:ascii="Times New Roman" w:hAnsi="Times New Roman" w:eastAsia="方正仿宋_GB2312" w:cs="Times New Roman"/>
          <w:sz w:val="32"/>
          <w:szCs w:val="32"/>
          <w:highlight w:val="none"/>
          <w:lang w:val="en-US" w:eastAsia="zh-CN"/>
        </w:rPr>
        <w:t>住房公积金</w:t>
      </w:r>
      <w:r>
        <w:rPr>
          <w:rFonts w:hint="default" w:ascii="Times New Roman" w:hAnsi="Times New Roman" w:eastAsia="方正仿宋_GB2312" w:cs="Times New Roman"/>
          <w:sz w:val="32"/>
          <w:szCs w:val="32"/>
          <w:highlight w:val="none"/>
          <w:lang w:val="en-US" w:eastAsia="zh-CN"/>
        </w:rPr>
        <w:t>等。</w:t>
      </w:r>
    </w:p>
    <w:p w14:paraId="61449C08">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公用经费</w:t>
      </w:r>
      <w:r>
        <w:rPr>
          <w:rFonts w:hint="eastAsia" w:ascii="Times New Roman" w:hAnsi="Times New Roman" w:eastAsia="方正仿宋_GB2312" w:cs="Times New Roman"/>
          <w:sz w:val="32"/>
          <w:szCs w:val="32"/>
          <w:highlight w:val="none"/>
          <w:lang w:val="en-US" w:eastAsia="zh-CN"/>
        </w:rPr>
        <w:t>21</w:t>
      </w:r>
      <w:r>
        <w:rPr>
          <w:rFonts w:hint="eastAsia" w:ascii="Times New Roman" w:eastAsia="方正仿宋_GB2312" w:cs="Times New Roman"/>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6</w:t>
      </w:r>
      <w:r>
        <w:rPr>
          <w:rFonts w:hint="eastAsia" w:ascii="Times New Roman" w:eastAsia="方正仿宋_GB2312" w:cs="Times New Roman"/>
          <w:sz w:val="32"/>
          <w:szCs w:val="32"/>
          <w:highlight w:val="none"/>
          <w:lang w:val="en-US" w:eastAsia="zh-CN"/>
        </w:rPr>
        <w:t>2</w:t>
      </w:r>
      <w:r>
        <w:rPr>
          <w:rFonts w:hint="default" w:ascii="Times New Roman" w:hAnsi="Times New Roman" w:eastAsia="方正仿宋_GB2312" w:cs="Times New Roman"/>
          <w:sz w:val="32"/>
          <w:szCs w:val="32"/>
          <w:highlight w:val="none"/>
          <w:lang w:val="en-US" w:eastAsia="zh-CN"/>
        </w:rPr>
        <w:t>万元，主要包括：办公费、邮电费、差旅费、会议费、培训费、劳务费、工会经费、其他交通运行维护费、其他商品和服务支出等。</w:t>
      </w:r>
    </w:p>
    <w:p w14:paraId="0831EBFB">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七、“三公”经费财政拨款预算安排情况说明</w:t>
      </w:r>
    </w:p>
    <w:p w14:paraId="587AB251">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社工部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年“三公”经费财政拨款预算数</w:t>
      </w:r>
      <w:r>
        <w:rPr>
          <w:rFonts w:hint="eastAsia" w:ascii="Times New Roman" w:hAnsi="Times New Roman" w:eastAsia="方正仿宋_GB2312" w:cs="Times New Roman"/>
          <w:sz w:val="32"/>
          <w:szCs w:val="32"/>
          <w:highlight w:val="none"/>
          <w:lang w:val="en-US" w:eastAsia="zh-CN"/>
        </w:rPr>
        <w:t>0.5</w:t>
      </w:r>
      <w:r>
        <w:rPr>
          <w:rFonts w:hint="eastAsia" w:ascii="Times New Roman" w:eastAsia="方正仿宋_GB2312" w:cs="Times New Roman"/>
          <w:sz w:val="32"/>
          <w:szCs w:val="32"/>
          <w:highlight w:val="none"/>
          <w:lang w:val="en-US" w:eastAsia="zh-CN"/>
        </w:rPr>
        <w:t>0</w:t>
      </w:r>
      <w:r>
        <w:rPr>
          <w:rFonts w:hint="default" w:ascii="Times New Roman" w:hAnsi="Times New Roman" w:eastAsia="方正仿宋_GB2312" w:cs="Times New Roman"/>
          <w:sz w:val="32"/>
          <w:szCs w:val="32"/>
          <w:highlight w:val="none"/>
          <w:lang w:val="en-US" w:eastAsia="zh-CN"/>
        </w:rPr>
        <w:t>万元，其中：因公出国（境）经费0万元，公务接待费</w:t>
      </w:r>
      <w:r>
        <w:rPr>
          <w:rFonts w:hint="eastAsia" w:ascii="Times New Roman" w:eastAsia="方正仿宋_GB2312" w:cs="Times New Roman"/>
          <w:sz w:val="32"/>
          <w:szCs w:val="32"/>
          <w:highlight w:val="none"/>
          <w:lang w:val="en-US" w:eastAsia="zh-CN"/>
        </w:rPr>
        <w:t>0</w:t>
      </w:r>
      <w:r>
        <w:rPr>
          <w:rFonts w:hint="default" w:ascii="Times New Roman" w:hAnsi="Times New Roman" w:eastAsia="方正仿宋_GB2312" w:cs="Times New Roman"/>
          <w:sz w:val="32"/>
          <w:szCs w:val="32"/>
          <w:highlight w:val="none"/>
          <w:lang w:val="en-US" w:eastAsia="zh-CN"/>
        </w:rPr>
        <w:t>.5</w:t>
      </w:r>
      <w:r>
        <w:rPr>
          <w:rFonts w:hint="eastAsia" w:ascii="Times New Roman" w:eastAsia="方正仿宋_GB2312" w:cs="Times New Roman"/>
          <w:sz w:val="32"/>
          <w:szCs w:val="32"/>
          <w:highlight w:val="none"/>
          <w:lang w:val="en-US" w:eastAsia="zh-CN"/>
        </w:rPr>
        <w:t>0</w:t>
      </w:r>
      <w:r>
        <w:rPr>
          <w:rFonts w:hint="default" w:ascii="Times New Roman" w:hAnsi="Times New Roman" w:eastAsia="方正仿宋_GB2312" w:cs="Times New Roman"/>
          <w:sz w:val="32"/>
          <w:szCs w:val="32"/>
          <w:highlight w:val="none"/>
          <w:lang w:val="en-US" w:eastAsia="zh-CN"/>
        </w:rPr>
        <w:t>万元，公务用车购置0万元，公务用车运行维护费0万元。</w:t>
      </w:r>
    </w:p>
    <w:p w14:paraId="3158505E">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（一）因公出国（境）经费</w:t>
      </w:r>
      <w:r>
        <w:rPr>
          <w:rFonts w:hint="eastAsia" w:ascii="Times New Roman" w:hAnsi="Times New Roman" w:eastAsia="方正仿宋_GB2312" w:cs="Times New Roman"/>
          <w:sz w:val="32"/>
          <w:szCs w:val="32"/>
          <w:highlight w:val="none"/>
          <w:lang w:val="en-US" w:eastAsia="zh-CN"/>
        </w:rPr>
        <w:t>0元</w:t>
      </w:r>
      <w:r>
        <w:rPr>
          <w:rFonts w:hint="default" w:ascii="Times New Roman" w:hAnsi="Times New Roman" w:eastAsia="方正仿宋_GB2312" w:cs="Times New Roman"/>
          <w:sz w:val="32"/>
          <w:szCs w:val="32"/>
          <w:highlight w:val="none"/>
          <w:lang w:val="en-US" w:eastAsia="zh-CN"/>
        </w:rPr>
        <w:t>。主要原因是暂无因公出国（境）计划。</w:t>
      </w:r>
    </w:p>
    <w:p w14:paraId="47BDEF32">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（二）公务接待费202</w:t>
      </w:r>
      <w:r>
        <w:rPr>
          <w:rFonts w:hint="eastAsia" w:asci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年预算</w:t>
      </w:r>
      <w:r>
        <w:rPr>
          <w:rFonts w:hint="eastAsia" w:ascii="Times New Roman" w:hAnsi="Times New Roman" w:eastAsia="方正仿宋_GB2312" w:cs="Times New Roman"/>
          <w:sz w:val="32"/>
          <w:szCs w:val="32"/>
          <w:highlight w:val="none"/>
          <w:lang w:val="en-US" w:eastAsia="zh-CN"/>
        </w:rPr>
        <w:t>0</w:t>
      </w:r>
      <w:r>
        <w:rPr>
          <w:rFonts w:hint="eastAsia" w:ascii="Times New Roman" w:eastAsia="方正仿宋_GB2312" w:cs="Times New Roman"/>
          <w:sz w:val="32"/>
          <w:szCs w:val="32"/>
          <w:highlight w:val="none"/>
          <w:lang w:val="en-US" w:eastAsia="zh-CN"/>
        </w:rPr>
        <w:t>.50</w:t>
      </w:r>
      <w:r>
        <w:rPr>
          <w:rFonts w:hint="eastAsia" w:ascii="Times New Roman" w:hAnsi="Times New Roman" w:eastAsia="方正仿宋_GB2312" w:cs="Times New Roman"/>
          <w:sz w:val="32"/>
          <w:szCs w:val="32"/>
          <w:highlight w:val="none"/>
          <w:lang w:val="en-US" w:eastAsia="zh-CN"/>
        </w:rPr>
        <w:t>万元</w:t>
      </w:r>
      <w:r>
        <w:rPr>
          <w:rFonts w:hint="default" w:ascii="Times New Roman" w:hAnsi="Times New Roman" w:eastAsia="方正仿宋_GB2312" w:cs="Times New Roman"/>
          <w:sz w:val="32"/>
          <w:szCs w:val="32"/>
          <w:highlight w:val="none"/>
          <w:lang w:val="en-US" w:eastAsia="zh-CN"/>
        </w:rPr>
        <w:t>。</w:t>
      </w:r>
      <w:r>
        <w:rPr>
          <w:rFonts w:hint="eastAsia" w:ascii="Times New Roman" w:eastAsia="方正仿宋_GB2312" w:cs="Times New Roman"/>
          <w:sz w:val="32"/>
          <w:szCs w:val="32"/>
          <w:highlight w:val="none"/>
          <w:lang w:val="en-US" w:eastAsia="zh-CN"/>
        </w:rPr>
        <w:t>本单位为新成立机构，</w:t>
      </w:r>
      <w:r>
        <w:rPr>
          <w:rFonts w:hint="eastAsia" w:ascii="Times New Roman" w:hAnsi="Times New Roman" w:eastAsia="方正仿宋_GB2312" w:cs="Times New Roman"/>
          <w:sz w:val="32"/>
          <w:szCs w:val="32"/>
          <w:highlight w:val="none"/>
          <w:lang w:val="en-US" w:eastAsia="zh-CN"/>
        </w:rPr>
        <w:t>故2024年公务接待费为0万元。</w:t>
      </w:r>
    </w:p>
    <w:p w14:paraId="65CFCFC8">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（三）公务用车运行维护费</w:t>
      </w:r>
      <w:r>
        <w:rPr>
          <w:rFonts w:hint="eastAsia" w:ascii="Times New Roman" w:hAnsi="Times New Roman" w:eastAsia="方正仿宋_GB2312" w:cs="Times New Roman"/>
          <w:sz w:val="32"/>
          <w:szCs w:val="32"/>
          <w:highlight w:val="none"/>
          <w:lang w:val="en-US" w:eastAsia="zh-CN"/>
        </w:rPr>
        <w:t>0元</w:t>
      </w:r>
      <w:r>
        <w:rPr>
          <w:rFonts w:hint="default" w:ascii="Times New Roman" w:hAnsi="Times New Roman" w:eastAsia="方正仿宋_GB2312" w:cs="Times New Roman"/>
          <w:sz w:val="32"/>
          <w:szCs w:val="32"/>
          <w:highlight w:val="none"/>
          <w:lang w:val="en-US" w:eastAsia="zh-CN"/>
        </w:rPr>
        <w:t>。主要原因是暂无公务用车费用支出。</w:t>
      </w:r>
    </w:p>
    <w:p w14:paraId="0AD73A32">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八、政府性基金预算收支情况说明</w:t>
      </w:r>
    </w:p>
    <w:p w14:paraId="11EEF14D">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收入包括：政府性基金预算拨款收入0万元。</w:t>
      </w:r>
    </w:p>
    <w:p w14:paraId="7E82374B">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九、国有资本经营预算支出情况说明</w:t>
      </w:r>
    </w:p>
    <w:p w14:paraId="6D496FBC">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lang w:val="en-US" w:eastAsia="zh-CN"/>
        </w:rPr>
        <w:t>年使用国有资本经营预算拨款安排0万元，其中：基本支出0万元，项目支出0万元。</w:t>
      </w:r>
    </w:p>
    <w:p w14:paraId="00260B4A">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十、其他重要事项的情况说明</w:t>
      </w:r>
    </w:p>
    <w:p w14:paraId="7987D8CA">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（一）机关运行经费</w:t>
      </w:r>
    </w:p>
    <w:p w14:paraId="353A9195">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w:t>
      </w:r>
      <w:r>
        <w:rPr>
          <w:rFonts w:hint="eastAsia" w:ascii="Times New Roman" w:hAnsi="Times New Roman" w:eastAsia="方正仿宋_GB2312" w:cs="方正仿宋_GB2312"/>
          <w:sz w:val="32"/>
          <w:szCs w:val="32"/>
          <w:highlight w:val="none"/>
          <w:lang w:val="en-US" w:eastAsia="zh-CN"/>
        </w:rPr>
        <w:t>社工部</w:t>
      </w:r>
      <w:r>
        <w:rPr>
          <w:rFonts w:hint="default" w:ascii="Times New Roman" w:hAnsi="Times New Roman" w:eastAsia="方正仿宋_GB2312" w:cs="Times New Roman"/>
          <w:sz w:val="32"/>
          <w:szCs w:val="32"/>
          <w:highlight w:val="none"/>
          <w:lang w:val="en-US" w:eastAsia="zh-CN"/>
        </w:rPr>
        <w:t>机关运行经费财政拨款预算为</w:t>
      </w:r>
      <w:r>
        <w:rPr>
          <w:rFonts w:hint="eastAsia" w:ascii="Times New Roman" w:eastAsia="方正仿宋_GB2312" w:cs="Times New Roman"/>
          <w:sz w:val="32"/>
          <w:szCs w:val="32"/>
          <w:highlight w:val="none"/>
          <w:lang w:val="en-US" w:eastAsia="zh-CN"/>
        </w:rPr>
        <w:t>21.62</w:t>
      </w:r>
      <w:r>
        <w:rPr>
          <w:rFonts w:hint="default" w:ascii="Times New Roman" w:hAnsi="Times New Roman" w:eastAsia="方正仿宋_GB2312" w:cs="Times New Roman"/>
          <w:sz w:val="32"/>
          <w:szCs w:val="32"/>
          <w:highlight w:val="none"/>
          <w:lang w:val="en-US" w:eastAsia="zh-CN"/>
        </w:rPr>
        <w:t>万元</w:t>
      </w:r>
      <w:r>
        <w:rPr>
          <w:rFonts w:hint="eastAsia" w:ascii="Times New Roman" w:hAnsi="Times New Roman" w:eastAsia="方正仿宋_GB2312" w:cs="Times New Roman"/>
          <w:sz w:val="32"/>
          <w:szCs w:val="32"/>
          <w:highlight w:val="none"/>
          <w:lang w:val="en-US" w:eastAsia="zh-CN"/>
        </w:rPr>
        <w:t>。</w:t>
      </w:r>
    </w:p>
    <w:p w14:paraId="41BED4F1">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（二）政府采购情况</w:t>
      </w:r>
    </w:p>
    <w:p w14:paraId="6D768B9C">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年，安排政府采购预算0万元。</w:t>
      </w:r>
    </w:p>
    <w:p w14:paraId="4227BED6">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（三）国有资产占有使用情况</w:t>
      </w:r>
    </w:p>
    <w:p w14:paraId="4285FE82">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年部门预算未安排购置车辆及单位价值200万元以上大型设备。</w:t>
      </w:r>
    </w:p>
    <w:p w14:paraId="508489FF">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（四）绩效目标设置情况</w:t>
      </w:r>
    </w:p>
    <w:p w14:paraId="44B6DA1B">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w:t>
      </w:r>
      <w:r>
        <w:rPr>
          <w:rFonts w:hint="eastAsia" w:ascii="Times New Roman" w:hAnsi="Times New Roman" w:eastAsia="方正仿宋_GB2312" w:cs="方正仿宋_GB2312"/>
          <w:sz w:val="32"/>
          <w:szCs w:val="32"/>
          <w:highlight w:val="none"/>
          <w:lang w:val="en-US" w:eastAsia="zh-CN"/>
        </w:rPr>
        <w:t>社工部</w:t>
      </w:r>
      <w:r>
        <w:rPr>
          <w:rFonts w:hint="default" w:ascii="Times New Roman" w:hAnsi="Times New Roman" w:eastAsia="方正仿宋_GB2312" w:cs="Times New Roman"/>
          <w:sz w:val="32"/>
          <w:szCs w:val="32"/>
          <w:highlight w:val="none"/>
          <w:lang w:val="en-US" w:eastAsia="zh-CN"/>
        </w:rPr>
        <w:t>部门通用项目和专用项目均按要求实行绩效目标管理，涉及一般公共预算当年拨款</w:t>
      </w:r>
      <w:r>
        <w:rPr>
          <w:rFonts w:hint="eastAsia" w:ascii="Times New Roman" w:hAnsi="Times New Roman" w:eastAsia="方正仿宋_GB2312" w:cs="Times New Roman"/>
          <w:sz w:val="32"/>
          <w:szCs w:val="32"/>
          <w:highlight w:val="none"/>
          <w:lang w:val="en-US" w:eastAsia="zh-CN"/>
        </w:rPr>
        <w:t>644.06</w:t>
      </w:r>
      <w:r>
        <w:rPr>
          <w:rFonts w:hint="default" w:ascii="Times New Roman" w:hAnsi="Times New Roman" w:eastAsia="方正仿宋_GB2312" w:cs="Times New Roman"/>
          <w:sz w:val="32"/>
          <w:szCs w:val="32"/>
          <w:highlight w:val="none"/>
          <w:lang w:val="en-US" w:eastAsia="zh-CN"/>
        </w:rPr>
        <w:t>万元。</w:t>
      </w:r>
    </w:p>
    <w:p w14:paraId="6EEF3DE4">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黑体" w:cs="黑体"/>
          <w:b/>
          <w:bCs/>
          <w:sz w:val="32"/>
          <w:szCs w:val="32"/>
          <w:highlight w:val="none"/>
          <w:lang w:val="en-US" w:eastAsia="zh-CN"/>
        </w:rPr>
      </w:pPr>
      <w:r>
        <w:rPr>
          <w:rFonts w:hint="eastAsia" w:ascii="Times New Roman" w:hAnsi="Times New Roman" w:eastAsia="黑体" w:cs="黑体"/>
          <w:b/>
          <w:bCs/>
          <w:sz w:val="32"/>
          <w:szCs w:val="32"/>
          <w:highlight w:val="none"/>
          <w:lang w:val="en-US" w:eastAsia="zh-CN"/>
        </w:rPr>
        <w:t>十一：名词解释</w:t>
      </w:r>
    </w:p>
    <w:p w14:paraId="27A565D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sz w:val="32"/>
          <w:szCs w:val="32"/>
          <w:highlight w:val="none"/>
          <w:lang w:val="en-US" w:eastAsia="zh-CN"/>
        </w:rPr>
        <w:t>（一）</w:t>
      </w:r>
      <w:r>
        <w:rPr>
          <w:rFonts w:hint="eastAsia" w:ascii="Times New Roman" w:hAnsi="Times New Roman" w:eastAsia="方正仿宋_GB2312" w:cs="方正仿宋_GB2312"/>
          <w:sz w:val="32"/>
          <w:szCs w:val="32"/>
          <w:highlight w:val="none"/>
        </w:rPr>
        <w:t>一般公共预算拨款收入：指区级财政当年拨付的资金。　　</w:t>
      </w:r>
    </w:p>
    <w:p w14:paraId="5A5FB4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sz w:val="32"/>
          <w:szCs w:val="32"/>
          <w:highlight w:val="none"/>
        </w:rPr>
        <w:t>（二）上年结转：指以前年度尚未完成、结转到本年仍按原规定用途继续使用的资金。</w:t>
      </w:r>
    </w:p>
    <w:p w14:paraId="264177EB">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sz w:val="32"/>
          <w:szCs w:val="32"/>
          <w:highlight w:val="none"/>
        </w:rPr>
        <w:t>　　（三）基本支出：指为保障机构正常运转、完成日常工作任务所必需的人员经费和日常公用经费。</w:t>
      </w:r>
    </w:p>
    <w:p w14:paraId="0C0C5C68">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sz w:val="32"/>
          <w:szCs w:val="32"/>
          <w:highlight w:val="none"/>
        </w:rPr>
        <w:t>　　（四）项目支出：指在基本支出之外，为完成特定的行政工作任务或事业发展目标所发生的支出。</w:t>
      </w:r>
    </w:p>
    <w:p w14:paraId="19A13A26">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sz w:val="32"/>
          <w:szCs w:val="32"/>
          <w:highlight w:val="none"/>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4348323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sz w:val="32"/>
          <w:szCs w:val="32"/>
          <w:highlight w:val="none"/>
          <w:lang w:eastAsia="zh-CN"/>
        </w:rPr>
        <w:t>（六）</w:t>
      </w:r>
      <w:r>
        <w:rPr>
          <w:rFonts w:hint="eastAsia" w:ascii="Times New Roman" w:hAnsi="Times New Roman" w:eastAsia="方正仿宋_GB2312" w:cs="方正仿宋_GB2312"/>
          <w:sz w:val="32"/>
          <w:szCs w:val="32"/>
          <w:highlight w:val="none"/>
          <w:lang w:val="en-US" w:eastAsia="zh-CN"/>
        </w:rPr>
        <w:t>社会工作事务支出：反应行政（事业）单位的基本支出。</w:t>
      </w:r>
    </w:p>
    <w:p w14:paraId="65F3A3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sz w:val="32"/>
          <w:szCs w:val="32"/>
          <w:highlight w:val="none"/>
          <w:lang w:val="en-US" w:eastAsia="zh-CN"/>
        </w:rPr>
        <w:t>（七）</w:t>
      </w:r>
      <w:r>
        <w:rPr>
          <w:rFonts w:hint="default" w:ascii="Times New Roman" w:hAnsi="Times New Roman" w:eastAsia="方正仿宋_GB2312" w:cs="Times New Roman"/>
          <w:sz w:val="32"/>
          <w:szCs w:val="32"/>
          <w:highlight w:val="none"/>
          <w:lang w:val="en-US" w:eastAsia="zh-CN"/>
        </w:rPr>
        <w:t>社会保障</w:t>
      </w:r>
      <w:r>
        <w:rPr>
          <w:rFonts w:hint="eastAsia" w:ascii="Times New Roman" w:hAnsi="Times New Roman" w:eastAsia="方正仿宋_GB2312" w:cs="Times New Roman"/>
          <w:sz w:val="32"/>
          <w:szCs w:val="32"/>
          <w:highlight w:val="none"/>
          <w:lang w:val="en-US" w:eastAsia="zh-CN"/>
        </w:rPr>
        <w:t>、医疗、职业年金等</w:t>
      </w:r>
      <w:r>
        <w:rPr>
          <w:rFonts w:hint="eastAsia" w:ascii="Times New Roman" w:hAnsi="Times New Roman" w:eastAsia="方正仿宋_GB2312" w:cs="方正仿宋_GB2312"/>
          <w:sz w:val="32"/>
          <w:szCs w:val="32"/>
          <w:highlight w:val="none"/>
          <w:lang w:val="en-US" w:eastAsia="zh-CN"/>
        </w:rPr>
        <w:t>支出：反映机关（事业）单位</w:t>
      </w:r>
      <w:r>
        <w:rPr>
          <w:rFonts w:hint="default" w:ascii="Times New Roman" w:hAnsi="Times New Roman" w:eastAsia="方正仿宋_GB2312" w:cs="Times New Roman"/>
          <w:sz w:val="32"/>
          <w:szCs w:val="32"/>
          <w:highlight w:val="none"/>
          <w:lang w:val="en-US" w:eastAsia="zh-CN"/>
        </w:rPr>
        <w:t>人员</w:t>
      </w:r>
      <w:r>
        <w:rPr>
          <w:rFonts w:hint="eastAsia" w:ascii="Times New Roman" w:hAnsi="Times New Roman" w:eastAsia="方正仿宋_GB2312" w:cs="Times New Roman"/>
          <w:sz w:val="32"/>
          <w:szCs w:val="32"/>
          <w:highlight w:val="none"/>
          <w:lang w:val="en-US" w:eastAsia="zh-CN"/>
        </w:rPr>
        <w:t>基本养老、基本医疗、</w:t>
      </w:r>
      <w:r>
        <w:rPr>
          <w:rFonts w:hint="default" w:ascii="Times New Roman" w:hAnsi="Times New Roman" w:eastAsia="方正仿宋_GB2312" w:cs="Times New Roman"/>
          <w:sz w:val="32"/>
          <w:szCs w:val="32"/>
          <w:highlight w:val="none"/>
          <w:lang w:val="en-US" w:eastAsia="zh-CN"/>
        </w:rPr>
        <w:t>职业年金</w:t>
      </w:r>
      <w:r>
        <w:rPr>
          <w:rFonts w:hint="eastAsia" w:ascii="Times New Roman" w:hAnsi="Times New Roman" w:eastAsia="方正仿宋_GB2312" w:cs="Times New Roman"/>
          <w:sz w:val="32"/>
          <w:szCs w:val="32"/>
          <w:highlight w:val="none"/>
          <w:lang w:val="en-US" w:eastAsia="zh-CN"/>
        </w:rPr>
        <w:t>等</w:t>
      </w:r>
      <w:r>
        <w:rPr>
          <w:rFonts w:hint="default" w:ascii="Times New Roman" w:hAnsi="Times New Roman" w:eastAsia="方正仿宋_GB2312" w:cs="Times New Roman"/>
          <w:sz w:val="32"/>
          <w:szCs w:val="32"/>
          <w:highlight w:val="none"/>
          <w:lang w:val="en-US" w:eastAsia="zh-CN"/>
        </w:rPr>
        <w:t>支出</w:t>
      </w:r>
      <w:r>
        <w:rPr>
          <w:rFonts w:hint="eastAsia" w:ascii="Times New Roman" w:hAnsi="Times New Roman" w:eastAsia="方正仿宋_GB2312" w:cs="方正仿宋_GB2312"/>
          <w:sz w:val="32"/>
          <w:szCs w:val="32"/>
          <w:highlight w:val="none"/>
          <w:lang w:val="en-US" w:eastAsia="zh-CN"/>
        </w:rPr>
        <w:t>。</w:t>
      </w:r>
    </w:p>
    <w:p w14:paraId="490D67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（八）住房保障支出：反映行政事业单位按人力资源和社会保障部、财政部规定的基本工资和津贴补贴以及规定比例为职工缴纳的住房公积金。</w:t>
      </w:r>
    </w:p>
    <w:p w14:paraId="26A8751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仿宋_GB2312" w:cs="Times New Roman"/>
          <w:sz w:val="32"/>
          <w:szCs w:val="32"/>
          <w:highlight w:val="none"/>
          <w:lang w:val="en-US" w:eastAsia="zh-CN"/>
        </w:rPr>
      </w:pPr>
    </w:p>
    <w:p w14:paraId="015E2226">
      <w:pPr>
        <w:keepNext w:val="0"/>
        <w:keepLines w:val="0"/>
        <w:pageBreakBefore w:val="0"/>
        <w:widowControl w:val="0"/>
        <w:kinsoku/>
        <w:wordWrap/>
        <w:overflowPunct/>
        <w:topLinePunct w:val="0"/>
        <w:autoSpaceDE/>
        <w:autoSpaceDN/>
        <w:bidi w:val="0"/>
        <w:adjustRightInd/>
        <w:snapToGrid/>
        <w:spacing w:line="579" w:lineRule="exact"/>
        <w:ind w:left="1594" w:leftChars="132" w:hanging="960" w:hangingChars="300"/>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附件：1.</w:t>
      </w:r>
      <w:r>
        <w:rPr>
          <w:rFonts w:hint="default" w:ascii="Times New Roman" w:hAnsi="Times New Roman" w:eastAsia="方正仿宋_GB2312" w:cs="Times New Roman"/>
          <w:sz w:val="32"/>
          <w:szCs w:val="32"/>
          <w:highlight w:val="none"/>
          <w:lang w:val="en-US" w:eastAsia="zh-CN"/>
        </w:rPr>
        <w:t>中共德阳市罗江区委</w:t>
      </w:r>
      <w:r>
        <w:rPr>
          <w:rFonts w:hint="eastAsia" w:ascii="Times New Roman" w:hAnsi="Times New Roman" w:eastAsia="方正仿宋_GB2312" w:cs="Times New Roman"/>
          <w:sz w:val="32"/>
          <w:szCs w:val="32"/>
          <w:highlight w:val="none"/>
          <w:lang w:val="en-US" w:eastAsia="zh-CN"/>
        </w:rPr>
        <w:t>社会工作部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 xml:space="preserve">年部门预算公开表 </w:t>
      </w:r>
    </w:p>
    <w:p w14:paraId="2D7268FA">
      <w:pPr>
        <w:pStyle w:val="7"/>
        <w:keepNext w:val="0"/>
        <w:keepLines w:val="0"/>
        <w:pageBreakBefore w:val="0"/>
        <w:widowControl w:val="0"/>
        <w:kinsoku/>
        <w:wordWrap/>
        <w:overflowPunct/>
        <w:topLinePunct w:val="0"/>
        <w:autoSpaceDE/>
        <w:autoSpaceDN/>
        <w:bidi w:val="0"/>
        <w:adjustRightInd/>
        <w:snapToGrid/>
        <w:spacing w:line="579" w:lineRule="exact"/>
        <w:ind w:left="1584" w:leftChars="330" w:firstLine="0" w:firstLineChars="0"/>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2.</w:t>
      </w:r>
      <w:r>
        <w:rPr>
          <w:rFonts w:hint="default" w:ascii="Times New Roman" w:hAnsi="Times New Roman" w:eastAsia="方正仿宋_GB2312" w:cs="Times New Roman"/>
          <w:sz w:val="32"/>
          <w:szCs w:val="32"/>
          <w:highlight w:val="none"/>
          <w:lang w:val="en-US" w:eastAsia="zh-CN"/>
        </w:rPr>
        <w:t>中共德阳市罗江区委</w:t>
      </w:r>
      <w:r>
        <w:rPr>
          <w:rFonts w:hint="eastAsia" w:ascii="Times New Roman" w:hAnsi="Times New Roman" w:eastAsia="方正仿宋_GB2312" w:cs="Times New Roman"/>
          <w:sz w:val="32"/>
          <w:szCs w:val="32"/>
          <w:highlight w:val="none"/>
          <w:lang w:val="en-US" w:eastAsia="zh-CN"/>
        </w:rPr>
        <w:t>社会工作部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年部门整体绩效公开表</w:t>
      </w:r>
    </w:p>
    <w:p w14:paraId="48A176AB">
      <w:pPr>
        <w:keepNext w:val="0"/>
        <w:keepLines w:val="0"/>
        <w:pageBreakBefore w:val="0"/>
        <w:widowControl w:val="0"/>
        <w:kinsoku/>
        <w:wordWrap/>
        <w:overflowPunct/>
        <w:topLinePunct w:val="0"/>
        <w:autoSpaceDE/>
        <w:autoSpaceDN/>
        <w:bidi w:val="0"/>
        <w:adjustRightInd/>
        <w:snapToGrid/>
        <w:spacing w:line="579" w:lineRule="exact"/>
        <w:ind w:left="1584" w:leftChars="330" w:firstLine="0" w:firstLineChars="0"/>
        <w:textAlignment w:val="auto"/>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3.</w:t>
      </w:r>
      <w:r>
        <w:rPr>
          <w:rFonts w:hint="default" w:ascii="Times New Roman" w:hAnsi="Times New Roman" w:eastAsia="方正仿宋_GB2312" w:cs="Times New Roman"/>
          <w:sz w:val="32"/>
          <w:szCs w:val="32"/>
          <w:highlight w:val="none"/>
          <w:lang w:val="en-US" w:eastAsia="zh-CN"/>
        </w:rPr>
        <w:t>中共德阳市罗江区委</w:t>
      </w:r>
      <w:r>
        <w:rPr>
          <w:rFonts w:hint="eastAsia" w:ascii="Times New Roman" w:hAnsi="Times New Roman" w:eastAsia="方正仿宋_GB2312" w:cs="Times New Roman"/>
          <w:sz w:val="32"/>
          <w:szCs w:val="32"/>
          <w:highlight w:val="none"/>
          <w:lang w:val="en-US" w:eastAsia="zh-CN"/>
        </w:rPr>
        <w:t>社会工作部</w:t>
      </w:r>
      <w:r>
        <w:rPr>
          <w:rFonts w:hint="default" w:ascii="Times New Roman" w:hAnsi="Times New Roman" w:eastAsia="方正仿宋_GB2312" w:cs="Times New Roman"/>
          <w:sz w:val="32"/>
          <w:szCs w:val="32"/>
          <w:highlight w:val="none"/>
          <w:lang w:val="en-US" w:eastAsia="zh-CN"/>
        </w:rPr>
        <w:t>202</w:t>
      </w:r>
      <w:r>
        <w:rPr>
          <w:rFonts w:hint="eastAsia"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lang w:val="en-US" w:eastAsia="zh-CN"/>
        </w:rPr>
        <w:t>年部门项目绩效公开表</w:t>
      </w:r>
    </w:p>
    <w:sectPr>
      <w:headerReference r:id="rId4" w:type="default"/>
      <w:footerReference r:id="rId5"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773B38-CFBB-49CA-AA20-86AFD027EA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C771A42-A110-43ED-AED7-1C73F443D8CF}"/>
  </w:font>
  <w:font w:name="方正小标宋简体">
    <w:panose1 w:val="03000509000000000000"/>
    <w:charset w:val="86"/>
    <w:family w:val="auto"/>
    <w:pitch w:val="default"/>
    <w:sig w:usb0="00000001" w:usb1="080E0000" w:usb2="00000000" w:usb3="00000000" w:csb0="00040000" w:csb1="00000000"/>
    <w:embedRegular r:id="rId3" w:fontKey="{DB164ABC-BA10-4E56-B992-94097975BC1C}"/>
  </w:font>
  <w:font w:name="方正仿宋_GB2312">
    <w:altName w:val="方正仿宋_GBK"/>
    <w:panose1 w:val="02000000000000000000"/>
    <w:charset w:val="86"/>
    <w:family w:val="auto"/>
    <w:pitch w:val="default"/>
    <w:sig w:usb0="00000000" w:usb1="00000000" w:usb2="00000012" w:usb3="00000000" w:csb0="00040001" w:csb1="00000000"/>
    <w:embedRegular r:id="rId4" w:fontKey="{67279992-D9EA-4496-AD0A-5B702A6F71C6}"/>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DB7FAA1C-8B8A-4713-9BCA-F38777361718}"/>
  </w:font>
  <w:font w:name="CESI楷体-GB2312">
    <w:panose1 w:val="02000500000000000000"/>
    <w:charset w:val="86"/>
    <w:family w:val="auto"/>
    <w:pitch w:val="default"/>
    <w:sig w:usb0="800002BF" w:usb1="184F6CF8" w:usb2="00000012" w:usb3="00000000" w:csb0="0004000F" w:csb1="00000000"/>
    <w:embedRegular r:id="rId6" w:fontKey="{C91ABE2D-169E-495F-B834-00B6461FDC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9E4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89E4E">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Cd/6VLNwIAAG0EAAAOAAAAAAAAAAEAIAAAACUBAABkcnMvZTJv&#10;RG9jLnhtbFBLBQYAAAAABgAGAFkBAADOBQAAAAA=&#10;">
              <v:fill on="f" focussize="0,0"/>
              <v:stroke on="f" weight="0.5pt"/>
              <v:imagedata o:title=""/>
              <o:lock v:ext="edit" aspectratio="f"/>
              <v:textbox inset="16pt,0mm,16pt,0mm" style="mso-fit-shape-to-text:t;">
                <w:txbxContent>
                  <w:p w14:paraId="00E89E4E">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947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9C916">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OJjO143AgAAbQ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DiYzteNwIAAG0EAAAOAAAAAAAAAAEAIAAAACUBAABkcnMvZTJv&#10;RG9jLnhtbFBLBQYAAAAABgAGAFkBAADOBQAAAAA=&#10;">
              <v:fill on="f" focussize="0,0"/>
              <v:stroke on="f" weight="0.5pt"/>
              <v:imagedata o:title=""/>
              <o:lock v:ext="edit" aspectratio="f"/>
              <v:textbox inset="16pt,0mm,16pt,0mm" style="mso-fit-shape-to-text:t;">
                <w:txbxContent>
                  <w:p w14:paraId="4EB9C916">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734E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E01A3"/>
    <w:multiLevelType w:val="singleLevel"/>
    <w:tmpl w:val="F46E01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OGI4Y2E2NWM3MzlkMDFhMDFlMGI1NGE1NzU0ZTQifQ=="/>
  </w:docVars>
  <w:rsids>
    <w:rsidRoot w:val="7CF25301"/>
    <w:rsid w:val="00D9637F"/>
    <w:rsid w:val="00E13486"/>
    <w:rsid w:val="016320EC"/>
    <w:rsid w:val="034C72DC"/>
    <w:rsid w:val="03547F3F"/>
    <w:rsid w:val="04257844"/>
    <w:rsid w:val="049F343C"/>
    <w:rsid w:val="05414E3D"/>
    <w:rsid w:val="05573D16"/>
    <w:rsid w:val="066F6E3E"/>
    <w:rsid w:val="06A76C74"/>
    <w:rsid w:val="074402CA"/>
    <w:rsid w:val="0744651C"/>
    <w:rsid w:val="0AE55920"/>
    <w:rsid w:val="0AEA2F37"/>
    <w:rsid w:val="0AF338CE"/>
    <w:rsid w:val="0BEE3906"/>
    <w:rsid w:val="0C441AC5"/>
    <w:rsid w:val="0C4D7C21"/>
    <w:rsid w:val="0C874EE1"/>
    <w:rsid w:val="0CA04772"/>
    <w:rsid w:val="0D091D9A"/>
    <w:rsid w:val="0D132C19"/>
    <w:rsid w:val="0FEB1C2B"/>
    <w:rsid w:val="10E5667A"/>
    <w:rsid w:val="11F13C7B"/>
    <w:rsid w:val="12323B41"/>
    <w:rsid w:val="13E250F3"/>
    <w:rsid w:val="15D1541F"/>
    <w:rsid w:val="172F4AF3"/>
    <w:rsid w:val="17C4348D"/>
    <w:rsid w:val="18137F71"/>
    <w:rsid w:val="18475E6C"/>
    <w:rsid w:val="18B66712"/>
    <w:rsid w:val="19266D83"/>
    <w:rsid w:val="198C6EAB"/>
    <w:rsid w:val="19A1335A"/>
    <w:rsid w:val="19B65A82"/>
    <w:rsid w:val="1B1464DA"/>
    <w:rsid w:val="1B3B1CB8"/>
    <w:rsid w:val="1C931680"/>
    <w:rsid w:val="1CBA4E5F"/>
    <w:rsid w:val="1D570900"/>
    <w:rsid w:val="1E543091"/>
    <w:rsid w:val="1EA170DF"/>
    <w:rsid w:val="1EA25BAA"/>
    <w:rsid w:val="1F372797"/>
    <w:rsid w:val="217355DC"/>
    <w:rsid w:val="221C0C67"/>
    <w:rsid w:val="22D8603F"/>
    <w:rsid w:val="24393E15"/>
    <w:rsid w:val="26051E41"/>
    <w:rsid w:val="260809E9"/>
    <w:rsid w:val="26F31699"/>
    <w:rsid w:val="272730F1"/>
    <w:rsid w:val="27D83C52"/>
    <w:rsid w:val="27F154AD"/>
    <w:rsid w:val="29B073CF"/>
    <w:rsid w:val="2A685EFA"/>
    <w:rsid w:val="2AD76BDC"/>
    <w:rsid w:val="2C1F1732"/>
    <w:rsid w:val="2D5C161A"/>
    <w:rsid w:val="2E516CA5"/>
    <w:rsid w:val="2E81758A"/>
    <w:rsid w:val="2F0D7070"/>
    <w:rsid w:val="3071362F"/>
    <w:rsid w:val="30CE0A81"/>
    <w:rsid w:val="315F0C27"/>
    <w:rsid w:val="33A84B8F"/>
    <w:rsid w:val="33F13DF5"/>
    <w:rsid w:val="34E17989"/>
    <w:rsid w:val="35551771"/>
    <w:rsid w:val="362A675A"/>
    <w:rsid w:val="36EC7EB3"/>
    <w:rsid w:val="37132E3F"/>
    <w:rsid w:val="372363E1"/>
    <w:rsid w:val="37623CD1"/>
    <w:rsid w:val="376D2DA2"/>
    <w:rsid w:val="38593326"/>
    <w:rsid w:val="38CF5396"/>
    <w:rsid w:val="38EA0422"/>
    <w:rsid w:val="3A5169AB"/>
    <w:rsid w:val="3AB111F7"/>
    <w:rsid w:val="3C0E2679"/>
    <w:rsid w:val="3C7671BF"/>
    <w:rsid w:val="3E067AAC"/>
    <w:rsid w:val="3E23240C"/>
    <w:rsid w:val="3E2B25E3"/>
    <w:rsid w:val="3EE14075"/>
    <w:rsid w:val="3F021540"/>
    <w:rsid w:val="3FD44BBA"/>
    <w:rsid w:val="409A44DC"/>
    <w:rsid w:val="427A45C5"/>
    <w:rsid w:val="42A40CC8"/>
    <w:rsid w:val="4464552C"/>
    <w:rsid w:val="456C3BF9"/>
    <w:rsid w:val="457572C5"/>
    <w:rsid w:val="457F1EF2"/>
    <w:rsid w:val="46B34549"/>
    <w:rsid w:val="4723347D"/>
    <w:rsid w:val="477E4B57"/>
    <w:rsid w:val="479779C7"/>
    <w:rsid w:val="495913D8"/>
    <w:rsid w:val="4A201EF6"/>
    <w:rsid w:val="4AC25D34"/>
    <w:rsid w:val="4B4B1A3D"/>
    <w:rsid w:val="4CEC4311"/>
    <w:rsid w:val="4DCE1581"/>
    <w:rsid w:val="4E1B3100"/>
    <w:rsid w:val="4F263435"/>
    <w:rsid w:val="4FAD422B"/>
    <w:rsid w:val="4FDD43E5"/>
    <w:rsid w:val="508D1967"/>
    <w:rsid w:val="513B7615"/>
    <w:rsid w:val="51E732F9"/>
    <w:rsid w:val="52350508"/>
    <w:rsid w:val="523C1897"/>
    <w:rsid w:val="52860D64"/>
    <w:rsid w:val="52C021F7"/>
    <w:rsid w:val="52DC2732"/>
    <w:rsid w:val="53407165"/>
    <w:rsid w:val="53A96AB8"/>
    <w:rsid w:val="540E7263"/>
    <w:rsid w:val="54B756AE"/>
    <w:rsid w:val="552B7151"/>
    <w:rsid w:val="572A52CC"/>
    <w:rsid w:val="573A6C15"/>
    <w:rsid w:val="575B4970"/>
    <w:rsid w:val="5878114F"/>
    <w:rsid w:val="58D719C2"/>
    <w:rsid w:val="5A33357F"/>
    <w:rsid w:val="5AC71F19"/>
    <w:rsid w:val="5AFD593B"/>
    <w:rsid w:val="5C71213D"/>
    <w:rsid w:val="5D1F3F57"/>
    <w:rsid w:val="5D5252FE"/>
    <w:rsid w:val="5D7F0B5E"/>
    <w:rsid w:val="5D8A795A"/>
    <w:rsid w:val="5DA90C31"/>
    <w:rsid w:val="5DD01429"/>
    <w:rsid w:val="5E211941"/>
    <w:rsid w:val="5EFABFAE"/>
    <w:rsid w:val="5F1B654F"/>
    <w:rsid w:val="5FE570CA"/>
    <w:rsid w:val="6010592F"/>
    <w:rsid w:val="602B6AA7"/>
    <w:rsid w:val="60A86369"/>
    <w:rsid w:val="60D46F90"/>
    <w:rsid w:val="635C2C2E"/>
    <w:rsid w:val="63FE3CD6"/>
    <w:rsid w:val="64061766"/>
    <w:rsid w:val="65454724"/>
    <w:rsid w:val="65CD0D2C"/>
    <w:rsid w:val="66867D91"/>
    <w:rsid w:val="668D464A"/>
    <w:rsid w:val="66907786"/>
    <w:rsid w:val="67254250"/>
    <w:rsid w:val="675114E9"/>
    <w:rsid w:val="688431F8"/>
    <w:rsid w:val="691B590A"/>
    <w:rsid w:val="69B30239"/>
    <w:rsid w:val="6B2A3822"/>
    <w:rsid w:val="6B930322"/>
    <w:rsid w:val="6E006191"/>
    <w:rsid w:val="6F215C44"/>
    <w:rsid w:val="6F34478A"/>
    <w:rsid w:val="6F92269E"/>
    <w:rsid w:val="6FC34F4E"/>
    <w:rsid w:val="6FEA072C"/>
    <w:rsid w:val="71233EF6"/>
    <w:rsid w:val="7127158C"/>
    <w:rsid w:val="714A26F5"/>
    <w:rsid w:val="71CD26D5"/>
    <w:rsid w:val="729130E1"/>
    <w:rsid w:val="741B5358"/>
    <w:rsid w:val="756920F3"/>
    <w:rsid w:val="75695C4F"/>
    <w:rsid w:val="76562678"/>
    <w:rsid w:val="765B5EE0"/>
    <w:rsid w:val="778B4A79"/>
    <w:rsid w:val="78617A65"/>
    <w:rsid w:val="798C015E"/>
    <w:rsid w:val="7A1611BC"/>
    <w:rsid w:val="7A5E5838"/>
    <w:rsid w:val="7A85352B"/>
    <w:rsid w:val="7B114DBF"/>
    <w:rsid w:val="7BB816DF"/>
    <w:rsid w:val="7BEC3A75"/>
    <w:rsid w:val="7C480CB4"/>
    <w:rsid w:val="7C701FB9"/>
    <w:rsid w:val="7CAB7CC0"/>
    <w:rsid w:val="7CB579CC"/>
    <w:rsid w:val="7CF25301"/>
    <w:rsid w:val="7FFF2A15"/>
    <w:rsid w:val="E5FF0D70"/>
    <w:rsid w:val="F3FDABC4"/>
    <w:rsid w:val="F792D0C9"/>
    <w:rsid w:val="FC93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0"/>
  </w:style>
  <w:style w:type="paragraph" w:styleId="3">
    <w:name w:val="Body Text Indent"/>
    <w:basedOn w:val="1"/>
    <w:next w:val="1"/>
    <w:autoRedefine/>
    <w:qFormat/>
    <w:uiPriority w:val="0"/>
    <w:pPr>
      <w:spacing w:line="560" w:lineRule="exact"/>
      <w:ind w:firstLine="420"/>
      <w:jc w:val="left"/>
    </w:pPr>
    <w:rPr>
      <w:rFonts w:ascii="仿宋_GB2312"/>
      <w:sz w:val="32"/>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autoRedefine/>
    <w:qFormat/>
    <w:uiPriority w:val="0"/>
    <w:pPr>
      <w:ind w:firstLineChars="200"/>
    </w:pPr>
    <w:rPr>
      <w:rFonts w:ascii="Times New Roman" w:hAnsi="Times New Roman"/>
      <w:sz w:val="30"/>
    </w:rPr>
  </w:style>
  <w:style w:type="character" w:styleId="10">
    <w:name w:val="Strong"/>
    <w:autoRedefine/>
    <w:qFormat/>
    <w:uiPriority w:val="22"/>
    <w:rPr>
      <w:b/>
      <w:bCs/>
    </w:rPr>
  </w:style>
  <w:style w:type="character" w:styleId="11">
    <w:name w:val="Emphasis"/>
    <w:basedOn w:val="9"/>
    <w:autoRedefine/>
    <w:qFormat/>
    <w:uiPriority w:val="20"/>
  </w:style>
  <w:style w:type="paragraph" w:customStyle="1" w:styleId="12">
    <w:name w:val="正文2"/>
    <w:basedOn w:val="1"/>
    <w:next w:val="1"/>
    <w:autoRedefine/>
    <w:qFormat/>
    <w:uiPriority w:val="0"/>
    <w:rPr>
      <w:rFonts w:ascii="Times New Roman" w:hAnsi="Times New Roman" w:eastAsia="宋体" w:cs="Times New Roman"/>
    </w:rPr>
  </w:style>
  <w:style w:type="character" w:customStyle="1" w:styleId="13">
    <w:name w:val="NormalCharacter"/>
    <w:autoRedefine/>
    <w:qFormat/>
    <w:uiPriority w:val="0"/>
    <w:rPr>
      <w:rFonts w:ascii="Calibri" w:hAnsi="Calibri" w:eastAsia="宋体" w:cs="宋体"/>
      <w:kern w:val="2"/>
      <w:sz w:val="21"/>
      <w:szCs w:val="24"/>
      <w:lang w:val="en-US" w:eastAsia="zh-CN" w:bidi="ar-SA"/>
    </w:rPr>
  </w:style>
  <w:style w:type="paragraph" w:customStyle="1" w:styleId="14">
    <w:name w:val="WPSOffice手动目录 1"/>
    <w:autoRedefine/>
    <w:qFormat/>
    <w:uiPriority w:val="0"/>
    <w:pPr>
      <w:ind w:leftChars="0"/>
    </w:pPr>
    <w:rPr>
      <w:rFonts w:ascii="Calibri" w:hAnsi="Calibri" w:eastAsia="宋体" w:cs="Times New Roman"/>
      <w:sz w:val="20"/>
      <w:szCs w:val="20"/>
    </w:rPr>
  </w:style>
  <w:style w:type="paragraph" w:customStyle="1" w:styleId="15">
    <w:name w:val="WPSOffice手动目录 2"/>
    <w:autoRedefine/>
    <w:qFormat/>
    <w:uiPriority w:val="0"/>
    <w:pPr>
      <w:ind w:leftChars="200"/>
    </w:pPr>
    <w:rPr>
      <w:rFonts w:ascii="Calibri" w:hAnsi="Calibri" w:eastAsia="宋体" w:cs="Times New Roman"/>
      <w:sz w:val="20"/>
      <w:szCs w:val="20"/>
    </w:rPr>
  </w:style>
  <w:style w:type="paragraph" w:customStyle="1" w:styleId="16">
    <w:name w:val="章标题"/>
    <w:basedOn w:val="1"/>
    <w:next w:val="17"/>
    <w:autoRedefine/>
    <w:qFormat/>
    <w:uiPriority w:val="99"/>
    <w:pPr>
      <w:widowControl/>
      <w:spacing w:before="158" w:after="153" w:line="323" w:lineRule="atLeast"/>
      <w:ind w:right="-120"/>
      <w:jc w:val="center"/>
      <w:textAlignment w:val="baseline"/>
    </w:pPr>
    <w:rPr>
      <w:color w:val="FF0000"/>
      <w:sz w:val="18"/>
      <w:szCs w:val="21"/>
    </w:rPr>
  </w:style>
  <w:style w:type="paragraph" w:customStyle="1" w:styleId="17">
    <w:name w:val="节标题"/>
    <w:basedOn w:val="1"/>
    <w:next w:val="1"/>
    <w:autoRedefine/>
    <w:qFormat/>
    <w:uiPriority w:val="99"/>
    <w:pPr>
      <w:spacing w:line="289" w:lineRule="atLeast"/>
      <w:jc w:val="center"/>
      <w:textAlignment w:val="baseline"/>
    </w:pPr>
    <w:rPr>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4419</Words>
  <Characters>4768</Characters>
  <Lines>0</Lines>
  <Paragraphs>0</Paragraphs>
  <TotalTime>25</TotalTime>
  <ScaleCrop>false</ScaleCrop>
  <LinksUpToDate>false</LinksUpToDate>
  <CharactersWithSpaces>4798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2021-03-05T10:25:00Z</dcterms:created>
  <dc:creator>斐尔姣姣</dc:creator>
  <cp:lastModifiedBy>阁主</cp:lastModifiedBy>
  <cp:lastPrinted>2025-01-24T12:40:00Z</cp:lastPrinted>
  <dcterms:modified xsi:type="dcterms:W3CDTF">2025-02-14T02:39:04Z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A0C9E2DC03E61AE4A09C95671A3721E5_43</vt:lpwstr>
  </property>
  <property fmtid="{D5CDD505-2E9C-101B-9397-08002B2CF9AE}" pid="4" name="KSOTemplateDocerSaveRecord">
    <vt:lpwstr>eyJoZGlkIjoiMmFiM2I3MzNkMDJhYzQ4NTRhOGNmMjM3ZGM4YzViZGYiLCJ1c2VySWQiOiIyOTI2NjQ0ODUifQ==</vt:lpwstr>
  </property>
</Properties>
</file>