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2" w:firstLineChars="100"/>
        <w:jc w:val="center"/>
        <w:outlineLvl w:val="0"/>
        <w:rPr>
          <w:rStyle w:val="9"/>
          <w:rFonts w:hint="eastAsia" w:ascii="ˎ̥" w:hAnsi="ˎ̥"/>
          <w:b/>
          <w:bCs/>
          <w:color w:val="000000"/>
          <w:sz w:val="41"/>
          <w:szCs w:val="41"/>
        </w:rPr>
      </w:pPr>
      <w:bookmarkStart w:id="0" w:name="_Toc22447"/>
      <w:r>
        <w:rPr>
          <w:rStyle w:val="9"/>
          <w:rFonts w:hint="eastAsia" w:ascii="ˎ̥" w:hAnsi="ˎ̥"/>
          <w:b/>
          <w:bCs/>
          <w:color w:val="000000"/>
          <w:sz w:val="41"/>
          <w:szCs w:val="41"/>
        </w:rPr>
        <w:t>德阳市罗江</w:t>
      </w:r>
      <w:r>
        <w:rPr>
          <w:rStyle w:val="9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  <w:t>区白马关景区管理委员会</w:t>
      </w:r>
      <w:bookmarkEnd w:id="0"/>
    </w:p>
    <w:p>
      <w:pPr>
        <w:ind w:firstLine="412" w:firstLineChars="100"/>
        <w:jc w:val="center"/>
        <w:rPr>
          <w:rStyle w:val="9"/>
          <w:rFonts w:ascii="ˎ̥" w:hAnsi="ˎ̥"/>
          <w:b/>
          <w:bCs/>
          <w:color w:val="000000"/>
          <w:sz w:val="41"/>
          <w:szCs w:val="41"/>
        </w:rPr>
      </w:pPr>
      <w:r>
        <w:rPr>
          <w:rStyle w:val="9"/>
          <w:rFonts w:ascii="ˎ̥" w:hAnsi="ˎ̥"/>
          <w:b/>
          <w:bCs/>
          <w:color w:val="000000"/>
          <w:sz w:val="41"/>
          <w:szCs w:val="41"/>
        </w:rPr>
        <w:t>20</w:t>
      </w:r>
      <w:r>
        <w:rPr>
          <w:rStyle w:val="9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  <w:t>25</w:t>
      </w:r>
      <w:r>
        <w:rPr>
          <w:rStyle w:val="9"/>
          <w:rFonts w:ascii="ˎ̥" w:hAnsi="ˎ̥"/>
          <w:b/>
          <w:bCs/>
          <w:color w:val="000000"/>
          <w:sz w:val="41"/>
          <w:szCs w:val="41"/>
        </w:rPr>
        <w:t>年部门预算编制说明</w:t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62678"/>
        <w15:color w:val="DBDBDB"/>
        <w:docPartObj>
          <w:docPartGallery w:val="Table of Contents"/>
          <w:docPartUnique/>
        </w:docPartObj>
      </w:sdtPr>
      <w:sdtEndPr>
        <w:rPr>
          <w:rFonts w:hint="eastAsia" w:ascii="ˎ̥" w:hAnsi="ˎ̥" w:eastAsia="宋体" w:cs="Times New Roman"/>
          <w:bCs/>
          <w:color w:val="000000"/>
          <w:kern w:val="2"/>
          <w:sz w:val="48"/>
          <w:szCs w:val="41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 w:eastAsia="宋体"/>
              <w:sz w:val="21"/>
              <w:lang w:val="en-US" w:eastAsia="zh-CN"/>
            </w:rPr>
            <w:t xml:space="preserve">  </w:t>
          </w:r>
          <w:r>
            <w:rPr>
              <w:rFonts w:ascii="宋体" w:hAnsi="宋体" w:eastAsia="宋体"/>
              <w:sz w:val="21"/>
            </w:rPr>
            <w:t>录</w:t>
          </w:r>
        </w:p>
        <w:p>
          <w:pPr>
            <w:pStyle w:val="14"/>
            <w:tabs>
              <w:tab w:val="right" w:leader="dot" w:pos="8845"/>
            </w:tabs>
            <w:rPr>
              <w:sz w:val="24"/>
              <w:szCs w:val="24"/>
            </w:rPr>
          </w:pP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fldChar w:fldCharType="begin"/>
          </w: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instrText xml:space="preserve">TOC \o "1-3" \h \u </w:instrText>
          </w: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fldChar w:fldCharType="separate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_Toc24363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</w:rPr>
            <w:t>一、基本职能及主要工作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_Toc24363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0" w:firstLineChars="0"/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_Toc7242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（一）机构设置及主要职责。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_Toc7242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0" w:firstLineChars="0"/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_Toc14620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（二）白马关景区管理委员会20</w:t>
          </w:r>
          <w:r>
            <w:rPr>
              <w:rFonts w:hint="eastAsia" w:ascii="楷体" w:hAnsi="楷体" w:eastAsia="楷体" w:cs="楷体"/>
              <w:bCs/>
              <w:sz w:val="24"/>
              <w:szCs w:val="44"/>
              <w:lang w:val="en-US" w:eastAsia="zh-CN"/>
            </w:rPr>
            <w:t>25</w:t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年重点工作。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_Toc14620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_Toc1830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</w:rPr>
            <w:t>二、部门预算单位构成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_Toc1830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_Toc32330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  <w:lang w:val="en-US" w:eastAsia="zh-CN"/>
            </w:rPr>
            <w:t>三、收支预算增减变化情况说明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_Toc32330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0" w:firstLineChars="0"/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_Toc11974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（一）收入预算情况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_Toc11974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0" w:firstLineChars="0"/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_Toc28298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（二）支出预算情况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_Toc28298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_Toc17093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</w:rPr>
            <w:t>四、财政拨款收支预算情况说明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_Toc17093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_Toc13804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</w:rPr>
            <w:t>五、一般公共预算当年拨款情况说明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_Toc13804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0" w:firstLineChars="0"/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_Toc19872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（一）一般公共预算当年拨款规模变化情况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_Toc19872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0" w:firstLineChars="0"/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_Toc12544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（二）一般公共预算当年拨款结构情况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_Toc12544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0" w:firstLineChars="0"/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_Toc19868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（三）一般公共预算当年拨款具体使用情况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_Toc19868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_Toc4352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</w:rPr>
            <w:t>六、一般公共预算基本支出情况说明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_Toc4352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_Toc29398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</w:rPr>
            <w:t>七、“三公”经费财政拨款预算安排情况说明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_Toc29398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_Toc8767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  <w:lang w:eastAsia="zh-CN"/>
            </w:rPr>
            <w:t>八、</w:t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</w:rPr>
            <w:t>政府性基金预算收支情况说明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_Toc8767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_Toc19059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</w:rPr>
            <w:t>九、国有资本经营预算支出情况说明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_Toc19059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_Toc20224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</w:rPr>
            <w:t>十、其他重要事项的情况说明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_Toc20224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0" w:firstLineChars="0"/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_Toc10384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（一）机关运行经费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_Toc10384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0" w:firstLineChars="0"/>
            <w:rPr>
              <w:rFonts w:hint="eastAsia" w:eastAsia="宋体"/>
              <w:sz w:val="24"/>
              <w:szCs w:val="24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_Toc2601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（二）政府采购情况</w:t>
          </w:r>
          <w:r>
            <w:rPr>
              <w:sz w:val="24"/>
              <w:szCs w:val="24"/>
            </w:rPr>
            <w:tab/>
          </w:r>
          <w:r>
            <w:rPr>
              <w:rFonts w:hint="eastAsia"/>
              <w:sz w:val="24"/>
              <w:szCs w:val="24"/>
              <w:lang w:val="en-US" w:eastAsia="zh-CN"/>
            </w:rPr>
            <w:t>1</w:t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  <w:lang w:val="en-US" w:eastAsia="zh-CN"/>
            </w:rPr>
            <w:t>1</w:t>
          </w:r>
        </w:p>
        <w:p>
          <w:pPr>
            <w:pStyle w:val="15"/>
            <w:tabs>
              <w:tab w:val="right" w:leader="dot" w:pos="8845"/>
            </w:tabs>
            <w:ind w:left="0" w:leftChars="0" w:firstLine="0" w:firstLineChars="0"/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_Toc28344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（三）国有资产占有使用情况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_Toc28344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0" w:firstLineChars="0"/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_Toc26732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sz w:val="24"/>
              <w:szCs w:val="44"/>
            </w:rPr>
            <w:t>（四）绩效目标设置情况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_Toc26732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sz w:val="24"/>
              <w:szCs w:val="24"/>
            </w:rPr>
          </w:pP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begin"/>
          </w:r>
          <w:r>
            <w:rPr>
              <w:rFonts w:hint="eastAsia" w:ascii="ˎ̥" w:hAnsi="ˎ̥"/>
              <w:bCs/>
              <w:sz w:val="24"/>
              <w:szCs w:val="52"/>
            </w:rPr>
            <w:instrText xml:space="preserve"> HYPERLINK \l _Toc31451 </w:instrText>
          </w:r>
          <w:r>
            <w:rPr>
              <w:rFonts w:hint="eastAsia" w:ascii="ˎ̥" w:hAnsi="ˎ̥"/>
              <w:bCs/>
              <w:sz w:val="24"/>
              <w:szCs w:val="5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</w:rPr>
            <w:t>十</w:t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  <w:lang w:eastAsia="zh-CN"/>
            </w:rPr>
            <w:t>一</w:t>
          </w:r>
          <w:r>
            <w:rPr>
              <w:rFonts w:hint="eastAsia" w:ascii="黑体" w:hAnsi="黑体" w:eastAsia="黑体" w:cs="黑体"/>
              <w:bCs w:val="0"/>
              <w:sz w:val="24"/>
              <w:szCs w:val="44"/>
            </w:rPr>
            <w:t>、名词解释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_Toc31451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ˎ̥" w:hAnsi="ˎ̥"/>
              <w:bCs/>
              <w:color w:val="000000"/>
              <w:sz w:val="24"/>
              <w:szCs w:val="52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</w:pPr>
        </w:p>
        <w:p>
          <w:pPr>
            <w:ind w:firstLine="480" w:firstLineChars="100"/>
            <w:jc w:val="center"/>
            <w:outlineLvl w:val="9"/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" w:name="_Toc3604"/>
      <w:bookmarkStart w:id="2" w:name="_Toc287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/>
          <w:b/>
          <w:bCs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3" w:name="_Toc2436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一、基本职能及主要工作</w:t>
      </w:r>
      <w:bookmarkEnd w:id="3"/>
    </w:p>
    <w:p>
      <w:pPr>
        <w:ind w:firstLine="640"/>
        <w:outlineLvl w:val="1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4" w:name="_Toc7242"/>
      <w:r>
        <w:rPr>
          <w:rFonts w:hint="eastAsia" w:ascii="楷体" w:hAnsi="楷体" w:eastAsia="楷体" w:cs="楷体"/>
          <w:b/>
          <w:bCs/>
          <w:sz w:val="32"/>
          <w:szCs w:val="32"/>
        </w:rPr>
        <w:t>（一）机构设置及主要职责。</w:t>
      </w:r>
      <w:bookmarkEnd w:id="4"/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>贯彻执行国家有关法律、法规和政策，执行区政府有关决定和工作部署；研究制定景区相关管理制度和政策规定。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  <w:szCs w:val="32"/>
        </w:rPr>
        <w:t>负责编制景区经济社会发展规划、景区建设总体规划、专项规划和年度工作计划，并组织实施和监督管理。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  <w:szCs w:val="32"/>
        </w:rPr>
        <w:t>负责编制景区土地利用总体规划和年度用地计划，并实施监督管理；按规定对景区内土地和其他自然资源进行开发利用；协调做好景区内征（占）用地的拆迁安置工作；协调区国土资源局做好土地征用、转让、管理等相关工作；协调镇村做好土地流转相关工作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sz w:val="32"/>
          <w:szCs w:val="32"/>
        </w:rPr>
        <w:t>负责景区内基础设施建设和公共服务设施建设与管理；协调推进区级相关部门在景区实施的建设项目、服务工作和兴办各类公益事业。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  <w:szCs w:val="32"/>
        </w:rPr>
        <w:t>负责对景区内各类项目、工程建设的选址、用地、建筑形态、建设规模等实施规划管理；协调区住建局做好工程质量、建筑市场和建设环境的监督管理等。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/>
          <w:sz w:val="32"/>
          <w:szCs w:val="32"/>
        </w:rPr>
        <w:t>负责景区交通管理、治安管理、环卫管理、旅游咨询、旅游投诉处理等游客服务工作。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/>
          <w:sz w:val="32"/>
          <w:szCs w:val="32"/>
        </w:rPr>
        <w:t>负责景区旅游市场、服务质量监管，维护游客的合法权益；负责旅游规划统计和对外宣传营销。</w:t>
      </w:r>
    </w:p>
    <w:p>
      <w:pPr>
        <w:ind w:firstLine="640"/>
        <w:outlineLvl w:val="2"/>
        <w:rPr>
          <w:rFonts w:hint="eastAsia" w:ascii="仿宋_GB2312" w:hAnsi="仿宋_GB2312" w:eastAsia="仿宋_GB2312"/>
          <w:sz w:val="32"/>
          <w:szCs w:val="32"/>
        </w:rPr>
      </w:pPr>
      <w:bookmarkStart w:id="5" w:name="_Toc24229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/>
          <w:sz w:val="32"/>
          <w:szCs w:val="32"/>
        </w:rPr>
        <w:t>负责景区内生态环境、人文景观、旅游资源的保护管理。</w:t>
      </w:r>
      <w:bookmarkEnd w:id="5"/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/>
          <w:sz w:val="32"/>
          <w:szCs w:val="32"/>
        </w:rPr>
        <w:t>负责景区内生投资企业安全生产的监督管理，对投资企业、旅游景点的安全生产机构、人员、职责、措施等落实情况实施监督检查。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/>
          <w:sz w:val="32"/>
          <w:szCs w:val="32"/>
        </w:rPr>
        <w:t>负责景区对外招商引资和投资、建设、生产、经营中的政务服务工作。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/>
          <w:sz w:val="32"/>
          <w:szCs w:val="32"/>
        </w:rPr>
        <w:t>负责景区财务核算、收支管理和景区内各类政府性投资项目、资金和固定资产的监督管理。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/>
          <w:sz w:val="32"/>
          <w:szCs w:val="32"/>
        </w:rPr>
        <w:t>负责景区内区级相关职能部门派驻单位或派驻人员的日常管理。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/>
          <w:sz w:val="32"/>
          <w:szCs w:val="32"/>
        </w:rPr>
      </w:pPr>
      <w:bookmarkStart w:id="6" w:name="_Toc3354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/>
          <w:sz w:val="32"/>
          <w:szCs w:val="32"/>
        </w:rPr>
        <w:t>负责区政府交办的其他事项。</w:t>
      </w:r>
      <w:bookmarkEnd w:id="6"/>
    </w:p>
    <w:p>
      <w:pPr>
        <w:ind w:firstLine="640"/>
        <w:outlineLvl w:val="1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7" w:name="_Toc14620"/>
      <w:r>
        <w:rPr>
          <w:rFonts w:hint="eastAsia" w:ascii="楷体" w:hAnsi="楷体" w:eastAsia="楷体" w:cs="楷体"/>
          <w:b/>
          <w:bCs/>
          <w:sz w:val="32"/>
          <w:szCs w:val="32"/>
        </w:rPr>
        <w:t>（二）白马关景区管理委员会20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年重点工作。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8" w:name="_Toc183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1.着力项目建设。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加快“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摩旅主题公园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”项目的推进工作，协调各方资源，保持高度关注与推进力度。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持续推进《剑门蜀道风景名胜区白马关景区重点区域详细规划》的编制工作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开展白马关景区智慧旅游建设项目的工作，扩大本地文旅品牌影响力。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2.着眼品质提升。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继续做好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景区基础设施、公共服务设施、公共绿化、景观设施等的日常管理及维护工作，保障景区公共服务功能正常运行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做好环境保护、环境卫生秩序管理和日常保洁工作，着眼细微之处，让景区时刻保持良好的生态环境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做好游客接待和游客服务，受理游客咨询和处理游客投诉，保障和维护游客合法权益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3.着眼招商引资。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盘活现有资源，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探索以商引商、友情招商等新思路，搞好与意向企业的深度对接，切实做好招引工作。结合景区产业布局，包装一批项目，采取“走出去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请进来”等方式，引入一批旅游项目落户景区，搞好后续服务，促成早日投产尽快达效。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4.加强宣传营销。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2025年景区将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综合利用线上线下的各种渠道和手段，注重打造独特的品牌形象，提供优质的服务和活动，以吸引并留住游客，实现景区的发展目标。</w:t>
      </w:r>
    </w:p>
    <w:p>
      <w:pPr>
        <w:ind w:firstLine="643" w:firstLineChars="200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5.办好节会赛事活动。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深挖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文化内涵和户外资源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，全力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举办各类节庆及户外运动等相关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赛事活动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通过拓规模、创品牌、活市场、提质量的发展思路，</w:t>
      </w:r>
      <w:bookmarkStart w:id="28" w:name="_GoBack"/>
      <w:bookmarkEnd w:id="28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塑造活动品牌，促进景区融合旅游的发展。</w:t>
      </w:r>
    </w:p>
    <w:p>
      <w:p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二、部门预算单位构成</w:t>
      </w:r>
      <w:bookmarkEnd w:id="8"/>
    </w:p>
    <w:p>
      <w:pPr>
        <w:ind w:firstLine="64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白马关景区管理委员会下属二级预算单位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个，其中行政单位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个，其他事业单位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个,参照公务员法管理的事业单位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个，其他事业单位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个。主要包括：</w:t>
      </w:r>
    </w:p>
    <w:p>
      <w:pPr>
        <w:ind w:firstLine="64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白马关景区管理委员会总编制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  <w:szCs w:val="32"/>
        </w:rPr>
        <w:t>名，其中行政编制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名，事业编制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  <w:szCs w:val="32"/>
        </w:rPr>
        <w:t>名，工勤编制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名。在职人员总数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  <w:szCs w:val="32"/>
        </w:rPr>
        <w:t>人，其中：行政人员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人，事业人员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人，工勤人员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人；离退休人员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人，其中：退休人员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人。本次公开数据包括所有下属二级单位数据。</w:t>
      </w:r>
    </w:p>
    <w:p>
      <w:p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9" w:name="_Toc3233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三、收支预算增减变化情况说明</w:t>
      </w:r>
      <w:bookmarkEnd w:id="9"/>
    </w:p>
    <w:p>
      <w:pPr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按照综合预算的原则，白马关景区管理委员会所有收支均包含下属单位数据，全部纳入部门预算管理。收入包括：一般公共预算拨款收入1469.08万元，比2024年预算数增加946.05万元，主要是增加了项目（文化旅游体育与传媒支出-文化保护传承利用工程项目、一般行政管理事务-景区旅游运行维护管理工作经）支出。支出包括：行政运行51.05万元；一般行政管理事务200.00万元；事业运行146.04万元；机关事业单位基本养老保险缴费支出19.57万元；机关事业单位职业年金缴费支出9.78万元；其他社会保障和就业支出0.62万元；行政单位医疗2.29万元；事业单位医疗5.93万元；住房公积金16.55万元；其他文化旅游体育与传媒支出1017.24万元。</w:t>
      </w:r>
      <w:r>
        <w:rPr>
          <w:rFonts w:hint="eastAsia" w:ascii="仿宋_GB2312" w:hAnsi="仿宋_GB2312" w:eastAsia="仿宋_GB2312"/>
          <w:sz w:val="32"/>
          <w:szCs w:val="32"/>
        </w:rPr>
        <w:t>比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</w:rPr>
        <w:t>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增加946.05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主要是增加了项目（文化旅游体育与传媒支出-文化保护传承利用工程项目、一般行政管理事务-景区旅游运行维护管理工作经）支出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白马关景区管理委员会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年收支总预算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1469.08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outlineLvl w:val="1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bookmarkStart w:id="10" w:name="_Toc11974"/>
      <w:r>
        <w:rPr>
          <w:rFonts w:hint="eastAsia" w:ascii="楷体" w:hAnsi="楷体" w:eastAsia="楷体" w:cs="楷体"/>
          <w:b/>
          <w:bCs/>
          <w:sz w:val="32"/>
          <w:szCs w:val="32"/>
        </w:rPr>
        <w:t>（一）收入预算情况</w:t>
      </w:r>
      <w:bookmarkEnd w:id="10"/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/>
          <w:sz w:val="32"/>
          <w:szCs w:val="32"/>
        </w:rPr>
        <w:t>年收入预算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1469.08</w:t>
      </w:r>
      <w:r>
        <w:rPr>
          <w:rFonts w:ascii="仿宋_GB2312" w:hAnsi="仿宋_GB2312" w:eastAsia="仿宋_GB2312"/>
          <w:sz w:val="32"/>
          <w:szCs w:val="32"/>
        </w:rPr>
        <w:t>万元，其中：上年结转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/>
          <w:sz w:val="32"/>
          <w:szCs w:val="32"/>
        </w:rPr>
        <w:t>%；一般公共预算拨款收入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1469.08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100.00</w:t>
      </w:r>
      <w:r>
        <w:rPr>
          <w:rFonts w:ascii="仿宋_GB2312" w:hAnsi="仿宋_GB2312" w:eastAsia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/>
          <w:sz w:val="32"/>
          <w:szCs w:val="32"/>
        </w:rPr>
        <w:t>%；事业单位经营收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/>
          <w:sz w:val="32"/>
          <w:szCs w:val="32"/>
        </w:rPr>
        <w:t>%。</w:t>
      </w:r>
    </w:p>
    <w:p>
      <w:pPr>
        <w:ind w:firstLine="643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11" w:name="_Toc28298"/>
      <w:r>
        <w:rPr>
          <w:rFonts w:hint="eastAsia" w:ascii="楷体" w:hAnsi="楷体" w:eastAsia="楷体" w:cs="楷体"/>
          <w:b/>
          <w:bCs/>
          <w:sz w:val="32"/>
          <w:szCs w:val="32"/>
        </w:rPr>
        <w:t>（二）支出预算情况</w:t>
      </w:r>
      <w:bookmarkEnd w:id="11"/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/>
          <w:sz w:val="32"/>
          <w:szCs w:val="32"/>
        </w:rPr>
        <w:t>年支出预算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1469.08</w:t>
      </w:r>
      <w:r>
        <w:rPr>
          <w:rFonts w:ascii="仿宋_GB2312" w:hAnsi="仿宋_GB2312" w:eastAsia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/>
          <w:sz w:val="32"/>
          <w:szCs w:val="32"/>
        </w:rPr>
        <w:t>231.84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15.78%</w:t>
      </w:r>
      <w:r>
        <w:rPr>
          <w:rFonts w:ascii="仿宋_GB2312" w:hAnsi="仿宋_GB2312" w:eastAsia="仿宋_GB2312"/>
          <w:sz w:val="32"/>
          <w:szCs w:val="32"/>
        </w:rPr>
        <w:t>；项目支出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1237.24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84.22</w:t>
      </w:r>
      <w:r>
        <w:rPr>
          <w:rFonts w:ascii="仿宋_GB2312" w:hAnsi="仿宋_GB2312" w:eastAsia="仿宋_GB2312"/>
          <w:sz w:val="32"/>
          <w:szCs w:val="32"/>
        </w:rPr>
        <w:t>%。</w:t>
      </w:r>
    </w:p>
    <w:p>
      <w:pPr>
        <w:outlineLvl w:val="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　　</w:t>
      </w:r>
      <w:bookmarkStart w:id="12" w:name="_Toc1709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四、财政拨款收支预算情况说明</w:t>
      </w:r>
      <w:bookmarkEnd w:id="12"/>
    </w:p>
    <w:p>
      <w:pPr>
        <w:ind w:firstLine="645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白马关景区管理委员会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/>
          <w:sz w:val="32"/>
          <w:szCs w:val="32"/>
        </w:rPr>
        <w:t>年财政拨款收支总预算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1469.08</w:t>
      </w:r>
      <w:r>
        <w:rPr>
          <w:rFonts w:hint="eastAsia" w:ascii="仿宋_GB2312" w:hAnsi="仿宋_GB2312" w:eastAsia="仿宋_GB2312"/>
          <w:sz w:val="32"/>
          <w:szCs w:val="32"/>
        </w:rPr>
        <w:t>万元。比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</w:rPr>
        <w:t>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增加946.05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主要是增加了项目（文化旅游体育与传媒支出-文化保护传承利用工程项目、一般行政管理事务-景区旅游运行维护管理工作经）支出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5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/>
          <w:sz w:val="32"/>
          <w:szCs w:val="32"/>
        </w:rPr>
        <w:t>收入包括：本年一般公共预算拨款收入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1469.08</w:t>
      </w:r>
      <w:r>
        <w:rPr>
          <w:rFonts w:ascii="仿宋_GB2312" w:hAnsi="仿宋_GB2312" w:eastAsia="仿宋_GB2312"/>
          <w:sz w:val="32"/>
          <w:szCs w:val="32"/>
        </w:rPr>
        <w:t>万元、上年结转一般公共预算拨款收入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支出包括：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行政运行51.05万元；一般行政管理事务200.00万元；事业运行146.04万元；机关事业单位基本养老保险缴费支出19.57万元；机关事业单位职业年金缴费支出9.78万元；其他社会保障和就业支出0.62万元；行政单位医疗2.29万元；事业单位医疗5.93万元；住房公积金16.55万元；其他文化旅游体育与传媒支出1017.24万元。</w:t>
      </w:r>
    </w:p>
    <w:p>
      <w:p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3" w:name="_Toc13804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五、一般公共预算当年拨款情况说明</w:t>
      </w:r>
      <w:bookmarkEnd w:id="13"/>
    </w:p>
    <w:p>
      <w:pPr>
        <w:outlineLvl w:val="1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bookmarkStart w:id="14" w:name="_Toc19872"/>
      <w:r>
        <w:rPr>
          <w:rFonts w:hint="eastAsia" w:ascii="楷体" w:hAnsi="楷体" w:eastAsia="楷体" w:cs="楷体"/>
          <w:b/>
          <w:bCs/>
          <w:sz w:val="32"/>
          <w:szCs w:val="32"/>
        </w:rPr>
        <w:t>（一）一般公共预算当年拨款规模变化情况</w:t>
      </w:r>
      <w:bookmarkEnd w:id="14"/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白马关景区管理委员会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年一般公共预算当年拨款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1469.08</w:t>
      </w:r>
      <w:r>
        <w:rPr>
          <w:rFonts w:hint="eastAsia" w:ascii="仿宋_GB2312" w:hAnsi="仿宋_GB2312" w:eastAsia="仿宋_GB2312"/>
          <w:sz w:val="32"/>
          <w:szCs w:val="32"/>
        </w:rPr>
        <w:t>万元，比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</w:rPr>
        <w:t>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增加946.05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主要是增加了项目（文化旅游体育与传媒支出-文化保护传承利用工程项目、一般行政管理事务-景区旅游运行维护管理工作经）支出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outlineLvl w:val="1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bookmarkStart w:id="15" w:name="_Toc12544"/>
      <w:r>
        <w:rPr>
          <w:rFonts w:hint="eastAsia" w:ascii="楷体" w:hAnsi="楷体" w:eastAsia="楷体" w:cs="楷体"/>
          <w:b/>
          <w:bCs/>
          <w:sz w:val="32"/>
          <w:szCs w:val="32"/>
        </w:rPr>
        <w:t>（二）一般公共预算当年拨款结构情况</w:t>
      </w:r>
      <w:bookmarkEnd w:id="15"/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.一般公共服务支出（类）政府办公厅（室）及相关机构事务（款）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行政运行</w:t>
      </w:r>
      <w:r>
        <w:rPr>
          <w:rFonts w:hint="eastAsia" w:ascii="仿宋_GB2312" w:hAnsi="仿宋_GB2312" w:eastAsia="仿宋_GB2312"/>
          <w:sz w:val="32"/>
          <w:szCs w:val="32"/>
        </w:rPr>
        <w:t>（项）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32"/>
          <w:szCs w:val="32"/>
        </w:rPr>
        <w:t>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51.05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占3.47%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.一般公共服务支出（类）政府办公厅（室）及相关机构事务（款）一般行政管理事务（项）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32"/>
          <w:szCs w:val="32"/>
        </w:rPr>
        <w:t>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200.00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占13.61%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  <w:szCs w:val="32"/>
        </w:rPr>
        <w:t>一般公共服务支出（类）政府办公厅（室）及相关机构事务（款）事业运行（项）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32"/>
          <w:szCs w:val="32"/>
        </w:rPr>
        <w:t>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146.04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占9.94%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4.社会保障和就业支出（类）</w:t>
      </w:r>
      <w:r>
        <w:rPr>
          <w:rFonts w:hint="eastAsia" w:ascii="仿宋_GB2312" w:hAnsi="仿宋_GB2312" w:eastAsia="仿宋_GB2312"/>
          <w:sz w:val="32"/>
          <w:szCs w:val="32"/>
        </w:rPr>
        <w:t>行政事业单位养老支出（款）机关事业单位基本养老保险缴费支出（项）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32"/>
          <w:szCs w:val="32"/>
        </w:rPr>
        <w:t>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19.57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占1.33%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5.社会保障和就业支出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（类）行政事业单位养老支出（款）机关事业单位职业年金缴费支出（项）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32"/>
          <w:szCs w:val="32"/>
        </w:rPr>
        <w:t>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9.78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占0.67%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6.社会保障和就业支出</w:t>
      </w:r>
      <w:r>
        <w:rPr>
          <w:rFonts w:hint="eastAsia" w:ascii="仿宋_GB2312" w:hAnsi="仿宋_GB2312" w:eastAsia="仿宋_GB2312"/>
          <w:sz w:val="32"/>
          <w:szCs w:val="32"/>
        </w:rPr>
        <w:t>（类）其他社会保障和就业支出（款）其他社会保障和就业支出（项）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32"/>
          <w:szCs w:val="32"/>
        </w:rPr>
        <w:t>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0.62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占0.04%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7.卫生健康支出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（类）行政事业单位医疗（款）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/>
          <w:sz w:val="32"/>
          <w:szCs w:val="32"/>
        </w:rPr>
        <w:t>单位医疗（项）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32"/>
          <w:szCs w:val="32"/>
        </w:rPr>
        <w:t>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2.29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占0.16%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8.卫生健康支出</w:t>
      </w:r>
      <w:r>
        <w:rPr>
          <w:rFonts w:hint="eastAsia" w:ascii="仿宋_GB2312" w:hAnsi="仿宋_GB2312" w:eastAsia="仿宋_GB2312"/>
          <w:sz w:val="32"/>
          <w:szCs w:val="32"/>
        </w:rPr>
        <w:t>（类）行政事业单位医疗（款）事业单位医疗（项）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32"/>
          <w:szCs w:val="32"/>
        </w:rPr>
        <w:t>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5.93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占0.4%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9.住房保障支出</w:t>
      </w:r>
      <w:r>
        <w:rPr>
          <w:rFonts w:hint="eastAsia" w:ascii="仿宋_GB2312" w:hAnsi="仿宋_GB2312" w:eastAsia="仿宋_GB2312"/>
          <w:sz w:val="32"/>
          <w:szCs w:val="32"/>
        </w:rPr>
        <w:t>（类）住房改革支出（款）住房公积金（项）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16.55万元，占1.13%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10.文化旅游体育与传媒支出（类）其他文化旅游体育与传媒支出（款）其他文化旅游体育与传媒支出（项）2025年预算数为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1017.24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万元，占69.24%。</w:t>
      </w:r>
    </w:p>
    <w:p>
      <w:pPr>
        <w:outlineLvl w:val="1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bookmarkStart w:id="16" w:name="_Toc19868"/>
      <w:r>
        <w:rPr>
          <w:rFonts w:hint="eastAsia" w:ascii="楷体" w:hAnsi="楷体" w:eastAsia="楷体" w:cs="楷体"/>
          <w:b/>
          <w:bCs/>
          <w:sz w:val="32"/>
          <w:szCs w:val="32"/>
        </w:rPr>
        <w:t>（三）一般公共预算当年拨款具体使用情况</w:t>
      </w:r>
      <w:bookmarkEnd w:id="16"/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1.一般公共服务支出（类）政府办公厅（室）及相关机构事务（款）行政运行（项）2025年预算数为51.05万元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主要用于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eastAsia="zh-CN"/>
        </w:rPr>
        <w:t>行政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人员工资、办公费、邮电费、差旅费、公务接待费、其他商品和服务支出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eastAsia="zh-CN"/>
        </w:rPr>
        <w:t>、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工会经费等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.一般公共服务支出（类）政府办公厅（室）及相关机构事务（款）一般行政管理事务（项）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32"/>
          <w:szCs w:val="32"/>
        </w:rPr>
        <w:t>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200.00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主要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</w:rPr>
        <w:t>用于景区招商引资、清扫保洁及垃圾转运、绿化管护、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eastAsia="zh-CN"/>
        </w:rPr>
        <w:t>设施设备维修维护、景区日常用品采购、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</w:rPr>
        <w:t>智慧旅游系统运管维护、志愿者交通及生活补助、临时用工费用等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3.一般公共服务支出（类）政府办公厅（室）及相关机构事务（款）事业运行（项）2025年预算数为146.04万元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主要用于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eastAsia="zh-CN"/>
        </w:rPr>
        <w:t>事业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人员工资、办公费、邮电费、差旅费、公务接待费、其他商品和服务支出、工会经费等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4.社会保障和就业支出（类）</w:t>
      </w:r>
      <w:r>
        <w:rPr>
          <w:rFonts w:hint="eastAsia" w:ascii="仿宋_GB2312" w:hAnsi="仿宋_GB2312" w:eastAsia="仿宋_GB2312"/>
          <w:sz w:val="32"/>
          <w:szCs w:val="32"/>
        </w:rPr>
        <w:t>行政事业单位养老支出（款）机关事业单位基本养老保险缴费支出（项）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/>
          <w:sz w:val="32"/>
          <w:szCs w:val="32"/>
        </w:rPr>
        <w:t>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19.57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主要用于缴纳单位承担部分的养老保险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5.社会保障和就业支出（类）行政事业单位养老支出（款）机关事业单位职业年金缴费支出（项）2025年预算数为9.78万元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主要用于缴纳单位承担部分的职业年金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6.社会保障和就业支出（类）其他社会保障和就业支出（款）其他社会保障和就业支出（项）2025年预算数为0.62万元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主要用于其他行政事业单位承担部分的社会保险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7.卫生健康支出（类）行政事业单位医疗（款）行政单位医疗（项）2025年预算数为2.29万元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主要用于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eastAsia="zh-CN"/>
        </w:rPr>
        <w:t>行政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单位承担部分的医疗保险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8.卫生健康支出（类）行政事业单位医疗（款）事业单位医疗（项）2025年预算数为5.93万元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主要用于事业单位承担部分的医疗保险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9.住房保障支出（类）住房改革支出（款）住房公积金（项）2025年预算数为16.55万元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主要用于住房公积金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eastAsia="zh-CN"/>
        </w:rPr>
        <w:t>单位承担部分</w:t>
      </w:r>
      <w:r>
        <w:rPr>
          <w:rFonts w:ascii="仿宋_GB2312" w:hAnsi="宋体" w:eastAsia="仿宋_GB2312" w:cs="Times New Roman"/>
          <w:color w:val="000000"/>
          <w:kern w:val="2"/>
          <w:sz w:val="32"/>
          <w:szCs w:val="32"/>
        </w:rPr>
        <w:t>支出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10.文化旅游体育与传媒支出（类）其他文化旅游体育与传媒支出（款）其他文化旅游体育与传媒支出（项）2025年预算数为1017.24万元，主要用于文化保护传承利用工程项目（白马关景区一号路旅游交通基础设施建设和一号路照明设施安装）。</w:t>
      </w:r>
    </w:p>
    <w:p>
      <w:pPr>
        <w:outlineLvl w:val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bookmarkStart w:id="17" w:name="_Toc4352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六、一般公共预算基本支出情况说明</w:t>
      </w:r>
      <w:bookmarkEnd w:id="17"/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白马关景区管理委员会202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</w:rPr>
        <w:t>一般公共预算基本支出231.84万元，其中：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人员经费203.3万元，主要包括：基本工资、津贴补贴、奖金、社会保险缴费、绩效工资、机关事业单位基本养老保险缴费、职业年金缴费、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住房公积金、</w:t>
      </w:r>
      <w:r>
        <w:rPr>
          <w:rFonts w:hint="eastAsia" w:ascii="仿宋_GB2312" w:hAnsi="仿宋_GB2312" w:eastAsia="仿宋_GB2312"/>
          <w:sz w:val="32"/>
          <w:szCs w:val="32"/>
        </w:rPr>
        <w:t>其他工资福利支出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 其他交通费用、独生子女费和体检费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公用经费28.54万元，主要包括：办公费、邮电费、差旅费、维修（护）费、劳务费、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委托业务费、公务接待费、</w:t>
      </w:r>
      <w:r>
        <w:rPr>
          <w:rFonts w:hint="eastAsia" w:ascii="仿宋_GB2312" w:hAnsi="仿宋_GB2312" w:eastAsia="仿宋_GB2312"/>
          <w:sz w:val="32"/>
          <w:szCs w:val="32"/>
        </w:rPr>
        <w:t>工会经费、  其他工资福利支出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公务用车运行维护费、其他商品和服务支出。</w:t>
      </w:r>
    </w:p>
    <w:p>
      <w:p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8" w:name="_Toc29398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七、“三公”经费财政拨款预算安排情况说明</w:t>
      </w:r>
      <w:bookmarkEnd w:id="18"/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白马关景区管理委员会202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</w:rPr>
        <w:t>“三公”经费财政拨款预算数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3.85</w:t>
      </w:r>
      <w:r>
        <w:rPr>
          <w:rFonts w:hint="eastAsia" w:ascii="仿宋_GB2312" w:hAnsi="仿宋_GB2312" w:eastAsia="仿宋_GB2312"/>
          <w:sz w:val="32"/>
          <w:szCs w:val="32"/>
        </w:rPr>
        <w:t>万元，其中：因公出国（境）经费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  <w:szCs w:val="32"/>
        </w:rPr>
        <w:t>公务接待费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1.90</w:t>
      </w:r>
      <w:r>
        <w:rPr>
          <w:rFonts w:hint="eastAsia" w:ascii="仿宋_GB2312" w:hAnsi="仿宋_GB2312" w:eastAsia="仿宋_GB2312"/>
          <w:sz w:val="32"/>
          <w:szCs w:val="32"/>
        </w:rPr>
        <w:t>万元，公务用车购置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1.95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（一）因公出国（境）经费与20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年预算持平。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主要原因是20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年未安排因公出国工作。</w:t>
      </w:r>
    </w:p>
    <w:p>
      <w:pPr>
        <w:ind w:firstLine="643" w:firstLineChars="20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（二）公务接待费比20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年预算减少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0.05万元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主要原因厉行节俭，控制支出。</w:t>
      </w:r>
    </w:p>
    <w:p>
      <w:pPr>
        <w:ind w:firstLine="643" w:firstLineChars="20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（三）公务用车购置及运行维护费与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年预算持平。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主要原因厉行节俭，控制支出。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单位现有公务用车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辆。其中：轿车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辆。</w:t>
      </w:r>
    </w:p>
    <w:p>
      <w:pPr>
        <w:ind w:firstLine="64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年安排公务用车运行维护费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1.95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万元，用于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辆公务用车燃油、维修、保险等方面支出。</w:t>
      </w:r>
    </w:p>
    <w:p>
      <w:p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9" w:name="_Toc8767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政府性基金预算收支情况说明</w:t>
      </w:r>
      <w:bookmarkEnd w:id="19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白马关景区管理委员会</w:t>
      </w: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20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年无政府性基金预算。</w:t>
      </w:r>
    </w:p>
    <w:p>
      <w:pPr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20" w:name="_Toc19059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九、国有资本经营预算支出情况说明</w:t>
      </w:r>
      <w:bookmarkEnd w:id="20"/>
    </w:p>
    <w:p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白马关景区管理委员会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年使用国有资本经营预算拨款安排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outlineLvl w:val="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　　</w:t>
      </w:r>
      <w:bookmarkStart w:id="21" w:name="_Toc20224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十、其他重要事项的情况说明</w:t>
      </w:r>
      <w:bookmarkEnd w:id="21"/>
    </w:p>
    <w:p>
      <w:pPr>
        <w:outlineLvl w:val="1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bookmarkStart w:id="22" w:name="_Toc10384"/>
      <w:r>
        <w:rPr>
          <w:rFonts w:hint="eastAsia" w:ascii="楷体" w:hAnsi="楷体" w:eastAsia="楷体" w:cs="楷体"/>
          <w:b/>
          <w:bCs/>
          <w:sz w:val="32"/>
          <w:szCs w:val="32"/>
        </w:rPr>
        <w:t>（一）机关运行经费</w:t>
      </w:r>
      <w:bookmarkEnd w:id="22"/>
    </w:p>
    <w:p>
      <w:pPr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白马关景区管理委员会</w:t>
      </w:r>
      <w:r>
        <w:rPr>
          <w:rFonts w:hint="eastAsia" w:ascii="仿宋_GB2312" w:hAnsi="仿宋_GB2312" w:eastAsia="仿宋_GB2312"/>
          <w:sz w:val="32"/>
          <w:szCs w:val="32"/>
        </w:rPr>
        <w:t>的机关运行经费财政拨款预算为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1469.08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比2024年预算数增加946.05万元，主要是增加了项目（文化旅游体育与传媒支出-文化保护传承利用工程项目、一般行政管理事务-景区旅游运行维护管理工作经）支出。</w:t>
      </w:r>
    </w:p>
    <w:p>
      <w:pPr>
        <w:outlineLvl w:val="1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bookmarkStart w:id="23" w:name="_Toc2601"/>
      <w:r>
        <w:rPr>
          <w:rFonts w:hint="eastAsia" w:ascii="楷体" w:hAnsi="楷体" w:eastAsia="楷体" w:cs="楷体"/>
          <w:b/>
          <w:bCs/>
          <w:sz w:val="32"/>
          <w:szCs w:val="32"/>
        </w:rPr>
        <w:t>（二）政府采购情况</w:t>
      </w:r>
      <w:bookmarkEnd w:id="23"/>
    </w:p>
    <w:p>
      <w:pPr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白马关景区管理委员会未</w:t>
      </w:r>
      <w:r>
        <w:rPr>
          <w:rFonts w:hint="eastAsia" w:ascii="仿宋_GB2312" w:hAnsi="仿宋_GB2312" w:eastAsia="仿宋_GB2312"/>
          <w:sz w:val="32"/>
          <w:szCs w:val="32"/>
        </w:rPr>
        <w:t>安排政府采购预算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。</w:t>
      </w:r>
    </w:p>
    <w:p>
      <w:pPr>
        <w:outlineLvl w:val="1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bookmarkStart w:id="24" w:name="_Toc28344"/>
      <w:r>
        <w:rPr>
          <w:rFonts w:hint="eastAsia" w:ascii="楷体" w:hAnsi="楷体" w:eastAsia="楷体" w:cs="楷体"/>
          <w:b/>
          <w:bCs/>
          <w:sz w:val="32"/>
          <w:szCs w:val="32"/>
        </w:rPr>
        <w:t>（三）国有资产占有使用情况</w:t>
      </w:r>
      <w:bookmarkEnd w:id="24"/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截至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年底，白马关景区管理委员会所属各预算单位共有固定资产原值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33.11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万元，累计折旧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32.95万元，固定资产净值0.16万元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，其中公务用车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辆。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</w:rPr>
        <w:t>部门预算未安排购置车辆及单位价值200万元以上大型设备。</w:t>
      </w:r>
    </w:p>
    <w:p>
      <w:pPr>
        <w:outlineLvl w:val="1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bookmarkStart w:id="25" w:name="_Toc26732"/>
      <w:r>
        <w:rPr>
          <w:rFonts w:hint="eastAsia" w:ascii="楷体" w:hAnsi="楷体" w:eastAsia="楷体" w:cs="楷体"/>
          <w:b/>
          <w:bCs/>
          <w:sz w:val="32"/>
          <w:szCs w:val="32"/>
        </w:rPr>
        <w:t>（四）绩效目标设置情况</w:t>
      </w:r>
      <w:bookmarkEnd w:id="25"/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年白马关景区管理委员会</w:t>
      </w:r>
      <w:r>
        <w:rPr>
          <w:rFonts w:hint="eastAsia" w:ascii="仿宋_GB2312" w:hAnsi="仿宋_GB2312" w:eastAsia="仿宋_GB2312"/>
          <w:sz w:val="32"/>
          <w:szCs w:val="32"/>
        </w:rPr>
        <w:t>部门通用项目和专用项目均按要求实行绩效目标管理，涉及一般公共预算当年拨款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1469.08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outlineLvl w:val="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　　</w:t>
      </w:r>
      <w:bookmarkStart w:id="26" w:name="_Toc3145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、名词解释</w:t>
      </w:r>
      <w:bookmarkEnd w:id="26"/>
    </w:p>
    <w:p>
      <w:pPr>
        <w:ind w:firstLine="643" w:firstLineChars="200"/>
        <w:outlineLvl w:val="1"/>
        <w:rPr>
          <w:rFonts w:ascii="仿宋_GB2312" w:hAnsi="仿宋_GB2312" w:eastAsia="仿宋_GB2312"/>
          <w:sz w:val="32"/>
          <w:szCs w:val="32"/>
        </w:rPr>
      </w:pPr>
      <w:bookmarkStart w:id="27" w:name="_Toc9181"/>
      <w:r>
        <w:rPr>
          <w:rFonts w:hint="eastAsia" w:ascii="楷体" w:hAnsi="楷体" w:eastAsia="楷体" w:cs="楷体"/>
          <w:b/>
          <w:bCs/>
          <w:sz w:val="32"/>
          <w:szCs w:val="32"/>
        </w:rPr>
        <w:t>（一）一般公共预算拨款收入：</w:t>
      </w:r>
      <w:r>
        <w:rPr>
          <w:rFonts w:hint="eastAsia" w:ascii="仿宋_GB2312" w:hAnsi="仿宋_GB2312" w:eastAsia="仿宋_GB2312"/>
          <w:sz w:val="32"/>
          <w:szCs w:val="32"/>
        </w:rPr>
        <w:t>指区级财政当年拨付的资金。</w:t>
      </w:r>
      <w:bookmarkEnd w:id="27"/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（二）上年结转：</w:t>
      </w:r>
      <w:r>
        <w:rPr>
          <w:rFonts w:hint="eastAsia" w:ascii="仿宋_GB2312" w:hAnsi="仿宋_GB2312" w:eastAsia="仿宋_GB2312"/>
          <w:sz w:val="32"/>
          <w:szCs w:val="32"/>
        </w:rPr>
        <w:t>指以前年度尚未完成、结转到本年仍按原规定用途继续使用的资金。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（三）基本支出：</w:t>
      </w:r>
      <w:r>
        <w:rPr>
          <w:rFonts w:hint="eastAsia" w:ascii="仿宋_GB2312" w:hAnsi="仿宋_GB2312" w:eastAsia="仿宋_GB2312"/>
          <w:sz w:val="32"/>
          <w:szCs w:val="32"/>
        </w:rPr>
        <w:t>指为保障机构正常运转、完成日常工作任务所必需的人员经费和日常公用经费。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（四）项目支出：</w:t>
      </w:r>
      <w:r>
        <w:rPr>
          <w:rFonts w:hint="eastAsia" w:ascii="仿宋_GB2312" w:hAnsi="仿宋_GB2312" w:eastAsia="仿宋_GB2312"/>
          <w:sz w:val="32"/>
          <w:szCs w:val="32"/>
        </w:rPr>
        <w:t>指在基本支出之外，为完成特定的行政工作任务或事业发展目标所发生的支出。</w:t>
      </w:r>
    </w:p>
    <w:p>
      <w:pPr>
        <w:ind w:firstLine="64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（五）“三公”经费：</w:t>
      </w:r>
      <w:r>
        <w:rPr>
          <w:rFonts w:hint="eastAsia" w:ascii="仿宋_GB2312" w:hAnsi="仿宋_GB2312" w:eastAsia="仿宋_GB2312"/>
          <w:sz w:val="32"/>
          <w:szCs w:val="32"/>
        </w:rPr>
        <w:t>是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2"/>
      </w:pP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表一：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德阳市</w:t>
      </w:r>
      <w:r>
        <w:rPr>
          <w:rFonts w:hint="eastAsia" w:ascii="仿宋_GB2312" w:hAnsi="仿宋_GB2312" w:eastAsia="仿宋_GB2312"/>
          <w:sz w:val="32"/>
          <w:szCs w:val="32"/>
        </w:rPr>
        <w:t>罗江区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白马关景区管理委员会2025年部门预算批复表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</w:p>
    <w:p>
      <w:pPr>
        <w:pStyle w:val="2"/>
        <w:ind w:firstLine="960" w:firstLineChars="300"/>
        <w:rPr>
          <w:rFonts w:hint="eastAsia" w:hAnsi="仿宋_GB2312"/>
          <w:sz w:val="32"/>
          <w:szCs w:val="32"/>
          <w:lang w:val="en-US" w:eastAsia="zh-CN"/>
        </w:rPr>
      </w:pPr>
      <w:r>
        <w:rPr>
          <w:rFonts w:hint="eastAsia" w:hAnsi="仿宋_GB2312"/>
          <w:sz w:val="32"/>
          <w:szCs w:val="32"/>
          <w:lang w:val="en-US" w:eastAsia="zh-CN"/>
        </w:rPr>
        <w:t>2.表二：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德阳市</w:t>
      </w:r>
      <w:r>
        <w:rPr>
          <w:rFonts w:hint="eastAsia" w:ascii="仿宋_GB2312" w:hAnsi="仿宋_GB2312" w:eastAsia="仿宋_GB2312"/>
          <w:sz w:val="32"/>
          <w:szCs w:val="32"/>
        </w:rPr>
        <w:t>罗江区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白马关景区管理委员会</w:t>
      </w:r>
      <w:r>
        <w:rPr>
          <w:rFonts w:hint="eastAsia" w:hAnsi="仿宋_GB2312"/>
          <w:sz w:val="32"/>
          <w:szCs w:val="32"/>
          <w:lang w:val="en-US" w:eastAsia="zh-CN"/>
        </w:rPr>
        <w:t>部门项目支出绩效目标批复表</w:t>
      </w:r>
    </w:p>
    <w:p>
      <w:pPr>
        <w:pStyle w:val="2"/>
        <w:ind w:firstLine="960" w:firstLineChars="300"/>
        <w:rPr>
          <w:rFonts w:hint="default" w:hAnsi="仿宋_GB2312"/>
          <w:sz w:val="32"/>
          <w:szCs w:val="32"/>
          <w:lang w:val="en-US" w:eastAsia="zh-CN"/>
        </w:rPr>
      </w:pPr>
      <w:r>
        <w:rPr>
          <w:rFonts w:hint="eastAsia" w:hAnsi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表三：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德阳市</w:t>
      </w:r>
      <w:r>
        <w:rPr>
          <w:rFonts w:hint="eastAsia" w:ascii="仿宋_GB2312" w:hAnsi="仿宋_GB2312" w:eastAsia="仿宋_GB2312"/>
          <w:sz w:val="32"/>
          <w:szCs w:val="32"/>
        </w:rPr>
        <w:t>罗江区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白马关景区管理委员会部门整体支出绩效目标批复表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8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M2E4NmY5ZTJkY2RkYzNmNjQ0MDBiZjNlZDJjMjgifQ=="/>
    <w:docVar w:name="KSO_WPS_MARK_KEY" w:val="926edb57-d16b-49fa-a4cd-edca20ee2f72"/>
  </w:docVars>
  <w:rsids>
    <w:rsidRoot w:val="004E4A63"/>
    <w:rsid w:val="00107AF7"/>
    <w:rsid w:val="001A5E61"/>
    <w:rsid w:val="001F59C4"/>
    <w:rsid w:val="00202A4E"/>
    <w:rsid w:val="002144F4"/>
    <w:rsid w:val="00245794"/>
    <w:rsid w:val="00256330"/>
    <w:rsid w:val="002D17ED"/>
    <w:rsid w:val="002F6687"/>
    <w:rsid w:val="00325291"/>
    <w:rsid w:val="00336B03"/>
    <w:rsid w:val="00363AC0"/>
    <w:rsid w:val="003814C4"/>
    <w:rsid w:val="003B021E"/>
    <w:rsid w:val="003B7D33"/>
    <w:rsid w:val="003C1F7D"/>
    <w:rsid w:val="004B52FA"/>
    <w:rsid w:val="004D53A9"/>
    <w:rsid w:val="004E4A63"/>
    <w:rsid w:val="00504316"/>
    <w:rsid w:val="00563314"/>
    <w:rsid w:val="005974F2"/>
    <w:rsid w:val="00597E1A"/>
    <w:rsid w:val="005A0F05"/>
    <w:rsid w:val="005C34FD"/>
    <w:rsid w:val="00640CC1"/>
    <w:rsid w:val="00715A6B"/>
    <w:rsid w:val="007225E2"/>
    <w:rsid w:val="007355E8"/>
    <w:rsid w:val="007365C4"/>
    <w:rsid w:val="007763D5"/>
    <w:rsid w:val="007D2F9C"/>
    <w:rsid w:val="007F67B3"/>
    <w:rsid w:val="008D200E"/>
    <w:rsid w:val="008F70DC"/>
    <w:rsid w:val="009049CB"/>
    <w:rsid w:val="00920087"/>
    <w:rsid w:val="00933755"/>
    <w:rsid w:val="009D554C"/>
    <w:rsid w:val="00A03D47"/>
    <w:rsid w:val="00A35F1B"/>
    <w:rsid w:val="00A46B69"/>
    <w:rsid w:val="00A5551E"/>
    <w:rsid w:val="00A60A56"/>
    <w:rsid w:val="00AB5367"/>
    <w:rsid w:val="00BD7C8D"/>
    <w:rsid w:val="00C96FDA"/>
    <w:rsid w:val="00D14665"/>
    <w:rsid w:val="00DA3F62"/>
    <w:rsid w:val="00DC34F5"/>
    <w:rsid w:val="00E03B97"/>
    <w:rsid w:val="00E250B2"/>
    <w:rsid w:val="00EE23D3"/>
    <w:rsid w:val="00F1011E"/>
    <w:rsid w:val="00FD2791"/>
    <w:rsid w:val="00FD2F29"/>
    <w:rsid w:val="013B0DE8"/>
    <w:rsid w:val="01626374"/>
    <w:rsid w:val="01931A7A"/>
    <w:rsid w:val="02441F1E"/>
    <w:rsid w:val="028234DD"/>
    <w:rsid w:val="03870230"/>
    <w:rsid w:val="0696086E"/>
    <w:rsid w:val="08721B32"/>
    <w:rsid w:val="087846CF"/>
    <w:rsid w:val="087B41C0"/>
    <w:rsid w:val="08BC0A60"/>
    <w:rsid w:val="08D76C6F"/>
    <w:rsid w:val="09E813E1"/>
    <w:rsid w:val="0B772A1C"/>
    <w:rsid w:val="0CBC3A4D"/>
    <w:rsid w:val="0D251A47"/>
    <w:rsid w:val="0D86163D"/>
    <w:rsid w:val="0F670FFA"/>
    <w:rsid w:val="10702130"/>
    <w:rsid w:val="108A31F2"/>
    <w:rsid w:val="11703B73"/>
    <w:rsid w:val="128C4336"/>
    <w:rsid w:val="133A668F"/>
    <w:rsid w:val="13522181"/>
    <w:rsid w:val="15977BBF"/>
    <w:rsid w:val="16775FC6"/>
    <w:rsid w:val="171C70B0"/>
    <w:rsid w:val="19FC0E3D"/>
    <w:rsid w:val="1A8B57AF"/>
    <w:rsid w:val="1B2B284C"/>
    <w:rsid w:val="1EDD6BE3"/>
    <w:rsid w:val="1F6D4792"/>
    <w:rsid w:val="1FCE268A"/>
    <w:rsid w:val="21C1113B"/>
    <w:rsid w:val="24B46637"/>
    <w:rsid w:val="24B72338"/>
    <w:rsid w:val="24DC1673"/>
    <w:rsid w:val="25290DD3"/>
    <w:rsid w:val="25910727"/>
    <w:rsid w:val="26DD1E76"/>
    <w:rsid w:val="2714160F"/>
    <w:rsid w:val="29626662"/>
    <w:rsid w:val="29D973ED"/>
    <w:rsid w:val="2AA9206F"/>
    <w:rsid w:val="2AC734E1"/>
    <w:rsid w:val="2B2E2A94"/>
    <w:rsid w:val="2BF003F2"/>
    <w:rsid w:val="2CBD72B2"/>
    <w:rsid w:val="2DE25C12"/>
    <w:rsid w:val="31091AB9"/>
    <w:rsid w:val="32821B23"/>
    <w:rsid w:val="32E93950"/>
    <w:rsid w:val="33557238"/>
    <w:rsid w:val="33615BDC"/>
    <w:rsid w:val="338C085C"/>
    <w:rsid w:val="3518051D"/>
    <w:rsid w:val="378105FB"/>
    <w:rsid w:val="38B32671"/>
    <w:rsid w:val="3A887E53"/>
    <w:rsid w:val="3AE01ADD"/>
    <w:rsid w:val="3B027CA5"/>
    <w:rsid w:val="3D5642D8"/>
    <w:rsid w:val="3DE551AD"/>
    <w:rsid w:val="3E38578C"/>
    <w:rsid w:val="3F210803"/>
    <w:rsid w:val="3F6251B6"/>
    <w:rsid w:val="4162149D"/>
    <w:rsid w:val="416C231C"/>
    <w:rsid w:val="41D070DD"/>
    <w:rsid w:val="42991D01"/>
    <w:rsid w:val="43FF1225"/>
    <w:rsid w:val="44E1584B"/>
    <w:rsid w:val="461913A7"/>
    <w:rsid w:val="462211FB"/>
    <w:rsid w:val="47077B1C"/>
    <w:rsid w:val="47095F17"/>
    <w:rsid w:val="47840487"/>
    <w:rsid w:val="48100521"/>
    <w:rsid w:val="4989333F"/>
    <w:rsid w:val="4BB83A81"/>
    <w:rsid w:val="4C0B2731"/>
    <w:rsid w:val="4C8A0577"/>
    <w:rsid w:val="4CAD6571"/>
    <w:rsid w:val="4D5123C6"/>
    <w:rsid w:val="543C476F"/>
    <w:rsid w:val="567208FF"/>
    <w:rsid w:val="589331A1"/>
    <w:rsid w:val="5A023FCE"/>
    <w:rsid w:val="5A407A4A"/>
    <w:rsid w:val="5D4D6706"/>
    <w:rsid w:val="60B30F76"/>
    <w:rsid w:val="61417A9F"/>
    <w:rsid w:val="629E6A4E"/>
    <w:rsid w:val="6362673D"/>
    <w:rsid w:val="65353303"/>
    <w:rsid w:val="699E1AEF"/>
    <w:rsid w:val="6B321631"/>
    <w:rsid w:val="6B340F05"/>
    <w:rsid w:val="6C755C79"/>
    <w:rsid w:val="6C922387"/>
    <w:rsid w:val="6CE4695B"/>
    <w:rsid w:val="6E160D96"/>
    <w:rsid w:val="6E963C85"/>
    <w:rsid w:val="6F0B2FC3"/>
    <w:rsid w:val="6F9D54EF"/>
    <w:rsid w:val="6FA523D2"/>
    <w:rsid w:val="6FC82564"/>
    <w:rsid w:val="6FD64C81"/>
    <w:rsid w:val="702B0EE2"/>
    <w:rsid w:val="702C664F"/>
    <w:rsid w:val="722F100B"/>
    <w:rsid w:val="7238752D"/>
    <w:rsid w:val="73D6524F"/>
    <w:rsid w:val="73F12089"/>
    <w:rsid w:val="74504178"/>
    <w:rsid w:val="746960C4"/>
    <w:rsid w:val="75864A53"/>
    <w:rsid w:val="75CA3CE1"/>
    <w:rsid w:val="77103EEA"/>
    <w:rsid w:val="78236589"/>
    <w:rsid w:val="7BEC0BF2"/>
    <w:rsid w:val="7CB55654"/>
    <w:rsid w:val="7D7B0C16"/>
    <w:rsid w:val="7D83464C"/>
    <w:rsid w:val="7F7D4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0"/>
    <w:pPr>
      <w:spacing w:beforeLines="30"/>
    </w:pPr>
    <w:rPr>
      <w:rFonts w:ascii="仿宋_GB2312" w:eastAsia="仿宋_GB2312"/>
      <w:sz w:val="30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20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仿宋_GB2312" w:hAnsi="Times New Roman" w:eastAsia="仿宋_GB2312" w:cs="Times New Roman"/>
      <w:kern w:val="2"/>
      <w:sz w:val="30"/>
      <w:szCs w:val="24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Calibri" w:hAnsi="Calibri" w:eastAsia="宋体" w:cs="Times New Roman"/>
      <w:sz w:val="20"/>
      <w:szCs w:val="20"/>
    </w:rPr>
  </w:style>
  <w:style w:type="paragraph" w:customStyle="1" w:styleId="16">
    <w:name w:val="WPSOffice手动目录 3"/>
    <w:qFormat/>
    <w:uiPriority w:val="0"/>
    <w:pPr>
      <w:ind w:leftChars="4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5330</Words>
  <Characters>5893</Characters>
  <Lines>24</Lines>
  <Paragraphs>7</Paragraphs>
  <TotalTime>2</TotalTime>
  <ScaleCrop>false</ScaleCrop>
  <LinksUpToDate>false</LinksUpToDate>
  <CharactersWithSpaces>6016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2017-10-20T03:21:00Z</dcterms:created>
  <dc:creator>null,null,总收发</dc:creator>
  <cp:lastModifiedBy>肖贵平</cp:lastModifiedBy>
  <cp:lastPrinted>2022-06-10T02:04:00Z</cp:lastPrinted>
  <dcterms:modified xsi:type="dcterms:W3CDTF">2025-01-20T02:28:04Z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3AE45D2D8F594AECB80EE17C7BB149A0</vt:lpwstr>
  </property>
</Properties>
</file>