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F00B">
      <w:pPr>
        <w:ind w:firstLine="412" w:firstLineChars="100"/>
        <w:jc w:val="center"/>
        <w:rPr>
          <w:rStyle w:val="12"/>
          <w:rFonts w:hint="eastAsia" w:ascii="ˎ̥" w:hAnsi="ˎ̥"/>
          <w:b/>
          <w:bCs/>
          <w:color w:val="000000"/>
          <w:sz w:val="41"/>
          <w:szCs w:val="41"/>
        </w:rPr>
      </w:pPr>
    </w:p>
    <w:p w14:paraId="5D5992A9">
      <w:pPr>
        <w:ind w:firstLine="412" w:firstLineChars="100"/>
        <w:jc w:val="center"/>
        <w:rPr>
          <w:rStyle w:val="12"/>
          <w:rFonts w:hint="eastAsia" w:ascii="ˎ̥" w:hAnsi="ˎ̥"/>
          <w:b/>
          <w:bCs/>
          <w:color w:val="000000"/>
          <w:sz w:val="41"/>
          <w:szCs w:val="41"/>
        </w:rPr>
      </w:pPr>
      <w:r>
        <w:rPr>
          <w:rStyle w:val="12"/>
          <w:rFonts w:hint="eastAsia" w:ascii="ˎ̥" w:hAnsi="ˎ̥"/>
          <w:b/>
          <w:bCs/>
          <w:color w:val="000000"/>
          <w:sz w:val="41"/>
          <w:szCs w:val="41"/>
        </w:rPr>
        <w:t>中国共产党德阳市罗江</w:t>
      </w:r>
      <w:r>
        <w:rPr>
          <w:rStyle w:val="12"/>
          <w:rFonts w:hint="eastAsia" w:ascii="ˎ̥" w:hAnsi="ˎ̥"/>
          <w:b/>
          <w:bCs/>
          <w:color w:val="000000"/>
          <w:sz w:val="41"/>
          <w:szCs w:val="41"/>
          <w:lang w:eastAsia="zh-CN"/>
        </w:rPr>
        <w:t>区</w:t>
      </w:r>
      <w:r>
        <w:rPr>
          <w:rStyle w:val="12"/>
          <w:rFonts w:hint="eastAsia" w:ascii="ˎ̥" w:hAnsi="ˎ̥"/>
          <w:b/>
          <w:bCs/>
          <w:color w:val="000000"/>
          <w:sz w:val="41"/>
          <w:szCs w:val="41"/>
          <w:lang w:val="en-US" w:eastAsia="zh-CN"/>
        </w:rPr>
        <w:t>委员会统一战线工作部</w:t>
      </w:r>
      <w:r>
        <w:rPr>
          <w:rStyle w:val="12"/>
          <w:rFonts w:ascii="ˎ̥" w:hAnsi="ˎ̥"/>
          <w:b/>
          <w:bCs/>
          <w:color w:val="000000"/>
          <w:sz w:val="41"/>
          <w:szCs w:val="41"/>
        </w:rPr>
        <w:t>20</w:t>
      </w:r>
      <w:r>
        <w:rPr>
          <w:rStyle w:val="12"/>
          <w:rFonts w:hint="eastAsia" w:ascii="ˎ̥" w:hAnsi="ˎ̥"/>
          <w:b/>
          <w:bCs/>
          <w:color w:val="000000"/>
          <w:sz w:val="41"/>
          <w:szCs w:val="41"/>
        </w:rPr>
        <w:t>2</w:t>
      </w:r>
      <w:r>
        <w:rPr>
          <w:rStyle w:val="12"/>
          <w:rFonts w:hint="eastAsia" w:ascii="ˎ̥" w:hAnsi="ˎ̥"/>
          <w:b/>
          <w:bCs/>
          <w:color w:val="000000"/>
          <w:sz w:val="41"/>
          <w:szCs w:val="41"/>
          <w:lang w:val="en-US" w:eastAsia="zh-CN"/>
        </w:rPr>
        <w:t>5</w:t>
      </w:r>
      <w:r>
        <w:rPr>
          <w:rStyle w:val="12"/>
          <w:rFonts w:ascii="ˎ̥" w:hAnsi="ˎ̥"/>
          <w:b/>
          <w:bCs/>
          <w:color w:val="000000"/>
          <w:sz w:val="41"/>
          <w:szCs w:val="41"/>
        </w:rPr>
        <w:t>年部门预算编制说明</w:t>
      </w:r>
    </w:p>
    <w:p w14:paraId="13B616F4">
      <w:pPr>
        <w:ind w:firstLine="412" w:firstLineChars="100"/>
        <w:jc w:val="center"/>
        <w:rPr>
          <w:rStyle w:val="12"/>
          <w:rFonts w:hint="eastAsia" w:ascii="ˎ̥" w:hAnsi="ˎ̥"/>
          <w:b/>
          <w:bCs/>
          <w:color w:val="000000"/>
          <w:sz w:val="41"/>
          <w:szCs w:val="41"/>
        </w:rPr>
      </w:pPr>
    </w:p>
    <w:p w14:paraId="286D2D4C">
      <w:pPr>
        <w:ind w:firstLine="412" w:firstLineChars="100"/>
        <w:jc w:val="center"/>
        <w:rPr>
          <w:rStyle w:val="12"/>
          <w:rFonts w:hint="eastAsia" w:ascii="ˎ̥" w:hAnsi="ˎ̥"/>
          <w:b/>
          <w:bCs/>
          <w:color w:val="000000"/>
          <w:sz w:val="41"/>
          <w:szCs w:val="41"/>
        </w:rPr>
      </w:pPr>
      <w:r>
        <w:rPr>
          <w:rStyle w:val="12"/>
          <w:rFonts w:hint="eastAsia" w:ascii="ˎ̥" w:hAnsi="ˎ̥"/>
          <w:b/>
          <w:bCs/>
          <w:color w:val="000000"/>
          <w:sz w:val="41"/>
          <w:szCs w:val="41"/>
        </w:rPr>
        <w:t>目录</w:t>
      </w:r>
    </w:p>
    <w:p w14:paraId="4633CC4B">
      <w:pPr>
        <w:ind w:firstLine="300" w:firstLineChars="100"/>
        <w:jc w:val="center"/>
        <w:rPr>
          <w:rStyle w:val="12"/>
          <w:rFonts w:hint="eastAsia" w:ascii="ˎ̥" w:hAnsi="ˎ̥"/>
          <w:bCs/>
          <w:color w:val="000000"/>
          <w:sz w:val="30"/>
          <w:szCs w:val="30"/>
        </w:rPr>
      </w:pPr>
      <w:r>
        <w:rPr>
          <w:rStyle w:val="12"/>
          <w:rFonts w:hint="eastAsia" w:ascii="ˎ̥" w:hAnsi="ˎ̥"/>
          <w:bCs/>
          <w:color w:val="000000"/>
          <w:sz w:val="30"/>
          <w:szCs w:val="30"/>
        </w:rPr>
        <w:t>公开时间：202</w:t>
      </w:r>
      <w:r>
        <w:rPr>
          <w:rStyle w:val="12"/>
          <w:rFonts w:hint="eastAsia" w:ascii="ˎ̥" w:hAnsi="ˎ̥"/>
          <w:bCs/>
          <w:color w:val="000000"/>
          <w:sz w:val="30"/>
          <w:szCs w:val="30"/>
          <w:lang w:val="en-US" w:eastAsia="zh-CN"/>
        </w:rPr>
        <w:t>5</w:t>
      </w:r>
      <w:r>
        <w:rPr>
          <w:rStyle w:val="12"/>
          <w:rFonts w:hint="eastAsia" w:ascii="ˎ̥" w:hAnsi="ˎ̥"/>
          <w:bCs/>
          <w:color w:val="000000"/>
          <w:sz w:val="30"/>
          <w:szCs w:val="30"/>
        </w:rPr>
        <w:t>年1月</w:t>
      </w:r>
      <w:r>
        <w:rPr>
          <w:rStyle w:val="12"/>
          <w:rFonts w:hint="eastAsia" w:ascii="ˎ̥" w:hAnsi="ˎ̥"/>
          <w:bCs/>
          <w:color w:val="000000"/>
          <w:sz w:val="30"/>
          <w:szCs w:val="30"/>
          <w:lang w:val="en-US" w:eastAsia="zh-CN"/>
        </w:rPr>
        <w:t>26</w:t>
      </w:r>
      <w:r>
        <w:rPr>
          <w:rStyle w:val="12"/>
          <w:rFonts w:hint="eastAsia" w:ascii="ˎ̥" w:hAnsi="ˎ̥"/>
          <w:bCs/>
          <w:color w:val="000000"/>
          <w:sz w:val="30"/>
          <w:szCs w:val="30"/>
        </w:rPr>
        <w:t>日</w:t>
      </w:r>
    </w:p>
    <w:sdt>
      <w:sdtPr>
        <w:rPr>
          <w:rFonts w:hAnsi="宋体"/>
          <w:sz w:val="21"/>
        </w:rPr>
        <w:id w:val="147471545"/>
      </w:sdtPr>
      <w:sdtEndPr>
        <w:rPr>
          <w:rFonts w:hint="eastAsia" w:ascii="ˎ̥" w:hAnsi="ˎ̥"/>
          <w:b/>
          <w:bCs/>
          <w:color w:val="000000"/>
          <w:sz w:val="48"/>
          <w:szCs w:val="41"/>
        </w:rPr>
      </w:sdtEndPr>
      <w:sdtContent>
        <w:p w14:paraId="707EF365">
          <w:pPr>
            <w:jc w:val="center"/>
            <w:rPr>
              <w:rFonts w:hAnsi="宋体"/>
              <w:sz w:val="21"/>
            </w:rPr>
          </w:pPr>
        </w:p>
        <w:p w14:paraId="0B6310EA">
          <w:pPr>
            <w:pStyle w:val="17"/>
            <w:tabs>
              <w:tab w:val="right" w:leader="dot" w:pos="8845"/>
            </w:tabs>
            <w:rPr>
              <w:b/>
            </w:rPr>
          </w:pPr>
          <w:r>
            <w:rPr>
              <w:rStyle w:val="12"/>
              <w:rFonts w:hint="eastAsia"/>
              <w:sz w:val="41"/>
            </w:rPr>
            <w:fldChar w:fldCharType="begin"/>
          </w:r>
          <w:r>
            <w:rPr>
              <w:rStyle w:val="12"/>
              <w:rFonts w:hint="eastAsia" w:ascii="ˎ̥" w:hAnsi="ˎ̥"/>
              <w:b/>
              <w:bCs/>
              <w:color w:val="000000"/>
              <w:sz w:val="41"/>
              <w:szCs w:val="41"/>
            </w:rPr>
            <w:instrText xml:space="preserve">TOC \o "1-2" \h \u </w:instrText>
          </w:r>
          <w:r>
            <w:rPr>
              <w:rStyle w:val="12"/>
              <w:rFonts w:hint="eastAsia"/>
              <w:sz w:val="41"/>
            </w:rPr>
            <w:fldChar w:fldCharType="separate"/>
          </w:r>
          <w:r>
            <w:fldChar w:fldCharType="begin"/>
          </w:r>
          <w:r>
            <w:instrText xml:space="preserve"> HYPERLINK \l "_Toc28770" </w:instrText>
          </w:r>
          <w:r>
            <w:fldChar w:fldCharType="separate"/>
          </w:r>
          <w:r>
            <w:rPr>
              <w:rFonts w:hint="eastAsia" w:ascii="黑体" w:hAnsi="黑体" w:eastAsia="黑体" w:cs="黑体"/>
              <w:b/>
              <w:szCs w:val="32"/>
            </w:rPr>
            <w:t>一、基本职能及主要工作</w:t>
          </w:r>
          <w:r>
            <w:rPr>
              <w:b/>
            </w:rPr>
            <w:tab/>
          </w:r>
          <w:r>
            <w:rPr>
              <w:rFonts w:hint="eastAsia"/>
              <w:b/>
            </w:rPr>
            <w:t>2</w:t>
          </w:r>
          <w:r>
            <w:rPr>
              <w:rFonts w:hint="eastAsia"/>
              <w:b/>
            </w:rPr>
            <w:fldChar w:fldCharType="end"/>
          </w:r>
          <w:r>
            <w:rPr>
              <w:rFonts w:hint="eastAsia" w:ascii="ˎ̥" w:hAnsi="ˎ̥"/>
              <w:b/>
              <w:bCs/>
              <w:color w:val="000000"/>
              <w:szCs w:val="41"/>
            </w:rPr>
            <w:t>-3</w:t>
          </w:r>
        </w:p>
        <w:p w14:paraId="2A0C6E7F">
          <w:pPr>
            <w:pStyle w:val="18"/>
            <w:tabs>
              <w:tab w:val="right" w:leader="dot" w:pos="8845"/>
            </w:tabs>
            <w:ind w:left="0" w:leftChars="0" w:firstLine="400" w:firstLineChars="200"/>
          </w:pPr>
          <w:r>
            <w:fldChar w:fldCharType="begin"/>
          </w:r>
          <w:r>
            <w:instrText xml:space="preserve"> HYPERLINK \l "_Toc21884" </w:instrText>
          </w:r>
          <w:r>
            <w:fldChar w:fldCharType="separate"/>
          </w:r>
          <w:r>
            <w:rPr>
              <w:rFonts w:hint="eastAsia" w:ascii="楷体_GB2312" w:hAnsi="楷体_GB2312" w:eastAsia="楷体_GB2312" w:cs="楷体_GB2312"/>
              <w:bCs/>
              <w:szCs w:val="32"/>
            </w:rPr>
            <w:t>（一）机构设置及主要职责</w:t>
          </w:r>
          <w:r>
            <w:tab/>
          </w:r>
          <w:r>
            <w:rPr>
              <w:rFonts w:hint="eastAsia"/>
            </w:rPr>
            <w:t>2</w:t>
          </w:r>
          <w:r>
            <w:rPr>
              <w:rFonts w:hint="eastAsia"/>
            </w:rPr>
            <w:fldChar w:fldCharType="end"/>
          </w:r>
        </w:p>
        <w:p w14:paraId="6AF4A83B">
          <w:pPr>
            <w:pStyle w:val="18"/>
            <w:tabs>
              <w:tab w:val="right" w:leader="dot" w:pos="8845"/>
            </w:tabs>
            <w:ind w:left="0" w:leftChars="0" w:firstLine="400" w:firstLineChars="200"/>
          </w:pPr>
          <w:r>
            <w:fldChar w:fldCharType="begin"/>
          </w:r>
          <w:r>
            <w:instrText xml:space="preserve"> HYPERLINK \l "_Toc818" </w:instrText>
          </w:r>
          <w:r>
            <w:fldChar w:fldCharType="separate"/>
          </w:r>
          <w:r>
            <w:rPr>
              <w:rFonts w:hint="eastAsia" w:ascii="楷体_GB2312" w:hAnsi="楷体_GB2312" w:eastAsia="楷体_GB2312" w:cs="楷体_GB2312"/>
              <w:bCs/>
              <w:szCs w:val="32"/>
            </w:rPr>
            <w:t>（二）202</w:t>
          </w:r>
          <w:r>
            <w:rPr>
              <w:rFonts w:hint="eastAsia" w:ascii="楷体_GB2312" w:hAnsi="楷体_GB2312" w:eastAsia="楷体_GB2312" w:cs="楷体_GB2312"/>
              <w:bCs/>
              <w:szCs w:val="32"/>
              <w:lang w:val="en-US" w:eastAsia="zh-CN"/>
            </w:rPr>
            <w:t>5</w:t>
          </w:r>
          <w:r>
            <w:rPr>
              <w:rFonts w:hint="eastAsia" w:ascii="楷体_GB2312" w:hAnsi="楷体_GB2312" w:eastAsia="楷体_GB2312" w:cs="楷体_GB2312"/>
              <w:bCs/>
              <w:szCs w:val="32"/>
            </w:rPr>
            <w:t>年重点工作</w:t>
          </w:r>
          <w:r>
            <w:tab/>
          </w:r>
          <w:r>
            <w:fldChar w:fldCharType="end"/>
          </w:r>
          <w:r>
            <w:rPr>
              <w:rFonts w:hint="eastAsia" w:ascii="ˎ̥" w:hAnsi="ˎ̥"/>
              <w:bCs/>
              <w:color w:val="000000"/>
              <w:szCs w:val="41"/>
            </w:rPr>
            <w:t>3</w:t>
          </w:r>
        </w:p>
        <w:p w14:paraId="44B59F90">
          <w:pPr>
            <w:pStyle w:val="17"/>
            <w:tabs>
              <w:tab w:val="right" w:leader="dot" w:pos="8845"/>
            </w:tabs>
            <w:rPr>
              <w:b/>
            </w:rPr>
          </w:pPr>
          <w:r>
            <w:fldChar w:fldCharType="begin"/>
          </w:r>
          <w:r>
            <w:instrText xml:space="preserve"> HYPERLINK \l "_Toc27442" </w:instrText>
          </w:r>
          <w:r>
            <w:fldChar w:fldCharType="separate"/>
          </w:r>
          <w:r>
            <w:rPr>
              <w:rFonts w:hint="eastAsia" w:ascii="黑体" w:hAnsi="黑体" w:eastAsia="黑体" w:cs="黑体"/>
              <w:b/>
              <w:szCs w:val="32"/>
            </w:rPr>
            <w:t>二、部门预算单位构成</w:t>
          </w:r>
          <w:r>
            <w:rPr>
              <w:b/>
            </w:rPr>
            <w:tab/>
          </w:r>
          <w:r>
            <w:rPr>
              <w:b/>
            </w:rPr>
            <w:fldChar w:fldCharType="end"/>
          </w:r>
          <w:r>
            <w:rPr>
              <w:rFonts w:hint="eastAsia" w:ascii="ˎ̥" w:hAnsi="ˎ̥"/>
              <w:b/>
              <w:bCs/>
              <w:color w:val="000000"/>
              <w:szCs w:val="41"/>
            </w:rPr>
            <w:t>3</w:t>
          </w:r>
        </w:p>
        <w:p w14:paraId="4E3961DA">
          <w:pPr>
            <w:pStyle w:val="17"/>
            <w:tabs>
              <w:tab w:val="right" w:leader="dot" w:pos="8845"/>
            </w:tabs>
            <w:rPr>
              <w:b/>
            </w:rPr>
          </w:pPr>
          <w:r>
            <w:fldChar w:fldCharType="begin"/>
          </w:r>
          <w:r>
            <w:instrText xml:space="preserve"> HYPERLINK \l "_Toc1848" </w:instrText>
          </w:r>
          <w:r>
            <w:fldChar w:fldCharType="separate"/>
          </w:r>
          <w:r>
            <w:rPr>
              <w:rFonts w:hint="eastAsia" w:ascii="黑体" w:hAnsi="黑体" w:eastAsia="黑体" w:cs="黑体"/>
              <w:b/>
              <w:szCs w:val="32"/>
            </w:rPr>
            <w:t>三、收支预算增减变化情况说明</w:t>
          </w:r>
          <w:r>
            <w:rPr>
              <w:b/>
            </w:rPr>
            <w:tab/>
          </w:r>
          <w:r>
            <w:rPr>
              <w:rFonts w:hint="eastAsia"/>
              <w:b/>
            </w:rPr>
            <w:t>4</w:t>
          </w:r>
          <w:r>
            <w:rPr>
              <w:rFonts w:hint="eastAsia"/>
              <w:b/>
            </w:rPr>
            <w:fldChar w:fldCharType="end"/>
          </w:r>
        </w:p>
        <w:p w14:paraId="6292B98C">
          <w:pPr>
            <w:pStyle w:val="18"/>
            <w:tabs>
              <w:tab w:val="right" w:leader="dot" w:pos="8845"/>
            </w:tabs>
            <w:ind w:left="0" w:leftChars="0" w:firstLine="400" w:firstLineChars="200"/>
          </w:pPr>
          <w:r>
            <w:fldChar w:fldCharType="begin"/>
          </w:r>
          <w:r>
            <w:instrText xml:space="preserve"> HYPERLINK \l "_Toc193" </w:instrText>
          </w:r>
          <w:r>
            <w:fldChar w:fldCharType="separate"/>
          </w:r>
          <w:r>
            <w:rPr>
              <w:rFonts w:hint="eastAsia" w:ascii="楷体_GB2312" w:hAnsi="楷体_GB2312" w:eastAsia="楷体_GB2312" w:cs="楷体_GB2312"/>
              <w:bCs/>
              <w:szCs w:val="32"/>
            </w:rPr>
            <w:t>（一）收入预算情况</w:t>
          </w:r>
          <w:r>
            <w:tab/>
          </w:r>
          <w:r>
            <w:rPr>
              <w:rFonts w:hint="eastAsia"/>
            </w:rPr>
            <w:t>4</w:t>
          </w:r>
          <w:r>
            <w:rPr>
              <w:rFonts w:hint="eastAsia"/>
            </w:rPr>
            <w:fldChar w:fldCharType="end"/>
          </w:r>
        </w:p>
        <w:p w14:paraId="65846B53">
          <w:pPr>
            <w:pStyle w:val="18"/>
            <w:tabs>
              <w:tab w:val="right" w:leader="dot" w:pos="8845"/>
            </w:tabs>
            <w:ind w:left="0" w:leftChars="0" w:firstLine="400" w:firstLineChars="200"/>
          </w:pPr>
          <w:r>
            <w:fldChar w:fldCharType="begin"/>
          </w:r>
          <w:r>
            <w:instrText xml:space="preserve"> HYPERLINK \l "_Toc3651" </w:instrText>
          </w:r>
          <w:r>
            <w:fldChar w:fldCharType="separate"/>
          </w:r>
          <w:r>
            <w:rPr>
              <w:rFonts w:hint="eastAsia" w:ascii="楷体_GB2312" w:hAnsi="楷体_GB2312" w:eastAsia="楷体_GB2312" w:cs="楷体_GB2312"/>
              <w:bCs/>
              <w:szCs w:val="32"/>
            </w:rPr>
            <w:t>（二）支出预算情况</w:t>
          </w:r>
          <w:r>
            <w:tab/>
          </w:r>
          <w:r>
            <w:fldChar w:fldCharType="end"/>
          </w:r>
          <w:r>
            <w:rPr>
              <w:rFonts w:hint="eastAsia"/>
            </w:rPr>
            <w:t>4</w:t>
          </w:r>
        </w:p>
        <w:p w14:paraId="60311824">
          <w:pPr>
            <w:pStyle w:val="17"/>
            <w:tabs>
              <w:tab w:val="right" w:leader="dot" w:pos="8845"/>
            </w:tabs>
            <w:rPr>
              <w:b/>
            </w:rPr>
          </w:pPr>
          <w:r>
            <w:fldChar w:fldCharType="begin"/>
          </w:r>
          <w:r>
            <w:instrText xml:space="preserve"> HYPERLINK \l "_Toc3738" </w:instrText>
          </w:r>
          <w:r>
            <w:fldChar w:fldCharType="separate"/>
          </w:r>
          <w:r>
            <w:rPr>
              <w:rFonts w:hint="eastAsia" w:ascii="黑体" w:hAnsi="黑体" w:eastAsia="黑体" w:cs="黑体"/>
              <w:b/>
              <w:szCs w:val="32"/>
            </w:rPr>
            <w:t>四、财政拨款收支预算情况说明</w:t>
          </w:r>
          <w:r>
            <w:rPr>
              <w:b/>
            </w:rPr>
            <w:tab/>
          </w:r>
          <w:r>
            <w:rPr>
              <w:rFonts w:hint="eastAsia"/>
              <w:b/>
            </w:rPr>
            <w:t>4-5</w:t>
          </w:r>
          <w:r>
            <w:rPr>
              <w:rFonts w:hint="eastAsia"/>
              <w:b/>
            </w:rPr>
            <w:fldChar w:fldCharType="end"/>
          </w:r>
        </w:p>
        <w:p w14:paraId="46672AD4">
          <w:pPr>
            <w:pStyle w:val="17"/>
            <w:tabs>
              <w:tab w:val="right" w:leader="dot" w:pos="8845"/>
            </w:tabs>
            <w:rPr>
              <w:b/>
            </w:rPr>
          </w:pPr>
          <w:r>
            <w:fldChar w:fldCharType="begin"/>
          </w:r>
          <w:r>
            <w:instrText xml:space="preserve"> HYPERLINK \l "_Toc3440" </w:instrText>
          </w:r>
          <w:r>
            <w:fldChar w:fldCharType="separate"/>
          </w:r>
          <w:r>
            <w:rPr>
              <w:rFonts w:hint="eastAsia" w:ascii="黑体" w:hAnsi="黑体" w:eastAsia="黑体" w:cs="黑体"/>
              <w:b/>
              <w:szCs w:val="32"/>
            </w:rPr>
            <w:t>五、一般公共预算当年拨款情况说明</w:t>
          </w:r>
          <w:r>
            <w:rPr>
              <w:b/>
            </w:rPr>
            <w:tab/>
          </w:r>
          <w:r>
            <w:rPr>
              <w:rFonts w:hint="eastAsia"/>
              <w:b/>
            </w:rPr>
            <w:t>5</w:t>
          </w:r>
          <w:r>
            <w:rPr>
              <w:rFonts w:hint="eastAsia"/>
              <w:b/>
            </w:rPr>
            <w:fldChar w:fldCharType="end"/>
          </w:r>
          <w:r>
            <w:rPr>
              <w:rFonts w:hint="eastAsia" w:ascii="ˎ̥" w:hAnsi="ˎ̥"/>
              <w:b/>
              <w:bCs/>
              <w:color w:val="000000"/>
              <w:szCs w:val="41"/>
            </w:rPr>
            <w:t>-6</w:t>
          </w:r>
        </w:p>
        <w:p w14:paraId="1305FAD0">
          <w:pPr>
            <w:pStyle w:val="18"/>
            <w:tabs>
              <w:tab w:val="right" w:leader="dot" w:pos="8845"/>
            </w:tabs>
            <w:ind w:left="0" w:leftChars="0" w:firstLine="400" w:firstLineChars="200"/>
          </w:pPr>
          <w:r>
            <w:fldChar w:fldCharType="begin"/>
          </w:r>
          <w:r>
            <w:instrText xml:space="preserve"> HYPERLINK \l "_Toc25098" </w:instrText>
          </w:r>
          <w:r>
            <w:fldChar w:fldCharType="separate"/>
          </w:r>
          <w:r>
            <w:rPr>
              <w:rFonts w:hint="eastAsia" w:ascii="楷体_GB2312" w:hAnsi="楷体_GB2312" w:eastAsia="楷体_GB2312" w:cs="楷体_GB2312"/>
              <w:bCs/>
              <w:szCs w:val="32"/>
            </w:rPr>
            <w:t>（一）一般公共预算当年拨款规模变化情况</w:t>
          </w:r>
          <w:r>
            <w:tab/>
          </w:r>
          <w:r>
            <w:rPr>
              <w:rFonts w:hint="eastAsia"/>
            </w:rPr>
            <w:t>5</w:t>
          </w:r>
          <w:r>
            <w:rPr>
              <w:rFonts w:hint="eastAsia"/>
            </w:rPr>
            <w:fldChar w:fldCharType="end"/>
          </w:r>
        </w:p>
        <w:p w14:paraId="3720AD7B">
          <w:pPr>
            <w:pStyle w:val="18"/>
            <w:tabs>
              <w:tab w:val="right" w:leader="dot" w:pos="8845"/>
            </w:tabs>
            <w:ind w:left="0" w:leftChars="0" w:firstLine="400" w:firstLineChars="200"/>
          </w:pPr>
          <w:r>
            <w:fldChar w:fldCharType="begin"/>
          </w:r>
          <w:r>
            <w:instrText xml:space="preserve"> HYPERLINK \l "_Toc16092" </w:instrText>
          </w:r>
          <w:r>
            <w:fldChar w:fldCharType="separate"/>
          </w:r>
          <w:r>
            <w:rPr>
              <w:rFonts w:hint="eastAsia" w:ascii="仿宋_GB2312" w:hAnsi="仿宋_GB2312" w:eastAsia="仿宋_GB2312"/>
              <w:bCs/>
              <w:szCs w:val="32"/>
            </w:rPr>
            <w:t>（二）一般公共预算当年拨款结构情况(按照功能科目类写)</w:t>
          </w:r>
          <w:r>
            <w:tab/>
          </w:r>
          <w:r>
            <w:rPr>
              <w:rFonts w:hint="eastAsia"/>
            </w:rPr>
            <w:t>5</w:t>
          </w:r>
          <w:r>
            <w:rPr>
              <w:rFonts w:hint="eastAsia"/>
            </w:rPr>
            <w:fldChar w:fldCharType="end"/>
          </w:r>
        </w:p>
        <w:p w14:paraId="39BB9692">
          <w:pPr>
            <w:pStyle w:val="18"/>
            <w:tabs>
              <w:tab w:val="right" w:leader="dot" w:pos="8845"/>
            </w:tabs>
            <w:ind w:left="0" w:leftChars="0" w:firstLine="400" w:firstLineChars="200"/>
          </w:pPr>
          <w:r>
            <w:fldChar w:fldCharType="begin"/>
          </w:r>
          <w:r>
            <w:instrText xml:space="preserve"> HYPERLINK \l "_Toc28341" </w:instrText>
          </w:r>
          <w:r>
            <w:fldChar w:fldCharType="separate"/>
          </w:r>
          <w:r>
            <w:rPr>
              <w:rFonts w:hint="eastAsia" w:ascii="楷体_GB2312" w:hAnsi="楷体_GB2312" w:eastAsia="楷体_GB2312" w:cs="楷体_GB2312"/>
              <w:bCs/>
              <w:szCs w:val="32"/>
            </w:rPr>
            <w:t>（三）一般公共预算当年拨款具体使用情况（按功能科目类款项写）</w:t>
          </w:r>
          <w:r>
            <w:tab/>
          </w:r>
          <w:r>
            <w:rPr>
              <w:rFonts w:hint="eastAsia"/>
            </w:rPr>
            <w:t>5</w:t>
          </w:r>
          <w:r>
            <w:rPr>
              <w:rFonts w:hint="eastAsia"/>
            </w:rPr>
            <w:fldChar w:fldCharType="end"/>
          </w:r>
          <w:r>
            <w:rPr>
              <w:rFonts w:hint="eastAsia" w:ascii="ˎ̥" w:hAnsi="ˎ̥"/>
              <w:bCs/>
              <w:color w:val="000000"/>
              <w:szCs w:val="41"/>
            </w:rPr>
            <w:t>-6</w:t>
          </w:r>
        </w:p>
        <w:p w14:paraId="260C3314">
          <w:pPr>
            <w:pStyle w:val="17"/>
            <w:tabs>
              <w:tab w:val="right" w:leader="dot" w:pos="8845"/>
            </w:tabs>
            <w:rPr>
              <w:b/>
            </w:rPr>
          </w:pPr>
          <w:r>
            <w:fldChar w:fldCharType="begin"/>
          </w:r>
          <w:r>
            <w:instrText xml:space="preserve"> HYPERLINK \l "_Toc18858" </w:instrText>
          </w:r>
          <w:r>
            <w:fldChar w:fldCharType="separate"/>
          </w:r>
          <w:r>
            <w:rPr>
              <w:rFonts w:hint="eastAsia" w:ascii="黑体" w:hAnsi="黑体" w:eastAsia="黑体" w:cs="黑体"/>
              <w:b/>
              <w:szCs w:val="32"/>
            </w:rPr>
            <w:t>六、一般公共预算基本支出情况说明</w:t>
          </w:r>
          <w:r>
            <w:rPr>
              <w:b/>
            </w:rPr>
            <w:tab/>
          </w:r>
          <w:r>
            <w:rPr>
              <w:b/>
            </w:rPr>
            <w:fldChar w:fldCharType="end"/>
          </w:r>
          <w:r>
            <w:rPr>
              <w:rFonts w:hint="eastAsia" w:ascii="ˎ̥" w:hAnsi="ˎ̥"/>
              <w:b/>
              <w:bCs/>
              <w:color w:val="000000"/>
              <w:szCs w:val="41"/>
            </w:rPr>
            <w:t>-6</w:t>
          </w:r>
        </w:p>
        <w:p w14:paraId="14AF8ABD">
          <w:pPr>
            <w:pStyle w:val="17"/>
            <w:tabs>
              <w:tab w:val="right" w:leader="dot" w:pos="8845"/>
            </w:tabs>
            <w:rPr>
              <w:b/>
            </w:rPr>
          </w:pPr>
          <w:r>
            <w:fldChar w:fldCharType="begin"/>
          </w:r>
          <w:r>
            <w:instrText xml:space="preserve"> HYPERLINK \l "_Toc256" </w:instrText>
          </w:r>
          <w:r>
            <w:fldChar w:fldCharType="separate"/>
          </w:r>
          <w:r>
            <w:rPr>
              <w:rFonts w:hint="eastAsia" w:ascii="黑体" w:hAnsi="黑体" w:eastAsia="黑体" w:cs="黑体"/>
              <w:b/>
              <w:szCs w:val="32"/>
            </w:rPr>
            <w:t>七、“三公”经费财政拨款预算安排情况说明</w:t>
          </w:r>
          <w:r>
            <w:rPr>
              <w:b/>
            </w:rPr>
            <w:tab/>
          </w:r>
          <w:r>
            <w:rPr>
              <w:rFonts w:hint="eastAsia"/>
              <w:b/>
            </w:rPr>
            <w:t>6-7</w:t>
          </w:r>
          <w:r>
            <w:rPr>
              <w:rFonts w:hint="eastAsia"/>
              <w:b/>
            </w:rPr>
            <w:fldChar w:fldCharType="end"/>
          </w:r>
        </w:p>
        <w:p w14:paraId="6CD690F5">
          <w:pPr>
            <w:pStyle w:val="17"/>
            <w:tabs>
              <w:tab w:val="right" w:leader="dot" w:pos="8845"/>
            </w:tabs>
            <w:rPr>
              <w:b/>
            </w:rPr>
          </w:pPr>
          <w:r>
            <w:fldChar w:fldCharType="begin"/>
          </w:r>
          <w:r>
            <w:instrText xml:space="preserve"> HYPERLINK \l "_Toc11086" </w:instrText>
          </w:r>
          <w:r>
            <w:fldChar w:fldCharType="separate"/>
          </w:r>
          <w:r>
            <w:rPr>
              <w:rFonts w:hint="eastAsia" w:ascii="黑体" w:hAnsi="黑体" w:eastAsia="黑体" w:cs="黑体"/>
              <w:b/>
              <w:szCs w:val="32"/>
            </w:rPr>
            <w:t>八、政府性基金预算收支情况说明</w:t>
          </w:r>
          <w:r>
            <w:rPr>
              <w:b/>
            </w:rPr>
            <w:tab/>
          </w:r>
          <w:r>
            <w:rPr>
              <w:rFonts w:hint="eastAsia"/>
              <w:b/>
            </w:rPr>
            <w:t>7</w:t>
          </w:r>
          <w:r>
            <w:rPr>
              <w:rFonts w:hint="eastAsia"/>
              <w:b/>
            </w:rPr>
            <w:fldChar w:fldCharType="end"/>
          </w:r>
        </w:p>
        <w:p w14:paraId="693CB7EB">
          <w:pPr>
            <w:pStyle w:val="17"/>
            <w:tabs>
              <w:tab w:val="right" w:leader="dot" w:pos="8845"/>
            </w:tabs>
            <w:rPr>
              <w:b/>
            </w:rPr>
          </w:pPr>
          <w:r>
            <w:fldChar w:fldCharType="begin"/>
          </w:r>
          <w:r>
            <w:instrText xml:space="preserve"> HYPERLINK \l "_Toc165" </w:instrText>
          </w:r>
          <w:r>
            <w:fldChar w:fldCharType="separate"/>
          </w:r>
          <w:r>
            <w:rPr>
              <w:rFonts w:hint="eastAsia" w:ascii="黑体" w:hAnsi="黑体" w:eastAsia="黑体" w:cs="黑体"/>
              <w:b/>
              <w:szCs w:val="32"/>
            </w:rPr>
            <w:t>九、国有资本经营预算支出情况说明</w:t>
          </w:r>
          <w:r>
            <w:rPr>
              <w:b/>
            </w:rPr>
            <w:tab/>
          </w:r>
          <w:r>
            <w:rPr>
              <w:rFonts w:hint="eastAsia"/>
              <w:b/>
            </w:rPr>
            <w:t>8</w:t>
          </w:r>
          <w:r>
            <w:rPr>
              <w:rFonts w:hint="eastAsia"/>
              <w:b/>
            </w:rPr>
            <w:fldChar w:fldCharType="end"/>
          </w:r>
        </w:p>
        <w:p w14:paraId="3A763BCC">
          <w:pPr>
            <w:pStyle w:val="17"/>
            <w:tabs>
              <w:tab w:val="right" w:leader="dot" w:pos="8845"/>
            </w:tabs>
            <w:rPr>
              <w:b/>
            </w:rPr>
          </w:pPr>
          <w:r>
            <w:fldChar w:fldCharType="begin"/>
          </w:r>
          <w:r>
            <w:instrText xml:space="preserve"> HYPERLINK \l "_Toc29771" </w:instrText>
          </w:r>
          <w:r>
            <w:fldChar w:fldCharType="separate"/>
          </w:r>
          <w:r>
            <w:rPr>
              <w:rFonts w:hint="eastAsia" w:ascii="黑体" w:hAnsi="黑体" w:eastAsia="黑体" w:cs="黑体"/>
              <w:b/>
              <w:szCs w:val="32"/>
            </w:rPr>
            <w:t>十、其他重要事项的情况说明</w:t>
          </w:r>
          <w:r>
            <w:rPr>
              <w:b/>
            </w:rPr>
            <w:tab/>
          </w:r>
          <w:r>
            <w:rPr>
              <w:rFonts w:hint="eastAsia"/>
              <w:b/>
            </w:rPr>
            <w:t>8</w:t>
          </w:r>
          <w:r>
            <w:rPr>
              <w:rFonts w:hint="eastAsia"/>
              <w:b/>
            </w:rPr>
            <w:fldChar w:fldCharType="end"/>
          </w:r>
        </w:p>
        <w:p w14:paraId="7288C951">
          <w:pPr>
            <w:pStyle w:val="18"/>
            <w:tabs>
              <w:tab w:val="right" w:leader="dot" w:pos="8845"/>
            </w:tabs>
            <w:ind w:left="0" w:leftChars="0" w:firstLine="400" w:firstLineChars="200"/>
          </w:pPr>
          <w:r>
            <w:fldChar w:fldCharType="begin"/>
          </w:r>
          <w:r>
            <w:instrText xml:space="preserve"> HYPERLINK \l "_Toc11525" </w:instrText>
          </w:r>
          <w:r>
            <w:fldChar w:fldCharType="separate"/>
          </w:r>
          <w:r>
            <w:rPr>
              <w:rFonts w:hint="eastAsia" w:ascii="仿宋_GB2312" w:hAnsi="仿宋_GB2312" w:eastAsia="仿宋_GB2312"/>
              <w:szCs w:val="32"/>
            </w:rPr>
            <w:t>（一）机关运行经费</w:t>
          </w:r>
          <w:r>
            <w:tab/>
          </w:r>
          <w:r>
            <w:rPr>
              <w:rFonts w:hint="eastAsia"/>
            </w:rPr>
            <w:t>8</w:t>
          </w:r>
          <w:r>
            <w:rPr>
              <w:rFonts w:hint="eastAsia"/>
            </w:rPr>
            <w:fldChar w:fldCharType="end"/>
          </w:r>
        </w:p>
        <w:p w14:paraId="39A7E03C">
          <w:pPr>
            <w:pStyle w:val="18"/>
            <w:tabs>
              <w:tab w:val="right" w:leader="dot" w:pos="8845"/>
            </w:tabs>
            <w:ind w:left="0" w:leftChars="0" w:firstLine="400" w:firstLineChars="200"/>
          </w:pPr>
          <w:r>
            <w:fldChar w:fldCharType="begin"/>
          </w:r>
          <w:r>
            <w:instrText xml:space="preserve"> HYPERLINK \l "_Toc15299" </w:instrText>
          </w:r>
          <w:r>
            <w:fldChar w:fldCharType="separate"/>
          </w:r>
          <w:r>
            <w:rPr>
              <w:rFonts w:hint="eastAsia" w:ascii="仿宋_GB2312" w:hAnsi="仿宋_GB2312" w:eastAsia="仿宋_GB2312"/>
              <w:szCs w:val="32"/>
            </w:rPr>
            <w:t>（二）政府采购情况</w:t>
          </w:r>
          <w:r>
            <w:tab/>
          </w:r>
          <w:r>
            <w:rPr>
              <w:rFonts w:hint="eastAsia"/>
            </w:rPr>
            <w:t>8</w:t>
          </w:r>
          <w:r>
            <w:rPr>
              <w:rFonts w:hint="eastAsia"/>
            </w:rPr>
            <w:fldChar w:fldCharType="end"/>
          </w:r>
        </w:p>
        <w:p w14:paraId="2211D271">
          <w:pPr>
            <w:pStyle w:val="18"/>
            <w:tabs>
              <w:tab w:val="right" w:leader="dot" w:pos="8845"/>
            </w:tabs>
            <w:ind w:left="0" w:leftChars="0" w:firstLine="400" w:firstLineChars="200"/>
          </w:pPr>
          <w:r>
            <w:fldChar w:fldCharType="begin"/>
          </w:r>
          <w:r>
            <w:instrText xml:space="preserve"> HYPERLINK \l "_Toc18679" </w:instrText>
          </w:r>
          <w:r>
            <w:fldChar w:fldCharType="separate"/>
          </w:r>
          <w:r>
            <w:rPr>
              <w:rFonts w:hint="eastAsia" w:ascii="仿宋_GB2312" w:hAnsi="仿宋_GB2312" w:eastAsia="仿宋_GB2312"/>
              <w:szCs w:val="32"/>
            </w:rPr>
            <w:t>（三）国有资产占有使用情况</w:t>
          </w:r>
          <w:r>
            <w:tab/>
          </w:r>
          <w:r>
            <w:rPr>
              <w:rFonts w:hint="eastAsia"/>
            </w:rPr>
            <w:t>8</w:t>
          </w:r>
          <w:r>
            <w:rPr>
              <w:rFonts w:hint="eastAsia"/>
            </w:rPr>
            <w:fldChar w:fldCharType="end"/>
          </w:r>
        </w:p>
        <w:p w14:paraId="13E46734">
          <w:pPr>
            <w:pStyle w:val="18"/>
            <w:tabs>
              <w:tab w:val="right" w:leader="dot" w:pos="8845"/>
            </w:tabs>
            <w:ind w:left="0" w:leftChars="0" w:firstLine="400" w:firstLineChars="200"/>
          </w:pPr>
          <w:r>
            <w:fldChar w:fldCharType="begin"/>
          </w:r>
          <w:r>
            <w:instrText xml:space="preserve"> HYPERLINK \l "_Toc2176" </w:instrText>
          </w:r>
          <w:r>
            <w:fldChar w:fldCharType="separate"/>
          </w:r>
          <w:r>
            <w:rPr>
              <w:rFonts w:hint="eastAsia" w:ascii="仿宋_GB2312" w:hAnsi="仿宋_GB2312" w:eastAsia="仿宋_GB2312"/>
              <w:szCs w:val="32"/>
            </w:rPr>
            <w:t>（四）绩效目标设置情况</w:t>
          </w:r>
          <w:r>
            <w:tab/>
          </w:r>
          <w:r>
            <w:rPr>
              <w:rFonts w:hint="eastAsia"/>
            </w:rPr>
            <w:t>8</w:t>
          </w:r>
          <w:r>
            <w:rPr>
              <w:rFonts w:hint="eastAsia"/>
            </w:rPr>
            <w:fldChar w:fldCharType="end"/>
          </w:r>
        </w:p>
        <w:p w14:paraId="70158270">
          <w:pPr>
            <w:pStyle w:val="17"/>
            <w:tabs>
              <w:tab w:val="right" w:leader="dot" w:pos="8845"/>
            </w:tabs>
            <w:rPr>
              <w:b/>
            </w:rPr>
          </w:pPr>
          <w:r>
            <w:fldChar w:fldCharType="begin"/>
          </w:r>
          <w:r>
            <w:instrText xml:space="preserve"> HYPERLINK \l "_Toc6693" </w:instrText>
          </w:r>
          <w:r>
            <w:fldChar w:fldCharType="separate"/>
          </w:r>
          <w:r>
            <w:rPr>
              <w:rFonts w:hint="eastAsia" w:ascii="仿宋_GB2312" w:hAnsi="仿宋_GB2312" w:eastAsia="仿宋_GB2312"/>
              <w:b/>
              <w:szCs w:val="32"/>
            </w:rPr>
            <w:t>十一、名词解释</w:t>
          </w:r>
          <w:r>
            <w:rPr>
              <w:b/>
            </w:rPr>
            <w:tab/>
          </w:r>
          <w:r>
            <w:rPr>
              <w:rFonts w:hint="eastAsia"/>
              <w:b/>
            </w:rPr>
            <w:t>9</w:t>
          </w:r>
          <w:r>
            <w:rPr>
              <w:rFonts w:hint="eastAsia"/>
              <w:b/>
            </w:rPr>
            <w:fldChar w:fldCharType="end"/>
          </w:r>
        </w:p>
        <w:p w14:paraId="0E353184">
          <w:pPr>
            <w:rPr>
              <w:rFonts w:hint="eastAsia" w:ascii="ˎ̥" w:hAnsi="ˎ̥"/>
              <w:b/>
              <w:bCs/>
              <w:color w:val="000000"/>
              <w:szCs w:val="41"/>
            </w:rPr>
          </w:pPr>
          <w:r>
            <w:rPr>
              <w:rFonts w:hint="eastAsia" w:ascii="ˎ̥" w:hAnsi="ˎ̥"/>
              <w:b/>
              <w:bCs/>
              <w:color w:val="000000"/>
              <w:szCs w:val="41"/>
            </w:rPr>
            <w:fldChar w:fldCharType="end"/>
          </w:r>
        </w:p>
      </w:sdtContent>
    </w:sdt>
    <w:p w14:paraId="7D51FF76">
      <w:pPr>
        <w:adjustRightInd w:val="0"/>
        <w:snapToGrid w:val="0"/>
        <w:spacing w:line="560" w:lineRule="exact"/>
        <w:ind w:firstLine="560" w:firstLineChars="175"/>
        <w:rPr>
          <w:rFonts w:hint="eastAsia" w:ascii="黑体" w:hAnsi="黑体" w:eastAsia="黑体" w:cs="黑体"/>
          <w:sz w:val="32"/>
          <w:szCs w:val="32"/>
        </w:rPr>
      </w:pPr>
    </w:p>
    <w:p w14:paraId="544A95AD">
      <w:pPr>
        <w:adjustRightInd w:val="0"/>
        <w:snapToGrid w:val="0"/>
        <w:spacing w:line="560" w:lineRule="exact"/>
        <w:ind w:firstLine="560" w:firstLineChars="175"/>
        <w:rPr>
          <w:rFonts w:hint="eastAsia" w:ascii="黑体" w:hAnsi="黑体" w:eastAsia="黑体" w:cs="黑体"/>
          <w:sz w:val="32"/>
          <w:szCs w:val="32"/>
        </w:rPr>
      </w:pPr>
    </w:p>
    <w:p w14:paraId="2929A30B">
      <w:pPr>
        <w:adjustRightInd w:val="0"/>
        <w:snapToGrid w:val="0"/>
        <w:spacing w:line="560" w:lineRule="exact"/>
        <w:ind w:firstLine="560" w:firstLineChars="175"/>
        <w:rPr>
          <w:rFonts w:hint="eastAsia" w:ascii="黑体" w:hAnsi="黑体" w:eastAsia="黑体" w:cs="黑体"/>
          <w:sz w:val="32"/>
          <w:szCs w:val="32"/>
        </w:rPr>
      </w:pPr>
    </w:p>
    <w:p w14:paraId="30DCE985">
      <w:pPr>
        <w:adjustRightInd w:val="0"/>
        <w:snapToGrid w:val="0"/>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一、基本职能及主要工作</w:t>
      </w:r>
    </w:p>
    <w:p w14:paraId="008FC7EB">
      <w:pPr>
        <w:adjustRightInd w:val="0"/>
        <w:snapToGrid w:val="0"/>
        <w:spacing w:line="560" w:lineRule="exact"/>
        <w:ind w:firstLine="560" w:firstLineChars="175"/>
        <w:rPr>
          <w:rFonts w:ascii="楷体_GB2312" w:hAnsi="楷体" w:eastAsia="楷体_GB2312" w:cs="楷体"/>
          <w:sz w:val="32"/>
          <w:szCs w:val="32"/>
        </w:rPr>
      </w:pPr>
      <w:r>
        <w:rPr>
          <w:rFonts w:hint="eastAsia" w:ascii="楷体_GB2312" w:hAnsi="楷体" w:eastAsia="楷体_GB2312" w:cs="楷体"/>
          <w:sz w:val="32"/>
          <w:szCs w:val="32"/>
        </w:rPr>
        <w:t>（一）机构设置及主要职责</w:t>
      </w:r>
    </w:p>
    <w:p w14:paraId="17DD0A90">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是区委主管全区统一战线工作的职能部门（与德阳市罗江区民族宗教事务局合署办公），其主要职责是：组织贯彻执行中央、省委、市委和区委关于统一战线的方针、政策；负责联系区内各民主党派、有关人民团体和无党派代表人士，及时通报情况，了解和反映他们的意见和建议；负责我区党外人士的政治安排，协助做好实职安排；指导、协助对宗教事务的依法管理，检查督促民族、宗教政策的执行，联系少数民族和宗教界代表人物；指导、帮助区工商联和民间商会开展工作，组织进行非公有制经济代表人士思想政治工作，促进非公有制经济健康发展；调研我区党外知识分子情况，反映意见，协调关系，提出政策性建议；团结、引导我区新的社会阶层代表人士；负责开展以祖国统一为重点，有利于扩大我区对外开放，发展经贸海外统战工作。</w:t>
      </w:r>
    </w:p>
    <w:p w14:paraId="6C6C4AAE">
      <w:pPr>
        <w:adjustRightInd w:val="0"/>
        <w:snapToGrid w:val="0"/>
        <w:spacing w:line="560" w:lineRule="exact"/>
        <w:ind w:firstLine="560" w:firstLineChars="175"/>
        <w:rPr>
          <w:rFonts w:ascii="楷体_GB2312" w:hAnsi="楷体" w:eastAsia="楷体_GB2312" w:cs="楷体"/>
          <w:sz w:val="32"/>
          <w:szCs w:val="32"/>
        </w:rPr>
      </w:pPr>
      <w:r>
        <w:rPr>
          <w:rFonts w:hint="eastAsia" w:ascii="楷体_GB2312" w:hAnsi="楷体" w:eastAsia="楷体_GB2312" w:cs="楷体"/>
          <w:sz w:val="32"/>
          <w:szCs w:val="32"/>
        </w:rPr>
        <w:t>（二）</w:t>
      </w:r>
      <w:r>
        <w:rPr>
          <w:rFonts w:hint="eastAsia" w:ascii="楷体_GB2312" w:hAnsi="仿宋" w:eastAsia="楷体_GB2312" w:cs="仿宋"/>
          <w:sz w:val="32"/>
          <w:szCs w:val="32"/>
        </w:rPr>
        <w:t>中国共产党德阳市罗江区委员会统一战线工作部</w:t>
      </w:r>
      <w:r>
        <w:rPr>
          <w:rFonts w:hint="eastAsia" w:ascii="楷体_GB2312" w:hAnsi="楷体" w:eastAsia="楷体_GB2312" w:cs="楷体"/>
          <w:sz w:val="32"/>
          <w:szCs w:val="32"/>
        </w:rPr>
        <w:t>202</w:t>
      </w:r>
      <w:r>
        <w:rPr>
          <w:rFonts w:hint="eastAsia" w:ascii="楷体_GB2312" w:hAnsi="楷体" w:eastAsia="楷体_GB2312" w:cs="楷体"/>
          <w:sz w:val="32"/>
          <w:szCs w:val="32"/>
          <w:lang w:val="en-US" w:eastAsia="zh-CN"/>
        </w:rPr>
        <w:t>5</w:t>
      </w:r>
      <w:r>
        <w:rPr>
          <w:rFonts w:hint="eastAsia" w:ascii="楷体_GB2312" w:hAnsi="楷体" w:eastAsia="楷体_GB2312" w:cs="楷体"/>
          <w:sz w:val="32"/>
          <w:szCs w:val="32"/>
        </w:rPr>
        <w:t>年重点工作</w:t>
      </w:r>
    </w:p>
    <w:p w14:paraId="04282664">
      <w:pPr>
        <w:pStyle w:val="5"/>
        <w:spacing w:after="0" w:line="660" w:lineRule="exact"/>
        <w:ind w:firstLine="723"/>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2025年全区统一战线继续秉持建县精神，围绕区委中心，聚焦主责主业，大力实施“一争三创三提升”行动，开辟统一战线融入高质量发展新境界。</w:t>
      </w:r>
    </w:p>
    <w:p w14:paraId="7A911800">
      <w:pPr>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“一争”就是争取综合目标考核全市“第一方阵”的位次长期稳固，形成罗江统一战线争先创优的良好态势。</w:t>
      </w:r>
    </w:p>
    <w:p w14:paraId="180A515B">
      <w:pPr>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三创”就是创新港澳台及海外统战工作新品牌，创新校地合作新机制，创新助推乡村振兴新模式。创新港澳台及海外统战工作新品牌，每年固定举办（承办）国家华人华侨学生、港澳台大学生、范仲淹爱国主义家风园纪念等对外交流活动，加强与菲律宾致公党、新加坡天府会互访，开创罗江统一战线对外交流的新窗口。创新校地合作新机制，发挥中华职业教育社牵线搭桥作用，探索校地企“三方”联动共建共育新机制，依托大学资源，深化校地活动，针对性为罗江发展引才引智。精准式开展校企“订单”培训，助企发展。聘请企业家导师，常态化指导大学生就业创业。创新助推乡村振兴新模式，落地与中国农机院、海南大学三方合作，推进国家智能农机“十四五”研发项目试验示范基地建设，开展农机优选和操作技能培训，争取农工党中央乡村振兴社会服务基地挂牌。</w:t>
      </w:r>
    </w:p>
    <w:p w14:paraId="3B4CE11E">
      <w:pPr>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outlineLvl w:val="9"/>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“三提升”就是提升思想政治引领成效，提升</w:t>
      </w:r>
      <w:r>
        <w:rPr>
          <w:rFonts w:hint="default" w:ascii="仿宋_GB2312" w:hAnsi="仿宋" w:eastAsia="仿宋_GB2312" w:cs="仿宋"/>
          <w:kern w:val="2"/>
          <w:sz w:val="32"/>
          <w:szCs w:val="32"/>
          <w:lang w:val="en-US" w:eastAsia="zh-CN" w:bidi="ar-SA"/>
        </w:rPr>
        <w:t>党外代表人士队伍建设成效</w:t>
      </w:r>
      <w:r>
        <w:rPr>
          <w:rFonts w:hint="eastAsia" w:ascii="仿宋_GB2312" w:hAnsi="仿宋" w:eastAsia="仿宋_GB2312" w:cs="仿宋"/>
          <w:kern w:val="2"/>
          <w:sz w:val="32"/>
          <w:szCs w:val="32"/>
          <w:lang w:val="en-US" w:eastAsia="zh-CN" w:bidi="ar-SA"/>
        </w:rPr>
        <w:t>，</w:t>
      </w:r>
      <w:r>
        <w:rPr>
          <w:rFonts w:hint="default" w:ascii="仿宋_GB2312" w:hAnsi="仿宋" w:eastAsia="仿宋_GB2312" w:cs="仿宋"/>
          <w:kern w:val="2"/>
          <w:sz w:val="32"/>
          <w:szCs w:val="32"/>
          <w:lang w:val="en-US" w:eastAsia="zh-CN" w:bidi="ar-SA"/>
        </w:rPr>
        <w:t>提升防范化解涉统领域风险隐患成效</w:t>
      </w:r>
      <w:r>
        <w:rPr>
          <w:rFonts w:hint="eastAsia" w:ascii="仿宋_GB2312" w:hAnsi="仿宋" w:eastAsia="仿宋_GB2312" w:cs="仿宋"/>
          <w:kern w:val="2"/>
          <w:sz w:val="32"/>
          <w:szCs w:val="32"/>
          <w:lang w:val="en-US" w:eastAsia="zh-CN" w:bidi="ar-SA"/>
        </w:rPr>
        <w:t>。提升思想政治引领成效，一是筑牢深化党外人士品牌基地建设，争取范家大院港澳台教育、农工党中央社会服务、中华职教社产教融和庞统祠侨文化基地试点命名，建立起涵盖统战各领域、门类齐全的特色品牌基地25个。二是筑牢深化党外人士交流平台建设，发挥统一战线“直通车”优势，积极对接上级，争取更多的会议活动在罗江举办，外树罗江形象。</w:t>
      </w:r>
      <w:r>
        <w:rPr>
          <w:rFonts w:hint="default" w:ascii="仿宋_GB2312" w:hAnsi="仿宋" w:eastAsia="仿宋_GB2312" w:cs="仿宋"/>
          <w:kern w:val="2"/>
          <w:sz w:val="32"/>
          <w:szCs w:val="32"/>
          <w:lang w:val="en-US" w:eastAsia="zh-CN" w:bidi="ar-SA"/>
        </w:rPr>
        <w:t>提升党外代表人士队伍建设成效</w:t>
      </w:r>
      <w:r>
        <w:rPr>
          <w:rFonts w:hint="eastAsia" w:ascii="仿宋_GB2312" w:hAnsi="仿宋" w:eastAsia="仿宋_GB2312" w:cs="仿宋"/>
          <w:kern w:val="2"/>
          <w:sz w:val="32"/>
          <w:szCs w:val="32"/>
          <w:lang w:val="en-US" w:eastAsia="zh-CN" w:bidi="ar-SA"/>
        </w:rPr>
        <w:t>，一是建立涵养水源机制，建立全区党外干部动态性大数据库，储备充足“水源”，通过入口关预留和党组织识别等机制，择优建立“党外干部人才库”。二是建立研判监管机制，通过谈心谈话、述职述廉、会商研判等方式，推动提升组织协调、上下沟通等综合素质能力，建立党外干部“发现、培养、推荐、使用”的长效机制。</w:t>
      </w:r>
      <w:r>
        <w:rPr>
          <w:rFonts w:hint="default" w:ascii="仿宋_GB2312" w:hAnsi="仿宋" w:eastAsia="仿宋_GB2312" w:cs="仿宋"/>
          <w:kern w:val="2"/>
          <w:sz w:val="32"/>
          <w:szCs w:val="32"/>
          <w:lang w:val="en-US" w:eastAsia="zh-CN" w:bidi="ar-SA"/>
        </w:rPr>
        <w:t>提升防范化解涉统领域风险隐患成效</w:t>
      </w:r>
      <w:r>
        <w:rPr>
          <w:rFonts w:hint="eastAsia" w:ascii="仿宋_GB2312" w:hAnsi="仿宋" w:eastAsia="仿宋_GB2312" w:cs="仿宋"/>
          <w:kern w:val="2"/>
          <w:sz w:val="32"/>
          <w:szCs w:val="32"/>
          <w:lang w:val="en-US" w:eastAsia="zh-CN" w:bidi="ar-SA"/>
        </w:rPr>
        <w:t>，一是</w:t>
      </w:r>
      <w:r>
        <w:rPr>
          <w:rFonts w:hint="default" w:ascii="仿宋_GB2312" w:hAnsi="仿宋" w:eastAsia="仿宋_GB2312" w:cs="仿宋"/>
          <w:kern w:val="2"/>
          <w:sz w:val="32"/>
          <w:szCs w:val="32"/>
          <w:lang w:val="en-US" w:eastAsia="zh-CN" w:bidi="ar-SA"/>
        </w:rPr>
        <w:t>落实意识形态工作责任制</w:t>
      </w:r>
      <w:r>
        <w:rPr>
          <w:rFonts w:hint="eastAsia" w:ascii="仿宋_GB2312" w:hAnsi="仿宋" w:eastAsia="仿宋_GB2312" w:cs="仿宋"/>
          <w:kern w:val="2"/>
          <w:sz w:val="32"/>
          <w:szCs w:val="32"/>
          <w:lang w:val="en-US" w:eastAsia="zh-CN" w:bidi="ar-SA"/>
        </w:rPr>
        <w:t>，</w:t>
      </w:r>
      <w:r>
        <w:rPr>
          <w:rFonts w:hint="default" w:ascii="仿宋_GB2312" w:hAnsi="仿宋" w:eastAsia="仿宋_GB2312" w:cs="仿宋"/>
          <w:kern w:val="2"/>
          <w:sz w:val="32"/>
          <w:szCs w:val="32"/>
          <w:lang w:val="en-US" w:eastAsia="zh-CN" w:bidi="ar-SA"/>
        </w:rPr>
        <w:t>把防范化解民族宗教、港澳台侨等风险作为重点，建立统战领域风险研判防控协同工作机制。</w:t>
      </w:r>
      <w:r>
        <w:rPr>
          <w:rFonts w:hint="eastAsia" w:ascii="仿宋_GB2312" w:hAnsi="仿宋" w:eastAsia="仿宋_GB2312" w:cs="仿宋"/>
          <w:kern w:val="2"/>
          <w:sz w:val="32"/>
          <w:szCs w:val="32"/>
          <w:lang w:val="en-US" w:eastAsia="zh-CN" w:bidi="ar-SA"/>
        </w:rPr>
        <w:t>二是健全</w:t>
      </w:r>
      <w:r>
        <w:rPr>
          <w:rFonts w:hint="default" w:ascii="仿宋_GB2312" w:hAnsi="仿宋" w:eastAsia="仿宋_GB2312" w:cs="仿宋"/>
          <w:kern w:val="2"/>
          <w:sz w:val="32"/>
          <w:szCs w:val="32"/>
          <w:lang w:val="en-US" w:eastAsia="zh-CN" w:bidi="ar-SA"/>
        </w:rPr>
        <w:t>铸牢中华民族共同体意识</w:t>
      </w:r>
      <w:r>
        <w:rPr>
          <w:rFonts w:hint="eastAsia" w:ascii="仿宋_GB2312" w:hAnsi="仿宋" w:eastAsia="仿宋_GB2312" w:cs="仿宋"/>
          <w:kern w:val="2"/>
          <w:sz w:val="32"/>
          <w:szCs w:val="32"/>
          <w:lang w:val="en-US" w:eastAsia="zh-CN" w:bidi="ar-SA"/>
        </w:rPr>
        <w:t>制度机制，加快建设互嵌式社会结构和社区环境，持续深化</w:t>
      </w:r>
      <w:r>
        <w:rPr>
          <w:rFonts w:hint="default" w:ascii="仿宋_GB2312" w:hAnsi="仿宋" w:eastAsia="仿宋_GB2312" w:cs="仿宋"/>
          <w:kern w:val="2"/>
          <w:sz w:val="32"/>
          <w:szCs w:val="32"/>
          <w:lang w:val="en-US" w:eastAsia="zh-CN" w:bidi="ar-SA"/>
        </w:rPr>
        <w:t>民族团结进步创建</w:t>
      </w:r>
      <w:r>
        <w:rPr>
          <w:rFonts w:hint="eastAsia" w:ascii="仿宋_GB2312" w:hAnsi="仿宋" w:eastAsia="仿宋_GB2312" w:cs="仿宋"/>
          <w:kern w:val="2"/>
          <w:sz w:val="32"/>
          <w:szCs w:val="32"/>
          <w:lang w:val="en-US" w:eastAsia="zh-CN" w:bidi="ar-SA"/>
        </w:rPr>
        <w:t>，</w:t>
      </w:r>
      <w:r>
        <w:rPr>
          <w:rFonts w:hint="default" w:ascii="仿宋_GB2312" w:hAnsi="仿宋" w:eastAsia="仿宋_GB2312" w:cs="仿宋"/>
          <w:kern w:val="2"/>
          <w:sz w:val="32"/>
          <w:szCs w:val="32"/>
          <w:lang w:val="en-US" w:eastAsia="zh-CN" w:bidi="ar-SA"/>
        </w:rPr>
        <w:t>做好</w:t>
      </w:r>
      <w:r>
        <w:rPr>
          <w:rFonts w:hint="eastAsia" w:ascii="仿宋_GB2312" w:hAnsi="仿宋" w:eastAsia="仿宋_GB2312" w:cs="仿宋"/>
          <w:kern w:val="2"/>
          <w:sz w:val="32"/>
          <w:szCs w:val="32"/>
          <w:lang w:val="en-US" w:eastAsia="zh-CN" w:bidi="ar-SA"/>
        </w:rPr>
        <w:t>高校民族学生和</w:t>
      </w:r>
      <w:r>
        <w:rPr>
          <w:rFonts w:hint="default" w:ascii="仿宋_GB2312" w:hAnsi="仿宋" w:eastAsia="仿宋_GB2312" w:cs="仿宋"/>
          <w:kern w:val="2"/>
          <w:sz w:val="32"/>
          <w:szCs w:val="32"/>
          <w:lang w:val="en-US" w:eastAsia="zh-CN" w:bidi="ar-SA"/>
        </w:rPr>
        <w:t>少数民族流动人口管理，促进各族</w:t>
      </w:r>
      <w:r>
        <w:rPr>
          <w:rFonts w:hint="eastAsia" w:ascii="仿宋_GB2312" w:hAnsi="仿宋" w:eastAsia="仿宋_GB2312" w:cs="仿宋"/>
          <w:kern w:val="2"/>
          <w:sz w:val="32"/>
          <w:szCs w:val="32"/>
          <w:lang w:val="en-US" w:eastAsia="zh-CN" w:bidi="ar-SA"/>
        </w:rPr>
        <w:t>群众交往</w:t>
      </w:r>
      <w:r>
        <w:rPr>
          <w:rFonts w:hint="default" w:ascii="仿宋_GB2312" w:hAnsi="仿宋" w:eastAsia="仿宋_GB2312" w:cs="仿宋"/>
          <w:kern w:val="2"/>
          <w:sz w:val="32"/>
          <w:szCs w:val="32"/>
          <w:lang w:val="en-US" w:eastAsia="zh-CN" w:bidi="ar-SA"/>
        </w:rPr>
        <w:t>交流交融。</w:t>
      </w:r>
      <w:r>
        <w:rPr>
          <w:rFonts w:hint="eastAsia" w:ascii="仿宋_GB2312" w:hAnsi="仿宋" w:eastAsia="仿宋_GB2312" w:cs="仿宋"/>
          <w:kern w:val="2"/>
          <w:sz w:val="32"/>
          <w:szCs w:val="32"/>
          <w:lang w:val="en-US" w:eastAsia="zh-CN" w:bidi="ar-SA"/>
        </w:rPr>
        <w:t>三是系统</w:t>
      </w:r>
      <w:r>
        <w:rPr>
          <w:rFonts w:hint="default" w:ascii="仿宋_GB2312" w:hAnsi="仿宋" w:eastAsia="仿宋_GB2312" w:cs="仿宋"/>
          <w:kern w:val="2"/>
          <w:sz w:val="32"/>
          <w:szCs w:val="32"/>
          <w:lang w:val="en-US" w:eastAsia="zh-CN" w:bidi="ar-SA"/>
        </w:rPr>
        <w:t>推进我国宗教中国化</w:t>
      </w:r>
      <w:r>
        <w:rPr>
          <w:rFonts w:hint="eastAsia" w:ascii="仿宋_GB2312" w:hAnsi="仿宋" w:eastAsia="仿宋_GB2312" w:cs="仿宋"/>
          <w:kern w:val="2"/>
          <w:sz w:val="32"/>
          <w:szCs w:val="32"/>
          <w:lang w:val="en-US" w:eastAsia="zh-CN" w:bidi="ar-SA"/>
        </w:rPr>
        <w:t>，加强宗教场所规范化管理，深化</w:t>
      </w:r>
      <w:r>
        <w:rPr>
          <w:rFonts w:hint="default" w:ascii="仿宋_GB2312" w:hAnsi="仿宋" w:eastAsia="仿宋_GB2312" w:cs="仿宋"/>
          <w:kern w:val="2"/>
          <w:sz w:val="32"/>
          <w:szCs w:val="32"/>
          <w:lang w:val="en-US" w:eastAsia="zh-CN" w:bidi="ar-SA"/>
        </w:rPr>
        <w:t>宗教中国化场所</w:t>
      </w:r>
      <w:r>
        <w:rPr>
          <w:rFonts w:hint="eastAsia" w:ascii="仿宋_GB2312" w:hAnsi="仿宋" w:eastAsia="仿宋_GB2312" w:cs="仿宋"/>
          <w:kern w:val="2"/>
          <w:sz w:val="32"/>
          <w:szCs w:val="32"/>
          <w:lang w:val="en-US" w:eastAsia="zh-CN" w:bidi="ar-SA"/>
        </w:rPr>
        <w:t>建设，加强对外交流</w:t>
      </w:r>
      <w:r>
        <w:rPr>
          <w:rFonts w:hint="default" w:ascii="仿宋_GB2312" w:hAnsi="仿宋" w:eastAsia="仿宋_GB2312" w:cs="仿宋"/>
          <w:kern w:val="2"/>
          <w:sz w:val="32"/>
          <w:szCs w:val="32"/>
          <w:lang w:val="en-US" w:eastAsia="zh-CN" w:bidi="ar-SA"/>
        </w:rPr>
        <w:t>。</w:t>
      </w:r>
    </w:p>
    <w:p w14:paraId="5CF6E6AB">
      <w:pPr>
        <w:adjustRightInd w:val="0"/>
        <w:snapToGrid w:val="0"/>
        <w:spacing w:line="560" w:lineRule="exact"/>
        <w:ind w:firstLine="560" w:firstLineChars="175"/>
        <w:rPr>
          <w:rFonts w:ascii="仿宋_GB2312" w:hAnsi="仿宋_GB2312" w:eastAsia="仿宋_GB2312"/>
          <w:sz w:val="32"/>
          <w:szCs w:val="32"/>
        </w:rPr>
      </w:pPr>
      <w:r>
        <w:rPr>
          <w:rFonts w:hint="eastAsia" w:ascii="黑体" w:hAnsi="黑体" w:eastAsia="黑体" w:cs="黑体"/>
          <w:sz w:val="32"/>
          <w:szCs w:val="32"/>
        </w:rPr>
        <w:t>二、部门预算单位构成</w:t>
      </w:r>
    </w:p>
    <w:p w14:paraId="5E04FE73">
      <w:pPr>
        <w:adjustRightInd w:val="0"/>
        <w:snapToGrid w:val="0"/>
        <w:spacing w:line="56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中国共产党德阳市罗江区委员会统一战线工作部与德阳市罗江区民族宗教事务局合署办公，无下属二级预算单位。</w:t>
      </w:r>
    </w:p>
    <w:p w14:paraId="2A7DF726">
      <w:pPr>
        <w:adjustRightInd w:val="0"/>
        <w:snapToGrid w:val="0"/>
        <w:spacing w:line="56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中国共产党德阳市罗江区委员会统一战线工作部总编制12名，其中行政编制7名，事业编制5名，工勤编制0名。在职人员总数11人，其中：行政人员</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人，事业人员</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人；离退休人员</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人，其中：退休人员</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人。本次公开数据包括所有下属二级单位数据。</w:t>
      </w:r>
    </w:p>
    <w:p w14:paraId="1816AB89">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三、收支预算增减变化情况说明</w:t>
      </w:r>
    </w:p>
    <w:p w14:paraId="05D20F2E">
      <w:pPr>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按照综合预算的原则，中国共产党德阳市罗江区委员会统一战线工作部所有收支均包含下属单位数据，全部纳入部门预算管理。</w:t>
      </w:r>
      <w:r>
        <w:rPr>
          <w:rFonts w:hint="eastAsia" w:ascii="仿宋_GB2312" w:hAnsi="仿宋_GB2312" w:eastAsia="仿宋_GB2312"/>
          <w:sz w:val="32"/>
          <w:szCs w:val="32"/>
        </w:rPr>
        <w:t>收入包括：</w:t>
      </w:r>
      <w:r>
        <w:rPr>
          <w:rFonts w:hint="eastAsia" w:ascii="仿宋_GB2312" w:hAnsi="仿宋" w:eastAsia="仿宋_GB2312" w:cs="仿宋"/>
          <w:sz w:val="32"/>
          <w:szCs w:val="32"/>
        </w:rPr>
        <w:t>当年财政拨款收入</w:t>
      </w:r>
      <w:r>
        <w:rPr>
          <w:rFonts w:hint="eastAsia" w:ascii="仿宋_GB2312" w:hAnsi="仿宋_GB2312" w:eastAsia="仿宋_GB2312"/>
          <w:color w:val="000000" w:themeColor="text1"/>
          <w:sz w:val="32"/>
          <w:szCs w:val="32"/>
          <w:lang w:val="en-US" w:eastAsia="zh-CN"/>
        </w:rPr>
        <w:t>313.95</w:t>
      </w:r>
      <w:r>
        <w:rPr>
          <w:rFonts w:hint="eastAsia" w:ascii="仿宋_GB2312" w:hAnsi="仿宋" w:eastAsia="仿宋_GB2312" w:cs="仿宋"/>
          <w:sz w:val="32"/>
          <w:szCs w:val="32"/>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年预算数增加</w:t>
      </w:r>
      <w:r>
        <w:rPr>
          <w:rFonts w:hint="eastAsia" w:ascii="仿宋_GB2312" w:hAnsi="仿宋_GB2312" w:eastAsia="仿宋_GB2312"/>
          <w:color w:val="000000" w:themeColor="text1"/>
          <w:sz w:val="32"/>
          <w:szCs w:val="32"/>
          <w:lang w:val="en-US" w:eastAsia="zh-CN"/>
        </w:rPr>
        <w:t>6.95</w:t>
      </w:r>
      <w:r>
        <w:rPr>
          <w:rFonts w:hint="eastAsia" w:ascii="仿宋_GB2312" w:hAnsi="仿宋_GB2312" w:eastAsia="仿宋_GB2312"/>
          <w:sz w:val="32"/>
          <w:szCs w:val="32"/>
        </w:rPr>
        <w:t>万元，增加人员导致增加基本工资等人员经费和公用经费；支出包括：</w:t>
      </w:r>
      <w:r>
        <w:rPr>
          <w:rFonts w:hint="eastAsia" w:ascii="仿宋_GB2312" w:hAnsi="仿宋" w:eastAsia="仿宋_GB2312" w:cs="仿宋"/>
          <w:sz w:val="32"/>
          <w:szCs w:val="32"/>
        </w:rPr>
        <w:t>支出预算</w:t>
      </w:r>
      <w:r>
        <w:rPr>
          <w:rFonts w:hint="eastAsia" w:ascii="仿宋_GB2312" w:hAnsi="仿宋_GB2312" w:eastAsia="仿宋_GB2312"/>
          <w:color w:val="000000" w:themeColor="text1"/>
          <w:sz w:val="32"/>
          <w:szCs w:val="32"/>
          <w:lang w:val="en-US" w:eastAsia="zh-CN"/>
        </w:rPr>
        <w:t>313.95</w:t>
      </w:r>
      <w:r>
        <w:rPr>
          <w:rFonts w:hint="eastAsia" w:ascii="仿宋_GB2312" w:hAnsi="仿宋" w:eastAsia="仿宋_GB2312" w:cs="仿宋"/>
          <w:sz w:val="32"/>
          <w:szCs w:val="32"/>
        </w:rPr>
        <w:t>万元，其中：一般公共服务支出</w:t>
      </w:r>
      <w:r>
        <w:rPr>
          <w:rFonts w:hint="eastAsia" w:ascii="仿宋_GB2312" w:hAnsi="仿宋" w:eastAsia="仿宋_GB2312" w:cs="仿宋"/>
          <w:color w:val="000000" w:themeColor="text1"/>
          <w:sz w:val="32"/>
          <w:szCs w:val="32"/>
          <w:lang w:val="en-US" w:eastAsia="zh-CN"/>
        </w:rPr>
        <w:t>250.52</w:t>
      </w:r>
      <w:r>
        <w:rPr>
          <w:rFonts w:hint="eastAsia" w:ascii="仿宋_GB2312" w:hAnsi="仿宋" w:eastAsia="仿宋_GB2312" w:cs="仿宋"/>
          <w:sz w:val="32"/>
          <w:szCs w:val="32"/>
        </w:rPr>
        <w:t>万元，社会保障和就业支出</w:t>
      </w:r>
      <w:r>
        <w:rPr>
          <w:rFonts w:hint="eastAsia" w:ascii="仿宋_GB2312" w:hAnsi="仿宋" w:eastAsia="仿宋_GB2312" w:cs="仿宋"/>
          <w:color w:val="000000" w:themeColor="text1"/>
          <w:sz w:val="32"/>
          <w:szCs w:val="32"/>
          <w:lang w:val="en-US" w:eastAsia="zh-CN"/>
        </w:rPr>
        <w:t>39.3</w:t>
      </w:r>
      <w:r>
        <w:rPr>
          <w:rFonts w:hint="eastAsia" w:ascii="仿宋_GB2312" w:hAnsi="仿宋" w:eastAsia="仿宋_GB2312" w:cs="仿宋"/>
          <w:sz w:val="32"/>
          <w:szCs w:val="32"/>
        </w:rPr>
        <w:t>万元，卫生健康支出</w:t>
      </w:r>
      <w:r>
        <w:rPr>
          <w:rFonts w:hint="eastAsia" w:ascii="仿宋_GB2312" w:hAnsi="仿宋" w:eastAsia="仿宋_GB2312" w:cs="仿宋"/>
          <w:color w:val="000000" w:themeColor="text1"/>
          <w:sz w:val="32"/>
          <w:szCs w:val="32"/>
          <w:lang w:val="en-US" w:eastAsia="zh-CN"/>
        </w:rPr>
        <w:t>8</w:t>
      </w:r>
      <w:r>
        <w:rPr>
          <w:rFonts w:hint="eastAsia" w:ascii="仿宋_GB2312" w:hAnsi="仿宋" w:eastAsia="仿宋_GB2312" w:cs="仿宋"/>
          <w:sz w:val="32"/>
          <w:szCs w:val="32"/>
        </w:rPr>
        <w:t>万元，住房保障支出</w:t>
      </w:r>
      <w:r>
        <w:rPr>
          <w:rFonts w:hint="eastAsia" w:ascii="仿宋_GB2312" w:hAnsi="仿宋" w:eastAsia="仿宋_GB2312" w:cs="仿宋"/>
          <w:color w:val="000000" w:themeColor="text1"/>
          <w:sz w:val="32"/>
          <w:szCs w:val="32"/>
          <w:lang w:val="en-US" w:eastAsia="zh-CN"/>
        </w:rPr>
        <w:t>16.14</w:t>
      </w:r>
      <w:r>
        <w:rPr>
          <w:rFonts w:hint="eastAsia" w:ascii="仿宋_GB2312" w:hAnsi="仿宋" w:eastAsia="仿宋_GB2312" w:cs="仿宋"/>
          <w:sz w:val="32"/>
          <w:szCs w:val="32"/>
        </w:rPr>
        <w:t>万元。</w:t>
      </w:r>
      <w:r>
        <w:rPr>
          <w:rFonts w:hint="eastAsia" w:ascii="仿宋_GB2312" w:hAnsi="仿宋_GB2312" w:eastAsia="仿宋_GB2312"/>
          <w:sz w:val="32"/>
          <w:szCs w:val="32"/>
        </w:rPr>
        <w:t>比202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年预算数增加</w:t>
      </w:r>
      <w:r>
        <w:rPr>
          <w:rFonts w:hint="eastAsia" w:ascii="仿宋_GB2312" w:hAnsi="仿宋_GB2312" w:eastAsia="仿宋_GB2312"/>
          <w:color w:val="000000" w:themeColor="text1"/>
          <w:sz w:val="32"/>
          <w:szCs w:val="32"/>
          <w:lang w:val="en-US" w:eastAsia="zh-CN"/>
        </w:rPr>
        <w:t>6.95</w:t>
      </w:r>
      <w:r>
        <w:rPr>
          <w:rFonts w:hint="eastAsia" w:ascii="仿宋_GB2312" w:hAnsi="仿宋_GB2312" w:eastAsia="仿宋_GB2312"/>
          <w:sz w:val="32"/>
          <w:szCs w:val="32"/>
        </w:rPr>
        <w:t>万元，主要是用于宗教场所维修补助、统战代表人士学习考察、新增人员支出共计增加</w:t>
      </w:r>
      <w:r>
        <w:rPr>
          <w:rFonts w:hint="eastAsia" w:ascii="仿宋_GB2312" w:hAnsi="仿宋_GB2312" w:eastAsia="仿宋_GB2312"/>
          <w:color w:val="000000" w:themeColor="text1"/>
          <w:sz w:val="32"/>
          <w:szCs w:val="32"/>
          <w:lang w:val="en-US" w:eastAsia="zh-CN"/>
        </w:rPr>
        <w:t>6.95</w:t>
      </w:r>
      <w:r>
        <w:rPr>
          <w:rFonts w:hint="eastAsia" w:ascii="仿宋_GB2312" w:hAnsi="仿宋_GB2312" w:eastAsia="仿宋_GB2312"/>
          <w:sz w:val="32"/>
          <w:szCs w:val="32"/>
        </w:rPr>
        <w:t>万元。</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年收支总预算</w:t>
      </w:r>
      <w:r>
        <w:rPr>
          <w:rFonts w:hint="eastAsia" w:ascii="仿宋_GB2312" w:hAnsi="仿宋_GB2312" w:eastAsia="仿宋_GB2312"/>
          <w:color w:val="000000" w:themeColor="text1"/>
          <w:sz w:val="32"/>
          <w:szCs w:val="32"/>
          <w:lang w:val="en-US" w:eastAsia="zh-CN"/>
        </w:rPr>
        <w:t>313.95</w:t>
      </w:r>
      <w:r>
        <w:rPr>
          <w:rFonts w:hint="eastAsia" w:ascii="仿宋_GB2312" w:hAnsi="仿宋_GB2312" w:eastAsia="仿宋_GB2312"/>
          <w:sz w:val="32"/>
          <w:szCs w:val="32"/>
        </w:rPr>
        <w:t>万元。</w:t>
      </w:r>
    </w:p>
    <w:p w14:paraId="2D3D2A06">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14:paraId="541EFEF5">
      <w:pPr>
        <w:adjustRightInd w:val="0"/>
        <w:snapToGrid w:val="0"/>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5</w:t>
      </w:r>
      <w:r>
        <w:rPr>
          <w:rFonts w:ascii="仿宋_GB2312" w:hAnsi="仿宋_GB2312" w:eastAsia="仿宋_GB2312"/>
          <w:sz w:val="32"/>
          <w:szCs w:val="32"/>
        </w:rPr>
        <w:t>年收入预算</w:t>
      </w:r>
      <w:r>
        <w:rPr>
          <w:rFonts w:hint="eastAsia" w:ascii="仿宋_GB2312" w:hAnsi="仿宋_GB2312" w:eastAsia="仿宋_GB2312"/>
          <w:color w:val="000000" w:themeColor="text1"/>
          <w:sz w:val="32"/>
          <w:szCs w:val="32"/>
          <w:lang w:val="en-US" w:eastAsia="zh-CN"/>
        </w:rPr>
        <w:t>313.95</w:t>
      </w:r>
      <w:r>
        <w:rPr>
          <w:rFonts w:hint="eastAsia" w:ascii="仿宋_GB2312" w:hAnsi="仿宋_GB2312" w:eastAsia="仿宋_GB2312"/>
          <w:sz w:val="32"/>
          <w:szCs w:val="32"/>
        </w:rPr>
        <w:t>万元</w:t>
      </w:r>
      <w:r>
        <w:rPr>
          <w:rFonts w:ascii="仿宋_GB2312" w:hAnsi="仿宋_GB2312" w:eastAsia="仿宋_GB2312"/>
          <w:sz w:val="32"/>
          <w:szCs w:val="32"/>
        </w:rPr>
        <w:t>，其中：一般公共预算拨款收入</w:t>
      </w:r>
      <w:r>
        <w:rPr>
          <w:rFonts w:hint="eastAsia" w:ascii="仿宋_GB2312" w:hAnsi="仿宋_GB2312" w:eastAsia="仿宋_GB2312"/>
          <w:color w:val="000000" w:themeColor="text1"/>
          <w:sz w:val="32"/>
          <w:szCs w:val="32"/>
          <w:lang w:val="en-US" w:eastAsia="zh-CN"/>
        </w:rPr>
        <w:t>313.95</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sz w:val="32"/>
          <w:szCs w:val="32"/>
        </w:rPr>
        <w:t>100</w:t>
      </w:r>
      <w:r>
        <w:rPr>
          <w:rFonts w:ascii="仿宋_GB2312" w:hAnsi="仿宋_GB2312" w:eastAsia="仿宋_GB2312"/>
          <w:sz w:val="32"/>
          <w:szCs w:val="32"/>
        </w:rPr>
        <w:t>%。</w:t>
      </w:r>
    </w:p>
    <w:p w14:paraId="6E5B50F1">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14:paraId="2A5F0D2A">
      <w:pPr>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w:t>
      </w:r>
      <w:r>
        <w:rPr>
          <w:rFonts w:hint="eastAsia" w:ascii="仿宋_GB2312" w:hAnsi="仿宋_GB2312" w:eastAsia="仿宋_GB2312"/>
          <w:sz w:val="32"/>
          <w:szCs w:val="32"/>
          <w:lang w:val="en-US" w:eastAsia="zh-CN"/>
        </w:rPr>
        <w:t>5</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313.95</w:t>
      </w:r>
      <w:r>
        <w:rPr>
          <w:rFonts w:hint="eastAsia" w:ascii="仿宋_GB2312" w:hAnsi="仿宋_GB2312" w:eastAsia="仿宋_GB2312"/>
          <w:sz w:val="32"/>
          <w:szCs w:val="32"/>
        </w:rPr>
        <w:t>万元</w:t>
      </w:r>
      <w:r>
        <w:rPr>
          <w:rFonts w:ascii="仿宋_GB2312" w:hAnsi="仿宋_GB2312" w:eastAsia="仿宋_GB2312"/>
          <w:sz w:val="32"/>
          <w:szCs w:val="32"/>
        </w:rPr>
        <w:t>，其中：基本支出</w:t>
      </w:r>
      <w:r>
        <w:rPr>
          <w:rFonts w:hint="eastAsia" w:ascii="仿宋_GB2312" w:hAnsi="仿宋_GB2312" w:eastAsia="仿宋_GB2312"/>
          <w:color w:val="000000" w:themeColor="text1"/>
          <w:sz w:val="32"/>
          <w:szCs w:val="32"/>
          <w:lang w:val="en-US" w:eastAsia="zh-CN"/>
        </w:rPr>
        <w:t>226.93</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color w:val="000000" w:themeColor="text1"/>
          <w:sz w:val="32"/>
          <w:szCs w:val="32"/>
          <w:lang w:val="en-US" w:eastAsia="zh-CN"/>
        </w:rPr>
        <w:t>72</w:t>
      </w:r>
      <w:r>
        <w:rPr>
          <w:rFonts w:hint="eastAsia" w:ascii="仿宋_GB2312" w:hAnsi="仿宋_GB2312" w:eastAsia="仿宋_GB2312"/>
          <w:sz w:val="32"/>
          <w:szCs w:val="32"/>
        </w:rPr>
        <w:t>%</w:t>
      </w:r>
      <w:r>
        <w:rPr>
          <w:rFonts w:ascii="仿宋_GB2312" w:hAnsi="仿宋_GB2312" w:eastAsia="仿宋_GB2312"/>
          <w:sz w:val="32"/>
          <w:szCs w:val="32"/>
        </w:rPr>
        <w:t>；项目支出</w:t>
      </w:r>
      <w:r>
        <w:rPr>
          <w:rFonts w:hint="eastAsia" w:ascii="仿宋_GB2312" w:hAnsi="仿宋_GB2312" w:eastAsia="仿宋_GB2312"/>
          <w:color w:val="000000" w:themeColor="text1"/>
          <w:sz w:val="32"/>
          <w:szCs w:val="32"/>
          <w:lang w:val="en-US" w:eastAsia="zh-CN"/>
        </w:rPr>
        <w:t>87.12</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color w:val="000000" w:themeColor="text1"/>
          <w:sz w:val="32"/>
          <w:szCs w:val="32"/>
          <w:lang w:val="en-US" w:eastAsia="zh-CN"/>
        </w:rPr>
        <w:t>28</w:t>
      </w:r>
      <w:r>
        <w:rPr>
          <w:rFonts w:hint="eastAsia" w:ascii="仿宋_GB2312" w:hAnsi="仿宋_GB2312" w:eastAsia="仿宋_GB2312"/>
          <w:sz w:val="32"/>
          <w:szCs w:val="32"/>
        </w:rPr>
        <w:t>%</w:t>
      </w:r>
      <w:r>
        <w:rPr>
          <w:rFonts w:ascii="仿宋_GB2312" w:hAnsi="仿宋_GB2312" w:eastAsia="仿宋_GB2312"/>
          <w:sz w:val="32"/>
          <w:szCs w:val="32"/>
        </w:rPr>
        <w:t>。</w:t>
      </w:r>
    </w:p>
    <w:p w14:paraId="40CA2B45">
      <w:pPr>
        <w:spacing w:line="560" w:lineRule="exact"/>
        <w:ind w:firstLine="560" w:firstLineChars="175"/>
        <w:rPr>
          <w:rFonts w:ascii="仿宋_GB2312" w:hAnsi="仿宋_GB2312" w:eastAsia="仿宋_GB2312"/>
          <w:sz w:val="32"/>
          <w:szCs w:val="32"/>
        </w:rPr>
      </w:pPr>
      <w:r>
        <w:rPr>
          <w:rFonts w:hint="eastAsia" w:ascii="黑体" w:hAnsi="黑体" w:eastAsia="黑体" w:cs="黑体"/>
          <w:sz w:val="32"/>
          <w:szCs w:val="32"/>
        </w:rPr>
        <w:t>四、财政拨款收支预算情况说明</w:t>
      </w:r>
    </w:p>
    <w:p w14:paraId="10555419">
      <w:pPr>
        <w:spacing w:line="560" w:lineRule="exact"/>
        <w:ind w:firstLine="560" w:firstLineChars="175"/>
        <w:rPr>
          <w:rFonts w:asci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年财政拨款收支总预算</w:t>
      </w:r>
      <w:r>
        <w:rPr>
          <w:rFonts w:hint="eastAsia" w:ascii="仿宋_GB2312" w:hAnsi="仿宋_GB2312" w:eastAsia="仿宋_GB2312"/>
          <w:color w:val="000000" w:themeColor="text1"/>
          <w:sz w:val="32"/>
          <w:szCs w:val="32"/>
          <w:lang w:val="en-US" w:eastAsia="zh-CN"/>
        </w:rPr>
        <w:t>313.95</w:t>
      </w:r>
      <w:r>
        <w:rPr>
          <w:rFonts w:hint="eastAsia" w:ascii="仿宋_GB2312" w:hAnsi="仿宋_GB2312" w:eastAsia="仿宋_GB2312"/>
          <w:sz w:val="32"/>
          <w:szCs w:val="32"/>
        </w:rPr>
        <w:t>万元。</w:t>
      </w:r>
      <w:r>
        <w:rPr>
          <w:rFonts w:hint="eastAsia" w:ascii="仿宋_GB2312" w:eastAsia="仿宋_GB2312"/>
          <w:color w:val="000000"/>
          <w:sz w:val="32"/>
          <w:szCs w:val="32"/>
        </w:rPr>
        <w:t>比202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年财政拨款收支总预算</w:t>
      </w:r>
      <w:r>
        <w:rPr>
          <w:rFonts w:hint="eastAsia" w:ascii="仿宋_GB2312" w:eastAsia="仿宋_GB2312"/>
          <w:sz w:val="32"/>
          <w:szCs w:val="32"/>
        </w:rPr>
        <w:t>增加</w:t>
      </w:r>
      <w:r>
        <w:rPr>
          <w:rFonts w:hint="eastAsia" w:ascii="仿宋_GB2312" w:eastAsia="仿宋_GB2312"/>
          <w:color w:val="000000" w:themeColor="text1"/>
          <w:sz w:val="32"/>
          <w:szCs w:val="32"/>
          <w:lang w:val="en-US" w:eastAsia="zh-CN"/>
        </w:rPr>
        <w:t>6.95</w:t>
      </w:r>
      <w:r>
        <w:rPr>
          <w:rFonts w:hint="eastAsia" w:ascii="仿宋_GB2312" w:eastAsia="仿宋_GB2312"/>
          <w:sz w:val="32"/>
          <w:szCs w:val="32"/>
        </w:rPr>
        <w:t>万元，</w:t>
      </w:r>
      <w:r>
        <w:rPr>
          <w:rFonts w:hint="eastAsia" w:ascii="仿宋_GB2312" w:eastAsia="仿宋_GB2312"/>
          <w:color w:val="000000"/>
          <w:sz w:val="32"/>
          <w:szCs w:val="32"/>
        </w:rPr>
        <w:t>主要是</w:t>
      </w:r>
      <w:r>
        <w:rPr>
          <w:rFonts w:hint="eastAsia" w:ascii="仿宋_GB2312" w:hAnsi="仿宋_GB2312" w:eastAsia="仿宋_GB2312"/>
          <w:sz w:val="32"/>
          <w:szCs w:val="32"/>
        </w:rPr>
        <w:t>增加人员导致增加基本工资等人员经费和公用经费</w:t>
      </w:r>
      <w:r>
        <w:rPr>
          <w:rFonts w:hint="eastAsia" w:ascii="仿宋_GB2312" w:hAnsi="仿宋_GB2312" w:eastAsia="仿宋_GB2312"/>
          <w:color w:val="000000" w:themeColor="text1"/>
          <w:sz w:val="32"/>
          <w:szCs w:val="32"/>
          <w:lang w:val="en-US" w:eastAsia="zh-CN"/>
        </w:rPr>
        <w:t>6.95</w:t>
      </w:r>
      <w:r>
        <w:rPr>
          <w:rFonts w:hint="eastAsia" w:ascii="仿宋_GB2312" w:hAnsi="仿宋_GB2312" w:eastAsia="仿宋_GB2312"/>
          <w:sz w:val="32"/>
          <w:szCs w:val="32"/>
        </w:rPr>
        <w:t>万元。</w:t>
      </w:r>
    </w:p>
    <w:p w14:paraId="68725410">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收入包括：本年一般公共预算拨款收入</w:t>
      </w:r>
      <w:r>
        <w:rPr>
          <w:rFonts w:hint="eastAsia" w:ascii="仿宋_GB2312" w:hAnsi="仿宋_GB2312" w:eastAsia="仿宋_GB2312"/>
          <w:color w:val="000000" w:themeColor="text1"/>
          <w:sz w:val="32"/>
          <w:szCs w:val="32"/>
          <w:lang w:val="en-US" w:eastAsia="zh-CN"/>
        </w:rPr>
        <w:t>313.95</w:t>
      </w:r>
      <w:r>
        <w:rPr>
          <w:rFonts w:hint="eastAsia" w:ascii="仿宋_GB2312" w:hAnsi="仿宋_GB2312" w:eastAsia="仿宋_GB2312"/>
          <w:sz w:val="32"/>
          <w:szCs w:val="32"/>
        </w:rPr>
        <w:t>万元；支出包括：</w:t>
      </w:r>
      <w:r>
        <w:rPr>
          <w:rFonts w:hint="eastAsia" w:ascii="仿宋_GB2312" w:hAnsi="仿宋" w:eastAsia="仿宋_GB2312" w:cs="仿宋"/>
          <w:sz w:val="32"/>
          <w:szCs w:val="32"/>
        </w:rPr>
        <w:t>一般公共服务支出</w:t>
      </w:r>
      <w:r>
        <w:rPr>
          <w:rFonts w:hint="eastAsia" w:ascii="仿宋_GB2312" w:hAnsi="仿宋" w:eastAsia="仿宋_GB2312" w:cs="仿宋"/>
          <w:color w:val="000000" w:themeColor="text1"/>
          <w:sz w:val="32"/>
          <w:szCs w:val="32"/>
          <w:lang w:val="en-US" w:eastAsia="zh-CN"/>
        </w:rPr>
        <w:t>250.52</w:t>
      </w:r>
      <w:r>
        <w:rPr>
          <w:rFonts w:hint="eastAsia" w:ascii="仿宋_GB2312" w:hAnsi="仿宋" w:eastAsia="仿宋_GB2312" w:cs="仿宋"/>
          <w:sz w:val="32"/>
          <w:szCs w:val="32"/>
        </w:rPr>
        <w:t>万元，社会保障和就业支出</w:t>
      </w:r>
      <w:r>
        <w:rPr>
          <w:rFonts w:hint="eastAsia" w:ascii="仿宋_GB2312" w:hAnsi="仿宋" w:eastAsia="仿宋_GB2312" w:cs="仿宋"/>
          <w:color w:val="000000" w:themeColor="text1"/>
          <w:sz w:val="32"/>
          <w:szCs w:val="32"/>
          <w:lang w:val="en-US" w:eastAsia="zh-CN"/>
        </w:rPr>
        <w:t>39.3</w:t>
      </w:r>
      <w:r>
        <w:rPr>
          <w:rFonts w:hint="eastAsia" w:ascii="仿宋_GB2312" w:hAnsi="仿宋" w:eastAsia="仿宋_GB2312" w:cs="仿宋"/>
          <w:sz w:val="32"/>
          <w:szCs w:val="32"/>
        </w:rPr>
        <w:t>万元，卫生健康支出</w:t>
      </w:r>
      <w:r>
        <w:rPr>
          <w:rFonts w:hint="eastAsia" w:ascii="仿宋_GB2312" w:hAnsi="仿宋" w:eastAsia="仿宋_GB2312" w:cs="仿宋"/>
          <w:color w:val="000000" w:themeColor="text1"/>
          <w:sz w:val="32"/>
          <w:szCs w:val="32"/>
          <w:lang w:val="en-US" w:eastAsia="zh-CN"/>
        </w:rPr>
        <w:t>8</w:t>
      </w:r>
      <w:r>
        <w:rPr>
          <w:rFonts w:hint="eastAsia" w:ascii="仿宋_GB2312" w:hAnsi="仿宋" w:eastAsia="仿宋_GB2312" w:cs="仿宋"/>
          <w:sz w:val="32"/>
          <w:szCs w:val="32"/>
        </w:rPr>
        <w:t>万元，住房保障支出</w:t>
      </w:r>
      <w:r>
        <w:rPr>
          <w:rFonts w:hint="eastAsia" w:ascii="仿宋_GB2312" w:hAnsi="仿宋" w:eastAsia="仿宋_GB2312" w:cs="仿宋"/>
          <w:color w:val="000000" w:themeColor="text1"/>
          <w:sz w:val="32"/>
          <w:szCs w:val="32"/>
          <w:lang w:val="en-US" w:eastAsia="zh-CN"/>
        </w:rPr>
        <w:t>16.14</w:t>
      </w:r>
      <w:r>
        <w:rPr>
          <w:rFonts w:hint="eastAsia" w:ascii="仿宋_GB2312" w:hAnsi="仿宋" w:eastAsia="仿宋_GB2312" w:cs="仿宋"/>
          <w:sz w:val="32"/>
          <w:szCs w:val="32"/>
        </w:rPr>
        <w:t>万元。</w:t>
      </w:r>
    </w:p>
    <w:p w14:paraId="111DAA66">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五、一般公共预算当年拨款情况说明</w:t>
      </w:r>
    </w:p>
    <w:p w14:paraId="26650B1E">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14:paraId="67B649C4">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年一般公共预算当年拨款</w:t>
      </w:r>
      <w:r>
        <w:rPr>
          <w:rFonts w:hint="eastAsia" w:ascii="仿宋_GB2312" w:hAnsi="仿宋_GB2312" w:eastAsia="仿宋_GB2312"/>
          <w:color w:val="000000" w:themeColor="text1"/>
          <w:sz w:val="32"/>
          <w:szCs w:val="32"/>
          <w:lang w:val="en-US" w:eastAsia="zh-CN"/>
        </w:rPr>
        <w:t>313.95</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年预算数增加</w:t>
      </w:r>
      <w:r>
        <w:rPr>
          <w:rFonts w:hint="eastAsia" w:ascii="仿宋_GB2312" w:hAnsi="仿宋_GB2312" w:eastAsia="仿宋_GB2312"/>
          <w:color w:val="000000" w:themeColor="text1"/>
          <w:sz w:val="32"/>
          <w:szCs w:val="32"/>
          <w:lang w:val="en-US" w:eastAsia="zh-CN"/>
        </w:rPr>
        <w:t>6.95</w:t>
      </w:r>
      <w:r>
        <w:rPr>
          <w:rFonts w:hint="eastAsia" w:ascii="仿宋_GB2312" w:hAnsi="仿宋_GB2312" w:eastAsia="仿宋_GB2312"/>
          <w:sz w:val="32"/>
          <w:szCs w:val="32"/>
        </w:rPr>
        <w:t>万元，增加人员导致增加基本工资等人员经费和公用经费</w:t>
      </w:r>
      <w:r>
        <w:rPr>
          <w:rFonts w:hint="eastAsia" w:ascii="仿宋_GB2312" w:hAnsi="仿宋_GB2312" w:eastAsia="仿宋_GB2312"/>
          <w:color w:val="000000" w:themeColor="text1"/>
          <w:sz w:val="32"/>
          <w:szCs w:val="32"/>
          <w:lang w:val="en-US" w:eastAsia="zh-CN"/>
        </w:rPr>
        <w:t>6.95</w:t>
      </w:r>
      <w:r>
        <w:rPr>
          <w:rFonts w:hint="eastAsia" w:ascii="仿宋_GB2312" w:hAnsi="仿宋_GB2312" w:eastAsia="仿宋_GB2312"/>
          <w:sz w:val="32"/>
          <w:szCs w:val="32"/>
        </w:rPr>
        <w:t>万元。</w:t>
      </w:r>
    </w:p>
    <w:p w14:paraId="45F66935">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14:paraId="4DEBDC58">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一般公共服务支出</w:t>
      </w:r>
      <w:r>
        <w:rPr>
          <w:rFonts w:hint="eastAsia" w:ascii="仿宋_GB2312" w:hAnsi="仿宋_GB2312" w:eastAsia="仿宋_GB2312"/>
          <w:color w:val="000000" w:themeColor="text1"/>
          <w:sz w:val="32"/>
          <w:szCs w:val="32"/>
          <w:lang w:val="en-US" w:eastAsia="zh-CN"/>
        </w:rPr>
        <w:t>250.52</w:t>
      </w:r>
      <w:r>
        <w:rPr>
          <w:rFonts w:hint="eastAsia" w:ascii="仿宋_GB2312" w:hAnsi="仿宋_GB2312" w:eastAsia="仿宋_GB2312"/>
          <w:sz w:val="32"/>
          <w:szCs w:val="32"/>
        </w:rPr>
        <w:t>万元，占</w:t>
      </w:r>
      <w:r>
        <w:rPr>
          <w:rFonts w:hint="eastAsia" w:ascii="仿宋_GB2312" w:hAnsi="仿宋_GB2312" w:eastAsia="仿宋_GB2312"/>
          <w:color w:val="000000" w:themeColor="text1"/>
          <w:sz w:val="32"/>
          <w:szCs w:val="32"/>
          <w:lang w:val="en-US" w:eastAsia="zh-CN"/>
        </w:rPr>
        <w:t>79</w:t>
      </w:r>
      <w:r>
        <w:rPr>
          <w:rFonts w:hint="eastAsia" w:ascii="仿宋_GB2312" w:hAnsi="仿宋_GB2312" w:eastAsia="仿宋_GB2312"/>
          <w:sz w:val="32"/>
          <w:szCs w:val="32"/>
        </w:rPr>
        <w:t>%；</w:t>
      </w:r>
      <w:r>
        <w:rPr>
          <w:rFonts w:hint="eastAsia" w:ascii="仿宋_GB2312" w:hAnsi="仿宋" w:eastAsia="仿宋_GB2312" w:cs="仿宋"/>
          <w:sz w:val="32"/>
          <w:szCs w:val="32"/>
        </w:rPr>
        <w:t>社会保障和就业支出</w:t>
      </w:r>
      <w:r>
        <w:rPr>
          <w:rFonts w:hint="eastAsia" w:ascii="仿宋_GB2312" w:hAnsi="仿宋" w:eastAsia="仿宋_GB2312" w:cs="仿宋"/>
          <w:color w:val="000000" w:themeColor="text1"/>
          <w:sz w:val="32"/>
          <w:szCs w:val="32"/>
          <w:lang w:val="en-US" w:eastAsia="zh-CN"/>
        </w:rPr>
        <w:t>39.3</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lang w:val="en-US" w:eastAsia="zh-CN"/>
        </w:rPr>
        <w:t>13</w:t>
      </w:r>
      <w:r>
        <w:rPr>
          <w:rFonts w:hint="eastAsia" w:ascii="仿宋_GB2312" w:hAnsi="仿宋" w:eastAsia="仿宋_GB2312" w:cs="仿宋"/>
          <w:sz w:val="32"/>
          <w:szCs w:val="32"/>
        </w:rPr>
        <w:t>%，卫生健康支出</w:t>
      </w:r>
      <w:r>
        <w:rPr>
          <w:rFonts w:hint="eastAsia" w:ascii="仿宋_GB2312" w:hAnsi="仿宋" w:eastAsia="仿宋_GB2312" w:cs="仿宋"/>
          <w:color w:val="000000" w:themeColor="text1"/>
          <w:sz w:val="32"/>
          <w:szCs w:val="32"/>
          <w:lang w:val="en-US" w:eastAsia="zh-CN"/>
        </w:rPr>
        <w:t>8</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lang w:val="en-US" w:eastAsia="zh-CN"/>
        </w:rPr>
        <w:t>3</w:t>
      </w:r>
      <w:r>
        <w:rPr>
          <w:rFonts w:hint="eastAsia" w:ascii="仿宋_GB2312" w:hAnsi="仿宋" w:eastAsia="仿宋_GB2312" w:cs="仿宋"/>
          <w:sz w:val="32"/>
          <w:szCs w:val="32"/>
        </w:rPr>
        <w:t>%，住房保障支出</w:t>
      </w:r>
      <w:r>
        <w:rPr>
          <w:rFonts w:hint="eastAsia" w:ascii="仿宋_GB2312" w:hAnsi="仿宋" w:eastAsia="仿宋_GB2312" w:cs="仿宋"/>
          <w:color w:val="000000" w:themeColor="text1"/>
          <w:sz w:val="32"/>
          <w:szCs w:val="32"/>
          <w:lang w:val="en-US" w:eastAsia="zh-CN"/>
        </w:rPr>
        <w:t>16.14</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lang w:val="en-US" w:eastAsia="zh-CN"/>
        </w:rPr>
        <w:t>5</w:t>
      </w:r>
      <w:r>
        <w:rPr>
          <w:rFonts w:hint="eastAsia" w:ascii="仿宋_GB2312" w:hAnsi="仿宋" w:eastAsia="仿宋_GB2312" w:cs="仿宋"/>
          <w:sz w:val="32"/>
          <w:szCs w:val="32"/>
        </w:rPr>
        <w:t>%。</w:t>
      </w:r>
    </w:p>
    <w:p w14:paraId="4D53F52F">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14:paraId="48E32B14">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1.一般公共服务（类）</w:t>
      </w:r>
    </w:p>
    <w:p w14:paraId="2962181D">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民族事务（款）民族工作专项（支出项）202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rPr>
        <w:t>5.00</w:t>
      </w:r>
      <w:r>
        <w:rPr>
          <w:rFonts w:hint="eastAsia" w:ascii="仿宋_GB2312" w:hAnsi="仿宋_GB2312" w:eastAsia="仿宋_GB2312"/>
          <w:sz w:val="32"/>
          <w:szCs w:val="32"/>
        </w:rPr>
        <w:t>万元，主要用于开展我区少数民族工作发生的支出。</w:t>
      </w:r>
    </w:p>
    <w:p w14:paraId="5875ACAB">
      <w:pPr>
        <w:pStyle w:val="21"/>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统战事务（款）行政运行（支出项）202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163.4</w:t>
      </w:r>
      <w:r>
        <w:rPr>
          <w:rFonts w:hint="eastAsia" w:ascii="仿宋_GB2312" w:hAnsi="仿宋_GB2312" w:eastAsia="仿宋_GB2312"/>
          <w:sz w:val="32"/>
          <w:szCs w:val="32"/>
        </w:rPr>
        <w:t>万元，主要用于区委统战部机关公务人员运行的基本工资、津补贴、奖金、办公费、印刷费、邮电费、差旅费、会议费、公务接待费、劳务费、工会经费、其他交通运行维护费、其他商品和服务支出、退休费、医疗费。</w:t>
      </w:r>
    </w:p>
    <w:p w14:paraId="3BB13B01">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统战事务（款）一般行政管理事务（支出项）202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3</w:t>
      </w:r>
      <w:r>
        <w:rPr>
          <w:rFonts w:hint="eastAsia" w:ascii="仿宋_GB2312" w:hAnsi="仿宋_GB2312" w:eastAsia="仿宋_GB2312"/>
          <w:sz w:val="32"/>
          <w:szCs w:val="32"/>
        </w:rPr>
        <w:t>万元，主要用于组织我区统战成员开展学习培训、考察调研工作经费；主要用于</w:t>
      </w:r>
      <w:r>
        <w:rPr>
          <w:rFonts w:hint="eastAsia" w:ascii="仿宋_GB2312" w:eastAsia="仿宋_GB2312"/>
          <w:sz w:val="32"/>
          <w:szCs w:val="32"/>
        </w:rPr>
        <w:t>贯彻落实党和国家的对台方针政策，协调对台经贸工作和各领域交流合作事宜，联系服务我区台胞台属促进两岸交流，进一步扩大罗江对外交流合作</w:t>
      </w:r>
      <w:r>
        <w:rPr>
          <w:rFonts w:hint="eastAsia" w:ascii="仿宋_GB2312" w:hAnsi="仿宋_GB2312" w:eastAsia="仿宋_GB2312"/>
          <w:sz w:val="32"/>
          <w:szCs w:val="32"/>
        </w:rPr>
        <w:t>。</w:t>
      </w:r>
    </w:p>
    <w:p w14:paraId="0AAF91D3">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统战事务（款）宗教事务（支出项）202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14.12</w:t>
      </w:r>
      <w:r>
        <w:rPr>
          <w:rFonts w:hint="eastAsia" w:ascii="仿宋_GB2312" w:hAnsi="仿宋_GB2312" w:eastAsia="仿宋_GB2312"/>
          <w:sz w:val="32"/>
          <w:szCs w:val="32"/>
        </w:rPr>
        <w:t>万元，主要用于我区民族宗教界代表人士生活补助、宗教场所维修补助专项经费、宗教工作经费；支持和指导民主党派、工商联等统战成员开展学习、调研活动；好宗教领域各项工作，促进我区宗教工作有序开展，社会和谐稳定。</w:t>
      </w:r>
    </w:p>
    <w:p w14:paraId="0E7CEBB4">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统战事务（款）其他统战事务支出（支出项）202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65</w:t>
      </w:r>
      <w:r>
        <w:rPr>
          <w:rFonts w:hint="eastAsia" w:ascii="仿宋_GB2312" w:hAnsi="仿宋_GB2312" w:eastAsia="仿宋_GB2312"/>
          <w:sz w:val="32"/>
          <w:szCs w:val="32"/>
        </w:rPr>
        <w:t>万元，主要用于我区民族宗教界代表人士生活补助、宗教场所维修补助专项经费、宗教工作经费。</w:t>
      </w:r>
    </w:p>
    <w:p w14:paraId="2BA2DA77">
      <w:pPr>
        <w:pStyle w:val="21"/>
        <w:spacing w:line="560" w:lineRule="exact"/>
        <w:ind w:firstLine="560" w:firstLineChars="175"/>
      </w:pPr>
      <w:r>
        <w:rPr>
          <w:rFonts w:hint="eastAsia" w:ascii="仿宋_GB2312" w:hAnsi="仿宋_GB2312" w:eastAsia="仿宋_GB2312"/>
          <w:color w:val="auto"/>
          <w:sz w:val="32"/>
          <w:szCs w:val="32"/>
        </w:rPr>
        <w:t>统战事务（款）事业运行（支出项）202</w:t>
      </w:r>
      <w:r>
        <w:rPr>
          <w:rFonts w:hint="eastAsia" w:ascii="仿宋_GB2312" w:hAnsi="仿宋_GB2312" w:eastAsia="仿宋_GB2312"/>
          <w:color w:val="auto"/>
          <w:sz w:val="32"/>
          <w:szCs w:val="32"/>
          <w:lang w:val="en-US" w:eastAsia="zh-CN"/>
        </w:rPr>
        <w:t>5</w:t>
      </w:r>
      <w:r>
        <w:rPr>
          <w:rFonts w:hint="eastAsia" w:ascii="仿宋_GB2312" w:hAnsi="仿宋_GB2312" w:eastAsia="仿宋_GB2312"/>
          <w:color w:val="auto"/>
          <w:sz w:val="32"/>
          <w:szCs w:val="32"/>
        </w:rPr>
        <w:t>年预算数为</w:t>
      </w:r>
      <w:r>
        <w:rPr>
          <w:rFonts w:hint="eastAsia" w:ascii="仿宋_GB2312" w:hAnsi="仿宋_GB2312" w:eastAsia="仿宋_GB2312"/>
          <w:color w:val="000000" w:themeColor="text1"/>
          <w:sz w:val="32"/>
          <w:szCs w:val="32"/>
          <w:lang w:val="en-US" w:eastAsia="zh-CN"/>
        </w:rPr>
        <w:t>61.05</w:t>
      </w:r>
      <w:r>
        <w:rPr>
          <w:rFonts w:hint="eastAsia" w:ascii="仿宋_GB2312" w:hAnsi="仿宋_GB2312" w:eastAsia="仿宋_GB2312"/>
          <w:color w:val="auto"/>
          <w:sz w:val="32"/>
          <w:szCs w:val="32"/>
        </w:rPr>
        <w:t>万元，</w:t>
      </w:r>
      <w:r>
        <w:rPr>
          <w:rFonts w:hint="eastAsia" w:ascii="仿宋_GB2312" w:hAnsi="仿宋_GB2312" w:eastAsia="仿宋_GB2312"/>
          <w:sz w:val="32"/>
          <w:szCs w:val="32"/>
        </w:rPr>
        <w:t>主要用于区委统战部机关事业人员运行的基本工资、津补贴、奖金、办公费、印刷费、邮电费、差旅费、会议费、公务接待费、劳务费、工会经费、其他交通运行维护费、其他商品和服务支出、退休费、医疗费。</w:t>
      </w:r>
    </w:p>
    <w:p w14:paraId="5F804DD4">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2.社会保障和就业支出（类）</w:t>
      </w:r>
    </w:p>
    <w:p w14:paraId="0D2A671B">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行政事业单位养老保险支出（款）机关事业单位基本养老保险缴费支出（支出项）202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19.23</w:t>
      </w:r>
      <w:r>
        <w:rPr>
          <w:rFonts w:hint="eastAsia" w:ascii="仿宋_GB2312" w:hAnsi="仿宋_GB2312" w:eastAsia="仿宋_GB2312"/>
          <w:sz w:val="32"/>
          <w:szCs w:val="32"/>
        </w:rPr>
        <w:t>万元，主要用于区委统战部机关单位养老保险缴费。</w:t>
      </w:r>
    </w:p>
    <w:p w14:paraId="17E1D99E">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行政事业单位养老保险支出（款）机关事业单位职业年金缴费支出（支出项）202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9.62</w:t>
      </w:r>
      <w:r>
        <w:rPr>
          <w:rFonts w:hint="eastAsia" w:ascii="仿宋_GB2312" w:hAnsi="仿宋_GB2312" w:eastAsia="仿宋_GB2312"/>
          <w:sz w:val="32"/>
          <w:szCs w:val="32"/>
        </w:rPr>
        <w:t>万元，主要用于区委统战部机关单位职业年金缴费。</w:t>
      </w:r>
    </w:p>
    <w:p w14:paraId="384A9AB7">
      <w:pPr>
        <w:adjustRightInd w:val="0"/>
        <w:snapToGrid w:val="0"/>
        <w:spacing w:line="560" w:lineRule="exact"/>
        <w:ind w:firstLine="560" w:firstLineChars="175"/>
      </w:pPr>
      <w:r>
        <w:rPr>
          <w:rFonts w:hint="eastAsia" w:ascii="仿宋_GB2312" w:hAnsi="仿宋_GB2312" w:eastAsia="仿宋_GB2312"/>
          <w:sz w:val="32"/>
          <w:szCs w:val="32"/>
        </w:rPr>
        <w:t>行政事业单位养老保险支出（款）其他行政事业单位养老保险支出（支出项）202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10</w:t>
      </w:r>
      <w:r>
        <w:rPr>
          <w:rFonts w:hint="eastAsia" w:ascii="仿宋_GB2312" w:hAnsi="仿宋_GB2312" w:eastAsia="仿宋_GB2312"/>
          <w:sz w:val="32"/>
          <w:szCs w:val="32"/>
        </w:rPr>
        <w:t>万元，主要用于区委统战部机关离退休人员支出。</w:t>
      </w:r>
    </w:p>
    <w:p w14:paraId="034706CB">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其他社会保障和就业支出（款）其他社会保障和就业支出（支出项）202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0.45</w:t>
      </w:r>
      <w:r>
        <w:rPr>
          <w:rFonts w:hint="eastAsia" w:ascii="仿宋_GB2312" w:hAnsi="仿宋_GB2312" w:eastAsia="仿宋_GB2312"/>
          <w:sz w:val="32"/>
          <w:szCs w:val="32"/>
        </w:rPr>
        <w:t>万元，主要用于区委统战部机关离退休人员相关支出。</w:t>
      </w:r>
    </w:p>
    <w:p w14:paraId="4EA12F86">
      <w:pPr>
        <w:tabs>
          <w:tab w:val="left" w:pos="312"/>
        </w:tabs>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3.卫生健康支出</w:t>
      </w:r>
    </w:p>
    <w:p w14:paraId="618FC31A">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行政事业单位医疗（款）行政单位医疗（支出项）202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4.93</w:t>
      </w:r>
      <w:r>
        <w:rPr>
          <w:rFonts w:hint="eastAsia" w:ascii="仿宋_GB2312" w:hAnsi="仿宋_GB2312" w:eastAsia="仿宋_GB2312"/>
          <w:sz w:val="32"/>
          <w:szCs w:val="32"/>
        </w:rPr>
        <w:t>万元，主要用于区委统战部机关行政人员医疗保险缴费。</w:t>
      </w:r>
    </w:p>
    <w:p w14:paraId="134A2BF8">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行政事业单位医疗（款）事业单位医疗（支出项）202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3.07</w:t>
      </w:r>
      <w:r>
        <w:rPr>
          <w:rFonts w:hint="eastAsia" w:ascii="仿宋_GB2312" w:hAnsi="仿宋_GB2312" w:eastAsia="仿宋_GB2312"/>
          <w:sz w:val="32"/>
          <w:szCs w:val="32"/>
        </w:rPr>
        <w:t>万元，主要用于区委统战部机关事业人员医疗保险缴费。</w:t>
      </w:r>
    </w:p>
    <w:p w14:paraId="12EF92F0">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4.住房保障支出（类）</w:t>
      </w:r>
    </w:p>
    <w:p w14:paraId="55C585C6">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住房改革支出（款）住房公积金（支出项）202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年预算数为</w:t>
      </w:r>
      <w:r>
        <w:rPr>
          <w:rFonts w:hint="eastAsia" w:ascii="仿宋_GB2312" w:hAnsi="仿宋_GB2312" w:eastAsia="仿宋_GB2312"/>
          <w:color w:val="000000" w:themeColor="text1"/>
          <w:sz w:val="32"/>
          <w:szCs w:val="32"/>
          <w:lang w:val="en-US" w:eastAsia="zh-CN"/>
        </w:rPr>
        <w:t>16.14</w:t>
      </w:r>
      <w:r>
        <w:rPr>
          <w:rFonts w:hint="eastAsia" w:ascii="仿宋_GB2312" w:hAnsi="仿宋_GB2312" w:eastAsia="仿宋_GB2312"/>
          <w:sz w:val="32"/>
          <w:szCs w:val="32"/>
        </w:rPr>
        <w:t>万元，主要用于区委统战部机关住房公积金缴纳。</w:t>
      </w:r>
    </w:p>
    <w:p w14:paraId="26CF1093">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六、一般公共预算基本支出情况说明</w:t>
      </w:r>
    </w:p>
    <w:p w14:paraId="3F26BD4C">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年一般公共预算基本支出</w:t>
      </w:r>
      <w:r>
        <w:rPr>
          <w:rFonts w:hint="eastAsia" w:ascii="仿宋_GB2312" w:hAnsi="仿宋_GB2312" w:eastAsia="仿宋_GB2312"/>
          <w:color w:val="000000" w:themeColor="text1"/>
          <w:sz w:val="32"/>
          <w:szCs w:val="32"/>
          <w:lang w:val="en-US" w:eastAsia="zh-CN"/>
        </w:rPr>
        <w:t>226.83</w:t>
      </w:r>
      <w:r>
        <w:rPr>
          <w:rFonts w:hint="eastAsia" w:ascii="仿宋_GB2312" w:hAnsi="仿宋_GB2312" w:eastAsia="仿宋_GB2312"/>
          <w:sz w:val="32"/>
          <w:szCs w:val="32"/>
        </w:rPr>
        <w:t>万元，其中：</w:t>
      </w:r>
    </w:p>
    <w:p w14:paraId="4310D7AA">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人员经费</w:t>
      </w:r>
      <w:r>
        <w:rPr>
          <w:rFonts w:hint="eastAsia" w:ascii="仿宋_GB2312" w:hAnsi="仿宋_GB2312" w:eastAsia="仿宋_GB2312"/>
          <w:color w:val="000000" w:themeColor="text1"/>
          <w:sz w:val="32"/>
          <w:szCs w:val="32"/>
          <w:lang w:val="en-US" w:eastAsia="zh-CN"/>
        </w:rPr>
        <w:t>204.22</w:t>
      </w:r>
      <w:r>
        <w:rPr>
          <w:rFonts w:hint="eastAsia" w:ascii="仿宋_GB2312" w:hAnsi="仿宋_GB2312" w:eastAsia="仿宋_GB2312"/>
          <w:sz w:val="32"/>
          <w:szCs w:val="32"/>
        </w:rPr>
        <w:t>万元，主要包括：基本工资、津贴补贴、奖金、社会保险缴费、绩效工资、机关事业单位基本养老保险缴费、职业年金缴费、住房公积金支出、离退休人员生活补助。</w:t>
      </w:r>
    </w:p>
    <w:p w14:paraId="27579904">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color w:val="000000" w:themeColor="text1"/>
          <w:sz w:val="32"/>
          <w:szCs w:val="32"/>
          <w:lang w:val="en-US" w:eastAsia="zh-CN"/>
        </w:rPr>
        <w:t>22.61</w:t>
      </w:r>
      <w:r>
        <w:rPr>
          <w:rFonts w:hint="eastAsia" w:ascii="仿宋_GB2312" w:hAnsi="仿宋_GB2312" w:eastAsia="仿宋_GB2312"/>
          <w:sz w:val="32"/>
          <w:szCs w:val="32"/>
        </w:rPr>
        <w:t>元，主要包括：办公费、印刷费、水电费、邮电费、差旅费、维修（护）费、会议费、培训费、劳务费、工会经费、其他交通工具运行维护费、其他商品和服务支出。</w:t>
      </w:r>
    </w:p>
    <w:p w14:paraId="6AA0A90E">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七、“三公”经费财政拨款预算安排情况说明</w:t>
      </w:r>
    </w:p>
    <w:p w14:paraId="308B4A18">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年“三公”经费财政拨款预算数</w:t>
      </w: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en-US" w:eastAsia="zh-CN"/>
        </w:rPr>
        <w:t>7</w:t>
      </w:r>
      <w:r>
        <w:rPr>
          <w:rFonts w:hint="eastAsia" w:ascii="仿宋_GB2312" w:hAnsi="仿宋_GB2312" w:eastAsia="仿宋_GB2312"/>
          <w:color w:val="000000" w:themeColor="text1"/>
          <w:sz w:val="32"/>
          <w:szCs w:val="32"/>
        </w:rPr>
        <w:t>0</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sz w:val="32"/>
          <w:szCs w:val="32"/>
          <w:lang w:val="en-US" w:eastAsia="zh-CN"/>
        </w:rPr>
        <w:t>7</w:t>
      </w:r>
      <w:r>
        <w:rPr>
          <w:rFonts w:hint="eastAsia" w:ascii="仿宋_GB2312" w:hAnsi="仿宋_GB2312" w:eastAsia="仿宋_GB2312"/>
          <w:color w:val="000000" w:themeColor="text1"/>
          <w:sz w:val="32"/>
          <w:szCs w:val="32"/>
        </w:rPr>
        <w:t>0</w:t>
      </w:r>
      <w:r>
        <w:rPr>
          <w:rFonts w:hint="eastAsia" w:ascii="仿宋_GB2312" w:hAnsi="仿宋_GB2312" w:eastAsia="仿宋_GB2312"/>
          <w:sz w:val="32"/>
          <w:szCs w:val="32"/>
        </w:rPr>
        <w:t>万元，公务用车购置及运行维护费0万元。</w:t>
      </w:r>
    </w:p>
    <w:p w14:paraId="38ECE833">
      <w:pPr>
        <w:spacing w:line="560" w:lineRule="exact"/>
        <w:ind w:firstLine="560" w:firstLineChars="175"/>
        <w:rPr>
          <w:rFonts w:ascii="仿宋_GB2312" w:hAnsi="仿宋_GB2312" w:eastAsia="仿宋_GB2312"/>
          <w:sz w:val="32"/>
          <w:szCs w:val="32"/>
        </w:rPr>
      </w:pPr>
      <w:r>
        <w:rPr>
          <w:rFonts w:hint="eastAsia" w:ascii="楷体_GB2312" w:eastAsia="楷体_GB2312"/>
          <w:bCs/>
          <w:sz w:val="32"/>
          <w:szCs w:val="32"/>
        </w:rPr>
        <w:t>（一）因公出国（境）经费与202</w:t>
      </w:r>
      <w:r>
        <w:rPr>
          <w:rFonts w:hint="eastAsia" w:ascii="楷体_GB2312" w:eastAsia="楷体_GB2312"/>
          <w:bCs/>
          <w:sz w:val="32"/>
          <w:szCs w:val="32"/>
          <w:lang w:val="en-US" w:eastAsia="zh-CN"/>
        </w:rPr>
        <w:t>4</w:t>
      </w:r>
      <w:r>
        <w:rPr>
          <w:rFonts w:hint="eastAsia" w:ascii="楷体_GB2312" w:eastAsia="楷体_GB2312"/>
          <w:bCs/>
          <w:sz w:val="32"/>
          <w:szCs w:val="32"/>
        </w:rPr>
        <w:t>年预算持平。</w:t>
      </w:r>
      <w:r>
        <w:rPr>
          <w:rFonts w:hint="eastAsia" w:ascii="仿宋_GB2312" w:hAnsi="仿宋_GB2312" w:eastAsia="仿宋_GB2312"/>
          <w:sz w:val="32"/>
          <w:szCs w:val="32"/>
        </w:rPr>
        <w:t>主要原因是202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年未安排因公出国计划。</w:t>
      </w:r>
    </w:p>
    <w:p w14:paraId="48B7AD61">
      <w:pPr>
        <w:adjustRightInd w:val="0"/>
        <w:snapToGrid w:val="0"/>
        <w:spacing w:line="560" w:lineRule="exact"/>
        <w:ind w:firstLine="560" w:firstLineChars="175"/>
        <w:rPr>
          <w:rFonts w:ascii="仿宋_GB2312" w:hAnsi="仿宋_GB2312" w:eastAsia="仿宋_GB2312"/>
          <w:sz w:val="32"/>
          <w:szCs w:val="32"/>
        </w:rPr>
      </w:pPr>
      <w:r>
        <w:rPr>
          <w:rFonts w:hint="eastAsia" w:ascii="楷体_GB2312" w:hAnsi="仿宋_GB2312" w:eastAsia="楷体_GB2312"/>
          <w:sz w:val="32"/>
          <w:szCs w:val="32"/>
        </w:rPr>
        <w:t>（二）</w:t>
      </w:r>
      <w:r>
        <w:rPr>
          <w:rFonts w:hint="eastAsia" w:ascii="楷体_GB2312" w:eastAsia="楷体_GB2312"/>
          <w:bCs/>
          <w:sz w:val="32"/>
          <w:szCs w:val="32"/>
        </w:rPr>
        <w:t>公务接待费与202</w:t>
      </w:r>
      <w:r>
        <w:rPr>
          <w:rFonts w:hint="eastAsia" w:ascii="楷体_GB2312" w:eastAsia="楷体_GB2312"/>
          <w:bCs/>
          <w:sz w:val="32"/>
          <w:szCs w:val="32"/>
          <w:lang w:val="en-US" w:eastAsia="zh-CN"/>
        </w:rPr>
        <w:t>5</w:t>
      </w:r>
      <w:r>
        <w:rPr>
          <w:rFonts w:hint="eastAsia" w:ascii="楷体_GB2312" w:eastAsia="楷体_GB2312"/>
          <w:bCs/>
          <w:sz w:val="32"/>
          <w:szCs w:val="32"/>
        </w:rPr>
        <w:t>年预算相比减少</w:t>
      </w:r>
      <w:r>
        <w:rPr>
          <w:rFonts w:hint="eastAsia" w:ascii="楷体_GB2312" w:eastAsia="楷体_GB2312"/>
          <w:bCs/>
          <w:color w:val="000000" w:themeColor="text1"/>
          <w:sz w:val="32"/>
          <w:szCs w:val="32"/>
        </w:rPr>
        <w:t>5</w:t>
      </w:r>
      <w:r>
        <w:rPr>
          <w:rFonts w:hint="eastAsia" w:ascii="楷体_GB2312" w:eastAsia="楷体_GB2312"/>
          <w:bCs/>
          <w:sz w:val="32"/>
          <w:szCs w:val="32"/>
        </w:rPr>
        <w:t>%。</w:t>
      </w:r>
      <w:r>
        <w:rPr>
          <w:rFonts w:hint="eastAsia" w:ascii="仿宋_GB2312" w:hAnsi="仿宋_GB2312" w:eastAsia="仿宋_GB2312"/>
          <w:sz w:val="32"/>
          <w:szCs w:val="32"/>
        </w:rPr>
        <w:t>主要原因是公务接待经费方面在以前年度压缩后，本年按照压缩一般性支出要求再次压缩，202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年预计同上级统战部门对接时接待次数稍减少，导致减少</w:t>
      </w:r>
      <w:r>
        <w:rPr>
          <w:rFonts w:hint="eastAsia" w:ascii="仿宋_GB2312" w:hAnsi="仿宋_GB2312" w:eastAsia="仿宋_GB2312"/>
          <w:color w:val="000000" w:themeColor="text1"/>
          <w:sz w:val="32"/>
          <w:szCs w:val="32"/>
        </w:rPr>
        <w:t>0.10</w:t>
      </w:r>
      <w:r>
        <w:rPr>
          <w:rFonts w:hint="eastAsia" w:ascii="仿宋_GB2312" w:hAnsi="仿宋_GB2312" w:eastAsia="仿宋_GB2312"/>
          <w:sz w:val="32"/>
          <w:szCs w:val="32"/>
        </w:rPr>
        <w:t>万元经费。</w:t>
      </w:r>
    </w:p>
    <w:p w14:paraId="4597E8A5">
      <w:pPr>
        <w:adjustRightInd w:val="0"/>
        <w:snapToGrid w:val="0"/>
        <w:spacing w:line="560" w:lineRule="exact"/>
        <w:ind w:firstLine="560" w:firstLineChars="175"/>
        <w:rPr>
          <w:rFonts w:ascii="仿宋_GB2312" w:hAnsi="仿宋_GB2312" w:eastAsia="仿宋_GB2312"/>
          <w:sz w:val="32"/>
          <w:szCs w:val="32"/>
        </w:rPr>
      </w:pPr>
      <w:r>
        <w:rPr>
          <w:rFonts w:hint="eastAsia" w:ascii="楷体_GB2312" w:hAnsi="仿宋_GB2312" w:eastAsia="楷体_GB2312"/>
          <w:sz w:val="32"/>
          <w:szCs w:val="32"/>
        </w:rPr>
        <w:t>（三）</w:t>
      </w:r>
      <w:r>
        <w:rPr>
          <w:rFonts w:hint="eastAsia" w:ascii="楷体_GB2312" w:eastAsia="楷体_GB2312"/>
          <w:bCs/>
          <w:sz w:val="32"/>
          <w:szCs w:val="32"/>
        </w:rPr>
        <w:t>公务用车购置及运行维护费与202</w:t>
      </w:r>
      <w:r>
        <w:rPr>
          <w:rFonts w:hint="eastAsia" w:ascii="楷体_GB2312" w:eastAsia="楷体_GB2312"/>
          <w:bCs/>
          <w:sz w:val="32"/>
          <w:szCs w:val="32"/>
          <w:lang w:val="en-US" w:eastAsia="zh-CN"/>
        </w:rPr>
        <w:t>4</w:t>
      </w:r>
      <w:r>
        <w:rPr>
          <w:rFonts w:hint="eastAsia" w:ascii="楷体_GB2312" w:eastAsia="楷体_GB2312"/>
          <w:bCs/>
          <w:sz w:val="32"/>
          <w:szCs w:val="32"/>
        </w:rPr>
        <w:t>年预算持平。</w:t>
      </w:r>
      <w:r>
        <w:rPr>
          <w:rFonts w:hint="eastAsia" w:ascii="仿宋_GB2312" w:hAnsi="仿宋_GB2312" w:eastAsia="仿宋_GB2312"/>
          <w:sz w:val="32"/>
          <w:szCs w:val="32"/>
        </w:rPr>
        <w:t>主要原因是因公务用车改革，我单位现无公务用车。</w:t>
      </w:r>
    </w:p>
    <w:p w14:paraId="5B797AC2">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八、政府性基金预算收支情况说明</w:t>
      </w:r>
    </w:p>
    <w:p w14:paraId="182C3861">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无</w:t>
      </w:r>
    </w:p>
    <w:p w14:paraId="5307C5BA">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九、国有资本经营预算支出情况说明</w:t>
      </w:r>
    </w:p>
    <w:p w14:paraId="13F93C0F">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无</w:t>
      </w:r>
    </w:p>
    <w:p w14:paraId="7AF15DC8">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十、其他重要事项的情况说明</w:t>
      </w:r>
    </w:p>
    <w:p w14:paraId="6414EC0C">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14:paraId="571F1EBE">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的机关运行经费财政拨款预算为</w:t>
      </w:r>
      <w:r>
        <w:rPr>
          <w:rFonts w:hint="eastAsia" w:ascii="仿宋_GB2312" w:hAnsi="仿宋_GB2312" w:eastAsia="仿宋_GB2312"/>
          <w:color w:val="000000" w:themeColor="text1"/>
          <w:sz w:val="32"/>
          <w:szCs w:val="32"/>
        </w:rPr>
        <w:t>2</w:t>
      </w:r>
      <w:r>
        <w:rPr>
          <w:rFonts w:hint="eastAsia" w:ascii="仿宋_GB2312" w:hAnsi="仿宋_GB2312" w:eastAsia="仿宋_GB2312"/>
          <w:color w:val="000000" w:themeColor="text1"/>
          <w:sz w:val="32"/>
          <w:szCs w:val="32"/>
          <w:lang w:val="en-US" w:eastAsia="zh-CN"/>
        </w:rPr>
        <w:t>2.61</w:t>
      </w:r>
      <w:r>
        <w:rPr>
          <w:rFonts w:hint="eastAsia" w:ascii="仿宋_GB2312" w:hAnsi="仿宋_GB2312" w:eastAsia="仿宋_GB2312"/>
          <w:sz w:val="32"/>
          <w:szCs w:val="32"/>
        </w:rPr>
        <w:t>万元，比202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减少</w:t>
      </w:r>
      <w:r>
        <w:rPr>
          <w:rFonts w:hint="eastAsia" w:ascii="仿宋_GB2312" w:hAnsi="仿宋_GB2312" w:eastAsia="仿宋_GB2312"/>
          <w:color w:val="000000" w:themeColor="text1"/>
          <w:sz w:val="32"/>
          <w:szCs w:val="32"/>
          <w:lang w:val="en-US" w:eastAsia="zh-CN"/>
        </w:rPr>
        <w:t>3.69</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color w:val="000000" w:themeColor="text1"/>
          <w:sz w:val="32"/>
          <w:szCs w:val="32"/>
          <w:lang w:val="en-US" w:eastAsia="zh-CN"/>
        </w:rPr>
        <w:t>0.85</w:t>
      </w:r>
      <w:r>
        <w:rPr>
          <w:rFonts w:hint="eastAsia" w:ascii="仿宋_GB2312" w:hAnsi="仿宋_GB2312" w:eastAsia="仿宋_GB2312"/>
          <w:sz w:val="32"/>
          <w:szCs w:val="32"/>
        </w:rPr>
        <w:t>%，主要是</w:t>
      </w:r>
      <w:r>
        <w:rPr>
          <w:rFonts w:hint="eastAsia" w:ascii="仿宋_GB2312" w:hAnsi="仿宋_GB2312" w:eastAsia="仿宋_GB2312"/>
          <w:sz w:val="32"/>
          <w:szCs w:val="32"/>
          <w:lang w:eastAsia="zh-CN"/>
        </w:rPr>
        <w:t>经费减少</w:t>
      </w:r>
      <w:r>
        <w:rPr>
          <w:rFonts w:hint="eastAsia" w:ascii="仿宋_GB2312" w:hAnsi="仿宋_GB2312" w:eastAsia="仿宋_GB2312"/>
          <w:sz w:val="32"/>
          <w:szCs w:val="32"/>
        </w:rPr>
        <w:t>。</w:t>
      </w:r>
    </w:p>
    <w:p w14:paraId="7ACBE24C">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14:paraId="556EAB7F">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w:t>
      </w:r>
      <w:r>
        <w:rPr>
          <w:rFonts w:hint="eastAsia" w:ascii="仿宋_GB2312" w:hAnsi="仿宋" w:eastAsia="仿宋_GB2312" w:cs="仿宋"/>
          <w:sz w:val="32"/>
          <w:szCs w:val="32"/>
        </w:rPr>
        <w:t>中国共产党德阳市罗江区委员会统一战线工作部</w:t>
      </w:r>
      <w:r>
        <w:rPr>
          <w:rFonts w:hint="eastAsia" w:ascii="仿宋" w:hAnsi="仿宋" w:eastAsia="仿宋" w:cs="仿宋"/>
          <w:sz w:val="32"/>
          <w:szCs w:val="32"/>
        </w:rPr>
        <w:t>未</w:t>
      </w:r>
      <w:r>
        <w:rPr>
          <w:rFonts w:hint="eastAsia" w:ascii="仿宋_GB2312" w:hAnsi="仿宋_GB2312" w:eastAsia="仿宋_GB2312"/>
          <w:sz w:val="32"/>
          <w:szCs w:val="32"/>
        </w:rPr>
        <w:t>安排政府采购预算。</w:t>
      </w:r>
    </w:p>
    <w:p w14:paraId="560D4BB0">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14:paraId="0BDFE3E7">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截至202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年底，</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共有固定资产总额</w:t>
      </w:r>
      <w:r>
        <w:rPr>
          <w:rFonts w:hint="eastAsia" w:ascii="仿宋_GB2312" w:hAnsi="仿宋_GB2312" w:eastAsia="仿宋_GB2312"/>
          <w:color w:val="000000" w:themeColor="text1"/>
          <w:sz w:val="32"/>
          <w:szCs w:val="32"/>
        </w:rPr>
        <w:t>10.64</w:t>
      </w:r>
      <w:r>
        <w:rPr>
          <w:rFonts w:hint="eastAsia" w:ascii="仿宋_GB2312" w:hAnsi="仿宋_GB2312" w:eastAsia="仿宋_GB2312"/>
          <w:sz w:val="32"/>
          <w:szCs w:val="32"/>
        </w:rPr>
        <w:t>万元，其中公务用车0辆，房屋价值0万元，其他固定资产</w:t>
      </w:r>
      <w:r>
        <w:rPr>
          <w:rFonts w:hint="eastAsia" w:ascii="仿宋_GB2312" w:hAnsi="仿宋_GB2312" w:eastAsia="仿宋_GB2312"/>
          <w:color w:val="000000" w:themeColor="text1"/>
          <w:sz w:val="32"/>
          <w:szCs w:val="32"/>
        </w:rPr>
        <w:t>10.64</w:t>
      </w:r>
      <w:r>
        <w:rPr>
          <w:rFonts w:hint="eastAsia" w:ascii="仿宋_GB2312" w:hAnsi="仿宋_GB2312" w:eastAsia="仿宋_GB2312"/>
          <w:sz w:val="32"/>
          <w:szCs w:val="32"/>
        </w:rPr>
        <w:t>万元。</w:t>
      </w:r>
    </w:p>
    <w:p w14:paraId="35AFB22C">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年部门预算未安排购置车辆及单位价值200万元以上大型设备。</w:t>
      </w:r>
    </w:p>
    <w:p w14:paraId="5A3BB35A">
      <w:pPr>
        <w:spacing w:line="560" w:lineRule="exact"/>
        <w:ind w:firstLine="560" w:firstLineChars="175"/>
        <w:rPr>
          <w:rFonts w:ascii="仿宋_GB2312" w:hAnsi="仿宋_GB2312" w:eastAsia="仿宋_GB2312"/>
          <w:sz w:val="32"/>
          <w:szCs w:val="32"/>
        </w:rPr>
      </w:pPr>
      <w:r>
        <w:rPr>
          <w:rFonts w:hint="eastAsia" w:ascii="楷体_GB2312" w:hAnsi="楷体_GB2312" w:eastAsia="楷体_GB2312" w:cs="楷体_GB2312"/>
          <w:sz w:val="32"/>
          <w:szCs w:val="32"/>
        </w:rPr>
        <w:t>（四）绩效目标设置情况</w:t>
      </w:r>
    </w:p>
    <w:p w14:paraId="0344C6ED">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color w:val="000000" w:themeColor="text1"/>
          <w:sz w:val="32"/>
          <w:szCs w:val="32"/>
          <w:lang w:val="en-US" w:eastAsia="zh-CN"/>
        </w:rPr>
        <w:t>87.12</w:t>
      </w:r>
      <w:r>
        <w:rPr>
          <w:rFonts w:hint="eastAsia" w:ascii="仿宋_GB2312" w:hAnsi="仿宋_GB2312" w:eastAsia="仿宋_GB2312"/>
          <w:sz w:val="32"/>
          <w:szCs w:val="32"/>
        </w:rPr>
        <w:t>万元。</w:t>
      </w:r>
    </w:p>
    <w:p w14:paraId="3B8D6430">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十、名词解释</w:t>
      </w:r>
    </w:p>
    <w:p w14:paraId="4AF89FDC">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（一）一般公共预算拨款收入：指区级财政当年拨付的资金。</w:t>
      </w:r>
    </w:p>
    <w:p w14:paraId="73CB8C2D">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（二）上年结转：指以前年度尚未完成、结转到本年仍按原规定用途继续使用的资金。</w:t>
      </w:r>
    </w:p>
    <w:p w14:paraId="6A2854E6">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（三）基本支出：指为保障机构正常运转、完成日常工作任务所必需的人员经费和日常公用经费。</w:t>
      </w:r>
    </w:p>
    <w:p w14:paraId="07BACBCE">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（四）项目支出：指在基本支出之外，为完成特定的行政工作任务或事业发展目标所发生的支出。</w:t>
      </w:r>
    </w:p>
    <w:p w14:paraId="2181C584">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589DA2A0">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（六）社会保障和就业支出—行政事业单位离退休—机关事业单位基本养老保险缴费支出：反映机关事业单位实施养老保险制度由单位缴纳的基本养老保险费支出。</w:t>
      </w:r>
    </w:p>
    <w:p w14:paraId="3BEB75CF">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（七）社会保障和就业支出—其他社会保障和就业支出—其他社会保障和就业支出:反映除上述项目以外其他社会保障和就业方面的支出。</w:t>
      </w:r>
    </w:p>
    <w:p w14:paraId="410640D3">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（八）卫生健康支出—行政事业单位医疗—事业单位医疗:反映财政部门集中安排的事业单位基本医疗保险缴费经费，未参加医疗保险的事业单位的公费医疗经费，按国家规定享受离休人员待遇的医疗经费。</w:t>
      </w:r>
    </w:p>
    <w:p w14:paraId="5D70AF04">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（九）.住房保障支出—住房改革支出—住房公积金:反映行政事业单位按人力资源和社会保障部、财政部规定的基本工资和津补贴以及规定比例为职工缴纳的住房公积金。</w:t>
      </w:r>
    </w:p>
    <w:p w14:paraId="53C660D7">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5401A2">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一）.统战工作经费：开展多党合作、经济统战、党外代表人士、新的社会阶层人士、党外代表人士队伍建设、党外知识分子等统战各领域工作，推动全区统一战线事业蓬勃发展。组织民主党派基层组织领导班子成员集中开展政治学习教育（包括坚持和发展中国特色社会主义学习活动），提升我区党外代表人士思想政治素质和参政议政能力，夯实全区统一战线共同团结奋斗思想基础。</w:t>
      </w:r>
    </w:p>
    <w:p w14:paraId="21E4CAE1">
      <w:pPr>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(十二)</w:t>
      </w:r>
      <w:r>
        <w:rPr>
          <w:rFonts w:hint="eastAsia" w:ascii="仿宋_GB2312" w:eastAsia="仿宋_GB2312"/>
          <w:sz w:val="32"/>
          <w:szCs w:val="32"/>
        </w:rPr>
        <w:t>一般公共服务-民族事务-民族工作专项：指用于民族事务管理方面的专项支出。</w:t>
      </w:r>
    </w:p>
    <w:p w14:paraId="5F4AB747">
      <w:pPr>
        <w:spacing w:line="560" w:lineRule="exact"/>
        <w:ind w:firstLine="640" w:firstLineChars="200"/>
        <w:rPr>
          <w:rFonts w:hint="eastAsia" w:ascii="仿宋_GB2312" w:eastAsia="仿宋_GB2312"/>
          <w:sz w:val="32"/>
          <w:szCs w:val="32"/>
        </w:rPr>
      </w:pPr>
    </w:p>
    <w:p w14:paraId="44B0567E">
      <w:pPr>
        <w:ind w:left="1280" w:hanging="1280" w:hangingChars="400"/>
        <w:rPr>
          <w:rFonts w:hint="eastAsia" w:ascii="仿宋" w:hAnsi="仿宋" w:eastAsia="仿宋"/>
          <w:sz w:val="32"/>
          <w:szCs w:val="32"/>
        </w:rPr>
      </w:pPr>
      <w:r>
        <w:rPr>
          <w:rFonts w:hint="eastAsia" w:ascii="仿宋" w:hAnsi="仿宋" w:eastAsia="仿宋"/>
          <w:sz w:val="32"/>
          <w:szCs w:val="32"/>
        </w:rPr>
        <w:t>附件： 中共德阳市罗江区</w:t>
      </w:r>
      <w:r>
        <w:rPr>
          <w:rFonts w:hint="eastAsia" w:ascii="仿宋" w:hAnsi="仿宋" w:eastAsia="仿宋"/>
          <w:sz w:val="32"/>
          <w:szCs w:val="32"/>
          <w:lang w:eastAsia="zh-CN"/>
        </w:rPr>
        <w:t>委</w:t>
      </w:r>
      <w:r>
        <w:rPr>
          <w:rFonts w:hint="eastAsia" w:ascii="仿宋" w:hAnsi="仿宋" w:eastAsia="仿宋"/>
          <w:sz w:val="32"/>
          <w:szCs w:val="32"/>
          <w:lang w:val="en-US" w:eastAsia="zh-CN"/>
        </w:rPr>
        <w:t>统战部</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年部门预算公开表</w:t>
      </w:r>
    </w:p>
    <w:p w14:paraId="53FCBCBA">
      <w:pPr>
        <w:ind w:left="1109" w:leftChars="231"/>
        <w:rPr>
          <w:rFonts w:ascii="仿宋" w:hAnsi="仿宋" w:eastAsia="仿宋"/>
          <w:sz w:val="32"/>
          <w:szCs w:val="32"/>
        </w:rPr>
      </w:pPr>
      <w:r>
        <w:rPr>
          <w:rFonts w:hint="eastAsia" w:ascii="仿宋" w:hAnsi="仿宋" w:eastAsia="仿宋"/>
          <w:sz w:val="32"/>
          <w:szCs w:val="32"/>
        </w:rPr>
        <w:t>中共德阳市罗江区</w:t>
      </w:r>
      <w:r>
        <w:rPr>
          <w:rFonts w:hint="eastAsia" w:ascii="仿宋" w:hAnsi="仿宋" w:eastAsia="仿宋"/>
          <w:sz w:val="32"/>
          <w:szCs w:val="32"/>
          <w:lang w:eastAsia="zh-CN"/>
        </w:rPr>
        <w:t>委</w:t>
      </w:r>
      <w:r>
        <w:rPr>
          <w:rFonts w:hint="eastAsia" w:ascii="仿宋" w:hAnsi="仿宋" w:eastAsia="仿宋"/>
          <w:sz w:val="32"/>
          <w:szCs w:val="32"/>
          <w:lang w:val="en-US" w:eastAsia="zh-CN"/>
        </w:rPr>
        <w:t>统战部</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年部门项目绩效</w:t>
      </w:r>
      <w:r>
        <w:rPr>
          <w:rFonts w:hint="eastAsia" w:ascii="仿宋" w:hAnsi="仿宋" w:eastAsia="仿宋"/>
          <w:sz w:val="32"/>
          <w:szCs w:val="32"/>
          <w:lang w:val="en-US" w:eastAsia="zh-CN"/>
        </w:rPr>
        <w:t>目</w:t>
      </w:r>
      <w:r>
        <w:rPr>
          <w:rFonts w:hint="eastAsia" w:ascii="仿宋" w:hAnsi="仿宋" w:eastAsia="仿宋"/>
          <w:sz w:val="32"/>
          <w:szCs w:val="32"/>
        </w:rPr>
        <w:t>标公开表</w:t>
      </w:r>
    </w:p>
    <w:p w14:paraId="24698A73">
      <w:pPr>
        <w:ind w:left="1109" w:leftChars="231"/>
        <w:rPr>
          <w:rFonts w:ascii="仿宋" w:hAnsi="仿宋" w:eastAsia="仿宋"/>
          <w:sz w:val="32"/>
          <w:szCs w:val="32"/>
        </w:rPr>
      </w:pPr>
      <w:r>
        <w:rPr>
          <w:rFonts w:hint="eastAsia" w:ascii="仿宋" w:hAnsi="仿宋" w:eastAsia="仿宋"/>
          <w:sz w:val="32"/>
          <w:szCs w:val="32"/>
        </w:rPr>
        <w:t>中共德阳市罗江区</w:t>
      </w:r>
      <w:r>
        <w:rPr>
          <w:rFonts w:hint="eastAsia" w:ascii="仿宋" w:hAnsi="仿宋" w:eastAsia="仿宋"/>
          <w:sz w:val="32"/>
          <w:szCs w:val="32"/>
          <w:lang w:eastAsia="zh-CN"/>
        </w:rPr>
        <w:t>委</w:t>
      </w:r>
      <w:r>
        <w:rPr>
          <w:rFonts w:hint="eastAsia" w:ascii="仿宋" w:hAnsi="仿宋" w:eastAsia="仿宋"/>
          <w:sz w:val="32"/>
          <w:szCs w:val="32"/>
          <w:lang w:val="en-US" w:eastAsia="zh-CN"/>
        </w:rPr>
        <w:t>统战部</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年部门整体绩效目标公开表</w:t>
      </w:r>
    </w:p>
    <w:p w14:paraId="05015E62">
      <w:pPr>
        <w:spacing w:line="560" w:lineRule="exact"/>
        <w:ind w:firstLine="1920" w:firstLineChars="600"/>
        <w:rPr>
          <w:rFonts w:ascii="仿宋_GB2312" w:hAnsi="仿宋_GB2312" w:eastAsia="仿宋_GB2312"/>
          <w:sz w:val="32"/>
          <w:szCs w:val="32"/>
        </w:rPr>
      </w:pPr>
    </w:p>
    <w:p w14:paraId="4890B216">
      <w:pPr>
        <w:spacing w:line="560" w:lineRule="exact"/>
        <w:rPr>
          <w:rFonts w:ascii="仿宋_GB2312" w:hAnsi="仿宋_GB2312" w:eastAsia="仿宋_GB2312"/>
          <w:sz w:val="32"/>
          <w:szCs w:val="32"/>
        </w:rPr>
      </w:pPr>
    </w:p>
    <w:p w14:paraId="64B5655E">
      <w:pPr>
        <w:spacing w:line="560" w:lineRule="exact"/>
        <w:ind w:firstLine="1920" w:firstLineChars="600"/>
        <w:rPr>
          <w:rFonts w:ascii="仿宋_GB2312" w:hAnsi="仿宋_GB2312" w:eastAsia="仿宋_GB2312"/>
          <w:sz w:val="32"/>
          <w:szCs w:val="32"/>
        </w:rPr>
      </w:pPr>
    </w:p>
    <w:p w14:paraId="3A4150DE">
      <w:pPr>
        <w:spacing w:line="560" w:lineRule="exact"/>
        <w:ind w:firstLine="1920" w:firstLineChars="600"/>
        <w:rPr>
          <w:rFonts w:ascii="仿宋_GB2312" w:hAnsi="仿宋_GB2312" w:eastAsia="仿宋_GB2312"/>
          <w:sz w:val="32"/>
          <w:szCs w:val="32"/>
        </w:rPr>
      </w:pPr>
    </w:p>
    <w:p w14:paraId="486D2732">
      <w:pPr>
        <w:spacing w:line="560" w:lineRule="exact"/>
        <w:ind w:firstLine="1920" w:firstLineChars="600"/>
        <w:rPr>
          <w:rFonts w:ascii="仿宋_GB2312" w:hAnsi="仿宋_GB2312" w:eastAsia="仿宋_GB2312"/>
          <w:sz w:val="32"/>
          <w:szCs w:val="32"/>
        </w:rPr>
      </w:pPr>
    </w:p>
    <w:p w14:paraId="53A6634F">
      <w:pPr>
        <w:spacing w:line="560" w:lineRule="exact"/>
        <w:ind w:firstLine="1920" w:firstLineChars="600"/>
        <w:rPr>
          <w:rFonts w:ascii="仿宋_GB2312" w:hAnsi="仿宋_GB2312" w:eastAsia="仿宋_GB2312"/>
          <w:sz w:val="32"/>
          <w:szCs w:val="32"/>
        </w:rPr>
      </w:pPr>
    </w:p>
    <w:p w14:paraId="0D8836B3">
      <w:pPr>
        <w:spacing w:line="560" w:lineRule="exact"/>
        <w:ind w:firstLine="1920" w:firstLineChars="600"/>
        <w:rPr>
          <w:rFonts w:ascii="仿宋_GB2312" w:hAnsi="仿宋_GB2312" w:eastAsia="仿宋_GB2312"/>
          <w:sz w:val="32"/>
          <w:szCs w:val="32"/>
        </w:rPr>
      </w:pPr>
    </w:p>
    <w:p w14:paraId="2D4DBCF3">
      <w:pPr>
        <w:spacing w:line="560" w:lineRule="exact"/>
        <w:rPr>
          <w:rFonts w:ascii="仿宋_GB2312" w:hAnsi="仿宋_GB2312" w:eastAsia="仿宋_GB2312"/>
          <w:sz w:val="32"/>
          <w:szCs w:val="32"/>
        </w:rPr>
      </w:pPr>
    </w:p>
    <w:p w14:paraId="78475A40">
      <w:pPr>
        <w:spacing w:line="560" w:lineRule="exact"/>
        <w:rPr>
          <w:rFonts w:ascii="仿宋_GB2312" w:hAnsi="仿宋_GB2312" w:eastAsia="仿宋_GB2312"/>
          <w:sz w:val="32"/>
          <w:szCs w:val="32"/>
        </w:rPr>
      </w:pPr>
    </w:p>
    <w:p w14:paraId="3FDE3FB4">
      <w:pPr>
        <w:spacing w:line="560" w:lineRule="exact"/>
        <w:ind w:firstLine="1920" w:firstLineChars="600"/>
        <w:rPr>
          <w:rFonts w:hint="eastAsia" w:ascii="仿宋_GB2312" w:hAnsi="仿宋_GB2312" w:eastAsia="仿宋_GB2312"/>
          <w:sz w:val="32"/>
          <w:szCs w:val="32"/>
        </w:rPr>
      </w:pPr>
    </w:p>
    <w:p w14:paraId="63C6A981">
      <w:pPr>
        <w:spacing w:line="560" w:lineRule="exact"/>
        <w:ind w:firstLine="1920" w:firstLineChars="600"/>
        <w:rPr>
          <w:rFonts w:hint="eastAsia" w:ascii="仿宋_GB2312" w:hAnsi="仿宋_GB2312" w:eastAsia="仿宋_GB2312"/>
          <w:sz w:val="32"/>
          <w:szCs w:val="32"/>
        </w:rPr>
      </w:pPr>
    </w:p>
    <w:p w14:paraId="7FB6C41F">
      <w:pPr>
        <w:spacing w:line="560" w:lineRule="exact"/>
        <w:ind w:firstLine="1920" w:firstLineChars="600"/>
        <w:rPr>
          <w:rFonts w:ascii="仿宋_GB2312" w:hAnsi="仿宋_GB2312" w:eastAsia="仿宋_GB2312"/>
          <w:sz w:val="32"/>
          <w:szCs w:val="32"/>
        </w:rPr>
      </w:pPr>
      <w:bookmarkStart w:id="0" w:name="_GoBack"/>
      <w:bookmarkEnd w:id="0"/>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年部门预算公开表目录</w:t>
      </w:r>
    </w:p>
    <w:p w14:paraId="77783A43">
      <w:pPr>
        <w:numPr>
          <w:ilvl w:val="0"/>
          <w:numId w:val="1"/>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14:paraId="2E686CD9">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部门收入总表</w:t>
      </w:r>
    </w:p>
    <w:p w14:paraId="4B0B51E4">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部门支出总表</w:t>
      </w:r>
    </w:p>
    <w:p w14:paraId="0AEE69C9">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14:paraId="07F75C6A">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14:paraId="65677A46">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14:paraId="677250D0">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14:paraId="26044F2F">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14:paraId="0679781D">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14:paraId="24E2885C">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14:paraId="357BBE18">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14:paraId="47D4C5E1">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14:paraId="27F3CFEA">
      <w:pPr>
        <w:rPr>
          <w:rFonts w:ascii="仿宋" w:hAnsi="仿宋" w:eastAsia="仿宋"/>
          <w:sz w:val="32"/>
          <w:szCs w:val="32"/>
        </w:rPr>
      </w:pPr>
    </w:p>
    <w:p w14:paraId="278FD0E9"/>
    <w:p w14:paraId="1F001554">
      <w:pPr>
        <w:ind w:left="1267" w:leftChars="264"/>
        <w:rPr>
          <w:rFonts w:ascii="仿宋" w:hAnsi="仿宋" w:eastAsia="仿宋"/>
          <w:sz w:val="32"/>
          <w:szCs w:val="32"/>
        </w:rPr>
      </w:pPr>
    </w:p>
    <w:p w14:paraId="2B7589F1">
      <w:pPr>
        <w:rPr>
          <w:rFonts w:ascii="仿宋" w:hAnsi="仿宋" w:eastAsia="仿宋"/>
          <w:sz w:val="32"/>
          <w:szCs w:val="32"/>
        </w:rPr>
      </w:pPr>
      <w:r>
        <w:rPr>
          <w:rFonts w:hint="eastAsia" w:ascii="仿宋" w:hAnsi="仿宋" w:eastAsia="仿宋"/>
          <w:sz w:val="32"/>
          <w:szCs w:val="32"/>
        </w:rPr>
        <w:t xml:space="preserve">        </w:t>
      </w:r>
    </w:p>
    <w:p w14:paraId="2508624C"/>
    <w:sectPr>
      <w:footerReference r:id="rId3" w:type="default"/>
      <w:pgSz w:w="11906" w:h="16838"/>
      <w:pgMar w:top="1588" w:right="1985"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581469"/>
      <w:docPartObj>
        <w:docPartGallery w:val="autotext"/>
      </w:docPartObj>
    </w:sdtPr>
    <w:sdtContent>
      <w:p w14:paraId="34135036">
        <w:pPr>
          <w:pStyle w:val="6"/>
          <w:jc w:val="right"/>
        </w:pPr>
        <w:r>
          <w:fldChar w:fldCharType="begin"/>
        </w:r>
        <w:r>
          <w:instrText xml:space="preserve"> PAGE   \* MERGEFORMAT </w:instrText>
        </w:r>
        <w:r>
          <w:fldChar w:fldCharType="separate"/>
        </w:r>
        <w:r>
          <w:rPr>
            <w:lang w:val="zh-CN"/>
          </w:rPr>
          <w:t>11</w:t>
        </w:r>
        <w:r>
          <w:fldChar w:fldCharType="end"/>
        </w:r>
      </w:p>
    </w:sdtContent>
  </w:sdt>
  <w:p w14:paraId="6490EAE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A63"/>
    <w:rsid w:val="0002164C"/>
    <w:rsid w:val="00021832"/>
    <w:rsid w:val="00033F9B"/>
    <w:rsid w:val="0003516C"/>
    <w:rsid w:val="0003670B"/>
    <w:rsid w:val="0009010E"/>
    <w:rsid w:val="000938BE"/>
    <w:rsid w:val="000C5D45"/>
    <w:rsid w:val="000E7DE3"/>
    <w:rsid w:val="00101808"/>
    <w:rsid w:val="00103991"/>
    <w:rsid w:val="00107AF7"/>
    <w:rsid w:val="00112C20"/>
    <w:rsid w:val="00120F70"/>
    <w:rsid w:val="00170F7F"/>
    <w:rsid w:val="00184570"/>
    <w:rsid w:val="001A34AB"/>
    <w:rsid w:val="001A5E61"/>
    <w:rsid w:val="001B52A2"/>
    <w:rsid w:val="001C11DD"/>
    <w:rsid w:val="001C4636"/>
    <w:rsid w:val="001E2CF5"/>
    <w:rsid w:val="001F59C4"/>
    <w:rsid w:val="00202A4E"/>
    <w:rsid w:val="002209C4"/>
    <w:rsid w:val="00227A51"/>
    <w:rsid w:val="00234450"/>
    <w:rsid w:val="00245794"/>
    <w:rsid w:val="002601C8"/>
    <w:rsid w:val="00265DD1"/>
    <w:rsid w:val="00285E0F"/>
    <w:rsid w:val="00287DD7"/>
    <w:rsid w:val="002C6AF6"/>
    <w:rsid w:val="002D17ED"/>
    <w:rsid w:val="002E0226"/>
    <w:rsid w:val="002E0E6D"/>
    <w:rsid w:val="002E14F9"/>
    <w:rsid w:val="002F6687"/>
    <w:rsid w:val="00304EB0"/>
    <w:rsid w:val="00312E6E"/>
    <w:rsid w:val="003131A4"/>
    <w:rsid w:val="00325291"/>
    <w:rsid w:val="00334B87"/>
    <w:rsid w:val="00336B03"/>
    <w:rsid w:val="00362234"/>
    <w:rsid w:val="00363AC0"/>
    <w:rsid w:val="00383DB5"/>
    <w:rsid w:val="00385CC8"/>
    <w:rsid w:val="003967F8"/>
    <w:rsid w:val="003B021E"/>
    <w:rsid w:val="003D2EF6"/>
    <w:rsid w:val="00400A65"/>
    <w:rsid w:val="00405EF9"/>
    <w:rsid w:val="00453D39"/>
    <w:rsid w:val="00493119"/>
    <w:rsid w:val="00494478"/>
    <w:rsid w:val="004B52FA"/>
    <w:rsid w:val="004C0B9D"/>
    <w:rsid w:val="004C5410"/>
    <w:rsid w:val="004D53A9"/>
    <w:rsid w:val="004E4A63"/>
    <w:rsid w:val="004F01D1"/>
    <w:rsid w:val="004F7996"/>
    <w:rsid w:val="00504316"/>
    <w:rsid w:val="00507BB7"/>
    <w:rsid w:val="005268AD"/>
    <w:rsid w:val="0054653C"/>
    <w:rsid w:val="00547031"/>
    <w:rsid w:val="00556068"/>
    <w:rsid w:val="00563314"/>
    <w:rsid w:val="0056460F"/>
    <w:rsid w:val="00565255"/>
    <w:rsid w:val="00575C1E"/>
    <w:rsid w:val="0059350C"/>
    <w:rsid w:val="00596982"/>
    <w:rsid w:val="005A0F05"/>
    <w:rsid w:val="005A4C44"/>
    <w:rsid w:val="005B5E88"/>
    <w:rsid w:val="005B65E8"/>
    <w:rsid w:val="005D6E62"/>
    <w:rsid w:val="00603659"/>
    <w:rsid w:val="006055F9"/>
    <w:rsid w:val="00640CC1"/>
    <w:rsid w:val="0066135C"/>
    <w:rsid w:val="0068263C"/>
    <w:rsid w:val="006A14F5"/>
    <w:rsid w:val="006B2861"/>
    <w:rsid w:val="006B7BD1"/>
    <w:rsid w:val="006F210B"/>
    <w:rsid w:val="007225E2"/>
    <w:rsid w:val="007365C4"/>
    <w:rsid w:val="00736793"/>
    <w:rsid w:val="00747836"/>
    <w:rsid w:val="00755A1D"/>
    <w:rsid w:val="0075746D"/>
    <w:rsid w:val="007A16EB"/>
    <w:rsid w:val="007A58D2"/>
    <w:rsid w:val="007B2070"/>
    <w:rsid w:val="007C1F0E"/>
    <w:rsid w:val="007D1731"/>
    <w:rsid w:val="0080360E"/>
    <w:rsid w:val="00843E85"/>
    <w:rsid w:val="00846196"/>
    <w:rsid w:val="00854A3F"/>
    <w:rsid w:val="00877EB0"/>
    <w:rsid w:val="008B10AF"/>
    <w:rsid w:val="008D658D"/>
    <w:rsid w:val="008E0901"/>
    <w:rsid w:val="008F0D43"/>
    <w:rsid w:val="008F70DC"/>
    <w:rsid w:val="009049CB"/>
    <w:rsid w:val="009104F6"/>
    <w:rsid w:val="00924435"/>
    <w:rsid w:val="00933755"/>
    <w:rsid w:val="00955A6E"/>
    <w:rsid w:val="0097751A"/>
    <w:rsid w:val="00994637"/>
    <w:rsid w:val="009C05DA"/>
    <w:rsid w:val="009C4221"/>
    <w:rsid w:val="009D3580"/>
    <w:rsid w:val="009D554C"/>
    <w:rsid w:val="009D6E2C"/>
    <w:rsid w:val="009E62C1"/>
    <w:rsid w:val="00A03DF6"/>
    <w:rsid w:val="00A254FE"/>
    <w:rsid w:val="00A26130"/>
    <w:rsid w:val="00A35F1B"/>
    <w:rsid w:val="00A46B69"/>
    <w:rsid w:val="00A5128D"/>
    <w:rsid w:val="00A538CA"/>
    <w:rsid w:val="00A5551E"/>
    <w:rsid w:val="00A60A56"/>
    <w:rsid w:val="00AA47FE"/>
    <w:rsid w:val="00AD2089"/>
    <w:rsid w:val="00AD3F30"/>
    <w:rsid w:val="00AF4652"/>
    <w:rsid w:val="00AF7A7C"/>
    <w:rsid w:val="00B05121"/>
    <w:rsid w:val="00B16E89"/>
    <w:rsid w:val="00B22CA4"/>
    <w:rsid w:val="00B414EB"/>
    <w:rsid w:val="00B44A3B"/>
    <w:rsid w:val="00B551DA"/>
    <w:rsid w:val="00B71437"/>
    <w:rsid w:val="00B93D7A"/>
    <w:rsid w:val="00BB731E"/>
    <w:rsid w:val="00BD2F55"/>
    <w:rsid w:val="00BD7C8D"/>
    <w:rsid w:val="00BE1F20"/>
    <w:rsid w:val="00C51C70"/>
    <w:rsid w:val="00C62116"/>
    <w:rsid w:val="00C810DE"/>
    <w:rsid w:val="00C84CAB"/>
    <w:rsid w:val="00C87B6F"/>
    <w:rsid w:val="00C96FDA"/>
    <w:rsid w:val="00CC18C1"/>
    <w:rsid w:val="00CD740C"/>
    <w:rsid w:val="00CE15F8"/>
    <w:rsid w:val="00CF3600"/>
    <w:rsid w:val="00CF560C"/>
    <w:rsid w:val="00CF7642"/>
    <w:rsid w:val="00D0414F"/>
    <w:rsid w:val="00D14665"/>
    <w:rsid w:val="00D458EF"/>
    <w:rsid w:val="00D53D04"/>
    <w:rsid w:val="00D54299"/>
    <w:rsid w:val="00D644F1"/>
    <w:rsid w:val="00D7069F"/>
    <w:rsid w:val="00D87EC3"/>
    <w:rsid w:val="00D950C1"/>
    <w:rsid w:val="00DA03B5"/>
    <w:rsid w:val="00DB2282"/>
    <w:rsid w:val="00DC34F5"/>
    <w:rsid w:val="00DC4C62"/>
    <w:rsid w:val="00DE6C12"/>
    <w:rsid w:val="00DF6B82"/>
    <w:rsid w:val="00E50B1A"/>
    <w:rsid w:val="00E95F85"/>
    <w:rsid w:val="00EB27D0"/>
    <w:rsid w:val="00EC6081"/>
    <w:rsid w:val="00ED559B"/>
    <w:rsid w:val="00EE23D3"/>
    <w:rsid w:val="00EF4541"/>
    <w:rsid w:val="00EF4BDF"/>
    <w:rsid w:val="00EF651A"/>
    <w:rsid w:val="00F0157C"/>
    <w:rsid w:val="00F84103"/>
    <w:rsid w:val="00FA6D55"/>
    <w:rsid w:val="00FB0DE6"/>
    <w:rsid w:val="00FB5F96"/>
    <w:rsid w:val="00FD2791"/>
    <w:rsid w:val="00FD2F29"/>
    <w:rsid w:val="00FD5BF4"/>
    <w:rsid w:val="00FF3598"/>
    <w:rsid w:val="00FF359F"/>
    <w:rsid w:val="00FF51A5"/>
    <w:rsid w:val="01931A7A"/>
    <w:rsid w:val="04AE6E54"/>
    <w:rsid w:val="07094E10"/>
    <w:rsid w:val="07B93E51"/>
    <w:rsid w:val="0CBC3A4D"/>
    <w:rsid w:val="0DB177E9"/>
    <w:rsid w:val="13522181"/>
    <w:rsid w:val="155E66F2"/>
    <w:rsid w:val="1A8B57AF"/>
    <w:rsid w:val="1D336E86"/>
    <w:rsid w:val="1FCE268A"/>
    <w:rsid w:val="21BA1278"/>
    <w:rsid w:val="262A3461"/>
    <w:rsid w:val="26C71577"/>
    <w:rsid w:val="27F84BA1"/>
    <w:rsid w:val="28AE105E"/>
    <w:rsid w:val="2C6A3AD6"/>
    <w:rsid w:val="2CBD72B2"/>
    <w:rsid w:val="2D5A3BB1"/>
    <w:rsid w:val="2F555BA4"/>
    <w:rsid w:val="35C45DC1"/>
    <w:rsid w:val="36127F19"/>
    <w:rsid w:val="367F5901"/>
    <w:rsid w:val="3A6A5CDE"/>
    <w:rsid w:val="3C1152B0"/>
    <w:rsid w:val="3CEA5163"/>
    <w:rsid w:val="3DAE51E8"/>
    <w:rsid w:val="3E790BB8"/>
    <w:rsid w:val="3E816D25"/>
    <w:rsid w:val="401361A7"/>
    <w:rsid w:val="42991D01"/>
    <w:rsid w:val="44E1584B"/>
    <w:rsid w:val="48AC1D7D"/>
    <w:rsid w:val="4A4B6F59"/>
    <w:rsid w:val="4CA32063"/>
    <w:rsid w:val="4EB65DA4"/>
    <w:rsid w:val="51113A0E"/>
    <w:rsid w:val="54160D1B"/>
    <w:rsid w:val="59A545F6"/>
    <w:rsid w:val="5A7C0B96"/>
    <w:rsid w:val="61A3395D"/>
    <w:rsid w:val="655E520D"/>
    <w:rsid w:val="6A8651DE"/>
    <w:rsid w:val="6B284748"/>
    <w:rsid w:val="6B3345E7"/>
    <w:rsid w:val="6F1125DD"/>
    <w:rsid w:val="6F9D54EF"/>
    <w:rsid w:val="77103EEA"/>
    <w:rsid w:val="78CB2B2E"/>
    <w:rsid w:val="7B4E7614"/>
    <w:rsid w:val="7BDF2523"/>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paragraph" w:styleId="4">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3"/>
    <w:qFormat/>
    <w:uiPriority w:val="0"/>
    <w:pPr>
      <w:widowControl/>
      <w:spacing w:before="158" w:after="153" w:line="323" w:lineRule="atLeast"/>
      <w:ind w:right="-120"/>
      <w:jc w:val="center"/>
      <w:textAlignment w:val="baseline"/>
    </w:pPr>
    <w:rPr>
      <w:rFonts w:ascii="Times New Roman" w:hAnsi="Times New Roman" w:eastAsia="宋体"/>
      <w:color w:val="FF0000"/>
      <w:sz w:val="18"/>
      <w:szCs w:val="24"/>
    </w:rPr>
  </w:style>
  <w:style w:type="paragraph" w:customStyle="1" w:styleId="3">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styleId="5">
    <w:name w:val="Body Text"/>
    <w:basedOn w:val="1"/>
    <w:next w:val="1"/>
    <w:link w:val="16"/>
    <w:qFormat/>
    <w:uiPriority w:val="99"/>
    <w:pPr>
      <w:spacing w:beforeLines="30"/>
    </w:pPr>
    <w:rPr>
      <w:rFonts w:ascii="仿宋_GB2312" w:eastAsia="仿宋_GB2312"/>
      <w:sz w:val="3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99"/>
    <w:rPr>
      <w:rFonts w:cs="Times New Roman"/>
      <w:b/>
    </w:rPr>
  </w:style>
  <w:style w:type="character" w:styleId="12">
    <w:name w:val="Emphasis"/>
    <w:basedOn w:val="10"/>
    <w:qFormat/>
    <w:uiPriority w:val="20"/>
  </w:style>
  <w:style w:type="paragraph" w:styleId="13">
    <w:name w:val="List Paragraph"/>
    <w:basedOn w:val="1"/>
    <w:qFormat/>
    <w:uiPriority w:val="34"/>
    <w:pPr>
      <w:ind w:firstLine="420" w:firstLineChars="200"/>
    </w:pPr>
  </w:style>
  <w:style w:type="character" w:customStyle="1" w:styleId="14">
    <w:name w:val="页眉 Char"/>
    <w:basedOn w:val="10"/>
    <w:link w:val="7"/>
    <w:qFormat/>
    <w:uiPriority w:val="99"/>
    <w:rPr>
      <w:rFonts w:ascii="宋体" w:hAnsi="Times New Roman" w:eastAsia="宋体" w:cs="Times New Roman"/>
      <w:sz w:val="18"/>
      <w:szCs w:val="18"/>
    </w:rPr>
  </w:style>
  <w:style w:type="character" w:customStyle="1" w:styleId="15">
    <w:name w:val="页脚 Char"/>
    <w:basedOn w:val="10"/>
    <w:link w:val="6"/>
    <w:qFormat/>
    <w:uiPriority w:val="99"/>
    <w:rPr>
      <w:rFonts w:ascii="宋体" w:hAnsi="Times New Roman" w:eastAsia="宋体" w:cs="Times New Roman"/>
      <w:sz w:val="18"/>
      <w:szCs w:val="18"/>
    </w:rPr>
  </w:style>
  <w:style w:type="character" w:customStyle="1" w:styleId="16">
    <w:name w:val="正文文本 Char"/>
    <w:basedOn w:val="10"/>
    <w:link w:val="5"/>
    <w:qFormat/>
    <w:uiPriority w:val="99"/>
    <w:rPr>
      <w:rFonts w:ascii="仿宋_GB2312" w:hAnsi="Times New Roman" w:eastAsia="仿宋_GB2312" w:cs="Times New Roman"/>
      <w:kern w:val="2"/>
      <w:sz w:val="30"/>
      <w:szCs w:val="24"/>
    </w:rPr>
  </w:style>
  <w:style w:type="paragraph" w:customStyle="1" w:styleId="17">
    <w:name w:val="WPSOffice手动目录 1"/>
    <w:qFormat/>
    <w:uiPriority w:val="0"/>
    <w:rPr>
      <w:rFonts w:ascii="Calibri" w:hAnsi="Calibri" w:eastAsia="宋体" w:cs="Times New Roman"/>
      <w:lang w:val="en-US" w:eastAsia="zh-CN" w:bidi="ar-SA"/>
    </w:rPr>
  </w:style>
  <w:style w:type="paragraph" w:customStyle="1" w:styleId="18">
    <w:name w:val="WPSOffice手动目录 2"/>
    <w:qFormat/>
    <w:uiPriority w:val="0"/>
    <w:pPr>
      <w:ind w:left="200" w:leftChars="200"/>
    </w:pPr>
    <w:rPr>
      <w:rFonts w:ascii="Calibri" w:hAnsi="Calibri" w:eastAsia="宋体" w:cs="Times New Roman"/>
      <w:lang w:val="en-US" w:eastAsia="zh-CN" w:bidi="ar-SA"/>
    </w:rPr>
  </w:style>
  <w:style w:type="character" w:customStyle="1" w:styleId="19">
    <w:name w:val="标题 1 Char"/>
    <w:basedOn w:val="10"/>
    <w:link w:val="4"/>
    <w:qFormat/>
    <w:uiPriority w:val="9"/>
    <w:rPr>
      <w:rFonts w:ascii="宋体" w:hAnsi="Times New Roman" w:eastAsia="宋体" w:cs="Times New Roman"/>
      <w:b/>
      <w:bCs/>
      <w:kern w:val="44"/>
      <w:sz w:val="44"/>
      <w:szCs w:val="44"/>
    </w:rPr>
  </w:style>
  <w:style w:type="paragraph" w:customStyle="1" w:styleId="20">
    <w:name w:val="TOC Heading"/>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21">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14</Pages>
  <Words>5814</Words>
  <Characters>6195</Characters>
  <Lines>38</Lines>
  <Paragraphs>10</Paragraphs>
  <TotalTime>20</TotalTime>
  <ScaleCrop>false</ScaleCrop>
  <LinksUpToDate>false</LinksUpToDate>
  <CharactersWithSpaces>6270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2024-01-18T07:57:00Z</dcterms:created>
  <dc:creator>null,null,总收发</dc:creator>
  <cp:lastModifiedBy>漫夭</cp:lastModifiedBy>
  <cp:lastPrinted>2023-03-02T03:49:00Z</cp:lastPrinted>
  <dcterms:modified xsi:type="dcterms:W3CDTF">2025-01-26T02:39:21Z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eyJoZGlkIjoiMzY3MmFjYTE0Yzc4Zjk1YzFjNTUxZDg4NDlhZTM5Y2QiLCJ1c2VySWQiOiIzMzQyOTYwMzUifQ==</vt:lpwstr>
  </property>
  <property fmtid="{D5CDD505-2E9C-101B-9397-08002B2CF9AE}" pid="4" name="ICV">
    <vt:lpwstr>80971E26ADDC49738B89B9F61C52E031_12</vt:lpwstr>
  </property>
</Properties>
</file>