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95056">
      <w:pPr>
        <w:ind w:firstLine="412" w:firstLineChars="100"/>
        <w:jc w:val="center"/>
        <w:rPr>
          <w:rStyle w:val="9"/>
          <w:rFonts w:hint="eastAsia" w:ascii="ˎ̥" w:hAnsi="ˎ̥"/>
          <w:b/>
          <w:color w:val="000000"/>
          <w:sz w:val="41"/>
          <w:szCs w:val="41"/>
        </w:rPr>
      </w:pPr>
      <w:bookmarkStart w:id="0" w:name="_Toc15396597"/>
      <w:bookmarkStart w:id="1" w:name="_Toc15396475"/>
      <w:bookmarkStart w:id="2" w:name="_Toc15377425"/>
      <w:bookmarkStart w:id="3" w:name="_Toc15377193"/>
      <w:bookmarkStart w:id="4" w:name="_Toc15378441"/>
      <w:r>
        <w:rPr>
          <w:rStyle w:val="9"/>
          <w:rFonts w:hint="eastAsia" w:ascii="ˎ̥" w:hAnsi="ˎ̥"/>
          <w:b/>
          <w:color w:val="000000"/>
          <w:sz w:val="41"/>
          <w:szCs w:val="41"/>
        </w:rPr>
        <w:t>德阳市罗江区科学技术协会</w:t>
      </w:r>
    </w:p>
    <w:p w14:paraId="4656D422">
      <w:pPr>
        <w:ind w:firstLine="412" w:firstLineChars="100"/>
        <w:jc w:val="center"/>
        <w:rPr>
          <w:rStyle w:val="9"/>
          <w:rFonts w:hint="eastAsia" w:ascii="ˎ̥" w:hAnsi="ˎ̥"/>
          <w:b/>
          <w:bCs/>
          <w:color w:val="000000"/>
          <w:sz w:val="41"/>
          <w:szCs w:val="41"/>
        </w:rPr>
      </w:pPr>
      <w:r>
        <w:rPr>
          <w:rStyle w:val="9"/>
          <w:rFonts w:ascii="ˎ̥" w:hAnsi="ˎ̥"/>
          <w:b/>
          <w:color w:val="000000"/>
          <w:sz w:val="41"/>
          <w:szCs w:val="41"/>
        </w:rPr>
        <w:t>20</w:t>
      </w:r>
      <w:r>
        <w:rPr>
          <w:rStyle w:val="9"/>
          <w:rFonts w:hint="eastAsia" w:ascii="ˎ̥" w:hAnsi="ˎ̥"/>
          <w:b/>
          <w:color w:val="000000"/>
          <w:sz w:val="41"/>
          <w:szCs w:val="41"/>
        </w:rPr>
        <w:t>2</w:t>
      </w:r>
      <w:r>
        <w:rPr>
          <w:rStyle w:val="9"/>
          <w:rFonts w:hint="eastAsia" w:ascii="ˎ̥" w:hAnsi="ˎ̥"/>
          <w:b/>
          <w:color w:val="000000"/>
          <w:sz w:val="41"/>
          <w:szCs w:val="41"/>
          <w:lang w:val="en-US" w:eastAsia="zh-CN"/>
        </w:rPr>
        <w:t>5</w:t>
      </w:r>
      <w:r>
        <w:rPr>
          <w:rStyle w:val="9"/>
          <w:rFonts w:ascii="ˎ̥" w:hAnsi="ˎ̥"/>
          <w:b/>
          <w:color w:val="000000"/>
          <w:sz w:val="41"/>
          <w:szCs w:val="41"/>
        </w:rPr>
        <w:t>年部门预算编制说明</w:t>
      </w:r>
    </w:p>
    <w:bookmarkEnd w:id="0"/>
    <w:bookmarkEnd w:id="1"/>
    <w:bookmarkEnd w:id="2"/>
    <w:bookmarkEnd w:id="3"/>
    <w:bookmarkEnd w:id="4"/>
    <w:p w14:paraId="3D070DF4">
      <w:pPr>
        <w:widowControl/>
        <w:jc w:val="center"/>
        <w:rPr>
          <w:rStyle w:val="9"/>
          <w:rFonts w:hint="eastAsia" w:ascii="ˎ̥" w:hAnsi="ˎ̥"/>
          <w:sz w:val="41"/>
          <w:szCs w:val="41"/>
        </w:rPr>
      </w:pPr>
      <w:r>
        <w:rPr>
          <w:rStyle w:val="9"/>
          <w:rFonts w:hint="eastAsia" w:ascii="ˎ̥" w:hAnsi="ˎ̥"/>
          <w:sz w:val="41"/>
          <w:szCs w:val="41"/>
        </w:rPr>
        <w:t>目录</w:t>
      </w:r>
    </w:p>
    <w:p w14:paraId="41E976B3">
      <w:pPr>
        <w:widowControl/>
        <w:jc w:val="center"/>
        <w:rPr>
          <w:rStyle w:val="9"/>
          <w:rFonts w:hint="eastAsia" w:ascii="ˎ̥" w:hAnsi="ˎ̥"/>
          <w:sz w:val="28"/>
          <w:szCs w:val="28"/>
        </w:rPr>
      </w:pPr>
    </w:p>
    <w:p w14:paraId="3EB7E3C2">
      <w:pPr>
        <w:ind w:firstLine="300" w:firstLineChars="100"/>
        <w:jc w:val="center"/>
        <w:rPr>
          <w:rStyle w:val="9"/>
          <w:rFonts w:hint="eastAsia" w:ascii="ˎ̥" w:hAnsi="ˎ̥"/>
          <w:bCs/>
          <w:color w:val="000000"/>
          <w:sz w:val="30"/>
          <w:szCs w:val="30"/>
        </w:rPr>
      </w:pPr>
      <w:r>
        <w:rPr>
          <w:rStyle w:val="9"/>
          <w:rFonts w:hint="eastAsia" w:ascii="ˎ̥" w:hAnsi="ˎ̥"/>
          <w:bCs/>
          <w:color w:val="000000"/>
          <w:sz w:val="30"/>
          <w:szCs w:val="30"/>
        </w:rPr>
        <w:t>公开时间：202</w:t>
      </w:r>
      <w:r>
        <w:rPr>
          <w:rStyle w:val="9"/>
          <w:rFonts w:hint="eastAsia" w:ascii="ˎ̥" w:hAnsi="ˎ̥"/>
          <w:bCs/>
          <w:color w:val="000000"/>
          <w:sz w:val="30"/>
          <w:szCs w:val="30"/>
          <w:lang w:val="en-US" w:eastAsia="zh-CN"/>
        </w:rPr>
        <w:t>5</w:t>
      </w:r>
      <w:r>
        <w:rPr>
          <w:rStyle w:val="9"/>
          <w:rFonts w:hint="eastAsia" w:ascii="ˎ̥" w:hAnsi="ˎ̥"/>
          <w:bCs/>
          <w:color w:val="000000"/>
          <w:sz w:val="30"/>
          <w:szCs w:val="30"/>
        </w:rPr>
        <w:t>年1月2</w:t>
      </w:r>
      <w:r>
        <w:rPr>
          <w:rStyle w:val="9"/>
          <w:rFonts w:hint="eastAsia" w:ascii="ˎ̥" w:hAnsi="ˎ̥"/>
          <w:bCs/>
          <w:color w:val="000000"/>
          <w:sz w:val="30"/>
          <w:szCs w:val="30"/>
          <w:lang w:val="en-US" w:eastAsia="zh-CN"/>
        </w:rPr>
        <w:t>0</w:t>
      </w:r>
      <w:r>
        <w:rPr>
          <w:rStyle w:val="9"/>
          <w:rFonts w:hint="eastAsia" w:ascii="ˎ̥" w:hAnsi="ˎ̥"/>
          <w:bCs/>
          <w:color w:val="000000"/>
          <w:sz w:val="30"/>
          <w:szCs w:val="30"/>
        </w:rPr>
        <w:t>日</w:t>
      </w:r>
    </w:p>
    <w:p w14:paraId="2E38F548">
      <w:pPr>
        <w:pStyle w:val="16"/>
        <w:tabs>
          <w:tab w:val="right" w:leader="dot" w:pos="8845"/>
        </w:tabs>
        <w:spacing w:line="400" w:lineRule="exact"/>
        <w:rPr>
          <w:rFonts w:ascii="仿宋_GB2312" w:hAnsi="仿宋_GB2312" w:eastAsia="仿宋_GB2312" w:cstheme="minorBidi"/>
          <w:kern w:val="2"/>
          <w:sz w:val="24"/>
          <w:szCs w:val="24"/>
        </w:rPr>
      </w:pPr>
      <w:r>
        <w:rPr>
          <w:rStyle w:val="9"/>
          <w:rFonts w:hint="eastAsia"/>
        </w:rPr>
        <w:fldChar w:fldCharType="begin"/>
      </w:r>
      <w:r>
        <w:rPr>
          <w:rStyle w:val="9"/>
          <w:rFonts w:hint="eastAsia" w:ascii="ˎ̥" w:hAnsi="ˎ̥"/>
          <w:b/>
          <w:bCs/>
          <w:color w:val="000000"/>
          <w:sz w:val="24"/>
          <w:szCs w:val="24"/>
        </w:rPr>
        <w:instrText xml:space="preserve">TOC \o "1-2" \h \u </w:instrText>
      </w:r>
      <w:r>
        <w:rPr>
          <w:rStyle w:val="9"/>
          <w:rFonts w:hint="eastAsia"/>
        </w:rPr>
        <w:fldChar w:fldCharType="separate"/>
      </w:r>
      <w:r>
        <w:fldChar w:fldCharType="begin"/>
      </w:r>
      <w:r>
        <w:instrText xml:space="preserve"> HYPERLINK \l "_Toc28770" </w:instrText>
      </w:r>
      <w:r>
        <w:fldChar w:fldCharType="separate"/>
      </w:r>
      <w:r>
        <w:rPr>
          <w:rFonts w:hint="eastAsia" w:ascii="仿宋_GB2312" w:hAnsi="仿宋_GB2312" w:eastAsia="仿宋_GB2312" w:cstheme="minorBidi"/>
          <w:kern w:val="2"/>
          <w:sz w:val="24"/>
          <w:szCs w:val="24"/>
        </w:rPr>
        <w:t>一、基本职能及主要工作</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rPr>
        <w:t>1</w:t>
      </w:r>
    </w:p>
    <w:p w14:paraId="321C07DB">
      <w:pPr>
        <w:pStyle w:val="17"/>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"_Toc21884" </w:instrText>
      </w:r>
      <w:r>
        <w:fldChar w:fldCharType="separate"/>
      </w:r>
      <w:r>
        <w:rPr>
          <w:rFonts w:hint="eastAsia" w:ascii="仿宋_GB2312" w:hAnsi="仿宋_GB2312" w:eastAsia="仿宋_GB2312" w:cstheme="minorBidi"/>
          <w:kern w:val="2"/>
          <w:sz w:val="24"/>
          <w:szCs w:val="24"/>
        </w:rPr>
        <w:t>（一）机构设置及主要职责</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rPr>
        <w:t>1</w:t>
      </w:r>
    </w:p>
    <w:p w14:paraId="5B8FBA77">
      <w:pPr>
        <w:pStyle w:val="17"/>
        <w:tabs>
          <w:tab w:val="right" w:leader="dot" w:pos="8845"/>
        </w:tabs>
        <w:spacing w:line="400" w:lineRule="exact"/>
        <w:ind w:left="0" w:leftChars="0" w:firstLine="400" w:firstLineChars="200"/>
        <w:rPr>
          <w:rFonts w:hint="eastAsia" w:ascii="仿宋_GB2312" w:hAnsi="仿宋_GB2312" w:eastAsia="仿宋_GB2312" w:cstheme="minorBidi"/>
          <w:kern w:val="2"/>
          <w:sz w:val="24"/>
          <w:szCs w:val="24"/>
          <w:lang w:eastAsia="zh-CN"/>
        </w:rPr>
      </w:pPr>
      <w:r>
        <w:fldChar w:fldCharType="begin"/>
      </w:r>
      <w:r>
        <w:instrText xml:space="preserve"> HYPERLINK \l "_Toc818" </w:instrText>
      </w:r>
      <w:r>
        <w:fldChar w:fldCharType="separate"/>
      </w:r>
      <w:r>
        <w:rPr>
          <w:rFonts w:hint="eastAsia" w:ascii="仿宋_GB2312" w:hAnsi="仿宋_GB2312" w:eastAsia="仿宋_GB2312" w:cstheme="minorBidi"/>
          <w:kern w:val="2"/>
          <w:sz w:val="24"/>
          <w:szCs w:val="24"/>
        </w:rPr>
        <w:t>（二）202</w:t>
      </w:r>
      <w:r>
        <w:rPr>
          <w:rFonts w:hint="eastAsia" w:ascii="仿宋_GB2312" w:hAnsi="仿宋_GB2312" w:eastAsia="仿宋_GB2312" w:cstheme="minorBidi"/>
          <w:kern w:val="2"/>
          <w:sz w:val="24"/>
          <w:szCs w:val="24"/>
          <w:lang w:val="en-US" w:eastAsia="zh-CN"/>
        </w:rPr>
        <w:t>5</w:t>
      </w:r>
      <w:r>
        <w:rPr>
          <w:rFonts w:hint="eastAsia" w:ascii="仿宋_GB2312" w:hAnsi="仿宋_GB2312" w:eastAsia="仿宋_GB2312" w:cstheme="minorBidi"/>
          <w:kern w:val="2"/>
          <w:sz w:val="24"/>
          <w:szCs w:val="24"/>
        </w:rPr>
        <w:t>年重点工作</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lang w:val="en-US" w:eastAsia="zh-CN"/>
        </w:rPr>
        <w:t>2</w:t>
      </w:r>
    </w:p>
    <w:p w14:paraId="06DFDF3D">
      <w:pPr>
        <w:pStyle w:val="16"/>
        <w:tabs>
          <w:tab w:val="right" w:leader="dot" w:pos="8845"/>
        </w:tabs>
        <w:spacing w:line="400" w:lineRule="exact"/>
        <w:rPr>
          <w:rFonts w:hint="eastAsia" w:ascii="仿宋_GB2312" w:hAnsi="仿宋_GB2312" w:eastAsia="仿宋_GB2312" w:cstheme="minorBidi"/>
          <w:kern w:val="2"/>
          <w:sz w:val="24"/>
          <w:szCs w:val="24"/>
          <w:lang w:eastAsia="zh-CN"/>
        </w:rPr>
      </w:pPr>
      <w:r>
        <w:fldChar w:fldCharType="begin"/>
      </w:r>
      <w:r>
        <w:instrText xml:space="preserve"> HYPERLINK \l "_Toc27442" </w:instrText>
      </w:r>
      <w:r>
        <w:fldChar w:fldCharType="separate"/>
      </w:r>
      <w:r>
        <w:rPr>
          <w:rFonts w:hint="eastAsia" w:ascii="仿宋_GB2312" w:hAnsi="仿宋_GB2312" w:eastAsia="仿宋_GB2312" w:cstheme="minorBidi"/>
          <w:kern w:val="2"/>
          <w:sz w:val="24"/>
          <w:szCs w:val="24"/>
        </w:rPr>
        <w:t>二、部门预算单位构成</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lang w:val="en-US" w:eastAsia="zh-CN"/>
        </w:rPr>
        <w:t>3</w:t>
      </w:r>
    </w:p>
    <w:p w14:paraId="67554D7A">
      <w:pPr>
        <w:pStyle w:val="16"/>
        <w:tabs>
          <w:tab w:val="right" w:leader="dot" w:pos="8845"/>
        </w:tabs>
        <w:spacing w:line="400" w:lineRule="exact"/>
        <w:rPr>
          <w:rFonts w:hint="eastAsia" w:ascii="仿宋_GB2312" w:hAnsi="仿宋_GB2312" w:eastAsia="仿宋_GB2312" w:cstheme="minorBidi"/>
          <w:kern w:val="2"/>
          <w:sz w:val="24"/>
          <w:szCs w:val="24"/>
          <w:lang w:eastAsia="zh-CN"/>
        </w:rPr>
      </w:pPr>
      <w:r>
        <w:fldChar w:fldCharType="begin"/>
      </w:r>
      <w:r>
        <w:instrText xml:space="preserve"> HYPERLINK \l "_Toc1848" </w:instrText>
      </w:r>
      <w:r>
        <w:fldChar w:fldCharType="separate"/>
      </w:r>
      <w:r>
        <w:rPr>
          <w:rFonts w:hint="eastAsia" w:ascii="仿宋_GB2312" w:hAnsi="仿宋_GB2312" w:eastAsia="仿宋_GB2312" w:cstheme="minorBidi"/>
          <w:kern w:val="2"/>
          <w:sz w:val="24"/>
          <w:szCs w:val="24"/>
        </w:rPr>
        <w:t>三、收支预算增减变化情况说明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lang w:val="en-US" w:eastAsia="zh-CN"/>
        </w:rPr>
        <w:t>3</w:t>
      </w:r>
    </w:p>
    <w:p w14:paraId="3C229A69">
      <w:pPr>
        <w:pStyle w:val="17"/>
        <w:tabs>
          <w:tab w:val="right" w:leader="dot" w:pos="8845"/>
        </w:tabs>
        <w:spacing w:line="400" w:lineRule="exact"/>
        <w:ind w:left="0" w:leftChars="0" w:firstLine="400" w:firstLineChars="200"/>
        <w:rPr>
          <w:rFonts w:hint="eastAsia" w:ascii="仿宋_GB2312" w:hAnsi="仿宋_GB2312" w:eastAsia="仿宋_GB2312" w:cstheme="minorBidi"/>
          <w:kern w:val="2"/>
          <w:sz w:val="24"/>
          <w:szCs w:val="24"/>
          <w:lang w:eastAsia="zh-CN"/>
        </w:rPr>
      </w:pPr>
      <w:r>
        <w:fldChar w:fldCharType="begin"/>
      </w:r>
      <w:r>
        <w:instrText xml:space="preserve"> HYPERLINK \l "_Toc193" </w:instrText>
      </w:r>
      <w:r>
        <w:fldChar w:fldCharType="separate"/>
      </w:r>
      <w:r>
        <w:rPr>
          <w:rFonts w:hint="eastAsia" w:ascii="仿宋_GB2312" w:hAnsi="仿宋_GB2312" w:eastAsia="仿宋_GB2312" w:cstheme="minorBidi"/>
          <w:kern w:val="2"/>
          <w:sz w:val="24"/>
          <w:szCs w:val="24"/>
        </w:rPr>
        <w:t>（一）收入预算情况</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lang w:val="en-US" w:eastAsia="zh-CN"/>
        </w:rPr>
        <w:t>3</w:t>
      </w:r>
    </w:p>
    <w:p w14:paraId="5CA05C8B">
      <w:pPr>
        <w:pStyle w:val="17"/>
        <w:tabs>
          <w:tab w:val="right" w:leader="dot" w:pos="8845"/>
        </w:tabs>
        <w:spacing w:line="400" w:lineRule="exact"/>
        <w:ind w:left="0" w:leftChars="0" w:firstLine="400" w:firstLineChars="200"/>
        <w:rPr>
          <w:rFonts w:hint="eastAsia" w:ascii="仿宋_GB2312" w:hAnsi="仿宋_GB2312" w:eastAsia="仿宋_GB2312" w:cstheme="minorBidi"/>
          <w:kern w:val="2"/>
          <w:sz w:val="24"/>
          <w:szCs w:val="24"/>
          <w:lang w:eastAsia="zh-CN"/>
        </w:rPr>
      </w:pPr>
      <w:r>
        <w:fldChar w:fldCharType="begin"/>
      </w:r>
      <w:r>
        <w:instrText xml:space="preserve"> HYPERLINK \l "_Toc3651" </w:instrText>
      </w:r>
      <w:r>
        <w:fldChar w:fldCharType="separate"/>
      </w:r>
      <w:r>
        <w:rPr>
          <w:rFonts w:hint="eastAsia" w:ascii="仿宋_GB2312" w:hAnsi="仿宋_GB2312" w:eastAsia="仿宋_GB2312" w:cstheme="minorBidi"/>
          <w:kern w:val="2"/>
          <w:sz w:val="24"/>
          <w:szCs w:val="24"/>
        </w:rPr>
        <w:t>（二）支出预算情况</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lang w:val="en-US" w:eastAsia="zh-CN"/>
        </w:rPr>
        <w:t>3</w:t>
      </w:r>
    </w:p>
    <w:p w14:paraId="2473EB8F">
      <w:pPr>
        <w:pStyle w:val="16"/>
        <w:tabs>
          <w:tab w:val="right" w:leader="dot" w:pos="8845"/>
        </w:tabs>
        <w:spacing w:line="400" w:lineRule="exact"/>
        <w:rPr>
          <w:rFonts w:ascii="仿宋_GB2312" w:hAnsi="仿宋_GB2312" w:eastAsia="仿宋_GB2312" w:cstheme="minorBidi"/>
          <w:kern w:val="2"/>
          <w:sz w:val="24"/>
          <w:szCs w:val="24"/>
        </w:rPr>
      </w:pPr>
      <w:r>
        <w:fldChar w:fldCharType="begin"/>
      </w:r>
      <w:r>
        <w:instrText xml:space="preserve"> HYPERLINK \l "_Toc3738" </w:instrText>
      </w:r>
      <w:r>
        <w:fldChar w:fldCharType="separate"/>
      </w:r>
      <w:r>
        <w:rPr>
          <w:rFonts w:hint="eastAsia" w:ascii="仿宋_GB2312" w:hAnsi="仿宋_GB2312" w:eastAsia="仿宋_GB2312" w:cstheme="minorBidi"/>
          <w:kern w:val="2"/>
          <w:sz w:val="24"/>
          <w:szCs w:val="24"/>
        </w:rPr>
        <w:t>四、财政拨款收支预算情况说明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lang w:val="en-US" w:eastAsia="zh-CN"/>
        </w:rPr>
        <w:t>4</w:t>
      </w:r>
      <w:r>
        <w:rPr>
          <w:rFonts w:hint="eastAsia" w:ascii="仿宋_GB2312" w:hAnsi="仿宋_GB2312" w:eastAsia="仿宋_GB2312" w:cstheme="minorBidi"/>
          <w:kern w:val="2"/>
          <w:sz w:val="24"/>
          <w:szCs w:val="24"/>
        </w:rPr>
        <w:fldChar w:fldCharType="end"/>
      </w:r>
    </w:p>
    <w:p w14:paraId="6C872C43">
      <w:pPr>
        <w:pStyle w:val="16"/>
        <w:tabs>
          <w:tab w:val="right" w:leader="dot" w:pos="8845"/>
        </w:tabs>
        <w:spacing w:line="400" w:lineRule="exact"/>
        <w:rPr>
          <w:rFonts w:ascii="仿宋_GB2312" w:hAnsi="仿宋_GB2312" w:eastAsia="仿宋_GB2312" w:cstheme="minorBidi"/>
          <w:kern w:val="2"/>
          <w:sz w:val="24"/>
          <w:szCs w:val="24"/>
        </w:rPr>
      </w:pPr>
      <w:r>
        <w:fldChar w:fldCharType="begin"/>
      </w:r>
      <w:r>
        <w:instrText xml:space="preserve"> HYPERLINK \l "_Toc3440" </w:instrText>
      </w:r>
      <w:r>
        <w:fldChar w:fldCharType="separate"/>
      </w:r>
      <w:r>
        <w:rPr>
          <w:rFonts w:hint="eastAsia" w:ascii="仿宋_GB2312" w:hAnsi="仿宋_GB2312" w:eastAsia="仿宋_GB2312" w:cstheme="minorBidi"/>
          <w:kern w:val="2"/>
          <w:sz w:val="24"/>
          <w:szCs w:val="24"/>
        </w:rPr>
        <w:t>五、一般公共预算当年拨款情况说明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lang w:val="en-US" w:eastAsia="zh-CN"/>
        </w:rPr>
        <w:t>4</w:t>
      </w:r>
      <w:r>
        <w:rPr>
          <w:rFonts w:hint="eastAsia" w:ascii="仿宋_GB2312" w:hAnsi="仿宋_GB2312" w:eastAsia="仿宋_GB2312" w:cstheme="minorBidi"/>
          <w:kern w:val="2"/>
          <w:sz w:val="24"/>
          <w:szCs w:val="24"/>
        </w:rPr>
        <w:fldChar w:fldCharType="end"/>
      </w:r>
    </w:p>
    <w:p w14:paraId="15E0DEA1">
      <w:pPr>
        <w:pStyle w:val="17"/>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"_Toc25098" </w:instrText>
      </w:r>
      <w:r>
        <w:fldChar w:fldCharType="separate"/>
      </w:r>
      <w:r>
        <w:rPr>
          <w:rFonts w:hint="eastAsia" w:ascii="仿宋_GB2312" w:hAnsi="仿宋_GB2312" w:eastAsia="仿宋_GB2312" w:cstheme="minorBidi"/>
          <w:kern w:val="2"/>
          <w:sz w:val="24"/>
          <w:szCs w:val="24"/>
        </w:rPr>
        <w:t>（一）一般公共预算当年拨款规模变化情况</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lang w:val="en-US" w:eastAsia="zh-CN"/>
        </w:rPr>
        <w:t>4</w:t>
      </w:r>
      <w:r>
        <w:rPr>
          <w:rFonts w:hint="eastAsia" w:ascii="仿宋_GB2312" w:hAnsi="仿宋_GB2312" w:eastAsia="仿宋_GB2312" w:cstheme="minorBidi"/>
          <w:kern w:val="2"/>
          <w:sz w:val="24"/>
          <w:szCs w:val="24"/>
        </w:rPr>
        <w:fldChar w:fldCharType="end"/>
      </w:r>
    </w:p>
    <w:p w14:paraId="47761322">
      <w:pPr>
        <w:pStyle w:val="17"/>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"_Toc16092" </w:instrText>
      </w:r>
      <w:r>
        <w:fldChar w:fldCharType="separate"/>
      </w:r>
      <w:r>
        <w:rPr>
          <w:rFonts w:hint="eastAsia" w:ascii="仿宋_GB2312" w:hAnsi="仿宋_GB2312" w:eastAsia="仿宋_GB2312" w:cstheme="minorBidi"/>
          <w:kern w:val="2"/>
          <w:sz w:val="24"/>
          <w:szCs w:val="24"/>
        </w:rPr>
        <w:t>（二）一般公共预算当年拨款结构情况(按照功能科目类写)</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lang w:val="en-US" w:eastAsia="zh-CN"/>
        </w:rPr>
        <w:t>4</w:t>
      </w:r>
      <w:r>
        <w:rPr>
          <w:rFonts w:hint="eastAsia" w:ascii="仿宋_GB2312" w:hAnsi="仿宋_GB2312" w:eastAsia="仿宋_GB2312" w:cstheme="minorBidi"/>
          <w:kern w:val="2"/>
          <w:sz w:val="24"/>
          <w:szCs w:val="24"/>
        </w:rPr>
        <w:fldChar w:fldCharType="end"/>
      </w:r>
    </w:p>
    <w:p w14:paraId="1772C4B9">
      <w:pPr>
        <w:pStyle w:val="17"/>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"_Toc28341" </w:instrText>
      </w:r>
      <w:r>
        <w:fldChar w:fldCharType="separate"/>
      </w:r>
      <w:r>
        <w:rPr>
          <w:rFonts w:hint="eastAsia" w:ascii="仿宋_GB2312" w:hAnsi="仿宋_GB2312" w:eastAsia="仿宋_GB2312" w:cstheme="minorBidi"/>
          <w:kern w:val="2"/>
          <w:sz w:val="24"/>
          <w:szCs w:val="24"/>
        </w:rPr>
        <w:t>（三）一般公共预算当年拨款具体使用情况（按功能科目类款项写）</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lang w:val="en-US" w:eastAsia="zh-CN"/>
        </w:rPr>
        <w:t>4</w:t>
      </w:r>
      <w:r>
        <w:rPr>
          <w:rFonts w:hint="eastAsia" w:ascii="仿宋_GB2312" w:hAnsi="仿宋_GB2312" w:eastAsia="仿宋_GB2312" w:cstheme="minorBidi"/>
          <w:kern w:val="2"/>
          <w:sz w:val="24"/>
          <w:szCs w:val="24"/>
        </w:rPr>
        <w:fldChar w:fldCharType="end"/>
      </w:r>
    </w:p>
    <w:p w14:paraId="26C20838">
      <w:pPr>
        <w:pStyle w:val="16"/>
        <w:tabs>
          <w:tab w:val="right" w:leader="dot" w:pos="8845"/>
        </w:tabs>
        <w:spacing w:line="400" w:lineRule="exact"/>
        <w:rPr>
          <w:rFonts w:ascii="仿宋_GB2312" w:hAnsi="仿宋_GB2312" w:eastAsia="仿宋_GB2312" w:cstheme="minorBidi"/>
          <w:kern w:val="2"/>
          <w:sz w:val="24"/>
          <w:szCs w:val="24"/>
        </w:rPr>
      </w:pPr>
      <w:r>
        <w:fldChar w:fldCharType="begin"/>
      </w:r>
      <w:r>
        <w:instrText xml:space="preserve"> HYPERLINK \l "_Toc18858" </w:instrText>
      </w:r>
      <w:r>
        <w:fldChar w:fldCharType="separate"/>
      </w:r>
      <w:r>
        <w:rPr>
          <w:rFonts w:hint="eastAsia" w:ascii="仿宋_GB2312" w:hAnsi="仿宋_GB2312" w:eastAsia="仿宋_GB2312" w:cstheme="minorBidi"/>
          <w:kern w:val="2"/>
          <w:sz w:val="24"/>
          <w:szCs w:val="24"/>
        </w:rPr>
        <w:t>六、一般公共预算基本支出情况说明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lang w:val="en-US" w:eastAsia="zh-CN"/>
        </w:rPr>
        <w:t>5</w:t>
      </w:r>
      <w:r>
        <w:rPr>
          <w:rFonts w:hint="eastAsia" w:ascii="仿宋_GB2312" w:hAnsi="仿宋_GB2312" w:eastAsia="仿宋_GB2312" w:cstheme="minorBidi"/>
          <w:kern w:val="2"/>
          <w:sz w:val="24"/>
          <w:szCs w:val="24"/>
        </w:rPr>
        <w:fldChar w:fldCharType="end"/>
      </w:r>
    </w:p>
    <w:p w14:paraId="4C82E506">
      <w:pPr>
        <w:pStyle w:val="16"/>
        <w:tabs>
          <w:tab w:val="right" w:leader="dot" w:pos="8845"/>
        </w:tabs>
        <w:spacing w:line="400" w:lineRule="exact"/>
        <w:rPr>
          <w:rFonts w:ascii="仿宋_GB2312" w:hAnsi="仿宋_GB2312" w:eastAsia="仿宋_GB2312" w:cstheme="minorBidi"/>
          <w:kern w:val="2"/>
          <w:sz w:val="24"/>
          <w:szCs w:val="24"/>
        </w:rPr>
      </w:pPr>
      <w:r>
        <w:fldChar w:fldCharType="begin"/>
      </w:r>
      <w:r>
        <w:instrText xml:space="preserve"> HYPERLINK \l "_Toc256" </w:instrText>
      </w:r>
      <w:r>
        <w:fldChar w:fldCharType="separate"/>
      </w:r>
      <w:r>
        <w:rPr>
          <w:rFonts w:hint="eastAsia" w:ascii="仿宋_GB2312" w:hAnsi="仿宋_GB2312" w:eastAsia="仿宋_GB2312" w:cstheme="minorBidi"/>
          <w:kern w:val="2"/>
          <w:sz w:val="24"/>
          <w:szCs w:val="24"/>
        </w:rPr>
        <w:t>七、“三公”经费财政拨款预算安排情况说明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lang w:val="en-US" w:eastAsia="zh-CN"/>
        </w:rPr>
        <w:t>5</w:t>
      </w:r>
      <w:r>
        <w:rPr>
          <w:rFonts w:hint="eastAsia" w:ascii="仿宋_GB2312" w:hAnsi="仿宋_GB2312" w:eastAsia="仿宋_GB2312" w:cstheme="minorBidi"/>
          <w:kern w:val="2"/>
          <w:sz w:val="24"/>
          <w:szCs w:val="24"/>
        </w:rPr>
        <w:fldChar w:fldCharType="end"/>
      </w:r>
    </w:p>
    <w:p w14:paraId="1E6A6D30">
      <w:pPr>
        <w:pStyle w:val="16"/>
        <w:tabs>
          <w:tab w:val="right" w:leader="dot" w:pos="8845"/>
        </w:tabs>
        <w:spacing w:line="400" w:lineRule="exact"/>
        <w:rPr>
          <w:rFonts w:ascii="仿宋_GB2312" w:hAnsi="仿宋_GB2312" w:eastAsia="仿宋_GB2312" w:cstheme="minorBidi"/>
          <w:kern w:val="2"/>
          <w:sz w:val="24"/>
          <w:szCs w:val="24"/>
        </w:rPr>
      </w:pPr>
      <w:r>
        <w:fldChar w:fldCharType="begin"/>
      </w:r>
      <w:r>
        <w:instrText xml:space="preserve"> HYPERLINK \l "_Toc11086" </w:instrText>
      </w:r>
      <w:r>
        <w:fldChar w:fldCharType="separate"/>
      </w:r>
      <w:r>
        <w:rPr>
          <w:rFonts w:hint="eastAsia" w:ascii="仿宋_GB2312" w:hAnsi="仿宋_GB2312" w:eastAsia="仿宋_GB2312" w:cstheme="minorBidi"/>
          <w:kern w:val="2"/>
          <w:sz w:val="24"/>
          <w:szCs w:val="24"/>
        </w:rPr>
        <w:t>八、政府性基金预算收支情况说明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lang w:val="en-US" w:eastAsia="zh-CN"/>
        </w:rPr>
        <w:t>6</w:t>
      </w:r>
      <w:r>
        <w:rPr>
          <w:rFonts w:hint="eastAsia" w:ascii="仿宋_GB2312" w:hAnsi="仿宋_GB2312" w:eastAsia="仿宋_GB2312" w:cstheme="minorBidi"/>
          <w:kern w:val="2"/>
          <w:sz w:val="24"/>
          <w:szCs w:val="24"/>
        </w:rPr>
        <w:fldChar w:fldCharType="end"/>
      </w:r>
    </w:p>
    <w:p w14:paraId="1AAB5DD3">
      <w:pPr>
        <w:pStyle w:val="16"/>
        <w:tabs>
          <w:tab w:val="right" w:leader="dot" w:pos="8845"/>
        </w:tabs>
        <w:spacing w:line="400" w:lineRule="exact"/>
        <w:rPr>
          <w:rFonts w:ascii="仿宋_GB2312" w:hAnsi="仿宋_GB2312" w:eastAsia="仿宋_GB2312" w:cstheme="minorBidi"/>
          <w:kern w:val="2"/>
          <w:sz w:val="24"/>
          <w:szCs w:val="24"/>
        </w:rPr>
      </w:pPr>
      <w:r>
        <w:fldChar w:fldCharType="begin"/>
      </w:r>
      <w:r>
        <w:instrText xml:space="preserve"> HYPERLINK \l "_Toc165" </w:instrText>
      </w:r>
      <w:r>
        <w:fldChar w:fldCharType="separate"/>
      </w:r>
      <w:r>
        <w:rPr>
          <w:rFonts w:hint="eastAsia" w:ascii="仿宋_GB2312" w:hAnsi="仿宋_GB2312" w:eastAsia="仿宋_GB2312" w:cstheme="minorBidi"/>
          <w:kern w:val="2"/>
          <w:sz w:val="24"/>
          <w:szCs w:val="24"/>
        </w:rPr>
        <w:t>九、国有资本经营预算支出情况说明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lang w:val="en-US" w:eastAsia="zh-CN"/>
        </w:rPr>
        <w:t>6</w:t>
      </w:r>
      <w:r>
        <w:rPr>
          <w:rFonts w:hint="eastAsia" w:ascii="仿宋_GB2312" w:hAnsi="仿宋_GB2312" w:eastAsia="仿宋_GB2312" w:cstheme="minorBidi"/>
          <w:kern w:val="2"/>
          <w:sz w:val="24"/>
          <w:szCs w:val="24"/>
        </w:rPr>
        <w:fldChar w:fldCharType="end"/>
      </w:r>
    </w:p>
    <w:p w14:paraId="06C75240">
      <w:pPr>
        <w:pStyle w:val="16"/>
        <w:tabs>
          <w:tab w:val="right" w:leader="dot" w:pos="8845"/>
        </w:tabs>
        <w:spacing w:line="400" w:lineRule="exact"/>
        <w:rPr>
          <w:rFonts w:ascii="仿宋_GB2312" w:hAnsi="仿宋_GB2312" w:eastAsia="仿宋_GB2312" w:cstheme="minorBidi"/>
          <w:kern w:val="2"/>
          <w:sz w:val="24"/>
          <w:szCs w:val="24"/>
        </w:rPr>
      </w:pPr>
      <w:r>
        <w:fldChar w:fldCharType="begin"/>
      </w:r>
      <w:r>
        <w:instrText xml:space="preserve"> HYPERLINK \l "_Toc29771" </w:instrText>
      </w:r>
      <w:r>
        <w:fldChar w:fldCharType="separate"/>
      </w:r>
      <w:r>
        <w:rPr>
          <w:rFonts w:hint="eastAsia" w:ascii="仿宋_GB2312" w:hAnsi="仿宋_GB2312" w:eastAsia="仿宋_GB2312" w:cstheme="minorBidi"/>
          <w:kern w:val="2"/>
          <w:sz w:val="24"/>
          <w:szCs w:val="24"/>
        </w:rPr>
        <w:t>十、其他重要事项的情况说明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lang w:val="en-US" w:eastAsia="zh-CN"/>
        </w:rPr>
        <w:t>6</w:t>
      </w:r>
      <w:r>
        <w:rPr>
          <w:rFonts w:hint="eastAsia" w:ascii="仿宋_GB2312" w:hAnsi="仿宋_GB2312" w:eastAsia="仿宋_GB2312" w:cstheme="minorBidi"/>
          <w:kern w:val="2"/>
          <w:sz w:val="24"/>
          <w:szCs w:val="24"/>
        </w:rPr>
        <w:fldChar w:fldCharType="end"/>
      </w:r>
    </w:p>
    <w:p w14:paraId="434BAAF6">
      <w:pPr>
        <w:pStyle w:val="17"/>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"_Toc11525" </w:instrText>
      </w:r>
      <w:r>
        <w:fldChar w:fldCharType="separate"/>
      </w:r>
      <w:r>
        <w:rPr>
          <w:rFonts w:hint="eastAsia" w:ascii="仿宋_GB2312" w:hAnsi="仿宋_GB2312" w:eastAsia="仿宋_GB2312" w:cstheme="minorBidi"/>
          <w:kern w:val="2"/>
          <w:sz w:val="24"/>
          <w:szCs w:val="24"/>
        </w:rPr>
        <w:t>（一）机关运行经费</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lang w:val="en-US" w:eastAsia="zh-CN"/>
        </w:rPr>
        <w:t>6</w:t>
      </w:r>
      <w:r>
        <w:rPr>
          <w:rFonts w:hint="eastAsia" w:ascii="仿宋_GB2312" w:hAnsi="仿宋_GB2312" w:eastAsia="仿宋_GB2312" w:cstheme="minorBidi"/>
          <w:kern w:val="2"/>
          <w:sz w:val="24"/>
          <w:szCs w:val="24"/>
        </w:rPr>
        <w:fldChar w:fldCharType="end"/>
      </w:r>
    </w:p>
    <w:p w14:paraId="67F3F795">
      <w:pPr>
        <w:pStyle w:val="17"/>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"_Toc15299" </w:instrText>
      </w:r>
      <w:r>
        <w:fldChar w:fldCharType="separate"/>
      </w:r>
      <w:r>
        <w:rPr>
          <w:rFonts w:hint="eastAsia" w:ascii="仿宋_GB2312" w:hAnsi="仿宋_GB2312" w:eastAsia="仿宋_GB2312" w:cstheme="minorBidi"/>
          <w:kern w:val="2"/>
          <w:sz w:val="24"/>
          <w:szCs w:val="24"/>
        </w:rPr>
        <w:t>（二）政府采购情况</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lang w:val="en-US" w:eastAsia="zh-CN"/>
        </w:rPr>
        <w:t>6</w:t>
      </w:r>
      <w:r>
        <w:rPr>
          <w:rFonts w:hint="eastAsia" w:ascii="仿宋_GB2312" w:hAnsi="仿宋_GB2312" w:eastAsia="仿宋_GB2312" w:cstheme="minorBidi"/>
          <w:kern w:val="2"/>
          <w:sz w:val="24"/>
          <w:szCs w:val="24"/>
        </w:rPr>
        <w:fldChar w:fldCharType="end"/>
      </w:r>
    </w:p>
    <w:p w14:paraId="2A79A35C">
      <w:pPr>
        <w:pStyle w:val="17"/>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"_Toc18679" </w:instrText>
      </w:r>
      <w:r>
        <w:fldChar w:fldCharType="separate"/>
      </w:r>
      <w:r>
        <w:rPr>
          <w:rFonts w:hint="eastAsia" w:ascii="仿宋_GB2312" w:hAnsi="仿宋_GB2312" w:eastAsia="仿宋_GB2312" w:cstheme="minorBidi"/>
          <w:kern w:val="2"/>
          <w:sz w:val="24"/>
          <w:szCs w:val="24"/>
        </w:rPr>
        <w:t>（三）国有资产占有使用情况</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lang w:val="en-US" w:eastAsia="zh-CN"/>
        </w:rPr>
        <w:t>6</w:t>
      </w:r>
      <w:r>
        <w:rPr>
          <w:rFonts w:hint="eastAsia" w:ascii="仿宋_GB2312" w:hAnsi="仿宋_GB2312" w:eastAsia="仿宋_GB2312" w:cstheme="minorBidi"/>
          <w:kern w:val="2"/>
          <w:sz w:val="24"/>
          <w:szCs w:val="24"/>
        </w:rPr>
        <w:fldChar w:fldCharType="end"/>
      </w:r>
    </w:p>
    <w:p w14:paraId="594A9243">
      <w:pPr>
        <w:pStyle w:val="17"/>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"_Toc2176" </w:instrText>
      </w:r>
      <w:r>
        <w:fldChar w:fldCharType="separate"/>
      </w:r>
      <w:r>
        <w:rPr>
          <w:rFonts w:hint="eastAsia" w:ascii="仿宋_GB2312" w:hAnsi="仿宋_GB2312" w:eastAsia="仿宋_GB2312" w:cstheme="minorBidi"/>
          <w:kern w:val="2"/>
          <w:sz w:val="24"/>
          <w:szCs w:val="24"/>
        </w:rPr>
        <w:t>（四）绩效目标设置情况</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lang w:val="en-US" w:eastAsia="zh-CN"/>
        </w:rPr>
        <w:t>7</w:t>
      </w:r>
      <w:r>
        <w:rPr>
          <w:rFonts w:hint="eastAsia" w:ascii="仿宋_GB2312" w:hAnsi="仿宋_GB2312" w:eastAsia="仿宋_GB2312" w:cstheme="minorBidi"/>
          <w:kern w:val="2"/>
          <w:sz w:val="24"/>
          <w:szCs w:val="24"/>
        </w:rPr>
        <w:fldChar w:fldCharType="end"/>
      </w:r>
    </w:p>
    <w:p w14:paraId="0AD7AB1C">
      <w:pPr>
        <w:pStyle w:val="16"/>
        <w:tabs>
          <w:tab w:val="right" w:leader="dot" w:pos="8845"/>
        </w:tabs>
        <w:spacing w:line="400" w:lineRule="exact"/>
        <w:rPr>
          <w:rFonts w:hint="eastAsia" w:eastAsia="仿宋_GB2312"/>
          <w:b/>
          <w:sz w:val="24"/>
          <w:szCs w:val="24"/>
          <w:lang w:eastAsia="zh-CN"/>
        </w:rPr>
      </w:pPr>
      <w:r>
        <w:fldChar w:fldCharType="begin"/>
      </w:r>
      <w:r>
        <w:instrText xml:space="preserve"> HYPERLINK \l "_Toc6693" </w:instrText>
      </w:r>
      <w:r>
        <w:fldChar w:fldCharType="separate"/>
      </w:r>
      <w:r>
        <w:rPr>
          <w:rFonts w:hint="eastAsia" w:ascii="仿宋_GB2312" w:hAnsi="仿宋_GB2312" w:eastAsia="仿宋_GB2312" w:cstheme="minorBidi"/>
          <w:kern w:val="2"/>
          <w:sz w:val="24"/>
          <w:szCs w:val="24"/>
        </w:rPr>
        <w:t>十一、名词解释</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lang w:val="en-US" w:eastAsia="zh-CN"/>
        </w:rPr>
        <w:t>7</w:t>
      </w:r>
    </w:p>
    <w:p w14:paraId="69BCE2CD">
      <w:pPr>
        <w:spacing w:line="400" w:lineRule="exact"/>
        <w:ind w:left="1598" w:leftChars="132" w:hanging="964" w:hangingChars="400"/>
        <w:rPr>
          <w:rFonts w:hint="eastAsia" w:ascii="ˎ̥" w:hAnsi="ˎ̥"/>
          <w:b/>
          <w:bCs/>
          <w:color w:val="000000"/>
          <w:sz w:val="24"/>
        </w:rPr>
      </w:pPr>
      <w:r>
        <w:rPr>
          <w:rFonts w:hint="eastAsia" w:ascii="ˎ̥" w:hAnsi="ˎ̥"/>
          <w:b/>
          <w:bCs/>
          <w:color w:val="000000"/>
          <w:sz w:val="24"/>
        </w:rPr>
        <w:fldChar w:fldCharType="end"/>
      </w:r>
    </w:p>
    <w:p w14:paraId="7514BE36">
      <w:pPr>
        <w:spacing w:line="560" w:lineRule="exact"/>
        <w:rPr>
          <w:rFonts w:ascii="仿宋_GB2312" w:hAnsi="仿宋_GB2312" w:eastAsia="仿宋_GB2312"/>
          <w:sz w:val="32"/>
          <w:szCs w:val="32"/>
        </w:rPr>
      </w:pPr>
    </w:p>
    <w:p w14:paraId="683495A6">
      <w:pPr>
        <w:spacing w:line="560" w:lineRule="exact"/>
        <w:rPr>
          <w:rFonts w:ascii="仿宋_GB2312" w:hAnsi="仿宋_GB2312" w:eastAsia="仿宋_GB2312"/>
          <w:sz w:val="32"/>
          <w:szCs w:val="32"/>
        </w:rPr>
      </w:pPr>
    </w:p>
    <w:p w14:paraId="3A4586B4">
      <w:pPr>
        <w:spacing w:line="560" w:lineRule="exact"/>
        <w:ind w:firstLine="643" w:firstLineChars="200"/>
        <w:rPr>
          <w:rFonts w:ascii="仿宋_GB2312" w:hAnsi="仿宋_GB2312" w:eastAsia="仿宋_GB2312"/>
          <w:b/>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14:paraId="6182360E">
      <w:pPr>
        <w:keepNext w:val="0"/>
        <w:keepLines w:val="0"/>
        <w:pageBreakBefore w:val="0"/>
        <w:widowControl w:val="0"/>
        <w:kinsoku/>
        <w:wordWrap/>
        <w:overflowPunct/>
        <w:topLinePunct w:val="0"/>
        <w:autoSpaceDE/>
        <w:autoSpaceDN/>
        <w:bidi w:val="0"/>
        <w:spacing w:line="500" w:lineRule="exact"/>
        <w:ind w:firstLine="643" w:firstLineChars="200"/>
        <w:textAlignment w:val="auto"/>
        <w:rPr>
          <w:rFonts w:hint="eastAsia" w:ascii="仿宋_GB2312" w:hAnsi="仿宋_GB2312" w:eastAsia="仿宋_GB2312"/>
          <w:b/>
          <w:sz w:val="32"/>
          <w:szCs w:val="32"/>
        </w:rPr>
      </w:pPr>
    </w:p>
    <w:p w14:paraId="0A133431">
      <w:pPr>
        <w:keepNext w:val="0"/>
        <w:keepLines w:val="0"/>
        <w:pageBreakBefore w:val="0"/>
        <w:widowControl w:val="0"/>
        <w:kinsoku/>
        <w:wordWrap/>
        <w:overflowPunct/>
        <w:topLinePunct w:val="0"/>
        <w:autoSpaceDE/>
        <w:autoSpaceDN/>
        <w:bidi w:val="0"/>
        <w:spacing w:line="490" w:lineRule="exact"/>
        <w:ind w:firstLine="643" w:firstLineChars="200"/>
        <w:textAlignment w:val="auto"/>
        <w:rPr>
          <w:rFonts w:ascii="仿宋_GB2312" w:hAnsi="仿宋_GB2312" w:eastAsia="仿宋_GB2312"/>
          <w:b/>
          <w:sz w:val="32"/>
          <w:szCs w:val="32"/>
        </w:rPr>
      </w:pPr>
      <w:r>
        <w:rPr>
          <w:rFonts w:hint="eastAsia" w:ascii="仿宋_GB2312" w:hAnsi="仿宋_GB2312" w:eastAsia="仿宋_GB2312"/>
          <w:b/>
          <w:sz w:val="32"/>
          <w:szCs w:val="32"/>
        </w:rPr>
        <w:t>一、基本职能及主要工作</w:t>
      </w:r>
    </w:p>
    <w:p w14:paraId="46CCB026">
      <w:pPr>
        <w:keepNext w:val="0"/>
        <w:keepLines w:val="0"/>
        <w:pageBreakBefore w:val="0"/>
        <w:widowControl w:val="0"/>
        <w:kinsoku/>
        <w:wordWrap/>
        <w:overflowPunct/>
        <w:topLinePunct w:val="0"/>
        <w:autoSpaceDE/>
        <w:autoSpaceDN/>
        <w:bidi w:val="0"/>
        <w:spacing w:line="490" w:lineRule="exact"/>
        <w:textAlignment w:val="auto"/>
        <w:rPr>
          <w:rFonts w:ascii="仿宋_GB2312" w:hAnsi="仿宋_GB2312" w:eastAsia="仿宋_GB2312"/>
          <w:b/>
          <w:bCs/>
          <w:sz w:val="32"/>
          <w:szCs w:val="32"/>
        </w:rPr>
      </w:pPr>
      <w:r>
        <w:rPr>
          <w:rFonts w:hint="eastAsia" w:ascii="仿宋_GB2312" w:hAnsi="仿宋_GB2312" w:eastAsia="仿宋_GB2312"/>
          <w:b/>
          <w:bCs/>
          <w:sz w:val="32"/>
          <w:szCs w:val="32"/>
        </w:rPr>
        <w:t>　（一）机构设置及主要职责。</w:t>
      </w:r>
    </w:p>
    <w:p w14:paraId="4BE98C78">
      <w:pPr>
        <w:pStyle w:val="2"/>
        <w:keepNext w:val="0"/>
        <w:keepLines w:val="0"/>
        <w:pageBreakBefore w:val="0"/>
        <w:widowControl w:val="0"/>
        <w:kinsoku/>
        <w:wordWrap/>
        <w:overflowPunct/>
        <w:topLinePunct w:val="0"/>
        <w:autoSpaceDE/>
        <w:autoSpaceDN/>
        <w:bidi w:val="0"/>
        <w:adjustRightInd w:val="0"/>
        <w:snapToGrid w:val="0"/>
        <w:spacing w:before="93" w:line="490" w:lineRule="exact"/>
        <w:ind w:firstLine="672" w:firstLineChars="210"/>
        <w:textAlignment w:val="auto"/>
        <w:rPr>
          <w:rFonts w:ascii="仿宋" w:hAnsi="仿宋" w:eastAsia="仿宋"/>
          <w:sz w:val="32"/>
          <w:szCs w:val="32"/>
        </w:rPr>
      </w:pPr>
      <w:r>
        <w:rPr>
          <w:rFonts w:hint="eastAsia" w:ascii="仿宋" w:hAnsi="仿宋" w:eastAsia="仿宋"/>
          <w:sz w:val="32"/>
          <w:szCs w:val="32"/>
        </w:rPr>
        <w:t>1、开展学术交流，活跃学术思想，促进学科发展和技术创新。</w:t>
      </w:r>
    </w:p>
    <w:p w14:paraId="16DC5947">
      <w:pPr>
        <w:pStyle w:val="2"/>
        <w:keepNext w:val="0"/>
        <w:keepLines w:val="0"/>
        <w:pageBreakBefore w:val="0"/>
        <w:widowControl w:val="0"/>
        <w:kinsoku/>
        <w:wordWrap/>
        <w:overflowPunct/>
        <w:topLinePunct w:val="0"/>
        <w:autoSpaceDE/>
        <w:autoSpaceDN/>
        <w:bidi w:val="0"/>
        <w:adjustRightInd w:val="0"/>
        <w:snapToGrid w:val="0"/>
        <w:spacing w:before="93" w:line="490" w:lineRule="exact"/>
        <w:ind w:firstLine="672" w:firstLineChars="210"/>
        <w:textAlignment w:val="auto"/>
        <w:rPr>
          <w:rFonts w:ascii="仿宋" w:hAnsi="仿宋" w:eastAsia="仿宋"/>
          <w:sz w:val="32"/>
          <w:szCs w:val="32"/>
        </w:rPr>
      </w:pPr>
      <w:r>
        <w:rPr>
          <w:rFonts w:hint="eastAsia" w:ascii="仿宋" w:hAnsi="仿宋" w:eastAsia="仿宋"/>
          <w:sz w:val="32"/>
          <w:szCs w:val="32"/>
        </w:rPr>
        <w:t>2、负责全区科学技术普及工作。开展科普宣传，在全区人民中传播科学思想和科学方法，普及科学知识，弘扬科学精神，捍卫科学尊严；开展科技服务，推广先进实用技术，在农村、企业、学校、社会中开展科学技术教育和普及活动，提高全民族科学文化素质。</w:t>
      </w:r>
    </w:p>
    <w:p w14:paraId="4B90A44F">
      <w:pPr>
        <w:pStyle w:val="2"/>
        <w:keepNext w:val="0"/>
        <w:keepLines w:val="0"/>
        <w:pageBreakBefore w:val="0"/>
        <w:widowControl w:val="0"/>
        <w:kinsoku/>
        <w:wordWrap/>
        <w:overflowPunct/>
        <w:topLinePunct w:val="0"/>
        <w:autoSpaceDE/>
        <w:autoSpaceDN/>
        <w:bidi w:val="0"/>
        <w:adjustRightInd w:val="0"/>
        <w:snapToGrid w:val="0"/>
        <w:spacing w:before="93" w:line="490" w:lineRule="exact"/>
        <w:ind w:firstLine="672" w:firstLineChars="210"/>
        <w:textAlignment w:val="auto"/>
        <w:rPr>
          <w:rFonts w:ascii="仿宋" w:hAnsi="仿宋" w:eastAsia="仿宋"/>
          <w:sz w:val="32"/>
          <w:szCs w:val="32"/>
        </w:rPr>
      </w:pPr>
      <w:r>
        <w:rPr>
          <w:rFonts w:hint="eastAsia" w:ascii="仿宋" w:hAnsi="仿宋" w:eastAsia="仿宋"/>
          <w:sz w:val="32"/>
          <w:szCs w:val="32"/>
        </w:rPr>
        <w:t>3、反映科学技术工作者的意见和要求，维护科学技术工作者的合法权益，为科技团体和科学技术工作者服务。组织科学技术工作者参与全区科学技术政策、规划、贯彻法规制定和区内重大事项的政治协商、科学决策、民主监督工作。</w:t>
      </w:r>
    </w:p>
    <w:p w14:paraId="1CC0A04B">
      <w:pPr>
        <w:pStyle w:val="2"/>
        <w:keepNext w:val="0"/>
        <w:keepLines w:val="0"/>
        <w:pageBreakBefore w:val="0"/>
        <w:widowControl w:val="0"/>
        <w:kinsoku/>
        <w:wordWrap/>
        <w:overflowPunct/>
        <w:topLinePunct w:val="0"/>
        <w:autoSpaceDE/>
        <w:autoSpaceDN/>
        <w:bidi w:val="0"/>
        <w:adjustRightInd w:val="0"/>
        <w:snapToGrid w:val="0"/>
        <w:spacing w:before="93" w:line="490" w:lineRule="exact"/>
        <w:ind w:firstLine="672" w:firstLineChars="210"/>
        <w:textAlignment w:val="auto"/>
        <w:rPr>
          <w:rFonts w:ascii="仿宋" w:hAnsi="仿宋" w:eastAsia="仿宋"/>
          <w:sz w:val="32"/>
          <w:szCs w:val="32"/>
        </w:rPr>
      </w:pPr>
      <w:r>
        <w:rPr>
          <w:rFonts w:hint="eastAsia" w:ascii="仿宋" w:hAnsi="仿宋" w:eastAsia="仿宋"/>
          <w:sz w:val="32"/>
          <w:szCs w:val="32"/>
        </w:rPr>
        <w:t>4、表彰奖励优秀学术论文、优秀科学技术工作者、优秀科技团体，举荐人才。</w:t>
      </w:r>
    </w:p>
    <w:p w14:paraId="78A5583B">
      <w:pPr>
        <w:pStyle w:val="2"/>
        <w:keepNext w:val="0"/>
        <w:keepLines w:val="0"/>
        <w:pageBreakBefore w:val="0"/>
        <w:widowControl w:val="0"/>
        <w:kinsoku/>
        <w:wordWrap/>
        <w:overflowPunct/>
        <w:topLinePunct w:val="0"/>
        <w:autoSpaceDE/>
        <w:autoSpaceDN/>
        <w:bidi w:val="0"/>
        <w:adjustRightInd w:val="0"/>
        <w:snapToGrid w:val="0"/>
        <w:spacing w:before="93" w:line="490" w:lineRule="exact"/>
        <w:ind w:firstLine="672" w:firstLineChars="210"/>
        <w:textAlignment w:val="auto"/>
        <w:rPr>
          <w:rFonts w:ascii="仿宋" w:hAnsi="仿宋" w:eastAsia="仿宋"/>
          <w:sz w:val="32"/>
          <w:szCs w:val="32"/>
        </w:rPr>
      </w:pPr>
      <w:r>
        <w:rPr>
          <w:rFonts w:hint="eastAsia" w:ascii="仿宋" w:hAnsi="仿宋" w:eastAsia="仿宋"/>
          <w:sz w:val="32"/>
          <w:szCs w:val="32"/>
        </w:rPr>
        <w:t>5、开展科学论证、咨询服务、农民技术职称评定，提出政策建议，实施“金桥工程”，开展“讲比”活动，促进科学技术成果的转化，接受委托承担项目评估、成果鉴定、专业技术职务资格评审等任务。负责科技咨询行业的管理。</w:t>
      </w:r>
    </w:p>
    <w:p w14:paraId="53C832D7">
      <w:pPr>
        <w:pStyle w:val="2"/>
        <w:keepNext w:val="0"/>
        <w:keepLines w:val="0"/>
        <w:pageBreakBefore w:val="0"/>
        <w:widowControl w:val="0"/>
        <w:kinsoku/>
        <w:wordWrap/>
        <w:overflowPunct/>
        <w:topLinePunct w:val="0"/>
        <w:autoSpaceDE/>
        <w:autoSpaceDN/>
        <w:bidi w:val="0"/>
        <w:adjustRightInd w:val="0"/>
        <w:snapToGrid w:val="0"/>
        <w:spacing w:before="93" w:line="490" w:lineRule="exact"/>
        <w:ind w:firstLine="672" w:firstLineChars="210"/>
        <w:textAlignment w:val="auto"/>
        <w:rPr>
          <w:rFonts w:ascii="仿宋" w:hAnsi="仿宋" w:eastAsia="仿宋"/>
          <w:sz w:val="32"/>
          <w:szCs w:val="32"/>
        </w:rPr>
      </w:pPr>
      <w:r>
        <w:rPr>
          <w:rFonts w:hint="eastAsia" w:ascii="仿宋" w:hAnsi="仿宋" w:eastAsia="仿宋"/>
          <w:sz w:val="32"/>
          <w:szCs w:val="32"/>
        </w:rPr>
        <w:t>6、开展地区间的民间科学技术交流与合作，发展同区外的科学技术团体和科学技术工作者的友好交往。</w:t>
      </w:r>
    </w:p>
    <w:p w14:paraId="17308A1C">
      <w:pPr>
        <w:pStyle w:val="2"/>
        <w:keepNext w:val="0"/>
        <w:keepLines w:val="0"/>
        <w:pageBreakBefore w:val="0"/>
        <w:widowControl w:val="0"/>
        <w:kinsoku/>
        <w:wordWrap/>
        <w:overflowPunct/>
        <w:topLinePunct w:val="0"/>
        <w:autoSpaceDE/>
        <w:autoSpaceDN/>
        <w:bidi w:val="0"/>
        <w:adjustRightInd w:val="0"/>
        <w:snapToGrid w:val="0"/>
        <w:spacing w:before="93" w:line="490" w:lineRule="exact"/>
        <w:ind w:firstLine="672" w:firstLineChars="210"/>
        <w:textAlignment w:val="auto"/>
        <w:rPr>
          <w:rFonts w:ascii="仿宋" w:hAnsi="仿宋" w:eastAsia="仿宋"/>
          <w:sz w:val="32"/>
          <w:szCs w:val="32"/>
        </w:rPr>
      </w:pPr>
      <w:r>
        <w:rPr>
          <w:rFonts w:hint="eastAsia" w:ascii="仿宋" w:hAnsi="仿宋" w:eastAsia="仿宋"/>
          <w:sz w:val="32"/>
          <w:szCs w:val="32"/>
        </w:rPr>
        <w:t>7、开展继续教育和培训工作，参与组织科学技术工作者进行科技开发、科技攻关、科技服务。</w:t>
      </w:r>
    </w:p>
    <w:p w14:paraId="1DA45680">
      <w:pPr>
        <w:pStyle w:val="2"/>
        <w:keepNext w:val="0"/>
        <w:keepLines w:val="0"/>
        <w:pageBreakBefore w:val="0"/>
        <w:widowControl w:val="0"/>
        <w:kinsoku/>
        <w:wordWrap/>
        <w:overflowPunct/>
        <w:topLinePunct w:val="0"/>
        <w:autoSpaceDE/>
        <w:autoSpaceDN/>
        <w:bidi w:val="0"/>
        <w:adjustRightInd w:val="0"/>
        <w:snapToGrid w:val="0"/>
        <w:spacing w:before="93" w:line="490" w:lineRule="exact"/>
        <w:ind w:firstLine="672" w:firstLineChars="210"/>
        <w:textAlignment w:val="auto"/>
        <w:rPr>
          <w:rFonts w:ascii="仿宋" w:hAnsi="仿宋" w:eastAsia="仿宋"/>
          <w:sz w:val="32"/>
          <w:szCs w:val="32"/>
        </w:rPr>
      </w:pPr>
      <w:r>
        <w:rPr>
          <w:rFonts w:hint="eastAsia" w:ascii="仿宋" w:hAnsi="仿宋" w:eastAsia="仿宋"/>
          <w:sz w:val="32"/>
          <w:szCs w:val="32"/>
        </w:rPr>
        <w:t>8、兴办符合区科协宗旨的社会公益性事业。</w:t>
      </w:r>
    </w:p>
    <w:p w14:paraId="615CE8D5">
      <w:pPr>
        <w:pStyle w:val="2"/>
        <w:keepNext w:val="0"/>
        <w:keepLines w:val="0"/>
        <w:pageBreakBefore w:val="0"/>
        <w:widowControl w:val="0"/>
        <w:kinsoku/>
        <w:wordWrap/>
        <w:overflowPunct/>
        <w:topLinePunct w:val="0"/>
        <w:autoSpaceDE/>
        <w:autoSpaceDN/>
        <w:bidi w:val="0"/>
        <w:adjustRightInd w:val="0"/>
        <w:snapToGrid w:val="0"/>
        <w:spacing w:before="93" w:line="490" w:lineRule="exact"/>
        <w:ind w:firstLine="672" w:firstLineChars="210"/>
        <w:textAlignment w:val="auto"/>
        <w:rPr>
          <w:rFonts w:ascii="仿宋" w:hAnsi="仿宋" w:eastAsia="仿宋"/>
          <w:sz w:val="32"/>
          <w:szCs w:val="32"/>
        </w:rPr>
      </w:pPr>
      <w:r>
        <w:rPr>
          <w:rFonts w:hint="eastAsia" w:ascii="仿宋" w:hAnsi="仿宋" w:eastAsia="仿宋"/>
          <w:sz w:val="32"/>
          <w:szCs w:val="32"/>
        </w:rPr>
        <w:t>9、对直属学（协、研究）会等的管理和所属科协组织进行业务指导，加强所属团体之间的联系与合作。</w:t>
      </w:r>
    </w:p>
    <w:p w14:paraId="3E93924B">
      <w:pPr>
        <w:pStyle w:val="2"/>
        <w:keepNext w:val="0"/>
        <w:keepLines w:val="0"/>
        <w:pageBreakBefore w:val="0"/>
        <w:widowControl w:val="0"/>
        <w:kinsoku/>
        <w:wordWrap/>
        <w:overflowPunct/>
        <w:topLinePunct w:val="0"/>
        <w:autoSpaceDE/>
        <w:autoSpaceDN/>
        <w:bidi w:val="0"/>
        <w:adjustRightInd w:val="0"/>
        <w:snapToGrid w:val="0"/>
        <w:spacing w:before="93" w:line="490" w:lineRule="exact"/>
        <w:ind w:firstLine="672" w:firstLineChars="210"/>
        <w:textAlignment w:val="auto"/>
        <w:rPr>
          <w:rFonts w:ascii="仿宋" w:hAnsi="仿宋" w:eastAsia="仿宋"/>
          <w:sz w:val="32"/>
          <w:szCs w:val="32"/>
        </w:rPr>
      </w:pPr>
      <w:r>
        <w:rPr>
          <w:rFonts w:hint="eastAsia" w:ascii="仿宋" w:hAnsi="仿宋" w:eastAsia="仿宋"/>
          <w:sz w:val="32"/>
          <w:szCs w:val="32"/>
        </w:rPr>
        <w:t>10、承办区委、区政府和上级科协交办的其他事项。</w:t>
      </w:r>
    </w:p>
    <w:p w14:paraId="11F71893">
      <w:pPr>
        <w:keepNext w:val="0"/>
        <w:keepLines w:val="0"/>
        <w:pageBreakBefore w:val="0"/>
        <w:widowControl w:val="0"/>
        <w:kinsoku/>
        <w:wordWrap/>
        <w:overflowPunct/>
        <w:topLinePunct w:val="0"/>
        <w:autoSpaceDE/>
        <w:autoSpaceDN/>
        <w:bidi w:val="0"/>
        <w:spacing w:line="490" w:lineRule="exact"/>
        <w:textAlignment w:val="auto"/>
        <w:rPr>
          <w:rFonts w:ascii="仿宋" w:hAnsi="仿宋" w:eastAsia="仿宋"/>
          <w:b/>
          <w:bCs/>
          <w:sz w:val="32"/>
          <w:szCs w:val="32"/>
        </w:rPr>
      </w:pPr>
      <w:r>
        <w:rPr>
          <w:rFonts w:hint="eastAsia" w:ascii="仿宋" w:hAnsi="仿宋" w:eastAsia="仿宋"/>
          <w:b/>
          <w:bCs/>
          <w:sz w:val="32"/>
          <w:szCs w:val="32"/>
        </w:rPr>
        <w:t>机构设置：</w:t>
      </w:r>
    </w:p>
    <w:p w14:paraId="5288E553">
      <w:pPr>
        <w:keepNext w:val="0"/>
        <w:keepLines w:val="0"/>
        <w:pageBreakBefore w:val="0"/>
        <w:widowControl w:val="0"/>
        <w:kinsoku/>
        <w:wordWrap/>
        <w:overflowPunct/>
        <w:topLinePunct w:val="0"/>
        <w:autoSpaceDE/>
        <w:autoSpaceDN/>
        <w:bidi w:val="0"/>
        <w:spacing w:line="49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区科协下设内设机构：</w:t>
      </w:r>
    </w:p>
    <w:p w14:paraId="2323FC40">
      <w:pPr>
        <w:pStyle w:val="10"/>
        <w:keepNext w:val="0"/>
        <w:keepLines w:val="0"/>
        <w:pageBreakBefore w:val="0"/>
        <w:widowControl w:val="0"/>
        <w:numPr>
          <w:ilvl w:val="0"/>
          <w:numId w:val="0"/>
        </w:numPr>
        <w:kinsoku/>
        <w:wordWrap/>
        <w:overflowPunct/>
        <w:topLinePunct w:val="0"/>
        <w:autoSpaceDE/>
        <w:autoSpaceDN/>
        <w:bidi w:val="0"/>
        <w:spacing w:line="490" w:lineRule="exact"/>
        <w:ind w:left="0" w:leftChars="0" w:firstLine="640" w:firstLineChars="200"/>
        <w:textAlignment w:val="auto"/>
        <w:rPr>
          <w:rFonts w:ascii="仿宋" w:hAnsi="仿宋" w:eastAsia="仿宋"/>
          <w:sz w:val="32"/>
          <w:szCs w:val="32"/>
        </w:rPr>
      </w:pPr>
      <w:r>
        <w:rPr>
          <w:rFonts w:ascii="仿宋" w:hAnsi="仿宋" w:eastAsia="仿宋"/>
          <w:sz w:val="32"/>
          <w:szCs w:val="32"/>
        </w:rPr>
        <w:t>办公室。负责文电、会务、机要、档案、安全等机关日常运转工作；承担信息、保密、信访、绩效管理、政务公开、督查督办、文稿起草及后勤保障等工作。负责财务、资产管理工作。负责党务、党风廉政、纪检监察、机构编制、人事管理、群团、职工教育培训等工作</w:t>
      </w:r>
      <w:r>
        <w:rPr>
          <w:rFonts w:hint="eastAsia" w:ascii="仿宋" w:hAnsi="仿宋" w:eastAsia="仿宋"/>
          <w:sz w:val="32"/>
          <w:szCs w:val="32"/>
        </w:rPr>
        <w:t>，</w:t>
      </w:r>
      <w:r>
        <w:rPr>
          <w:rFonts w:ascii="仿宋" w:hAnsi="仿宋" w:eastAsia="仿宋"/>
          <w:sz w:val="32"/>
          <w:szCs w:val="32"/>
        </w:rPr>
        <w:t>完成领导交办的其他工作。</w:t>
      </w:r>
    </w:p>
    <w:p w14:paraId="2F01D9CC">
      <w:pPr>
        <w:keepNext w:val="0"/>
        <w:keepLines w:val="0"/>
        <w:pageBreakBefore w:val="0"/>
        <w:widowControl w:val="0"/>
        <w:kinsoku/>
        <w:wordWrap/>
        <w:overflowPunct/>
        <w:topLinePunct w:val="0"/>
        <w:autoSpaceDE/>
        <w:autoSpaceDN/>
        <w:bidi w:val="0"/>
        <w:spacing w:line="490" w:lineRule="exact"/>
        <w:ind w:firstLine="321" w:firstLineChars="100"/>
        <w:textAlignment w:val="auto"/>
        <w:rPr>
          <w:rFonts w:hint="eastAsia" w:ascii="仿宋_GB2312" w:hAnsi="仿宋_GB2312" w:eastAsia="仿宋_GB2312"/>
          <w:b/>
          <w:bCs/>
          <w:sz w:val="32"/>
          <w:szCs w:val="32"/>
        </w:rPr>
      </w:pPr>
      <w:r>
        <w:rPr>
          <w:rFonts w:hint="eastAsia" w:ascii="仿宋_GB2312" w:hAnsi="仿宋_GB2312" w:eastAsia="仿宋_GB2312"/>
          <w:b/>
          <w:bCs/>
          <w:sz w:val="32"/>
          <w:szCs w:val="32"/>
        </w:rPr>
        <w:t>（二）202</w:t>
      </w:r>
      <w:r>
        <w:rPr>
          <w:rFonts w:hint="eastAsia" w:ascii="仿宋_GB2312" w:hAnsi="仿宋_GB2312" w:eastAsia="仿宋_GB2312"/>
          <w:b/>
          <w:bCs/>
          <w:sz w:val="32"/>
          <w:szCs w:val="32"/>
          <w:lang w:val="en-US" w:eastAsia="zh-CN"/>
        </w:rPr>
        <w:t>5</w:t>
      </w:r>
      <w:r>
        <w:rPr>
          <w:rFonts w:hint="eastAsia" w:ascii="仿宋_GB2312" w:hAnsi="仿宋_GB2312" w:eastAsia="仿宋_GB2312"/>
          <w:b/>
          <w:bCs/>
          <w:sz w:val="32"/>
          <w:szCs w:val="32"/>
        </w:rPr>
        <w:t>年重点工作。</w:t>
      </w:r>
    </w:p>
    <w:p w14:paraId="45D00E77">
      <w:pPr>
        <w:keepNext w:val="0"/>
        <w:keepLines w:val="0"/>
        <w:pageBreakBefore w:val="0"/>
        <w:widowControl w:val="0"/>
        <w:numPr>
          <w:ilvl w:val="0"/>
          <w:numId w:val="0"/>
        </w:numPr>
        <w:kinsoku/>
        <w:wordWrap/>
        <w:overflowPunct/>
        <w:topLinePunct w:val="0"/>
        <w:autoSpaceDE/>
        <w:autoSpaceDN/>
        <w:bidi w:val="0"/>
        <w:spacing w:line="490" w:lineRule="exact"/>
        <w:ind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1、助力罗江区先进材料产业发展，推动罗江区与中国复合材料学会合作，创建“科创中国-会地联合创新中心”。</w:t>
      </w:r>
    </w:p>
    <w:p w14:paraId="774166A4">
      <w:pPr>
        <w:keepNext w:val="0"/>
        <w:keepLines w:val="0"/>
        <w:pageBreakBefore w:val="0"/>
        <w:widowControl w:val="0"/>
        <w:numPr>
          <w:ilvl w:val="0"/>
          <w:numId w:val="0"/>
        </w:numPr>
        <w:kinsoku/>
        <w:wordWrap/>
        <w:overflowPunct/>
        <w:topLinePunct w:val="0"/>
        <w:autoSpaceDE/>
        <w:autoSpaceDN/>
        <w:bidi w:val="0"/>
        <w:spacing w:line="490" w:lineRule="exact"/>
        <w:ind w:firstLine="64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2、提升科技工作者科技创新能力，深入企业开展创新方法及科技信息资源推广应用培训1期，培训科技工作者不少于40人。</w:t>
      </w:r>
    </w:p>
    <w:p w14:paraId="6E0E4C83">
      <w:pPr>
        <w:keepNext w:val="0"/>
        <w:keepLines w:val="0"/>
        <w:pageBreakBefore w:val="0"/>
        <w:widowControl w:val="0"/>
        <w:numPr>
          <w:ilvl w:val="0"/>
          <w:numId w:val="0"/>
        </w:numPr>
        <w:kinsoku/>
        <w:wordWrap/>
        <w:overflowPunct/>
        <w:topLinePunct w:val="0"/>
        <w:autoSpaceDE/>
        <w:autoSpaceDN/>
        <w:bidi w:val="0"/>
        <w:spacing w:line="490" w:lineRule="exact"/>
        <w:ind w:firstLine="64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3、抓好项目申报，助力企业发展。组织申报德阳市第三十三批“金桥工程”项目不少于8个，组织申报“科技助力乡村振兴”项目不少于3个。</w:t>
      </w:r>
    </w:p>
    <w:p w14:paraId="32309F7E">
      <w:pPr>
        <w:keepNext w:val="0"/>
        <w:keepLines w:val="0"/>
        <w:pageBreakBefore w:val="0"/>
        <w:widowControl w:val="0"/>
        <w:numPr>
          <w:ilvl w:val="0"/>
          <w:numId w:val="0"/>
        </w:numPr>
        <w:kinsoku/>
        <w:wordWrap/>
        <w:overflowPunct/>
        <w:topLinePunct w:val="0"/>
        <w:autoSpaceDE/>
        <w:autoSpaceDN/>
        <w:bidi w:val="0"/>
        <w:spacing w:line="490" w:lineRule="exact"/>
        <w:ind w:firstLine="64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4、高质量组织罗江区2025年科创（科普）类项目。2025年组织工业类项目不少于10个，农业类项目不少于5个。</w:t>
      </w:r>
    </w:p>
    <w:p w14:paraId="12A12C01">
      <w:pPr>
        <w:keepNext w:val="0"/>
        <w:keepLines w:val="0"/>
        <w:pageBreakBefore w:val="0"/>
        <w:widowControl w:val="0"/>
        <w:numPr>
          <w:ilvl w:val="0"/>
          <w:numId w:val="0"/>
        </w:numPr>
        <w:kinsoku/>
        <w:wordWrap/>
        <w:overflowPunct/>
        <w:topLinePunct w:val="0"/>
        <w:autoSpaceDE/>
        <w:autoSpaceDN/>
        <w:bidi w:val="0"/>
        <w:spacing w:line="490" w:lineRule="exact"/>
        <w:ind w:firstLine="64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5、加强企业科协建设和能力提升。2025年新建企业科协1家，组织申报企业科协能力提升项目不少于4个。</w:t>
      </w:r>
    </w:p>
    <w:p w14:paraId="5A5B0CD5">
      <w:pPr>
        <w:keepNext w:val="0"/>
        <w:keepLines w:val="0"/>
        <w:pageBreakBefore w:val="0"/>
        <w:widowControl w:val="0"/>
        <w:numPr>
          <w:ilvl w:val="0"/>
          <w:numId w:val="0"/>
        </w:numPr>
        <w:kinsoku/>
        <w:wordWrap/>
        <w:overflowPunct/>
        <w:topLinePunct w:val="0"/>
        <w:autoSpaceDE/>
        <w:autoSpaceDN/>
        <w:bidi w:val="0"/>
        <w:spacing w:line="490" w:lineRule="exact"/>
        <w:ind w:firstLine="64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6、组织开展系列科普活动。在5.30“全国科技者日”、“科技文化卫生三下乡”、9月全国科普日活动期间开展科普活动不少于5场次。</w:t>
      </w:r>
    </w:p>
    <w:p w14:paraId="4279A86C">
      <w:pPr>
        <w:keepNext w:val="0"/>
        <w:keepLines w:val="0"/>
        <w:pageBreakBefore w:val="0"/>
        <w:widowControl w:val="0"/>
        <w:numPr>
          <w:ilvl w:val="0"/>
          <w:numId w:val="0"/>
        </w:numPr>
        <w:kinsoku/>
        <w:wordWrap/>
        <w:overflowPunct/>
        <w:topLinePunct w:val="0"/>
        <w:autoSpaceDE/>
        <w:autoSpaceDN/>
        <w:bidi w:val="0"/>
        <w:spacing w:line="490" w:lineRule="exact"/>
        <w:ind w:firstLine="64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7、着力企业科技创新平台建设。2025年指导申报市级院士专家工作站不少于1家。</w:t>
      </w:r>
    </w:p>
    <w:p w14:paraId="3EB187FB">
      <w:pPr>
        <w:keepNext w:val="0"/>
        <w:keepLines w:val="0"/>
        <w:pageBreakBefore w:val="0"/>
        <w:widowControl w:val="0"/>
        <w:numPr>
          <w:ilvl w:val="0"/>
          <w:numId w:val="0"/>
        </w:numPr>
        <w:kinsoku/>
        <w:wordWrap/>
        <w:overflowPunct/>
        <w:topLinePunct w:val="0"/>
        <w:autoSpaceDE/>
        <w:autoSpaceDN/>
        <w:bidi w:val="0"/>
        <w:spacing w:line="490" w:lineRule="exact"/>
        <w:ind w:firstLine="64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8、扎实开展青少年科技创新教育。组织申报“青少年科技创新”项目不少于2个，组织参加德阳市青少年科技创新大赛不少于69人次。</w:t>
      </w:r>
      <w:bookmarkStart w:id="5" w:name="_GoBack"/>
      <w:bookmarkEnd w:id="5"/>
    </w:p>
    <w:p w14:paraId="5AFD2AB7">
      <w:pPr>
        <w:keepNext w:val="0"/>
        <w:keepLines w:val="0"/>
        <w:pageBreakBefore w:val="0"/>
        <w:widowControl w:val="0"/>
        <w:numPr>
          <w:ilvl w:val="0"/>
          <w:numId w:val="0"/>
        </w:numPr>
        <w:kinsoku/>
        <w:wordWrap/>
        <w:overflowPunct/>
        <w:topLinePunct w:val="0"/>
        <w:autoSpaceDE/>
        <w:autoSpaceDN/>
        <w:bidi w:val="0"/>
        <w:spacing w:line="490" w:lineRule="exact"/>
        <w:ind w:firstLine="640"/>
        <w:jc w:val="left"/>
        <w:textAlignment w:val="auto"/>
        <w:rPr>
          <w:rStyle w:val="14"/>
          <w:rFonts w:hint="eastAsia" w:ascii="Times New Roman" w:hAnsi="Times New Roman" w:eastAsia="仿宋_GB2312" w:cs="仿宋_GB2312"/>
          <w:sz w:val="32"/>
          <w:szCs w:val="32"/>
          <w:lang w:val="en-US" w:eastAsia="zh-CN"/>
        </w:rPr>
      </w:pPr>
      <w:r>
        <w:rPr>
          <w:rFonts w:hint="eastAsia" w:ascii="仿宋" w:hAnsi="仿宋" w:eastAsia="仿宋" w:cs="Times New Roman"/>
          <w:kern w:val="2"/>
          <w:sz w:val="32"/>
          <w:szCs w:val="32"/>
          <w:lang w:val="en-US" w:eastAsia="zh-CN" w:bidi="ar-SA"/>
        </w:rPr>
        <w:t>9、持续推进天府科技云高质量发展。围绕企业技术需求、人才需求，打造真实、高质量案例不少于8个，打造示范工作室不少于10个。</w:t>
      </w:r>
    </w:p>
    <w:p w14:paraId="7BAD98A7">
      <w:pPr>
        <w:keepNext w:val="0"/>
        <w:keepLines w:val="0"/>
        <w:pageBreakBefore w:val="0"/>
        <w:widowControl w:val="0"/>
        <w:kinsoku/>
        <w:wordWrap/>
        <w:overflowPunct/>
        <w:topLinePunct w:val="0"/>
        <w:autoSpaceDE/>
        <w:autoSpaceDN/>
        <w:bidi w:val="0"/>
        <w:spacing w:line="490" w:lineRule="exact"/>
        <w:ind w:firstLine="645"/>
        <w:textAlignment w:val="auto"/>
        <w:rPr>
          <w:rFonts w:ascii="仿宋_GB2312" w:hAnsi="仿宋_GB2312" w:eastAsia="仿宋_GB2312"/>
          <w:b/>
          <w:sz w:val="32"/>
          <w:szCs w:val="32"/>
        </w:rPr>
      </w:pPr>
      <w:r>
        <w:rPr>
          <w:rFonts w:hint="eastAsia" w:ascii="仿宋_GB2312" w:hAnsi="仿宋_GB2312" w:eastAsia="仿宋_GB2312"/>
          <w:b/>
          <w:sz w:val="32"/>
          <w:szCs w:val="32"/>
        </w:rPr>
        <w:t>二、部门预算单位构成</w:t>
      </w:r>
    </w:p>
    <w:p w14:paraId="6EEB08DC">
      <w:pPr>
        <w:keepNext w:val="0"/>
        <w:keepLines w:val="0"/>
        <w:pageBreakBefore w:val="0"/>
        <w:widowControl w:val="0"/>
        <w:kinsoku/>
        <w:wordWrap/>
        <w:overflowPunct/>
        <w:topLinePunct w:val="0"/>
        <w:autoSpaceDE/>
        <w:autoSpaceDN/>
        <w:bidi w:val="0"/>
        <w:spacing w:line="490" w:lineRule="exact"/>
        <w:ind w:firstLine="640" w:firstLineChars="200"/>
        <w:textAlignment w:val="auto"/>
        <w:rPr>
          <w:rFonts w:ascii="仿宋" w:hAnsi="仿宋" w:eastAsia="仿宋"/>
          <w:sz w:val="32"/>
          <w:szCs w:val="32"/>
        </w:rPr>
      </w:pPr>
      <w:r>
        <w:rPr>
          <w:rFonts w:hint="eastAsia" w:ascii="仿宋" w:hAnsi="仿宋" w:eastAsia="仿宋"/>
          <w:sz w:val="32"/>
          <w:szCs w:val="32"/>
        </w:rPr>
        <w:t>本单位独立编制机构共1个，其中一级预算单位1个（单位性质为行政），无下属二级预算单位。</w:t>
      </w:r>
    </w:p>
    <w:p w14:paraId="2E28A46C">
      <w:pPr>
        <w:pStyle w:val="2"/>
        <w:keepNext w:val="0"/>
        <w:keepLines w:val="0"/>
        <w:pageBreakBefore w:val="0"/>
        <w:widowControl w:val="0"/>
        <w:kinsoku/>
        <w:wordWrap/>
        <w:overflowPunct/>
        <w:topLinePunct w:val="0"/>
        <w:autoSpaceDE/>
        <w:autoSpaceDN/>
        <w:bidi w:val="0"/>
        <w:adjustRightInd w:val="0"/>
        <w:snapToGrid w:val="0"/>
        <w:spacing w:before="93" w:line="490" w:lineRule="exact"/>
        <w:ind w:firstLine="672" w:firstLineChars="210"/>
        <w:textAlignment w:val="auto"/>
        <w:rPr>
          <w:rFonts w:ascii="仿宋" w:hAnsi="仿宋" w:eastAsia="仿宋"/>
          <w:sz w:val="32"/>
          <w:szCs w:val="32"/>
        </w:rPr>
      </w:pPr>
      <w:r>
        <w:rPr>
          <w:rFonts w:hint="eastAsia" w:ascii="仿宋" w:hAnsi="仿宋" w:eastAsia="仿宋"/>
          <w:sz w:val="32"/>
          <w:szCs w:val="32"/>
        </w:rPr>
        <w:t>区科协总编制3名，其中行政编制3名，事业编制0名，工勤编制0名。</w:t>
      </w:r>
      <w:r>
        <w:rPr>
          <w:rFonts w:hint="eastAsia" w:ascii="仿宋" w:hAnsi="仿宋" w:eastAsia="仿宋"/>
          <w:sz w:val="32"/>
          <w:szCs w:val="32"/>
          <w:lang w:eastAsia="zh-CN"/>
        </w:rPr>
        <w:t>在职人员总数</w:t>
      </w:r>
      <w:r>
        <w:rPr>
          <w:rFonts w:hint="eastAsia" w:ascii="仿宋" w:hAnsi="仿宋" w:eastAsia="仿宋"/>
          <w:sz w:val="32"/>
          <w:szCs w:val="32"/>
          <w:lang w:val="en-US" w:eastAsia="zh-CN"/>
        </w:rPr>
        <w:t>4人，其中：行政人员3人，事业人员0人，工勤人员0</w:t>
      </w:r>
      <w:r>
        <w:rPr>
          <w:rFonts w:hint="eastAsia" w:ascii="仿宋" w:hAnsi="仿宋" w:eastAsia="仿宋"/>
          <w:sz w:val="32"/>
          <w:szCs w:val="32"/>
        </w:rPr>
        <w:t>人，临聘人员1人</w:t>
      </w:r>
      <w:r>
        <w:rPr>
          <w:rFonts w:hint="eastAsia" w:ascii="仿宋" w:hAnsi="仿宋" w:eastAsia="仿宋"/>
          <w:sz w:val="32"/>
          <w:szCs w:val="32"/>
          <w:lang w:eastAsia="zh-CN"/>
        </w:rPr>
        <w:t>；离退休</w:t>
      </w:r>
      <w:r>
        <w:rPr>
          <w:rFonts w:hint="eastAsia" w:ascii="仿宋" w:hAnsi="仿宋" w:eastAsia="仿宋"/>
          <w:sz w:val="32"/>
          <w:szCs w:val="32"/>
          <w:lang w:val="en-US" w:eastAsia="zh-CN"/>
        </w:rPr>
        <w:t>人员3人。</w:t>
      </w:r>
    </w:p>
    <w:p w14:paraId="6F88B12B">
      <w:pPr>
        <w:keepNext w:val="0"/>
        <w:keepLines w:val="0"/>
        <w:pageBreakBefore w:val="0"/>
        <w:widowControl w:val="0"/>
        <w:kinsoku/>
        <w:wordWrap/>
        <w:overflowPunct/>
        <w:topLinePunct w:val="0"/>
        <w:autoSpaceDE/>
        <w:autoSpaceDN/>
        <w:bidi w:val="0"/>
        <w:spacing w:line="490" w:lineRule="exact"/>
        <w:textAlignment w:val="auto"/>
        <w:rPr>
          <w:rFonts w:ascii="仿宋_GB2312" w:hAnsi="仿宋_GB2312" w:eastAsia="仿宋_GB2312"/>
          <w:b/>
          <w:sz w:val="32"/>
          <w:szCs w:val="32"/>
        </w:rPr>
      </w:pPr>
      <w:r>
        <w:rPr>
          <w:rFonts w:hint="eastAsia" w:ascii="仿宋_GB2312" w:hAnsi="仿宋_GB2312" w:eastAsia="仿宋_GB2312"/>
          <w:sz w:val="32"/>
          <w:szCs w:val="32"/>
        </w:rPr>
        <w:t>　　</w:t>
      </w:r>
      <w:r>
        <w:rPr>
          <w:rFonts w:hint="eastAsia" w:ascii="仿宋_GB2312" w:hAnsi="仿宋_GB2312" w:eastAsia="仿宋_GB2312"/>
          <w:b/>
          <w:sz w:val="32"/>
          <w:szCs w:val="32"/>
        </w:rPr>
        <w:t>三、收支预算增减变化情况说明</w:t>
      </w:r>
    </w:p>
    <w:p w14:paraId="240DD5C4">
      <w:pPr>
        <w:keepNext w:val="0"/>
        <w:keepLines w:val="0"/>
        <w:pageBreakBefore w:val="0"/>
        <w:widowControl w:val="0"/>
        <w:kinsoku/>
        <w:wordWrap/>
        <w:overflowPunct/>
        <w:topLinePunct w:val="0"/>
        <w:autoSpaceDE/>
        <w:autoSpaceDN/>
        <w:bidi w:val="0"/>
        <w:spacing w:line="490" w:lineRule="exact"/>
        <w:ind w:firstLine="641"/>
        <w:textAlignment w:val="auto"/>
        <w:rPr>
          <w:rFonts w:hint="eastAsia" w:ascii="仿宋" w:hAnsi="仿宋" w:eastAsia="仿宋"/>
          <w:sz w:val="32"/>
          <w:szCs w:val="32"/>
        </w:rPr>
      </w:pPr>
      <w:r>
        <w:rPr>
          <w:rFonts w:hint="eastAsia" w:ascii="仿宋" w:hAnsi="仿宋" w:eastAsia="仿宋"/>
          <w:sz w:val="32"/>
          <w:szCs w:val="32"/>
        </w:rPr>
        <w:t>按照综合预算的原则，区科协所有收支均全部纳入部门预算管理。收入包括：一般公共预算收入</w:t>
      </w:r>
      <w:r>
        <w:rPr>
          <w:rFonts w:hint="eastAsia" w:ascii="仿宋" w:hAnsi="仿宋" w:eastAsia="仿宋"/>
          <w:sz w:val="32"/>
          <w:szCs w:val="32"/>
          <w:lang w:val="en-US" w:eastAsia="zh-CN"/>
        </w:rPr>
        <w:t>108.88</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年预算数</w:t>
      </w:r>
      <w:r>
        <w:rPr>
          <w:rFonts w:hint="eastAsia" w:ascii="仿宋" w:hAnsi="仿宋" w:eastAsia="仿宋"/>
          <w:sz w:val="32"/>
          <w:szCs w:val="32"/>
          <w:lang w:eastAsia="zh-CN"/>
        </w:rPr>
        <w:t>减少</w:t>
      </w:r>
      <w:r>
        <w:rPr>
          <w:rFonts w:hint="eastAsia" w:ascii="仿宋" w:hAnsi="仿宋" w:eastAsia="仿宋"/>
          <w:sz w:val="32"/>
          <w:szCs w:val="32"/>
        </w:rPr>
        <w:t>了</w:t>
      </w:r>
      <w:r>
        <w:rPr>
          <w:rFonts w:hint="eastAsia" w:ascii="仿宋" w:hAnsi="仿宋" w:eastAsia="仿宋"/>
          <w:sz w:val="32"/>
          <w:szCs w:val="32"/>
          <w:lang w:val="en-US" w:eastAsia="zh-CN"/>
        </w:rPr>
        <w:t>11.78</w:t>
      </w:r>
      <w:r>
        <w:rPr>
          <w:rFonts w:hint="eastAsia" w:ascii="仿宋" w:hAnsi="仿宋" w:eastAsia="仿宋"/>
          <w:sz w:val="32"/>
          <w:szCs w:val="32"/>
        </w:rPr>
        <w:t>万元，主要是202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eastAsia="zh-CN"/>
        </w:rPr>
        <w:t>减少在编人员</w:t>
      </w:r>
      <w:r>
        <w:rPr>
          <w:rFonts w:hint="eastAsia" w:ascii="仿宋" w:hAnsi="仿宋" w:eastAsia="仿宋"/>
          <w:sz w:val="32"/>
          <w:szCs w:val="32"/>
          <w:lang w:val="en-US" w:eastAsia="zh-CN"/>
        </w:rPr>
        <w:t>1人</w:t>
      </w:r>
      <w:r>
        <w:rPr>
          <w:rFonts w:hint="eastAsia" w:ascii="仿宋" w:hAnsi="仿宋" w:eastAsia="仿宋"/>
          <w:sz w:val="32"/>
          <w:szCs w:val="32"/>
        </w:rPr>
        <w:t>。项目经费</w:t>
      </w:r>
      <w:r>
        <w:rPr>
          <w:rFonts w:hint="eastAsia" w:ascii="仿宋" w:hAnsi="仿宋" w:eastAsia="仿宋"/>
          <w:sz w:val="32"/>
          <w:szCs w:val="32"/>
          <w:lang w:eastAsia="zh-CN"/>
        </w:rPr>
        <w:t>比</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增加</w:t>
      </w:r>
      <w:r>
        <w:rPr>
          <w:rFonts w:hint="eastAsia" w:ascii="仿宋" w:hAnsi="仿宋" w:eastAsia="仿宋"/>
          <w:sz w:val="32"/>
          <w:szCs w:val="32"/>
          <w:lang w:val="en-US" w:eastAsia="zh-CN"/>
        </w:rPr>
        <w:t>10.5万元，2025年增加第二届代表大会经费及科创项目经费。</w:t>
      </w:r>
      <w:r>
        <w:rPr>
          <w:rFonts w:hint="eastAsia" w:ascii="仿宋" w:hAnsi="仿宋" w:eastAsia="仿宋"/>
          <w:sz w:val="32"/>
          <w:szCs w:val="32"/>
        </w:rPr>
        <w:t>支出包括：工资福利支出、商品和服务支出、对个人和家庭的补助支出、项目支出。区科协202</w:t>
      </w:r>
      <w:r>
        <w:rPr>
          <w:rFonts w:hint="eastAsia" w:ascii="仿宋" w:hAnsi="仿宋" w:eastAsia="仿宋"/>
          <w:sz w:val="32"/>
          <w:szCs w:val="32"/>
          <w:lang w:val="en-US" w:eastAsia="zh-CN"/>
        </w:rPr>
        <w:t>5</w:t>
      </w:r>
      <w:r>
        <w:rPr>
          <w:rFonts w:hint="eastAsia" w:ascii="仿宋" w:hAnsi="仿宋" w:eastAsia="仿宋"/>
          <w:sz w:val="32"/>
          <w:szCs w:val="32"/>
        </w:rPr>
        <w:t>年收支总预算</w:t>
      </w:r>
      <w:r>
        <w:rPr>
          <w:rFonts w:hint="eastAsia" w:ascii="仿宋" w:hAnsi="仿宋" w:eastAsia="仿宋"/>
          <w:sz w:val="32"/>
          <w:szCs w:val="32"/>
          <w:lang w:val="en-US" w:eastAsia="zh-CN"/>
        </w:rPr>
        <w:t>108.88</w:t>
      </w:r>
      <w:r>
        <w:rPr>
          <w:rFonts w:hint="eastAsia" w:ascii="仿宋" w:hAnsi="仿宋" w:eastAsia="仿宋"/>
          <w:sz w:val="32"/>
          <w:szCs w:val="32"/>
        </w:rPr>
        <w:t>万元。</w:t>
      </w:r>
    </w:p>
    <w:p w14:paraId="53B0EB07">
      <w:pPr>
        <w:keepNext w:val="0"/>
        <w:keepLines w:val="0"/>
        <w:pageBreakBefore w:val="0"/>
        <w:widowControl w:val="0"/>
        <w:kinsoku/>
        <w:wordWrap/>
        <w:overflowPunct/>
        <w:topLinePunct w:val="0"/>
        <w:autoSpaceDE/>
        <w:autoSpaceDN/>
        <w:bidi w:val="0"/>
        <w:spacing w:line="490" w:lineRule="exact"/>
        <w:textAlignment w:val="auto"/>
        <w:rPr>
          <w:rFonts w:ascii="仿宋_GB2312" w:hAnsi="仿宋_GB2312" w:eastAsia="仿宋_GB2312"/>
          <w:sz w:val="32"/>
          <w:szCs w:val="32"/>
        </w:rPr>
      </w:pPr>
      <w:r>
        <w:rPr>
          <w:rFonts w:hint="eastAsia" w:ascii="仿宋_GB2312" w:hAnsi="仿宋_GB2312" w:eastAsia="仿宋_GB2312"/>
          <w:sz w:val="32"/>
          <w:szCs w:val="32"/>
        </w:rPr>
        <w:t>　　（一）收入预算情况</w:t>
      </w:r>
    </w:p>
    <w:p w14:paraId="6778A82D">
      <w:pPr>
        <w:keepNext w:val="0"/>
        <w:keepLines w:val="0"/>
        <w:pageBreakBefore w:val="0"/>
        <w:widowControl w:val="0"/>
        <w:kinsoku/>
        <w:wordWrap/>
        <w:overflowPunct/>
        <w:topLinePunct w:val="0"/>
        <w:autoSpaceDE/>
        <w:autoSpaceDN/>
        <w:bidi w:val="0"/>
        <w:spacing w:line="490" w:lineRule="exact"/>
        <w:ind w:left="0" w:leftChars="0" w:firstLine="0" w:firstLineChars="0"/>
        <w:textAlignment w:val="auto"/>
        <w:rPr>
          <w:rFonts w:ascii="仿宋" w:hAnsi="仿宋" w:eastAsia="仿宋"/>
          <w:sz w:val="32"/>
          <w:szCs w:val="32"/>
        </w:rPr>
      </w:pPr>
      <w:r>
        <w:rPr>
          <w:rFonts w:hint="eastAsia" w:ascii="仿宋_GB2312" w:hAnsi="仿宋_GB2312" w:eastAsia="仿宋_GB2312"/>
          <w:sz w:val="32"/>
          <w:szCs w:val="32"/>
        </w:rPr>
        <w:t xml:space="preserve">   </w:t>
      </w:r>
      <w:r>
        <w:rPr>
          <w:rFonts w:hint="eastAsia" w:ascii="仿宋" w:hAnsi="仿宋" w:eastAsia="仿宋"/>
          <w:sz w:val="32"/>
          <w:szCs w:val="32"/>
        </w:rPr>
        <w:t xml:space="preserve"> </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5</w:t>
      </w:r>
      <w:r>
        <w:rPr>
          <w:rFonts w:ascii="仿宋" w:hAnsi="仿宋" w:eastAsia="仿宋"/>
          <w:sz w:val="32"/>
          <w:szCs w:val="32"/>
        </w:rPr>
        <w:t>年收入预算</w:t>
      </w:r>
      <w:r>
        <w:rPr>
          <w:rFonts w:hint="eastAsia" w:ascii="仿宋" w:hAnsi="仿宋" w:eastAsia="仿宋"/>
          <w:sz w:val="32"/>
          <w:szCs w:val="32"/>
          <w:lang w:val="en-US" w:eastAsia="zh-CN"/>
        </w:rPr>
        <w:t>108.88</w:t>
      </w:r>
      <w:r>
        <w:rPr>
          <w:rFonts w:ascii="仿宋" w:hAnsi="仿宋" w:eastAsia="仿宋"/>
          <w:sz w:val="32"/>
          <w:szCs w:val="32"/>
        </w:rPr>
        <w:t>万元，其中：上年结转</w:t>
      </w:r>
      <w:r>
        <w:rPr>
          <w:rFonts w:hint="eastAsia" w:ascii="仿宋" w:hAnsi="仿宋" w:eastAsia="仿宋"/>
          <w:sz w:val="32"/>
          <w:szCs w:val="32"/>
          <w:lang w:val="en-US" w:eastAsia="zh-CN"/>
        </w:rPr>
        <w:t>0</w:t>
      </w:r>
      <w:r>
        <w:rPr>
          <w:rFonts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%；一般公共预算拨款收入</w:t>
      </w:r>
      <w:r>
        <w:rPr>
          <w:rFonts w:hint="eastAsia" w:ascii="仿宋" w:hAnsi="仿宋" w:eastAsia="仿宋"/>
          <w:sz w:val="32"/>
          <w:szCs w:val="32"/>
          <w:lang w:val="en-US" w:eastAsia="zh-CN"/>
        </w:rPr>
        <w:t>108.88</w:t>
      </w:r>
      <w:r>
        <w:rPr>
          <w:rFonts w:ascii="仿宋" w:hAnsi="仿宋" w:eastAsia="仿宋"/>
          <w:sz w:val="32"/>
          <w:szCs w:val="32"/>
        </w:rPr>
        <w:t>万元，占</w:t>
      </w:r>
      <w:r>
        <w:rPr>
          <w:rFonts w:hint="eastAsia" w:ascii="仿宋" w:hAnsi="仿宋" w:eastAsia="仿宋"/>
          <w:sz w:val="32"/>
          <w:szCs w:val="32"/>
        </w:rPr>
        <w:t>100</w:t>
      </w:r>
      <w:r>
        <w:rPr>
          <w:rFonts w:ascii="仿宋" w:hAnsi="仿宋" w:eastAsia="仿宋"/>
          <w:sz w:val="32"/>
          <w:szCs w:val="32"/>
        </w:rPr>
        <w:t>%；事业收入</w:t>
      </w:r>
      <w:r>
        <w:rPr>
          <w:rFonts w:hint="eastAsia" w:ascii="仿宋" w:hAnsi="仿宋" w:eastAsia="仿宋"/>
          <w:sz w:val="32"/>
          <w:szCs w:val="32"/>
        </w:rPr>
        <w:t>0</w:t>
      </w:r>
      <w:r>
        <w:rPr>
          <w:rFonts w:ascii="仿宋" w:hAnsi="仿宋" w:eastAsia="仿宋"/>
          <w:sz w:val="32"/>
          <w:szCs w:val="32"/>
        </w:rPr>
        <w:t>万元，占</w:t>
      </w:r>
      <w:r>
        <w:rPr>
          <w:rFonts w:hint="eastAsia" w:ascii="仿宋" w:hAnsi="仿宋" w:eastAsia="仿宋"/>
          <w:sz w:val="32"/>
          <w:szCs w:val="32"/>
        </w:rPr>
        <w:t>0</w:t>
      </w:r>
      <w:r>
        <w:rPr>
          <w:rFonts w:ascii="仿宋" w:hAnsi="仿宋" w:eastAsia="仿宋"/>
          <w:sz w:val="32"/>
          <w:szCs w:val="32"/>
        </w:rPr>
        <w:t>%；事业单位经营收</w:t>
      </w:r>
      <w:r>
        <w:rPr>
          <w:rFonts w:hint="eastAsia" w:ascii="仿宋" w:hAnsi="仿宋" w:eastAsia="仿宋"/>
          <w:sz w:val="32"/>
          <w:szCs w:val="32"/>
        </w:rPr>
        <w:t>0</w:t>
      </w:r>
      <w:r>
        <w:rPr>
          <w:rFonts w:ascii="仿宋" w:hAnsi="仿宋" w:eastAsia="仿宋"/>
          <w:sz w:val="32"/>
          <w:szCs w:val="32"/>
        </w:rPr>
        <w:t>万元，占</w:t>
      </w:r>
      <w:r>
        <w:rPr>
          <w:rFonts w:hint="eastAsia" w:ascii="仿宋" w:hAnsi="仿宋" w:eastAsia="仿宋"/>
          <w:sz w:val="32"/>
          <w:szCs w:val="32"/>
        </w:rPr>
        <w:t>0</w:t>
      </w:r>
      <w:r>
        <w:rPr>
          <w:rFonts w:ascii="仿宋" w:hAnsi="仿宋" w:eastAsia="仿宋"/>
          <w:sz w:val="32"/>
          <w:szCs w:val="32"/>
        </w:rPr>
        <w:t>%；其他收入</w:t>
      </w:r>
      <w:r>
        <w:rPr>
          <w:rFonts w:hint="eastAsia" w:ascii="仿宋" w:hAnsi="仿宋" w:eastAsia="仿宋"/>
          <w:sz w:val="32"/>
          <w:szCs w:val="32"/>
        </w:rPr>
        <w:t>0</w:t>
      </w:r>
      <w:r>
        <w:rPr>
          <w:rFonts w:ascii="仿宋" w:hAnsi="仿宋" w:eastAsia="仿宋"/>
          <w:sz w:val="32"/>
          <w:szCs w:val="32"/>
        </w:rPr>
        <w:t>万元，占</w:t>
      </w:r>
      <w:r>
        <w:rPr>
          <w:rFonts w:hint="eastAsia" w:ascii="仿宋" w:hAnsi="仿宋" w:eastAsia="仿宋"/>
          <w:sz w:val="32"/>
          <w:szCs w:val="32"/>
        </w:rPr>
        <w:t>0</w:t>
      </w:r>
      <w:r>
        <w:rPr>
          <w:rFonts w:ascii="仿宋" w:hAnsi="仿宋" w:eastAsia="仿宋"/>
          <w:sz w:val="32"/>
          <w:szCs w:val="32"/>
        </w:rPr>
        <w:t>%。</w:t>
      </w:r>
    </w:p>
    <w:p w14:paraId="73D1768E">
      <w:pPr>
        <w:keepNext w:val="0"/>
        <w:keepLines w:val="0"/>
        <w:pageBreakBefore w:val="0"/>
        <w:widowControl w:val="0"/>
        <w:kinsoku/>
        <w:wordWrap/>
        <w:overflowPunct/>
        <w:topLinePunct w:val="0"/>
        <w:autoSpaceDE/>
        <w:autoSpaceDN/>
        <w:bidi w:val="0"/>
        <w:spacing w:line="49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（二）支出预算情况</w:t>
      </w:r>
    </w:p>
    <w:p w14:paraId="7B3A9605">
      <w:pPr>
        <w:keepNext w:val="0"/>
        <w:keepLines w:val="0"/>
        <w:pageBreakBefore w:val="0"/>
        <w:widowControl w:val="0"/>
        <w:kinsoku/>
        <w:wordWrap/>
        <w:overflowPunct/>
        <w:topLinePunct w:val="0"/>
        <w:autoSpaceDE/>
        <w:autoSpaceDN/>
        <w:bidi w:val="0"/>
        <w:spacing w:line="490" w:lineRule="exact"/>
        <w:ind w:firstLine="640" w:firstLineChars="20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5</w:t>
      </w:r>
      <w:r>
        <w:rPr>
          <w:rFonts w:ascii="仿宋" w:hAnsi="仿宋" w:eastAsia="仿宋"/>
          <w:sz w:val="32"/>
          <w:szCs w:val="32"/>
        </w:rPr>
        <w:t>年支出预算</w:t>
      </w:r>
      <w:r>
        <w:rPr>
          <w:rFonts w:hint="eastAsia" w:ascii="仿宋" w:hAnsi="仿宋" w:eastAsia="仿宋"/>
          <w:sz w:val="32"/>
          <w:szCs w:val="32"/>
          <w:lang w:val="en-US" w:eastAsia="zh-CN"/>
        </w:rPr>
        <w:t>108.88</w:t>
      </w:r>
      <w:r>
        <w:rPr>
          <w:rFonts w:ascii="仿宋" w:hAnsi="仿宋" w:eastAsia="仿宋"/>
          <w:sz w:val="32"/>
          <w:szCs w:val="32"/>
        </w:rPr>
        <w:t>万元，其中：基本支出</w:t>
      </w:r>
      <w:r>
        <w:rPr>
          <w:rFonts w:hint="eastAsia" w:ascii="仿宋" w:hAnsi="仿宋" w:eastAsia="仿宋"/>
          <w:sz w:val="32"/>
          <w:szCs w:val="32"/>
          <w:lang w:val="en-US" w:eastAsia="zh-CN"/>
        </w:rPr>
        <w:t>82.38</w:t>
      </w:r>
      <w:r>
        <w:rPr>
          <w:rFonts w:ascii="仿宋" w:hAnsi="仿宋" w:eastAsia="仿宋"/>
          <w:sz w:val="32"/>
          <w:szCs w:val="32"/>
        </w:rPr>
        <w:t>万元，占</w:t>
      </w:r>
      <w:r>
        <w:rPr>
          <w:rFonts w:hint="eastAsia" w:ascii="仿宋" w:hAnsi="仿宋" w:eastAsia="仿宋"/>
          <w:sz w:val="32"/>
          <w:szCs w:val="32"/>
          <w:lang w:val="en-US" w:eastAsia="zh-CN"/>
        </w:rPr>
        <w:t>75.66</w:t>
      </w:r>
      <w:r>
        <w:rPr>
          <w:rFonts w:ascii="仿宋" w:hAnsi="仿宋" w:eastAsia="仿宋"/>
          <w:sz w:val="32"/>
          <w:szCs w:val="32"/>
        </w:rPr>
        <w:t>%；项目支出</w:t>
      </w:r>
      <w:r>
        <w:rPr>
          <w:rFonts w:hint="eastAsia" w:ascii="仿宋" w:hAnsi="仿宋" w:eastAsia="仿宋"/>
          <w:sz w:val="32"/>
          <w:szCs w:val="32"/>
          <w:lang w:val="en-US" w:eastAsia="zh-CN"/>
        </w:rPr>
        <w:t>26.5</w:t>
      </w:r>
      <w:r>
        <w:rPr>
          <w:rFonts w:ascii="仿宋" w:hAnsi="仿宋" w:eastAsia="仿宋"/>
          <w:sz w:val="32"/>
          <w:szCs w:val="32"/>
        </w:rPr>
        <w:t>万元，占</w:t>
      </w:r>
      <w:r>
        <w:rPr>
          <w:rFonts w:hint="eastAsia" w:ascii="仿宋" w:hAnsi="仿宋" w:eastAsia="仿宋"/>
          <w:sz w:val="32"/>
          <w:szCs w:val="32"/>
          <w:lang w:val="en-US" w:eastAsia="zh-CN"/>
        </w:rPr>
        <w:t>24.34</w:t>
      </w:r>
      <w:r>
        <w:rPr>
          <w:rFonts w:ascii="仿宋" w:hAnsi="仿宋" w:eastAsia="仿宋"/>
          <w:sz w:val="32"/>
          <w:szCs w:val="32"/>
        </w:rPr>
        <w:t>%。</w:t>
      </w:r>
    </w:p>
    <w:p w14:paraId="50B0BCC3">
      <w:pPr>
        <w:keepNext w:val="0"/>
        <w:keepLines w:val="0"/>
        <w:pageBreakBefore w:val="0"/>
        <w:widowControl w:val="0"/>
        <w:kinsoku/>
        <w:wordWrap/>
        <w:overflowPunct/>
        <w:topLinePunct w:val="0"/>
        <w:autoSpaceDE/>
        <w:autoSpaceDN/>
        <w:bidi w:val="0"/>
        <w:spacing w:line="490" w:lineRule="exact"/>
        <w:textAlignment w:val="auto"/>
        <w:rPr>
          <w:rFonts w:ascii="仿宋_GB2312" w:hAnsi="仿宋_GB2312" w:eastAsia="仿宋_GB2312"/>
          <w:b/>
          <w:sz w:val="32"/>
          <w:szCs w:val="32"/>
        </w:rPr>
      </w:pPr>
      <w:r>
        <w:rPr>
          <w:rFonts w:hint="eastAsia" w:ascii="仿宋_GB2312" w:hAnsi="仿宋_GB2312" w:eastAsia="仿宋_GB2312"/>
          <w:sz w:val="32"/>
          <w:szCs w:val="32"/>
        </w:rPr>
        <w:t>　　</w:t>
      </w:r>
      <w:r>
        <w:rPr>
          <w:rFonts w:hint="eastAsia" w:ascii="仿宋_GB2312" w:hAnsi="仿宋_GB2312" w:eastAsia="仿宋_GB2312"/>
          <w:b/>
          <w:sz w:val="32"/>
          <w:szCs w:val="32"/>
        </w:rPr>
        <w:t>四、财政拨款收支预算情况说明</w:t>
      </w:r>
    </w:p>
    <w:p w14:paraId="48D56D9F">
      <w:pPr>
        <w:keepNext w:val="0"/>
        <w:keepLines w:val="0"/>
        <w:pageBreakBefore w:val="0"/>
        <w:widowControl w:val="0"/>
        <w:kinsoku/>
        <w:wordWrap/>
        <w:overflowPunct/>
        <w:topLinePunct w:val="0"/>
        <w:autoSpaceDE/>
        <w:autoSpaceDN/>
        <w:bidi w:val="0"/>
        <w:spacing w:line="490" w:lineRule="exact"/>
        <w:ind w:firstLine="640" w:firstLineChars="200"/>
        <w:textAlignment w:val="auto"/>
        <w:rPr>
          <w:rFonts w:ascii="仿宋" w:hAnsi="仿宋" w:eastAsia="仿宋"/>
          <w:sz w:val="32"/>
          <w:szCs w:val="32"/>
        </w:rPr>
      </w:pPr>
      <w:r>
        <w:rPr>
          <w:rFonts w:hint="eastAsia" w:ascii="仿宋" w:hAnsi="仿宋" w:eastAsia="仿宋"/>
          <w:sz w:val="32"/>
          <w:szCs w:val="32"/>
        </w:rPr>
        <w:t>区科协202</w:t>
      </w:r>
      <w:r>
        <w:rPr>
          <w:rFonts w:hint="eastAsia" w:ascii="仿宋" w:hAnsi="仿宋" w:eastAsia="仿宋"/>
          <w:sz w:val="32"/>
          <w:szCs w:val="32"/>
          <w:lang w:val="en-US" w:eastAsia="zh-CN"/>
        </w:rPr>
        <w:t>5</w:t>
      </w:r>
      <w:r>
        <w:rPr>
          <w:rFonts w:hint="eastAsia" w:ascii="仿宋" w:hAnsi="仿宋" w:eastAsia="仿宋"/>
          <w:sz w:val="32"/>
          <w:szCs w:val="32"/>
        </w:rPr>
        <w:t>年财政拨款收支总预算</w:t>
      </w:r>
      <w:r>
        <w:rPr>
          <w:rFonts w:hint="eastAsia" w:ascii="仿宋" w:hAnsi="仿宋" w:eastAsia="仿宋"/>
          <w:sz w:val="32"/>
          <w:szCs w:val="32"/>
          <w:lang w:val="en-US" w:eastAsia="zh-CN"/>
        </w:rPr>
        <w:t>108.88</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年财政拨款收支总预算</w:t>
      </w:r>
      <w:r>
        <w:rPr>
          <w:rFonts w:hint="eastAsia" w:ascii="仿宋" w:hAnsi="仿宋" w:eastAsia="仿宋"/>
          <w:sz w:val="32"/>
          <w:szCs w:val="32"/>
          <w:lang w:eastAsia="zh-CN"/>
        </w:rPr>
        <w:t>减少</w:t>
      </w:r>
      <w:r>
        <w:rPr>
          <w:rFonts w:hint="eastAsia" w:ascii="仿宋" w:hAnsi="仿宋" w:eastAsia="仿宋"/>
          <w:sz w:val="32"/>
          <w:szCs w:val="32"/>
          <w:lang w:val="en-US" w:eastAsia="zh-CN"/>
        </w:rPr>
        <w:t>11.78</w:t>
      </w:r>
      <w:r>
        <w:rPr>
          <w:rFonts w:hint="eastAsia" w:ascii="仿宋" w:hAnsi="仿宋" w:eastAsia="仿宋"/>
          <w:sz w:val="32"/>
          <w:szCs w:val="32"/>
        </w:rPr>
        <w:t>万元，主要是因为</w:t>
      </w:r>
      <w:r>
        <w:rPr>
          <w:rFonts w:hint="eastAsia" w:ascii="仿宋" w:hAnsi="仿宋" w:eastAsia="仿宋"/>
          <w:sz w:val="32"/>
          <w:szCs w:val="32"/>
          <w:lang w:eastAsia="zh-CN"/>
        </w:rPr>
        <w:t>减少</w:t>
      </w:r>
      <w:r>
        <w:rPr>
          <w:rFonts w:hint="eastAsia" w:ascii="仿宋" w:hAnsi="仿宋" w:eastAsia="仿宋"/>
          <w:sz w:val="32"/>
          <w:szCs w:val="32"/>
          <w:lang w:val="en-US" w:eastAsia="zh-CN"/>
        </w:rPr>
        <w:t>1名在编人员</w:t>
      </w:r>
      <w:r>
        <w:rPr>
          <w:rFonts w:hint="eastAsia" w:ascii="仿宋" w:hAnsi="仿宋" w:eastAsia="仿宋"/>
          <w:sz w:val="32"/>
          <w:szCs w:val="32"/>
        </w:rPr>
        <w:t>。</w:t>
      </w:r>
    </w:p>
    <w:p w14:paraId="7A394D2F">
      <w:pPr>
        <w:keepNext w:val="0"/>
        <w:keepLines w:val="0"/>
        <w:pageBreakBefore w:val="0"/>
        <w:widowControl w:val="0"/>
        <w:kinsoku/>
        <w:wordWrap/>
        <w:overflowPunct/>
        <w:topLinePunct w:val="0"/>
        <w:autoSpaceDE/>
        <w:autoSpaceDN/>
        <w:bidi w:val="0"/>
        <w:spacing w:line="490" w:lineRule="exact"/>
        <w:ind w:firstLine="640" w:firstLineChars="200"/>
        <w:textAlignment w:val="auto"/>
        <w:rPr>
          <w:rFonts w:ascii="仿宋" w:hAnsi="仿宋" w:eastAsia="仿宋"/>
          <w:sz w:val="32"/>
          <w:szCs w:val="32"/>
        </w:rPr>
      </w:pPr>
      <w:r>
        <w:rPr>
          <w:rFonts w:ascii="仿宋" w:hAnsi="仿宋" w:eastAsia="仿宋"/>
          <w:sz w:val="32"/>
          <w:szCs w:val="32"/>
        </w:rPr>
        <w:t>收入包括：本年一般公共预算拨款收入</w:t>
      </w:r>
      <w:r>
        <w:rPr>
          <w:rFonts w:hint="eastAsia" w:ascii="仿宋" w:hAnsi="仿宋" w:eastAsia="仿宋"/>
          <w:sz w:val="32"/>
          <w:szCs w:val="32"/>
          <w:lang w:val="en-US" w:eastAsia="zh-CN"/>
        </w:rPr>
        <w:t>108.88</w:t>
      </w:r>
      <w:r>
        <w:rPr>
          <w:rFonts w:ascii="仿宋" w:hAnsi="仿宋" w:eastAsia="仿宋"/>
          <w:sz w:val="32"/>
          <w:szCs w:val="32"/>
        </w:rPr>
        <w:t>万元、上年结转一般公共预算拨款收入</w:t>
      </w:r>
      <w:r>
        <w:rPr>
          <w:rFonts w:hint="eastAsia" w:ascii="仿宋" w:hAnsi="仿宋" w:eastAsia="仿宋"/>
          <w:sz w:val="32"/>
          <w:szCs w:val="32"/>
        </w:rPr>
        <w:t>0</w:t>
      </w:r>
      <w:r>
        <w:rPr>
          <w:rFonts w:ascii="仿宋" w:hAnsi="仿宋" w:eastAsia="仿宋"/>
          <w:sz w:val="32"/>
          <w:szCs w:val="32"/>
        </w:rPr>
        <w:t>万元；</w:t>
      </w:r>
      <w:r>
        <w:rPr>
          <w:rFonts w:hint="eastAsia" w:ascii="仿宋" w:hAnsi="仿宋" w:eastAsia="仿宋"/>
          <w:sz w:val="32"/>
          <w:szCs w:val="32"/>
        </w:rPr>
        <w:t>支出包括：科学技术支出</w:t>
      </w:r>
      <w:r>
        <w:rPr>
          <w:rFonts w:hint="eastAsia" w:ascii="仿宋" w:hAnsi="仿宋" w:eastAsia="仿宋"/>
          <w:sz w:val="32"/>
          <w:szCs w:val="32"/>
          <w:lang w:val="en-US" w:eastAsia="zh-CN"/>
        </w:rPr>
        <w:t>84.95</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15.85</w:t>
      </w:r>
      <w:r>
        <w:rPr>
          <w:rFonts w:hint="eastAsia" w:ascii="仿宋" w:hAnsi="仿宋" w:eastAsia="仿宋"/>
          <w:sz w:val="32"/>
          <w:szCs w:val="32"/>
        </w:rPr>
        <w:t>万元，卫生健康支出</w:t>
      </w:r>
      <w:r>
        <w:rPr>
          <w:rFonts w:hint="eastAsia" w:ascii="仿宋" w:hAnsi="仿宋" w:eastAsia="仿宋"/>
          <w:sz w:val="32"/>
          <w:szCs w:val="32"/>
          <w:lang w:val="en-US" w:eastAsia="zh-CN"/>
        </w:rPr>
        <w:t>2.73</w:t>
      </w:r>
      <w:r>
        <w:rPr>
          <w:rFonts w:hint="eastAsia" w:ascii="仿宋" w:hAnsi="仿宋" w:eastAsia="仿宋"/>
          <w:sz w:val="32"/>
          <w:szCs w:val="32"/>
        </w:rPr>
        <w:t>万元，住房保障支出</w:t>
      </w:r>
      <w:r>
        <w:rPr>
          <w:rFonts w:hint="eastAsia" w:ascii="仿宋" w:hAnsi="仿宋" w:eastAsia="仿宋"/>
          <w:sz w:val="32"/>
          <w:szCs w:val="32"/>
          <w:lang w:val="en-US" w:eastAsia="zh-CN"/>
        </w:rPr>
        <w:t>5.35</w:t>
      </w:r>
      <w:r>
        <w:rPr>
          <w:rFonts w:hint="eastAsia" w:ascii="仿宋" w:hAnsi="仿宋" w:eastAsia="仿宋"/>
          <w:sz w:val="32"/>
          <w:szCs w:val="32"/>
        </w:rPr>
        <w:t>万元。</w:t>
      </w:r>
    </w:p>
    <w:p w14:paraId="31C1645B">
      <w:pPr>
        <w:keepNext w:val="0"/>
        <w:keepLines w:val="0"/>
        <w:pageBreakBefore w:val="0"/>
        <w:widowControl w:val="0"/>
        <w:kinsoku/>
        <w:wordWrap/>
        <w:overflowPunct/>
        <w:topLinePunct w:val="0"/>
        <w:autoSpaceDE/>
        <w:autoSpaceDN/>
        <w:bidi w:val="0"/>
        <w:spacing w:line="490" w:lineRule="exact"/>
        <w:textAlignment w:val="auto"/>
        <w:rPr>
          <w:rFonts w:ascii="仿宋_GB2312" w:hAnsi="仿宋_GB2312" w:eastAsia="仿宋_GB2312"/>
          <w:b/>
          <w:sz w:val="32"/>
          <w:szCs w:val="32"/>
        </w:rPr>
      </w:pPr>
      <w:r>
        <w:rPr>
          <w:rFonts w:hint="eastAsia" w:ascii="仿宋_GB2312" w:hAnsi="仿宋_GB2312" w:eastAsia="仿宋_GB2312"/>
          <w:sz w:val="32"/>
          <w:szCs w:val="32"/>
        </w:rPr>
        <w:t>　　</w:t>
      </w:r>
      <w:r>
        <w:rPr>
          <w:rFonts w:hint="eastAsia" w:ascii="仿宋_GB2312" w:hAnsi="仿宋_GB2312" w:eastAsia="仿宋_GB2312"/>
          <w:b/>
          <w:sz w:val="32"/>
          <w:szCs w:val="32"/>
        </w:rPr>
        <w:t>五、一般公共预算当年拨款情况说明</w:t>
      </w:r>
    </w:p>
    <w:p w14:paraId="0458A679">
      <w:pPr>
        <w:keepNext w:val="0"/>
        <w:keepLines w:val="0"/>
        <w:pageBreakBefore w:val="0"/>
        <w:widowControl w:val="0"/>
        <w:kinsoku/>
        <w:wordWrap/>
        <w:overflowPunct/>
        <w:topLinePunct w:val="0"/>
        <w:autoSpaceDE/>
        <w:autoSpaceDN/>
        <w:bidi w:val="0"/>
        <w:spacing w:line="490" w:lineRule="exact"/>
        <w:textAlignment w:val="auto"/>
        <w:rPr>
          <w:rFonts w:ascii="仿宋_GB2312" w:hAnsi="仿宋_GB2312" w:eastAsia="仿宋_GB2312"/>
          <w:sz w:val="32"/>
          <w:szCs w:val="32"/>
        </w:rPr>
      </w:pPr>
      <w:r>
        <w:rPr>
          <w:rFonts w:hint="eastAsia" w:ascii="仿宋_GB2312" w:hAnsi="仿宋_GB2312" w:eastAsia="仿宋_GB2312"/>
          <w:sz w:val="32"/>
          <w:szCs w:val="32"/>
        </w:rPr>
        <w:t>　　（一）一般公共预算当年拨款规模变化情况</w:t>
      </w:r>
    </w:p>
    <w:p w14:paraId="2ED79337">
      <w:pPr>
        <w:keepNext w:val="0"/>
        <w:keepLines w:val="0"/>
        <w:pageBreakBefore w:val="0"/>
        <w:widowControl w:val="0"/>
        <w:kinsoku/>
        <w:wordWrap/>
        <w:overflowPunct/>
        <w:topLinePunct w:val="0"/>
        <w:autoSpaceDE/>
        <w:autoSpaceDN/>
        <w:bidi w:val="0"/>
        <w:spacing w:line="490" w:lineRule="exact"/>
        <w:textAlignment w:val="auto"/>
        <w:rPr>
          <w:rFonts w:ascii="仿宋" w:hAnsi="仿宋" w:eastAsia="仿宋"/>
          <w:sz w:val="32"/>
          <w:szCs w:val="32"/>
        </w:rPr>
      </w:pPr>
      <w:r>
        <w:rPr>
          <w:rFonts w:hint="eastAsia" w:ascii="仿宋" w:hAnsi="仿宋" w:eastAsia="仿宋"/>
          <w:sz w:val="32"/>
          <w:szCs w:val="32"/>
        </w:rPr>
        <w:t>　　区科协202</w:t>
      </w:r>
      <w:r>
        <w:rPr>
          <w:rFonts w:hint="eastAsia" w:ascii="仿宋" w:hAnsi="仿宋" w:eastAsia="仿宋"/>
          <w:sz w:val="32"/>
          <w:szCs w:val="32"/>
          <w:lang w:val="en-US" w:eastAsia="zh-CN"/>
        </w:rPr>
        <w:t>5</w:t>
      </w:r>
      <w:r>
        <w:rPr>
          <w:rFonts w:hint="eastAsia" w:ascii="仿宋" w:hAnsi="仿宋" w:eastAsia="仿宋"/>
          <w:sz w:val="32"/>
          <w:szCs w:val="32"/>
        </w:rPr>
        <w:t>年一般公共预算当年拨款</w:t>
      </w:r>
      <w:r>
        <w:rPr>
          <w:rFonts w:hint="eastAsia" w:ascii="仿宋" w:hAnsi="仿宋" w:eastAsia="仿宋"/>
          <w:sz w:val="32"/>
          <w:szCs w:val="32"/>
          <w:lang w:val="en-US" w:eastAsia="zh-CN"/>
        </w:rPr>
        <w:t>108.88</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年预算数</w:t>
      </w:r>
      <w:r>
        <w:rPr>
          <w:rFonts w:hint="eastAsia" w:ascii="仿宋" w:hAnsi="仿宋" w:eastAsia="仿宋"/>
          <w:sz w:val="32"/>
          <w:szCs w:val="32"/>
          <w:lang w:eastAsia="zh-CN"/>
        </w:rPr>
        <w:t>减少</w:t>
      </w:r>
      <w:r>
        <w:rPr>
          <w:rFonts w:hint="eastAsia" w:ascii="仿宋" w:hAnsi="仿宋" w:eastAsia="仿宋"/>
          <w:sz w:val="32"/>
          <w:szCs w:val="32"/>
          <w:lang w:val="en-US" w:eastAsia="zh-CN"/>
        </w:rPr>
        <w:t>11.78</w:t>
      </w:r>
      <w:r>
        <w:rPr>
          <w:rFonts w:hint="eastAsia" w:ascii="仿宋" w:hAnsi="仿宋" w:eastAsia="仿宋"/>
          <w:sz w:val="32"/>
          <w:szCs w:val="32"/>
        </w:rPr>
        <w:t>万元，主要是因为</w:t>
      </w:r>
      <w:r>
        <w:rPr>
          <w:rFonts w:hint="eastAsia" w:ascii="仿宋" w:hAnsi="仿宋" w:eastAsia="仿宋"/>
          <w:sz w:val="32"/>
          <w:szCs w:val="32"/>
          <w:lang w:eastAsia="zh-CN"/>
        </w:rPr>
        <w:t>减少</w:t>
      </w:r>
      <w:r>
        <w:rPr>
          <w:rFonts w:hint="eastAsia" w:ascii="仿宋" w:hAnsi="仿宋" w:eastAsia="仿宋"/>
          <w:sz w:val="32"/>
          <w:szCs w:val="32"/>
          <w:lang w:val="en-US" w:eastAsia="zh-CN"/>
        </w:rPr>
        <w:t>1名在编人员</w:t>
      </w:r>
      <w:r>
        <w:rPr>
          <w:rFonts w:hint="eastAsia" w:ascii="仿宋" w:hAnsi="仿宋" w:eastAsia="仿宋"/>
          <w:sz w:val="32"/>
          <w:szCs w:val="32"/>
        </w:rPr>
        <w:t>。</w:t>
      </w:r>
    </w:p>
    <w:p w14:paraId="3E333613">
      <w:pPr>
        <w:keepNext w:val="0"/>
        <w:keepLines w:val="0"/>
        <w:pageBreakBefore w:val="0"/>
        <w:widowControl w:val="0"/>
        <w:kinsoku/>
        <w:wordWrap/>
        <w:overflowPunct/>
        <w:topLinePunct w:val="0"/>
        <w:autoSpaceDE/>
        <w:autoSpaceDN/>
        <w:bidi w:val="0"/>
        <w:spacing w:line="490" w:lineRule="exact"/>
        <w:textAlignment w:val="auto"/>
        <w:rPr>
          <w:rFonts w:ascii="仿宋_GB2312" w:hAnsi="仿宋_GB2312" w:eastAsia="仿宋_GB2312"/>
          <w:sz w:val="32"/>
          <w:szCs w:val="32"/>
        </w:rPr>
      </w:pPr>
      <w:r>
        <w:rPr>
          <w:rFonts w:hint="eastAsia" w:ascii="仿宋_GB2312" w:hAnsi="仿宋_GB2312" w:eastAsia="仿宋_GB2312"/>
          <w:sz w:val="32"/>
          <w:szCs w:val="32"/>
        </w:rPr>
        <w:t>　　（二）一般公共预算当年拨款结构情况</w:t>
      </w:r>
    </w:p>
    <w:p w14:paraId="57679618">
      <w:pPr>
        <w:keepNext w:val="0"/>
        <w:keepLines w:val="0"/>
        <w:pageBreakBefore w:val="0"/>
        <w:widowControl w:val="0"/>
        <w:kinsoku/>
        <w:wordWrap/>
        <w:overflowPunct/>
        <w:topLinePunct w:val="0"/>
        <w:autoSpaceDE/>
        <w:autoSpaceDN/>
        <w:bidi w:val="0"/>
        <w:spacing w:line="490" w:lineRule="exact"/>
        <w:ind w:firstLine="645"/>
        <w:textAlignment w:val="auto"/>
        <w:rPr>
          <w:rFonts w:ascii="仿宋" w:hAnsi="仿宋" w:eastAsia="仿宋"/>
          <w:sz w:val="32"/>
          <w:szCs w:val="32"/>
        </w:rPr>
      </w:pPr>
      <w:r>
        <w:rPr>
          <w:rFonts w:hint="eastAsia" w:ascii="仿宋" w:hAnsi="仿宋" w:eastAsia="仿宋"/>
          <w:sz w:val="32"/>
          <w:szCs w:val="32"/>
        </w:rPr>
        <w:t>科学技术支出</w:t>
      </w:r>
      <w:r>
        <w:rPr>
          <w:rFonts w:hint="eastAsia" w:ascii="仿宋" w:hAnsi="仿宋" w:eastAsia="仿宋"/>
          <w:sz w:val="32"/>
          <w:szCs w:val="32"/>
          <w:lang w:val="en-US" w:eastAsia="zh-CN"/>
        </w:rPr>
        <w:t>84.95</w:t>
      </w:r>
      <w:r>
        <w:rPr>
          <w:rFonts w:hint="eastAsia" w:ascii="仿宋" w:hAnsi="仿宋" w:eastAsia="仿宋"/>
          <w:sz w:val="32"/>
          <w:szCs w:val="32"/>
        </w:rPr>
        <w:t>万元，占</w:t>
      </w:r>
      <w:r>
        <w:rPr>
          <w:rFonts w:hint="eastAsia" w:ascii="仿宋" w:hAnsi="仿宋" w:eastAsia="仿宋"/>
          <w:sz w:val="32"/>
          <w:szCs w:val="32"/>
          <w:lang w:val="en-US" w:eastAsia="zh-CN"/>
        </w:rPr>
        <w:t>78.02</w:t>
      </w:r>
      <w:r>
        <w:rPr>
          <w:rFonts w:hint="eastAsia" w:ascii="仿宋" w:hAnsi="仿宋" w:eastAsia="仿宋"/>
          <w:sz w:val="32"/>
          <w:szCs w:val="32"/>
        </w:rPr>
        <w:t>%；社会保障和就业支出</w:t>
      </w:r>
      <w:r>
        <w:rPr>
          <w:rFonts w:hint="eastAsia" w:ascii="仿宋" w:hAnsi="仿宋" w:eastAsia="仿宋"/>
          <w:sz w:val="32"/>
          <w:szCs w:val="32"/>
          <w:lang w:val="en-US" w:eastAsia="zh-CN"/>
        </w:rPr>
        <w:t>15.85万元</w:t>
      </w:r>
      <w:r>
        <w:rPr>
          <w:rFonts w:hint="eastAsia" w:ascii="仿宋" w:hAnsi="仿宋" w:eastAsia="仿宋"/>
          <w:sz w:val="32"/>
          <w:szCs w:val="32"/>
        </w:rPr>
        <w:t>，占</w:t>
      </w:r>
      <w:r>
        <w:rPr>
          <w:rFonts w:hint="eastAsia" w:ascii="仿宋" w:hAnsi="仿宋" w:eastAsia="仿宋"/>
          <w:sz w:val="32"/>
          <w:szCs w:val="32"/>
          <w:lang w:val="en-US" w:eastAsia="zh-CN"/>
        </w:rPr>
        <w:t>14.56</w:t>
      </w:r>
      <w:r>
        <w:rPr>
          <w:rFonts w:hint="eastAsia" w:ascii="仿宋" w:hAnsi="仿宋" w:eastAsia="仿宋"/>
          <w:sz w:val="32"/>
          <w:szCs w:val="32"/>
        </w:rPr>
        <w:t>%、卫生健康支出</w:t>
      </w:r>
      <w:r>
        <w:rPr>
          <w:rFonts w:hint="eastAsia" w:ascii="仿宋" w:hAnsi="仿宋" w:eastAsia="仿宋"/>
          <w:sz w:val="32"/>
          <w:szCs w:val="32"/>
          <w:lang w:val="en-US" w:eastAsia="zh-CN"/>
        </w:rPr>
        <w:t>2.73</w:t>
      </w:r>
      <w:r>
        <w:rPr>
          <w:rFonts w:hint="eastAsia" w:ascii="仿宋" w:hAnsi="仿宋" w:eastAsia="仿宋"/>
          <w:sz w:val="32"/>
          <w:szCs w:val="32"/>
        </w:rPr>
        <w:t>万元，占</w:t>
      </w:r>
      <w:r>
        <w:rPr>
          <w:rFonts w:hint="eastAsia" w:ascii="仿宋" w:hAnsi="仿宋" w:eastAsia="仿宋"/>
          <w:sz w:val="32"/>
          <w:szCs w:val="32"/>
          <w:lang w:val="en-US" w:eastAsia="zh-CN"/>
        </w:rPr>
        <w:t>2.51</w:t>
      </w:r>
      <w:r>
        <w:rPr>
          <w:rFonts w:hint="eastAsia" w:ascii="仿宋" w:hAnsi="仿宋" w:eastAsia="仿宋"/>
          <w:sz w:val="32"/>
          <w:szCs w:val="32"/>
        </w:rPr>
        <w:t>%，住房保障支出</w:t>
      </w:r>
      <w:r>
        <w:rPr>
          <w:rFonts w:hint="eastAsia" w:ascii="仿宋" w:hAnsi="仿宋" w:eastAsia="仿宋"/>
          <w:sz w:val="32"/>
          <w:szCs w:val="32"/>
          <w:lang w:val="en-US" w:eastAsia="zh-CN"/>
        </w:rPr>
        <w:t>5.35</w:t>
      </w:r>
      <w:r>
        <w:rPr>
          <w:rFonts w:hint="eastAsia" w:ascii="仿宋" w:hAnsi="仿宋" w:eastAsia="仿宋"/>
          <w:sz w:val="32"/>
          <w:szCs w:val="32"/>
        </w:rPr>
        <w:t>万元，占</w:t>
      </w:r>
      <w:r>
        <w:rPr>
          <w:rFonts w:hint="eastAsia" w:ascii="仿宋" w:hAnsi="仿宋" w:eastAsia="仿宋"/>
          <w:sz w:val="32"/>
          <w:szCs w:val="32"/>
          <w:lang w:val="en-US" w:eastAsia="zh-CN"/>
        </w:rPr>
        <w:t>4.91</w:t>
      </w:r>
      <w:r>
        <w:rPr>
          <w:rFonts w:hint="eastAsia" w:ascii="仿宋" w:hAnsi="仿宋" w:eastAsia="仿宋"/>
          <w:sz w:val="32"/>
          <w:szCs w:val="32"/>
        </w:rPr>
        <w:t>%。</w:t>
      </w:r>
    </w:p>
    <w:p w14:paraId="52B0719B">
      <w:pPr>
        <w:keepNext w:val="0"/>
        <w:keepLines w:val="0"/>
        <w:pageBreakBefore w:val="0"/>
        <w:widowControl w:val="0"/>
        <w:kinsoku/>
        <w:wordWrap/>
        <w:overflowPunct/>
        <w:topLinePunct w:val="0"/>
        <w:autoSpaceDE/>
        <w:autoSpaceDN/>
        <w:bidi w:val="0"/>
        <w:spacing w:line="490" w:lineRule="exact"/>
        <w:textAlignment w:val="auto"/>
        <w:rPr>
          <w:rFonts w:ascii="仿宋_GB2312" w:hAnsi="仿宋_GB2312" w:eastAsia="仿宋_GB2312"/>
          <w:sz w:val="32"/>
          <w:szCs w:val="32"/>
        </w:rPr>
      </w:pPr>
      <w:r>
        <w:rPr>
          <w:rFonts w:hint="eastAsia" w:ascii="仿宋_GB2312" w:hAnsi="仿宋_GB2312" w:eastAsia="仿宋_GB2312"/>
          <w:sz w:val="32"/>
          <w:szCs w:val="32"/>
        </w:rPr>
        <w:t>　　（三）一般公共预算当年拨款具体使用情况</w:t>
      </w:r>
    </w:p>
    <w:p w14:paraId="30E73C1B">
      <w:pPr>
        <w:keepNext w:val="0"/>
        <w:keepLines w:val="0"/>
        <w:pageBreakBefore w:val="0"/>
        <w:widowControl w:val="0"/>
        <w:kinsoku/>
        <w:wordWrap/>
        <w:overflowPunct/>
        <w:topLinePunct w:val="0"/>
        <w:autoSpaceDE/>
        <w:autoSpaceDN/>
        <w:bidi w:val="0"/>
        <w:spacing w:line="490" w:lineRule="exact"/>
        <w:ind w:firstLine="643" w:firstLineChars="200"/>
        <w:textAlignment w:val="auto"/>
        <w:rPr>
          <w:rFonts w:ascii="仿宋" w:hAnsi="仿宋" w:eastAsia="仿宋"/>
          <w:sz w:val="32"/>
          <w:szCs w:val="32"/>
        </w:rPr>
      </w:pPr>
      <w:r>
        <w:rPr>
          <w:rStyle w:val="8"/>
          <w:rFonts w:hint="eastAsia" w:ascii="仿宋" w:hAnsi="仿宋" w:eastAsia="仿宋"/>
          <w:color w:val="000000"/>
          <w:sz w:val="32"/>
          <w:szCs w:val="32"/>
        </w:rPr>
        <w:t>1.</w:t>
      </w:r>
      <w:r>
        <w:rPr>
          <w:rFonts w:hint="eastAsia" w:ascii="仿宋" w:hAnsi="仿宋" w:eastAsia="仿宋"/>
        </w:rPr>
        <w:t xml:space="preserve"> </w:t>
      </w:r>
      <w:r>
        <w:rPr>
          <w:rStyle w:val="8"/>
          <w:rFonts w:hint="eastAsia" w:ascii="仿宋" w:hAnsi="仿宋" w:eastAsia="仿宋"/>
          <w:color w:val="000000" w:themeColor="text1"/>
          <w:sz w:val="32"/>
          <w:szCs w:val="32"/>
        </w:rPr>
        <w:t>科学技术支出-科学技术普及-机构运行:</w:t>
      </w:r>
      <w:r>
        <w:rPr>
          <w:rFonts w:hint="eastAsia" w:ascii="仿宋" w:hAnsi="仿宋" w:eastAsia="仿宋"/>
          <w:color w:val="000000" w:themeColor="text1"/>
          <w:sz w:val="32"/>
          <w:szCs w:val="32"/>
        </w:rPr>
        <w:t xml:space="preserve"> </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年预算数为</w:t>
      </w:r>
      <w:r>
        <w:rPr>
          <w:rFonts w:hint="eastAsia" w:ascii="仿宋" w:hAnsi="仿宋" w:eastAsia="仿宋"/>
          <w:sz w:val="32"/>
          <w:szCs w:val="32"/>
          <w:lang w:val="en-US" w:eastAsia="zh-CN"/>
        </w:rPr>
        <w:t>58.45</w:t>
      </w:r>
      <w:r>
        <w:rPr>
          <w:rFonts w:hint="eastAsia" w:ascii="仿宋" w:hAnsi="仿宋" w:eastAsia="仿宋"/>
          <w:sz w:val="32"/>
          <w:szCs w:val="32"/>
        </w:rPr>
        <w:t>万元，主要用于人员经费及办公费、劳务费、培训费等公用经费。</w:t>
      </w:r>
    </w:p>
    <w:p w14:paraId="5DC802A9">
      <w:pPr>
        <w:keepNext w:val="0"/>
        <w:keepLines w:val="0"/>
        <w:pageBreakBefore w:val="0"/>
        <w:widowControl w:val="0"/>
        <w:kinsoku/>
        <w:wordWrap/>
        <w:overflowPunct/>
        <w:topLinePunct w:val="0"/>
        <w:autoSpaceDE/>
        <w:autoSpaceDN/>
        <w:bidi w:val="0"/>
        <w:spacing w:line="490" w:lineRule="exact"/>
        <w:ind w:firstLine="643" w:firstLineChars="200"/>
        <w:textAlignment w:val="auto"/>
        <w:rPr>
          <w:rFonts w:hint="eastAsia" w:ascii="仿宋" w:hAnsi="仿宋" w:eastAsia="仿宋"/>
          <w:sz w:val="32"/>
          <w:szCs w:val="32"/>
        </w:rPr>
      </w:pPr>
      <w:r>
        <w:rPr>
          <w:rStyle w:val="8"/>
          <w:rFonts w:hint="eastAsia" w:ascii="仿宋" w:hAnsi="仿宋" w:eastAsia="仿宋"/>
          <w:color w:val="000000"/>
          <w:sz w:val="32"/>
          <w:szCs w:val="32"/>
        </w:rPr>
        <w:t>2.</w:t>
      </w:r>
      <w:r>
        <w:rPr>
          <w:rFonts w:hint="eastAsia" w:ascii="仿宋" w:hAnsi="仿宋" w:eastAsia="仿宋"/>
        </w:rPr>
        <w:t xml:space="preserve"> </w:t>
      </w:r>
      <w:r>
        <w:rPr>
          <w:rStyle w:val="8"/>
          <w:rFonts w:hint="eastAsia" w:ascii="仿宋" w:hAnsi="仿宋" w:eastAsia="仿宋"/>
          <w:color w:val="000000" w:themeColor="text1"/>
          <w:sz w:val="32"/>
          <w:szCs w:val="32"/>
        </w:rPr>
        <w:t>科学技术支出-科学技术普及-</w:t>
      </w:r>
      <w:r>
        <w:rPr>
          <w:rStyle w:val="8"/>
          <w:rFonts w:hint="eastAsia" w:ascii="仿宋" w:hAnsi="仿宋" w:eastAsia="仿宋"/>
          <w:color w:val="000000"/>
          <w:sz w:val="32"/>
          <w:szCs w:val="32"/>
        </w:rPr>
        <w:t>科普活动:</w:t>
      </w:r>
      <w:r>
        <w:rPr>
          <w:rFonts w:hint="eastAsia" w:ascii="仿宋" w:hAnsi="仿宋" w:eastAsia="仿宋"/>
          <w:sz w:val="32"/>
          <w:szCs w:val="32"/>
        </w:rPr>
        <w:t xml:space="preserve"> 202</w:t>
      </w:r>
      <w:r>
        <w:rPr>
          <w:rFonts w:hint="eastAsia" w:ascii="仿宋" w:hAnsi="仿宋" w:eastAsia="仿宋"/>
          <w:sz w:val="32"/>
          <w:szCs w:val="32"/>
          <w:lang w:val="en-US" w:eastAsia="zh-CN"/>
        </w:rPr>
        <w:t>5</w:t>
      </w:r>
      <w:r>
        <w:rPr>
          <w:rFonts w:hint="eastAsia" w:ascii="仿宋" w:hAnsi="仿宋" w:eastAsia="仿宋"/>
          <w:sz w:val="32"/>
          <w:szCs w:val="32"/>
        </w:rPr>
        <w:t>年预算数为</w:t>
      </w:r>
      <w:r>
        <w:rPr>
          <w:rFonts w:hint="eastAsia" w:ascii="仿宋" w:hAnsi="仿宋" w:eastAsia="仿宋"/>
          <w:sz w:val="32"/>
          <w:szCs w:val="32"/>
          <w:lang w:val="en-US" w:eastAsia="zh-CN"/>
        </w:rPr>
        <w:t>21</w:t>
      </w:r>
      <w:r>
        <w:rPr>
          <w:rFonts w:hint="eastAsia" w:ascii="仿宋" w:hAnsi="仿宋" w:eastAsia="仿宋"/>
          <w:sz w:val="32"/>
          <w:szCs w:val="32"/>
        </w:rPr>
        <w:t>万元，主要用于科创项目、科普活动、老科协、农技协等项目活动经费。</w:t>
      </w:r>
    </w:p>
    <w:p w14:paraId="34DD322F">
      <w:pPr>
        <w:keepNext w:val="0"/>
        <w:keepLines w:val="0"/>
        <w:pageBreakBefore w:val="0"/>
        <w:widowControl w:val="0"/>
        <w:kinsoku/>
        <w:wordWrap/>
        <w:overflowPunct/>
        <w:topLinePunct w:val="0"/>
        <w:autoSpaceDE/>
        <w:autoSpaceDN/>
        <w:bidi w:val="0"/>
        <w:spacing w:line="490" w:lineRule="exact"/>
        <w:ind w:firstLine="643" w:firstLineChars="200"/>
        <w:textAlignment w:val="auto"/>
        <w:rPr>
          <w:rFonts w:hint="eastAsia" w:ascii="仿宋" w:hAnsi="仿宋" w:eastAsia="仿宋"/>
          <w:sz w:val="32"/>
          <w:szCs w:val="32"/>
        </w:rPr>
      </w:pPr>
      <w:r>
        <w:rPr>
          <w:rStyle w:val="8"/>
          <w:rFonts w:hint="eastAsia" w:ascii="仿宋" w:hAnsi="仿宋" w:eastAsia="仿宋"/>
          <w:color w:val="000000"/>
          <w:sz w:val="32"/>
          <w:szCs w:val="32"/>
          <w:lang w:val="en-US" w:eastAsia="zh-CN"/>
        </w:rPr>
        <w:t>3</w:t>
      </w:r>
      <w:r>
        <w:rPr>
          <w:rStyle w:val="8"/>
          <w:rFonts w:hint="eastAsia" w:ascii="仿宋" w:hAnsi="仿宋" w:eastAsia="仿宋"/>
          <w:color w:val="000000"/>
          <w:sz w:val="32"/>
          <w:szCs w:val="32"/>
        </w:rPr>
        <w:t>.</w:t>
      </w:r>
      <w:r>
        <w:rPr>
          <w:rFonts w:hint="eastAsia" w:ascii="仿宋" w:hAnsi="仿宋" w:eastAsia="仿宋"/>
        </w:rPr>
        <w:t xml:space="preserve"> </w:t>
      </w:r>
      <w:r>
        <w:rPr>
          <w:rStyle w:val="8"/>
          <w:rFonts w:hint="eastAsia" w:ascii="仿宋" w:hAnsi="仿宋" w:eastAsia="仿宋"/>
          <w:color w:val="000000" w:themeColor="text1"/>
          <w:sz w:val="32"/>
          <w:szCs w:val="32"/>
        </w:rPr>
        <w:t>科学技术支出-科学技术普及-</w:t>
      </w:r>
      <w:r>
        <w:rPr>
          <w:rStyle w:val="8"/>
          <w:rFonts w:hint="eastAsia" w:ascii="仿宋" w:hAnsi="仿宋" w:eastAsia="仿宋"/>
          <w:color w:val="000000"/>
          <w:sz w:val="32"/>
          <w:szCs w:val="32"/>
          <w:lang w:eastAsia="zh-CN"/>
        </w:rPr>
        <w:t>其他科学技术普及支出</w:t>
      </w:r>
      <w:r>
        <w:rPr>
          <w:rStyle w:val="8"/>
          <w:rFonts w:hint="eastAsia" w:ascii="仿宋" w:hAnsi="仿宋" w:eastAsia="仿宋"/>
          <w:color w:val="000000"/>
          <w:sz w:val="32"/>
          <w:szCs w:val="32"/>
        </w:rPr>
        <w:t>:</w:t>
      </w:r>
      <w:r>
        <w:rPr>
          <w:rFonts w:hint="eastAsia" w:ascii="仿宋" w:hAnsi="仿宋" w:eastAsia="仿宋"/>
          <w:sz w:val="32"/>
          <w:szCs w:val="32"/>
        </w:rPr>
        <w:t xml:space="preserve"> 202</w:t>
      </w:r>
      <w:r>
        <w:rPr>
          <w:rFonts w:hint="eastAsia" w:ascii="仿宋" w:hAnsi="仿宋" w:eastAsia="仿宋"/>
          <w:sz w:val="32"/>
          <w:szCs w:val="32"/>
          <w:lang w:val="en-US" w:eastAsia="zh-CN"/>
        </w:rPr>
        <w:t>5</w:t>
      </w:r>
      <w:r>
        <w:rPr>
          <w:rFonts w:hint="eastAsia" w:ascii="仿宋" w:hAnsi="仿宋" w:eastAsia="仿宋"/>
          <w:sz w:val="32"/>
          <w:szCs w:val="32"/>
        </w:rPr>
        <w:t>年预算数为</w:t>
      </w:r>
      <w:r>
        <w:rPr>
          <w:rFonts w:hint="eastAsia" w:ascii="仿宋" w:hAnsi="仿宋" w:eastAsia="仿宋"/>
          <w:sz w:val="32"/>
          <w:szCs w:val="32"/>
          <w:lang w:val="en-US" w:eastAsia="zh-CN"/>
        </w:rPr>
        <w:t>5.5</w:t>
      </w:r>
      <w:r>
        <w:rPr>
          <w:rFonts w:hint="eastAsia" w:ascii="仿宋" w:hAnsi="仿宋" w:eastAsia="仿宋"/>
          <w:sz w:val="32"/>
          <w:szCs w:val="32"/>
        </w:rPr>
        <w:t>万元，主要用于</w:t>
      </w:r>
      <w:r>
        <w:rPr>
          <w:rFonts w:hint="eastAsia" w:ascii="仿宋" w:hAnsi="仿宋" w:eastAsia="仿宋"/>
          <w:sz w:val="32"/>
          <w:szCs w:val="32"/>
          <w:lang w:eastAsia="zh-CN"/>
        </w:rPr>
        <w:t>第二届代表大会</w:t>
      </w:r>
      <w:r>
        <w:rPr>
          <w:rFonts w:hint="eastAsia" w:ascii="仿宋" w:hAnsi="仿宋" w:eastAsia="仿宋"/>
          <w:sz w:val="32"/>
          <w:szCs w:val="32"/>
        </w:rPr>
        <w:t>经费。</w:t>
      </w:r>
    </w:p>
    <w:p w14:paraId="40F8F477">
      <w:pPr>
        <w:keepNext w:val="0"/>
        <w:keepLines w:val="0"/>
        <w:pageBreakBefore w:val="0"/>
        <w:widowControl w:val="0"/>
        <w:kinsoku/>
        <w:wordWrap/>
        <w:overflowPunct/>
        <w:topLinePunct w:val="0"/>
        <w:autoSpaceDE/>
        <w:autoSpaceDN/>
        <w:bidi w:val="0"/>
        <w:spacing w:line="490" w:lineRule="exact"/>
        <w:ind w:firstLine="640" w:firstLineChars="200"/>
        <w:textAlignment w:val="auto"/>
        <w:rPr>
          <w:rFonts w:ascii="仿宋" w:hAnsi="仿宋" w:eastAsia="仿宋"/>
          <w:sz w:val="32"/>
          <w:szCs w:val="32"/>
        </w:rPr>
      </w:pP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w:t>
      </w:r>
      <w:r>
        <w:rPr>
          <w:rStyle w:val="8"/>
          <w:rFonts w:hint="eastAsia" w:ascii="仿宋" w:hAnsi="仿宋" w:eastAsia="仿宋"/>
          <w:color w:val="000000"/>
          <w:sz w:val="32"/>
          <w:szCs w:val="32"/>
        </w:rPr>
        <w:t>社会保障和就业支出-机关事业单位基本养老保险缴费支出：</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年预算数为</w:t>
      </w:r>
      <w:r>
        <w:rPr>
          <w:rFonts w:hint="eastAsia" w:ascii="仿宋" w:hAnsi="仿宋" w:eastAsia="仿宋"/>
          <w:sz w:val="32"/>
          <w:szCs w:val="32"/>
          <w:lang w:val="en-US" w:eastAsia="zh-CN"/>
        </w:rPr>
        <w:t>6.51</w:t>
      </w:r>
      <w:r>
        <w:rPr>
          <w:rFonts w:hint="eastAsia" w:ascii="仿宋" w:hAnsi="仿宋" w:eastAsia="仿宋"/>
          <w:sz w:val="32"/>
          <w:szCs w:val="32"/>
        </w:rPr>
        <w:t>万元，主要用于科协职工的养老保险缴费。</w:t>
      </w:r>
    </w:p>
    <w:p w14:paraId="15F2998B">
      <w:pPr>
        <w:keepNext w:val="0"/>
        <w:keepLines w:val="0"/>
        <w:pageBreakBefore w:val="0"/>
        <w:widowControl w:val="0"/>
        <w:kinsoku/>
        <w:wordWrap/>
        <w:overflowPunct/>
        <w:topLinePunct w:val="0"/>
        <w:autoSpaceDE/>
        <w:autoSpaceDN/>
        <w:bidi w:val="0"/>
        <w:spacing w:line="490" w:lineRule="exact"/>
        <w:ind w:firstLine="640" w:firstLineChars="200"/>
        <w:textAlignment w:val="auto"/>
        <w:rPr>
          <w:rFonts w:hint="eastAsia" w:ascii="仿宋" w:hAnsi="仿宋" w:eastAsia="仿宋"/>
          <w:sz w:val="32"/>
          <w:szCs w:val="32"/>
        </w:rPr>
      </w:pP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w:t>
      </w:r>
      <w:r>
        <w:rPr>
          <w:rStyle w:val="8"/>
          <w:rFonts w:hint="eastAsia" w:ascii="仿宋" w:hAnsi="仿宋" w:eastAsia="仿宋"/>
          <w:color w:val="000000"/>
          <w:sz w:val="32"/>
          <w:szCs w:val="32"/>
        </w:rPr>
        <w:t>社会保障和就业支出-机关事业单位职业年金缴费支出：</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年预算数为</w:t>
      </w:r>
      <w:r>
        <w:rPr>
          <w:rFonts w:hint="eastAsia" w:ascii="仿宋" w:hAnsi="仿宋" w:eastAsia="仿宋"/>
          <w:sz w:val="32"/>
          <w:szCs w:val="32"/>
          <w:lang w:val="en-US" w:eastAsia="zh-CN"/>
        </w:rPr>
        <w:t>3.25</w:t>
      </w:r>
      <w:r>
        <w:rPr>
          <w:rFonts w:hint="eastAsia" w:ascii="仿宋" w:hAnsi="仿宋" w:eastAsia="仿宋"/>
          <w:sz w:val="32"/>
          <w:szCs w:val="32"/>
        </w:rPr>
        <w:t>万元，主要用于科协职工的职业年金缴费。</w:t>
      </w:r>
    </w:p>
    <w:p w14:paraId="18EF00EF">
      <w:pPr>
        <w:keepNext w:val="0"/>
        <w:keepLines w:val="0"/>
        <w:pageBreakBefore w:val="0"/>
        <w:widowControl w:val="0"/>
        <w:kinsoku/>
        <w:wordWrap/>
        <w:overflowPunct/>
        <w:topLinePunct w:val="0"/>
        <w:autoSpaceDE/>
        <w:autoSpaceDN/>
        <w:bidi w:val="0"/>
        <w:spacing w:line="490" w:lineRule="exact"/>
        <w:ind w:firstLine="643" w:firstLineChars="200"/>
        <w:textAlignment w:val="auto"/>
        <w:rPr>
          <w:rStyle w:val="8"/>
          <w:rFonts w:hint="eastAsia" w:ascii="仿宋" w:hAnsi="仿宋" w:eastAsia="仿宋"/>
          <w:color w:val="auto"/>
          <w:sz w:val="32"/>
          <w:szCs w:val="32"/>
          <w:lang w:val="en-US" w:eastAsia="zh-CN"/>
        </w:rPr>
      </w:pPr>
      <w:r>
        <w:rPr>
          <w:rStyle w:val="8"/>
          <w:rFonts w:hint="eastAsia" w:ascii="仿宋" w:hAnsi="仿宋" w:eastAsia="仿宋"/>
          <w:color w:val="000000"/>
          <w:sz w:val="32"/>
          <w:szCs w:val="32"/>
          <w:lang w:val="en-US" w:eastAsia="zh-CN"/>
        </w:rPr>
        <w:t>6</w:t>
      </w:r>
      <w:r>
        <w:rPr>
          <w:rFonts w:hint="eastAsia" w:ascii="仿宋" w:hAnsi="仿宋" w:eastAsia="仿宋"/>
          <w:sz w:val="32"/>
          <w:szCs w:val="32"/>
          <w:lang w:val="en-US" w:eastAsia="zh-CN"/>
        </w:rPr>
        <w:t>.</w:t>
      </w:r>
      <w:r>
        <w:rPr>
          <w:rStyle w:val="8"/>
          <w:rFonts w:hint="eastAsia" w:ascii="仿宋" w:hAnsi="仿宋" w:eastAsia="仿宋"/>
          <w:color w:val="auto"/>
          <w:sz w:val="32"/>
          <w:szCs w:val="32"/>
          <w:lang w:val="en-US" w:eastAsia="zh-CN"/>
        </w:rPr>
        <w:t>社会保障和就业支出-其他社会保障和就业支出：</w:t>
      </w:r>
    </w:p>
    <w:p w14:paraId="015A991E">
      <w:pPr>
        <w:keepNext w:val="0"/>
        <w:keepLines w:val="0"/>
        <w:pageBreakBefore w:val="0"/>
        <w:widowControl w:val="0"/>
        <w:kinsoku/>
        <w:wordWrap/>
        <w:overflowPunct/>
        <w:topLinePunct w:val="0"/>
        <w:autoSpaceDE/>
        <w:autoSpaceDN/>
        <w:bidi w:val="0"/>
        <w:spacing w:line="490" w:lineRule="exact"/>
        <w:ind w:firstLine="640" w:firstLineChars="200"/>
        <w:textAlignment w:val="auto"/>
        <w:rPr>
          <w:rStyle w:val="8"/>
          <w:rFonts w:hint="eastAsia" w:ascii="仿宋" w:hAnsi="仿宋" w:eastAsia="仿宋"/>
          <w:color w:val="FFFF00"/>
          <w:sz w:val="32"/>
          <w:szCs w:val="32"/>
        </w:rPr>
      </w:pPr>
      <w:r>
        <w:rPr>
          <w:rFonts w:hint="eastAsia" w:ascii="仿宋" w:hAnsi="仿宋" w:eastAsia="仿宋"/>
          <w:sz w:val="32"/>
          <w:szCs w:val="32"/>
          <w:lang w:val="en-US" w:eastAsia="zh-CN"/>
        </w:rPr>
        <w:t>2025年预算数为 0.09万元，主要用于科协职工的工伤保险缴费。</w:t>
      </w:r>
    </w:p>
    <w:p w14:paraId="28EE0886">
      <w:pPr>
        <w:keepNext w:val="0"/>
        <w:keepLines w:val="0"/>
        <w:pageBreakBefore w:val="0"/>
        <w:widowControl w:val="0"/>
        <w:kinsoku/>
        <w:wordWrap/>
        <w:overflowPunct/>
        <w:topLinePunct w:val="0"/>
        <w:autoSpaceDE/>
        <w:autoSpaceDN/>
        <w:bidi w:val="0"/>
        <w:spacing w:line="490" w:lineRule="exact"/>
        <w:ind w:firstLine="643" w:firstLineChars="200"/>
        <w:textAlignment w:val="auto"/>
        <w:rPr>
          <w:rFonts w:hint="eastAsia" w:ascii="仿宋" w:hAnsi="仿宋" w:eastAsia="仿宋"/>
          <w:sz w:val="32"/>
          <w:szCs w:val="32"/>
        </w:rPr>
      </w:pPr>
      <w:r>
        <w:rPr>
          <w:rStyle w:val="8"/>
          <w:rFonts w:hint="eastAsia" w:ascii="仿宋" w:hAnsi="仿宋" w:eastAsia="仿宋"/>
          <w:color w:val="000000"/>
          <w:sz w:val="32"/>
          <w:szCs w:val="32"/>
          <w:lang w:val="en-US" w:eastAsia="zh-CN"/>
        </w:rPr>
        <w:t>7</w:t>
      </w:r>
      <w:r>
        <w:rPr>
          <w:rStyle w:val="8"/>
          <w:rFonts w:hint="eastAsia" w:ascii="仿宋" w:hAnsi="仿宋" w:eastAsia="仿宋"/>
          <w:color w:val="000000"/>
          <w:sz w:val="32"/>
          <w:szCs w:val="32"/>
        </w:rPr>
        <w:t>.</w:t>
      </w:r>
      <w:r>
        <w:rPr>
          <w:rStyle w:val="8"/>
          <w:rFonts w:hint="eastAsia" w:ascii="仿宋" w:hAnsi="仿宋" w:eastAsia="仿宋"/>
          <w:color w:val="auto"/>
          <w:sz w:val="32"/>
          <w:szCs w:val="32"/>
        </w:rPr>
        <w:t>社会保障和就业支出-其他行政事业单位</w:t>
      </w:r>
      <w:r>
        <w:rPr>
          <w:rStyle w:val="8"/>
          <w:rFonts w:hint="eastAsia" w:ascii="仿宋" w:hAnsi="仿宋" w:eastAsia="仿宋"/>
          <w:color w:val="auto"/>
          <w:sz w:val="32"/>
          <w:szCs w:val="32"/>
          <w:lang w:eastAsia="zh-CN"/>
        </w:rPr>
        <w:t>养老支出</w:t>
      </w:r>
      <w:r>
        <w:rPr>
          <w:rStyle w:val="8"/>
          <w:rFonts w:hint="eastAsia" w:ascii="仿宋" w:hAnsi="仿宋" w:eastAsia="仿宋"/>
          <w:color w:val="auto"/>
          <w:sz w:val="32"/>
          <w:szCs w:val="32"/>
        </w:rPr>
        <w:t>：</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年预算数为</w:t>
      </w:r>
      <w:r>
        <w:rPr>
          <w:rFonts w:hint="eastAsia" w:ascii="仿宋" w:hAnsi="仿宋" w:eastAsia="仿宋"/>
          <w:sz w:val="32"/>
          <w:szCs w:val="32"/>
          <w:lang w:val="en-US" w:eastAsia="zh-CN"/>
        </w:rPr>
        <w:t>6</w:t>
      </w:r>
      <w:r>
        <w:rPr>
          <w:rFonts w:hint="eastAsia" w:ascii="仿宋" w:hAnsi="仿宋" w:eastAsia="仿宋"/>
          <w:sz w:val="32"/>
          <w:szCs w:val="32"/>
        </w:rPr>
        <w:t>万元，主要用于科协退休人员费用。</w:t>
      </w:r>
    </w:p>
    <w:p w14:paraId="5B09C2A3">
      <w:pPr>
        <w:keepNext w:val="0"/>
        <w:keepLines w:val="0"/>
        <w:pageBreakBefore w:val="0"/>
        <w:widowControl w:val="0"/>
        <w:kinsoku/>
        <w:wordWrap/>
        <w:overflowPunct/>
        <w:topLinePunct w:val="0"/>
        <w:autoSpaceDE/>
        <w:autoSpaceDN/>
        <w:bidi w:val="0"/>
        <w:spacing w:line="490" w:lineRule="exact"/>
        <w:ind w:firstLine="643" w:firstLineChars="200"/>
        <w:textAlignment w:val="auto"/>
        <w:rPr>
          <w:rFonts w:ascii="仿宋_GB2312" w:eastAsia="仿宋_GB2312"/>
          <w:color w:val="000000"/>
          <w:sz w:val="32"/>
          <w:szCs w:val="32"/>
        </w:rPr>
      </w:pPr>
      <w:r>
        <w:rPr>
          <w:rStyle w:val="8"/>
          <w:rFonts w:hint="eastAsia" w:ascii="仿宋" w:hAnsi="仿宋" w:eastAsia="仿宋"/>
          <w:color w:val="000000"/>
          <w:sz w:val="32"/>
          <w:szCs w:val="32"/>
          <w:lang w:val="en-US" w:eastAsia="zh-CN"/>
        </w:rPr>
        <w:t>8</w:t>
      </w:r>
      <w:r>
        <w:rPr>
          <w:rStyle w:val="8"/>
          <w:rFonts w:hint="eastAsia" w:ascii="仿宋" w:hAnsi="仿宋" w:eastAsia="仿宋"/>
          <w:color w:val="000000"/>
          <w:sz w:val="32"/>
          <w:szCs w:val="32"/>
        </w:rPr>
        <w:t>.</w:t>
      </w:r>
      <w:r>
        <w:rPr>
          <w:rFonts w:hint="eastAsia" w:ascii="仿宋" w:hAnsi="仿宋" w:eastAsia="仿宋"/>
        </w:rPr>
        <w:t xml:space="preserve"> </w:t>
      </w:r>
      <w:r>
        <w:rPr>
          <w:rStyle w:val="8"/>
          <w:rFonts w:hint="eastAsia" w:ascii="仿宋" w:hAnsi="仿宋" w:eastAsia="仿宋"/>
          <w:color w:val="000000"/>
          <w:sz w:val="32"/>
          <w:szCs w:val="32"/>
        </w:rPr>
        <w:t>医疗卫生与计划生育支出-行政单位医疗:</w:t>
      </w:r>
      <w:r>
        <w:rPr>
          <w:rFonts w:hint="eastAsia" w:ascii="仿宋" w:hAnsi="仿宋" w:eastAsia="仿宋"/>
          <w:sz w:val="32"/>
          <w:szCs w:val="32"/>
        </w:rPr>
        <w:t xml:space="preserve"> 202</w:t>
      </w:r>
      <w:r>
        <w:rPr>
          <w:rFonts w:hint="eastAsia" w:ascii="仿宋" w:hAnsi="仿宋" w:eastAsia="仿宋"/>
          <w:sz w:val="32"/>
          <w:szCs w:val="32"/>
          <w:lang w:val="en-US" w:eastAsia="zh-CN"/>
        </w:rPr>
        <w:t>5</w:t>
      </w:r>
      <w:r>
        <w:rPr>
          <w:rFonts w:hint="eastAsia" w:ascii="仿宋" w:hAnsi="仿宋" w:eastAsia="仿宋"/>
          <w:sz w:val="32"/>
          <w:szCs w:val="32"/>
        </w:rPr>
        <w:t>年预算数为</w:t>
      </w:r>
      <w:r>
        <w:rPr>
          <w:rFonts w:hint="eastAsia" w:ascii="仿宋" w:hAnsi="仿宋" w:eastAsia="仿宋"/>
          <w:sz w:val="32"/>
          <w:szCs w:val="32"/>
          <w:lang w:val="en-US" w:eastAsia="zh-CN"/>
        </w:rPr>
        <w:t>2.73</w:t>
      </w:r>
      <w:r>
        <w:rPr>
          <w:rFonts w:hint="eastAsia" w:ascii="仿宋" w:hAnsi="仿宋" w:eastAsia="仿宋"/>
          <w:sz w:val="32"/>
          <w:szCs w:val="32"/>
        </w:rPr>
        <w:t>万元，主要用于科协职工医疗保险缴费。</w:t>
      </w:r>
    </w:p>
    <w:p w14:paraId="0EF9D768">
      <w:pPr>
        <w:keepNext w:val="0"/>
        <w:keepLines w:val="0"/>
        <w:pageBreakBefore w:val="0"/>
        <w:widowControl w:val="0"/>
        <w:kinsoku/>
        <w:wordWrap/>
        <w:overflowPunct/>
        <w:topLinePunct w:val="0"/>
        <w:autoSpaceDE/>
        <w:autoSpaceDN/>
        <w:bidi w:val="0"/>
        <w:spacing w:line="490" w:lineRule="exact"/>
        <w:ind w:firstLine="643" w:firstLineChars="200"/>
        <w:textAlignment w:val="auto"/>
        <w:rPr>
          <w:rFonts w:ascii="仿宋_GB2312" w:eastAsia="仿宋_GB2312"/>
          <w:color w:val="000000"/>
          <w:sz w:val="32"/>
          <w:szCs w:val="32"/>
        </w:rPr>
      </w:pPr>
      <w:r>
        <w:rPr>
          <w:rStyle w:val="8"/>
          <w:rFonts w:hint="eastAsia" w:ascii="仿宋" w:hAnsi="仿宋" w:eastAsia="仿宋"/>
          <w:color w:val="000000"/>
          <w:sz w:val="32"/>
          <w:szCs w:val="32"/>
          <w:lang w:val="en-US" w:eastAsia="zh-CN"/>
        </w:rPr>
        <w:t>9</w:t>
      </w:r>
      <w:r>
        <w:rPr>
          <w:rStyle w:val="8"/>
          <w:rFonts w:hint="eastAsia" w:ascii="仿宋" w:hAnsi="仿宋" w:eastAsia="仿宋"/>
          <w:color w:val="000000"/>
          <w:sz w:val="32"/>
          <w:szCs w:val="32"/>
        </w:rPr>
        <w:t>. 住房保障支出-住房公积金:</w:t>
      </w:r>
      <w:r>
        <w:rPr>
          <w:rFonts w:hint="eastAsia" w:ascii="仿宋" w:hAnsi="仿宋" w:eastAsia="仿宋"/>
          <w:sz w:val="32"/>
          <w:szCs w:val="32"/>
        </w:rPr>
        <w:t xml:space="preserve"> 202</w:t>
      </w:r>
      <w:r>
        <w:rPr>
          <w:rFonts w:hint="eastAsia" w:ascii="仿宋" w:hAnsi="仿宋" w:eastAsia="仿宋"/>
          <w:sz w:val="32"/>
          <w:szCs w:val="32"/>
          <w:lang w:val="en-US" w:eastAsia="zh-CN"/>
        </w:rPr>
        <w:t>5</w:t>
      </w:r>
      <w:r>
        <w:rPr>
          <w:rFonts w:hint="eastAsia" w:ascii="仿宋" w:hAnsi="仿宋" w:eastAsia="仿宋"/>
          <w:sz w:val="32"/>
          <w:szCs w:val="32"/>
        </w:rPr>
        <w:t>年预算数为</w:t>
      </w:r>
      <w:r>
        <w:rPr>
          <w:rFonts w:hint="eastAsia" w:ascii="仿宋" w:hAnsi="仿宋" w:eastAsia="仿宋"/>
          <w:sz w:val="32"/>
          <w:szCs w:val="32"/>
          <w:lang w:val="en-US" w:eastAsia="zh-CN"/>
        </w:rPr>
        <w:t>5.35</w:t>
      </w:r>
      <w:r>
        <w:rPr>
          <w:rFonts w:hint="eastAsia" w:ascii="仿宋" w:hAnsi="仿宋" w:eastAsia="仿宋"/>
          <w:sz w:val="32"/>
          <w:szCs w:val="32"/>
        </w:rPr>
        <w:t>万元，主要用于科协职工住房公积金缴费。</w:t>
      </w:r>
    </w:p>
    <w:p w14:paraId="69A98EF6">
      <w:pPr>
        <w:keepNext w:val="0"/>
        <w:keepLines w:val="0"/>
        <w:pageBreakBefore w:val="0"/>
        <w:widowControl w:val="0"/>
        <w:kinsoku/>
        <w:wordWrap/>
        <w:overflowPunct/>
        <w:topLinePunct w:val="0"/>
        <w:autoSpaceDE/>
        <w:autoSpaceDN/>
        <w:bidi w:val="0"/>
        <w:spacing w:line="490" w:lineRule="exact"/>
        <w:textAlignment w:val="auto"/>
        <w:rPr>
          <w:rFonts w:ascii="仿宋_GB2312" w:hAnsi="仿宋_GB2312" w:eastAsia="仿宋_GB2312"/>
          <w:b/>
          <w:sz w:val="32"/>
          <w:szCs w:val="32"/>
        </w:rPr>
      </w:pPr>
      <w:r>
        <w:rPr>
          <w:rFonts w:hint="eastAsia" w:ascii="仿宋_GB2312" w:hAnsi="仿宋_GB2312" w:eastAsia="仿宋_GB2312"/>
          <w:b/>
          <w:sz w:val="32"/>
          <w:szCs w:val="32"/>
        </w:rPr>
        <w:t>　　六、一般公共预算基本支出情况说明</w:t>
      </w:r>
    </w:p>
    <w:p w14:paraId="377FAF58">
      <w:pPr>
        <w:keepNext w:val="0"/>
        <w:keepLines w:val="0"/>
        <w:pageBreakBefore w:val="0"/>
        <w:widowControl w:val="0"/>
        <w:kinsoku/>
        <w:wordWrap/>
        <w:overflowPunct/>
        <w:topLinePunct w:val="0"/>
        <w:autoSpaceDE/>
        <w:autoSpaceDN/>
        <w:bidi w:val="0"/>
        <w:spacing w:line="490" w:lineRule="exact"/>
        <w:textAlignment w:val="auto"/>
        <w:rPr>
          <w:rFonts w:ascii="仿宋" w:hAnsi="仿宋" w:eastAsia="仿宋"/>
          <w:sz w:val="32"/>
          <w:szCs w:val="32"/>
        </w:rPr>
      </w:pPr>
      <w:r>
        <w:rPr>
          <w:rFonts w:hint="eastAsia" w:ascii="仿宋_GB2312" w:hAnsi="仿宋_GB2312" w:eastAsia="仿宋_GB2312"/>
          <w:sz w:val="32"/>
          <w:szCs w:val="32"/>
        </w:rPr>
        <w:t>　</w:t>
      </w:r>
      <w:r>
        <w:rPr>
          <w:rFonts w:hint="eastAsia" w:ascii="仿宋" w:hAnsi="仿宋" w:eastAsia="仿宋"/>
          <w:sz w:val="32"/>
          <w:szCs w:val="32"/>
        </w:rPr>
        <w:t>　区科协202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lang w:val="en-US" w:eastAsia="zh-CN"/>
        </w:rPr>
        <w:t>82.38</w:t>
      </w:r>
      <w:r>
        <w:rPr>
          <w:rFonts w:hint="eastAsia" w:ascii="仿宋" w:hAnsi="仿宋" w:eastAsia="仿宋"/>
          <w:sz w:val="32"/>
          <w:szCs w:val="32"/>
        </w:rPr>
        <w:t>万元，其中：</w:t>
      </w:r>
    </w:p>
    <w:p w14:paraId="64C34C5B">
      <w:pPr>
        <w:keepNext w:val="0"/>
        <w:keepLines w:val="0"/>
        <w:pageBreakBefore w:val="0"/>
        <w:widowControl w:val="0"/>
        <w:kinsoku/>
        <w:wordWrap/>
        <w:overflowPunct/>
        <w:topLinePunct w:val="0"/>
        <w:autoSpaceDE/>
        <w:autoSpaceDN/>
        <w:bidi w:val="0"/>
        <w:spacing w:line="490" w:lineRule="exact"/>
        <w:textAlignment w:val="auto"/>
        <w:rPr>
          <w:rFonts w:ascii="仿宋" w:hAnsi="仿宋" w:eastAsia="仿宋"/>
          <w:sz w:val="32"/>
          <w:szCs w:val="32"/>
        </w:rPr>
      </w:pPr>
      <w:r>
        <w:rPr>
          <w:rFonts w:hint="eastAsia" w:ascii="仿宋" w:hAnsi="仿宋" w:eastAsia="仿宋"/>
          <w:sz w:val="32"/>
          <w:szCs w:val="32"/>
        </w:rPr>
        <w:t>　　人员经费</w:t>
      </w:r>
      <w:r>
        <w:rPr>
          <w:rFonts w:hint="eastAsia" w:ascii="仿宋" w:hAnsi="仿宋" w:eastAsia="仿宋"/>
          <w:sz w:val="32"/>
          <w:szCs w:val="32"/>
          <w:lang w:val="en-US" w:eastAsia="zh-CN"/>
        </w:rPr>
        <w:t>75.12</w:t>
      </w:r>
      <w:r>
        <w:rPr>
          <w:rFonts w:hint="eastAsia" w:ascii="仿宋" w:hAnsi="仿宋" w:eastAsia="仿宋"/>
          <w:sz w:val="32"/>
          <w:szCs w:val="32"/>
        </w:rPr>
        <w:t>万元，主要包括：基本工资、津贴补贴、奖金、社会保险缴费、绩效工资、机关事业单位基本养老保险缴费、职业年金缴费、其他工资福利支出。</w:t>
      </w:r>
    </w:p>
    <w:p w14:paraId="4FAB0A57">
      <w:pPr>
        <w:keepNext w:val="0"/>
        <w:keepLines w:val="0"/>
        <w:pageBreakBefore w:val="0"/>
        <w:widowControl w:val="0"/>
        <w:kinsoku/>
        <w:wordWrap/>
        <w:overflowPunct/>
        <w:topLinePunct w:val="0"/>
        <w:autoSpaceDE/>
        <w:autoSpaceDN/>
        <w:bidi w:val="0"/>
        <w:spacing w:line="490" w:lineRule="exact"/>
        <w:textAlignment w:val="auto"/>
        <w:rPr>
          <w:rFonts w:ascii="仿宋" w:hAnsi="仿宋" w:eastAsia="仿宋"/>
          <w:sz w:val="32"/>
          <w:szCs w:val="32"/>
        </w:rPr>
      </w:pPr>
      <w:r>
        <w:rPr>
          <w:rFonts w:hint="eastAsia" w:ascii="仿宋" w:hAnsi="仿宋" w:eastAsia="仿宋"/>
          <w:sz w:val="32"/>
          <w:szCs w:val="32"/>
        </w:rPr>
        <w:t>　　公用经费</w:t>
      </w:r>
      <w:r>
        <w:rPr>
          <w:rFonts w:hint="eastAsia" w:ascii="仿宋" w:hAnsi="仿宋" w:eastAsia="仿宋"/>
          <w:sz w:val="32"/>
          <w:szCs w:val="32"/>
          <w:lang w:val="en-US" w:eastAsia="zh-CN"/>
        </w:rPr>
        <w:t>7.26</w:t>
      </w:r>
      <w:r>
        <w:rPr>
          <w:rFonts w:hint="eastAsia" w:ascii="仿宋" w:hAnsi="仿宋" w:eastAsia="仿宋"/>
          <w:sz w:val="32"/>
          <w:szCs w:val="32"/>
        </w:rPr>
        <w:t>万元，主要包括：办公费、印刷费、咨询费、手续费、水电费、邮电费、差旅费、维修（护）费、租赁费、会议费、培训费、劳务费、工会经费、福利费、其他交通工具运行维护费、其他商品和服务支出。</w:t>
      </w:r>
    </w:p>
    <w:p w14:paraId="4B4E57F3">
      <w:pPr>
        <w:keepNext w:val="0"/>
        <w:keepLines w:val="0"/>
        <w:pageBreakBefore w:val="0"/>
        <w:widowControl w:val="0"/>
        <w:kinsoku/>
        <w:wordWrap/>
        <w:overflowPunct/>
        <w:topLinePunct w:val="0"/>
        <w:autoSpaceDE/>
        <w:autoSpaceDN/>
        <w:bidi w:val="0"/>
        <w:spacing w:line="490" w:lineRule="exact"/>
        <w:ind w:left="0" w:leftChars="0" w:firstLine="482" w:firstLineChars="150"/>
        <w:textAlignment w:val="auto"/>
        <w:rPr>
          <w:rFonts w:ascii="仿宋_GB2312" w:hAnsi="仿宋_GB2312" w:eastAsia="仿宋_GB2312"/>
          <w:b/>
          <w:sz w:val="32"/>
          <w:szCs w:val="32"/>
        </w:rPr>
      </w:pPr>
      <w:r>
        <w:rPr>
          <w:rFonts w:hint="eastAsia" w:ascii="仿宋_GB2312" w:hAnsi="仿宋_GB2312" w:eastAsia="仿宋_GB2312"/>
          <w:b/>
          <w:sz w:val="32"/>
          <w:szCs w:val="32"/>
        </w:rPr>
        <w:t>七、“三公”经费财政拨款预算安排情况说明</w:t>
      </w:r>
    </w:p>
    <w:p w14:paraId="1CA0E63A">
      <w:pPr>
        <w:keepNext w:val="0"/>
        <w:keepLines w:val="0"/>
        <w:pageBreakBefore w:val="0"/>
        <w:widowControl w:val="0"/>
        <w:kinsoku/>
        <w:wordWrap/>
        <w:overflowPunct/>
        <w:topLinePunct w:val="0"/>
        <w:autoSpaceDE/>
        <w:autoSpaceDN/>
        <w:bidi w:val="0"/>
        <w:spacing w:line="490" w:lineRule="exact"/>
        <w:textAlignment w:val="auto"/>
        <w:rPr>
          <w:rFonts w:ascii="仿宋" w:hAnsi="仿宋" w:eastAsia="仿宋"/>
          <w:sz w:val="32"/>
          <w:szCs w:val="32"/>
        </w:rPr>
      </w:pPr>
      <w:r>
        <w:rPr>
          <w:rFonts w:hint="eastAsia" w:ascii="仿宋_GB2312" w:hAnsi="仿宋_GB2312" w:eastAsia="仿宋_GB2312"/>
          <w:sz w:val="32"/>
          <w:szCs w:val="32"/>
        </w:rPr>
        <w:t>　</w:t>
      </w:r>
      <w:r>
        <w:rPr>
          <w:rFonts w:hint="eastAsia" w:ascii="仿宋" w:hAnsi="仿宋" w:eastAsia="仿宋"/>
          <w:sz w:val="32"/>
          <w:szCs w:val="32"/>
        </w:rPr>
        <w:t>　区科协202</w:t>
      </w:r>
      <w:r>
        <w:rPr>
          <w:rFonts w:hint="eastAsia" w:ascii="仿宋" w:hAnsi="仿宋" w:eastAsia="仿宋"/>
          <w:sz w:val="32"/>
          <w:szCs w:val="32"/>
          <w:lang w:val="en-US" w:eastAsia="zh-CN"/>
        </w:rPr>
        <w:t>5</w:t>
      </w:r>
      <w:r>
        <w:rPr>
          <w:rFonts w:hint="eastAsia" w:ascii="仿宋" w:hAnsi="仿宋" w:eastAsia="仿宋"/>
          <w:sz w:val="32"/>
          <w:szCs w:val="32"/>
        </w:rPr>
        <w:t>年“三公”经费财政拨款预算数</w:t>
      </w:r>
      <w:r>
        <w:rPr>
          <w:rFonts w:hint="eastAsia" w:ascii="仿宋" w:hAnsi="仿宋" w:eastAsia="仿宋"/>
          <w:sz w:val="32"/>
          <w:szCs w:val="32"/>
          <w:lang w:val="en-US" w:eastAsia="zh-CN"/>
        </w:rPr>
        <w:t>0.6</w:t>
      </w:r>
      <w:r>
        <w:rPr>
          <w:rFonts w:hint="eastAsia" w:ascii="仿宋" w:hAnsi="仿宋" w:eastAsia="仿宋"/>
          <w:sz w:val="32"/>
          <w:szCs w:val="32"/>
        </w:rPr>
        <w:t>万元，其中：因公出国（境）经费0万元，公务接待费</w:t>
      </w:r>
      <w:r>
        <w:rPr>
          <w:rFonts w:hint="eastAsia" w:ascii="仿宋" w:hAnsi="仿宋" w:eastAsia="仿宋"/>
          <w:sz w:val="32"/>
          <w:szCs w:val="32"/>
          <w:lang w:val="en-US" w:eastAsia="zh-CN"/>
        </w:rPr>
        <w:t>0.6</w:t>
      </w:r>
      <w:r>
        <w:rPr>
          <w:rFonts w:hint="eastAsia" w:ascii="仿宋" w:hAnsi="仿宋" w:eastAsia="仿宋"/>
          <w:sz w:val="32"/>
          <w:szCs w:val="32"/>
        </w:rPr>
        <w:t>万元，公务用车购置0万元，公务用车运行维护费0万元。</w:t>
      </w:r>
    </w:p>
    <w:p w14:paraId="3E18F95F">
      <w:pPr>
        <w:keepNext w:val="0"/>
        <w:keepLines w:val="0"/>
        <w:pageBreakBefore w:val="0"/>
        <w:widowControl w:val="0"/>
        <w:kinsoku/>
        <w:wordWrap/>
        <w:overflowPunct/>
        <w:topLinePunct w:val="0"/>
        <w:autoSpaceDE/>
        <w:autoSpaceDN/>
        <w:bidi w:val="0"/>
        <w:spacing w:line="490" w:lineRule="exact"/>
        <w:textAlignment w:val="auto"/>
        <w:rPr>
          <w:rFonts w:ascii="仿宋" w:hAnsi="仿宋" w:eastAsia="仿宋"/>
          <w:sz w:val="32"/>
          <w:szCs w:val="32"/>
        </w:rPr>
      </w:pPr>
      <w:r>
        <w:rPr>
          <w:rFonts w:hint="eastAsia" w:ascii="仿宋" w:hAnsi="仿宋" w:eastAsia="仿宋"/>
          <w:sz w:val="32"/>
          <w:szCs w:val="32"/>
        </w:rPr>
        <w:t>　　（一）因公出国（境）经费202</w:t>
      </w:r>
      <w:r>
        <w:rPr>
          <w:rFonts w:hint="eastAsia" w:ascii="仿宋" w:hAnsi="仿宋" w:eastAsia="仿宋"/>
          <w:sz w:val="32"/>
          <w:szCs w:val="32"/>
          <w:lang w:val="en-US" w:eastAsia="zh-CN"/>
        </w:rPr>
        <w:t>5</w:t>
      </w:r>
      <w:r>
        <w:rPr>
          <w:rFonts w:hint="eastAsia" w:ascii="仿宋" w:hAnsi="仿宋" w:eastAsia="仿宋"/>
          <w:sz w:val="32"/>
          <w:szCs w:val="32"/>
        </w:rPr>
        <w:t>年预算与202</w:t>
      </w:r>
      <w:r>
        <w:rPr>
          <w:rFonts w:hint="eastAsia" w:ascii="仿宋" w:hAnsi="仿宋" w:eastAsia="仿宋"/>
          <w:sz w:val="32"/>
          <w:szCs w:val="32"/>
          <w:lang w:val="en-US" w:eastAsia="zh-CN"/>
        </w:rPr>
        <w:t>4</w:t>
      </w:r>
      <w:r>
        <w:rPr>
          <w:rFonts w:hint="eastAsia" w:ascii="仿宋" w:hAnsi="仿宋" w:eastAsia="仿宋"/>
          <w:sz w:val="32"/>
          <w:szCs w:val="32"/>
        </w:rPr>
        <w:t>年预算基本持平。主要原因是未安排出国出境。</w:t>
      </w:r>
    </w:p>
    <w:p w14:paraId="4CC534DE">
      <w:pPr>
        <w:keepNext w:val="0"/>
        <w:keepLines w:val="0"/>
        <w:pageBreakBefore w:val="0"/>
        <w:widowControl w:val="0"/>
        <w:kinsoku/>
        <w:wordWrap/>
        <w:overflowPunct/>
        <w:topLinePunct w:val="0"/>
        <w:autoSpaceDE/>
        <w:autoSpaceDN/>
        <w:bidi w:val="0"/>
        <w:spacing w:line="490" w:lineRule="exact"/>
        <w:ind w:firstLine="640" w:firstLineChars="200"/>
        <w:textAlignment w:val="auto"/>
        <w:rPr>
          <w:rFonts w:ascii="仿宋" w:hAnsi="仿宋" w:eastAsia="仿宋"/>
          <w:sz w:val="32"/>
          <w:szCs w:val="32"/>
        </w:rPr>
      </w:pPr>
      <w:r>
        <w:rPr>
          <w:rFonts w:hint="eastAsia" w:ascii="仿宋" w:hAnsi="仿宋" w:eastAsia="仿宋"/>
          <w:sz w:val="32"/>
          <w:szCs w:val="32"/>
        </w:rPr>
        <w:t>根据科协安排的出国计划，拟安排出国（境）团组0次，出国（境）0人次。</w:t>
      </w:r>
    </w:p>
    <w:p w14:paraId="79C90AF2">
      <w:pPr>
        <w:keepNext w:val="0"/>
        <w:keepLines w:val="0"/>
        <w:pageBreakBefore w:val="0"/>
        <w:widowControl w:val="0"/>
        <w:kinsoku/>
        <w:wordWrap/>
        <w:overflowPunct/>
        <w:topLinePunct w:val="0"/>
        <w:autoSpaceDE/>
        <w:autoSpaceDN/>
        <w:bidi w:val="0"/>
        <w:spacing w:line="490" w:lineRule="exact"/>
        <w:ind w:firstLine="645"/>
        <w:textAlignment w:val="auto"/>
        <w:rPr>
          <w:rFonts w:ascii="仿宋_GB2312" w:eastAsia="仿宋_GB2312"/>
          <w:sz w:val="32"/>
          <w:szCs w:val="32"/>
        </w:rPr>
      </w:pPr>
      <w:r>
        <w:rPr>
          <w:rFonts w:hint="eastAsia" w:ascii="仿宋" w:hAnsi="仿宋" w:eastAsia="仿宋"/>
          <w:sz w:val="32"/>
          <w:szCs w:val="32"/>
        </w:rPr>
        <w:t>（二）公务接待费202</w:t>
      </w:r>
      <w:r>
        <w:rPr>
          <w:rFonts w:hint="eastAsia" w:ascii="仿宋" w:hAnsi="仿宋" w:eastAsia="仿宋"/>
          <w:sz w:val="32"/>
          <w:szCs w:val="32"/>
          <w:lang w:val="en-US" w:eastAsia="zh-CN"/>
        </w:rPr>
        <w:t>5</w:t>
      </w:r>
      <w:r>
        <w:rPr>
          <w:rFonts w:hint="eastAsia" w:ascii="仿宋" w:hAnsi="仿宋" w:eastAsia="仿宋"/>
          <w:sz w:val="32"/>
          <w:szCs w:val="32"/>
        </w:rPr>
        <w:t>年预算</w:t>
      </w:r>
      <w:r>
        <w:rPr>
          <w:rFonts w:hint="eastAsia" w:ascii="仿宋" w:hAnsi="仿宋" w:eastAsia="仿宋"/>
          <w:sz w:val="32"/>
          <w:szCs w:val="32"/>
          <w:lang w:eastAsia="zh-CN"/>
        </w:rPr>
        <w:t>与</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w:t>
      </w:r>
      <w:r>
        <w:rPr>
          <w:rFonts w:hint="eastAsia" w:ascii="仿宋" w:hAnsi="仿宋" w:eastAsia="仿宋"/>
          <w:sz w:val="32"/>
          <w:szCs w:val="32"/>
          <w:lang w:eastAsia="zh-CN"/>
        </w:rPr>
        <w:t>持平</w:t>
      </w:r>
      <w:r>
        <w:rPr>
          <w:rFonts w:hint="eastAsia" w:ascii="仿宋_GB2312" w:hAnsi="仿宋_GB2312" w:eastAsia="仿宋_GB2312"/>
          <w:sz w:val="32"/>
          <w:szCs w:val="32"/>
        </w:rPr>
        <w:t>。</w:t>
      </w:r>
    </w:p>
    <w:p w14:paraId="47077F18">
      <w:pPr>
        <w:keepNext w:val="0"/>
        <w:keepLines w:val="0"/>
        <w:pageBreakBefore w:val="0"/>
        <w:widowControl w:val="0"/>
        <w:kinsoku/>
        <w:wordWrap/>
        <w:overflowPunct/>
        <w:topLinePunct w:val="0"/>
        <w:autoSpaceDE/>
        <w:autoSpaceDN/>
        <w:bidi w:val="0"/>
        <w:spacing w:line="490" w:lineRule="exact"/>
        <w:ind w:firstLine="640" w:firstLineChars="200"/>
        <w:textAlignment w:val="auto"/>
        <w:rPr>
          <w:rFonts w:ascii="仿宋" w:hAnsi="仿宋" w:eastAsia="仿宋"/>
          <w:sz w:val="32"/>
          <w:szCs w:val="32"/>
        </w:rPr>
      </w:pPr>
      <w:r>
        <w:rPr>
          <w:rFonts w:hint="eastAsia" w:ascii="仿宋" w:hAnsi="仿宋" w:eastAsia="仿宋"/>
          <w:sz w:val="32"/>
          <w:szCs w:val="32"/>
        </w:rPr>
        <w:t>（三）公务用车购置及运行维护费较202</w:t>
      </w:r>
      <w:r>
        <w:rPr>
          <w:rFonts w:hint="eastAsia" w:ascii="仿宋" w:hAnsi="仿宋" w:eastAsia="仿宋"/>
          <w:sz w:val="32"/>
          <w:szCs w:val="32"/>
          <w:lang w:val="en-US" w:eastAsia="zh-CN"/>
        </w:rPr>
        <w:t>5</w:t>
      </w:r>
      <w:r>
        <w:rPr>
          <w:rFonts w:hint="eastAsia" w:ascii="仿宋" w:hAnsi="仿宋" w:eastAsia="仿宋"/>
          <w:sz w:val="32"/>
          <w:szCs w:val="32"/>
        </w:rPr>
        <w:t>年预算与202</w:t>
      </w:r>
      <w:r>
        <w:rPr>
          <w:rFonts w:hint="eastAsia" w:ascii="仿宋" w:hAnsi="仿宋" w:eastAsia="仿宋"/>
          <w:sz w:val="32"/>
          <w:szCs w:val="32"/>
          <w:lang w:val="en-US" w:eastAsia="zh-CN"/>
        </w:rPr>
        <w:t>4</w:t>
      </w:r>
      <w:r>
        <w:rPr>
          <w:rFonts w:hint="eastAsia" w:ascii="仿宋" w:hAnsi="仿宋" w:eastAsia="仿宋"/>
          <w:sz w:val="32"/>
          <w:szCs w:val="32"/>
        </w:rPr>
        <w:t>年预算基本持平。主要原因是</w:t>
      </w:r>
      <w:r>
        <w:rPr>
          <w:rFonts w:hint="eastAsia" w:ascii="仿宋" w:hAnsi="仿宋" w:eastAsia="仿宋"/>
          <w:sz w:val="32"/>
          <w:szCs w:val="32"/>
          <w:lang w:eastAsia="zh-CN"/>
        </w:rPr>
        <w:t>无</w:t>
      </w:r>
      <w:r>
        <w:rPr>
          <w:rFonts w:hint="eastAsia" w:ascii="仿宋" w:hAnsi="仿宋" w:eastAsia="仿宋"/>
          <w:sz w:val="32"/>
          <w:szCs w:val="32"/>
        </w:rPr>
        <w:t>公务车。</w:t>
      </w:r>
    </w:p>
    <w:p w14:paraId="5E33F5F5">
      <w:pPr>
        <w:keepNext w:val="0"/>
        <w:keepLines w:val="0"/>
        <w:pageBreakBefore w:val="0"/>
        <w:widowControl w:val="0"/>
        <w:kinsoku/>
        <w:wordWrap/>
        <w:overflowPunct/>
        <w:topLinePunct w:val="0"/>
        <w:autoSpaceDE/>
        <w:autoSpaceDN/>
        <w:bidi w:val="0"/>
        <w:spacing w:line="490" w:lineRule="exact"/>
        <w:textAlignment w:val="auto"/>
        <w:rPr>
          <w:rFonts w:ascii="仿宋" w:hAnsi="仿宋" w:eastAsia="仿宋"/>
          <w:sz w:val="32"/>
          <w:szCs w:val="32"/>
        </w:rPr>
      </w:pPr>
      <w:r>
        <w:rPr>
          <w:rFonts w:hint="eastAsia" w:ascii="仿宋" w:hAnsi="仿宋" w:eastAsia="仿宋"/>
          <w:sz w:val="32"/>
          <w:szCs w:val="32"/>
        </w:rPr>
        <w:t>　　单位现有公务用车0辆。其中：轿车0辆。</w:t>
      </w:r>
    </w:p>
    <w:p w14:paraId="63B9E00F">
      <w:pPr>
        <w:keepNext w:val="0"/>
        <w:keepLines w:val="0"/>
        <w:pageBreakBefore w:val="0"/>
        <w:widowControl w:val="0"/>
        <w:kinsoku/>
        <w:wordWrap/>
        <w:overflowPunct/>
        <w:topLinePunct w:val="0"/>
        <w:autoSpaceDE/>
        <w:autoSpaceDN/>
        <w:bidi w:val="0"/>
        <w:spacing w:line="490" w:lineRule="exact"/>
        <w:textAlignment w:val="auto"/>
        <w:rPr>
          <w:rFonts w:ascii="仿宋" w:hAnsi="仿宋" w:eastAsia="仿宋"/>
          <w:sz w:val="32"/>
          <w:szCs w:val="32"/>
        </w:rPr>
      </w:pPr>
      <w:r>
        <w:rPr>
          <w:rFonts w:hint="eastAsia" w:ascii="仿宋" w:hAnsi="仿宋" w:eastAsia="仿宋"/>
          <w:sz w:val="32"/>
          <w:szCs w:val="32"/>
        </w:rPr>
        <w:t>　　202</w:t>
      </w:r>
      <w:r>
        <w:rPr>
          <w:rFonts w:hint="eastAsia" w:ascii="仿宋" w:hAnsi="仿宋" w:eastAsia="仿宋"/>
          <w:sz w:val="32"/>
          <w:szCs w:val="32"/>
          <w:lang w:val="en-US" w:eastAsia="zh-CN"/>
        </w:rPr>
        <w:t>5</w:t>
      </w:r>
      <w:r>
        <w:rPr>
          <w:rFonts w:hint="eastAsia" w:ascii="仿宋" w:hAnsi="仿宋" w:eastAsia="仿宋"/>
          <w:sz w:val="32"/>
          <w:szCs w:val="32"/>
        </w:rPr>
        <w:t>年安排公务用车运行维护费0万元，用于0辆公务用车燃油、维修、保险等方面支出。</w:t>
      </w:r>
    </w:p>
    <w:p w14:paraId="2E74D60E">
      <w:pPr>
        <w:keepNext w:val="0"/>
        <w:keepLines w:val="0"/>
        <w:pageBreakBefore w:val="0"/>
        <w:widowControl w:val="0"/>
        <w:kinsoku/>
        <w:wordWrap/>
        <w:overflowPunct/>
        <w:topLinePunct w:val="0"/>
        <w:autoSpaceDE/>
        <w:autoSpaceDN/>
        <w:bidi w:val="0"/>
        <w:spacing w:line="490" w:lineRule="exact"/>
        <w:ind w:firstLine="482" w:firstLineChars="150"/>
        <w:textAlignment w:val="auto"/>
        <w:rPr>
          <w:rFonts w:ascii="仿宋_GB2312" w:hAnsi="仿宋_GB2312" w:eastAsia="仿宋_GB2312"/>
          <w:b/>
          <w:sz w:val="32"/>
          <w:szCs w:val="32"/>
        </w:rPr>
      </w:pPr>
      <w:r>
        <w:rPr>
          <w:rFonts w:hint="eastAsia" w:ascii="仿宋_GB2312" w:hAnsi="仿宋_GB2312" w:eastAsia="仿宋_GB2312"/>
          <w:b/>
          <w:sz w:val="32"/>
          <w:szCs w:val="32"/>
        </w:rPr>
        <w:t>八、政府性基金预算收支情况说明</w:t>
      </w:r>
    </w:p>
    <w:p w14:paraId="234BB206">
      <w:pPr>
        <w:keepNext w:val="0"/>
        <w:keepLines w:val="0"/>
        <w:pageBreakBefore w:val="0"/>
        <w:widowControl w:val="0"/>
        <w:kinsoku/>
        <w:wordWrap/>
        <w:overflowPunct/>
        <w:topLinePunct w:val="0"/>
        <w:autoSpaceDE/>
        <w:autoSpaceDN/>
        <w:bidi w:val="0"/>
        <w:spacing w:line="490" w:lineRule="exact"/>
        <w:textAlignment w:val="auto"/>
        <w:rPr>
          <w:rFonts w:ascii="仿宋" w:hAnsi="仿宋" w:eastAsia="仿宋"/>
          <w:sz w:val="32"/>
          <w:szCs w:val="32"/>
        </w:rPr>
      </w:pPr>
      <w:r>
        <w:rPr>
          <w:rFonts w:hint="eastAsia" w:ascii="仿宋" w:hAnsi="仿宋" w:eastAsia="仿宋"/>
          <w:sz w:val="32"/>
          <w:szCs w:val="32"/>
        </w:rPr>
        <w:t>　  无政府性基金预算收支</w:t>
      </w:r>
    </w:p>
    <w:p w14:paraId="1583F3E6">
      <w:pPr>
        <w:keepNext w:val="0"/>
        <w:keepLines w:val="0"/>
        <w:pageBreakBefore w:val="0"/>
        <w:widowControl w:val="0"/>
        <w:kinsoku/>
        <w:wordWrap/>
        <w:overflowPunct/>
        <w:topLinePunct w:val="0"/>
        <w:autoSpaceDE/>
        <w:autoSpaceDN/>
        <w:bidi w:val="0"/>
        <w:spacing w:line="490" w:lineRule="exact"/>
        <w:ind w:firstLine="645"/>
        <w:textAlignment w:val="auto"/>
        <w:rPr>
          <w:rFonts w:ascii="仿宋_GB2312" w:hAnsi="仿宋_GB2312" w:eastAsia="仿宋_GB2312"/>
          <w:b/>
          <w:sz w:val="32"/>
          <w:szCs w:val="32"/>
        </w:rPr>
      </w:pPr>
      <w:r>
        <w:rPr>
          <w:rFonts w:hint="eastAsia" w:ascii="仿宋_GB2312" w:hAnsi="仿宋_GB2312" w:eastAsia="仿宋_GB2312"/>
          <w:b/>
          <w:sz w:val="32"/>
          <w:szCs w:val="32"/>
        </w:rPr>
        <w:t>九、国有资本经营预算支出情况说明</w:t>
      </w:r>
    </w:p>
    <w:p w14:paraId="0F45BE2C">
      <w:pPr>
        <w:keepNext w:val="0"/>
        <w:keepLines w:val="0"/>
        <w:pageBreakBefore w:val="0"/>
        <w:widowControl w:val="0"/>
        <w:kinsoku/>
        <w:wordWrap/>
        <w:overflowPunct/>
        <w:topLinePunct w:val="0"/>
        <w:autoSpaceDE/>
        <w:autoSpaceDN/>
        <w:bidi w:val="0"/>
        <w:spacing w:line="490" w:lineRule="exact"/>
        <w:ind w:firstLine="566" w:firstLineChars="177"/>
        <w:textAlignment w:val="auto"/>
        <w:rPr>
          <w:rFonts w:ascii="仿宋" w:hAnsi="仿宋" w:eastAsia="仿宋"/>
          <w:sz w:val="32"/>
          <w:szCs w:val="32"/>
        </w:rPr>
      </w:pPr>
      <w:r>
        <w:rPr>
          <w:rFonts w:hint="eastAsia" w:ascii="仿宋" w:hAnsi="仿宋" w:eastAsia="仿宋"/>
          <w:sz w:val="32"/>
          <w:szCs w:val="32"/>
        </w:rPr>
        <w:t>科协202</w:t>
      </w:r>
      <w:r>
        <w:rPr>
          <w:rFonts w:hint="eastAsia" w:ascii="仿宋" w:hAnsi="仿宋" w:eastAsia="仿宋"/>
          <w:sz w:val="32"/>
          <w:szCs w:val="32"/>
          <w:lang w:val="en-US" w:eastAsia="zh-CN"/>
        </w:rPr>
        <w:t>5</w:t>
      </w:r>
      <w:r>
        <w:rPr>
          <w:rFonts w:hint="eastAsia" w:ascii="仿宋" w:hAnsi="仿宋" w:eastAsia="仿宋"/>
          <w:sz w:val="32"/>
          <w:szCs w:val="32"/>
        </w:rPr>
        <w:t>年使用国有资本经营预算拨款安排0万元，其中：基本支出0万元，项目支出0万元。</w:t>
      </w:r>
    </w:p>
    <w:p w14:paraId="0952903A">
      <w:pPr>
        <w:keepNext w:val="0"/>
        <w:keepLines w:val="0"/>
        <w:pageBreakBefore w:val="0"/>
        <w:widowControl w:val="0"/>
        <w:kinsoku/>
        <w:wordWrap/>
        <w:overflowPunct/>
        <w:topLinePunct w:val="0"/>
        <w:autoSpaceDE/>
        <w:autoSpaceDN/>
        <w:bidi w:val="0"/>
        <w:spacing w:line="490" w:lineRule="exact"/>
        <w:textAlignment w:val="auto"/>
        <w:rPr>
          <w:rFonts w:ascii="仿宋_GB2312" w:hAnsi="仿宋_GB2312" w:eastAsia="仿宋_GB2312"/>
          <w:b/>
          <w:sz w:val="32"/>
          <w:szCs w:val="32"/>
        </w:rPr>
      </w:pPr>
      <w:r>
        <w:rPr>
          <w:rFonts w:hint="eastAsia" w:ascii="仿宋_GB2312" w:hAnsi="仿宋_GB2312" w:eastAsia="仿宋_GB2312"/>
          <w:sz w:val="32"/>
          <w:szCs w:val="32"/>
        </w:rPr>
        <w:t>　</w:t>
      </w:r>
      <w:r>
        <w:rPr>
          <w:rFonts w:hint="eastAsia" w:ascii="仿宋_GB2312" w:hAnsi="仿宋_GB2312" w:eastAsia="仿宋_GB2312"/>
          <w:b/>
          <w:sz w:val="32"/>
          <w:szCs w:val="32"/>
        </w:rPr>
        <w:t>　十、其他重要事项的情况说明</w:t>
      </w:r>
    </w:p>
    <w:p w14:paraId="772E96D0">
      <w:pPr>
        <w:keepNext w:val="0"/>
        <w:keepLines w:val="0"/>
        <w:pageBreakBefore w:val="0"/>
        <w:widowControl w:val="0"/>
        <w:kinsoku/>
        <w:wordWrap/>
        <w:overflowPunct/>
        <w:topLinePunct w:val="0"/>
        <w:autoSpaceDE/>
        <w:autoSpaceDN/>
        <w:bidi w:val="0"/>
        <w:spacing w:line="490" w:lineRule="exact"/>
        <w:textAlignment w:val="auto"/>
        <w:rPr>
          <w:rFonts w:ascii="仿宋_GB2312" w:hAnsi="仿宋_GB2312" w:eastAsia="仿宋_GB2312"/>
          <w:sz w:val="32"/>
          <w:szCs w:val="32"/>
        </w:rPr>
      </w:pPr>
      <w:r>
        <w:rPr>
          <w:rFonts w:hint="eastAsia" w:ascii="仿宋_GB2312" w:hAnsi="仿宋_GB2312" w:eastAsia="仿宋_GB2312"/>
          <w:sz w:val="32"/>
          <w:szCs w:val="32"/>
        </w:rPr>
        <w:t>　　（一）机关运行经费</w:t>
      </w:r>
    </w:p>
    <w:p w14:paraId="2BCCB59F">
      <w:pPr>
        <w:keepNext w:val="0"/>
        <w:keepLines w:val="0"/>
        <w:pageBreakBefore w:val="0"/>
        <w:widowControl w:val="0"/>
        <w:kinsoku/>
        <w:wordWrap/>
        <w:overflowPunct/>
        <w:topLinePunct w:val="0"/>
        <w:autoSpaceDE/>
        <w:autoSpaceDN/>
        <w:bidi w:val="0"/>
        <w:spacing w:line="490" w:lineRule="exact"/>
        <w:textAlignment w:val="auto"/>
        <w:rPr>
          <w:rFonts w:ascii="仿宋" w:hAnsi="仿宋" w:eastAsia="仿宋"/>
          <w:sz w:val="32"/>
          <w:szCs w:val="32"/>
        </w:rPr>
      </w:pPr>
      <w:r>
        <w:rPr>
          <w:rFonts w:hint="eastAsia" w:ascii="仿宋_GB2312" w:hAnsi="仿宋_GB2312" w:eastAsia="仿宋_GB2312"/>
          <w:sz w:val="32"/>
          <w:szCs w:val="32"/>
        </w:rPr>
        <w:t>　</w:t>
      </w:r>
      <w:r>
        <w:rPr>
          <w:rFonts w:hint="eastAsia" w:ascii="仿宋" w:hAnsi="仿宋" w:eastAsia="仿宋"/>
          <w:sz w:val="32"/>
          <w:szCs w:val="32"/>
        </w:rPr>
        <w:t>　202</w:t>
      </w:r>
      <w:r>
        <w:rPr>
          <w:rFonts w:hint="eastAsia" w:ascii="仿宋" w:hAnsi="仿宋" w:eastAsia="仿宋"/>
          <w:sz w:val="32"/>
          <w:szCs w:val="32"/>
          <w:lang w:val="en-US" w:eastAsia="zh-CN"/>
        </w:rPr>
        <w:t>5</w:t>
      </w:r>
      <w:r>
        <w:rPr>
          <w:rFonts w:hint="eastAsia" w:ascii="仿宋" w:hAnsi="仿宋" w:eastAsia="仿宋"/>
          <w:sz w:val="32"/>
          <w:szCs w:val="32"/>
        </w:rPr>
        <w:t>年，区科协机关运行经费财政拨款预算为</w:t>
      </w:r>
      <w:r>
        <w:rPr>
          <w:rFonts w:hint="eastAsia" w:ascii="仿宋" w:hAnsi="仿宋" w:eastAsia="仿宋"/>
          <w:sz w:val="32"/>
          <w:szCs w:val="32"/>
          <w:lang w:val="en-US" w:eastAsia="zh-CN"/>
        </w:rPr>
        <w:t>7.26</w:t>
      </w:r>
      <w:r>
        <w:rPr>
          <w:rFonts w:hint="eastAsia" w:ascii="仿宋" w:hAnsi="仿宋" w:eastAsia="仿宋"/>
          <w:sz w:val="32"/>
          <w:szCs w:val="32"/>
        </w:rPr>
        <w:t>万元，</w:t>
      </w:r>
      <w:r>
        <w:rPr>
          <w:rFonts w:hint="eastAsia" w:ascii="仿宋" w:hAnsi="仿宋" w:eastAsia="仿宋"/>
          <w:sz w:val="32"/>
          <w:szCs w:val="32"/>
          <w:lang w:eastAsia="zh-CN"/>
        </w:rPr>
        <w:t>较</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w:t>
      </w:r>
      <w:r>
        <w:rPr>
          <w:rFonts w:hint="eastAsia" w:ascii="仿宋" w:hAnsi="仿宋" w:eastAsia="仿宋"/>
          <w:sz w:val="32"/>
          <w:szCs w:val="32"/>
          <w:lang w:eastAsia="zh-CN"/>
        </w:rPr>
        <w:t>减少</w:t>
      </w:r>
      <w:r>
        <w:rPr>
          <w:rFonts w:hint="eastAsia" w:ascii="仿宋" w:hAnsi="仿宋" w:eastAsia="仿宋"/>
          <w:sz w:val="32"/>
          <w:szCs w:val="32"/>
          <w:lang w:val="en-US" w:eastAsia="zh-CN"/>
        </w:rPr>
        <w:t>2.42，减少原因是2025年减少1人公用经费</w:t>
      </w:r>
      <w:r>
        <w:rPr>
          <w:rFonts w:hint="eastAsia" w:ascii="仿宋" w:hAnsi="仿宋" w:eastAsia="仿宋"/>
          <w:sz w:val="32"/>
          <w:szCs w:val="32"/>
        </w:rPr>
        <w:t>。</w:t>
      </w:r>
    </w:p>
    <w:p w14:paraId="4F7D6B4F">
      <w:pPr>
        <w:keepNext w:val="0"/>
        <w:keepLines w:val="0"/>
        <w:pageBreakBefore w:val="0"/>
        <w:widowControl w:val="0"/>
        <w:kinsoku/>
        <w:wordWrap/>
        <w:overflowPunct/>
        <w:topLinePunct w:val="0"/>
        <w:autoSpaceDE/>
        <w:autoSpaceDN/>
        <w:bidi w:val="0"/>
        <w:spacing w:line="490" w:lineRule="exact"/>
        <w:textAlignment w:val="auto"/>
        <w:rPr>
          <w:rFonts w:ascii="仿宋_GB2312" w:hAnsi="仿宋_GB2312" w:eastAsia="仿宋_GB2312"/>
          <w:sz w:val="32"/>
          <w:szCs w:val="32"/>
        </w:rPr>
      </w:pPr>
      <w:r>
        <w:rPr>
          <w:rFonts w:hint="eastAsia" w:ascii="仿宋_GB2312" w:hAnsi="仿宋_GB2312" w:eastAsia="仿宋_GB2312"/>
          <w:sz w:val="32"/>
          <w:szCs w:val="32"/>
        </w:rPr>
        <w:t>　　（二）政府采购情况</w:t>
      </w:r>
    </w:p>
    <w:p w14:paraId="5C6DF4E6">
      <w:pPr>
        <w:keepNext w:val="0"/>
        <w:keepLines w:val="0"/>
        <w:pageBreakBefore w:val="0"/>
        <w:widowControl w:val="0"/>
        <w:kinsoku/>
        <w:wordWrap/>
        <w:overflowPunct/>
        <w:topLinePunct w:val="0"/>
        <w:autoSpaceDE/>
        <w:autoSpaceDN/>
        <w:bidi w:val="0"/>
        <w:spacing w:line="49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年，区科协安排政府采购预算0万元。主要是厉行节约，本年度未作政府采购计划。</w:t>
      </w:r>
    </w:p>
    <w:p w14:paraId="31999188">
      <w:pPr>
        <w:keepNext w:val="0"/>
        <w:keepLines w:val="0"/>
        <w:pageBreakBefore w:val="0"/>
        <w:widowControl w:val="0"/>
        <w:kinsoku/>
        <w:wordWrap/>
        <w:overflowPunct/>
        <w:topLinePunct w:val="0"/>
        <w:autoSpaceDE/>
        <w:autoSpaceDN/>
        <w:bidi w:val="0"/>
        <w:spacing w:line="490" w:lineRule="exact"/>
        <w:textAlignment w:val="auto"/>
        <w:rPr>
          <w:rFonts w:ascii="仿宋_GB2312" w:hAnsi="仿宋_GB2312" w:eastAsia="仿宋_GB2312"/>
          <w:sz w:val="32"/>
          <w:szCs w:val="32"/>
        </w:rPr>
      </w:pPr>
      <w:r>
        <w:rPr>
          <w:rFonts w:hint="eastAsia" w:ascii="仿宋_GB2312" w:hAnsi="仿宋_GB2312" w:eastAsia="仿宋_GB2312"/>
          <w:sz w:val="32"/>
          <w:szCs w:val="32"/>
        </w:rPr>
        <w:t>　　（三）国有资产占有使用情况</w:t>
      </w:r>
    </w:p>
    <w:p w14:paraId="74D706E7">
      <w:pPr>
        <w:keepNext w:val="0"/>
        <w:keepLines w:val="0"/>
        <w:pageBreakBefore w:val="0"/>
        <w:widowControl w:val="0"/>
        <w:kinsoku/>
        <w:wordWrap/>
        <w:overflowPunct/>
        <w:topLinePunct w:val="0"/>
        <w:autoSpaceDE/>
        <w:autoSpaceDN/>
        <w:bidi w:val="0"/>
        <w:spacing w:line="490" w:lineRule="exact"/>
        <w:textAlignment w:val="auto"/>
        <w:rPr>
          <w:rFonts w:ascii="仿宋" w:hAnsi="仿宋" w:eastAsia="仿宋"/>
          <w:sz w:val="32"/>
          <w:szCs w:val="32"/>
        </w:rPr>
      </w:pPr>
      <w:r>
        <w:rPr>
          <w:rFonts w:hint="eastAsia" w:ascii="仿宋_GB2312" w:hAnsi="仿宋_GB2312" w:eastAsia="仿宋_GB2312"/>
          <w:sz w:val="32"/>
          <w:szCs w:val="32"/>
        </w:rPr>
        <w:t>　　</w:t>
      </w:r>
      <w:r>
        <w:rPr>
          <w:rFonts w:hint="eastAsia" w:ascii="仿宋" w:hAnsi="仿宋" w:eastAsia="仿宋"/>
          <w:sz w:val="32"/>
          <w:szCs w:val="32"/>
        </w:rPr>
        <w:t>截至202</w:t>
      </w:r>
      <w:r>
        <w:rPr>
          <w:rFonts w:hint="eastAsia" w:ascii="仿宋" w:hAnsi="仿宋" w:eastAsia="仿宋"/>
          <w:sz w:val="32"/>
          <w:szCs w:val="32"/>
          <w:lang w:val="en-US" w:eastAsia="zh-CN"/>
        </w:rPr>
        <w:t>5</w:t>
      </w:r>
      <w:r>
        <w:rPr>
          <w:rFonts w:hint="eastAsia" w:ascii="仿宋" w:hAnsi="仿宋" w:eastAsia="仿宋"/>
          <w:sz w:val="32"/>
          <w:szCs w:val="32"/>
        </w:rPr>
        <w:t>年底，区科协所属各预算单位共有固定资产总额</w:t>
      </w:r>
      <w:r>
        <w:rPr>
          <w:rFonts w:hint="eastAsia" w:ascii="仿宋" w:hAnsi="仿宋" w:eastAsia="仿宋"/>
          <w:sz w:val="32"/>
          <w:szCs w:val="32"/>
          <w:lang w:val="en-US" w:eastAsia="zh-CN"/>
        </w:rPr>
        <w:t>5.37</w:t>
      </w:r>
      <w:r>
        <w:rPr>
          <w:rFonts w:hint="eastAsia" w:ascii="仿宋" w:hAnsi="仿宋" w:eastAsia="仿宋"/>
          <w:sz w:val="32"/>
          <w:szCs w:val="32"/>
        </w:rPr>
        <w:t>万元，其中公务用车0辆。</w:t>
      </w:r>
    </w:p>
    <w:p w14:paraId="0E96040A">
      <w:pPr>
        <w:keepNext w:val="0"/>
        <w:keepLines w:val="0"/>
        <w:pageBreakBefore w:val="0"/>
        <w:widowControl w:val="0"/>
        <w:kinsoku/>
        <w:wordWrap/>
        <w:overflowPunct/>
        <w:topLinePunct w:val="0"/>
        <w:autoSpaceDE/>
        <w:autoSpaceDN/>
        <w:bidi w:val="0"/>
        <w:spacing w:line="490" w:lineRule="exact"/>
        <w:textAlignment w:val="auto"/>
        <w:rPr>
          <w:rFonts w:ascii="仿宋" w:hAnsi="仿宋" w:eastAsia="仿宋"/>
          <w:sz w:val="32"/>
          <w:szCs w:val="32"/>
        </w:rPr>
      </w:pPr>
      <w:r>
        <w:rPr>
          <w:rFonts w:hint="eastAsia" w:ascii="仿宋" w:hAnsi="仿宋" w:eastAsia="仿宋"/>
          <w:sz w:val="32"/>
          <w:szCs w:val="32"/>
        </w:rPr>
        <w:t>　　202</w:t>
      </w:r>
      <w:r>
        <w:rPr>
          <w:rFonts w:hint="eastAsia" w:ascii="仿宋" w:hAnsi="仿宋" w:eastAsia="仿宋"/>
          <w:sz w:val="32"/>
          <w:szCs w:val="32"/>
          <w:lang w:val="en-US" w:eastAsia="zh-CN"/>
        </w:rPr>
        <w:t>5</w:t>
      </w:r>
      <w:r>
        <w:rPr>
          <w:rFonts w:hint="eastAsia" w:ascii="仿宋" w:hAnsi="仿宋" w:eastAsia="仿宋"/>
          <w:sz w:val="32"/>
          <w:szCs w:val="32"/>
        </w:rPr>
        <w:t>年部门预算未安排购置车辆及单位价值200万元以上大型设备。</w:t>
      </w:r>
    </w:p>
    <w:p w14:paraId="1D22BE60">
      <w:pPr>
        <w:keepNext w:val="0"/>
        <w:keepLines w:val="0"/>
        <w:pageBreakBefore w:val="0"/>
        <w:widowControl w:val="0"/>
        <w:kinsoku/>
        <w:wordWrap/>
        <w:overflowPunct/>
        <w:topLinePunct w:val="0"/>
        <w:autoSpaceDE/>
        <w:autoSpaceDN/>
        <w:bidi w:val="0"/>
        <w:spacing w:line="490" w:lineRule="exact"/>
        <w:textAlignment w:val="auto"/>
        <w:rPr>
          <w:rFonts w:ascii="仿宋_GB2312" w:hAnsi="仿宋_GB2312" w:eastAsia="仿宋_GB2312"/>
          <w:sz w:val="32"/>
          <w:szCs w:val="32"/>
        </w:rPr>
      </w:pPr>
      <w:r>
        <w:rPr>
          <w:rFonts w:hint="eastAsia" w:ascii="仿宋_GB2312" w:hAnsi="仿宋_GB2312" w:eastAsia="仿宋_GB2312"/>
          <w:color w:val="0070C0"/>
          <w:sz w:val="32"/>
          <w:szCs w:val="32"/>
        </w:rPr>
        <w:t>　　</w:t>
      </w:r>
      <w:r>
        <w:rPr>
          <w:rFonts w:hint="eastAsia" w:ascii="仿宋_GB2312" w:hAnsi="仿宋_GB2312" w:eastAsia="仿宋_GB2312"/>
          <w:sz w:val="32"/>
          <w:szCs w:val="32"/>
        </w:rPr>
        <w:t>（四）绩效目标设置情况</w:t>
      </w:r>
    </w:p>
    <w:p w14:paraId="06D9DCD6">
      <w:pPr>
        <w:keepNext w:val="0"/>
        <w:keepLines w:val="0"/>
        <w:pageBreakBefore w:val="0"/>
        <w:widowControl w:val="0"/>
        <w:kinsoku/>
        <w:wordWrap/>
        <w:overflowPunct/>
        <w:topLinePunct w:val="0"/>
        <w:autoSpaceDE/>
        <w:autoSpaceDN/>
        <w:bidi w:val="0"/>
        <w:spacing w:line="490" w:lineRule="exact"/>
        <w:textAlignment w:val="auto"/>
        <w:rPr>
          <w:rFonts w:ascii="仿宋" w:hAnsi="仿宋" w:eastAsia="仿宋"/>
          <w:sz w:val="32"/>
          <w:szCs w:val="32"/>
        </w:rPr>
      </w:pPr>
      <w:r>
        <w:rPr>
          <w:rFonts w:hint="eastAsia" w:ascii="仿宋_GB2312" w:hAnsi="仿宋_GB2312" w:eastAsia="仿宋_GB2312"/>
          <w:sz w:val="32"/>
          <w:szCs w:val="32"/>
        </w:rPr>
        <w:t>　</w:t>
      </w:r>
      <w:r>
        <w:rPr>
          <w:rFonts w:hint="eastAsia" w:ascii="仿宋" w:hAnsi="仿宋" w:eastAsia="仿宋"/>
          <w:sz w:val="32"/>
          <w:szCs w:val="32"/>
        </w:rPr>
        <w:t>　202</w:t>
      </w:r>
      <w:r>
        <w:rPr>
          <w:rFonts w:hint="eastAsia" w:ascii="仿宋" w:hAnsi="仿宋" w:eastAsia="仿宋"/>
          <w:sz w:val="32"/>
          <w:szCs w:val="32"/>
          <w:lang w:val="en-US" w:eastAsia="zh-CN"/>
        </w:rPr>
        <w:t>5</w:t>
      </w:r>
      <w:r>
        <w:rPr>
          <w:rFonts w:hint="eastAsia" w:ascii="仿宋" w:hAnsi="仿宋" w:eastAsia="仿宋"/>
          <w:sz w:val="32"/>
          <w:szCs w:val="32"/>
        </w:rPr>
        <w:t>年区科协部门通用项目和专用项目均按要求实行绩效目标管理，涉及一般公共预算当年拨款</w:t>
      </w:r>
      <w:r>
        <w:rPr>
          <w:rFonts w:hint="eastAsia" w:ascii="仿宋" w:hAnsi="仿宋" w:eastAsia="仿宋"/>
          <w:color w:val="auto"/>
          <w:sz w:val="32"/>
          <w:szCs w:val="32"/>
          <w:lang w:val="en-US" w:eastAsia="zh-CN"/>
        </w:rPr>
        <w:t>108.88</w:t>
      </w:r>
      <w:r>
        <w:rPr>
          <w:rFonts w:hint="eastAsia" w:ascii="仿宋" w:hAnsi="仿宋" w:eastAsia="仿宋"/>
          <w:sz w:val="32"/>
          <w:szCs w:val="32"/>
        </w:rPr>
        <w:t>万元。</w:t>
      </w:r>
    </w:p>
    <w:p w14:paraId="27F75CF1">
      <w:pPr>
        <w:keepNext w:val="0"/>
        <w:keepLines w:val="0"/>
        <w:pageBreakBefore w:val="0"/>
        <w:widowControl w:val="0"/>
        <w:kinsoku/>
        <w:wordWrap/>
        <w:overflowPunct/>
        <w:topLinePunct w:val="0"/>
        <w:autoSpaceDE/>
        <w:autoSpaceDN/>
        <w:bidi w:val="0"/>
        <w:spacing w:line="490" w:lineRule="exact"/>
        <w:textAlignment w:val="auto"/>
        <w:rPr>
          <w:rFonts w:ascii="仿宋_GB2312" w:hAnsi="仿宋_GB2312" w:eastAsia="仿宋_GB2312"/>
          <w:b/>
          <w:sz w:val="32"/>
          <w:szCs w:val="32"/>
        </w:rPr>
      </w:pPr>
      <w:r>
        <w:rPr>
          <w:rFonts w:hint="eastAsia" w:ascii="仿宋_GB2312" w:hAnsi="仿宋_GB2312" w:eastAsia="仿宋_GB2312"/>
          <w:sz w:val="32"/>
          <w:szCs w:val="32"/>
        </w:rPr>
        <w:t>　</w:t>
      </w:r>
      <w:r>
        <w:rPr>
          <w:rFonts w:hint="eastAsia" w:ascii="仿宋_GB2312" w:hAnsi="仿宋_GB2312" w:eastAsia="仿宋_GB2312"/>
          <w:b/>
          <w:sz w:val="32"/>
          <w:szCs w:val="32"/>
        </w:rPr>
        <w:t>　十一、名词解释</w:t>
      </w:r>
    </w:p>
    <w:p w14:paraId="47FA16ED">
      <w:pPr>
        <w:keepNext w:val="0"/>
        <w:keepLines w:val="0"/>
        <w:pageBreakBefore w:val="0"/>
        <w:widowControl w:val="0"/>
        <w:kinsoku/>
        <w:wordWrap/>
        <w:overflowPunct/>
        <w:topLinePunct w:val="0"/>
        <w:autoSpaceDE/>
        <w:autoSpaceDN/>
        <w:bidi w:val="0"/>
        <w:spacing w:line="490" w:lineRule="exact"/>
        <w:textAlignment w:val="auto"/>
        <w:rPr>
          <w:rFonts w:ascii="仿宋" w:hAnsi="仿宋" w:eastAsia="仿宋"/>
          <w:sz w:val="32"/>
          <w:szCs w:val="32"/>
        </w:rPr>
      </w:pPr>
      <w:r>
        <w:rPr>
          <w:rFonts w:hint="eastAsia" w:ascii="仿宋_GB2312" w:hAnsi="仿宋_GB2312" w:eastAsia="仿宋_GB2312"/>
          <w:sz w:val="32"/>
          <w:szCs w:val="32"/>
        </w:rPr>
        <w:t>　　</w:t>
      </w:r>
      <w:r>
        <w:rPr>
          <w:rFonts w:hint="eastAsia" w:ascii="仿宋" w:hAnsi="仿宋" w:eastAsia="仿宋"/>
          <w:b/>
          <w:sz w:val="32"/>
          <w:szCs w:val="32"/>
        </w:rPr>
        <w:t>（一）一般公共预算拨款收入：</w:t>
      </w:r>
      <w:r>
        <w:rPr>
          <w:rFonts w:hint="eastAsia" w:ascii="仿宋" w:hAnsi="仿宋" w:eastAsia="仿宋"/>
          <w:sz w:val="32"/>
          <w:szCs w:val="32"/>
        </w:rPr>
        <w:t>指区级财政当年拨付的资金。</w:t>
      </w:r>
    </w:p>
    <w:p w14:paraId="1F706B53">
      <w:pPr>
        <w:keepNext w:val="0"/>
        <w:keepLines w:val="0"/>
        <w:pageBreakBefore w:val="0"/>
        <w:widowControl w:val="0"/>
        <w:kinsoku/>
        <w:wordWrap/>
        <w:overflowPunct/>
        <w:topLinePunct w:val="0"/>
        <w:autoSpaceDE/>
        <w:autoSpaceDN/>
        <w:bidi w:val="0"/>
        <w:spacing w:line="49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 w:hAnsi="仿宋" w:eastAsia="仿宋"/>
          <w:b/>
          <w:sz w:val="32"/>
          <w:szCs w:val="32"/>
        </w:rPr>
        <w:t>（二）上年结转：</w:t>
      </w:r>
      <w:r>
        <w:rPr>
          <w:rFonts w:hint="eastAsia" w:ascii="仿宋" w:hAnsi="仿宋" w:eastAsia="仿宋"/>
          <w:sz w:val="32"/>
          <w:szCs w:val="32"/>
        </w:rPr>
        <w:t>指以前年度尚未完成、结转到本年仍按原规定用途继续使用的资金。</w:t>
      </w:r>
    </w:p>
    <w:p w14:paraId="46FC3222">
      <w:pPr>
        <w:keepNext w:val="0"/>
        <w:keepLines w:val="0"/>
        <w:pageBreakBefore w:val="0"/>
        <w:widowControl w:val="0"/>
        <w:kinsoku/>
        <w:wordWrap/>
        <w:overflowPunct/>
        <w:topLinePunct w:val="0"/>
        <w:autoSpaceDE/>
        <w:autoSpaceDN/>
        <w:bidi w:val="0"/>
        <w:spacing w:line="49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 w:hAnsi="仿宋" w:eastAsia="仿宋"/>
          <w:b/>
          <w:sz w:val="32"/>
          <w:szCs w:val="32"/>
        </w:rPr>
        <w:t>（三）基本支出：</w:t>
      </w:r>
      <w:r>
        <w:rPr>
          <w:rFonts w:hint="eastAsia" w:ascii="仿宋" w:hAnsi="仿宋" w:eastAsia="仿宋"/>
          <w:sz w:val="32"/>
          <w:szCs w:val="32"/>
        </w:rPr>
        <w:t>指为保障机构正常运转、完成日常工作任务所必需的人员经费和日常公用经费。</w:t>
      </w:r>
    </w:p>
    <w:p w14:paraId="1D430E04">
      <w:pPr>
        <w:keepNext w:val="0"/>
        <w:keepLines w:val="0"/>
        <w:pageBreakBefore w:val="0"/>
        <w:widowControl w:val="0"/>
        <w:kinsoku/>
        <w:wordWrap/>
        <w:overflowPunct/>
        <w:topLinePunct w:val="0"/>
        <w:autoSpaceDE/>
        <w:autoSpaceDN/>
        <w:bidi w:val="0"/>
        <w:spacing w:line="49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 w:hAnsi="仿宋" w:eastAsia="仿宋"/>
          <w:b/>
          <w:sz w:val="32"/>
          <w:szCs w:val="32"/>
        </w:rPr>
        <w:t>（四）项目支出：</w:t>
      </w:r>
      <w:r>
        <w:rPr>
          <w:rFonts w:hint="eastAsia" w:ascii="仿宋" w:hAnsi="仿宋" w:eastAsia="仿宋"/>
          <w:sz w:val="32"/>
          <w:szCs w:val="32"/>
        </w:rPr>
        <w:t>指在基本支出之外，为完成特定的行政工作任务或事业发展目标所发生的支出。</w:t>
      </w:r>
    </w:p>
    <w:p w14:paraId="63C437D4">
      <w:pPr>
        <w:keepNext w:val="0"/>
        <w:keepLines w:val="0"/>
        <w:pageBreakBefore w:val="0"/>
        <w:widowControl w:val="0"/>
        <w:kinsoku/>
        <w:wordWrap/>
        <w:overflowPunct/>
        <w:topLinePunct w:val="0"/>
        <w:autoSpaceDE/>
        <w:autoSpaceDN/>
        <w:bidi w:val="0"/>
        <w:spacing w:line="490" w:lineRule="exact"/>
        <w:ind w:firstLine="645"/>
        <w:textAlignment w:val="auto"/>
        <w:rPr>
          <w:rFonts w:ascii="仿宋" w:hAnsi="仿宋" w:eastAsia="仿宋"/>
          <w:sz w:val="32"/>
          <w:szCs w:val="32"/>
        </w:rPr>
      </w:pPr>
      <w:r>
        <w:rPr>
          <w:rFonts w:hint="eastAsia" w:ascii="仿宋" w:hAnsi="仿宋" w:eastAsia="仿宋"/>
          <w:b/>
          <w:sz w:val="32"/>
          <w:szCs w:val="32"/>
        </w:rPr>
        <w:t>（五）“三公”经费：</w:t>
      </w:r>
      <w:r>
        <w:rPr>
          <w:rFonts w:hint="eastAsia" w:ascii="仿宋" w:hAnsi="仿宋" w:eastAsia="仿宋"/>
          <w:sz w:val="32"/>
          <w:szCs w:val="32"/>
        </w:rPr>
        <w:t>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347F4D42">
      <w:pPr>
        <w:keepNext w:val="0"/>
        <w:keepLines w:val="0"/>
        <w:pageBreakBefore w:val="0"/>
        <w:widowControl w:val="0"/>
        <w:kinsoku/>
        <w:wordWrap/>
        <w:overflowPunct/>
        <w:topLinePunct w:val="0"/>
        <w:autoSpaceDE/>
        <w:autoSpaceDN/>
        <w:bidi w:val="0"/>
        <w:spacing w:line="490" w:lineRule="exact"/>
        <w:ind w:firstLine="645"/>
        <w:textAlignment w:val="auto"/>
        <w:rPr>
          <w:rFonts w:hint="eastAsia" w:ascii="仿宋" w:hAnsi="仿宋" w:eastAsia="仿宋"/>
          <w:sz w:val="32"/>
          <w:szCs w:val="32"/>
        </w:rPr>
      </w:pPr>
      <w:r>
        <w:rPr>
          <w:rFonts w:hint="eastAsia" w:ascii="仿宋" w:hAnsi="仿宋" w:eastAsia="仿宋"/>
          <w:b/>
          <w:bCs/>
          <w:sz w:val="32"/>
          <w:szCs w:val="32"/>
        </w:rPr>
        <w:t>（六）社会保障和就业（类）其他社会保障和就业支出（款）其他社会保障和就业支出（项）:</w:t>
      </w:r>
      <w:r>
        <w:rPr>
          <w:rFonts w:hint="eastAsia" w:ascii="仿宋" w:hAnsi="仿宋" w:eastAsia="仿宋"/>
          <w:sz w:val="32"/>
          <w:szCs w:val="32"/>
        </w:rPr>
        <w:t>反映其他用于社会保障和就业方面的支出。</w:t>
      </w:r>
    </w:p>
    <w:p w14:paraId="0394EFC0">
      <w:pPr>
        <w:keepNext w:val="0"/>
        <w:keepLines w:val="0"/>
        <w:pageBreakBefore w:val="0"/>
        <w:widowControl w:val="0"/>
        <w:kinsoku/>
        <w:wordWrap/>
        <w:overflowPunct/>
        <w:topLinePunct w:val="0"/>
        <w:autoSpaceDE/>
        <w:autoSpaceDN/>
        <w:bidi w:val="0"/>
        <w:spacing w:line="490" w:lineRule="exact"/>
        <w:ind w:firstLine="645"/>
        <w:textAlignment w:val="auto"/>
        <w:rPr>
          <w:rFonts w:hint="eastAsia" w:ascii="仿宋" w:hAnsi="仿宋" w:eastAsia="仿宋"/>
          <w:sz w:val="32"/>
          <w:szCs w:val="32"/>
        </w:rPr>
      </w:pPr>
      <w:r>
        <w:rPr>
          <w:rFonts w:hint="eastAsia" w:ascii="仿宋" w:hAnsi="仿宋" w:eastAsia="仿宋"/>
          <w:b/>
          <w:bCs/>
          <w:sz w:val="32"/>
          <w:szCs w:val="32"/>
        </w:rPr>
        <w:t>（七）社会保障和就业（类）行政事业单位离退休（款）机关事业单位基本养老保险缴费支出（项）:</w:t>
      </w:r>
      <w:r>
        <w:rPr>
          <w:rFonts w:hint="eastAsia" w:ascii="仿宋" w:hAnsi="仿宋" w:eastAsia="仿宋"/>
          <w:sz w:val="32"/>
          <w:szCs w:val="32"/>
        </w:rPr>
        <w:t>反映机关事业单位实施养老保险支付由单位缴纳的基本养老保险费支出。</w:t>
      </w:r>
    </w:p>
    <w:p w14:paraId="4C4BA351">
      <w:pPr>
        <w:keepNext w:val="0"/>
        <w:keepLines w:val="0"/>
        <w:pageBreakBefore w:val="0"/>
        <w:widowControl w:val="0"/>
        <w:kinsoku/>
        <w:wordWrap/>
        <w:overflowPunct/>
        <w:topLinePunct w:val="0"/>
        <w:autoSpaceDE/>
        <w:autoSpaceDN/>
        <w:bidi w:val="0"/>
        <w:spacing w:line="490" w:lineRule="exact"/>
        <w:ind w:firstLine="645"/>
        <w:textAlignment w:val="auto"/>
        <w:rPr>
          <w:rFonts w:ascii="仿宋" w:hAnsi="仿宋" w:eastAsia="仿宋"/>
          <w:sz w:val="32"/>
          <w:szCs w:val="32"/>
        </w:rPr>
      </w:pPr>
      <w:r>
        <w:rPr>
          <w:rFonts w:hint="eastAsia" w:ascii="仿宋" w:hAnsi="仿宋" w:eastAsia="仿宋"/>
          <w:b/>
          <w:bCs/>
          <w:sz w:val="32"/>
          <w:szCs w:val="32"/>
        </w:rPr>
        <w:t>（八）社会保障和就业（类）行政事业单位离退休（款）机关事业单位职业年金缴费支出（项）:</w:t>
      </w:r>
      <w:r>
        <w:rPr>
          <w:rFonts w:hint="eastAsia" w:ascii="仿宋" w:hAnsi="仿宋" w:eastAsia="仿宋"/>
          <w:sz w:val="32"/>
          <w:szCs w:val="32"/>
        </w:rPr>
        <w:t>反映机关事业单位实施养老保险制度由单位实际缴纳的职业年金支出。</w:t>
      </w:r>
    </w:p>
    <w:p w14:paraId="129B901B">
      <w:pPr>
        <w:keepNext w:val="0"/>
        <w:keepLines w:val="0"/>
        <w:pageBreakBefore w:val="0"/>
        <w:widowControl w:val="0"/>
        <w:kinsoku/>
        <w:wordWrap/>
        <w:overflowPunct/>
        <w:topLinePunct w:val="0"/>
        <w:autoSpaceDE/>
        <w:autoSpaceDN/>
        <w:bidi w:val="0"/>
        <w:spacing w:line="490" w:lineRule="exact"/>
        <w:ind w:firstLine="645"/>
        <w:textAlignment w:val="auto"/>
        <w:rPr>
          <w:rFonts w:hint="eastAsia" w:ascii="仿宋" w:hAnsi="仿宋" w:eastAsia="仿宋"/>
          <w:sz w:val="32"/>
          <w:szCs w:val="32"/>
        </w:rPr>
      </w:pPr>
      <w:r>
        <w:rPr>
          <w:rFonts w:hint="eastAsia" w:ascii="仿宋" w:hAnsi="仿宋" w:eastAsia="仿宋"/>
          <w:b/>
          <w:bCs/>
          <w:sz w:val="32"/>
          <w:szCs w:val="32"/>
        </w:rPr>
        <w:t>（九）医疗卫生与计划生育（类）医疗保障（款）行政单位医疗（项）: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14:paraId="6B36BC66">
      <w:pPr>
        <w:keepNext w:val="0"/>
        <w:keepLines w:val="0"/>
        <w:pageBreakBefore w:val="0"/>
        <w:widowControl w:val="0"/>
        <w:kinsoku/>
        <w:wordWrap/>
        <w:overflowPunct/>
        <w:topLinePunct w:val="0"/>
        <w:autoSpaceDE/>
        <w:autoSpaceDN/>
        <w:bidi w:val="0"/>
        <w:spacing w:line="490" w:lineRule="exact"/>
        <w:ind w:firstLine="645"/>
        <w:textAlignment w:val="auto"/>
        <w:rPr>
          <w:rFonts w:hint="eastAsia" w:ascii="仿宋" w:hAnsi="仿宋" w:eastAsia="仿宋"/>
          <w:sz w:val="32"/>
          <w:szCs w:val="32"/>
        </w:rPr>
      </w:pPr>
      <w:r>
        <w:rPr>
          <w:rFonts w:hint="eastAsia" w:ascii="仿宋" w:hAnsi="仿宋" w:eastAsia="仿宋"/>
          <w:b/>
          <w:bCs/>
          <w:sz w:val="32"/>
          <w:szCs w:val="32"/>
        </w:rPr>
        <w:t>（十）医疗卫生与计划生育（类）行政事业单位医疗（款）其他行政事业单位医疗支出（项）:</w:t>
      </w:r>
      <w:r>
        <w:rPr>
          <w:rFonts w:hint="eastAsia" w:ascii="仿宋" w:hAnsi="仿宋" w:eastAsia="仿宋"/>
          <w:sz w:val="32"/>
          <w:szCs w:val="32"/>
        </w:rPr>
        <w:t>反映其他用于行政事业单位医疗方面的支出。</w:t>
      </w:r>
    </w:p>
    <w:p w14:paraId="5092C780">
      <w:pPr>
        <w:keepNext w:val="0"/>
        <w:keepLines w:val="0"/>
        <w:pageBreakBefore w:val="0"/>
        <w:widowControl w:val="0"/>
        <w:kinsoku/>
        <w:wordWrap/>
        <w:overflowPunct/>
        <w:topLinePunct w:val="0"/>
        <w:autoSpaceDE/>
        <w:autoSpaceDN/>
        <w:bidi w:val="0"/>
        <w:spacing w:line="490" w:lineRule="exact"/>
        <w:ind w:firstLine="645"/>
        <w:textAlignment w:val="auto"/>
        <w:rPr>
          <w:rFonts w:hint="eastAsia" w:ascii="仿宋" w:hAnsi="仿宋" w:eastAsia="仿宋"/>
          <w:sz w:val="32"/>
          <w:szCs w:val="32"/>
        </w:rPr>
      </w:pPr>
      <w:r>
        <w:rPr>
          <w:rFonts w:hint="eastAsia" w:ascii="仿宋" w:hAnsi="仿宋" w:eastAsia="仿宋"/>
          <w:b/>
          <w:bCs/>
          <w:sz w:val="32"/>
          <w:szCs w:val="32"/>
        </w:rPr>
        <w:t>（十</w:t>
      </w:r>
      <w:r>
        <w:rPr>
          <w:rFonts w:hint="eastAsia" w:ascii="仿宋" w:hAnsi="仿宋" w:eastAsia="仿宋"/>
          <w:b/>
          <w:bCs/>
          <w:sz w:val="32"/>
          <w:szCs w:val="32"/>
          <w:lang w:eastAsia="zh-CN"/>
        </w:rPr>
        <w:t>一</w:t>
      </w:r>
      <w:r>
        <w:rPr>
          <w:rFonts w:hint="eastAsia" w:ascii="仿宋" w:hAnsi="仿宋" w:eastAsia="仿宋"/>
          <w:b/>
          <w:bCs/>
          <w:sz w:val="32"/>
          <w:szCs w:val="32"/>
        </w:rPr>
        <w:t>）住房保障支出（类）住房改革支出（款）住房公积金（项）:</w:t>
      </w:r>
      <w:r>
        <w:rPr>
          <w:rFonts w:hint="eastAsia" w:ascii="仿宋" w:hAnsi="仿宋" w:eastAsia="仿宋"/>
          <w:sz w:val="32"/>
          <w:szCs w:val="32"/>
        </w:rPr>
        <w:t>反映行政事业单位按人力资源和社会保障部、财政部规定的基本工资和津贴补贴以及规定比例向职工缴纳住房公积金。</w:t>
      </w:r>
    </w:p>
    <w:p w14:paraId="342804E8">
      <w:pPr>
        <w:keepNext w:val="0"/>
        <w:keepLines w:val="0"/>
        <w:pageBreakBefore w:val="0"/>
        <w:widowControl w:val="0"/>
        <w:kinsoku/>
        <w:wordWrap/>
        <w:overflowPunct/>
        <w:topLinePunct w:val="0"/>
        <w:autoSpaceDE/>
        <w:autoSpaceDN/>
        <w:bidi w:val="0"/>
        <w:spacing w:line="490" w:lineRule="exact"/>
        <w:ind w:firstLine="645"/>
        <w:textAlignment w:val="auto"/>
        <w:rPr>
          <w:rFonts w:hint="eastAsia" w:ascii="仿宋" w:hAnsi="仿宋" w:eastAsia="仿宋"/>
          <w:sz w:val="32"/>
          <w:szCs w:val="32"/>
        </w:rPr>
      </w:pPr>
      <w:r>
        <w:rPr>
          <w:rFonts w:hint="eastAsia" w:ascii="仿宋" w:hAnsi="仿宋" w:eastAsia="仿宋"/>
          <w:b/>
          <w:bCs/>
          <w:sz w:val="32"/>
          <w:szCs w:val="32"/>
        </w:rPr>
        <w:t>（十</w:t>
      </w:r>
      <w:r>
        <w:rPr>
          <w:rFonts w:hint="eastAsia" w:ascii="仿宋" w:hAnsi="仿宋" w:eastAsia="仿宋"/>
          <w:b/>
          <w:bCs/>
          <w:sz w:val="32"/>
          <w:szCs w:val="32"/>
          <w:lang w:eastAsia="zh-CN"/>
        </w:rPr>
        <w:t>二</w:t>
      </w:r>
      <w:r>
        <w:rPr>
          <w:rFonts w:hint="eastAsia" w:ascii="仿宋" w:hAnsi="仿宋" w:eastAsia="仿宋"/>
          <w:b/>
          <w:bCs/>
          <w:sz w:val="32"/>
          <w:szCs w:val="32"/>
        </w:rPr>
        <w:t>）机构运行经费：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32614FB">
      <w:pPr>
        <w:keepNext w:val="0"/>
        <w:keepLines w:val="0"/>
        <w:pageBreakBefore w:val="0"/>
        <w:widowControl w:val="0"/>
        <w:kinsoku/>
        <w:wordWrap/>
        <w:overflowPunct/>
        <w:topLinePunct w:val="0"/>
        <w:autoSpaceDE/>
        <w:autoSpaceDN/>
        <w:bidi w:val="0"/>
        <w:spacing w:line="490" w:lineRule="exact"/>
        <w:ind w:firstLine="645"/>
        <w:textAlignment w:val="auto"/>
        <w:rPr>
          <w:rFonts w:ascii="仿宋_GB2312" w:hAnsi="仿宋_GB2312" w:eastAsia="仿宋_GB2312"/>
          <w:sz w:val="32"/>
          <w:szCs w:val="32"/>
        </w:rPr>
      </w:pPr>
    </w:p>
    <w:p w14:paraId="18FD3822">
      <w:pPr>
        <w:keepNext w:val="0"/>
        <w:keepLines w:val="0"/>
        <w:pageBreakBefore w:val="0"/>
        <w:widowControl w:val="0"/>
        <w:kinsoku/>
        <w:wordWrap/>
        <w:overflowPunct/>
        <w:topLinePunct w:val="0"/>
        <w:autoSpaceDE/>
        <w:autoSpaceDN/>
        <w:bidi w:val="0"/>
        <w:spacing w:line="490" w:lineRule="exact"/>
        <w:ind w:firstLine="643" w:firstLineChars="200"/>
        <w:textAlignment w:val="auto"/>
        <w:rPr>
          <w:rFonts w:ascii="仿宋" w:hAnsi="仿宋" w:eastAsia="仿宋"/>
          <w:b/>
          <w:sz w:val="32"/>
          <w:szCs w:val="32"/>
        </w:rPr>
      </w:pPr>
      <w:r>
        <w:rPr>
          <w:rFonts w:hint="eastAsia" w:ascii="仿宋" w:hAnsi="仿宋" w:eastAsia="仿宋"/>
          <w:b/>
          <w:sz w:val="32"/>
          <w:szCs w:val="32"/>
        </w:rPr>
        <w:t>附件：</w:t>
      </w:r>
    </w:p>
    <w:p w14:paraId="37C86E27">
      <w:pPr>
        <w:keepNext w:val="0"/>
        <w:keepLines w:val="0"/>
        <w:pageBreakBefore w:val="0"/>
        <w:widowControl w:val="0"/>
        <w:kinsoku/>
        <w:wordWrap/>
        <w:overflowPunct/>
        <w:topLinePunct w:val="0"/>
        <w:autoSpaceDE/>
        <w:autoSpaceDN/>
        <w:bidi w:val="0"/>
        <w:spacing w:line="490" w:lineRule="exact"/>
        <w:ind w:firstLine="643" w:firstLineChars="200"/>
        <w:textAlignment w:val="auto"/>
        <w:rPr>
          <w:rFonts w:ascii="仿宋" w:hAnsi="仿宋" w:eastAsia="仿宋"/>
          <w:b/>
          <w:sz w:val="32"/>
          <w:szCs w:val="32"/>
        </w:rPr>
      </w:pPr>
      <w:r>
        <w:rPr>
          <w:rFonts w:hint="eastAsia" w:ascii="仿宋" w:hAnsi="仿宋" w:eastAsia="仿宋"/>
          <w:b/>
          <w:sz w:val="32"/>
          <w:szCs w:val="32"/>
        </w:rPr>
        <w:t>1. 罗江区科协202</w:t>
      </w:r>
      <w:r>
        <w:rPr>
          <w:rFonts w:hint="eastAsia" w:ascii="仿宋" w:hAnsi="仿宋" w:eastAsia="仿宋"/>
          <w:b/>
          <w:sz w:val="32"/>
          <w:szCs w:val="32"/>
          <w:lang w:val="en-US" w:eastAsia="zh-CN"/>
        </w:rPr>
        <w:t>5</w:t>
      </w:r>
      <w:r>
        <w:rPr>
          <w:rFonts w:hint="eastAsia" w:ascii="仿宋" w:hAnsi="仿宋" w:eastAsia="仿宋"/>
          <w:b/>
          <w:sz w:val="32"/>
          <w:szCs w:val="32"/>
        </w:rPr>
        <w:t xml:space="preserve">年部门预算公开表（见附件目录） </w:t>
      </w:r>
    </w:p>
    <w:p w14:paraId="6473A97B">
      <w:pPr>
        <w:keepNext w:val="0"/>
        <w:keepLines w:val="0"/>
        <w:pageBreakBefore w:val="0"/>
        <w:widowControl w:val="0"/>
        <w:kinsoku/>
        <w:wordWrap/>
        <w:overflowPunct/>
        <w:topLinePunct w:val="0"/>
        <w:autoSpaceDE/>
        <w:autoSpaceDN/>
        <w:bidi w:val="0"/>
        <w:spacing w:line="490" w:lineRule="exact"/>
        <w:ind w:firstLine="643" w:firstLineChars="200"/>
        <w:textAlignment w:val="auto"/>
        <w:rPr>
          <w:rFonts w:ascii="仿宋" w:hAnsi="仿宋" w:eastAsia="仿宋"/>
          <w:b/>
          <w:sz w:val="32"/>
          <w:szCs w:val="32"/>
        </w:rPr>
      </w:pPr>
      <w:r>
        <w:rPr>
          <w:rFonts w:hint="eastAsia" w:ascii="仿宋" w:hAnsi="仿宋" w:eastAsia="仿宋"/>
          <w:b/>
          <w:sz w:val="32"/>
          <w:szCs w:val="32"/>
        </w:rPr>
        <w:t>2. 部门整体支出绩效目标公开表</w:t>
      </w:r>
    </w:p>
    <w:p w14:paraId="2655449E">
      <w:pPr>
        <w:keepNext w:val="0"/>
        <w:keepLines w:val="0"/>
        <w:pageBreakBefore w:val="0"/>
        <w:widowControl w:val="0"/>
        <w:kinsoku/>
        <w:wordWrap/>
        <w:overflowPunct/>
        <w:topLinePunct w:val="0"/>
        <w:autoSpaceDE/>
        <w:autoSpaceDN/>
        <w:bidi w:val="0"/>
        <w:spacing w:line="490" w:lineRule="exact"/>
        <w:ind w:firstLine="643" w:firstLineChars="200"/>
        <w:textAlignment w:val="auto"/>
        <w:rPr>
          <w:rFonts w:ascii="仿宋" w:hAnsi="仿宋" w:eastAsia="仿宋"/>
          <w:b/>
          <w:sz w:val="32"/>
          <w:szCs w:val="32"/>
        </w:rPr>
      </w:pPr>
      <w:r>
        <w:rPr>
          <w:rFonts w:hint="eastAsia" w:ascii="仿宋" w:hAnsi="仿宋" w:eastAsia="仿宋"/>
          <w:b/>
          <w:sz w:val="32"/>
          <w:szCs w:val="32"/>
        </w:rPr>
        <w:t>3. 部门预算项目支出绩效目标公开表</w:t>
      </w:r>
    </w:p>
    <w:p w14:paraId="65497ED7">
      <w:pPr>
        <w:keepNext w:val="0"/>
        <w:keepLines w:val="0"/>
        <w:pageBreakBefore w:val="0"/>
        <w:widowControl w:val="0"/>
        <w:kinsoku/>
        <w:wordWrap/>
        <w:overflowPunct/>
        <w:topLinePunct w:val="0"/>
        <w:autoSpaceDE/>
        <w:autoSpaceDN/>
        <w:bidi w:val="0"/>
        <w:spacing w:line="500" w:lineRule="exact"/>
        <w:jc w:val="center"/>
        <w:textAlignment w:val="auto"/>
        <w:rPr>
          <w:rFonts w:ascii="黑体" w:hAnsi="黑体" w:eastAsia="黑体" w:cs="黑体"/>
          <w:sz w:val="32"/>
          <w:szCs w:val="32"/>
        </w:rPr>
      </w:pPr>
    </w:p>
    <w:p w14:paraId="659598F1">
      <w:pPr>
        <w:pStyle w:val="3"/>
        <w:rPr>
          <w:rFonts w:ascii="黑体" w:hAnsi="黑体" w:eastAsia="黑体" w:cs="黑体"/>
          <w:sz w:val="32"/>
          <w:szCs w:val="32"/>
        </w:rPr>
      </w:pPr>
    </w:p>
    <w:p w14:paraId="660974B9">
      <w:pPr>
        <w:spacing w:line="560" w:lineRule="exact"/>
        <w:jc w:val="center"/>
        <w:rPr>
          <w:rFonts w:ascii="黑体" w:hAnsi="黑体" w:eastAsia="黑体" w:cs="黑体"/>
          <w:b/>
          <w:sz w:val="36"/>
          <w:szCs w:val="36"/>
        </w:rPr>
      </w:pPr>
      <w:r>
        <w:rPr>
          <w:rFonts w:hint="eastAsia" w:ascii="黑体" w:hAnsi="黑体" w:eastAsia="黑体" w:cs="黑体"/>
          <w:b/>
          <w:sz w:val="36"/>
          <w:szCs w:val="36"/>
        </w:rPr>
        <w:t>202</w:t>
      </w:r>
      <w:r>
        <w:rPr>
          <w:rFonts w:hint="eastAsia" w:ascii="黑体" w:hAnsi="黑体" w:eastAsia="黑体" w:cs="黑体"/>
          <w:b/>
          <w:sz w:val="36"/>
          <w:szCs w:val="36"/>
          <w:lang w:val="en-US" w:eastAsia="zh-CN"/>
        </w:rPr>
        <w:t>5</w:t>
      </w:r>
      <w:r>
        <w:rPr>
          <w:rFonts w:hint="eastAsia" w:ascii="黑体" w:hAnsi="黑体" w:eastAsia="黑体" w:cs="黑体"/>
          <w:b/>
          <w:sz w:val="36"/>
          <w:szCs w:val="36"/>
        </w:rPr>
        <w:t>年部门预算公开表目录</w:t>
      </w:r>
    </w:p>
    <w:p w14:paraId="6B968DDF">
      <w:pPr>
        <w:pStyle w:val="15"/>
      </w:pPr>
    </w:p>
    <w:p w14:paraId="1DF19A72">
      <w:pPr>
        <w:numPr>
          <w:ilvl w:val="0"/>
          <w:numId w:val="1"/>
        </w:numPr>
        <w:spacing w:line="560" w:lineRule="exact"/>
        <w:ind w:left="0" w:leftChars="0" w:firstLine="482" w:firstLineChars="150"/>
        <w:jc w:val="left"/>
        <w:rPr>
          <w:rFonts w:ascii="仿宋" w:hAnsi="仿宋" w:eastAsia="仿宋"/>
          <w:b/>
          <w:sz w:val="32"/>
          <w:szCs w:val="32"/>
        </w:rPr>
      </w:pPr>
      <w:r>
        <w:rPr>
          <w:rFonts w:hint="eastAsia" w:ascii="仿宋" w:hAnsi="仿宋" w:eastAsia="仿宋"/>
          <w:b/>
          <w:sz w:val="32"/>
          <w:szCs w:val="32"/>
        </w:rPr>
        <w:t>部门收支总表</w:t>
      </w:r>
    </w:p>
    <w:p w14:paraId="7F487132">
      <w:pPr>
        <w:numPr>
          <w:ilvl w:val="1"/>
          <w:numId w:val="2"/>
        </w:numPr>
        <w:spacing w:line="560" w:lineRule="exact"/>
        <w:ind w:left="0" w:leftChars="0" w:firstLine="482" w:firstLineChars="150"/>
        <w:jc w:val="left"/>
        <w:rPr>
          <w:rFonts w:ascii="仿宋" w:hAnsi="仿宋" w:eastAsia="仿宋"/>
          <w:b/>
          <w:sz w:val="32"/>
          <w:szCs w:val="32"/>
        </w:rPr>
      </w:pPr>
      <w:r>
        <w:rPr>
          <w:rFonts w:hint="eastAsia" w:ascii="仿宋" w:hAnsi="仿宋" w:eastAsia="仿宋"/>
          <w:b/>
          <w:sz w:val="32"/>
          <w:szCs w:val="32"/>
        </w:rPr>
        <w:t>部门收入总表</w:t>
      </w:r>
    </w:p>
    <w:p w14:paraId="649E337A">
      <w:pPr>
        <w:numPr>
          <w:ilvl w:val="1"/>
          <w:numId w:val="2"/>
        </w:numPr>
        <w:spacing w:line="560" w:lineRule="exact"/>
        <w:ind w:left="0" w:leftChars="0" w:firstLine="482" w:firstLineChars="150"/>
        <w:jc w:val="left"/>
        <w:rPr>
          <w:rFonts w:ascii="仿宋" w:hAnsi="仿宋" w:eastAsia="仿宋"/>
          <w:b/>
          <w:sz w:val="32"/>
          <w:szCs w:val="32"/>
        </w:rPr>
      </w:pPr>
      <w:r>
        <w:rPr>
          <w:rFonts w:hint="eastAsia" w:ascii="仿宋" w:hAnsi="仿宋" w:eastAsia="仿宋"/>
          <w:b/>
          <w:sz w:val="32"/>
          <w:szCs w:val="32"/>
        </w:rPr>
        <w:t>部门支出总表</w:t>
      </w:r>
    </w:p>
    <w:p w14:paraId="30BD57CC">
      <w:pPr>
        <w:numPr>
          <w:ilvl w:val="0"/>
          <w:numId w:val="2"/>
        </w:numPr>
        <w:spacing w:line="560" w:lineRule="exact"/>
        <w:ind w:left="0" w:leftChars="0" w:firstLine="482" w:firstLineChars="150"/>
        <w:jc w:val="left"/>
        <w:rPr>
          <w:rFonts w:ascii="仿宋" w:hAnsi="仿宋" w:eastAsia="仿宋"/>
          <w:b/>
          <w:sz w:val="32"/>
          <w:szCs w:val="32"/>
        </w:rPr>
      </w:pPr>
      <w:r>
        <w:rPr>
          <w:rFonts w:hint="eastAsia" w:ascii="仿宋" w:hAnsi="仿宋" w:eastAsia="仿宋"/>
          <w:b/>
          <w:sz w:val="32"/>
          <w:szCs w:val="32"/>
        </w:rPr>
        <w:t>财政拨款收支预算总表</w:t>
      </w:r>
    </w:p>
    <w:p w14:paraId="47678D57">
      <w:pPr>
        <w:numPr>
          <w:ilvl w:val="1"/>
          <w:numId w:val="2"/>
        </w:numPr>
        <w:spacing w:line="560" w:lineRule="exact"/>
        <w:ind w:left="0" w:leftChars="0" w:firstLine="482" w:firstLineChars="150"/>
        <w:jc w:val="left"/>
        <w:rPr>
          <w:rFonts w:ascii="仿宋" w:hAnsi="仿宋" w:eastAsia="仿宋"/>
          <w:b/>
          <w:sz w:val="32"/>
          <w:szCs w:val="32"/>
        </w:rPr>
      </w:pPr>
      <w:r>
        <w:rPr>
          <w:rFonts w:hint="eastAsia" w:ascii="仿宋" w:hAnsi="仿宋" w:eastAsia="仿宋"/>
          <w:b/>
          <w:sz w:val="32"/>
          <w:szCs w:val="32"/>
        </w:rPr>
        <w:t>财政拨款支出预算表（</w:t>
      </w:r>
      <w:r>
        <w:rPr>
          <w:rFonts w:hint="eastAsia" w:ascii="仿宋" w:hAnsi="仿宋" w:eastAsia="仿宋"/>
          <w:b/>
          <w:sz w:val="32"/>
          <w:szCs w:val="32"/>
          <w:lang w:eastAsia="zh-CN"/>
        </w:rPr>
        <w:t>部门</w:t>
      </w:r>
      <w:r>
        <w:rPr>
          <w:rFonts w:hint="eastAsia" w:ascii="仿宋" w:hAnsi="仿宋" w:eastAsia="仿宋"/>
          <w:b/>
          <w:sz w:val="32"/>
          <w:szCs w:val="32"/>
        </w:rPr>
        <w:t>经济分类科目）</w:t>
      </w:r>
    </w:p>
    <w:p w14:paraId="59038203">
      <w:pPr>
        <w:numPr>
          <w:ilvl w:val="0"/>
          <w:numId w:val="2"/>
        </w:numPr>
        <w:spacing w:line="560" w:lineRule="exact"/>
        <w:ind w:left="0" w:leftChars="0" w:firstLine="482" w:firstLineChars="150"/>
        <w:jc w:val="left"/>
        <w:rPr>
          <w:rFonts w:ascii="仿宋" w:hAnsi="仿宋" w:eastAsia="仿宋"/>
          <w:b/>
          <w:sz w:val="32"/>
          <w:szCs w:val="32"/>
        </w:rPr>
      </w:pPr>
      <w:r>
        <w:rPr>
          <w:rFonts w:hint="eastAsia" w:ascii="仿宋" w:hAnsi="仿宋" w:eastAsia="仿宋"/>
          <w:b/>
          <w:sz w:val="32"/>
          <w:szCs w:val="32"/>
        </w:rPr>
        <w:t>一般公共预算支出预算表</w:t>
      </w:r>
    </w:p>
    <w:p w14:paraId="03816979">
      <w:pPr>
        <w:numPr>
          <w:ilvl w:val="1"/>
          <w:numId w:val="2"/>
        </w:numPr>
        <w:spacing w:line="560" w:lineRule="exact"/>
        <w:ind w:left="0" w:leftChars="0" w:firstLine="482" w:firstLineChars="150"/>
        <w:jc w:val="left"/>
        <w:rPr>
          <w:rFonts w:ascii="仿宋" w:hAnsi="仿宋" w:eastAsia="仿宋"/>
          <w:b/>
          <w:sz w:val="32"/>
          <w:szCs w:val="32"/>
        </w:rPr>
      </w:pPr>
      <w:r>
        <w:rPr>
          <w:rFonts w:hint="eastAsia" w:ascii="仿宋" w:hAnsi="仿宋" w:eastAsia="仿宋"/>
          <w:b/>
          <w:sz w:val="32"/>
          <w:szCs w:val="32"/>
        </w:rPr>
        <w:t>一般公共预算基本支出预算表</w:t>
      </w:r>
    </w:p>
    <w:p w14:paraId="246EDF65">
      <w:pPr>
        <w:numPr>
          <w:ilvl w:val="1"/>
          <w:numId w:val="2"/>
        </w:numPr>
        <w:spacing w:line="560" w:lineRule="exact"/>
        <w:ind w:left="0" w:leftChars="0" w:firstLine="482" w:firstLineChars="150"/>
        <w:jc w:val="left"/>
        <w:rPr>
          <w:rFonts w:ascii="仿宋" w:hAnsi="仿宋" w:eastAsia="仿宋"/>
          <w:b/>
          <w:sz w:val="32"/>
          <w:szCs w:val="32"/>
        </w:rPr>
      </w:pPr>
      <w:r>
        <w:rPr>
          <w:rFonts w:ascii="仿宋" w:hAnsi="仿宋" w:eastAsia="仿宋"/>
          <w:b/>
          <w:sz w:val="32"/>
          <w:szCs w:val="32"/>
        </w:rPr>
        <w:t>一般公共预算项目支出预算表</w:t>
      </w:r>
    </w:p>
    <w:p w14:paraId="7862DFF7">
      <w:pPr>
        <w:numPr>
          <w:ilvl w:val="1"/>
          <w:numId w:val="2"/>
        </w:numPr>
        <w:spacing w:line="560" w:lineRule="exact"/>
        <w:ind w:left="0" w:leftChars="0" w:firstLine="482" w:firstLineChars="150"/>
        <w:jc w:val="left"/>
        <w:rPr>
          <w:rFonts w:ascii="仿宋" w:hAnsi="仿宋" w:eastAsia="仿宋"/>
          <w:b/>
          <w:sz w:val="32"/>
          <w:szCs w:val="32"/>
        </w:rPr>
      </w:pPr>
      <w:r>
        <w:rPr>
          <w:rFonts w:ascii="仿宋" w:hAnsi="仿宋" w:eastAsia="仿宋"/>
          <w:b/>
          <w:sz w:val="32"/>
          <w:szCs w:val="32"/>
        </w:rPr>
        <w:t>一般公共预算“三公”经费支出预算表</w:t>
      </w:r>
    </w:p>
    <w:p w14:paraId="1993714D">
      <w:pPr>
        <w:numPr>
          <w:ilvl w:val="0"/>
          <w:numId w:val="2"/>
        </w:numPr>
        <w:spacing w:line="560" w:lineRule="exact"/>
        <w:ind w:left="0" w:leftChars="0" w:firstLine="482" w:firstLineChars="150"/>
        <w:jc w:val="left"/>
        <w:rPr>
          <w:rFonts w:ascii="仿宋" w:hAnsi="仿宋" w:eastAsia="仿宋"/>
          <w:b/>
          <w:sz w:val="32"/>
          <w:szCs w:val="32"/>
        </w:rPr>
      </w:pPr>
      <w:r>
        <w:rPr>
          <w:rFonts w:hint="eastAsia" w:ascii="仿宋" w:hAnsi="仿宋" w:eastAsia="仿宋"/>
          <w:b/>
          <w:sz w:val="32"/>
          <w:szCs w:val="32"/>
        </w:rPr>
        <w:t>政府性基金支出预算表</w:t>
      </w:r>
    </w:p>
    <w:p w14:paraId="45A47296">
      <w:pPr>
        <w:numPr>
          <w:ilvl w:val="1"/>
          <w:numId w:val="2"/>
        </w:numPr>
        <w:spacing w:line="560" w:lineRule="exact"/>
        <w:ind w:left="0" w:leftChars="0" w:firstLine="482" w:firstLineChars="150"/>
        <w:jc w:val="left"/>
        <w:rPr>
          <w:rFonts w:ascii="仿宋" w:hAnsi="仿宋" w:eastAsia="仿宋"/>
          <w:b/>
          <w:sz w:val="32"/>
          <w:szCs w:val="32"/>
        </w:rPr>
      </w:pPr>
      <w:r>
        <w:rPr>
          <w:rFonts w:ascii="仿宋" w:hAnsi="仿宋" w:eastAsia="仿宋"/>
          <w:b/>
          <w:sz w:val="32"/>
          <w:szCs w:val="32"/>
        </w:rPr>
        <w:t>政府性基金预算“三公”经费支出预算表</w:t>
      </w:r>
    </w:p>
    <w:p w14:paraId="60D977EA">
      <w:pPr>
        <w:numPr>
          <w:ilvl w:val="0"/>
          <w:numId w:val="2"/>
        </w:numPr>
        <w:spacing w:line="560" w:lineRule="exact"/>
        <w:ind w:left="0" w:leftChars="0" w:firstLine="482" w:firstLineChars="150"/>
        <w:jc w:val="left"/>
        <w:rPr>
          <w:rFonts w:ascii="仿宋" w:hAnsi="仿宋" w:eastAsia="仿宋"/>
          <w:b/>
          <w:sz w:val="32"/>
          <w:szCs w:val="32"/>
        </w:rPr>
      </w:pPr>
      <w:r>
        <w:rPr>
          <w:rFonts w:hint="eastAsia" w:ascii="仿宋" w:hAnsi="仿宋" w:eastAsia="仿宋"/>
          <w:b/>
          <w:sz w:val="32"/>
          <w:szCs w:val="32"/>
        </w:rPr>
        <w:t>国有资本经营预算支出预算表</w:t>
      </w:r>
    </w:p>
    <w:p w14:paraId="0EB14DED">
      <w:pPr>
        <w:numPr>
          <w:ilvl w:val="0"/>
          <w:numId w:val="2"/>
        </w:numPr>
        <w:spacing w:line="560" w:lineRule="exact"/>
        <w:ind w:left="0" w:leftChars="0" w:firstLine="482" w:firstLineChars="150"/>
        <w:jc w:val="left"/>
        <w:rPr>
          <w:rFonts w:ascii="仿宋" w:hAnsi="仿宋" w:eastAsia="仿宋"/>
          <w:b/>
          <w:sz w:val="32"/>
          <w:szCs w:val="32"/>
        </w:rPr>
      </w:pPr>
      <w:r>
        <w:rPr>
          <w:rFonts w:ascii="仿宋" w:hAnsi="仿宋" w:eastAsia="仿宋"/>
          <w:b/>
          <w:sz w:val="32"/>
          <w:szCs w:val="32"/>
        </w:rPr>
        <w:t>202</w:t>
      </w:r>
      <w:r>
        <w:rPr>
          <w:rFonts w:hint="eastAsia" w:ascii="仿宋" w:hAnsi="仿宋" w:eastAsia="仿宋"/>
          <w:b/>
          <w:sz w:val="32"/>
          <w:szCs w:val="32"/>
          <w:lang w:val="en-US" w:eastAsia="zh-CN"/>
        </w:rPr>
        <w:t>5</w:t>
      </w:r>
      <w:r>
        <w:rPr>
          <w:rFonts w:ascii="仿宋" w:hAnsi="仿宋" w:eastAsia="仿宋"/>
          <w:b/>
          <w:sz w:val="32"/>
          <w:szCs w:val="32"/>
        </w:rPr>
        <w:t>年部门预算项目绩效目标（部门预算）</w:t>
      </w:r>
    </w:p>
    <w:p w14:paraId="26001AC3">
      <w:pPr>
        <w:numPr>
          <w:ilvl w:val="1"/>
          <w:numId w:val="2"/>
        </w:numPr>
        <w:spacing w:line="560" w:lineRule="exact"/>
        <w:ind w:left="0" w:leftChars="0" w:firstLine="482" w:firstLineChars="150"/>
        <w:jc w:val="left"/>
        <w:rPr>
          <w:rFonts w:ascii="仿宋" w:hAnsi="仿宋" w:eastAsia="仿宋"/>
          <w:b/>
          <w:sz w:val="32"/>
          <w:szCs w:val="32"/>
        </w:rPr>
      </w:pPr>
      <w:r>
        <w:rPr>
          <w:rFonts w:hint="eastAsia" w:ascii="仿宋" w:hAnsi="仿宋" w:eastAsia="仿宋"/>
          <w:b/>
          <w:sz w:val="32"/>
          <w:szCs w:val="32"/>
        </w:rPr>
        <w:t>政府预算基本支出表</w:t>
      </w:r>
    </w:p>
    <w:p w14:paraId="25D2FBCD">
      <w:pPr>
        <w:numPr>
          <w:ilvl w:val="1"/>
          <w:numId w:val="2"/>
        </w:numPr>
        <w:spacing w:line="560" w:lineRule="exact"/>
        <w:ind w:left="0" w:leftChars="0" w:firstLine="482" w:firstLineChars="150"/>
        <w:jc w:val="left"/>
        <w:rPr>
          <w:rFonts w:ascii="仿宋" w:hAnsi="仿宋" w:eastAsia="仿宋"/>
          <w:b/>
          <w:sz w:val="32"/>
          <w:szCs w:val="32"/>
        </w:rPr>
      </w:pPr>
      <w:r>
        <w:rPr>
          <w:rFonts w:ascii="仿宋" w:hAnsi="仿宋" w:eastAsia="仿宋"/>
          <w:b/>
          <w:sz w:val="32"/>
          <w:szCs w:val="32"/>
        </w:rPr>
        <w:t>政府预算项目支出表</w:t>
      </w:r>
    </w:p>
    <w:p w14:paraId="602063B6">
      <w:pPr>
        <w:spacing w:line="540" w:lineRule="exact"/>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BDFB5">
    <w:pPr>
      <w:pStyle w:val="4"/>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4654074"/>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AD493">
    <w:pPr>
      <w:pStyle w:val="4"/>
    </w:pPr>
    <w:r>
      <w:pict>
        <v:shape id="_x0000_s1030" o:spid="_x0000_s103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C10ED19">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7944F"/>
    <w:multiLevelType w:val="multilevel"/>
    <w:tmpl w:val="14A7944F"/>
    <w:lvl w:ilvl="0" w:tentative="0">
      <w:start w:val="1"/>
      <w:numFmt w:val="decimal"/>
      <w:lvlText w:val="%1."/>
      <w:lvlJc w:val="left"/>
      <w:pPr>
        <w:tabs>
          <w:tab w:val="left" w:pos="312"/>
        </w:tabs>
        <w:ind w:left="0" w:firstLine="0"/>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44197BEA"/>
    <w:multiLevelType w:val="singleLevel"/>
    <w:tmpl w:val="44197BE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E2ZDUxNTQ3YWZhMzk5MjJmZWFiMDY1YmRkOTg3NzMifQ=="/>
  </w:docVars>
  <w:rsids>
    <w:rsidRoot w:val="004E4A63"/>
    <w:rsid w:val="0001797E"/>
    <w:rsid w:val="0002464B"/>
    <w:rsid w:val="000332B9"/>
    <w:rsid w:val="000456DC"/>
    <w:rsid w:val="00045B92"/>
    <w:rsid w:val="0009401F"/>
    <w:rsid w:val="00096360"/>
    <w:rsid w:val="000A2E34"/>
    <w:rsid w:val="000B392A"/>
    <w:rsid w:val="000B716B"/>
    <w:rsid w:val="000B7786"/>
    <w:rsid w:val="000C160D"/>
    <w:rsid w:val="000E4E13"/>
    <w:rsid w:val="000E7281"/>
    <w:rsid w:val="000F416F"/>
    <w:rsid w:val="000F500E"/>
    <w:rsid w:val="00107748"/>
    <w:rsid w:val="00107AF7"/>
    <w:rsid w:val="00110A59"/>
    <w:rsid w:val="00140364"/>
    <w:rsid w:val="00142C25"/>
    <w:rsid w:val="00145BC4"/>
    <w:rsid w:val="00145F87"/>
    <w:rsid w:val="00162CB0"/>
    <w:rsid w:val="00183422"/>
    <w:rsid w:val="00185C9D"/>
    <w:rsid w:val="001A5E61"/>
    <w:rsid w:val="001E2778"/>
    <w:rsid w:val="001F59C4"/>
    <w:rsid w:val="00202A4E"/>
    <w:rsid w:val="002235CA"/>
    <w:rsid w:val="00232ADE"/>
    <w:rsid w:val="0024323B"/>
    <w:rsid w:val="00245794"/>
    <w:rsid w:val="002912FE"/>
    <w:rsid w:val="002926FE"/>
    <w:rsid w:val="002B266F"/>
    <w:rsid w:val="002B7F14"/>
    <w:rsid w:val="002D17ED"/>
    <w:rsid w:val="002D38FD"/>
    <w:rsid w:val="002E0A67"/>
    <w:rsid w:val="002F17D2"/>
    <w:rsid w:val="002F6687"/>
    <w:rsid w:val="00301D7E"/>
    <w:rsid w:val="00312354"/>
    <w:rsid w:val="00325291"/>
    <w:rsid w:val="00325A17"/>
    <w:rsid w:val="00333843"/>
    <w:rsid w:val="00336B03"/>
    <w:rsid w:val="003558AC"/>
    <w:rsid w:val="00363AC0"/>
    <w:rsid w:val="003726AB"/>
    <w:rsid w:val="00380368"/>
    <w:rsid w:val="00382FE6"/>
    <w:rsid w:val="0039365C"/>
    <w:rsid w:val="003959C9"/>
    <w:rsid w:val="003B021E"/>
    <w:rsid w:val="003B5626"/>
    <w:rsid w:val="003C7D06"/>
    <w:rsid w:val="003D6BCC"/>
    <w:rsid w:val="00414757"/>
    <w:rsid w:val="00424BC8"/>
    <w:rsid w:val="00431D0B"/>
    <w:rsid w:val="004705E2"/>
    <w:rsid w:val="00486106"/>
    <w:rsid w:val="00496583"/>
    <w:rsid w:val="004A7A0B"/>
    <w:rsid w:val="004B52FA"/>
    <w:rsid w:val="004C4D5E"/>
    <w:rsid w:val="004D53A9"/>
    <w:rsid w:val="004D6D26"/>
    <w:rsid w:val="004D7716"/>
    <w:rsid w:val="004E4A63"/>
    <w:rsid w:val="004F1E8C"/>
    <w:rsid w:val="00504316"/>
    <w:rsid w:val="00506C5E"/>
    <w:rsid w:val="0051133A"/>
    <w:rsid w:val="00522BF6"/>
    <w:rsid w:val="0052352B"/>
    <w:rsid w:val="005259C6"/>
    <w:rsid w:val="005275D4"/>
    <w:rsid w:val="00533649"/>
    <w:rsid w:val="00550C45"/>
    <w:rsid w:val="00552EF7"/>
    <w:rsid w:val="00553968"/>
    <w:rsid w:val="00562665"/>
    <w:rsid w:val="00563314"/>
    <w:rsid w:val="00567259"/>
    <w:rsid w:val="00597632"/>
    <w:rsid w:val="005A0F05"/>
    <w:rsid w:val="005B45A6"/>
    <w:rsid w:val="005B78D3"/>
    <w:rsid w:val="005C456F"/>
    <w:rsid w:val="005E5300"/>
    <w:rsid w:val="00603D03"/>
    <w:rsid w:val="006108E3"/>
    <w:rsid w:val="00621072"/>
    <w:rsid w:val="00621BAC"/>
    <w:rsid w:val="00640CC1"/>
    <w:rsid w:val="0064720A"/>
    <w:rsid w:val="00674D31"/>
    <w:rsid w:val="00691266"/>
    <w:rsid w:val="006958C4"/>
    <w:rsid w:val="006E2E61"/>
    <w:rsid w:val="006F1A3B"/>
    <w:rsid w:val="006F2DFB"/>
    <w:rsid w:val="006F4CB6"/>
    <w:rsid w:val="00715FBE"/>
    <w:rsid w:val="007225E2"/>
    <w:rsid w:val="00722885"/>
    <w:rsid w:val="007365C4"/>
    <w:rsid w:val="00745FEA"/>
    <w:rsid w:val="007607B4"/>
    <w:rsid w:val="00783115"/>
    <w:rsid w:val="00792473"/>
    <w:rsid w:val="007A4645"/>
    <w:rsid w:val="007C0BB5"/>
    <w:rsid w:val="007E345F"/>
    <w:rsid w:val="0080120E"/>
    <w:rsid w:val="008364B3"/>
    <w:rsid w:val="00837CD8"/>
    <w:rsid w:val="00846F0A"/>
    <w:rsid w:val="00870C1F"/>
    <w:rsid w:val="008A2801"/>
    <w:rsid w:val="008A538F"/>
    <w:rsid w:val="008B1E02"/>
    <w:rsid w:val="008F6F65"/>
    <w:rsid w:val="008F70DC"/>
    <w:rsid w:val="009049CB"/>
    <w:rsid w:val="00914ED4"/>
    <w:rsid w:val="0092624D"/>
    <w:rsid w:val="00933755"/>
    <w:rsid w:val="009439CE"/>
    <w:rsid w:val="00957862"/>
    <w:rsid w:val="0098576C"/>
    <w:rsid w:val="00985AC8"/>
    <w:rsid w:val="009A00FA"/>
    <w:rsid w:val="009A6CB0"/>
    <w:rsid w:val="009B48E0"/>
    <w:rsid w:val="009B76D5"/>
    <w:rsid w:val="009D554C"/>
    <w:rsid w:val="009D7684"/>
    <w:rsid w:val="00A0001C"/>
    <w:rsid w:val="00A04AF2"/>
    <w:rsid w:val="00A05276"/>
    <w:rsid w:val="00A107BA"/>
    <w:rsid w:val="00A13682"/>
    <w:rsid w:val="00A35376"/>
    <w:rsid w:val="00A35F1B"/>
    <w:rsid w:val="00A40DF8"/>
    <w:rsid w:val="00A42783"/>
    <w:rsid w:val="00A46B69"/>
    <w:rsid w:val="00A472AA"/>
    <w:rsid w:val="00A5551E"/>
    <w:rsid w:val="00A60A56"/>
    <w:rsid w:val="00AA0482"/>
    <w:rsid w:val="00AC00BF"/>
    <w:rsid w:val="00AE473D"/>
    <w:rsid w:val="00AF5DAC"/>
    <w:rsid w:val="00B10247"/>
    <w:rsid w:val="00B102B3"/>
    <w:rsid w:val="00B161EF"/>
    <w:rsid w:val="00B31AC0"/>
    <w:rsid w:val="00B32882"/>
    <w:rsid w:val="00B34EE9"/>
    <w:rsid w:val="00B376D6"/>
    <w:rsid w:val="00B4107D"/>
    <w:rsid w:val="00B511F6"/>
    <w:rsid w:val="00B543D8"/>
    <w:rsid w:val="00B54A6F"/>
    <w:rsid w:val="00B61D6E"/>
    <w:rsid w:val="00B6622E"/>
    <w:rsid w:val="00B667FF"/>
    <w:rsid w:val="00B712EF"/>
    <w:rsid w:val="00B74FE8"/>
    <w:rsid w:val="00B8017A"/>
    <w:rsid w:val="00B900FA"/>
    <w:rsid w:val="00BA3CC6"/>
    <w:rsid w:val="00BA485C"/>
    <w:rsid w:val="00BB2031"/>
    <w:rsid w:val="00BB3812"/>
    <w:rsid w:val="00BD5D28"/>
    <w:rsid w:val="00BD7C8D"/>
    <w:rsid w:val="00BF7F1A"/>
    <w:rsid w:val="00C06799"/>
    <w:rsid w:val="00C067C1"/>
    <w:rsid w:val="00C07888"/>
    <w:rsid w:val="00C12E51"/>
    <w:rsid w:val="00C320F6"/>
    <w:rsid w:val="00C71ADD"/>
    <w:rsid w:val="00C817A8"/>
    <w:rsid w:val="00C96FDA"/>
    <w:rsid w:val="00CA6FA7"/>
    <w:rsid w:val="00CC3B2A"/>
    <w:rsid w:val="00CC70A9"/>
    <w:rsid w:val="00CE3313"/>
    <w:rsid w:val="00CF55FB"/>
    <w:rsid w:val="00CF7F84"/>
    <w:rsid w:val="00D04473"/>
    <w:rsid w:val="00D14665"/>
    <w:rsid w:val="00D16713"/>
    <w:rsid w:val="00D50F62"/>
    <w:rsid w:val="00D576C0"/>
    <w:rsid w:val="00D77F8E"/>
    <w:rsid w:val="00D90FF4"/>
    <w:rsid w:val="00DB1735"/>
    <w:rsid w:val="00DC34F5"/>
    <w:rsid w:val="00DD62CD"/>
    <w:rsid w:val="00DE3856"/>
    <w:rsid w:val="00DF1243"/>
    <w:rsid w:val="00E10C2D"/>
    <w:rsid w:val="00E132C9"/>
    <w:rsid w:val="00E169FC"/>
    <w:rsid w:val="00E977B6"/>
    <w:rsid w:val="00EB36FE"/>
    <w:rsid w:val="00ED5C89"/>
    <w:rsid w:val="00EE23D3"/>
    <w:rsid w:val="00F000F9"/>
    <w:rsid w:val="00F20141"/>
    <w:rsid w:val="00F264D8"/>
    <w:rsid w:val="00F473EF"/>
    <w:rsid w:val="00F82785"/>
    <w:rsid w:val="00F9257D"/>
    <w:rsid w:val="00FA2397"/>
    <w:rsid w:val="00FD2791"/>
    <w:rsid w:val="00FD2F29"/>
    <w:rsid w:val="01931A7A"/>
    <w:rsid w:val="01C952E1"/>
    <w:rsid w:val="02964E10"/>
    <w:rsid w:val="0351247B"/>
    <w:rsid w:val="04052CFF"/>
    <w:rsid w:val="040A3F60"/>
    <w:rsid w:val="04F217BD"/>
    <w:rsid w:val="04F24718"/>
    <w:rsid w:val="05121E5F"/>
    <w:rsid w:val="05451103"/>
    <w:rsid w:val="05D17E3D"/>
    <w:rsid w:val="05DD246D"/>
    <w:rsid w:val="0619453E"/>
    <w:rsid w:val="063C5A13"/>
    <w:rsid w:val="08F86B1F"/>
    <w:rsid w:val="092E2FE0"/>
    <w:rsid w:val="09370ACA"/>
    <w:rsid w:val="09546F1F"/>
    <w:rsid w:val="095A2027"/>
    <w:rsid w:val="09795C5D"/>
    <w:rsid w:val="09C91CD1"/>
    <w:rsid w:val="09DC47EA"/>
    <w:rsid w:val="0B3317CD"/>
    <w:rsid w:val="0B666A61"/>
    <w:rsid w:val="0C3C3C66"/>
    <w:rsid w:val="0CBC3A4D"/>
    <w:rsid w:val="0CF87B8D"/>
    <w:rsid w:val="0CFE2CC9"/>
    <w:rsid w:val="0D466B4A"/>
    <w:rsid w:val="0E1B6AB5"/>
    <w:rsid w:val="0E4A44F6"/>
    <w:rsid w:val="0E8649E2"/>
    <w:rsid w:val="0EC00B7E"/>
    <w:rsid w:val="0F557518"/>
    <w:rsid w:val="0F8A6A96"/>
    <w:rsid w:val="0FBF496B"/>
    <w:rsid w:val="0FEF3091"/>
    <w:rsid w:val="102751B9"/>
    <w:rsid w:val="10E5667A"/>
    <w:rsid w:val="11C90EE9"/>
    <w:rsid w:val="12280F14"/>
    <w:rsid w:val="12FC574E"/>
    <w:rsid w:val="13522181"/>
    <w:rsid w:val="139C732D"/>
    <w:rsid w:val="139D431D"/>
    <w:rsid w:val="13CD7229"/>
    <w:rsid w:val="15F42F09"/>
    <w:rsid w:val="16632821"/>
    <w:rsid w:val="172C5003"/>
    <w:rsid w:val="177443E1"/>
    <w:rsid w:val="179F042B"/>
    <w:rsid w:val="17F57F70"/>
    <w:rsid w:val="183520A7"/>
    <w:rsid w:val="186C26F2"/>
    <w:rsid w:val="18BF4348"/>
    <w:rsid w:val="18C0569A"/>
    <w:rsid w:val="1A126BA5"/>
    <w:rsid w:val="1A8B57AF"/>
    <w:rsid w:val="1CB57848"/>
    <w:rsid w:val="1CD73FEB"/>
    <w:rsid w:val="1DEF4928"/>
    <w:rsid w:val="1E671D39"/>
    <w:rsid w:val="1F15640C"/>
    <w:rsid w:val="1FCE268A"/>
    <w:rsid w:val="209E23A2"/>
    <w:rsid w:val="21B225A8"/>
    <w:rsid w:val="21CF315A"/>
    <w:rsid w:val="22280ABD"/>
    <w:rsid w:val="2234120F"/>
    <w:rsid w:val="22B12860"/>
    <w:rsid w:val="22BB6735"/>
    <w:rsid w:val="22DB4B84"/>
    <w:rsid w:val="236D2C2B"/>
    <w:rsid w:val="23F23130"/>
    <w:rsid w:val="2446522A"/>
    <w:rsid w:val="24DE1906"/>
    <w:rsid w:val="24E30CCB"/>
    <w:rsid w:val="251A0B90"/>
    <w:rsid w:val="25572ED2"/>
    <w:rsid w:val="256B13EC"/>
    <w:rsid w:val="270C4509"/>
    <w:rsid w:val="2714160F"/>
    <w:rsid w:val="272C65E4"/>
    <w:rsid w:val="27392FFB"/>
    <w:rsid w:val="27665AE0"/>
    <w:rsid w:val="27F45F34"/>
    <w:rsid w:val="28327F9F"/>
    <w:rsid w:val="28884063"/>
    <w:rsid w:val="28AF64E7"/>
    <w:rsid w:val="29C634DB"/>
    <w:rsid w:val="2A045450"/>
    <w:rsid w:val="2AF01D5C"/>
    <w:rsid w:val="2AF33896"/>
    <w:rsid w:val="2AF7102C"/>
    <w:rsid w:val="2C2977BD"/>
    <w:rsid w:val="2C45448E"/>
    <w:rsid w:val="2CBD72B2"/>
    <w:rsid w:val="2D067C4C"/>
    <w:rsid w:val="2D08360C"/>
    <w:rsid w:val="2D852A7C"/>
    <w:rsid w:val="2DA03008"/>
    <w:rsid w:val="2DD41AF8"/>
    <w:rsid w:val="2DE55AB4"/>
    <w:rsid w:val="2E5549E7"/>
    <w:rsid w:val="2E822D79"/>
    <w:rsid w:val="2F283EAA"/>
    <w:rsid w:val="2FA66CD5"/>
    <w:rsid w:val="2FC00586"/>
    <w:rsid w:val="30DF67EA"/>
    <w:rsid w:val="3139239E"/>
    <w:rsid w:val="315B1000"/>
    <w:rsid w:val="31AD0696"/>
    <w:rsid w:val="31B1462B"/>
    <w:rsid w:val="31D31FAF"/>
    <w:rsid w:val="32F56799"/>
    <w:rsid w:val="331035D3"/>
    <w:rsid w:val="33322907"/>
    <w:rsid w:val="34AE4682"/>
    <w:rsid w:val="35246EC1"/>
    <w:rsid w:val="35957DBF"/>
    <w:rsid w:val="36F154C9"/>
    <w:rsid w:val="372C4753"/>
    <w:rsid w:val="378D6FA0"/>
    <w:rsid w:val="37D44BCF"/>
    <w:rsid w:val="37E96018"/>
    <w:rsid w:val="37FA383B"/>
    <w:rsid w:val="383E51B3"/>
    <w:rsid w:val="38AA5930"/>
    <w:rsid w:val="39B7144C"/>
    <w:rsid w:val="3A1419BC"/>
    <w:rsid w:val="3ADF391F"/>
    <w:rsid w:val="3AFD268F"/>
    <w:rsid w:val="3B2E716D"/>
    <w:rsid w:val="3BAE1E2A"/>
    <w:rsid w:val="3C741E04"/>
    <w:rsid w:val="3C8E6093"/>
    <w:rsid w:val="3CEA09F1"/>
    <w:rsid w:val="3DDE5B6B"/>
    <w:rsid w:val="3E006951"/>
    <w:rsid w:val="3E9258B0"/>
    <w:rsid w:val="3EBB5721"/>
    <w:rsid w:val="3F63335F"/>
    <w:rsid w:val="3FB81CE7"/>
    <w:rsid w:val="405655A4"/>
    <w:rsid w:val="407D54F4"/>
    <w:rsid w:val="407F3B46"/>
    <w:rsid w:val="42300D15"/>
    <w:rsid w:val="424B1F31"/>
    <w:rsid w:val="42991D01"/>
    <w:rsid w:val="42C43A92"/>
    <w:rsid w:val="43E31666"/>
    <w:rsid w:val="43FD725B"/>
    <w:rsid w:val="44703228"/>
    <w:rsid w:val="44E1584B"/>
    <w:rsid w:val="450F0328"/>
    <w:rsid w:val="45417301"/>
    <w:rsid w:val="456C7D60"/>
    <w:rsid w:val="45C8265F"/>
    <w:rsid w:val="46067B51"/>
    <w:rsid w:val="46177843"/>
    <w:rsid w:val="463D6035"/>
    <w:rsid w:val="47863A0C"/>
    <w:rsid w:val="47C702AC"/>
    <w:rsid w:val="47DE7A9B"/>
    <w:rsid w:val="480706A9"/>
    <w:rsid w:val="48F7696F"/>
    <w:rsid w:val="49F41101"/>
    <w:rsid w:val="4A056E6A"/>
    <w:rsid w:val="4A2A68D0"/>
    <w:rsid w:val="4A463ED2"/>
    <w:rsid w:val="4AE20DC4"/>
    <w:rsid w:val="4AF26BFF"/>
    <w:rsid w:val="4B680DE0"/>
    <w:rsid w:val="4B6B52CF"/>
    <w:rsid w:val="4B814C16"/>
    <w:rsid w:val="4BA92A18"/>
    <w:rsid w:val="4BAD77B9"/>
    <w:rsid w:val="4C9D4CE3"/>
    <w:rsid w:val="4E311390"/>
    <w:rsid w:val="4F730D1A"/>
    <w:rsid w:val="5020457D"/>
    <w:rsid w:val="504242F5"/>
    <w:rsid w:val="51656440"/>
    <w:rsid w:val="51E01673"/>
    <w:rsid w:val="52320A18"/>
    <w:rsid w:val="52350508"/>
    <w:rsid w:val="542B792A"/>
    <w:rsid w:val="544D38E7"/>
    <w:rsid w:val="54A24134"/>
    <w:rsid w:val="54F80ED4"/>
    <w:rsid w:val="553336BC"/>
    <w:rsid w:val="55586ED4"/>
    <w:rsid w:val="55830BDE"/>
    <w:rsid w:val="55C7096C"/>
    <w:rsid w:val="56206DD9"/>
    <w:rsid w:val="57032983"/>
    <w:rsid w:val="57FC0FD5"/>
    <w:rsid w:val="588B0B09"/>
    <w:rsid w:val="58B434CD"/>
    <w:rsid w:val="59657925"/>
    <w:rsid w:val="59725073"/>
    <w:rsid w:val="59B7350B"/>
    <w:rsid w:val="59CF1242"/>
    <w:rsid w:val="5A7C782C"/>
    <w:rsid w:val="5ADB18B3"/>
    <w:rsid w:val="5B987D76"/>
    <w:rsid w:val="5BC22E0D"/>
    <w:rsid w:val="5BD91F04"/>
    <w:rsid w:val="5C875E04"/>
    <w:rsid w:val="5D3E50CC"/>
    <w:rsid w:val="5D731EE5"/>
    <w:rsid w:val="5D845EA0"/>
    <w:rsid w:val="5DBC388C"/>
    <w:rsid w:val="5DF77469"/>
    <w:rsid w:val="5E08087F"/>
    <w:rsid w:val="5E79177D"/>
    <w:rsid w:val="5F1E02F3"/>
    <w:rsid w:val="5F5A7A74"/>
    <w:rsid w:val="60312ACE"/>
    <w:rsid w:val="607626F7"/>
    <w:rsid w:val="6094681F"/>
    <w:rsid w:val="60956D42"/>
    <w:rsid w:val="60A41700"/>
    <w:rsid w:val="60FB0B6F"/>
    <w:rsid w:val="610C3B60"/>
    <w:rsid w:val="61387F16"/>
    <w:rsid w:val="614C6A47"/>
    <w:rsid w:val="61826B9A"/>
    <w:rsid w:val="61926DDD"/>
    <w:rsid w:val="622F6BEA"/>
    <w:rsid w:val="62CA754C"/>
    <w:rsid w:val="62DE2B15"/>
    <w:rsid w:val="631577BF"/>
    <w:rsid w:val="636E22C5"/>
    <w:rsid w:val="64790343"/>
    <w:rsid w:val="64CB51E9"/>
    <w:rsid w:val="64EF1AB6"/>
    <w:rsid w:val="65475206"/>
    <w:rsid w:val="65493C57"/>
    <w:rsid w:val="65543B3B"/>
    <w:rsid w:val="655D3BA6"/>
    <w:rsid w:val="65652A5B"/>
    <w:rsid w:val="65947C86"/>
    <w:rsid w:val="667E0D3E"/>
    <w:rsid w:val="66C525BA"/>
    <w:rsid w:val="66DA2F7E"/>
    <w:rsid w:val="670047E9"/>
    <w:rsid w:val="670646D3"/>
    <w:rsid w:val="676B4BF4"/>
    <w:rsid w:val="67966EFB"/>
    <w:rsid w:val="68192441"/>
    <w:rsid w:val="69307084"/>
    <w:rsid w:val="69715E72"/>
    <w:rsid w:val="6A415844"/>
    <w:rsid w:val="6ABA10B8"/>
    <w:rsid w:val="6C486000"/>
    <w:rsid w:val="6C545262"/>
    <w:rsid w:val="6C8934D3"/>
    <w:rsid w:val="6CD9556E"/>
    <w:rsid w:val="6D0843F7"/>
    <w:rsid w:val="6D7A449B"/>
    <w:rsid w:val="6E8C3B19"/>
    <w:rsid w:val="6EA4597D"/>
    <w:rsid w:val="6F327E52"/>
    <w:rsid w:val="6F3B4F58"/>
    <w:rsid w:val="6F9D54EF"/>
    <w:rsid w:val="6FBB1BF5"/>
    <w:rsid w:val="6FDF5568"/>
    <w:rsid w:val="6FE25FBC"/>
    <w:rsid w:val="6FF670D1"/>
    <w:rsid w:val="708E44BF"/>
    <w:rsid w:val="710C1C35"/>
    <w:rsid w:val="71824F76"/>
    <w:rsid w:val="72514E94"/>
    <w:rsid w:val="72D62670"/>
    <w:rsid w:val="733E5017"/>
    <w:rsid w:val="73A34E7A"/>
    <w:rsid w:val="74024296"/>
    <w:rsid w:val="740C0203"/>
    <w:rsid w:val="74495541"/>
    <w:rsid w:val="74855128"/>
    <w:rsid w:val="7501454E"/>
    <w:rsid w:val="750860BC"/>
    <w:rsid w:val="75485793"/>
    <w:rsid w:val="757D3F42"/>
    <w:rsid w:val="757E1C20"/>
    <w:rsid w:val="75ED062E"/>
    <w:rsid w:val="75EF505F"/>
    <w:rsid w:val="764D7A2D"/>
    <w:rsid w:val="77103EEA"/>
    <w:rsid w:val="77210C15"/>
    <w:rsid w:val="775B5A6C"/>
    <w:rsid w:val="7791148D"/>
    <w:rsid w:val="78906189"/>
    <w:rsid w:val="78E421BD"/>
    <w:rsid w:val="796E5F2A"/>
    <w:rsid w:val="79901CF2"/>
    <w:rsid w:val="7A025C39"/>
    <w:rsid w:val="7A1E7F9B"/>
    <w:rsid w:val="7A49604F"/>
    <w:rsid w:val="7AC35E02"/>
    <w:rsid w:val="7B0E0539"/>
    <w:rsid w:val="7B3570A6"/>
    <w:rsid w:val="7BB61945"/>
    <w:rsid w:val="7C797C68"/>
    <w:rsid w:val="7D16490F"/>
    <w:rsid w:val="7D9E5546"/>
    <w:rsid w:val="7E1075B0"/>
    <w:rsid w:val="7F175441"/>
    <w:rsid w:val="7F2E23E3"/>
    <w:rsid w:val="7F7D4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kern w:val="2"/>
      <w:sz w:val="48"/>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3"/>
    <w:autoRedefine/>
    <w:qFormat/>
    <w:uiPriority w:val="0"/>
    <w:pPr>
      <w:spacing w:beforeLines="30"/>
    </w:pPr>
    <w:rPr>
      <w:rFonts w:ascii="仿宋_GB2312" w:eastAsia="仿宋_GB2312"/>
      <w:sz w:val="30"/>
    </w:rPr>
  </w:style>
  <w:style w:type="paragraph" w:styleId="3">
    <w:name w:val="Body Text First Indent"/>
    <w:basedOn w:val="2"/>
    <w:autoRedefine/>
    <w:unhideWhenUsed/>
    <w:qFormat/>
    <w:uiPriority w:val="99"/>
    <w:pPr>
      <w:ind w:firstLine="420" w:firstLineChars="100"/>
    </w:pPr>
  </w:style>
  <w:style w:type="paragraph" w:styleId="4">
    <w:name w:val="footer"/>
    <w:basedOn w:val="1"/>
    <w:link w:val="12"/>
    <w:autoRedefine/>
    <w:unhideWhenUsed/>
    <w:qFormat/>
    <w:uiPriority w:val="0"/>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autoRedefine/>
    <w:qFormat/>
    <w:uiPriority w:val="22"/>
    <w:rPr>
      <w:b/>
      <w:bCs/>
    </w:rPr>
  </w:style>
  <w:style w:type="character" w:styleId="9">
    <w:name w:val="Emphasis"/>
    <w:basedOn w:val="7"/>
    <w:autoRedefine/>
    <w:qFormat/>
    <w:uiPriority w:val="20"/>
  </w:style>
  <w:style w:type="paragraph" w:styleId="10">
    <w:name w:val="List Paragraph"/>
    <w:basedOn w:val="1"/>
    <w:autoRedefine/>
    <w:qFormat/>
    <w:uiPriority w:val="34"/>
    <w:pPr>
      <w:ind w:firstLine="420" w:firstLineChars="200"/>
    </w:pPr>
  </w:style>
  <w:style w:type="character" w:customStyle="1" w:styleId="11">
    <w:name w:val="页眉 Char"/>
    <w:basedOn w:val="7"/>
    <w:link w:val="5"/>
    <w:autoRedefine/>
    <w:qFormat/>
    <w:uiPriority w:val="99"/>
    <w:rPr>
      <w:rFonts w:ascii="宋体" w:hAnsi="Times New Roman" w:eastAsia="宋体" w:cs="Times New Roman"/>
      <w:sz w:val="18"/>
      <w:szCs w:val="18"/>
    </w:rPr>
  </w:style>
  <w:style w:type="character" w:customStyle="1" w:styleId="12">
    <w:name w:val="页脚 Char"/>
    <w:basedOn w:val="7"/>
    <w:link w:val="4"/>
    <w:autoRedefine/>
    <w:qFormat/>
    <w:uiPriority w:val="0"/>
    <w:rPr>
      <w:rFonts w:ascii="宋体" w:hAnsi="Times New Roman" w:eastAsia="宋体" w:cs="Times New Roman"/>
      <w:sz w:val="18"/>
      <w:szCs w:val="18"/>
    </w:rPr>
  </w:style>
  <w:style w:type="character" w:customStyle="1" w:styleId="13">
    <w:name w:val="正文文本 Char"/>
    <w:basedOn w:val="7"/>
    <w:link w:val="2"/>
    <w:autoRedefine/>
    <w:qFormat/>
    <w:uiPriority w:val="0"/>
    <w:rPr>
      <w:rFonts w:ascii="仿宋_GB2312" w:hAnsi="Times New Roman" w:eastAsia="仿宋_GB2312" w:cs="Times New Roman"/>
      <w:kern w:val="2"/>
      <w:sz w:val="30"/>
      <w:szCs w:val="24"/>
    </w:rPr>
  </w:style>
  <w:style w:type="character" w:customStyle="1" w:styleId="14">
    <w:name w:val="NormalCharacter"/>
    <w:autoRedefine/>
    <w:qFormat/>
    <w:uiPriority w:val="0"/>
  </w:style>
  <w:style w:type="paragraph" w:customStyle="1" w:styleId="15">
    <w:name w:val="正文2"/>
    <w:basedOn w:val="1"/>
    <w:next w:val="1"/>
    <w:autoRedefine/>
    <w:qFormat/>
    <w:uiPriority w:val="0"/>
    <w:rPr>
      <w:rFonts w:asciiTheme="minorHAnsi" w:hAnsiTheme="minorHAnsi" w:eastAsiaTheme="minorEastAsia" w:cstheme="minorBidi"/>
      <w:sz w:val="21"/>
      <w:szCs w:val="22"/>
    </w:rPr>
  </w:style>
  <w:style w:type="paragraph" w:customStyle="1" w:styleId="16">
    <w:name w:val="WPSOffice手动目录 1"/>
    <w:autoRedefine/>
    <w:qFormat/>
    <w:uiPriority w:val="0"/>
    <w:rPr>
      <w:rFonts w:ascii="Calibri" w:hAnsi="Calibri" w:eastAsia="宋体" w:cs="Times New Roman"/>
      <w:lang w:val="en-US" w:eastAsia="zh-CN" w:bidi="ar-SA"/>
    </w:rPr>
  </w:style>
  <w:style w:type="paragraph" w:customStyle="1" w:styleId="17">
    <w:name w:val="WPSOffice手动目录 2"/>
    <w:autoRedefine/>
    <w:qFormat/>
    <w:uiPriority w:val="0"/>
    <w:pPr>
      <w:ind w:left="200" w:left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4803</Words>
  <Characters>5146</Characters>
  <Lines>46</Lines>
  <Paragraphs>13</Paragraphs>
  <TotalTime>9</TotalTime>
  <ScaleCrop>false</ScaleCrop>
  <LinksUpToDate>false</LinksUpToDate>
  <CharactersWithSpaces>5253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魏世燕</cp:lastModifiedBy>
  <cp:lastPrinted>2025-01-22T01:58:00Z</cp:lastPrinted>
  <dcterms:modified xsi:type="dcterms:W3CDTF">2025-01-26T01:39:19Z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5BD32FDA342E405CB15705A7448CD78C_12</vt:lpwstr>
  </property>
  <property fmtid="{D5CDD505-2E9C-101B-9397-08002B2CF9AE}" pid="4" name="KSOTemplateDocerSaveRecord">
    <vt:lpwstr>eyJoZGlkIjoiYjE2ZDUxNTQ3YWZhMzk5MjJmZWFiMDY1YmRkOTg3NzMiLCJ1c2VySWQiOiIxNjYyOTUxMzU0In0=</vt:lpwstr>
  </property>
</Properties>
</file>