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C50E">
      <w:pPr>
        <w:ind w:firstLine="412" w:firstLineChars="100"/>
        <w:jc w:val="center"/>
        <w:rPr>
          <w:rStyle w:val="14"/>
          <w:rFonts w:hint="eastAsia" w:ascii="ˎ̥" w:hAnsi="ˎ̥" w:eastAsia="宋体"/>
          <w:b/>
          <w:bCs/>
          <w:color w:val="000000"/>
          <w:sz w:val="41"/>
          <w:szCs w:val="41"/>
          <w:lang w:eastAsia="zh-CN"/>
        </w:rPr>
      </w:pPr>
      <w:r>
        <w:rPr>
          <w:rStyle w:val="14"/>
          <w:rFonts w:hint="eastAsia" w:ascii="ˎ̥" w:hAnsi="ˎ̥"/>
          <w:b/>
          <w:bCs/>
          <w:color w:val="000000"/>
          <w:sz w:val="41"/>
          <w:szCs w:val="41"/>
        </w:rPr>
        <w:t>德阳市罗江区</w:t>
      </w:r>
      <w:r>
        <w:rPr>
          <w:rStyle w:val="14"/>
          <w:rFonts w:hint="eastAsia" w:ascii="ˎ̥" w:hAnsi="ˎ̥"/>
          <w:b/>
          <w:bCs/>
          <w:color w:val="000000"/>
          <w:sz w:val="41"/>
          <w:szCs w:val="41"/>
          <w:lang w:eastAsia="zh-CN"/>
        </w:rPr>
        <w:t>红十字会</w:t>
      </w:r>
    </w:p>
    <w:p w14:paraId="02664673">
      <w:pPr>
        <w:ind w:firstLine="412" w:firstLineChars="100"/>
        <w:jc w:val="center"/>
        <w:rPr>
          <w:rStyle w:val="14"/>
          <w:rFonts w:ascii="ˎ̥" w:hAnsi="ˎ̥"/>
          <w:b/>
          <w:bCs/>
          <w:color w:val="000000"/>
          <w:sz w:val="41"/>
          <w:szCs w:val="41"/>
        </w:rPr>
      </w:pPr>
      <w:r>
        <w:rPr>
          <w:rStyle w:val="14"/>
          <w:rFonts w:ascii="ˎ̥" w:hAnsi="ˎ̥"/>
          <w:b/>
          <w:bCs/>
          <w:color w:val="000000"/>
          <w:sz w:val="41"/>
          <w:szCs w:val="41"/>
        </w:rPr>
        <w:t>20</w:t>
      </w:r>
      <w:r>
        <w:rPr>
          <w:rStyle w:val="14"/>
          <w:rFonts w:hint="eastAsia" w:ascii="ˎ̥" w:hAnsi="ˎ̥"/>
          <w:b/>
          <w:bCs/>
          <w:color w:val="000000"/>
          <w:sz w:val="41"/>
          <w:szCs w:val="41"/>
          <w:lang w:val="en-US" w:eastAsia="zh-CN"/>
        </w:rPr>
        <w:t>25</w:t>
      </w:r>
      <w:r>
        <w:rPr>
          <w:rStyle w:val="14"/>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65083"/>
        <w15:color w:val="DBDBDB"/>
        <w:docPartObj>
          <w:docPartGallery w:val="Table of Contents"/>
          <w:docPartUnique/>
        </w:docPartObj>
      </w:sdtPr>
      <w:sdtEndPr>
        <w:rPr>
          <w:rFonts w:hint="eastAsia" w:ascii="宋体" w:hAnsi="Times New Roman" w:eastAsia="仿宋_GB2312" w:cs="Times New Roman"/>
          <w:b/>
          <w:kern w:val="2"/>
          <w:sz w:val="30"/>
          <w:szCs w:val="24"/>
          <w:lang w:val="en-US" w:eastAsia="zh-CN" w:bidi="ar-SA"/>
        </w:rPr>
      </w:sdtEndPr>
      <w:sdtContent>
        <w:p w14:paraId="692A1926">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5FAB371E">
          <w:pPr>
            <w:spacing w:before="0" w:beforeLines="0" w:after="0" w:afterLines="0" w:line="240" w:lineRule="auto"/>
            <w:ind w:left="0" w:leftChars="0" w:right="0" w:rightChars="0" w:firstLine="0" w:firstLineChars="0"/>
            <w:jc w:val="center"/>
            <w:rPr>
              <w:sz w:val="21"/>
              <w:szCs w:val="21"/>
            </w:rPr>
          </w:pPr>
          <w:r>
            <w:rPr>
              <w:rFonts w:ascii="宋体" w:hAnsi="宋体" w:eastAsia="宋体"/>
              <w:sz w:val="21"/>
              <w:szCs w:val="21"/>
            </w:rPr>
            <w:t>目录</w:t>
          </w:r>
        </w:p>
        <w:p w14:paraId="48A68AC4">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TOC \o "1-2" \h \u </w:instrText>
          </w:r>
          <w:r>
            <w:rPr>
              <w:rFonts w:hint="eastAsia"/>
              <w:sz w:val="21"/>
              <w:szCs w:val="21"/>
            </w:rPr>
            <w:fldChar w:fldCharType="separate"/>
          </w:r>
          <w:r>
            <w:rPr>
              <w:rFonts w:hint="eastAsia"/>
              <w:sz w:val="21"/>
              <w:szCs w:val="21"/>
            </w:rPr>
            <w:fldChar w:fldCharType="begin"/>
          </w:r>
          <w:r>
            <w:rPr>
              <w:rFonts w:hint="eastAsia"/>
              <w:sz w:val="21"/>
              <w:szCs w:val="21"/>
            </w:rPr>
            <w:instrText xml:space="preserve"> HYPERLINK \l _Toc18307 </w:instrText>
          </w:r>
          <w:r>
            <w:rPr>
              <w:rFonts w:hint="eastAsia"/>
              <w:sz w:val="21"/>
              <w:szCs w:val="21"/>
            </w:rPr>
            <w:fldChar w:fldCharType="separate"/>
          </w:r>
          <w:r>
            <w:rPr>
              <w:rFonts w:hint="eastAsia" w:ascii="黑体" w:hAnsi="黑体" w:eastAsia="黑体" w:cs="黑体"/>
              <w:sz w:val="21"/>
              <w:szCs w:val="21"/>
            </w:rPr>
            <w:t>一、基本职能及主要工作</w:t>
          </w:r>
          <w:r>
            <w:rPr>
              <w:sz w:val="21"/>
              <w:szCs w:val="21"/>
            </w:rPr>
            <w:tab/>
          </w:r>
          <w:r>
            <w:rPr>
              <w:sz w:val="21"/>
              <w:szCs w:val="21"/>
            </w:rPr>
            <w:fldChar w:fldCharType="begin"/>
          </w:r>
          <w:r>
            <w:rPr>
              <w:sz w:val="21"/>
              <w:szCs w:val="21"/>
            </w:rPr>
            <w:instrText xml:space="preserve"> PAGEREF _Toc18307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14:paraId="5B360538">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_Toc10533 </w:instrText>
          </w:r>
          <w:r>
            <w:rPr>
              <w:rFonts w:hint="eastAsia"/>
              <w:sz w:val="21"/>
              <w:szCs w:val="21"/>
            </w:rPr>
            <w:fldChar w:fldCharType="separate"/>
          </w:r>
          <w:r>
            <w:rPr>
              <w:rFonts w:hint="eastAsia" w:ascii="楷体_GB2312" w:hAnsi="楷体_GB2312" w:eastAsia="楷体_GB2312" w:cs="楷体_GB2312"/>
              <w:bCs/>
              <w:sz w:val="21"/>
              <w:szCs w:val="21"/>
            </w:rPr>
            <w:t>（一）</w:t>
          </w:r>
          <w:r>
            <w:rPr>
              <w:rFonts w:hint="eastAsia" w:ascii="楷体_GB2312" w:hAnsi="楷体_GB2312" w:eastAsia="楷体_GB2312" w:cs="楷体_GB2312"/>
              <w:bCs/>
              <w:sz w:val="21"/>
              <w:szCs w:val="21"/>
              <w:lang w:eastAsia="zh-CN"/>
            </w:rPr>
            <w:t>红十字会</w:t>
          </w:r>
          <w:r>
            <w:rPr>
              <w:rFonts w:hint="eastAsia" w:ascii="楷体_GB2312" w:hAnsi="楷体_GB2312" w:eastAsia="楷体_GB2312" w:cs="楷体_GB2312"/>
              <w:bCs/>
              <w:sz w:val="21"/>
              <w:szCs w:val="21"/>
            </w:rPr>
            <w:t>机构设置及主要职责</w:t>
          </w:r>
          <w:r>
            <w:rPr>
              <w:sz w:val="21"/>
              <w:szCs w:val="21"/>
            </w:rPr>
            <w:tab/>
          </w:r>
          <w:r>
            <w:rPr>
              <w:sz w:val="21"/>
              <w:szCs w:val="21"/>
            </w:rPr>
            <w:fldChar w:fldCharType="begin"/>
          </w:r>
          <w:r>
            <w:rPr>
              <w:sz w:val="21"/>
              <w:szCs w:val="21"/>
            </w:rPr>
            <w:instrText xml:space="preserve"> PAGEREF _Toc10533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14:paraId="11BB8F86">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_Toc14239 </w:instrText>
          </w:r>
          <w:r>
            <w:rPr>
              <w:rFonts w:hint="eastAsia"/>
              <w:sz w:val="21"/>
              <w:szCs w:val="21"/>
            </w:rPr>
            <w:fldChar w:fldCharType="separate"/>
          </w:r>
          <w:r>
            <w:rPr>
              <w:rFonts w:hint="eastAsia" w:ascii="楷体_GB2312" w:hAnsi="楷体_GB2312" w:eastAsia="楷体_GB2312" w:cs="楷体_GB2312"/>
              <w:bCs/>
              <w:sz w:val="21"/>
              <w:szCs w:val="21"/>
            </w:rPr>
            <w:t>（二）</w:t>
          </w:r>
          <w:r>
            <w:rPr>
              <w:rFonts w:hint="eastAsia" w:ascii="楷体_GB2312" w:hAnsi="楷体_GB2312" w:eastAsia="楷体_GB2312" w:cs="楷体_GB2312"/>
              <w:bCs/>
              <w:sz w:val="21"/>
              <w:szCs w:val="21"/>
              <w:lang w:eastAsia="zh-CN"/>
            </w:rPr>
            <w:t>红十字会</w:t>
          </w:r>
          <w:r>
            <w:rPr>
              <w:rFonts w:hint="eastAsia" w:ascii="楷体_GB2312" w:hAnsi="楷体_GB2312" w:eastAsia="楷体_GB2312" w:cs="楷体_GB2312"/>
              <w:bCs/>
              <w:sz w:val="21"/>
              <w:szCs w:val="21"/>
            </w:rPr>
            <w:t>20</w:t>
          </w:r>
          <w:r>
            <w:rPr>
              <w:rFonts w:hint="eastAsia" w:ascii="楷体_GB2312" w:hAnsi="楷体_GB2312" w:eastAsia="楷体_GB2312" w:cs="楷体_GB2312"/>
              <w:bCs/>
              <w:sz w:val="21"/>
              <w:szCs w:val="21"/>
              <w:lang w:val="en-US" w:eastAsia="zh-CN"/>
            </w:rPr>
            <w:t>25</w:t>
          </w:r>
          <w:r>
            <w:rPr>
              <w:rFonts w:hint="eastAsia" w:ascii="楷体_GB2312" w:hAnsi="楷体_GB2312" w:eastAsia="楷体_GB2312" w:cs="楷体_GB2312"/>
              <w:bCs/>
              <w:sz w:val="21"/>
              <w:szCs w:val="21"/>
            </w:rPr>
            <w:t>年重点工作</w:t>
          </w:r>
          <w:r>
            <w:rPr>
              <w:sz w:val="21"/>
              <w:szCs w:val="21"/>
            </w:rPr>
            <w:tab/>
          </w:r>
          <w:r>
            <w:rPr>
              <w:sz w:val="21"/>
              <w:szCs w:val="21"/>
            </w:rPr>
            <w:fldChar w:fldCharType="begin"/>
          </w:r>
          <w:r>
            <w:rPr>
              <w:sz w:val="21"/>
              <w:szCs w:val="21"/>
            </w:rPr>
            <w:instrText xml:space="preserve"> PAGEREF _Toc14239 \h </w:instrText>
          </w:r>
          <w:r>
            <w:rPr>
              <w:sz w:val="21"/>
              <w:szCs w:val="21"/>
            </w:rPr>
            <w:fldChar w:fldCharType="separate"/>
          </w:r>
          <w:r>
            <w:rPr>
              <w:sz w:val="21"/>
              <w:szCs w:val="21"/>
            </w:rPr>
            <w:t>3</w:t>
          </w:r>
          <w:r>
            <w:rPr>
              <w:sz w:val="21"/>
              <w:szCs w:val="21"/>
            </w:rPr>
            <w:fldChar w:fldCharType="end"/>
          </w:r>
          <w:r>
            <w:rPr>
              <w:rFonts w:hint="eastAsia"/>
              <w:sz w:val="21"/>
              <w:szCs w:val="21"/>
            </w:rPr>
            <w:fldChar w:fldCharType="end"/>
          </w:r>
        </w:p>
        <w:p w14:paraId="3EBE0C2A">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_Toc20484 </w:instrText>
          </w:r>
          <w:r>
            <w:rPr>
              <w:rFonts w:hint="eastAsia"/>
              <w:sz w:val="21"/>
              <w:szCs w:val="21"/>
            </w:rPr>
            <w:fldChar w:fldCharType="separate"/>
          </w:r>
          <w:r>
            <w:rPr>
              <w:rFonts w:hint="eastAsia" w:ascii="黑体" w:hAnsi="黑体" w:eastAsia="黑体" w:cs="黑体"/>
              <w:sz w:val="21"/>
              <w:szCs w:val="21"/>
            </w:rPr>
            <w:t>二、部门预算单位构成</w:t>
          </w:r>
          <w:r>
            <w:rPr>
              <w:sz w:val="21"/>
              <w:szCs w:val="21"/>
            </w:rPr>
            <w:tab/>
          </w:r>
          <w:r>
            <w:rPr>
              <w:sz w:val="21"/>
              <w:szCs w:val="21"/>
            </w:rPr>
            <w:fldChar w:fldCharType="begin"/>
          </w:r>
          <w:r>
            <w:rPr>
              <w:sz w:val="21"/>
              <w:szCs w:val="21"/>
            </w:rPr>
            <w:instrText xml:space="preserve"> PAGEREF _Toc20484 \h </w:instrText>
          </w:r>
          <w:r>
            <w:rPr>
              <w:sz w:val="21"/>
              <w:szCs w:val="21"/>
            </w:rPr>
            <w:fldChar w:fldCharType="separate"/>
          </w:r>
          <w:r>
            <w:rPr>
              <w:sz w:val="21"/>
              <w:szCs w:val="21"/>
            </w:rPr>
            <w:t>3</w:t>
          </w:r>
          <w:r>
            <w:rPr>
              <w:sz w:val="21"/>
              <w:szCs w:val="21"/>
            </w:rPr>
            <w:fldChar w:fldCharType="end"/>
          </w:r>
          <w:r>
            <w:rPr>
              <w:rFonts w:hint="eastAsia"/>
              <w:sz w:val="21"/>
              <w:szCs w:val="21"/>
            </w:rPr>
            <w:fldChar w:fldCharType="end"/>
          </w:r>
        </w:p>
        <w:p w14:paraId="76B4221D">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_Toc24971 </w:instrText>
          </w:r>
          <w:r>
            <w:rPr>
              <w:rFonts w:hint="eastAsia"/>
              <w:sz w:val="21"/>
              <w:szCs w:val="21"/>
            </w:rPr>
            <w:fldChar w:fldCharType="separate"/>
          </w:r>
          <w:r>
            <w:rPr>
              <w:rFonts w:hint="eastAsia" w:ascii="黑体" w:hAnsi="黑体" w:eastAsia="黑体" w:cs="黑体"/>
              <w:sz w:val="21"/>
              <w:szCs w:val="21"/>
            </w:rPr>
            <w:t>三、收支预算增减变化情况说明</w:t>
          </w:r>
          <w:r>
            <w:rPr>
              <w:sz w:val="21"/>
              <w:szCs w:val="21"/>
            </w:rPr>
            <w:tab/>
          </w:r>
          <w:r>
            <w:rPr>
              <w:sz w:val="21"/>
              <w:szCs w:val="21"/>
            </w:rPr>
            <w:fldChar w:fldCharType="begin"/>
          </w:r>
          <w:r>
            <w:rPr>
              <w:sz w:val="21"/>
              <w:szCs w:val="21"/>
            </w:rPr>
            <w:instrText xml:space="preserve"> PAGEREF _Toc24971 \h </w:instrText>
          </w:r>
          <w:r>
            <w:rPr>
              <w:sz w:val="21"/>
              <w:szCs w:val="21"/>
            </w:rPr>
            <w:fldChar w:fldCharType="separate"/>
          </w:r>
          <w:r>
            <w:rPr>
              <w:sz w:val="21"/>
              <w:szCs w:val="21"/>
            </w:rPr>
            <w:t>4</w:t>
          </w:r>
          <w:r>
            <w:rPr>
              <w:sz w:val="21"/>
              <w:szCs w:val="21"/>
            </w:rPr>
            <w:fldChar w:fldCharType="end"/>
          </w:r>
          <w:r>
            <w:rPr>
              <w:rFonts w:hint="eastAsia"/>
              <w:sz w:val="21"/>
              <w:szCs w:val="21"/>
            </w:rPr>
            <w:fldChar w:fldCharType="end"/>
          </w:r>
        </w:p>
        <w:p w14:paraId="558AED1E">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_Toc27208 </w:instrText>
          </w:r>
          <w:r>
            <w:rPr>
              <w:rFonts w:hint="eastAsia"/>
              <w:sz w:val="21"/>
              <w:szCs w:val="21"/>
            </w:rPr>
            <w:fldChar w:fldCharType="separate"/>
          </w:r>
          <w:r>
            <w:rPr>
              <w:rFonts w:hint="eastAsia" w:ascii="楷体_GB2312" w:hAnsi="楷体_GB2312" w:eastAsia="楷体_GB2312" w:cs="楷体_GB2312"/>
              <w:bCs/>
              <w:sz w:val="21"/>
              <w:szCs w:val="21"/>
            </w:rPr>
            <w:t>（一）收入预算情况</w:t>
          </w:r>
          <w:r>
            <w:rPr>
              <w:sz w:val="21"/>
              <w:szCs w:val="21"/>
            </w:rPr>
            <w:tab/>
          </w:r>
          <w:r>
            <w:rPr>
              <w:sz w:val="21"/>
              <w:szCs w:val="21"/>
            </w:rPr>
            <w:fldChar w:fldCharType="begin"/>
          </w:r>
          <w:r>
            <w:rPr>
              <w:sz w:val="21"/>
              <w:szCs w:val="21"/>
            </w:rPr>
            <w:instrText xml:space="preserve"> PAGEREF _Toc27208 \h </w:instrText>
          </w:r>
          <w:r>
            <w:rPr>
              <w:sz w:val="21"/>
              <w:szCs w:val="21"/>
            </w:rPr>
            <w:fldChar w:fldCharType="separate"/>
          </w:r>
          <w:r>
            <w:rPr>
              <w:sz w:val="21"/>
              <w:szCs w:val="21"/>
            </w:rPr>
            <w:t>4</w:t>
          </w:r>
          <w:r>
            <w:rPr>
              <w:sz w:val="21"/>
              <w:szCs w:val="21"/>
            </w:rPr>
            <w:fldChar w:fldCharType="end"/>
          </w:r>
          <w:r>
            <w:rPr>
              <w:rFonts w:hint="eastAsia"/>
              <w:sz w:val="21"/>
              <w:szCs w:val="21"/>
            </w:rPr>
            <w:fldChar w:fldCharType="end"/>
          </w:r>
        </w:p>
        <w:p w14:paraId="5AB11FCA">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_Toc28617 </w:instrText>
          </w:r>
          <w:r>
            <w:rPr>
              <w:rFonts w:hint="eastAsia"/>
              <w:sz w:val="21"/>
              <w:szCs w:val="21"/>
            </w:rPr>
            <w:fldChar w:fldCharType="separate"/>
          </w:r>
          <w:r>
            <w:rPr>
              <w:rFonts w:hint="eastAsia" w:ascii="楷体_GB2312" w:hAnsi="楷体_GB2312" w:eastAsia="楷体_GB2312" w:cs="楷体_GB2312"/>
              <w:bCs/>
              <w:sz w:val="21"/>
              <w:szCs w:val="21"/>
            </w:rPr>
            <w:t>（二）支出预算情况</w:t>
          </w:r>
          <w:r>
            <w:rPr>
              <w:sz w:val="21"/>
              <w:szCs w:val="21"/>
            </w:rPr>
            <w:tab/>
          </w:r>
          <w:r>
            <w:rPr>
              <w:sz w:val="21"/>
              <w:szCs w:val="21"/>
            </w:rPr>
            <w:fldChar w:fldCharType="begin"/>
          </w:r>
          <w:r>
            <w:rPr>
              <w:sz w:val="21"/>
              <w:szCs w:val="21"/>
            </w:rPr>
            <w:instrText xml:space="preserve"> PAGEREF _Toc28617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56A38205">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_Toc14600 </w:instrText>
          </w:r>
          <w:r>
            <w:rPr>
              <w:rFonts w:hint="eastAsia"/>
              <w:sz w:val="21"/>
              <w:szCs w:val="21"/>
            </w:rPr>
            <w:fldChar w:fldCharType="separate"/>
          </w:r>
          <w:r>
            <w:rPr>
              <w:rFonts w:hint="eastAsia" w:ascii="黑体" w:hAnsi="黑体" w:eastAsia="黑体" w:cs="黑体"/>
              <w:sz w:val="21"/>
              <w:szCs w:val="21"/>
            </w:rPr>
            <w:t>四、财政拨款收支预算情况说明</w:t>
          </w:r>
          <w:r>
            <w:rPr>
              <w:sz w:val="21"/>
              <w:szCs w:val="21"/>
            </w:rPr>
            <w:tab/>
          </w:r>
          <w:r>
            <w:rPr>
              <w:sz w:val="21"/>
              <w:szCs w:val="21"/>
            </w:rPr>
            <w:fldChar w:fldCharType="begin"/>
          </w:r>
          <w:r>
            <w:rPr>
              <w:sz w:val="21"/>
              <w:szCs w:val="21"/>
            </w:rPr>
            <w:instrText xml:space="preserve"> PAGEREF _Toc14600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638029C4">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_Toc25906 </w:instrText>
          </w:r>
          <w:r>
            <w:rPr>
              <w:rFonts w:hint="eastAsia"/>
              <w:sz w:val="21"/>
              <w:szCs w:val="21"/>
            </w:rPr>
            <w:fldChar w:fldCharType="separate"/>
          </w:r>
          <w:r>
            <w:rPr>
              <w:rFonts w:hint="eastAsia" w:ascii="黑体" w:hAnsi="黑体" w:eastAsia="黑体" w:cs="黑体"/>
              <w:sz w:val="21"/>
              <w:szCs w:val="21"/>
            </w:rPr>
            <w:t>五、一般公共预算当年拨款情况说明</w:t>
          </w:r>
          <w:r>
            <w:rPr>
              <w:sz w:val="21"/>
              <w:szCs w:val="21"/>
            </w:rPr>
            <w:tab/>
          </w:r>
          <w:r>
            <w:rPr>
              <w:sz w:val="21"/>
              <w:szCs w:val="21"/>
            </w:rPr>
            <w:fldChar w:fldCharType="begin"/>
          </w:r>
          <w:r>
            <w:rPr>
              <w:sz w:val="21"/>
              <w:szCs w:val="21"/>
            </w:rPr>
            <w:instrText xml:space="preserve"> PAGEREF _Toc25906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665B6F6D">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_Toc18805 </w:instrText>
          </w:r>
          <w:r>
            <w:rPr>
              <w:rFonts w:hint="eastAsia"/>
              <w:sz w:val="21"/>
              <w:szCs w:val="21"/>
            </w:rPr>
            <w:fldChar w:fldCharType="separate"/>
          </w:r>
          <w:r>
            <w:rPr>
              <w:rFonts w:hint="eastAsia" w:ascii="楷体_GB2312" w:hAnsi="楷体_GB2312" w:eastAsia="楷体_GB2312" w:cs="楷体_GB2312"/>
              <w:bCs/>
              <w:sz w:val="21"/>
              <w:szCs w:val="21"/>
            </w:rPr>
            <w:t>（一）一般公共预算当年拨款规模变化情况</w:t>
          </w:r>
          <w:r>
            <w:rPr>
              <w:sz w:val="21"/>
              <w:szCs w:val="21"/>
            </w:rPr>
            <w:tab/>
          </w:r>
          <w:r>
            <w:rPr>
              <w:sz w:val="21"/>
              <w:szCs w:val="21"/>
            </w:rPr>
            <w:fldChar w:fldCharType="begin"/>
          </w:r>
          <w:r>
            <w:rPr>
              <w:sz w:val="21"/>
              <w:szCs w:val="21"/>
            </w:rPr>
            <w:instrText xml:space="preserve"> PAGEREF _Toc18805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7BBB4D40">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_Toc8475 </w:instrText>
          </w:r>
          <w:r>
            <w:rPr>
              <w:rFonts w:hint="eastAsia"/>
              <w:sz w:val="21"/>
              <w:szCs w:val="21"/>
            </w:rPr>
            <w:fldChar w:fldCharType="separate"/>
          </w:r>
          <w:r>
            <w:rPr>
              <w:rFonts w:hint="eastAsia" w:ascii="仿宋_GB2312" w:hAnsi="仿宋_GB2312" w:eastAsia="仿宋_GB2312"/>
              <w:bCs/>
              <w:sz w:val="21"/>
              <w:szCs w:val="21"/>
            </w:rPr>
            <w:t>（二）一般公共预算当年拨款结构情况(按照功能科目类写)</w:t>
          </w:r>
          <w:r>
            <w:rPr>
              <w:sz w:val="21"/>
              <w:szCs w:val="21"/>
            </w:rPr>
            <w:tab/>
          </w:r>
          <w:r>
            <w:rPr>
              <w:sz w:val="21"/>
              <w:szCs w:val="21"/>
            </w:rPr>
            <w:fldChar w:fldCharType="begin"/>
          </w:r>
          <w:r>
            <w:rPr>
              <w:sz w:val="21"/>
              <w:szCs w:val="21"/>
            </w:rPr>
            <w:instrText xml:space="preserve"> PAGEREF _Toc8475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161118B4">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_Toc4297 </w:instrText>
          </w:r>
          <w:r>
            <w:rPr>
              <w:rFonts w:hint="eastAsia"/>
              <w:sz w:val="21"/>
              <w:szCs w:val="21"/>
            </w:rPr>
            <w:fldChar w:fldCharType="separate"/>
          </w:r>
          <w:r>
            <w:rPr>
              <w:rFonts w:hint="eastAsia" w:ascii="楷体_GB2312" w:hAnsi="楷体_GB2312" w:eastAsia="楷体_GB2312" w:cs="楷体_GB2312"/>
              <w:bCs/>
              <w:sz w:val="21"/>
              <w:szCs w:val="21"/>
            </w:rPr>
            <w:t>（三）一般公共预算当年拨款具体使用情况（按功能科目类款项写）</w:t>
          </w:r>
          <w:r>
            <w:rPr>
              <w:sz w:val="21"/>
              <w:szCs w:val="21"/>
            </w:rPr>
            <w:tab/>
          </w:r>
          <w:r>
            <w:rPr>
              <w:sz w:val="21"/>
              <w:szCs w:val="21"/>
            </w:rPr>
            <w:fldChar w:fldCharType="begin"/>
          </w:r>
          <w:r>
            <w:rPr>
              <w:sz w:val="21"/>
              <w:szCs w:val="21"/>
            </w:rPr>
            <w:instrText xml:space="preserve"> PAGEREF _Toc4297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14:paraId="0066B4B3">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_Toc4624 </w:instrText>
          </w:r>
          <w:r>
            <w:rPr>
              <w:rFonts w:hint="eastAsia"/>
              <w:sz w:val="21"/>
              <w:szCs w:val="21"/>
            </w:rPr>
            <w:fldChar w:fldCharType="separate"/>
          </w:r>
          <w:r>
            <w:rPr>
              <w:rFonts w:hint="eastAsia" w:ascii="黑体" w:hAnsi="黑体" w:eastAsia="黑体" w:cs="黑体"/>
              <w:sz w:val="21"/>
              <w:szCs w:val="21"/>
            </w:rPr>
            <w:t>六、一般公共预算基本支出情况说明</w:t>
          </w:r>
          <w:r>
            <w:rPr>
              <w:sz w:val="21"/>
              <w:szCs w:val="21"/>
            </w:rPr>
            <w:tab/>
          </w:r>
          <w:r>
            <w:rPr>
              <w:sz w:val="21"/>
              <w:szCs w:val="21"/>
            </w:rPr>
            <w:fldChar w:fldCharType="begin"/>
          </w:r>
          <w:r>
            <w:rPr>
              <w:sz w:val="21"/>
              <w:szCs w:val="21"/>
            </w:rPr>
            <w:instrText xml:space="preserve"> PAGEREF _Toc4624 \h </w:instrText>
          </w:r>
          <w:r>
            <w:rPr>
              <w:sz w:val="21"/>
              <w:szCs w:val="21"/>
            </w:rPr>
            <w:fldChar w:fldCharType="separate"/>
          </w:r>
          <w:r>
            <w:rPr>
              <w:sz w:val="21"/>
              <w:szCs w:val="21"/>
            </w:rPr>
            <w:t>7</w:t>
          </w:r>
          <w:r>
            <w:rPr>
              <w:sz w:val="21"/>
              <w:szCs w:val="21"/>
            </w:rPr>
            <w:fldChar w:fldCharType="end"/>
          </w:r>
          <w:r>
            <w:rPr>
              <w:rFonts w:hint="eastAsia"/>
              <w:sz w:val="21"/>
              <w:szCs w:val="21"/>
            </w:rPr>
            <w:fldChar w:fldCharType="end"/>
          </w:r>
        </w:p>
        <w:p w14:paraId="4BEE1FC7">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_Toc16565 </w:instrText>
          </w:r>
          <w:r>
            <w:rPr>
              <w:rFonts w:hint="eastAsia"/>
              <w:sz w:val="21"/>
              <w:szCs w:val="21"/>
            </w:rPr>
            <w:fldChar w:fldCharType="separate"/>
          </w:r>
          <w:r>
            <w:rPr>
              <w:rFonts w:hint="eastAsia" w:ascii="黑体" w:hAnsi="黑体" w:eastAsia="黑体" w:cs="黑体"/>
              <w:sz w:val="21"/>
              <w:szCs w:val="21"/>
            </w:rPr>
            <w:t>七、“三公”经费财政拨款预算安排情况说明</w:t>
          </w:r>
          <w:r>
            <w:rPr>
              <w:sz w:val="21"/>
              <w:szCs w:val="21"/>
            </w:rPr>
            <w:tab/>
          </w:r>
          <w:r>
            <w:rPr>
              <w:sz w:val="21"/>
              <w:szCs w:val="21"/>
            </w:rPr>
            <w:fldChar w:fldCharType="begin"/>
          </w:r>
          <w:r>
            <w:rPr>
              <w:sz w:val="21"/>
              <w:szCs w:val="21"/>
            </w:rPr>
            <w:instrText xml:space="preserve"> PAGEREF _Toc16565 \h </w:instrText>
          </w:r>
          <w:r>
            <w:rPr>
              <w:sz w:val="21"/>
              <w:szCs w:val="21"/>
            </w:rPr>
            <w:fldChar w:fldCharType="separate"/>
          </w:r>
          <w:r>
            <w:rPr>
              <w:sz w:val="21"/>
              <w:szCs w:val="21"/>
            </w:rPr>
            <w:t>7</w:t>
          </w:r>
          <w:r>
            <w:rPr>
              <w:sz w:val="21"/>
              <w:szCs w:val="21"/>
            </w:rPr>
            <w:fldChar w:fldCharType="end"/>
          </w:r>
          <w:r>
            <w:rPr>
              <w:rFonts w:hint="eastAsia"/>
              <w:sz w:val="21"/>
              <w:szCs w:val="21"/>
            </w:rPr>
            <w:fldChar w:fldCharType="end"/>
          </w:r>
        </w:p>
        <w:p w14:paraId="70AA2D58">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_Toc29450 </w:instrText>
          </w:r>
          <w:r>
            <w:rPr>
              <w:rFonts w:hint="eastAsia"/>
              <w:sz w:val="21"/>
              <w:szCs w:val="21"/>
            </w:rPr>
            <w:fldChar w:fldCharType="separate"/>
          </w:r>
          <w:r>
            <w:rPr>
              <w:rFonts w:hint="eastAsia" w:ascii="黑体" w:hAnsi="黑体" w:eastAsia="黑体" w:cs="黑体"/>
              <w:bCs w:val="0"/>
              <w:sz w:val="21"/>
              <w:szCs w:val="21"/>
            </w:rPr>
            <w:t>八、政府性基金预算收支情况说明</w:t>
          </w:r>
          <w:r>
            <w:rPr>
              <w:sz w:val="21"/>
              <w:szCs w:val="21"/>
            </w:rPr>
            <w:tab/>
          </w:r>
          <w:r>
            <w:rPr>
              <w:sz w:val="21"/>
              <w:szCs w:val="21"/>
            </w:rPr>
            <w:fldChar w:fldCharType="begin"/>
          </w:r>
          <w:r>
            <w:rPr>
              <w:sz w:val="21"/>
              <w:szCs w:val="21"/>
            </w:rPr>
            <w:instrText xml:space="preserve"> PAGEREF _Toc29450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370EED94">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_Toc24624 </w:instrText>
          </w:r>
          <w:r>
            <w:rPr>
              <w:rFonts w:hint="eastAsia"/>
              <w:sz w:val="21"/>
              <w:szCs w:val="21"/>
            </w:rPr>
            <w:fldChar w:fldCharType="separate"/>
          </w:r>
          <w:r>
            <w:rPr>
              <w:rFonts w:hint="eastAsia" w:ascii="黑体" w:hAnsi="黑体" w:eastAsia="黑体" w:cs="黑体"/>
              <w:sz w:val="21"/>
              <w:szCs w:val="21"/>
            </w:rPr>
            <w:t>九、国有资本经营预算支出情况说明</w:t>
          </w:r>
          <w:r>
            <w:rPr>
              <w:sz w:val="21"/>
              <w:szCs w:val="21"/>
            </w:rPr>
            <w:tab/>
          </w:r>
          <w:r>
            <w:rPr>
              <w:sz w:val="21"/>
              <w:szCs w:val="21"/>
            </w:rPr>
            <w:fldChar w:fldCharType="begin"/>
          </w:r>
          <w:r>
            <w:rPr>
              <w:sz w:val="21"/>
              <w:szCs w:val="21"/>
            </w:rPr>
            <w:instrText xml:space="preserve"> PAGEREF _Toc24624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25FE5379">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_Toc3963 </w:instrText>
          </w:r>
          <w:r>
            <w:rPr>
              <w:rFonts w:hint="eastAsia"/>
              <w:sz w:val="21"/>
              <w:szCs w:val="21"/>
            </w:rPr>
            <w:fldChar w:fldCharType="separate"/>
          </w:r>
          <w:r>
            <w:rPr>
              <w:rFonts w:hint="eastAsia" w:ascii="黑体" w:hAnsi="黑体" w:eastAsia="黑体" w:cs="黑体"/>
              <w:sz w:val="21"/>
              <w:szCs w:val="21"/>
            </w:rPr>
            <w:t>十、其他重要事项的情况说明</w:t>
          </w:r>
          <w:r>
            <w:rPr>
              <w:sz w:val="21"/>
              <w:szCs w:val="21"/>
            </w:rPr>
            <w:tab/>
          </w:r>
          <w:r>
            <w:rPr>
              <w:sz w:val="21"/>
              <w:szCs w:val="21"/>
            </w:rPr>
            <w:fldChar w:fldCharType="begin"/>
          </w:r>
          <w:r>
            <w:rPr>
              <w:sz w:val="21"/>
              <w:szCs w:val="21"/>
            </w:rPr>
            <w:instrText xml:space="preserve"> PAGEREF _Toc3963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255E6B9A">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_Toc21466 </w:instrText>
          </w:r>
          <w:r>
            <w:rPr>
              <w:rFonts w:hint="eastAsia"/>
              <w:sz w:val="21"/>
              <w:szCs w:val="21"/>
            </w:rPr>
            <w:fldChar w:fldCharType="separate"/>
          </w:r>
          <w:r>
            <w:rPr>
              <w:rFonts w:hint="eastAsia" w:ascii="仿宋_GB2312" w:hAnsi="仿宋_GB2312" w:eastAsia="仿宋_GB2312"/>
              <w:sz w:val="21"/>
              <w:szCs w:val="21"/>
            </w:rPr>
            <w:t>（一）机关运行经费</w:t>
          </w:r>
          <w:r>
            <w:rPr>
              <w:sz w:val="21"/>
              <w:szCs w:val="21"/>
            </w:rPr>
            <w:tab/>
          </w:r>
          <w:r>
            <w:rPr>
              <w:sz w:val="21"/>
              <w:szCs w:val="21"/>
            </w:rPr>
            <w:fldChar w:fldCharType="begin"/>
          </w:r>
          <w:r>
            <w:rPr>
              <w:sz w:val="21"/>
              <w:szCs w:val="21"/>
            </w:rPr>
            <w:instrText xml:space="preserve"> PAGEREF _Toc21466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418CB5DB">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_Toc11438 </w:instrText>
          </w:r>
          <w:r>
            <w:rPr>
              <w:rFonts w:hint="eastAsia"/>
              <w:sz w:val="21"/>
              <w:szCs w:val="21"/>
            </w:rPr>
            <w:fldChar w:fldCharType="separate"/>
          </w:r>
          <w:r>
            <w:rPr>
              <w:rFonts w:hint="eastAsia" w:ascii="仿宋_GB2312" w:hAnsi="仿宋_GB2312" w:eastAsia="仿宋_GB2312"/>
              <w:sz w:val="21"/>
              <w:szCs w:val="21"/>
            </w:rPr>
            <w:t>（二）政府采购情况</w:t>
          </w:r>
          <w:r>
            <w:rPr>
              <w:sz w:val="21"/>
              <w:szCs w:val="21"/>
            </w:rPr>
            <w:tab/>
          </w:r>
          <w:r>
            <w:rPr>
              <w:sz w:val="21"/>
              <w:szCs w:val="21"/>
            </w:rPr>
            <w:fldChar w:fldCharType="begin"/>
          </w:r>
          <w:r>
            <w:rPr>
              <w:sz w:val="21"/>
              <w:szCs w:val="21"/>
            </w:rPr>
            <w:instrText xml:space="preserve"> PAGEREF _Toc11438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57E07B93">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_Toc6731 </w:instrText>
          </w:r>
          <w:r>
            <w:rPr>
              <w:rFonts w:hint="eastAsia"/>
              <w:sz w:val="21"/>
              <w:szCs w:val="21"/>
            </w:rPr>
            <w:fldChar w:fldCharType="separate"/>
          </w:r>
          <w:r>
            <w:rPr>
              <w:rFonts w:hint="eastAsia" w:ascii="仿宋_GB2312" w:hAnsi="仿宋_GB2312" w:eastAsia="仿宋_GB2312"/>
              <w:sz w:val="21"/>
              <w:szCs w:val="21"/>
            </w:rPr>
            <w:t>（三）国有资产占有使用情况</w:t>
          </w:r>
          <w:r>
            <w:rPr>
              <w:sz w:val="21"/>
              <w:szCs w:val="21"/>
            </w:rPr>
            <w:tab/>
          </w:r>
          <w:r>
            <w:rPr>
              <w:sz w:val="21"/>
              <w:szCs w:val="21"/>
            </w:rPr>
            <w:fldChar w:fldCharType="begin"/>
          </w:r>
          <w:r>
            <w:rPr>
              <w:sz w:val="21"/>
              <w:szCs w:val="21"/>
            </w:rPr>
            <w:instrText xml:space="preserve"> PAGEREF _Toc6731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78C0613D">
          <w:pPr>
            <w:pStyle w:val="10"/>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_Toc27477 </w:instrText>
          </w:r>
          <w:r>
            <w:rPr>
              <w:rFonts w:hint="eastAsia"/>
              <w:sz w:val="21"/>
              <w:szCs w:val="21"/>
            </w:rPr>
            <w:fldChar w:fldCharType="separate"/>
          </w:r>
          <w:r>
            <w:rPr>
              <w:rFonts w:hint="eastAsia" w:ascii="仿宋_GB2312" w:hAnsi="仿宋_GB2312" w:eastAsia="仿宋_GB2312"/>
              <w:sz w:val="21"/>
              <w:szCs w:val="21"/>
            </w:rPr>
            <w:t>（四）绩效目标设置情况</w:t>
          </w:r>
          <w:r>
            <w:rPr>
              <w:sz w:val="21"/>
              <w:szCs w:val="21"/>
            </w:rPr>
            <w:tab/>
          </w:r>
          <w:r>
            <w:rPr>
              <w:sz w:val="21"/>
              <w:szCs w:val="21"/>
            </w:rPr>
            <w:fldChar w:fldCharType="begin"/>
          </w:r>
          <w:r>
            <w:rPr>
              <w:sz w:val="21"/>
              <w:szCs w:val="21"/>
            </w:rPr>
            <w:instrText xml:space="preserve"> PAGEREF _Toc27477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064B2AEA">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_Toc25607 </w:instrText>
          </w:r>
          <w:r>
            <w:rPr>
              <w:rFonts w:hint="eastAsia"/>
              <w:sz w:val="21"/>
              <w:szCs w:val="21"/>
            </w:rPr>
            <w:fldChar w:fldCharType="separate"/>
          </w:r>
          <w:r>
            <w:rPr>
              <w:rFonts w:hint="eastAsia" w:ascii="仿宋_GB2312" w:hAnsi="仿宋_GB2312" w:eastAsia="仿宋_GB2312"/>
              <w:sz w:val="21"/>
              <w:szCs w:val="21"/>
            </w:rPr>
            <w:t>十</w:t>
          </w:r>
          <w:r>
            <w:rPr>
              <w:rFonts w:hint="eastAsia" w:ascii="仿宋_GB2312" w:hAnsi="仿宋_GB2312" w:eastAsia="仿宋_GB2312"/>
              <w:sz w:val="21"/>
              <w:szCs w:val="21"/>
              <w:lang w:eastAsia="zh-CN"/>
            </w:rPr>
            <w:t>一</w:t>
          </w:r>
          <w:r>
            <w:rPr>
              <w:rFonts w:hint="eastAsia" w:ascii="仿宋_GB2312" w:hAnsi="仿宋_GB2312" w:eastAsia="仿宋_GB2312"/>
              <w:sz w:val="21"/>
              <w:szCs w:val="21"/>
            </w:rPr>
            <w:t>、名词解释</w:t>
          </w:r>
          <w:r>
            <w:rPr>
              <w:sz w:val="21"/>
              <w:szCs w:val="21"/>
            </w:rPr>
            <w:tab/>
          </w:r>
          <w:r>
            <w:rPr>
              <w:sz w:val="21"/>
              <w:szCs w:val="21"/>
            </w:rPr>
            <w:fldChar w:fldCharType="begin"/>
          </w:r>
          <w:r>
            <w:rPr>
              <w:sz w:val="21"/>
              <w:szCs w:val="21"/>
            </w:rPr>
            <w:instrText xml:space="preserve"> PAGEREF _Toc25607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14:paraId="55BFA03F">
          <w:pPr>
            <w:pStyle w:val="11"/>
            <w:rPr>
              <w:rFonts w:hint="eastAsia"/>
            </w:rPr>
          </w:pPr>
          <w:r>
            <w:rPr>
              <w:rFonts w:hint="eastAsia"/>
              <w:sz w:val="21"/>
              <w:szCs w:val="21"/>
            </w:rPr>
            <w:fldChar w:fldCharType="end"/>
          </w:r>
        </w:p>
      </w:sdtContent>
    </w:sdt>
    <w:p w14:paraId="182E6521">
      <w:pPr>
        <w:ind w:firstLine="412" w:firstLineChars="100"/>
        <w:jc w:val="center"/>
        <w:rPr>
          <w:rStyle w:val="14"/>
          <w:rFonts w:hint="eastAsia" w:ascii="ˎ̥" w:hAnsi="ˎ̥"/>
          <w:b/>
          <w:bCs/>
          <w:color w:val="000000"/>
          <w:sz w:val="41"/>
          <w:szCs w:val="41"/>
        </w:rPr>
      </w:pPr>
    </w:p>
    <w:p w14:paraId="62AC3A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14:paraId="1661C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14:paraId="1C9503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14:paraId="52F91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14:paraId="46F214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sz w:val="32"/>
          <w:szCs w:val="32"/>
        </w:rPr>
      </w:pPr>
      <w:bookmarkStart w:id="0" w:name="_Toc18307"/>
      <w:r>
        <w:rPr>
          <w:rFonts w:hint="eastAsia" w:ascii="黑体" w:hAnsi="黑体" w:eastAsia="黑体" w:cs="黑体"/>
          <w:sz w:val="32"/>
          <w:szCs w:val="32"/>
        </w:rPr>
        <w:t>一、基本职能及主要工作</w:t>
      </w:r>
      <w:bookmarkEnd w:id="0"/>
    </w:p>
    <w:p w14:paraId="67E1140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 w:name="_Toc10533"/>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红十字会</w:t>
      </w:r>
      <w:r>
        <w:rPr>
          <w:rFonts w:hint="eastAsia" w:ascii="楷体_GB2312" w:hAnsi="楷体_GB2312" w:eastAsia="楷体_GB2312" w:cs="楷体_GB2312"/>
          <w:b/>
          <w:bCs/>
          <w:sz w:val="32"/>
          <w:szCs w:val="32"/>
        </w:rPr>
        <w:t>机构设置及主要职责</w:t>
      </w:r>
      <w:bookmarkEnd w:id="1"/>
    </w:p>
    <w:p w14:paraId="273684AB">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Times New Roman" w:hAnsi="Times New Roman" w:eastAsia="仿宋_GB2312"/>
          <w:sz w:val="32"/>
          <w:lang w:eastAsia="zh-CN"/>
        </w:rPr>
        <w:t>机构设置：</w:t>
      </w:r>
      <w:r>
        <w:rPr>
          <w:rFonts w:ascii="Times New Roman" w:hAnsi="Times New Roman" w:eastAsia="仿宋_GB2312"/>
          <w:sz w:val="32"/>
        </w:rPr>
        <w:t>区红十字会是中共德阳市罗江区委领导</w:t>
      </w:r>
      <w:r>
        <w:rPr>
          <w:rFonts w:hint="eastAsia" w:ascii="Times New Roman" w:hAnsi="Times New Roman" w:eastAsia="仿宋_GB2312"/>
          <w:sz w:val="32"/>
        </w:rPr>
        <w:t>下</w:t>
      </w:r>
      <w:r>
        <w:rPr>
          <w:rFonts w:ascii="Times New Roman" w:hAnsi="Times New Roman" w:eastAsia="仿宋_GB2312"/>
          <w:sz w:val="32"/>
        </w:rPr>
        <w:t>的群团组织，</w:t>
      </w:r>
      <w:r>
        <w:rPr>
          <w:rFonts w:hint="eastAsia" w:ascii="Times New Roman" w:hAnsi="Times New Roman" w:eastAsia="仿宋_GB2312"/>
          <w:sz w:val="32"/>
        </w:rPr>
        <w:t>是从事人道主义工作的社会救助团体，是区委、区政府在人道领域的助手和联系群众的桥梁纽带，</w:t>
      </w:r>
      <w:r>
        <w:rPr>
          <w:rFonts w:ascii="Times New Roman" w:hAnsi="Times New Roman" w:eastAsia="仿宋_GB2312"/>
          <w:sz w:val="32"/>
        </w:rPr>
        <w:t>级别</w:t>
      </w:r>
      <w:r>
        <w:rPr>
          <w:rFonts w:ascii="Times New Roman" w:hAnsi="Times New Roman" w:eastAsia="仿宋_GB2312"/>
          <w:sz w:val="32"/>
          <w:szCs w:val="32"/>
        </w:rPr>
        <w:t>为正科级。</w:t>
      </w:r>
      <w:r>
        <w:rPr>
          <w:rFonts w:hint="eastAsia" w:ascii="Times New Roman" w:hAnsi="Times New Roman" w:eastAsia="仿宋_GB2312"/>
          <w:sz w:val="32"/>
          <w:szCs w:val="32"/>
          <w:lang w:eastAsia="zh-CN"/>
        </w:rPr>
        <w:t>内设办公室、综合股。</w:t>
      </w:r>
    </w:p>
    <w:p w14:paraId="02AFF7BE">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主要职责：</w:t>
      </w:r>
    </w:p>
    <w:p w14:paraId="24D0FE35">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1.贯彻落实《中华人民共和国红十字会法》及我省有关法规，执行《中国红十字会章程》，制定并实施德阳市罗江区红十字事业发展规划。</w:t>
      </w:r>
    </w:p>
    <w:p w14:paraId="5F0EA1AE">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2.开展救援救灾相关工作，建立红十字应急救援体系，在自然灾害、事故灾难、公共卫生事件等突发事件中，向伤病人员和其他灾害者提供紧急救援和人道救助。</w:t>
      </w:r>
    </w:p>
    <w:p w14:paraId="0DE1D02B">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3.开展应急救护培训，普及应急救护、防灾避险和卫生健康知识，组织红十字志愿者参与现场救护。</w:t>
      </w:r>
    </w:p>
    <w:p w14:paraId="2089F1C1">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4.参与推动无偿献血、遗体和人体器官（组织）捐献工作，参与开展造血干细胞捐献的相关工作。开展禁毒防艾宣传和教育活动。</w:t>
      </w:r>
    </w:p>
    <w:p w14:paraId="51777061">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5.开展人道领域内的社会公益活动，参与基层社会治理，对特殊困难对象进行人道救助。参与或兴办医疗、康复、养老等红十字宗旨相符的社会公益事业。</w:t>
      </w:r>
    </w:p>
    <w:p w14:paraId="1D33BCF3">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6.依法开展募捐活动。依法依规接受和处理分配捐赠款物。</w:t>
      </w:r>
    </w:p>
    <w:p w14:paraId="74751A69">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7.组织开展红十字志愿服务，开展有益于青少年身心健康、弘扬人道主义精神的红十字青少年活动。</w:t>
      </w:r>
    </w:p>
    <w:p w14:paraId="29FE226A">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8.在上级红十字会指导下，开展与国（境）外红十字组织的友好合作与交流，参与国际人道主义救助工作。开展与其他省市县红十字会交流与合作。</w:t>
      </w:r>
    </w:p>
    <w:p w14:paraId="041DFBA2">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9.指导下级红十字会加强自身建设、组织建设和开展各项工作。</w:t>
      </w:r>
    </w:p>
    <w:p w14:paraId="4E86DDE1">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10.完成区委、区政府及上级红十字会交办、委托的其他任务。</w:t>
      </w:r>
      <w:bookmarkStart w:id="2" w:name="_Toc14239"/>
    </w:p>
    <w:p w14:paraId="522156B4">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（二）红十字会20</w:t>
      </w:r>
      <w:r>
        <w:rPr>
          <w:rFonts w:hint="eastAsia" w:ascii="楷体_GB2312" w:hAnsi="楷体_GB2312" w:eastAsia="楷体_GB2312" w:cs="楷体_GB2312"/>
          <w:b/>
          <w:bCs/>
          <w:sz w:val="32"/>
          <w:szCs w:val="32"/>
          <w:lang w:val="en-US" w:eastAsia="zh-CN"/>
        </w:rPr>
        <w:t>25</w:t>
      </w:r>
      <w:r>
        <w:rPr>
          <w:rFonts w:hint="eastAsia" w:ascii="楷体_GB2312" w:hAnsi="楷体_GB2312" w:eastAsia="楷体_GB2312" w:cs="楷体_GB2312"/>
          <w:b/>
          <w:bCs/>
          <w:sz w:val="32"/>
          <w:szCs w:val="32"/>
          <w:lang w:eastAsia="zh-CN"/>
        </w:rPr>
        <w:t>年重点工作</w:t>
      </w:r>
      <w:bookmarkEnd w:id="2"/>
    </w:p>
    <w:p w14:paraId="7780C24A">
      <w:pPr>
        <w:pStyle w:val="22"/>
        <w:keepNext w:val="0"/>
        <w:keepLines w:val="0"/>
        <w:pageBreakBefore w:val="0"/>
        <w:widowControl w:val="0"/>
        <w:numPr>
          <w:numId w:val="0"/>
        </w:numPr>
        <w:kinsoku/>
        <w:wordWrap/>
        <w:overflowPunct/>
        <w:topLinePunct w:val="0"/>
        <w:autoSpaceDE/>
        <w:autoSpaceDN/>
        <w:bidi w:val="0"/>
        <w:adjustRightInd/>
        <w:snapToGrid w:val="0"/>
        <w:spacing w:line="580" w:lineRule="exact"/>
        <w:ind w:firstLine="640" w:firstLineChars="200"/>
        <w:jc w:val="both"/>
        <w:textAlignment w:val="baseline"/>
        <w:rPr>
          <w:rFonts w:hint="default" w:ascii="仿宋_GB2312" w:hAnsi="仿宋_GB2312" w:eastAsia="仿宋_GB2312" w:cs="仿宋_GB2312"/>
          <w:b w:val="0"/>
          <w:color w:val="000000"/>
          <w:kern w:val="0"/>
          <w:sz w:val="32"/>
          <w:szCs w:val="32"/>
          <w:lang w:val="en-US" w:eastAsia="zh-CN" w:bidi="ar-SA"/>
        </w:rPr>
      </w:pPr>
      <w:bookmarkStart w:id="3" w:name="_Toc20484"/>
      <w:r>
        <w:rPr>
          <w:rStyle w:val="21"/>
          <w:rFonts w:hint="eastAsia" w:ascii="楷体_GB2312" w:hAnsi="楷体_GB2312" w:eastAsia="楷体_GB2312" w:cs="楷体_GB2312"/>
          <w:b w:val="0"/>
          <w:bCs/>
          <w:sz w:val="32"/>
          <w:szCs w:val="32"/>
          <w:lang w:val="en-US" w:eastAsia="zh-CN"/>
        </w:rPr>
        <w:t>1.强化自身建设和组织建设</w:t>
      </w:r>
      <w:r>
        <w:rPr>
          <w:rFonts w:hint="eastAsia" w:ascii="仿宋_GB2312" w:hAnsi="仿宋_GB2312" w:eastAsia="仿宋_GB2312" w:cs="仿宋_GB2312"/>
          <w:b w:val="0"/>
          <w:color w:val="000000"/>
          <w:kern w:val="0"/>
          <w:sz w:val="32"/>
          <w:szCs w:val="32"/>
          <w:lang w:val="en-US" w:eastAsia="zh-CN" w:bidi="ar-SA"/>
        </w:rPr>
        <w:t>。坚持以习近平新时代中国特色社会主义思想为指导，深入学习贯彻党的二十大和二十届二中、三中全会精神，落实党建工作和意识形态工作主体责任，认真落实“三会一课”和主题党日活动，进一步加强党风廉政建设和反腐败工作，提升机关干部的整体思想素质。持续加强基层组织建设，多措并举，着力提升已建成基</w:t>
      </w:r>
      <w:bookmarkStart w:id="22" w:name="_GoBack"/>
      <w:bookmarkEnd w:id="22"/>
      <w:r>
        <w:rPr>
          <w:rFonts w:hint="eastAsia" w:ascii="仿宋_GB2312" w:hAnsi="仿宋_GB2312" w:eastAsia="仿宋_GB2312" w:cs="仿宋_GB2312"/>
          <w:b w:val="0"/>
          <w:color w:val="000000"/>
          <w:kern w:val="0"/>
          <w:sz w:val="32"/>
          <w:szCs w:val="32"/>
          <w:lang w:val="en-US" w:eastAsia="zh-CN" w:bidi="ar-SA"/>
        </w:rPr>
        <w:t>层组织活力。</w:t>
      </w:r>
    </w:p>
    <w:p w14:paraId="61E477CC">
      <w:pPr>
        <w:pStyle w:val="22"/>
        <w:keepNext w:val="0"/>
        <w:keepLines w:val="0"/>
        <w:pageBreakBefore w:val="0"/>
        <w:widowControl w:val="0"/>
        <w:numPr>
          <w:numId w:val="0"/>
        </w:numPr>
        <w:kinsoku/>
        <w:wordWrap/>
        <w:overflowPunct/>
        <w:topLinePunct w:val="0"/>
        <w:autoSpaceDE/>
        <w:autoSpaceDN/>
        <w:bidi w:val="0"/>
        <w:adjustRightInd/>
        <w:snapToGrid w:val="0"/>
        <w:spacing w:line="580" w:lineRule="exact"/>
        <w:ind w:firstLine="640" w:firstLineChars="200"/>
        <w:jc w:val="both"/>
        <w:textAlignment w:val="baseline"/>
        <w:rPr>
          <w:rFonts w:hint="eastAsia" w:ascii="仿宋_GB2312" w:hAnsi="仿宋_GB2312" w:eastAsia="仿宋_GB2312" w:cs="仿宋_GB2312"/>
          <w:b w:val="0"/>
          <w:color w:val="000000"/>
          <w:kern w:val="0"/>
          <w:sz w:val="32"/>
          <w:szCs w:val="32"/>
          <w:lang w:val="en-US" w:eastAsia="zh-CN" w:bidi="ar-SA"/>
        </w:rPr>
      </w:pPr>
      <w:r>
        <w:rPr>
          <w:rStyle w:val="21"/>
          <w:rFonts w:hint="eastAsia" w:ascii="楷体_GB2312" w:hAnsi="楷体_GB2312" w:eastAsia="楷体_GB2312" w:cs="楷体_GB2312"/>
          <w:b w:val="0"/>
          <w:bCs/>
          <w:sz w:val="32"/>
          <w:szCs w:val="32"/>
          <w:lang w:val="en-US"/>
        </w:rPr>
        <w:t>2.紧抓主责主业不放松</w:t>
      </w:r>
      <w:r>
        <w:rPr>
          <w:rStyle w:val="21"/>
          <w:rFonts w:hint="eastAsia" w:ascii="楷体_GB2312" w:hAnsi="楷体_GB2312" w:eastAsia="楷体_GB2312" w:cs="楷体_GB2312"/>
          <w:b w:val="0"/>
          <w:bCs/>
          <w:sz w:val="32"/>
          <w:szCs w:val="32"/>
        </w:rPr>
        <w:t>。</w:t>
      </w:r>
      <w:r>
        <w:rPr>
          <w:rFonts w:hint="eastAsia" w:ascii="仿宋_GB2312" w:hAnsi="仿宋_GB2312" w:eastAsia="仿宋_GB2312" w:cs="仿宋_GB2312"/>
          <w:b w:val="0"/>
          <w:color w:val="000000"/>
          <w:kern w:val="0"/>
          <w:sz w:val="32"/>
          <w:szCs w:val="32"/>
          <w:lang w:val="en-US" w:eastAsia="zh-CN" w:bidi="ar-SA"/>
        </w:rPr>
        <w:t>“三救”“三献”工作作为红十字会的主责主业，须持续加强。一是积极筹建区级赈济救援队，提升救援能力；二是大力推进应急救护培训“六进”项目；三是持续开展“红十字博爱送万家”、“金秋助学”等专项救助活动；四是加大“三献”工作的宣传力度，提升社会群众参与率。</w:t>
      </w:r>
    </w:p>
    <w:p w14:paraId="7A6CCF7E">
      <w:pPr>
        <w:pStyle w:val="22"/>
        <w:keepNext w:val="0"/>
        <w:keepLines w:val="0"/>
        <w:pageBreakBefore w:val="0"/>
        <w:widowControl w:val="0"/>
        <w:numPr>
          <w:numId w:val="0"/>
        </w:numPr>
        <w:kinsoku/>
        <w:wordWrap/>
        <w:overflowPunct/>
        <w:topLinePunct w:val="0"/>
        <w:autoSpaceDE/>
        <w:autoSpaceDN/>
        <w:bidi w:val="0"/>
        <w:adjustRightInd/>
        <w:snapToGrid w:val="0"/>
        <w:spacing w:line="580" w:lineRule="exact"/>
        <w:ind w:firstLine="640" w:firstLineChars="200"/>
        <w:jc w:val="both"/>
        <w:textAlignment w:val="baseline"/>
        <w:rPr>
          <w:rFonts w:hint="eastAsia" w:ascii="黑体" w:hAnsi="黑体" w:eastAsia="黑体" w:cs="黑体"/>
          <w:sz w:val="32"/>
          <w:szCs w:val="32"/>
        </w:rPr>
      </w:pPr>
      <w:r>
        <w:rPr>
          <w:rFonts w:hint="eastAsia" w:ascii="仿宋_GB2312" w:hAnsi="仿宋_GB2312" w:eastAsia="仿宋_GB2312" w:cs="仿宋_GB2312"/>
          <w:b w:val="0"/>
          <w:color w:val="000000"/>
          <w:kern w:val="0"/>
          <w:sz w:val="32"/>
          <w:szCs w:val="32"/>
          <w:lang w:val="en-US" w:eastAsia="zh-CN" w:bidi="ar-SA"/>
        </w:rPr>
        <w:t>3.</w:t>
      </w:r>
      <w:r>
        <w:rPr>
          <w:rStyle w:val="21"/>
          <w:rFonts w:hint="eastAsia" w:ascii="楷体_GB2312" w:hAnsi="楷体_GB2312" w:eastAsia="楷体_GB2312" w:cs="楷体_GB2312"/>
          <w:b w:val="0"/>
          <w:bCs/>
          <w:sz w:val="32"/>
          <w:szCs w:val="32"/>
          <w:lang w:val="en-US" w:eastAsia="zh-CN"/>
        </w:rPr>
        <w:t>加强部门合作和对外交流。</w:t>
      </w:r>
      <w:r>
        <w:rPr>
          <w:rFonts w:hint="eastAsia" w:ascii="仿宋_GB2312" w:hAnsi="仿宋_GB2312" w:eastAsia="仿宋_GB2312" w:cs="仿宋_GB2312"/>
          <w:b w:val="0"/>
          <w:color w:val="000000"/>
          <w:kern w:val="0"/>
          <w:sz w:val="32"/>
          <w:szCs w:val="32"/>
          <w:lang w:val="en-US" w:eastAsia="zh-CN" w:bidi="ar-SA"/>
        </w:rPr>
        <w:t>一是继续强化部门联动，在主题节日联合开展专题宣传，弘扬红十字精神，传播红十字文化。积极探索与社工部、消防、残联等部门的共享共建活动，主动融入社会治理工作，提升服务群众能力。二是注重对外交流学习，积极与结对的成华区红十字会和纳溪区红十字互联互通，交流学习对方的先进经验做法，提升工作质效。</w:t>
      </w:r>
    </w:p>
    <w:p w14:paraId="12F1E181">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ascii="仿宋_GB2312" w:hAnsi="仿宋_GB2312" w:eastAsia="仿宋_GB2312"/>
          <w:sz w:val="32"/>
          <w:szCs w:val="32"/>
        </w:rPr>
      </w:pPr>
      <w:r>
        <w:rPr>
          <w:rFonts w:hint="eastAsia" w:ascii="黑体" w:hAnsi="黑体" w:eastAsia="黑体" w:cs="黑体"/>
          <w:sz w:val="32"/>
          <w:szCs w:val="32"/>
        </w:rPr>
        <w:t>二、部门预算单位构成</w:t>
      </w:r>
      <w:bookmarkEnd w:id="3"/>
    </w:p>
    <w:p w14:paraId="58730EAD">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属一级预算单位，下属二级预算单位0个，其中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单位1个。主要包括：</w:t>
      </w:r>
    </w:p>
    <w:p w14:paraId="22392F36">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名。在职人员总数</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人，其中：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人员</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人。</w:t>
      </w:r>
    </w:p>
    <w:p w14:paraId="396ED484">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hint="eastAsia" w:ascii="黑体" w:hAnsi="黑体" w:eastAsia="黑体" w:cs="黑体"/>
          <w:sz w:val="32"/>
          <w:szCs w:val="32"/>
        </w:rPr>
      </w:pPr>
      <w:bookmarkStart w:id="4" w:name="_Toc24971"/>
      <w:r>
        <w:rPr>
          <w:rFonts w:hint="eastAsia" w:ascii="黑体" w:hAnsi="黑体" w:eastAsia="黑体" w:cs="黑体"/>
          <w:sz w:val="32"/>
          <w:szCs w:val="32"/>
        </w:rPr>
        <w:t>三、收支预算增减变化情况说明</w:t>
      </w:r>
      <w:bookmarkEnd w:id="4"/>
    </w:p>
    <w:p w14:paraId="6B97CAE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olor w:val="auto"/>
          <w:sz w:val="32"/>
          <w:szCs w:val="32"/>
        </w:rPr>
      </w:pPr>
      <w:r>
        <w:rPr>
          <w:rFonts w:hint="eastAsia" w:ascii="仿宋_GB2312" w:hAnsi="仿宋_GB2312" w:eastAsia="仿宋_GB2312"/>
          <w:sz w:val="32"/>
          <w:szCs w:val="32"/>
        </w:rPr>
        <w:t>　</w:t>
      </w:r>
      <w:r>
        <w:rPr>
          <w:rFonts w:hint="eastAsia" w:ascii="仿宋_GB2312" w:hAnsi="仿宋_GB2312" w:eastAsia="仿宋_GB2312"/>
          <w:color w:val="auto"/>
          <w:sz w:val="32"/>
          <w:szCs w:val="32"/>
        </w:rPr>
        <w:t>　按照综合预算的原则，</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所有收支均包含下属单位数据，全部纳入部门预算管理。收入包括：财政拨款收入</w:t>
      </w:r>
      <w:r>
        <w:rPr>
          <w:rFonts w:hint="eastAsia" w:ascii="仿宋_GB2312" w:hAnsi="仿宋_GB2312" w:eastAsia="仿宋_GB2312"/>
          <w:color w:val="auto"/>
          <w:sz w:val="32"/>
          <w:szCs w:val="32"/>
          <w:lang w:val="en-US" w:eastAsia="zh-CN"/>
        </w:rPr>
        <w:t>79.6万元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减少34.98</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人员减少，导致预算减少</w:t>
      </w:r>
      <w:r>
        <w:rPr>
          <w:rFonts w:hint="eastAsia" w:ascii="仿宋_GB2312" w:hAnsi="仿宋_GB2312" w:eastAsia="仿宋_GB2312"/>
          <w:color w:val="auto"/>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75.17</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1.47万元、住房保障支出2.96万元</w:t>
      </w:r>
      <w:r>
        <w:rPr>
          <w:rFonts w:hint="eastAsia" w:ascii="仿宋_GB2312" w:eastAsia="仿宋_GB2312" w:cs="仿宋_GB2312"/>
          <w:color w:val="auto"/>
          <w:sz w:val="32"/>
          <w:szCs w:val="32"/>
        </w:rPr>
        <w:t>，</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减少34.98</w:t>
      </w:r>
      <w:r>
        <w:rPr>
          <w:rFonts w:hint="eastAsia" w:ascii="仿宋_GB2312" w:hAnsi="仿宋_GB2312" w:eastAsia="仿宋_GB2312"/>
          <w:color w:val="auto"/>
          <w:sz w:val="32"/>
          <w:szCs w:val="32"/>
        </w:rPr>
        <w:t>万元，主要是主要是</w:t>
      </w:r>
      <w:r>
        <w:rPr>
          <w:rFonts w:hint="eastAsia" w:ascii="仿宋_GB2312" w:hAnsi="仿宋_GB2312" w:eastAsia="仿宋_GB2312"/>
          <w:color w:val="auto"/>
          <w:sz w:val="32"/>
          <w:szCs w:val="32"/>
          <w:lang w:eastAsia="zh-CN"/>
        </w:rPr>
        <w:t>人员减少，导致预算减少</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25</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79.6万</w:t>
      </w:r>
      <w:r>
        <w:rPr>
          <w:rFonts w:hint="eastAsia" w:ascii="仿宋_GB2312" w:hAnsi="仿宋_GB2312" w:eastAsia="仿宋_GB2312"/>
          <w:color w:val="auto"/>
          <w:sz w:val="32"/>
          <w:szCs w:val="32"/>
        </w:rPr>
        <w:t>元。</w:t>
      </w:r>
    </w:p>
    <w:p w14:paraId="0FF8FA2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5" w:name="_Toc27208"/>
      <w:r>
        <w:rPr>
          <w:rFonts w:hint="eastAsia" w:ascii="楷体_GB2312" w:hAnsi="楷体_GB2312" w:eastAsia="楷体_GB2312" w:cs="楷体_GB2312"/>
          <w:b/>
          <w:bCs/>
          <w:sz w:val="32"/>
          <w:szCs w:val="32"/>
        </w:rPr>
        <w:t>（一）收入预算情况</w:t>
      </w:r>
      <w:bookmarkEnd w:id="5"/>
    </w:p>
    <w:p w14:paraId="108D26B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79.6</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79.6</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14:paraId="7EEDF03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sz w:val="32"/>
          <w:szCs w:val="32"/>
        </w:rPr>
      </w:pPr>
      <w:bookmarkStart w:id="6" w:name="_Toc28617"/>
      <w:r>
        <w:rPr>
          <w:rFonts w:hint="eastAsia" w:ascii="楷体_GB2312" w:hAnsi="楷体_GB2312" w:eastAsia="楷体_GB2312" w:cs="楷体_GB2312"/>
          <w:b/>
          <w:bCs/>
          <w:sz w:val="32"/>
          <w:szCs w:val="32"/>
        </w:rPr>
        <w:t>（二）支出预算情况</w:t>
      </w:r>
      <w:bookmarkEnd w:id="6"/>
    </w:p>
    <w:p w14:paraId="46DB166B">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79.6</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43.6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55</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36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45</w:t>
      </w:r>
      <w:r>
        <w:rPr>
          <w:rFonts w:ascii="仿宋_GB2312" w:hAnsi="仿宋_GB2312" w:eastAsia="仿宋_GB2312"/>
          <w:sz w:val="32"/>
          <w:szCs w:val="32"/>
        </w:rPr>
        <w:t>%。</w:t>
      </w:r>
    </w:p>
    <w:p w14:paraId="336BA2A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14600"/>
      <w:r>
        <w:rPr>
          <w:rFonts w:hint="eastAsia" w:ascii="黑体" w:hAnsi="黑体" w:eastAsia="黑体" w:cs="黑体"/>
          <w:sz w:val="32"/>
          <w:szCs w:val="32"/>
        </w:rPr>
        <w:t>四、财政拨款收支预算情况说明</w:t>
      </w:r>
      <w:bookmarkEnd w:id="7"/>
    </w:p>
    <w:p w14:paraId="1806EE82">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79.6</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年财政拨款收支总预算</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val="en-US" w:eastAsia="zh-CN"/>
        </w:rPr>
        <w:t>减少34.98</w:t>
      </w:r>
      <w:r>
        <w:rPr>
          <w:rFonts w:hint="eastAsia" w:ascii="仿宋_GB2312" w:hAnsi="仿宋_GB2312" w:eastAsia="仿宋_GB2312"/>
          <w:color w:val="auto"/>
          <w:sz w:val="32"/>
          <w:szCs w:val="32"/>
        </w:rPr>
        <w:t>万元，主要是主要是</w:t>
      </w:r>
      <w:r>
        <w:rPr>
          <w:rFonts w:hint="eastAsia" w:ascii="仿宋_GB2312" w:hAnsi="仿宋_GB2312" w:eastAsia="仿宋_GB2312"/>
          <w:color w:val="auto"/>
          <w:sz w:val="32"/>
          <w:szCs w:val="32"/>
          <w:lang w:eastAsia="zh-CN"/>
        </w:rPr>
        <w:t>人员减少，导致预算减少</w:t>
      </w:r>
      <w:r>
        <w:rPr>
          <w:rFonts w:hint="eastAsia" w:ascii="仿宋_GB2312" w:hAnsi="仿宋_GB2312" w:eastAsia="仿宋_GB2312"/>
          <w:color w:val="auto"/>
          <w:sz w:val="32"/>
          <w:szCs w:val="32"/>
        </w:rPr>
        <w:t>。</w:t>
      </w:r>
    </w:p>
    <w:p w14:paraId="7685D4EE">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79.6</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75.17</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1.47万元、住房保障支出2.96万元</w:t>
      </w:r>
      <w:r>
        <w:rPr>
          <w:rFonts w:hint="eastAsia" w:ascii="仿宋_GB2312" w:hAnsi="仿宋_GB2312" w:eastAsia="仿宋_GB2312"/>
          <w:sz w:val="32"/>
          <w:szCs w:val="32"/>
        </w:rPr>
        <w:t>。</w:t>
      </w:r>
    </w:p>
    <w:p w14:paraId="69E571D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8" w:name="_Toc25906"/>
      <w:r>
        <w:rPr>
          <w:rFonts w:hint="eastAsia" w:ascii="黑体" w:hAnsi="黑体" w:eastAsia="黑体" w:cs="黑体"/>
          <w:sz w:val="32"/>
          <w:szCs w:val="32"/>
        </w:rPr>
        <w:t>五、一般公共预算当年拨款情况说明</w:t>
      </w:r>
      <w:bookmarkEnd w:id="8"/>
    </w:p>
    <w:p w14:paraId="47699D9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9" w:name="_Toc18805"/>
      <w:r>
        <w:rPr>
          <w:rFonts w:hint="eastAsia" w:ascii="楷体_GB2312" w:hAnsi="楷体_GB2312" w:eastAsia="楷体_GB2312" w:cs="楷体_GB2312"/>
          <w:b/>
          <w:bCs/>
          <w:sz w:val="32"/>
          <w:szCs w:val="32"/>
        </w:rPr>
        <w:t>（一）一般公共预算当年拨款规模变化情况</w:t>
      </w:r>
      <w:bookmarkEnd w:id="9"/>
    </w:p>
    <w:p w14:paraId="50977075">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79.6</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color w:val="auto"/>
          <w:sz w:val="32"/>
          <w:szCs w:val="32"/>
          <w:lang w:val="en-US" w:eastAsia="zh-CN"/>
        </w:rPr>
        <w:t>减少34.98</w:t>
      </w:r>
      <w:r>
        <w:rPr>
          <w:rFonts w:hint="eastAsia" w:ascii="仿宋_GB2312" w:hAnsi="仿宋_GB2312" w:eastAsia="仿宋_GB2312"/>
          <w:color w:val="auto"/>
          <w:sz w:val="32"/>
          <w:szCs w:val="32"/>
        </w:rPr>
        <w:t>万元，主要是主要是</w:t>
      </w:r>
      <w:r>
        <w:rPr>
          <w:rFonts w:hint="eastAsia" w:ascii="仿宋_GB2312" w:hAnsi="仿宋_GB2312" w:eastAsia="仿宋_GB2312"/>
          <w:color w:val="auto"/>
          <w:sz w:val="32"/>
          <w:szCs w:val="32"/>
          <w:lang w:eastAsia="zh-CN"/>
        </w:rPr>
        <w:t>人员减少，导致预算减少</w:t>
      </w:r>
      <w:r>
        <w:rPr>
          <w:rFonts w:hint="eastAsia" w:ascii="仿宋_GB2312" w:hAnsi="仿宋_GB2312" w:eastAsia="仿宋_GB2312"/>
          <w:color w:val="auto"/>
          <w:sz w:val="32"/>
          <w:szCs w:val="32"/>
        </w:rPr>
        <w:t>。</w:t>
      </w:r>
      <w:bookmarkStart w:id="10" w:name="_Toc8475"/>
    </w:p>
    <w:p w14:paraId="4A1F1AFA">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b/>
          <w:bCs/>
          <w:sz w:val="32"/>
          <w:szCs w:val="32"/>
        </w:rPr>
      </w:pPr>
      <w:r>
        <w:rPr>
          <w:rFonts w:hint="eastAsia" w:ascii="仿宋_GB2312" w:hAnsi="仿宋_GB2312" w:eastAsia="仿宋_GB2312"/>
          <w:b/>
          <w:bCs/>
          <w:sz w:val="32"/>
          <w:szCs w:val="32"/>
        </w:rPr>
        <w:t>（二）一般公共预算当年拨款结构情况(按照功能科目类写)</w:t>
      </w:r>
      <w:bookmarkEnd w:id="10"/>
    </w:p>
    <w:p w14:paraId="20E95421">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eastAsia="仿宋_GB2312" w:cs="仿宋_GB2312"/>
          <w:sz w:val="32"/>
          <w:szCs w:val="32"/>
          <w:lang w:eastAsia="zh-CN"/>
        </w:rPr>
      </w:pP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75.17</w:t>
      </w:r>
      <w:r>
        <w:rPr>
          <w:rFonts w:hint="eastAsia" w:ascii="仿宋_GB2312" w:eastAsia="仿宋_GB2312" w:cs="仿宋_GB2312"/>
          <w:color w:val="auto"/>
          <w:sz w:val="32"/>
          <w:szCs w:val="32"/>
        </w:rPr>
        <w:t>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94</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1B432C65">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1.47万元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19153200">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eastAsia="仿宋_GB2312" w:cs="仿宋_GB2312"/>
          <w:color w:val="auto"/>
          <w:sz w:val="32"/>
          <w:szCs w:val="32"/>
          <w:lang w:val="en-US" w:eastAsia="zh-CN"/>
        </w:rPr>
        <w:t>住房保障支出2.96万元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14:paraId="6166593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1" w:name="_Toc4297"/>
      <w:r>
        <w:rPr>
          <w:rFonts w:hint="eastAsia" w:ascii="楷体_GB2312" w:hAnsi="楷体_GB2312" w:eastAsia="楷体_GB2312" w:cs="楷体_GB2312"/>
          <w:b/>
          <w:bCs/>
          <w:sz w:val="32"/>
          <w:szCs w:val="32"/>
        </w:rPr>
        <w:t>（三）一般公共预算当年拨款具体使用情况（按功能科目类款项写）</w:t>
      </w:r>
      <w:bookmarkEnd w:id="11"/>
    </w:p>
    <w:p w14:paraId="0690D5A1">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（类）行政事业单位离退休（款）机关事业单位基本养老保险缴费支出（项）20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3.53</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机关事业单位实施养老保险制度由单位实际缴纳的基本养老保险费支出</w:t>
      </w:r>
      <w:r>
        <w:rPr>
          <w:rFonts w:hint="eastAsia" w:ascii="仿宋_GB2312" w:hAnsi="仿宋_GB2312" w:eastAsia="仿宋_GB2312"/>
          <w:sz w:val="32"/>
          <w:szCs w:val="32"/>
        </w:rPr>
        <w:t>。</w:t>
      </w:r>
    </w:p>
    <w:p w14:paraId="76AB6E70">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ascii="仿宋_GB2312" w:eastAsia="仿宋_GB2312" w:cs="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（类）行政事业单位离退休（款）机关事业单位职业年金缴费支出（项）20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1.76</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机关事业单位实施养老保险制度由单位实际缴纳的职业年金支出</w:t>
      </w:r>
      <w:r>
        <w:rPr>
          <w:rFonts w:hint="eastAsia" w:ascii="仿宋_GB2312" w:hAnsi="仿宋_GB2312" w:eastAsia="仿宋_GB2312"/>
          <w:sz w:val="32"/>
          <w:szCs w:val="32"/>
        </w:rPr>
        <w:t>。</w:t>
      </w:r>
    </w:p>
    <w:p w14:paraId="4A2F5315">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红十字事业</w:t>
      </w:r>
      <w:r>
        <w:rPr>
          <w:rFonts w:hint="eastAsia" w:ascii="仿宋_GB2312" w:hAnsi="仿宋_GB2312" w:eastAsia="仿宋_GB2312"/>
          <w:sz w:val="32"/>
          <w:szCs w:val="32"/>
        </w:rPr>
        <w:t>（款）机关</w:t>
      </w:r>
      <w:r>
        <w:rPr>
          <w:rFonts w:hint="eastAsia" w:ascii="仿宋_GB2312" w:hAnsi="仿宋_GB2312" w:eastAsia="仿宋_GB2312"/>
          <w:sz w:val="32"/>
          <w:szCs w:val="32"/>
          <w:lang w:eastAsia="zh-CN"/>
        </w:rPr>
        <w:t>服务</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33.75</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w:t>
      </w:r>
      <w:r>
        <w:rPr>
          <w:rFonts w:hint="eastAsia" w:ascii="仿宋_GB2312" w:eastAsia="仿宋_GB2312" w:cs="仿宋_GB2312"/>
          <w:sz w:val="32"/>
          <w:szCs w:val="32"/>
        </w:rPr>
        <w:t>机关事业单位人员工资、日常运转以及为完成特定工作任务和事业发展目标而安排的年度支出。</w:t>
      </w:r>
    </w:p>
    <w:p w14:paraId="56DCC612">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红十字事业</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其他红十字事业支出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应急救护“六进”培训、红十字事业发展和基层组织建设</w:t>
      </w:r>
      <w:r>
        <w:rPr>
          <w:rFonts w:hint="eastAsia" w:ascii="仿宋_GB2312" w:hAnsi="仿宋_GB2312" w:eastAsia="仿宋_GB2312"/>
          <w:sz w:val="32"/>
          <w:szCs w:val="32"/>
          <w:lang w:eastAsia="zh-CN"/>
        </w:rPr>
        <w:t>、新时代红十字青少年生命健康教育</w:t>
      </w:r>
      <w:r>
        <w:rPr>
          <w:rFonts w:hint="eastAsia" w:ascii="仿宋_GB2312" w:hAnsi="仿宋_GB2312" w:eastAsia="仿宋_GB2312"/>
          <w:sz w:val="32"/>
          <w:szCs w:val="32"/>
        </w:rPr>
        <w:t>等各项业务工作支出。</w:t>
      </w:r>
    </w:p>
    <w:p w14:paraId="0C130E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仿宋_GB2312" w:eastAsia="仿宋_GB2312" w:cs="仿宋_GB2312"/>
          <w:sz w:val="32"/>
          <w:szCs w:val="32"/>
        </w:rPr>
        <w:t>5.</w:t>
      </w:r>
      <w:r>
        <w:rPr>
          <w:rFonts w:hint="eastAsia" w:ascii="仿宋_GB2312" w:hAnsi="仿宋_GB2312" w:eastAsia="仿宋_GB2312"/>
          <w:sz w:val="32"/>
          <w:szCs w:val="32"/>
        </w:rPr>
        <w:t>社会保障和就业支出（类）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0.14</w:t>
      </w:r>
      <w:r>
        <w:rPr>
          <w:rFonts w:hint="eastAsia" w:ascii="仿宋_GB2312" w:hAnsi="仿宋_GB2312" w:eastAsia="仿宋_GB2312"/>
          <w:sz w:val="32"/>
          <w:szCs w:val="32"/>
        </w:rPr>
        <w:t>万元，主要用于：机关事业单位按照规定标准为职工缴纳的</w:t>
      </w:r>
      <w:r>
        <w:rPr>
          <w:rFonts w:hint="eastAsia" w:ascii="仿宋_GB2312" w:hAnsi="仿宋_GB2312" w:eastAsia="仿宋_GB2312"/>
          <w:sz w:val="32"/>
          <w:szCs w:val="32"/>
          <w:lang w:eastAsia="zh-CN"/>
        </w:rPr>
        <w:t>工伤保险</w:t>
      </w:r>
      <w:r>
        <w:rPr>
          <w:rFonts w:hint="eastAsia" w:ascii="仿宋_GB2312" w:hAnsi="仿宋_GB2312" w:eastAsia="仿宋_GB2312"/>
          <w:sz w:val="32"/>
          <w:szCs w:val="32"/>
        </w:rPr>
        <w:t>等支出。</w:t>
      </w:r>
    </w:p>
    <w:p w14:paraId="4BBEFD1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6. 住房保障支出</w:t>
      </w:r>
      <w:r>
        <w:rPr>
          <w:rFonts w:hint="eastAsia" w:ascii="仿宋_GB2312" w:hAnsi="仿宋_GB2312" w:eastAsia="仿宋_GB2312"/>
          <w:sz w:val="32"/>
          <w:szCs w:val="32"/>
        </w:rPr>
        <w:t>（类）住房改革支出（款）住房公积金（项）20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eastAsia="仿宋_GB2312" w:cs="仿宋_GB2312"/>
          <w:sz w:val="32"/>
          <w:szCs w:val="32"/>
          <w:lang w:val="en-US" w:eastAsia="zh-CN"/>
        </w:rPr>
        <w:t>2.96</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机关事业单位按照规定标准为职工缴纳住房公积金支出。</w:t>
      </w:r>
    </w:p>
    <w:p w14:paraId="3338C5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7.卫生健康支出</w:t>
      </w:r>
      <w:r>
        <w:rPr>
          <w:rFonts w:hint="eastAsia" w:ascii="仿宋_GB2312" w:hAnsi="仿宋_GB2312" w:eastAsia="仿宋_GB2312"/>
          <w:sz w:val="32"/>
          <w:szCs w:val="32"/>
        </w:rPr>
        <w:t>（类）行政事业单位医疗（款）</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单位医疗（项）20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1.47</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机关事业单位按照规定标准为职工缴纳的基本医疗保险等支出。</w:t>
      </w:r>
    </w:p>
    <w:p w14:paraId="767F0A39">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2" w:name="_Toc4624"/>
      <w:r>
        <w:rPr>
          <w:rFonts w:hint="eastAsia" w:ascii="黑体" w:hAnsi="黑体" w:eastAsia="黑体" w:cs="黑体"/>
          <w:sz w:val="32"/>
          <w:szCs w:val="32"/>
        </w:rPr>
        <w:t>六、一般公共预算基本支出情况说明</w:t>
      </w:r>
      <w:bookmarkEnd w:id="12"/>
    </w:p>
    <w:p w14:paraId="5C3CD4C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43.6</w:t>
      </w:r>
      <w:r>
        <w:rPr>
          <w:rFonts w:hint="eastAsia" w:ascii="仿宋_GB2312" w:hAnsi="仿宋_GB2312" w:eastAsia="仿宋_GB2312"/>
          <w:sz w:val="32"/>
          <w:szCs w:val="32"/>
        </w:rPr>
        <w:t>万元，其中：</w:t>
      </w:r>
    </w:p>
    <w:p w14:paraId="40B7781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38.82</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14:paraId="4BA4480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4.77</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14:paraId="067881A2">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outlineLvl w:val="0"/>
        <w:rPr>
          <w:rFonts w:hint="eastAsia" w:ascii="黑体" w:hAnsi="黑体" w:eastAsia="黑体" w:cs="黑体"/>
          <w:sz w:val="32"/>
          <w:szCs w:val="32"/>
        </w:rPr>
      </w:pPr>
      <w:bookmarkStart w:id="13" w:name="_Toc16565"/>
      <w:r>
        <w:rPr>
          <w:rFonts w:hint="eastAsia" w:ascii="黑体" w:hAnsi="黑体" w:eastAsia="黑体" w:cs="黑体"/>
          <w:sz w:val="32"/>
          <w:szCs w:val="32"/>
        </w:rPr>
        <w:t>七、“三公”经费财政拨款预算安排情况说明</w:t>
      </w:r>
      <w:bookmarkEnd w:id="13"/>
    </w:p>
    <w:p w14:paraId="36904EA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0.2</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sz w:val="32"/>
          <w:szCs w:val="32"/>
          <w:lang w:val="en-US" w:eastAsia="zh-CN"/>
        </w:rPr>
        <w:t>0.2</w:t>
      </w:r>
      <w:r>
        <w:rPr>
          <w:rFonts w:hint="eastAsia" w:ascii="仿宋_GB2312" w:hAnsi="仿宋_GB2312" w:eastAsia="仿宋_GB2312"/>
          <w:sz w:val="32"/>
          <w:szCs w:val="32"/>
        </w:rPr>
        <w:t>万元，公务用车购置0万元，公务用车运行维护费0万元。</w:t>
      </w:r>
    </w:p>
    <w:p w14:paraId="0DCDD48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eastAsia="楷体_GB2312"/>
          <w:bCs/>
          <w:sz w:val="32"/>
          <w:szCs w:val="32"/>
        </w:rPr>
        <w:t>（一）因公出国（境）经费与20</w:t>
      </w:r>
      <w:r>
        <w:rPr>
          <w:rFonts w:hint="eastAsia" w:ascii="楷体_GB2312" w:eastAsia="楷体_GB2312"/>
          <w:bCs/>
          <w:sz w:val="32"/>
          <w:szCs w:val="32"/>
          <w:lang w:val="en-US" w:eastAsia="zh-CN"/>
        </w:rPr>
        <w:t>24</w:t>
      </w:r>
      <w:r>
        <w:rPr>
          <w:rFonts w:hint="eastAsia" w:ascii="楷体_GB2312" w:eastAsia="楷体_GB2312"/>
          <w:bCs/>
          <w:sz w:val="32"/>
          <w:szCs w:val="32"/>
        </w:rPr>
        <w:t>年预算持平。</w:t>
      </w:r>
      <w:r>
        <w:rPr>
          <w:rFonts w:hint="eastAsia" w:ascii="仿宋_GB2312" w:hAnsi="仿宋_GB2312" w:eastAsia="仿宋_GB2312"/>
          <w:sz w:val="32"/>
          <w:szCs w:val="32"/>
        </w:rPr>
        <w:t>主要原因是单位无因公出国（境）事务。</w:t>
      </w:r>
    </w:p>
    <w:p w14:paraId="1CB063E0">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24</w:t>
      </w:r>
      <w:r>
        <w:rPr>
          <w:rFonts w:hint="eastAsia" w:ascii="楷体_GB2312" w:eastAsia="楷体_GB2312"/>
          <w:bCs/>
          <w:sz w:val="32"/>
          <w:szCs w:val="32"/>
        </w:rPr>
        <w:t>年预算</w:t>
      </w:r>
      <w:r>
        <w:rPr>
          <w:rFonts w:hint="eastAsia" w:ascii="楷体_GB2312" w:eastAsia="楷体_GB2312"/>
          <w:bCs/>
          <w:sz w:val="32"/>
          <w:szCs w:val="32"/>
          <w:lang w:eastAsia="zh-CN"/>
        </w:rPr>
        <w:t>减少</w:t>
      </w:r>
      <w:r>
        <w:rPr>
          <w:rFonts w:hint="eastAsia" w:ascii="楷体_GB2312" w:eastAsia="楷体_GB2312"/>
          <w:bCs/>
          <w:sz w:val="32"/>
          <w:szCs w:val="32"/>
          <w:lang w:val="en-US" w:eastAsia="zh-CN"/>
        </w:rPr>
        <w:t>0.2万元</w:t>
      </w:r>
      <w:r>
        <w:rPr>
          <w:rFonts w:hint="eastAsia" w:ascii="楷体_GB2312" w:eastAsia="楷体_GB2312"/>
          <w:bCs/>
          <w:sz w:val="32"/>
          <w:szCs w:val="32"/>
        </w:rPr>
        <w:t>。</w:t>
      </w:r>
      <w:r>
        <w:rPr>
          <w:rFonts w:hint="eastAsia" w:ascii="仿宋_GB2312" w:hAnsi="仿宋_GB2312" w:eastAsia="仿宋_GB2312"/>
          <w:sz w:val="32"/>
          <w:szCs w:val="32"/>
        </w:rPr>
        <w:t>主要原因是厉行节俭。</w:t>
      </w:r>
    </w:p>
    <w:p w14:paraId="5FFAAF7C">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公务用车购置及运行维护费与20</w:t>
      </w:r>
      <w:r>
        <w:rPr>
          <w:rFonts w:hint="eastAsia" w:ascii="楷体_GB2312" w:eastAsia="楷体_GB2312"/>
          <w:bCs/>
          <w:sz w:val="32"/>
          <w:szCs w:val="32"/>
          <w:lang w:val="en-US" w:eastAsia="zh-CN"/>
        </w:rPr>
        <w:t>24</w:t>
      </w:r>
      <w:r>
        <w:rPr>
          <w:rFonts w:hint="eastAsia" w:ascii="楷体_GB2312" w:eastAsia="楷体_GB2312"/>
          <w:bCs/>
          <w:sz w:val="32"/>
          <w:szCs w:val="32"/>
        </w:rPr>
        <w:t>年预算持平。</w:t>
      </w:r>
      <w:r>
        <w:rPr>
          <w:rFonts w:hint="eastAsia" w:ascii="仿宋_GB2312" w:hAnsi="仿宋_GB2312" w:eastAsia="仿宋_GB2312"/>
          <w:sz w:val="32"/>
          <w:szCs w:val="32"/>
        </w:rPr>
        <w:t>主要原因是公车改革后单位无一辆公务用车，因此未产生公务用车运行维护费。</w:t>
      </w:r>
    </w:p>
    <w:p w14:paraId="78257731">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p>
    <w:p w14:paraId="5D38BC8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年安排公务用车运行维护费0万元。</w:t>
      </w:r>
    </w:p>
    <w:p w14:paraId="354658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sz w:val="32"/>
          <w:szCs w:val="32"/>
        </w:rPr>
      </w:pPr>
      <w:bookmarkStart w:id="14" w:name="_Toc29450"/>
      <w:r>
        <w:rPr>
          <w:rFonts w:hint="eastAsia" w:ascii="黑体" w:hAnsi="黑体" w:eastAsia="黑体" w:cs="黑体"/>
          <w:b w:val="0"/>
          <w:bCs w:val="0"/>
          <w:sz w:val="32"/>
          <w:szCs w:val="32"/>
        </w:rPr>
        <w:t>八、政府性基金预算收支情况说明</w:t>
      </w:r>
      <w:bookmarkEnd w:id="14"/>
    </w:p>
    <w:p w14:paraId="16FDA5D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收支0万元。　　</w:t>
      </w:r>
    </w:p>
    <w:p w14:paraId="2653886F">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hint="eastAsia" w:ascii="黑体" w:hAnsi="黑体" w:eastAsia="黑体" w:cs="黑体"/>
          <w:sz w:val="32"/>
          <w:szCs w:val="32"/>
        </w:rPr>
      </w:pPr>
      <w:bookmarkStart w:id="15" w:name="_Toc24624"/>
      <w:r>
        <w:rPr>
          <w:rFonts w:hint="eastAsia" w:ascii="黑体" w:hAnsi="黑体" w:eastAsia="黑体" w:cs="黑体"/>
          <w:sz w:val="32"/>
          <w:szCs w:val="32"/>
        </w:rPr>
        <w:t>九、国有资本经营预算支出情况说明</w:t>
      </w:r>
      <w:bookmarkEnd w:id="15"/>
    </w:p>
    <w:p w14:paraId="490DA402">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收支0万元。</w:t>
      </w:r>
    </w:p>
    <w:p w14:paraId="0A0A6518">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6" w:name="_Toc3963"/>
      <w:r>
        <w:rPr>
          <w:rFonts w:hint="eastAsia" w:ascii="黑体" w:hAnsi="黑体" w:eastAsia="黑体" w:cs="黑体"/>
          <w:sz w:val="32"/>
          <w:szCs w:val="32"/>
        </w:rPr>
        <w:t>十、其他重要事项的情况说明</w:t>
      </w:r>
      <w:bookmarkEnd w:id="16"/>
    </w:p>
    <w:p w14:paraId="05E872DE">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7" w:name="_Toc21466"/>
      <w:r>
        <w:rPr>
          <w:rFonts w:hint="eastAsia" w:ascii="仿宋_GB2312" w:hAnsi="仿宋_GB2312" w:eastAsia="仿宋_GB2312"/>
          <w:sz w:val="32"/>
          <w:szCs w:val="32"/>
        </w:rPr>
        <w:t>（一）机关运行经费</w:t>
      </w:r>
      <w:bookmarkEnd w:id="17"/>
    </w:p>
    <w:p w14:paraId="79BC871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的机关运行经费财政拨款预算为</w:t>
      </w:r>
      <w:r>
        <w:rPr>
          <w:rFonts w:hint="eastAsia" w:ascii="仿宋_GB2312" w:hAnsi="仿宋_GB2312" w:eastAsia="仿宋_GB2312"/>
          <w:sz w:val="32"/>
          <w:szCs w:val="32"/>
          <w:lang w:val="en-US" w:eastAsia="zh-CN"/>
        </w:rPr>
        <w:t>4.77</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4.78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50%</w:t>
      </w:r>
      <w:r>
        <w:rPr>
          <w:rFonts w:hint="eastAsia" w:ascii="仿宋_GB2312" w:hAnsi="仿宋_GB2312" w:eastAsia="仿宋_GB2312"/>
          <w:sz w:val="32"/>
          <w:szCs w:val="32"/>
        </w:rPr>
        <w:t>。</w:t>
      </w:r>
    </w:p>
    <w:p w14:paraId="006403E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11438"/>
      <w:r>
        <w:rPr>
          <w:rFonts w:hint="eastAsia" w:ascii="仿宋_GB2312" w:hAnsi="仿宋_GB2312" w:eastAsia="仿宋_GB2312"/>
          <w:sz w:val="32"/>
          <w:szCs w:val="32"/>
        </w:rPr>
        <w:t>（二）政府采购情况</w:t>
      </w:r>
      <w:bookmarkEnd w:id="18"/>
    </w:p>
    <w:p w14:paraId="3D14648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安排政府采购预算0万元。</w:t>
      </w:r>
    </w:p>
    <w:p w14:paraId="6C6D87A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9" w:name="_Toc6731"/>
      <w:r>
        <w:rPr>
          <w:rFonts w:hint="eastAsia" w:ascii="仿宋_GB2312" w:hAnsi="仿宋_GB2312" w:eastAsia="仿宋_GB2312"/>
          <w:sz w:val="32"/>
          <w:szCs w:val="32"/>
        </w:rPr>
        <w:t>（三）国有资产占有使用情况</w:t>
      </w:r>
      <w:bookmarkEnd w:id="19"/>
    </w:p>
    <w:p w14:paraId="066CC9F3">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所属各预算单位共有固定资产总额</w:t>
      </w:r>
      <w:r>
        <w:rPr>
          <w:rFonts w:hint="eastAsia" w:ascii="仿宋_GB2312" w:hAnsi="仿宋_GB2312" w:eastAsia="仿宋_GB2312"/>
          <w:sz w:val="32"/>
          <w:szCs w:val="32"/>
          <w:lang w:val="en-US" w:eastAsia="zh-CN"/>
        </w:rPr>
        <w:t>14.677</w:t>
      </w:r>
      <w:r>
        <w:rPr>
          <w:rFonts w:hint="eastAsia" w:ascii="仿宋_GB2312" w:hAnsi="仿宋_GB2312" w:eastAsia="仿宋_GB2312"/>
          <w:sz w:val="32"/>
          <w:szCs w:val="32"/>
        </w:rPr>
        <w:t>万元，其中公务用车0辆。</w:t>
      </w:r>
    </w:p>
    <w:p w14:paraId="6132FCBE">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年部门预算未安排购置车辆及单位价值200万元以上大型设备。</w:t>
      </w:r>
    </w:p>
    <w:p w14:paraId="5F9E0FAF">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20" w:name="_Toc27477"/>
      <w:r>
        <w:rPr>
          <w:rFonts w:hint="eastAsia" w:ascii="仿宋_GB2312" w:hAnsi="仿宋_GB2312" w:eastAsia="仿宋_GB2312"/>
          <w:sz w:val="32"/>
          <w:szCs w:val="32"/>
        </w:rPr>
        <w:t>（四）绩效目标设置情况</w:t>
      </w:r>
      <w:bookmarkEnd w:id="20"/>
    </w:p>
    <w:p w14:paraId="2BAFAF1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万元。</w:t>
      </w:r>
    </w:p>
    <w:p w14:paraId="312804C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25607"/>
      <w:r>
        <w:rPr>
          <w:rFonts w:hint="eastAsia" w:ascii="仿宋_GB2312" w:hAnsi="仿宋_GB2312" w:eastAsia="仿宋_GB2312"/>
          <w:sz w:val="32"/>
          <w:szCs w:val="32"/>
        </w:rPr>
        <w:t>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bookmarkEnd w:id="21"/>
    </w:p>
    <w:p w14:paraId="38DCF18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14:paraId="37E1A91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14:paraId="1E38ECB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14:paraId="17E3AE2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14:paraId="6630C70E">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5503C6ED">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w:t>
      </w:r>
    </w:p>
    <w:p w14:paraId="60345C81">
      <w:pPr>
        <w:pStyle w:val="11"/>
        <w:rPr>
          <w:rFonts w:ascii="仿宋_GB2312" w:hAnsi="仿宋_GB2312" w:eastAsia="仿宋_GB2312"/>
          <w:sz w:val="32"/>
          <w:szCs w:val="32"/>
        </w:rPr>
      </w:pPr>
    </w:p>
    <w:p w14:paraId="60D4DC94">
      <w:pPr>
        <w:rPr>
          <w:rFonts w:hint="eastAsia"/>
        </w:rPr>
      </w:pPr>
    </w:p>
    <w:p w14:paraId="5530A40C">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罗江区</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14:paraId="2D0EE63A">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14:paraId="1EF58036">
      <w:pPr>
        <w:keepNext w:val="0"/>
        <w:keepLines w:val="0"/>
        <w:pageBreakBefore w:val="0"/>
        <w:widowControl w:val="0"/>
        <w:kinsoku/>
        <w:wordWrap/>
        <w:overflowPunct/>
        <w:topLinePunct w:val="0"/>
        <w:autoSpaceDE/>
        <w:autoSpaceDN/>
        <w:bidi w:val="0"/>
        <w:adjustRightInd/>
        <w:snapToGrid/>
        <w:spacing w:line="560" w:lineRule="exact"/>
        <w:ind w:left="317" w:leftChars="66"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14:paraId="79978B78">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14:paraId="79CBF77B">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sz w:val="32"/>
          <w:szCs w:val="32"/>
        </w:rPr>
      </w:pPr>
    </w:p>
    <w:p w14:paraId="38ADB0C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14:paraId="631F45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14:paraId="13B26699">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14:paraId="3F5EA729">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14:paraId="3C013B6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14:paraId="55E09DC1">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14:paraId="0A6F4D7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14:paraId="0E488D1B">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14:paraId="446774E1">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14:paraId="4B2753CA">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14:paraId="69C96CC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14:paraId="60045FE6">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14:paraId="2BDDA8C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14:paraId="2F6B1ABB">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5FEB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C99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997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C29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F7F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F13F">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WM0NGFlZTJjMjRiNzc4ODZiMjFmNDZjMWUzMDMifQ=="/>
  </w:docVars>
  <w:rsids>
    <w:rsidRoot w:val="004E4A63"/>
    <w:rsid w:val="00107AF7"/>
    <w:rsid w:val="001A5E61"/>
    <w:rsid w:val="001F59C4"/>
    <w:rsid w:val="00202A4E"/>
    <w:rsid w:val="002144F4"/>
    <w:rsid w:val="00245794"/>
    <w:rsid w:val="00256330"/>
    <w:rsid w:val="002D17ED"/>
    <w:rsid w:val="002F6687"/>
    <w:rsid w:val="00325291"/>
    <w:rsid w:val="00336B03"/>
    <w:rsid w:val="00363AC0"/>
    <w:rsid w:val="003814C4"/>
    <w:rsid w:val="003B021E"/>
    <w:rsid w:val="003B7D33"/>
    <w:rsid w:val="003C1F7D"/>
    <w:rsid w:val="004B52FA"/>
    <w:rsid w:val="004D53A9"/>
    <w:rsid w:val="004E4A63"/>
    <w:rsid w:val="00504316"/>
    <w:rsid w:val="00563314"/>
    <w:rsid w:val="005974F2"/>
    <w:rsid w:val="00597E1A"/>
    <w:rsid w:val="005A0F05"/>
    <w:rsid w:val="005C34FD"/>
    <w:rsid w:val="00640CC1"/>
    <w:rsid w:val="00715A6B"/>
    <w:rsid w:val="007225E2"/>
    <w:rsid w:val="007355E8"/>
    <w:rsid w:val="007365C4"/>
    <w:rsid w:val="007763D5"/>
    <w:rsid w:val="007D2F9C"/>
    <w:rsid w:val="007F67B3"/>
    <w:rsid w:val="008D200E"/>
    <w:rsid w:val="008F70DC"/>
    <w:rsid w:val="009049CB"/>
    <w:rsid w:val="00920087"/>
    <w:rsid w:val="00933755"/>
    <w:rsid w:val="009D554C"/>
    <w:rsid w:val="00A03D47"/>
    <w:rsid w:val="00A35F1B"/>
    <w:rsid w:val="00A46B69"/>
    <w:rsid w:val="00A5551E"/>
    <w:rsid w:val="00A60A56"/>
    <w:rsid w:val="00AB5367"/>
    <w:rsid w:val="00BD7C8D"/>
    <w:rsid w:val="00C96FDA"/>
    <w:rsid w:val="00D14665"/>
    <w:rsid w:val="00DA3F62"/>
    <w:rsid w:val="00DC34F5"/>
    <w:rsid w:val="00E250B2"/>
    <w:rsid w:val="00EE23D3"/>
    <w:rsid w:val="00F1011E"/>
    <w:rsid w:val="00FD2791"/>
    <w:rsid w:val="00FD2F29"/>
    <w:rsid w:val="015D1C05"/>
    <w:rsid w:val="01931A7A"/>
    <w:rsid w:val="0637335D"/>
    <w:rsid w:val="08721B32"/>
    <w:rsid w:val="09475E50"/>
    <w:rsid w:val="0CBC3A4D"/>
    <w:rsid w:val="107514F4"/>
    <w:rsid w:val="11523E41"/>
    <w:rsid w:val="128C4336"/>
    <w:rsid w:val="13522181"/>
    <w:rsid w:val="14A20528"/>
    <w:rsid w:val="1522607F"/>
    <w:rsid w:val="15977BBF"/>
    <w:rsid w:val="16E46FC3"/>
    <w:rsid w:val="171C70B0"/>
    <w:rsid w:val="1887550E"/>
    <w:rsid w:val="199F346B"/>
    <w:rsid w:val="1A6A7BA2"/>
    <w:rsid w:val="1A8B57AF"/>
    <w:rsid w:val="1B2B284C"/>
    <w:rsid w:val="1CFA525B"/>
    <w:rsid w:val="1D903080"/>
    <w:rsid w:val="1FCE268A"/>
    <w:rsid w:val="20E57FD0"/>
    <w:rsid w:val="219353B0"/>
    <w:rsid w:val="22C81958"/>
    <w:rsid w:val="2C6A341C"/>
    <w:rsid w:val="2CBD72B2"/>
    <w:rsid w:val="2DE25C12"/>
    <w:rsid w:val="34E3078B"/>
    <w:rsid w:val="36A4137E"/>
    <w:rsid w:val="38B32671"/>
    <w:rsid w:val="3A447006"/>
    <w:rsid w:val="3A887E53"/>
    <w:rsid w:val="3DF82035"/>
    <w:rsid w:val="41D070DD"/>
    <w:rsid w:val="42991D01"/>
    <w:rsid w:val="42C37705"/>
    <w:rsid w:val="44E1584B"/>
    <w:rsid w:val="4583688D"/>
    <w:rsid w:val="45E34E4D"/>
    <w:rsid w:val="48100521"/>
    <w:rsid w:val="48735D3E"/>
    <w:rsid w:val="4C4C47D7"/>
    <w:rsid w:val="533F4779"/>
    <w:rsid w:val="536F35A6"/>
    <w:rsid w:val="5640122A"/>
    <w:rsid w:val="56B6590F"/>
    <w:rsid w:val="5EBD78BB"/>
    <w:rsid w:val="6362673D"/>
    <w:rsid w:val="65353303"/>
    <w:rsid w:val="699E1AEF"/>
    <w:rsid w:val="6C74376B"/>
    <w:rsid w:val="6CA200F0"/>
    <w:rsid w:val="6F481423"/>
    <w:rsid w:val="6F9D54EF"/>
    <w:rsid w:val="71850FE2"/>
    <w:rsid w:val="74504178"/>
    <w:rsid w:val="77103EEA"/>
    <w:rsid w:val="7BEC0BF2"/>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spacing w:line="540" w:lineRule="exact"/>
      <w:ind w:firstLine="5440" w:firstLineChars="1700"/>
    </w:pPr>
    <w:rPr>
      <w:szCs w:val="32"/>
    </w:rPr>
  </w:style>
  <w:style w:type="paragraph" w:styleId="4">
    <w:name w:val="index 8"/>
    <w:basedOn w:val="1"/>
    <w:next w:val="1"/>
    <w:unhideWhenUsed/>
    <w:qFormat/>
    <w:uiPriority w:val="99"/>
    <w:pPr>
      <w:ind w:left="2940"/>
    </w:pPr>
  </w:style>
  <w:style w:type="paragraph" w:styleId="5">
    <w:name w:val="Body Text"/>
    <w:basedOn w:val="1"/>
    <w:next w:val="4"/>
    <w:link w:val="18"/>
    <w:autoRedefine/>
    <w:qFormat/>
    <w:uiPriority w:val="0"/>
    <w:pPr>
      <w:spacing w:beforeLines="30"/>
    </w:pPr>
    <w:rPr>
      <w:rFonts w:ascii="仿宋_GB2312" w:eastAsia="仿宋_GB2312"/>
      <w:sz w:val="30"/>
    </w:rPr>
  </w:style>
  <w:style w:type="paragraph" w:styleId="6">
    <w:name w:val="Body Text Indent"/>
    <w:basedOn w:val="1"/>
    <w:next w:val="1"/>
    <w:autoRedefine/>
    <w:qFormat/>
    <w:uiPriority w:val="0"/>
    <w:pPr>
      <w:ind w:firstLine="600" w:firstLineChars="200"/>
    </w:pPr>
    <w:rPr>
      <w:rFonts w:eastAsia="仿宋_GB2312"/>
      <w:sz w:val="30"/>
      <w:szCs w:val="24"/>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Body Text First Indent 2"/>
    <w:basedOn w:val="6"/>
    <w:next w:val="1"/>
    <w:qFormat/>
    <w:uiPriority w:val="0"/>
    <w:pPr>
      <w:ind w:firstLine="420"/>
    </w:pPr>
  </w:style>
  <w:style w:type="character" w:styleId="14">
    <w:name w:val="Emphasis"/>
    <w:basedOn w:val="13"/>
    <w:autoRedefine/>
    <w:qFormat/>
    <w:uiPriority w:val="20"/>
  </w:style>
  <w:style w:type="paragraph" w:styleId="15">
    <w:name w:val="List Paragraph"/>
    <w:basedOn w:val="1"/>
    <w:autoRedefine/>
    <w:qFormat/>
    <w:uiPriority w:val="34"/>
    <w:pPr>
      <w:ind w:firstLine="420" w:firstLineChars="200"/>
    </w:pPr>
  </w:style>
  <w:style w:type="character" w:customStyle="1" w:styleId="16">
    <w:name w:val="页眉 Char"/>
    <w:basedOn w:val="13"/>
    <w:link w:val="8"/>
    <w:autoRedefine/>
    <w:qFormat/>
    <w:uiPriority w:val="99"/>
    <w:rPr>
      <w:rFonts w:ascii="宋体" w:hAnsi="Times New Roman" w:eastAsia="宋体" w:cs="Times New Roman"/>
      <w:sz w:val="18"/>
      <w:szCs w:val="18"/>
    </w:rPr>
  </w:style>
  <w:style w:type="character" w:customStyle="1" w:styleId="17">
    <w:name w:val="页脚 Char"/>
    <w:basedOn w:val="13"/>
    <w:link w:val="7"/>
    <w:qFormat/>
    <w:uiPriority w:val="99"/>
    <w:rPr>
      <w:rFonts w:ascii="宋体" w:hAnsi="Times New Roman" w:eastAsia="宋体" w:cs="Times New Roman"/>
      <w:sz w:val="18"/>
      <w:szCs w:val="18"/>
    </w:rPr>
  </w:style>
  <w:style w:type="character" w:customStyle="1" w:styleId="18">
    <w:name w:val="正文文本 Char"/>
    <w:basedOn w:val="13"/>
    <w:link w:val="5"/>
    <w:qFormat/>
    <w:uiPriority w:val="0"/>
    <w:rPr>
      <w:rFonts w:ascii="仿宋_GB2312" w:hAnsi="Times New Roman" w:eastAsia="仿宋_GB2312" w:cs="Times New Roman"/>
      <w:kern w:val="2"/>
      <w:sz w:val="30"/>
      <w:szCs w:val="24"/>
    </w:rPr>
  </w:style>
  <w:style w:type="paragraph" w:customStyle="1" w:styleId="19">
    <w:name w:val="WPSOffice手动目录 1"/>
    <w:autoRedefine/>
    <w:qFormat/>
    <w:uiPriority w:val="0"/>
    <w:pPr>
      <w:ind w:leftChars="0"/>
    </w:pPr>
    <w:rPr>
      <w:rFonts w:ascii="Calibri" w:hAnsi="Calibri" w:eastAsia="宋体" w:cs="Times New Roman"/>
      <w:sz w:val="20"/>
      <w:szCs w:val="20"/>
    </w:rPr>
  </w:style>
  <w:style w:type="paragraph" w:customStyle="1" w:styleId="20">
    <w:name w:val="WPSOffice手动目录 2"/>
    <w:qFormat/>
    <w:uiPriority w:val="0"/>
    <w:pPr>
      <w:ind w:leftChars="200"/>
    </w:pPr>
    <w:rPr>
      <w:rFonts w:ascii="Calibri" w:hAnsi="Calibri" w:eastAsia="宋体" w:cs="Times New Roman"/>
      <w:sz w:val="20"/>
      <w:szCs w:val="20"/>
    </w:rPr>
  </w:style>
  <w:style w:type="character" w:customStyle="1" w:styleId="21">
    <w:name w:val="NormalCharacter"/>
    <w:qFormat/>
    <w:uiPriority w:val="0"/>
    <w:rPr>
      <w:rFonts w:ascii="Times New Roman" w:hAnsi="Times New Roman" w:eastAsia="宋体" w:cs="Times New Roman"/>
      <w:kern w:val="2"/>
      <w:sz w:val="21"/>
      <w:szCs w:val="24"/>
      <w:lang w:val="en-US" w:eastAsia="zh-CN" w:bidi="ar-SA"/>
    </w:rPr>
  </w:style>
  <w:style w:type="paragraph" w:customStyle="1" w:styleId="22">
    <w:name w:val="FootnoteText"/>
    <w:basedOn w:val="1"/>
    <w:autoRedefine/>
    <w:qFormat/>
    <w:uiPriority w:val="0"/>
    <w:pPr>
      <w:snapToGrid w:val="0"/>
      <w:jc w:val="left"/>
      <w:textAlignment w:val="baseline"/>
    </w:pPr>
    <w:rPr>
      <w:rFonts w:ascii="Calibri" w:hAnsi="Calibri" w:eastAsia="宋体"/>
      <w:b/>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3571</Words>
  <Characters>3832</Characters>
  <Lines>24</Lines>
  <Paragraphs>7</Paragraphs>
  <TotalTime>1</TotalTime>
  <ScaleCrop>false</ScaleCrop>
  <LinksUpToDate>false</LinksUpToDate>
  <CharactersWithSpaces>3973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苏二</cp:lastModifiedBy>
  <dcterms:modified xsi:type="dcterms:W3CDTF">2025-01-22T06:10:14Z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C43E1FEBFFE04581865A491D90469F97_13</vt:lpwstr>
  </property>
  <property fmtid="{D5CDD505-2E9C-101B-9397-08002B2CF9AE}" pid="4" name="KSOTemplateDocerSaveRecord">
    <vt:lpwstr>eyJoZGlkIjoiZDgyMWM0NGFlZTJjMjRiNzc4ODZiMjFmNDZjMWUzMDMiLCJ1c2VySWQiOiIxNjU4MzYzMjYxIn0=</vt:lpwstr>
  </property>
</Properties>
</file>