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D0775">
      <w:pPr>
        <w:ind w:firstLine="522" w:firstLineChars="100"/>
        <w:jc w:val="center"/>
        <w:rPr>
          <w:rStyle w:val="13"/>
          <w:rFonts w:hint="eastAsia" w:ascii="ˎ̥" w:hAnsi="ˎ̥" w:eastAsia="宋体"/>
          <w:b/>
          <w:bCs/>
          <w:color w:val="000000"/>
          <w:sz w:val="52"/>
          <w:szCs w:val="52"/>
          <w:lang w:val="en-US" w:eastAsia="zh-CN"/>
        </w:rPr>
      </w:pPr>
    </w:p>
    <w:p w14:paraId="29243FF6">
      <w:pPr>
        <w:ind w:firstLine="522" w:firstLineChars="100"/>
        <w:jc w:val="center"/>
        <w:rPr>
          <w:rStyle w:val="13"/>
          <w:rFonts w:hint="eastAsia" w:ascii="ˎ̥" w:hAnsi="ˎ̥"/>
          <w:b/>
          <w:bCs/>
          <w:color w:val="000000"/>
          <w:sz w:val="52"/>
          <w:szCs w:val="52"/>
        </w:rPr>
      </w:pPr>
    </w:p>
    <w:p w14:paraId="30ED4FAC">
      <w:pPr>
        <w:ind w:firstLine="522" w:firstLineChars="100"/>
        <w:jc w:val="center"/>
        <w:rPr>
          <w:rStyle w:val="13"/>
          <w:rFonts w:hint="eastAsia" w:ascii="ˎ̥" w:hAnsi="ˎ̥"/>
          <w:b/>
          <w:bCs/>
          <w:color w:val="000000"/>
          <w:sz w:val="52"/>
          <w:szCs w:val="52"/>
        </w:rPr>
      </w:pPr>
    </w:p>
    <w:p w14:paraId="6997209B">
      <w:pPr>
        <w:ind w:firstLine="522" w:firstLineChars="100"/>
        <w:jc w:val="center"/>
        <w:rPr>
          <w:rStyle w:val="13"/>
          <w:rFonts w:hint="eastAsia" w:ascii="ˎ̥" w:hAnsi="ˎ̥"/>
          <w:b/>
          <w:bCs/>
          <w:color w:val="000000"/>
          <w:sz w:val="52"/>
          <w:szCs w:val="52"/>
        </w:rPr>
      </w:pPr>
    </w:p>
    <w:p w14:paraId="6C749756">
      <w:pPr>
        <w:ind w:firstLine="522" w:firstLineChars="100"/>
        <w:jc w:val="center"/>
        <w:rPr>
          <w:rStyle w:val="13"/>
          <w:rFonts w:hint="eastAsia" w:ascii="ˎ̥" w:hAnsi="ˎ̥"/>
          <w:b/>
          <w:bCs/>
          <w:color w:val="000000"/>
          <w:sz w:val="52"/>
          <w:szCs w:val="52"/>
        </w:rPr>
      </w:pPr>
    </w:p>
    <w:p w14:paraId="519E5CE6">
      <w:pPr>
        <w:ind w:firstLine="522" w:firstLineChars="100"/>
        <w:jc w:val="center"/>
        <w:rPr>
          <w:rStyle w:val="13"/>
          <w:rFonts w:hint="eastAsia" w:ascii="ˎ̥" w:hAnsi="ˎ̥"/>
          <w:b/>
          <w:bCs/>
          <w:color w:val="000000"/>
          <w:sz w:val="52"/>
          <w:szCs w:val="52"/>
        </w:rPr>
      </w:pPr>
    </w:p>
    <w:p w14:paraId="23D1AB4A">
      <w:pPr>
        <w:ind w:firstLine="522" w:firstLineChars="100"/>
        <w:jc w:val="center"/>
        <w:rPr>
          <w:rStyle w:val="13"/>
          <w:rFonts w:hint="eastAsia" w:ascii="ˎ̥" w:hAnsi="ˎ̥"/>
          <w:b/>
          <w:bCs/>
          <w:color w:val="000000"/>
          <w:sz w:val="52"/>
          <w:szCs w:val="52"/>
        </w:rPr>
      </w:pPr>
    </w:p>
    <w:p w14:paraId="2B02D909">
      <w:pPr>
        <w:ind w:firstLine="522" w:firstLineChars="100"/>
        <w:jc w:val="center"/>
        <w:rPr>
          <w:rStyle w:val="13"/>
          <w:rFonts w:hint="eastAsia" w:ascii="方正小标宋简体" w:hAnsi="方正小标宋简体" w:eastAsia="方正小标宋简体" w:cs="方正小标宋简体"/>
          <w:b/>
          <w:bCs/>
          <w:color w:val="000000"/>
          <w:sz w:val="52"/>
          <w:szCs w:val="52"/>
        </w:rPr>
      </w:pPr>
      <w:r>
        <w:rPr>
          <w:rStyle w:val="13"/>
          <w:rFonts w:hint="eastAsia" w:ascii="方正小标宋简体" w:hAnsi="方正小标宋简体" w:eastAsia="方正小标宋简体" w:cs="方正小标宋简体"/>
          <w:b/>
          <w:bCs/>
          <w:color w:val="000000"/>
          <w:sz w:val="52"/>
          <w:szCs w:val="52"/>
        </w:rPr>
        <w:t>德阳市罗江区发展和改革局</w:t>
      </w:r>
    </w:p>
    <w:p w14:paraId="2DAB606E">
      <w:pPr>
        <w:ind w:firstLine="522" w:firstLineChars="100"/>
        <w:jc w:val="center"/>
        <w:rPr>
          <w:rStyle w:val="13"/>
          <w:rFonts w:hint="eastAsia" w:ascii="方正小标宋简体" w:hAnsi="方正小标宋简体" w:eastAsia="方正小标宋简体" w:cs="方正小标宋简体"/>
          <w:b/>
          <w:bCs/>
          <w:color w:val="000000"/>
          <w:sz w:val="52"/>
          <w:szCs w:val="52"/>
          <w:lang w:eastAsia="zh-CN"/>
        </w:rPr>
      </w:pPr>
      <w:r>
        <w:rPr>
          <w:rStyle w:val="13"/>
          <w:rFonts w:hint="eastAsia" w:ascii="方正小标宋简体" w:hAnsi="方正小标宋简体" w:eastAsia="方正小标宋简体" w:cs="方正小标宋简体"/>
          <w:b/>
          <w:bCs/>
          <w:color w:val="000000"/>
          <w:sz w:val="52"/>
          <w:szCs w:val="52"/>
        </w:rPr>
        <w:t>20</w:t>
      </w:r>
      <w:r>
        <w:rPr>
          <w:rStyle w:val="13"/>
          <w:rFonts w:hint="eastAsia" w:ascii="方正小标宋简体" w:hAnsi="方正小标宋简体" w:eastAsia="方正小标宋简体" w:cs="方正小标宋简体"/>
          <w:b/>
          <w:bCs/>
          <w:color w:val="000000"/>
          <w:sz w:val="52"/>
          <w:szCs w:val="52"/>
          <w:lang w:val="en-US" w:eastAsia="zh-CN"/>
        </w:rPr>
        <w:t>25</w:t>
      </w:r>
      <w:r>
        <w:rPr>
          <w:rStyle w:val="13"/>
          <w:rFonts w:hint="eastAsia" w:ascii="方正小标宋简体" w:hAnsi="方正小标宋简体" w:eastAsia="方正小标宋简体" w:cs="方正小标宋简体"/>
          <w:b/>
          <w:bCs/>
          <w:color w:val="000000"/>
          <w:sz w:val="52"/>
          <w:szCs w:val="52"/>
        </w:rPr>
        <w:t>年部门预算</w:t>
      </w:r>
      <w:r>
        <w:rPr>
          <w:rStyle w:val="13"/>
          <w:rFonts w:hint="eastAsia" w:ascii="方正小标宋简体" w:hAnsi="方正小标宋简体" w:eastAsia="方正小标宋简体" w:cs="方正小标宋简体"/>
          <w:b/>
          <w:bCs/>
          <w:color w:val="000000"/>
          <w:sz w:val="52"/>
          <w:szCs w:val="52"/>
          <w:lang w:eastAsia="zh-CN"/>
        </w:rPr>
        <w:t>公开</w:t>
      </w:r>
    </w:p>
    <w:p w14:paraId="2CDE2666">
      <w:pPr>
        <w:ind w:firstLine="412" w:firstLineChars="100"/>
        <w:jc w:val="center"/>
        <w:rPr>
          <w:rStyle w:val="13"/>
          <w:rFonts w:ascii="ˎ̥" w:hAnsi="ˎ̥"/>
          <w:b/>
          <w:bCs/>
          <w:color w:val="000000"/>
          <w:sz w:val="41"/>
          <w:szCs w:val="41"/>
        </w:rPr>
      </w:pPr>
    </w:p>
    <w:p w14:paraId="30875934">
      <w:pPr>
        <w:ind w:firstLine="412" w:firstLineChars="100"/>
        <w:jc w:val="center"/>
        <w:rPr>
          <w:rStyle w:val="13"/>
          <w:rFonts w:ascii="ˎ̥" w:hAnsi="ˎ̥"/>
          <w:b/>
          <w:bCs/>
          <w:color w:val="000000"/>
          <w:sz w:val="41"/>
          <w:szCs w:val="41"/>
        </w:rPr>
      </w:pPr>
    </w:p>
    <w:p w14:paraId="0CF47D15">
      <w:pPr>
        <w:ind w:firstLine="412" w:firstLineChars="100"/>
        <w:jc w:val="center"/>
        <w:rPr>
          <w:rStyle w:val="13"/>
          <w:rFonts w:ascii="ˎ̥" w:hAnsi="ˎ̥"/>
          <w:b/>
          <w:bCs/>
          <w:color w:val="000000"/>
          <w:sz w:val="41"/>
          <w:szCs w:val="41"/>
        </w:rPr>
      </w:pPr>
    </w:p>
    <w:p w14:paraId="2B3004A8">
      <w:pPr>
        <w:ind w:firstLine="412" w:firstLineChars="100"/>
        <w:jc w:val="center"/>
        <w:rPr>
          <w:rStyle w:val="13"/>
          <w:rFonts w:ascii="ˎ̥" w:hAnsi="ˎ̥"/>
          <w:b/>
          <w:bCs/>
          <w:color w:val="000000"/>
          <w:sz w:val="41"/>
          <w:szCs w:val="41"/>
        </w:rPr>
      </w:pPr>
    </w:p>
    <w:p w14:paraId="6DDC81A5">
      <w:pPr>
        <w:ind w:firstLine="412" w:firstLineChars="100"/>
        <w:jc w:val="center"/>
        <w:rPr>
          <w:rStyle w:val="13"/>
          <w:rFonts w:ascii="ˎ̥" w:hAnsi="ˎ̥"/>
          <w:b/>
          <w:bCs/>
          <w:color w:val="000000"/>
          <w:sz w:val="41"/>
          <w:szCs w:val="41"/>
        </w:rPr>
      </w:pPr>
    </w:p>
    <w:p w14:paraId="3A4535A9">
      <w:pPr>
        <w:ind w:firstLine="412" w:firstLineChars="100"/>
        <w:jc w:val="center"/>
        <w:rPr>
          <w:rStyle w:val="13"/>
          <w:rFonts w:ascii="ˎ̥" w:hAnsi="ˎ̥"/>
          <w:b/>
          <w:bCs/>
          <w:color w:val="000000"/>
          <w:sz w:val="41"/>
          <w:szCs w:val="41"/>
        </w:rPr>
      </w:pPr>
    </w:p>
    <w:p w14:paraId="6826E161">
      <w:pPr>
        <w:ind w:firstLine="412" w:firstLineChars="100"/>
        <w:jc w:val="center"/>
        <w:rPr>
          <w:rStyle w:val="13"/>
          <w:rFonts w:ascii="ˎ̥" w:hAnsi="ˎ̥"/>
          <w:b/>
          <w:bCs/>
          <w:color w:val="000000"/>
          <w:sz w:val="41"/>
          <w:szCs w:val="41"/>
        </w:rPr>
      </w:pPr>
    </w:p>
    <w:p w14:paraId="5249367D">
      <w:pPr>
        <w:ind w:firstLine="412" w:firstLineChars="100"/>
        <w:jc w:val="center"/>
        <w:rPr>
          <w:rStyle w:val="13"/>
          <w:rFonts w:ascii="ˎ̥" w:hAnsi="ˎ̥"/>
          <w:b/>
          <w:bCs/>
          <w:color w:val="000000"/>
          <w:sz w:val="41"/>
          <w:szCs w:val="41"/>
        </w:rPr>
      </w:pPr>
    </w:p>
    <w:p w14:paraId="088B5A94">
      <w:pPr>
        <w:ind w:firstLine="412" w:firstLineChars="100"/>
        <w:jc w:val="center"/>
        <w:rPr>
          <w:rStyle w:val="13"/>
          <w:rFonts w:ascii="ˎ̥" w:hAnsi="ˎ̥"/>
          <w:b/>
          <w:bCs/>
          <w:color w:val="000000"/>
          <w:sz w:val="41"/>
          <w:szCs w:val="41"/>
        </w:rPr>
      </w:pPr>
    </w:p>
    <w:p w14:paraId="39B2EF5A">
      <w:pPr>
        <w:jc w:val="both"/>
        <w:rPr>
          <w:rStyle w:val="13"/>
          <w:rFonts w:ascii="ˎ̥" w:hAnsi="ˎ̥"/>
          <w:b/>
          <w:bCs/>
          <w:color w:val="000000"/>
          <w:sz w:val="41"/>
          <w:szCs w:val="41"/>
        </w:rPr>
      </w:pPr>
    </w:p>
    <w:p w14:paraId="7AAE2013">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44"/>
          <w:szCs w:val="44"/>
        </w:rPr>
        <w:t>目录</w:t>
      </w:r>
    </w:p>
    <w:p w14:paraId="6CCC2682">
      <w:pPr>
        <w:pStyle w:val="23"/>
        <w:keepNext w:val="0"/>
        <w:keepLines w:val="0"/>
        <w:pageBreakBefore w:val="0"/>
        <w:tabs>
          <w:tab w:val="right" w:leader="dot" w:pos="8845"/>
        </w:tabs>
        <w:kinsoku/>
        <w:wordWrap/>
        <w:overflowPunct/>
        <w:topLinePunct w:val="0"/>
        <w:autoSpaceDE/>
        <w:autoSpaceDN/>
        <w:bidi w:val="0"/>
        <w:adjustRightInd/>
        <w:snapToGrid/>
        <w:spacing w:line="460" w:lineRule="exact"/>
        <w:textAlignment w:val="auto"/>
        <w:rPr>
          <w:b/>
          <w:sz w:val="24"/>
          <w:szCs w:val="24"/>
        </w:rPr>
      </w:pPr>
      <w:r>
        <w:rPr>
          <w:rStyle w:val="13"/>
          <w:rFonts w:hint="eastAsia" w:ascii="ˎ̥" w:hAnsi="ˎ̥"/>
          <w:b/>
          <w:bCs/>
          <w:color w:val="000000"/>
          <w:sz w:val="24"/>
          <w:szCs w:val="24"/>
        </w:rPr>
        <w:fldChar w:fldCharType="begin"/>
      </w:r>
      <w:r>
        <w:rPr>
          <w:rStyle w:val="13"/>
          <w:rFonts w:hint="eastAsia" w:ascii="ˎ̥" w:hAnsi="ˎ̥"/>
          <w:b/>
          <w:bCs/>
          <w:color w:val="000000"/>
          <w:sz w:val="24"/>
          <w:szCs w:val="24"/>
        </w:rPr>
        <w:instrText xml:space="preserve">TOC \o "1-2" \h \u </w:instrText>
      </w:r>
      <w:r>
        <w:rPr>
          <w:rStyle w:val="13"/>
          <w:rFonts w:hint="eastAsia" w:ascii="ˎ̥" w:hAnsi="ˎ̥"/>
          <w:b/>
          <w:bCs/>
          <w:color w:val="000000"/>
          <w:sz w:val="24"/>
          <w:szCs w:val="24"/>
        </w:rPr>
        <w:fldChar w:fldCharType="separate"/>
      </w:r>
      <w:r>
        <w:rPr>
          <w:rFonts w:hint="eastAsia" w:ascii="ˎ̥" w:hAnsi="ˎ̥"/>
          <w:b/>
          <w:bCs/>
          <w:color w:val="000000"/>
          <w:sz w:val="24"/>
          <w:szCs w:val="24"/>
        </w:rPr>
        <w:fldChar w:fldCharType="begin"/>
      </w:r>
      <w:r>
        <w:rPr>
          <w:rFonts w:hint="eastAsia" w:ascii="ˎ̥" w:hAnsi="ˎ̥"/>
          <w:b/>
          <w:bCs/>
          <w:sz w:val="24"/>
          <w:szCs w:val="24"/>
        </w:rPr>
        <w:instrText xml:space="preserve"> HYPERLINK \l _Toc28770 </w:instrText>
      </w:r>
      <w:r>
        <w:rPr>
          <w:rFonts w:hint="eastAsia" w:ascii="ˎ̥" w:hAnsi="ˎ̥"/>
          <w:b/>
          <w:bCs/>
          <w:sz w:val="24"/>
          <w:szCs w:val="24"/>
        </w:rPr>
        <w:fldChar w:fldCharType="separate"/>
      </w:r>
      <w:r>
        <w:rPr>
          <w:rFonts w:hint="eastAsia" w:ascii="黑体" w:hAnsi="黑体" w:eastAsia="黑体" w:cs="黑体"/>
          <w:b/>
          <w:sz w:val="24"/>
          <w:szCs w:val="24"/>
        </w:rPr>
        <w:t>一、基本职能及主要工作</w:t>
      </w:r>
      <w:r>
        <w:rPr>
          <w:b/>
          <w:sz w:val="24"/>
          <w:szCs w:val="24"/>
        </w:rPr>
        <w:tab/>
      </w:r>
      <w:r>
        <w:rPr>
          <w:rFonts w:hint="eastAsia"/>
          <w:b/>
          <w:sz w:val="24"/>
          <w:szCs w:val="24"/>
          <w:lang w:val="en-US" w:eastAsia="zh-CN"/>
        </w:rPr>
        <w:t>3</w:t>
      </w:r>
      <w:r>
        <w:rPr>
          <w:rFonts w:hint="eastAsia" w:ascii="ˎ̥" w:hAnsi="ˎ̥"/>
          <w:b/>
          <w:bCs/>
          <w:color w:val="000000"/>
          <w:sz w:val="24"/>
          <w:szCs w:val="24"/>
        </w:rPr>
        <w:fldChar w:fldCharType="end"/>
      </w:r>
    </w:p>
    <w:p w14:paraId="0B39512E">
      <w:pPr>
        <w:pStyle w:val="24"/>
        <w:keepNext w:val="0"/>
        <w:keepLines w:val="0"/>
        <w:pageBreakBefore w:val="0"/>
        <w:tabs>
          <w:tab w:val="right" w:leader="dot" w:pos="8845"/>
        </w:tabs>
        <w:kinsoku/>
        <w:wordWrap/>
        <w:overflowPunct/>
        <w:topLinePunct w:val="0"/>
        <w:autoSpaceDE/>
        <w:autoSpaceDN/>
        <w:bidi w:val="0"/>
        <w:adjustRightInd/>
        <w:snapToGrid/>
        <w:spacing w:line="460" w:lineRule="exact"/>
        <w:ind w:left="0" w:leftChars="0" w:firstLine="480" w:firstLineChars="200"/>
        <w:textAlignment w:val="auto"/>
        <w:rPr>
          <w:sz w:val="24"/>
          <w:szCs w:val="24"/>
        </w:rPr>
      </w:pPr>
      <w:r>
        <w:rPr>
          <w:rFonts w:hint="eastAsia" w:ascii="ˎ̥" w:hAnsi="ˎ̥"/>
          <w:bCs/>
          <w:color w:val="000000"/>
          <w:sz w:val="24"/>
          <w:szCs w:val="24"/>
        </w:rPr>
        <w:fldChar w:fldCharType="begin"/>
      </w:r>
      <w:r>
        <w:rPr>
          <w:rFonts w:hint="eastAsia" w:ascii="ˎ̥" w:hAnsi="ˎ̥"/>
          <w:bCs/>
          <w:sz w:val="24"/>
          <w:szCs w:val="24"/>
        </w:rPr>
        <w:instrText xml:space="preserve"> HYPERLINK \l _Toc21884 </w:instrText>
      </w:r>
      <w:r>
        <w:rPr>
          <w:rFonts w:hint="eastAsia" w:ascii="ˎ̥" w:hAnsi="ˎ̥"/>
          <w:bCs/>
          <w:sz w:val="24"/>
          <w:szCs w:val="24"/>
        </w:rPr>
        <w:fldChar w:fldCharType="separate"/>
      </w:r>
      <w:r>
        <w:rPr>
          <w:rFonts w:hint="eastAsia" w:ascii="楷体_GB2312" w:hAnsi="楷体_GB2312" w:eastAsia="楷体_GB2312" w:cs="楷体_GB2312"/>
          <w:bCs/>
          <w:sz w:val="24"/>
          <w:szCs w:val="24"/>
        </w:rPr>
        <w:t>（一）会</w:t>
      </w:r>
      <w:r>
        <w:rPr>
          <w:rFonts w:hint="eastAsia" w:ascii="楷体_GB2312" w:hAnsi="楷体_GB2312" w:eastAsia="楷体_GB2312" w:cs="楷体_GB2312"/>
          <w:bCs/>
          <w:sz w:val="24"/>
          <w:szCs w:val="24"/>
          <w:lang w:val="en-US" w:eastAsia="zh-CN"/>
        </w:rPr>
        <w:t>计</w:t>
      </w:r>
      <w:r>
        <w:rPr>
          <w:rFonts w:hint="eastAsia" w:ascii="楷体_GB2312" w:hAnsi="楷体_GB2312" w:eastAsia="楷体_GB2312" w:cs="楷体_GB2312"/>
          <w:bCs/>
          <w:sz w:val="24"/>
          <w:szCs w:val="24"/>
        </w:rPr>
        <w:t>机构设置及主要职责</w:t>
      </w:r>
      <w:r>
        <w:rPr>
          <w:sz w:val="24"/>
          <w:szCs w:val="24"/>
        </w:rPr>
        <w:tab/>
      </w:r>
      <w:r>
        <w:rPr>
          <w:rFonts w:hint="eastAsia"/>
          <w:sz w:val="24"/>
          <w:szCs w:val="24"/>
          <w:lang w:val="en-US" w:eastAsia="zh-CN"/>
        </w:rPr>
        <w:t>3</w:t>
      </w:r>
      <w:r>
        <w:rPr>
          <w:rFonts w:hint="eastAsia" w:ascii="ˎ̥" w:hAnsi="ˎ̥"/>
          <w:bCs/>
          <w:color w:val="000000"/>
          <w:sz w:val="24"/>
          <w:szCs w:val="24"/>
        </w:rPr>
        <w:fldChar w:fldCharType="end"/>
      </w:r>
    </w:p>
    <w:p w14:paraId="4FCDF3B2">
      <w:pPr>
        <w:pStyle w:val="24"/>
        <w:keepNext w:val="0"/>
        <w:keepLines w:val="0"/>
        <w:pageBreakBefore w:val="0"/>
        <w:tabs>
          <w:tab w:val="right" w:leader="dot" w:pos="8845"/>
        </w:tabs>
        <w:kinsoku/>
        <w:wordWrap/>
        <w:overflowPunct/>
        <w:topLinePunct w:val="0"/>
        <w:autoSpaceDE/>
        <w:autoSpaceDN/>
        <w:bidi w:val="0"/>
        <w:adjustRightInd/>
        <w:snapToGrid/>
        <w:spacing w:line="460" w:lineRule="exact"/>
        <w:ind w:left="0" w:leftChars="0" w:firstLine="0" w:firstLineChars="0"/>
        <w:textAlignment w:val="auto"/>
        <w:rPr>
          <w:rFonts w:hint="eastAsia" w:eastAsia="宋体"/>
          <w:sz w:val="24"/>
          <w:szCs w:val="24"/>
          <w:lang w:val="en-US" w:eastAsia="zh-CN"/>
        </w:rPr>
      </w:pPr>
      <w:r>
        <w:rPr>
          <w:rFonts w:hint="eastAsia" w:ascii="ˎ̥" w:hAnsi="ˎ̥"/>
          <w:bCs/>
          <w:color w:val="000000"/>
          <w:sz w:val="24"/>
          <w:szCs w:val="24"/>
        </w:rPr>
        <w:fldChar w:fldCharType="begin"/>
      </w:r>
      <w:r>
        <w:rPr>
          <w:rFonts w:hint="eastAsia" w:ascii="ˎ̥" w:hAnsi="ˎ̥"/>
          <w:bCs/>
          <w:sz w:val="24"/>
          <w:szCs w:val="24"/>
        </w:rPr>
        <w:instrText xml:space="preserve"> HYPERLINK \l _Toc818 </w:instrText>
      </w:r>
      <w:r>
        <w:rPr>
          <w:rFonts w:hint="eastAsia" w:ascii="ˎ̥" w:hAnsi="ˎ̥"/>
          <w:bCs/>
          <w:sz w:val="24"/>
          <w:szCs w:val="24"/>
        </w:rPr>
        <w:fldChar w:fldCharType="separate"/>
      </w:r>
      <w:r>
        <w:rPr>
          <w:rFonts w:hint="eastAsia" w:ascii="黑体" w:hAnsi="黑体" w:eastAsia="黑体" w:cs="黑体"/>
          <w:b/>
          <w:sz w:val="24"/>
          <w:szCs w:val="24"/>
          <w:lang w:val="en-US" w:eastAsia="zh-CN"/>
        </w:rPr>
        <w:t>二、</w:t>
      </w:r>
      <w:r>
        <w:rPr>
          <w:rFonts w:hint="eastAsia" w:ascii="黑体" w:hAnsi="黑体" w:eastAsia="黑体" w:cs="黑体"/>
          <w:b/>
          <w:sz w:val="24"/>
          <w:szCs w:val="24"/>
        </w:rPr>
        <w:t>20</w:t>
      </w:r>
      <w:r>
        <w:rPr>
          <w:rFonts w:hint="eastAsia" w:ascii="黑体" w:hAnsi="黑体" w:eastAsia="黑体" w:cs="黑体"/>
          <w:b/>
          <w:sz w:val="24"/>
          <w:szCs w:val="24"/>
          <w:lang w:val="en-US" w:eastAsia="zh-CN"/>
        </w:rPr>
        <w:t>25</w:t>
      </w:r>
      <w:r>
        <w:rPr>
          <w:rFonts w:hint="eastAsia" w:ascii="黑体" w:hAnsi="黑体" w:eastAsia="黑体" w:cs="黑体"/>
          <w:b/>
          <w:sz w:val="24"/>
          <w:szCs w:val="24"/>
        </w:rPr>
        <w:t>年重点工作</w:t>
      </w:r>
      <w:r>
        <w:rPr>
          <w:sz w:val="24"/>
          <w:szCs w:val="24"/>
        </w:rPr>
        <w:tab/>
      </w:r>
      <w:r>
        <w:rPr>
          <w:rFonts w:hint="eastAsia" w:ascii="ˎ̥" w:hAnsi="ˎ̥"/>
          <w:bCs/>
          <w:color w:val="000000"/>
          <w:sz w:val="24"/>
          <w:szCs w:val="24"/>
        </w:rPr>
        <w:fldChar w:fldCharType="end"/>
      </w:r>
      <w:r>
        <w:rPr>
          <w:rFonts w:hint="eastAsia" w:ascii="ˎ̥" w:hAnsi="ˎ̥"/>
          <w:bCs/>
          <w:color w:val="000000"/>
          <w:sz w:val="24"/>
          <w:szCs w:val="24"/>
          <w:lang w:val="en-US" w:eastAsia="zh-CN"/>
        </w:rPr>
        <w:t>7</w:t>
      </w:r>
    </w:p>
    <w:p w14:paraId="6A02BA81">
      <w:pPr>
        <w:pStyle w:val="23"/>
        <w:keepNext w:val="0"/>
        <w:keepLines w:val="0"/>
        <w:pageBreakBefore w:val="0"/>
        <w:widowControl/>
        <w:tabs>
          <w:tab w:val="right" w:leader="dot" w:pos="8845"/>
        </w:tabs>
        <w:kinsoku/>
        <w:wordWrap/>
        <w:overflowPunct/>
        <w:topLinePunct w:val="0"/>
        <w:autoSpaceDE/>
        <w:autoSpaceDN/>
        <w:bidi w:val="0"/>
        <w:adjustRightInd/>
        <w:snapToGrid/>
        <w:spacing w:line="460" w:lineRule="exact"/>
        <w:textAlignment w:val="auto"/>
        <w:rPr>
          <w:rFonts w:hint="default" w:ascii="ˎ̥" w:hAnsi="ˎ̥" w:eastAsia="宋体" w:cs="Times New Roman"/>
          <w:bCs/>
          <w:color w:val="000000"/>
          <w:sz w:val="24"/>
          <w:szCs w:val="24"/>
          <w:lang w:val="en-US" w:eastAsia="zh-CN"/>
        </w:rPr>
      </w:pPr>
      <w:r>
        <w:rPr>
          <w:rFonts w:hint="eastAsia" w:ascii="ˎ̥" w:hAnsi="ˎ̥" w:eastAsia="宋体" w:cs="Times New Roman"/>
          <w:bCs/>
          <w:color w:val="000000"/>
          <w:sz w:val="24"/>
          <w:szCs w:val="24"/>
          <w:lang w:val="en-US" w:eastAsia="zh-CN"/>
        </w:rPr>
        <w:fldChar w:fldCharType="begin"/>
      </w:r>
      <w:r>
        <w:rPr>
          <w:rFonts w:hint="eastAsia" w:ascii="ˎ̥" w:hAnsi="ˎ̥" w:eastAsia="宋体" w:cs="Times New Roman"/>
          <w:bCs/>
          <w:color w:val="000000"/>
          <w:sz w:val="24"/>
          <w:szCs w:val="24"/>
          <w:lang w:val="en-US" w:eastAsia="zh-CN"/>
        </w:rPr>
        <w:instrText xml:space="preserve"> HYPERLINK \l _Toc27442 </w:instrText>
      </w:r>
      <w:r>
        <w:rPr>
          <w:rFonts w:hint="eastAsia" w:ascii="ˎ̥" w:hAnsi="ˎ̥" w:eastAsia="宋体" w:cs="Times New Roman"/>
          <w:bCs/>
          <w:color w:val="000000"/>
          <w:sz w:val="24"/>
          <w:szCs w:val="24"/>
          <w:lang w:val="en-US" w:eastAsia="zh-CN"/>
        </w:rPr>
        <w:fldChar w:fldCharType="separate"/>
      </w:r>
      <w:r>
        <w:rPr>
          <w:rFonts w:hint="eastAsia" w:ascii="黑体" w:hAnsi="黑体" w:eastAsia="黑体" w:cs="黑体"/>
          <w:b/>
          <w:sz w:val="24"/>
          <w:szCs w:val="24"/>
          <w:lang w:val="en-US" w:eastAsia="zh-CN"/>
        </w:rPr>
        <w:t>三、部门预算单位构成</w:t>
      </w:r>
      <w:r>
        <w:rPr>
          <w:rFonts w:hint="eastAsia" w:ascii="ˎ̥" w:hAnsi="ˎ̥" w:eastAsia="宋体" w:cs="Times New Roman"/>
          <w:bCs/>
          <w:color w:val="000000"/>
          <w:sz w:val="24"/>
          <w:szCs w:val="24"/>
          <w:lang w:val="en-US" w:eastAsia="zh-CN"/>
        </w:rPr>
        <w:tab/>
      </w:r>
      <w:r>
        <w:rPr>
          <w:rFonts w:hint="eastAsia" w:ascii="ˎ̥" w:hAnsi="ˎ̥" w:eastAsia="宋体" w:cs="Times New Roman"/>
          <w:bCs/>
          <w:color w:val="000000"/>
          <w:sz w:val="24"/>
          <w:szCs w:val="24"/>
          <w:lang w:val="en-US" w:eastAsia="zh-CN"/>
        </w:rPr>
        <w:fldChar w:fldCharType="end"/>
      </w:r>
      <w:r>
        <w:rPr>
          <w:rFonts w:hint="eastAsia" w:ascii="ˎ̥" w:hAnsi="ˎ̥" w:cs="Times New Roman"/>
          <w:bCs/>
          <w:color w:val="000000"/>
          <w:sz w:val="24"/>
          <w:szCs w:val="24"/>
          <w:lang w:val="en-US" w:eastAsia="zh-CN"/>
        </w:rPr>
        <w:t>9</w:t>
      </w:r>
    </w:p>
    <w:p w14:paraId="26B9D083">
      <w:pPr>
        <w:pStyle w:val="23"/>
        <w:keepNext w:val="0"/>
        <w:keepLines w:val="0"/>
        <w:pageBreakBefore w:val="0"/>
        <w:widowControl/>
        <w:tabs>
          <w:tab w:val="right" w:leader="dot" w:pos="8845"/>
        </w:tabs>
        <w:kinsoku/>
        <w:wordWrap/>
        <w:overflowPunct/>
        <w:topLinePunct w:val="0"/>
        <w:autoSpaceDE/>
        <w:autoSpaceDN/>
        <w:bidi w:val="0"/>
        <w:adjustRightInd/>
        <w:snapToGrid/>
        <w:spacing w:line="460" w:lineRule="exact"/>
        <w:ind w:firstLine="480" w:firstLineChars="200"/>
        <w:textAlignment w:val="auto"/>
        <w:rPr>
          <w:rFonts w:hint="eastAsia" w:ascii="楷体_GB2312" w:hAnsi="楷体_GB2312" w:eastAsia="宋体" w:cs="楷体_GB2312"/>
          <w:bCs/>
          <w:sz w:val="24"/>
          <w:szCs w:val="24"/>
          <w:lang w:val="en-US" w:eastAsia="zh-CN"/>
        </w:rPr>
      </w:pPr>
      <w:r>
        <w:rPr>
          <w:rFonts w:hint="eastAsia" w:ascii="楷体_GB2312" w:hAnsi="楷体_GB2312" w:eastAsia="楷体_GB2312" w:cs="楷体_GB2312"/>
          <w:bCs/>
          <w:sz w:val="24"/>
          <w:szCs w:val="24"/>
          <w:lang w:val="en-US" w:eastAsia="zh-CN"/>
        </w:rPr>
        <w:t>（一）机构情况</w:t>
      </w:r>
      <w:r>
        <w:rPr>
          <w:sz w:val="24"/>
          <w:szCs w:val="24"/>
        </w:rPr>
        <w:tab/>
      </w:r>
      <w:r>
        <w:rPr>
          <w:rFonts w:hint="eastAsia"/>
          <w:sz w:val="24"/>
          <w:szCs w:val="24"/>
          <w:lang w:val="en-US" w:eastAsia="zh-CN"/>
        </w:rPr>
        <w:t>9</w:t>
      </w:r>
    </w:p>
    <w:p w14:paraId="07254FE4">
      <w:pPr>
        <w:pStyle w:val="23"/>
        <w:keepNext w:val="0"/>
        <w:keepLines w:val="0"/>
        <w:pageBreakBefore w:val="0"/>
        <w:widowControl/>
        <w:tabs>
          <w:tab w:val="right" w:leader="dot" w:pos="8845"/>
        </w:tabs>
        <w:kinsoku/>
        <w:wordWrap/>
        <w:overflowPunct/>
        <w:topLinePunct w:val="0"/>
        <w:autoSpaceDE/>
        <w:autoSpaceDN/>
        <w:bidi w:val="0"/>
        <w:adjustRightInd/>
        <w:snapToGrid/>
        <w:spacing w:line="460" w:lineRule="exact"/>
        <w:ind w:firstLine="480" w:firstLineChars="200"/>
        <w:textAlignment w:val="auto"/>
        <w:rPr>
          <w:rFonts w:hint="eastAsia" w:ascii="楷体_GB2312" w:hAnsi="楷体_GB2312" w:eastAsia="宋体" w:cs="楷体_GB2312"/>
          <w:bCs/>
          <w:sz w:val="24"/>
          <w:szCs w:val="24"/>
          <w:lang w:val="en-US" w:eastAsia="zh-CN"/>
        </w:rPr>
      </w:pPr>
      <w:r>
        <w:rPr>
          <w:rFonts w:hint="eastAsia" w:ascii="楷体_GB2312" w:hAnsi="楷体_GB2312" w:eastAsia="楷体_GB2312" w:cs="楷体_GB2312"/>
          <w:bCs/>
          <w:sz w:val="24"/>
          <w:szCs w:val="24"/>
          <w:lang w:val="en-US" w:eastAsia="zh-CN"/>
        </w:rPr>
        <w:t>（二）人员情况</w:t>
      </w:r>
      <w:r>
        <w:rPr>
          <w:sz w:val="24"/>
          <w:szCs w:val="24"/>
        </w:rPr>
        <w:tab/>
      </w:r>
      <w:r>
        <w:rPr>
          <w:rFonts w:hint="eastAsia"/>
          <w:sz w:val="24"/>
          <w:szCs w:val="24"/>
          <w:lang w:val="en-US" w:eastAsia="zh-CN"/>
        </w:rPr>
        <w:t>9</w:t>
      </w:r>
    </w:p>
    <w:p w14:paraId="0468AACB">
      <w:pPr>
        <w:pStyle w:val="23"/>
        <w:keepNext w:val="0"/>
        <w:keepLines w:val="0"/>
        <w:pageBreakBefore w:val="0"/>
        <w:tabs>
          <w:tab w:val="right" w:leader="dot" w:pos="8845"/>
        </w:tabs>
        <w:kinsoku/>
        <w:wordWrap/>
        <w:overflowPunct/>
        <w:topLinePunct w:val="0"/>
        <w:autoSpaceDE/>
        <w:autoSpaceDN/>
        <w:bidi w:val="0"/>
        <w:adjustRightInd/>
        <w:snapToGrid/>
        <w:spacing w:line="460" w:lineRule="exact"/>
        <w:textAlignment w:val="auto"/>
        <w:rPr>
          <w:rFonts w:hint="eastAsia" w:eastAsia="宋体"/>
          <w:b/>
          <w:sz w:val="24"/>
          <w:szCs w:val="24"/>
          <w:lang w:val="en-US" w:eastAsia="zh-CN"/>
        </w:rPr>
      </w:pPr>
      <w:r>
        <w:rPr>
          <w:rFonts w:hint="eastAsia" w:ascii="ˎ̥" w:hAnsi="ˎ̥"/>
          <w:b/>
          <w:bCs/>
          <w:color w:val="000000"/>
          <w:sz w:val="24"/>
          <w:szCs w:val="24"/>
        </w:rPr>
        <w:fldChar w:fldCharType="begin"/>
      </w:r>
      <w:r>
        <w:rPr>
          <w:rFonts w:hint="eastAsia" w:ascii="ˎ̥" w:hAnsi="ˎ̥"/>
          <w:b/>
          <w:bCs/>
          <w:sz w:val="24"/>
          <w:szCs w:val="24"/>
        </w:rPr>
        <w:instrText xml:space="preserve"> HYPERLINK \l _Toc1848 </w:instrText>
      </w:r>
      <w:r>
        <w:rPr>
          <w:rFonts w:hint="eastAsia" w:ascii="ˎ̥" w:hAnsi="ˎ̥"/>
          <w:b/>
          <w:bCs/>
          <w:sz w:val="24"/>
          <w:szCs w:val="24"/>
        </w:rPr>
        <w:fldChar w:fldCharType="separate"/>
      </w:r>
      <w:r>
        <w:rPr>
          <w:rFonts w:hint="eastAsia" w:ascii="ˎ̥" w:hAnsi="ˎ̥"/>
          <w:b/>
          <w:bCs/>
          <w:sz w:val="24"/>
          <w:szCs w:val="24"/>
          <w:lang w:val="en-US" w:eastAsia="zh-CN"/>
        </w:rPr>
        <w:t>四</w:t>
      </w:r>
      <w:r>
        <w:rPr>
          <w:rFonts w:hint="eastAsia" w:ascii="黑体" w:hAnsi="黑体" w:eastAsia="黑体" w:cs="黑体"/>
          <w:b/>
          <w:sz w:val="24"/>
          <w:szCs w:val="24"/>
        </w:rPr>
        <w:t>、收支预算增减变化情况说明</w:t>
      </w:r>
      <w:r>
        <w:rPr>
          <w:b/>
          <w:sz w:val="24"/>
          <w:szCs w:val="24"/>
        </w:rPr>
        <w:tab/>
      </w:r>
      <w:r>
        <w:rPr>
          <w:rFonts w:hint="eastAsia" w:ascii="ˎ̥" w:hAnsi="ˎ̥"/>
          <w:b/>
          <w:bCs/>
          <w:color w:val="000000"/>
          <w:sz w:val="24"/>
          <w:szCs w:val="24"/>
        </w:rPr>
        <w:fldChar w:fldCharType="end"/>
      </w:r>
      <w:r>
        <w:rPr>
          <w:rFonts w:hint="eastAsia" w:ascii="ˎ̥" w:hAnsi="ˎ̥"/>
          <w:b/>
          <w:bCs/>
          <w:color w:val="000000"/>
          <w:sz w:val="24"/>
          <w:szCs w:val="24"/>
          <w:lang w:val="en-US" w:eastAsia="zh-CN"/>
        </w:rPr>
        <w:t>9</w:t>
      </w:r>
    </w:p>
    <w:p w14:paraId="195DE8A3">
      <w:pPr>
        <w:pStyle w:val="24"/>
        <w:keepNext w:val="0"/>
        <w:keepLines w:val="0"/>
        <w:pageBreakBefore w:val="0"/>
        <w:widowControl/>
        <w:tabs>
          <w:tab w:val="right" w:leader="dot" w:pos="8845"/>
        </w:tabs>
        <w:kinsoku/>
        <w:wordWrap/>
        <w:overflowPunct/>
        <w:topLinePunct w:val="0"/>
        <w:autoSpaceDE/>
        <w:autoSpaceDN/>
        <w:bidi w:val="0"/>
        <w:adjustRightInd/>
        <w:snapToGrid/>
        <w:spacing w:line="460" w:lineRule="exact"/>
        <w:ind w:left="0" w:leftChars="0" w:firstLine="480" w:firstLineChars="200"/>
        <w:textAlignment w:val="auto"/>
        <w:rPr>
          <w:rFonts w:hint="eastAsia" w:eastAsia="宋体"/>
          <w:sz w:val="24"/>
          <w:szCs w:val="24"/>
          <w:lang w:val="en-US" w:eastAsia="zh-CN"/>
        </w:rPr>
      </w:pPr>
      <w:r>
        <w:rPr>
          <w:rFonts w:hint="eastAsia" w:ascii="ˎ̥" w:hAnsi="ˎ̥"/>
          <w:bCs/>
          <w:color w:val="000000"/>
          <w:sz w:val="24"/>
          <w:szCs w:val="24"/>
        </w:rPr>
        <w:fldChar w:fldCharType="begin"/>
      </w:r>
      <w:r>
        <w:rPr>
          <w:rFonts w:hint="eastAsia" w:ascii="ˎ̥" w:hAnsi="ˎ̥"/>
          <w:bCs/>
          <w:sz w:val="24"/>
          <w:szCs w:val="24"/>
        </w:rPr>
        <w:instrText xml:space="preserve"> HYPERLINK \l _Toc193 </w:instrText>
      </w:r>
      <w:r>
        <w:rPr>
          <w:rFonts w:hint="eastAsia" w:ascii="ˎ̥" w:hAnsi="ˎ̥"/>
          <w:bCs/>
          <w:sz w:val="24"/>
          <w:szCs w:val="24"/>
        </w:rPr>
        <w:fldChar w:fldCharType="separate"/>
      </w:r>
      <w:r>
        <w:rPr>
          <w:rFonts w:hint="eastAsia" w:ascii="楷体_GB2312" w:hAnsi="楷体_GB2312" w:eastAsia="楷体_GB2312" w:cs="楷体_GB2312"/>
          <w:bCs/>
          <w:sz w:val="24"/>
          <w:szCs w:val="24"/>
        </w:rPr>
        <w:t>（一）收入预算情况</w:t>
      </w:r>
      <w:r>
        <w:rPr>
          <w:sz w:val="24"/>
          <w:szCs w:val="24"/>
        </w:rPr>
        <w:tab/>
      </w:r>
      <w:r>
        <w:rPr>
          <w:rFonts w:hint="eastAsia"/>
          <w:sz w:val="24"/>
          <w:szCs w:val="24"/>
          <w:lang w:val="en-US" w:eastAsia="zh-CN"/>
        </w:rPr>
        <w:t>1</w:t>
      </w:r>
      <w:r>
        <w:rPr>
          <w:rFonts w:hint="eastAsia" w:ascii="ˎ̥" w:hAnsi="ˎ̥"/>
          <w:bCs/>
          <w:color w:val="000000"/>
          <w:sz w:val="24"/>
          <w:szCs w:val="24"/>
        </w:rPr>
        <w:fldChar w:fldCharType="end"/>
      </w:r>
      <w:r>
        <w:rPr>
          <w:rFonts w:hint="eastAsia" w:ascii="ˎ̥" w:hAnsi="ˎ̥"/>
          <w:bCs/>
          <w:color w:val="000000"/>
          <w:sz w:val="24"/>
          <w:szCs w:val="24"/>
          <w:lang w:val="en-US" w:eastAsia="zh-CN"/>
        </w:rPr>
        <w:t>0</w:t>
      </w:r>
    </w:p>
    <w:p w14:paraId="563E8546">
      <w:pPr>
        <w:pStyle w:val="24"/>
        <w:keepNext w:val="0"/>
        <w:keepLines w:val="0"/>
        <w:pageBreakBefore w:val="0"/>
        <w:widowControl/>
        <w:tabs>
          <w:tab w:val="right" w:leader="dot" w:pos="8845"/>
        </w:tabs>
        <w:kinsoku/>
        <w:wordWrap/>
        <w:overflowPunct/>
        <w:topLinePunct w:val="0"/>
        <w:autoSpaceDE/>
        <w:autoSpaceDN/>
        <w:bidi w:val="0"/>
        <w:adjustRightInd/>
        <w:snapToGrid/>
        <w:spacing w:line="460" w:lineRule="exact"/>
        <w:ind w:left="0" w:leftChars="0" w:firstLine="480" w:firstLineChars="200"/>
        <w:textAlignment w:val="auto"/>
        <w:rPr>
          <w:rFonts w:hint="eastAsia" w:ascii="ˎ̥" w:hAnsi="ˎ̥" w:eastAsia="宋体"/>
          <w:bCs/>
          <w:color w:val="000000"/>
          <w:sz w:val="24"/>
          <w:szCs w:val="24"/>
          <w:lang w:val="en-US" w:eastAsia="zh-CN"/>
        </w:rPr>
      </w:pPr>
      <w:r>
        <w:rPr>
          <w:rFonts w:hint="eastAsia" w:ascii="ˎ̥" w:hAnsi="ˎ̥"/>
          <w:bCs/>
          <w:color w:val="000000"/>
          <w:sz w:val="24"/>
          <w:szCs w:val="24"/>
        </w:rPr>
        <w:fldChar w:fldCharType="begin"/>
      </w:r>
      <w:r>
        <w:rPr>
          <w:rFonts w:hint="eastAsia" w:ascii="ˎ̥" w:hAnsi="ˎ̥"/>
          <w:bCs/>
          <w:sz w:val="24"/>
          <w:szCs w:val="24"/>
        </w:rPr>
        <w:instrText xml:space="preserve"> HYPERLINK \l _Toc3651 </w:instrText>
      </w:r>
      <w:r>
        <w:rPr>
          <w:rFonts w:hint="eastAsia" w:ascii="ˎ̥" w:hAnsi="ˎ̥"/>
          <w:bCs/>
          <w:sz w:val="24"/>
          <w:szCs w:val="24"/>
        </w:rPr>
        <w:fldChar w:fldCharType="separate"/>
      </w:r>
      <w:r>
        <w:rPr>
          <w:rFonts w:hint="eastAsia" w:ascii="楷体_GB2312" w:hAnsi="楷体_GB2312" w:eastAsia="楷体_GB2312" w:cs="楷体_GB2312"/>
          <w:bCs/>
          <w:sz w:val="24"/>
          <w:szCs w:val="24"/>
        </w:rPr>
        <w:t>（二）支出预算情况</w:t>
      </w:r>
      <w:r>
        <w:rPr>
          <w:sz w:val="24"/>
          <w:szCs w:val="24"/>
        </w:rPr>
        <w:tab/>
      </w:r>
      <w:r>
        <w:rPr>
          <w:rFonts w:hint="eastAsia"/>
          <w:sz w:val="24"/>
          <w:szCs w:val="24"/>
          <w:lang w:val="en-US" w:eastAsia="zh-CN"/>
        </w:rPr>
        <w:t>1</w:t>
      </w:r>
      <w:r>
        <w:rPr>
          <w:rFonts w:hint="eastAsia" w:ascii="ˎ̥" w:hAnsi="ˎ̥"/>
          <w:bCs/>
          <w:color w:val="000000"/>
          <w:sz w:val="24"/>
          <w:szCs w:val="24"/>
        </w:rPr>
        <w:fldChar w:fldCharType="end"/>
      </w:r>
      <w:r>
        <w:rPr>
          <w:rFonts w:hint="eastAsia" w:ascii="ˎ̥" w:hAnsi="ˎ̥"/>
          <w:bCs/>
          <w:color w:val="000000"/>
          <w:sz w:val="24"/>
          <w:szCs w:val="24"/>
          <w:lang w:val="en-US" w:eastAsia="zh-CN"/>
        </w:rPr>
        <w:t>0</w:t>
      </w:r>
    </w:p>
    <w:p w14:paraId="7F6DE7ED">
      <w:pPr>
        <w:pStyle w:val="24"/>
        <w:keepNext w:val="0"/>
        <w:keepLines w:val="0"/>
        <w:pageBreakBefore w:val="0"/>
        <w:widowControl/>
        <w:tabs>
          <w:tab w:val="right" w:leader="dot" w:pos="8845"/>
        </w:tabs>
        <w:kinsoku/>
        <w:wordWrap/>
        <w:overflowPunct/>
        <w:topLinePunct w:val="0"/>
        <w:autoSpaceDE/>
        <w:autoSpaceDN/>
        <w:bidi w:val="0"/>
        <w:adjustRightInd/>
        <w:snapToGrid/>
        <w:spacing w:line="460" w:lineRule="exact"/>
        <w:ind w:left="0" w:leftChars="0" w:firstLine="0" w:firstLineChars="0"/>
        <w:textAlignment w:val="auto"/>
        <w:rPr>
          <w:rFonts w:hint="default" w:ascii="黑体" w:hAnsi="黑体" w:eastAsia="宋体" w:cs="黑体"/>
          <w:b/>
          <w:sz w:val="24"/>
          <w:szCs w:val="24"/>
          <w:lang w:val="en-US" w:eastAsia="zh-CN"/>
        </w:rPr>
      </w:pPr>
      <w:r>
        <w:rPr>
          <w:rFonts w:hint="eastAsia" w:ascii="黑体" w:hAnsi="黑体" w:eastAsia="黑体" w:cs="黑体"/>
          <w:b/>
          <w:sz w:val="24"/>
          <w:szCs w:val="24"/>
          <w:lang w:val="en-US" w:eastAsia="zh-CN"/>
        </w:rPr>
        <w:t>五、财政拨款收支预算情况说明</w:t>
      </w:r>
      <w:r>
        <w:rPr>
          <w:b/>
          <w:sz w:val="24"/>
          <w:szCs w:val="24"/>
        </w:rPr>
        <w:tab/>
      </w:r>
      <w:r>
        <w:rPr>
          <w:rFonts w:hint="eastAsia"/>
          <w:b/>
          <w:sz w:val="24"/>
          <w:szCs w:val="24"/>
          <w:lang w:val="en-US" w:eastAsia="zh-CN"/>
        </w:rPr>
        <w:t>10</w:t>
      </w:r>
    </w:p>
    <w:p w14:paraId="4FDEC40F">
      <w:pPr>
        <w:pStyle w:val="23"/>
        <w:keepNext w:val="0"/>
        <w:keepLines w:val="0"/>
        <w:pageBreakBefore w:val="0"/>
        <w:tabs>
          <w:tab w:val="right" w:leader="dot" w:pos="8845"/>
        </w:tabs>
        <w:kinsoku/>
        <w:wordWrap/>
        <w:overflowPunct/>
        <w:topLinePunct w:val="0"/>
        <w:autoSpaceDE/>
        <w:autoSpaceDN/>
        <w:bidi w:val="0"/>
        <w:adjustRightInd/>
        <w:snapToGrid/>
        <w:spacing w:line="460" w:lineRule="exact"/>
        <w:textAlignment w:val="auto"/>
        <w:rPr>
          <w:rFonts w:hint="default" w:ascii="ˎ̥" w:hAnsi="ˎ̥"/>
          <w:b/>
          <w:bCs/>
          <w:color w:val="000000"/>
          <w:sz w:val="24"/>
          <w:szCs w:val="24"/>
          <w:lang w:val="en-US" w:eastAsia="zh-CN"/>
        </w:rPr>
      </w:pPr>
      <w:r>
        <w:rPr>
          <w:rFonts w:hint="eastAsia" w:ascii="ˎ̥" w:hAnsi="ˎ̥"/>
          <w:b/>
          <w:bCs/>
          <w:color w:val="000000"/>
          <w:sz w:val="24"/>
          <w:szCs w:val="24"/>
        </w:rPr>
        <w:fldChar w:fldCharType="begin"/>
      </w:r>
      <w:r>
        <w:rPr>
          <w:rFonts w:hint="eastAsia" w:ascii="ˎ̥" w:hAnsi="ˎ̥"/>
          <w:b/>
          <w:bCs/>
          <w:sz w:val="24"/>
          <w:szCs w:val="24"/>
        </w:rPr>
        <w:instrText xml:space="preserve"> HYPERLINK \l _Toc3440 </w:instrText>
      </w:r>
      <w:r>
        <w:rPr>
          <w:rFonts w:hint="eastAsia" w:ascii="ˎ̥" w:hAnsi="ˎ̥"/>
          <w:b/>
          <w:bCs/>
          <w:sz w:val="24"/>
          <w:szCs w:val="24"/>
        </w:rPr>
        <w:fldChar w:fldCharType="separate"/>
      </w:r>
      <w:r>
        <w:rPr>
          <w:rFonts w:hint="eastAsia" w:ascii="ˎ̥" w:hAnsi="ˎ̥"/>
          <w:b/>
          <w:bCs/>
          <w:sz w:val="24"/>
          <w:szCs w:val="24"/>
          <w:lang w:val="en-US" w:eastAsia="zh-CN"/>
        </w:rPr>
        <w:t>六</w:t>
      </w:r>
      <w:r>
        <w:rPr>
          <w:rFonts w:hint="eastAsia" w:ascii="黑体" w:hAnsi="黑体" w:eastAsia="黑体" w:cs="黑体"/>
          <w:b/>
          <w:sz w:val="24"/>
          <w:szCs w:val="24"/>
        </w:rPr>
        <w:t>、一般公共预算当年拨款情况说明</w:t>
      </w:r>
      <w:r>
        <w:rPr>
          <w:b/>
          <w:sz w:val="24"/>
          <w:szCs w:val="24"/>
        </w:rPr>
        <w:tab/>
      </w:r>
      <w:r>
        <w:rPr>
          <w:rFonts w:hint="eastAsia" w:ascii="ˎ̥" w:hAnsi="ˎ̥"/>
          <w:b/>
          <w:bCs/>
          <w:color w:val="000000"/>
          <w:sz w:val="24"/>
          <w:szCs w:val="24"/>
        </w:rPr>
        <w:fldChar w:fldCharType="end"/>
      </w:r>
      <w:r>
        <w:rPr>
          <w:rFonts w:hint="eastAsia" w:ascii="ˎ̥" w:hAnsi="ˎ̥"/>
          <w:b/>
          <w:bCs/>
          <w:color w:val="000000"/>
          <w:sz w:val="24"/>
          <w:szCs w:val="24"/>
          <w:lang w:val="en-US" w:eastAsia="zh-CN"/>
        </w:rPr>
        <w:t>10</w:t>
      </w:r>
    </w:p>
    <w:p w14:paraId="4C39B927">
      <w:pPr>
        <w:pStyle w:val="24"/>
        <w:keepNext w:val="0"/>
        <w:keepLines w:val="0"/>
        <w:pageBreakBefore w:val="0"/>
        <w:tabs>
          <w:tab w:val="right" w:leader="dot" w:pos="8845"/>
        </w:tabs>
        <w:kinsoku/>
        <w:wordWrap/>
        <w:overflowPunct/>
        <w:topLinePunct w:val="0"/>
        <w:autoSpaceDE/>
        <w:autoSpaceDN/>
        <w:bidi w:val="0"/>
        <w:adjustRightInd/>
        <w:snapToGrid/>
        <w:spacing w:line="460" w:lineRule="exact"/>
        <w:ind w:left="0" w:leftChars="0" w:firstLine="480" w:firstLineChars="200"/>
        <w:textAlignment w:val="auto"/>
        <w:rPr>
          <w:rFonts w:hint="default" w:eastAsia="宋体"/>
          <w:sz w:val="24"/>
          <w:szCs w:val="24"/>
          <w:lang w:val="en-US" w:eastAsia="zh-CN"/>
        </w:rPr>
      </w:pPr>
      <w:r>
        <w:rPr>
          <w:rFonts w:hint="eastAsia" w:ascii="ˎ̥" w:hAnsi="ˎ̥"/>
          <w:bCs/>
          <w:color w:val="000000"/>
          <w:sz w:val="24"/>
          <w:szCs w:val="24"/>
        </w:rPr>
        <w:fldChar w:fldCharType="begin"/>
      </w:r>
      <w:r>
        <w:rPr>
          <w:rFonts w:hint="eastAsia" w:ascii="ˎ̥" w:hAnsi="ˎ̥"/>
          <w:bCs/>
          <w:sz w:val="24"/>
          <w:szCs w:val="24"/>
        </w:rPr>
        <w:instrText xml:space="preserve"> HYPERLINK \l _Toc25098 </w:instrText>
      </w:r>
      <w:r>
        <w:rPr>
          <w:rFonts w:hint="eastAsia" w:ascii="ˎ̥" w:hAnsi="ˎ̥"/>
          <w:bCs/>
          <w:sz w:val="24"/>
          <w:szCs w:val="24"/>
        </w:rPr>
        <w:fldChar w:fldCharType="separate"/>
      </w:r>
      <w:r>
        <w:rPr>
          <w:rFonts w:hint="eastAsia" w:ascii="楷体_GB2312" w:hAnsi="楷体_GB2312" w:eastAsia="楷体_GB2312" w:cs="楷体_GB2312"/>
          <w:bCs/>
          <w:sz w:val="24"/>
          <w:szCs w:val="24"/>
        </w:rPr>
        <w:t>（一）一般公共预算当年拨款规模变化情况</w:t>
      </w:r>
      <w:r>
        <w:rPr>
          <w:sz w:val="24"/>
          <w:szCs w:val="24"/>
        </w:rPr>
        <w:tab/>
      </w:r>
      <w:r>
        <w:rPr>
          <w:rFonts w:hint="eastAsia" w:ascii="ˎ̥" w:hAnsi="ˎ̥"/>
          <w:bCs/>
          <w:color w:val="000000"/>
          <w:sz w:val="24"/>
          <w:szCs w:val="24"/>
        </w:rPr>
        <w:fldChar w:fldCharType="end"/>
      </w:r>
      <w:r>
        <w:rPr>
          <w:rFonts w:hint="eastAsia" w:ascii="ˎ̥" w:hAnsi="ˎ̥"/>
          <w:bCs/>
          <w:color w:val="000000"/>
          <w:sz w:val="24"/>
          <w:szCs w:val="24"/>
          <w:lang w:val="en-US" w:eastAsia="zh-CN"/>
        </w:rPr>
        <w:t>10</w:t>
      </w:r>
    </w:p>
    <w:p w14:paraId="39443389">
      <w:pPr>
        <w:pStyle w:val="24"/>
        <w:keepNext w:val="0"/>
        <w:keepLines w:val="0"/>
        <w:pageBreakBefore w:val="0"/>
        <w:tabs>
          <w:tab w:val="right" w:leader="dot" w:pos="8845"/>
        </w:tabs>
        <w:kinsoku/>
        <w:wordWrap/>
        <w:overflowPunct/>
        <w:topLinePunct w:val="0"/>
        <w:autoSpaceDE/>
        <w:autoSpaceDN/>
        <w:bidi w:val="0"/>
        <w:adjustRightInd/>
        <w:snapToGrid/>
        <w:spacing w:line="460" w:lineRule="exact"/>
        <w:ind w:left="0" w:leftChars="0" w:firstLine="480" w:firstLineChars="200"/>
        <w:textAlignment w:val="auto"/>
        <w:rPr>
          <w:rFonts w:hint="default" w:eastAsia="宋体"/>
          <w:sz w:val="24"/>
          <w:szCs w:val="24"/>
          <w:lang w:val="en-US" w:eastAsia="zh-CN"/>
        </w:rPr>
      </w:pPr>
      <w:r>
        <w:rPr>
          <w:rFonts w:hint="eastAsia" w:ascii="ˎ̥" w:hAnsi="ˎ̥"/>
          <w:bCs/>
          <w:color w:val="000000"/>
          <w:sz w:val="24"/>
          <w:szCs w:val="24"/>
        </w:rPr>
        <w:fldChar w:fldCharType="begin"/>
      </w:r>
      <w:r>
        <w:rPr>
          <w:rFonts w:hint="eastAsia" w:ascii="ˎ̥" w:hAnsi="ˎ̥"/>
          <w:bCs/>
          <w:sz w:val="24"/>
          <w:szCs w:val="24"/>
        </w:rPr>
        <w:instrText xml:space="preserve"> HYPERLINK \l _Toc16092 </w:instrText>
      </w:r>
      <w:r>
        <w:rPr>
          <w:rFonts w:hint="eastAsia" w:ascii="ˎ̥" w:hAnsi="ˎ̥"/>
          <w:bCs/>
          <w:sz w:val="24"/>
          <w:szCs w:val="24"/>
        </w:rPr>
        <w:fldChar w:fldCharType="separate"/>
      </w:r>
      <w:r>
        <w:rPr>
          <w:rFonts w:hint="eastAsia" w:ascii="仿宋_GB2312" w:hAnsi="仿宋_GB2312" w:eastAsia="仿宋_GB2312"/>
          <w:bCs/>
          <w:sz w:val="24"/>
          <w:szCs w:val="24"/>
        </w:rPr>
        <w:t>（二）一般公共预算当年拨款结构情况(按照功能科目类写)</w:t>
      </w:r>
      <w:r>
        <w:rPr>
          <w:sz w:val="24"/>
          <w:szCs w:val="24"/>
        </w:rPr>
        <w:tab/>
      </w:r>
      <w:r>
        <w:rPr>
          <w:rFonts w:hint="eastAsia" w:ascii="ˎ̥" w:hAnsi="ˎ̥"/>
          <w:bCs/>
          <w:color w:val="000000"/>
          <w:sz w:val="24"/>
          <w:szCs w:val="24"/>
        </w:rPr>
        <w:fldChar w:fldCharType="end"/>
      </w:r>
      <w:r>
        <w:rPr>
          <w:rFonts w:hint="eastAsia" w:ascii="ˎ̥" w:hAnsi="ˎ̥"/>
          <w:bCs/>
          <w:color w:val="000000"/>
          <w:sz w:val="24"/>
          <w:szCs w:val="24"/>
          <w:lang w:val="en-US" w:eastAsia="zh-CN"/>
        </w:rPr>
        <w:t>11</w:t>
      </w:r>
    </w:p>
    <w:p w14:paraId="3EAA64D0">
      <w:pPr>
        <w:pStyle w:val="24"/>
        <w:keepNext w:val="0"/>
        <w:keepLines w:val="0"/>
        <w:pageBreakBefore w:val="0"/>
        <w:tabs>
          <w:tab w:val="right" w:leader="dot" w:pos="8845"/>
        </w:tabs>
        <w:kinsoku/>
        <w:wordWrap/>
        <w:overflowPunct/>
        <w:topLinePunct w:val="0"/>
        <w:autoSpaceDE/>
        <w:autoSpaceDN/>
        <w:bidi w:val="0"/>
        <w:adjustRightInd/>
        <w:snapToGrid/>
        <w:spacing w:line="460" w:lineRule="exact"/>
        <w:ind w:left="0" w:leftChars="0" w:firstLine="480" w:firstLineChars="200"/>
        <w:textAlignment w:val="auto"/>
        <w:rPr>
          <w:rFonts w:hint="default" w:eastAsia="宋体"/>
          <w:sz w:val="24"/>
          <w:szCs w:val="24"/>
          <w:lang w:val="en-US" w:eastAsia="zh-CN"/>
        </w:rPr>
      </w:pPr>
      <w:r>
        <w:rPr>
          <w:rFonts w:hint="eastAsia" w:ascii="ˎ̥" w:hAnsi="ˎ̥"/>
          <w:bCs/>
          <w:color w:val="000000"/>
          <w:sz w:val="24"/>
          <w:szCs w:val="24"/>
        </w:rPr>
        <w:fldChar w:fldCharType="begin"/>
      </w:r>
      <w:r>
        <w:rPr>
          <w:rFonts w:hint="eastAsia" w:ascii="ˎ̥" w:hAnsi="ˎ̥"/>
          <w:bCs/>
          <w:sz w:val="24"/>
          <w:szCs w:val="24"/>
        </w:rPr>
        <w:instrText xml:space="preserve"> HYPERLINK \l _Toc28341 </w:instrText>
      </w:r>
      <w:r>
        <w:rPr>
          <w:rFonts w:hint="eastAsia" w:ascii="ˎ̥" w:hAnsi="ˎ̥"/>
          <w:bCs/>
          <w:sz w:val="24"/>
          <w:szCs w:val="24"/>
        </w:rPr>
        <w:fldChar w:fldCharType="separate"/>
      </w:r>
      <w:r>
        <w:rPr>
          <w:rFonts w:hint="eastAsia" w:ascii="楷体_GB2312" w:hAnsi="楷体_GB2312" w:eastAsia="楷体_GB2312" w:cs="楷体_GB2312"/>
          <w:bCs/>
          <w:sz w:val="24"/>
          <w:szCs w:val="24"/>
        </w:rPr>
        <w:t>（三）一般公共预算当年拨款具体使用情况（按功能科目类款项写）</w:t>
      </w:r>
      <w:r>
        <w:rPr>
          <w:sz w:val="24"/>
          <w:szCs w:val="24"/>
        </w:rPr>
        <w:tab/>
      </w:r>
      <w:r>
        <w:rPr>
          <w:rFonts w:hint="eastAsia" w:ascii="ˎ̥" w:hAnsi="ˎ̥"/>
          <w:bCs/>
          <w:color w:val="000000"/>
          <w:sz w:val="24"/>
          <w:szCs w:val="24"/>
        </w:rPr>
        <w:fldChar w:fldCharType="end"/>
      </w:r>
      <w:r>
        <w:rPr>
          <w:rFonts w:hint="eastAsia" w:ascii="ˎ̥" w:hAnsi="ˎ̥"/>
          <w:bCs/>
          <w:color w:val="000000"/>
          <w:sz w:val="24"/>
          <w:szCs w:val="24"/>
          <w:lang w:val="en-US" w:eastAsia="zh-CN"/>
        </w:rPr>
        <w:t>11</w:t>
      </w:r>
    </w:p>
    <w:p w14:paraId="73A49AD0">
      <w:pPr>
        <w:pStyle w:val="23"/>
        <w:keepNext w:val="0"/>
        <w:keepLines w:val="0"/>
        <w:pageBreakBefore w:val="0"/>
        <w:tabs>
          <w:tab w:val="right" w:leader="dot" w:pos="8845"/>
        </w:tabs>
        <w:kinsoku/>
        <w:wordWrap/>
        <w:overflowPunct/>
        <w:topLinePunct w:val="0"/>
        <w:autoSpaceDE/>
        <w:autoSpaceDN/>
        <w:bidi w:val="0"/>
        <w:adjustRightInd/>
        <w:snapToGrid/>
        <w:spacing w:line="460" w:lineRule="exact"/>
        <w:textAlignment w:val="auto"/>
        <w:rPr>
          <w:rFonts w:hint="default" w:eastAsia="宋体"/>
          <w:b/>
          <w:sz w:val="24"/>
          <w:szCs w:val="24"/>
          <w:lang w:val="en-US" w:eastAsia="zh-CN"/>
        </w:rPr>
      </w:pPr>
      <w:r>
        <w:rPr>
          <w:rFonts w:hint="eastAsia" w:ascii="ˎ̥" w:hAnsi="ˎ̥"/>
          <w:b/>
          <w:bCs/>
          <w:color w:val="000000"/>
          <w:sz w:val="24"/>
          <w:szCs w:val="24"/>
        </w:rPr>
        <w:fldChar w:fldCharType="begin"/>
      </w:r>
      <w:r>
        <w:rPr>
          <w:rFonts w:hint="eastAsia" w:ascii="ˎ̥" w:hAnsi="ˎ̥"/>
          <w:b/>
          <w:bCs/>
          <w:sz w:val="24"/>
          <w:szCs w:val="24"/>
        </w:rPr>
        <w:instrText xml:space="preserve"> HYPERLINK \l _Toc18858 </w:instrText>
      </w:r>
      <w:r>
        <w:rPr>
          <w:rFonts w:hint="eastAsia" w:ascii="ˎ̥" w:hAnsi="ˎ̥"/>
          <w:b/>
          <w:bCs/>
          <w:sz w:val="24"/>
          <w:szCs w:val="24"/>
        </w:rPr>
        <w:fldChar w:fldCharType="separate"/>
      </w:r>
      <w:r>
        <w:rPr>
          <w:rFonts w:hint="eastAsia" w:ascii="ˎ̥" w:hAnsi="ˎ̥"/>
          <w:b/>
          <w:bCs/>
          <w:sz w:val="24"/>
          <w:szCs w:val="24"/>
          <w:lang w:val="en-US" w:eastAsia="zh-CN"/>
        </w:rPr>
        <w:t>七</w:t>
      </w:r>
      <w:r>
        <w:rPr>
          <w:rFonts w:hint="eastAsia" w:ascii="黑体" w:hAnsi="黑体" w:eastAsia="黑体" w:cs="黑体"/>
          <w:b/>
          <w:sz w:val="24"/>
          <w:szCs w:val="24"/>
        </w:rPr>
        <w:t>、一般公共预算基本支出情况说明</w:t>
      </w:r>
      <w:r>
        <w:rPr>
          <w:b/>
          <w:sz w:val="24"/>
          <w:szCs w:val="24"/>
        </w:rPr>
        <w:tab/>
      </w:r>
      <w:r>
        <w:rPr>
          <w:rFonts w:hint="eastAsia" w:ascii="ˎ̥" w:hAnsi="ˎ̥"/>
          <w:b/>
          <w:bCs/>
          <w:color w:val="000000"/>
          <w:sz w:val="24"/>
          <w:szCs w:val="24"/>
        </w:rPr>
        <w:fldChar w:fldCharType="end"/>
      </w:r>
      <w:r>
        <w:rPr>
          <w:rFonts w:hint="eastAsia" w:ascii="ˎ̥" w:hAnsi="ˎ̥"/>
          <w:b/>
          <w:bCs/>
          <w:color w:val="000000"/>
          <w:sz w:val="24"/>
          <w:szCs w:val="24"/>
          <w:lang w:val="en-US" w:eastAsia="zh-CN"/>
        </w:rPr>
        <w:t>13</w:t>
      </w:r>
    </w:p>
    <w:p w14:paraId="36163A90">
      <w:pPr>
        <w:pStyle w:val="23"/>
        <w:keepNext w:val="0"/>
        <w:keepLines w:val="0"/>
        <w:pageBreakBefore w:val="0"/>
        <w:tabs>
          <w:tab w:val="right" w:leader="dot" w:pos="8845"/>
        </w:tabs>
        <w:kinsoku/>
        <w:wordWrap/>
        <w:overflowPunct/>
        <w:topLinePunct w:val="0"/>
        <w:autoSpaceDE/>
        <w:autoSpaceDN/>
        <w:bidi w:val="0"/>
        <w:adjustRightInd/>
        <w:snapToGrid/>
        <w:spacing w:line="460" w:lineRule="exact"/>
        <w:textAlignment w:val="auto"/>
        <w:rPr>
          <w:rFonts w:hint="default" w:eastAsia="宋体"/>
          <w:b/>
          <w:sz w:val="24"/>
          <w:szCs w:val="24"/>
          <w:lang w:val="en-US" w:eastAsia="zh-CN"/>
        </w:rPr>
      </w:pPr>
      <w:r>
        <w:rPr>
          <w:rFonts w:hint="eastAsia" w:ascii="ˎ̥" w:hAnsi="ˎ̥"/>
          <w:b/>
          <w:bCs/>
          <w:color w:val="000000"/>
          <w:sz w:val="24"/>
          <w:szCs w:val="24"/>
        </w:rPr>
        <w:fldChar w:fldCharType="begin"/>
      </w:r>
      <w:r>
        <w:rPr>
          <w:rFonts w:hint="eastAsia" w:ascii="ˎ̥" w:hAnsi="ˎ̥"/>
          <w:b/>
          <w:bCs/>
          <w:sz w:val="24"/>
          <w:szCs w:val="24"/>
        </w:rPr>
        <w:instrText xml:space="preserve"> HYPERLINK \l _Toc256 </w:instrText>
      </w:r>
      <w:r>
        <w:rPr>
          <w:rFonts w:hint="eastAsia" w:ascii="ˎ̥" w:hAnsi="ˎ̥"/>
          <w:b/>
          <w:bCs/>
          <w:sz w:val="24"/>
          <w:szCs w:val="24"/>
        </w:rPr>
        <w:fldChar w:fldCharType="separate"/>
      </w:r>
      <w:r>
        <w:rPr>
          <w:rFonts w:hint="eastAsia" w:ascii="ˎ̥" w:hAnsi="ˎ̥"/>
          <w:b/>
          <w:bCs/>
          <w:sz w:val="24"/>
          <w:szCs w:val="24"/>
          <w:lang w:val="en-US" w:eastAsia="zh-CN"/>
        </w:rPr>
        <w:t>八</w:t>
      </w:r>
      <w:r>
        <w:rPr>
          <w:rFonts w:hint="eastAsia" w:ascii="黑体" w:hAnsi="黑体" w:eastAsia="黑体" w:cs="黑体"/>
          <w:b/>
          <w:sz w:val="24"/>
          <w:szCs w:val="24"/>
        </w:rPr>
        <w:t>、“三公”经费财政拨款预算安排情况说明</w:t>
      </w:r>
      <w:r>
        <w:rPr>
          <w:b/>
          <w:sz w:val="24"/>
          <w:szCs w:val="24"/>
        </w:rPr>
        <w:tab/>
      </w:r>
      <w:r>
        <w:rPr>
          <w:rFonts w:hint="eastAsia" w:ascii="ˎ̥" w:hAnsi="ˎ̥"/>
          <w:b/>
          <w:bCs/>
          <w:color w:val="000000"/>
          <w:sz w:val="24"/>
          <w:szCs w:val="24"/>
        </w:rPr>
        <w:fldChar w:fldCharType="end"/>
      </w:r>
      <w:r>
        <w:rPr>
          <w:rFonts w:hint="eastAsia" w:ascii="ˎ̥" w:hAnsi="ˎ̥"/>
          <w:b/>
          <w:bCs/>
          <w:color w:val="000000"/>
          <w:sz w:val="24"/>
          <w:szCs w:val="24"/>
          <w:lang w:val="en-US" w:eastAsia="zh-CN"/>
        </w:rPr>
        <w:t>14</w:t>
      </w:r>
    </w:p>
    <w:p w14:paraId="617B4AF9">
      <w:pPr>
        <w:pStyle w:val="23"/>
        <w:keepNext w:val="0"/>
        <w:keepLines w:val="0"/>
        <w:pageBreakBefore w:val="0"/>
        <w:tabs>
          <w:tab w:val="right" w:leader="dot" w:pos="8845"/>
        </w:tabs>
        <w:kinsoku/>
        <w:wordWrap/>
        <w:overflowPunct/>
        <w:topLinePunct w:val="0"/>
        <w:autoSpaceDE/>
        <w:autoSpaceDN/>
        <w:bidi w:val="0"/>
        <w:adjustRightInd/>
        <w:snapToGrid/>
        <w:spacing w:line="460" w:lineRule="exact"/>
        <w:textAlignment w:val="auto"/>
        <w:rPr>
          <w:rFonts w:hint="default" w:eastAsia="宋体"/>
          <w:b/>
          <w:sz w:val="24"/>
          <w:szCs w:val="24"/>
          <w:lang w:val="en-US" w:eastAsia="zh-CN"/>
        </w:rPr>
      </w:pPr>
      <w:r>
        <w:rPr>
          <w:rFonts w:hint="eastAsia" w:ascii="ˎ̥" w:hAnsi="ˎ̥"/>
          <w:b/>
          <w:bCs/>
          <w:color w:val="000000"/>
          <w:sz w:val="24"/>
          <w:szCs w:val="24"/>
        </w:rPr>
        <w:fldChar w:fldCharType="begin"/>
      </w:r>
      <w:r>
        <w:rPr>
          <w:rFonts w:hint="eastAsia" w:ascii="ˎ̥" w:hAnsi="ˎ̥"/>
          <w:b/>
          <w:bCs/>
          <w:sz w:val="24"/>
          <w:szCs w:val="24"/>
        </w:rPr>
        <w:instrText xml:space="preserve"> HYPERLINK \l _Toc11086 </w:instrText>
      </w:r>
      <w:r>
        <w:rPr>
          <w:rFonts w:hint="eastAsia" w:ascii="ˎ̥" w:hAnsi="ˎ̥"/>
          <w:b/>
          <w:bCs/>
          <w:sz w:val="24"/>
          <w:szCs w:val="24"/>
        </w:rPr>
        <w:fldChar w:fldCharType="separate"/>
      </w:r>
      <w:r>
        <w:rPr>
          <w:rFonts w:hint="eastAsia" w:ascii="ˎ̥" w:hAnsi="ˎ̥"/>
          <w:b/>
          <w:bCs/>
          <w:sz w:val="24"/>
          <w:szCs w:val="24"/>
          <w:lang w:val="en-US" w:eastAsia="zh-CN"/>
        </w:rPr>
        <w:t>九</w:t>
      </w:r>
      <w:r>
        <w:rPr>
          <w:rFonts w:hint="eastAsia" w:ascii="黑体" w:hAnsi="黑体" w:eastAsia="黑体" w:cs="黑体"/>
          <w:b/>
          <w:bCs w:val="0"/>
          <w:sz w:val="24"/>
          <w:szCs w:val="24"/>
        </w:rPr>
        <w:t>、政府性基金预算收支情况说明</w:t>
      </w:r>
      <w:r>
        <w:rPr>
          <w:b/>
          <w:sz w:val="24"/>
          <w:szCs w:val="24"/>
        </w:rPr>
        <w:tab/>
      </w:r>
      <w:r>
        <w:rPr>
          <w:rFonts w:hint="eastAsia" w:ascii="ˎ̥" w:hAnsi="ˎ̥"/>
          <w:b/>
          <w:bCs/>
          <w:color w:val="000000"/>
          <w:sz w:val="24"/>
          <w:szCs w:val="24"/>
        </w:rPr>
        <w:fldChar w:fldCharType="end"/>
      </w:r>
      <w:r>
        <w:rPr>
          <w:rFonts w:hint="eastAsia" w:ascii="ˎ̥" w:hAnsi="ˎ̥"/>
          <w:b/>
          <w:bCs/>
          <w:color w:val="000000"/>
          <w:sz w:val="24"/>
          <w:szCs w:val="24"/>
          <w:lang w:val="en-US" w:eastAsia="zh-CN"/>
        </w:rPr>
        <w:t>14</w:t>
      </w:r>
    </w:p>
    <w:p w14:paraId="3C68EAAC">
      <w:pPr>
        <w:pStyle w:val="23"/>
        <w:keepNext w:val="0"/>
        <w:keepLines w:val="0"/>
        <w:pageBreakBefore w:val="0"/>
        <w:widowControl/>
        <w:tabs>
          <w:tab w:val="right" w:leader="dot" w:pos="8845"/>
        </w:tabs>
        <w:kinsoku/>
        <w:wordWrap/>
        <w:overflowPunct/>
        <w:topLinePunct w:val="0"/>
        <w:autoSpaceDE/>
        <w:autoSpaceDN/>
        <w:bidi w:val="0"/>
        <w:adjustRightInd/>
        <w:snapToGrid/>
        <w:spacing w:line="460" w:lineRule="exact"/>
        <w:textAlignment w:val="auto"/>
        <w:rPr>
          <w:rFonts w:hint="default" w:eastAsia="宋体"/>
          <w:b/>
          <w:sz w:val="24"/>
          <w:szCs w:val="24"/>
          <w:lang w:val="en-US" w:eastAsia="zh-CN"/>
        </w:rPr>
      </w:pPr>
      <w:r>
        <w:rPr>
          <w:rFonts w:hint="eastAsia" w:ascii="ˎ̥" w:hAnsi="ˎ̥"/>
          <w:b/>
          <w:bCs/>
          <w:color w:val="000000"/>
          <w:sz w:val="24"/>
          <w:szCs w:val="24"/>
        </w:rPr>
        <w:fldChar w:fldCharType="begin"/>
      </w:r>
      <w:r>
        <w:rPr>
          <w:rFonts w:hint="eastAsia" w:ascii="ˎ̥" w:hAnsi="ˎ̥"/>
          <w:b/>
          <w:bCs/>
          <w:sz w:val="24"/>
          <w:szCs w:val="24"/>
        </w:rPr>
        <w:instrText xml:space="preserve"> HYPERLINK \l _Toc165 </w:instrText>
      </w:r>
      <w:r>
        <w:rPr>
          <w:rFonts w:hint="eastAsia" w:ascii="ˎ̥" w:hAnsi="ˎ̥"/>
          <w:b/>
          <w:bCs/>
          <w:sz w:val="24"/>
          <w:szCs w:val="24"/>
        </w:rPr>
        <w:fldChar w:fldCharType="separate"/>
      </w:r>
      <w:r>
        <w:rPr>
          <w:rFonts w:hint="eastAsia" w:ascii="ˎ̥" w:hAnsi="ˎ̥"/>
          <w:b/>
          <w:bCs/>
          <w:sz w:val="24"/>
          <w:szCs w:val="24"/>
          <w:lang w:val="en-US" w:eastAsia="zh-CN"/>
        </w:rPr>
        <w:t>十</w:t>
      </w:r>
      <w:r>
        <w:rPr>
          <w:rFonts w:hint="eastAsia" w:ascii="黑体" w:hAnsi="黑体" w:eastAsia="黑体" w:cs="黑体"/>
          <w:b/>
          <w:sz w:val="24"/>
          <w:szCs w:val="24"/>
        </w:rPr>
        <w:t>、国有资本经营预算支出情况说明</w:t>
      </w:r>
      <w:r>
        <w:rPr>
          <w:b/>
          <w:sz w:val="24"/>
          <w:szCs w:val="24"/>
        </w:rPr>
        <w:tab/>
      </w:r>
      <w:r>
        <w:rPr>
          <w:rFonts w:hint="eastAsia" w:ascii="ˎ̥" w:hAnsi="ˎ̥"/>
          <w:b/>
          <w:bCs/>
          <w:color w:val="000000"/>
          <w:sz w:val="24"/>
          <w:szCs w:val="24"/>
        </w:rPr>
        <w:fldChar w:fldCharType="end"/>
      </w:r>
      <w:r>
        <w:rPr>
          <w:rFonts w:hint="eastAsia" w:ascii="ˎ̥" w:hAnsi="ˎ̥"/>
          <w:b/>
          <w:bCs/>
          <w:color w:val="000000"/>
          <w:sz w:val="24"/>
          <w:szCs w:val="24"/>
          <w:lang w:val="en-US" w:eastAsia="zh-CN"/>
        </w:rPr>
        <w:t>15</w:t>
      </w:r>
    </w:p>
    <w:p w14:paraId="1FEBC1EE">
      <w:pPr>
        <w:pStyle w:val="23"/>
        <w:keepNext w:val="0"/>
        <w:keepLines w:val="0"/>
        <w:pageBreakBefore w:val="0"/>
        <w:tabs>
          <w:tab w:val="right" w:leader="dot" w:pos="8845"/>
        </w:tabs>
        <w:kinsoku/>
        <w:wordWrap/>
        <w:overflowPunct/>
        <w:topLinePunct w:val="0"/>
        <w:autoSpaceDE/>
        <w:autoSpaceDN/>
        <w:bidi w:val="0"/>
        <w:adjustRightInd/>
        <w:snapToGrid/>
        <w:spacing w:line="460" w:lineRule="exact"/>
        <w:textAlignment w:val="auto"/>
        <w:rPr>
          <w:rFonts w:hint="default" w:eastAsia="宋体"/>
          <w:b/>
          <w:sz w:val="24"/>
          <w:szCs w:val="24"/>
          <w:lang w:val="en-US" w:eastAsia="zh-CN"/>
        </w:rPr>
      </w:pPr>
      <w:r>
        <w:rPr>
          <w:rFonts w:hint="eastAsia" w:ascii="ˎ̥" w:hAnsi="ˎ̥"/>
          <w:b/>
          <w:bCs/>
          <w:color w:val="000000"/>
          <w:sz w:val="24"/>
          <w:szCs w:val="24"/>
        </w:rPr>
        <w:fldChar w:fldCharType="begin"/>
      </w:r>
      <w:r>
        <w:rPr>
          <w:rFonts w:hint="eastAsia" w:ascii="ˎ̥" w:hAnsi="ˎ̥"/>
          <w:b/>
          <w:bCs/>
          <w:sz w:val="24"/>
          <w:szCs w:val="24"/>
        </w:rPr>
        <w:instrText xml:space="preserve"> HYPERLINK \l _Toc29771 </w:instrText>
      </w:r>
      <w:r>
        <w:rPr>
          <w:rFonts w:hint="eastAsia" w:ascii="ˎ̥" w:hAnsi="ˎ̥"/>
          <w:b/>
          <w:bCs/>
          <w:sz w:val="24"/>
          <w:szCs w:val="24"/>
        </w:rPr>
        <w:fldChar w:fldCharType="separate"/>
      </w:r>
      <w:r>
        <w:rPr>
          <w:rFonts w:hint="eastAsia" w:ascii="黑体" w:hAnsi="黑体" w:eastAsia="黑体" w:cs="黑体"/>
          <w:b/>
          <w:sz w:val="24"/>
          <w:szCs w:val="24"/>
        </w:rPr>
        <w:t>十</w:t>
      </w:r>
      <w:r>
        <w:rPr>
          <w:rFonts w:hint="eastAsia" w:ascii="黑体" w:hAnsi="黑体" w:eastAsia="黑体" w:cs="黑体"/>
          <w:b/>
          <w:sz w:val="24"/>
          <w:szCs w:val="24"/>
          <w:lang w:val="en-US" w:eastAsia="zh-CN"/>
        </w:rPr>
        <w:t>一</w:t>
      </w:r>
      <w:r>
        <w:rPr>
          <w:rFonts w:hint="eastAsia" w:ascii="黑体" w:hAnsi="黑体" w:eastAsia="黑体" w:cs="黑体"/>
          <w:b/>
          <w:sz w:val="24"/>
          <w:szCs w:val="24"/>
        </w:rPr>
        <w:t>、其他重要事项的情况说明</w:t>
      </w:r>
      <w:r>
        <w:rPr>
          <w:b/>
          <w:sz w:val="24"/>
          <w:szCs w:val="24"/>
        </w:rPr>
        <w:tab/>
      </w:r>
      <w:r>
        <w:rPr>
          <w:rFonts w:hint="eastAsia" w:ascii="ˎ̥" w:hAnsi="ˎ̥"/>
          <w:b/>
          <w:bCs/>
          <w:color w:val="000000"/>
          <w:sz w:val="24"/>
          <w:szCs w:val="24"/>
        </w:rPr>
        <w:fldChar w:fldCharType="end"/>
      </w:r>
      <w:r>
        <w:rPr>
          <w:rFonts w:hint="eastAsia" w:ascii="ˎ̥" w:hAnsi="ˎ̥"/>
          <w:b/>
          <w:bCs/>
          <w:color w:val="000000"/>
          <w:sz w:val="24"/>
          <w:szCs w:val="24"/>
          <w:lang w:val="en-US" w:eastAsia="zh-CN"/>
        </w:rPr>
        <w:t>15</w:t>
      </w:r>
    </w:p>
    <w:p w14:paraId="11CC2443">
      <w:pPr>
        <w:pStyle w:val="24"/>
        <w:keepNext w:val="0"/>
        <w:keepLines w:val="0"/>
        <w:pageBreakBefore w:val="0"/>
        <w:tabs>
          <w:tab w:val="right" w:leader="dot" w:pos="8845"/>
        </w:tabs>
        <w:kinsoku/>
        <w:wordWrap/>
        <w:overflowPunct/>
        <w:topLinePunct w:val="0"/>
        <w:autoSpaceDE/>
        <w:autoSpaceDN/>
        <w:bidi w:val="0"/>
        <w:adjustRightInd/>
        <w:snapToGrid/>
        <w:spacing w:line="460" w:lineRule="exact"/>
        <w:ind w:left="0" w:leftChars="0" w:firstLine="480" w:firstLineChars="200"/>
        <w:textAlignment w:val="auto"/>
        <w:rPr>
          <w:rFonts w:hint="default" w:eastAsia="宋体"/>
          <w:sz w:val="24"/>
          <w:szCs w:val="24"/>
          <w:lang w:val="en-US" w:eastAsia="zh-CN"/>
        </w:rPr>
      </w:pPr>
      <w:r>
        <w:rPr>
          <w:rFonts w:hint="eastAsia" w:ascii="ˎ̥" w:hAnsi="ˎ̥"/>
          <w:bCs/>
          <w:color w:val="000000"/>
          <w:sz w:val="24"/>
          <w:szCs w:val="24"/>
        </w:rPr>
        <w:fldChar w:fldCharType="begin"/>
      </w:r>
      <w:r>
        <w:rPr>
          <w:rFonts w:hint="eastAsia" w:ascii="ˎ̥" w:hAnsi="ˎ̥"/>
          <w:bCs/>
          <w:sz w:val="24"/>
          <w:szCs w:val="24"/>
        </w:rPr>
        <w:instrText xml:space="preserve"> HYPERLINK \l _Toc11525 </w:instrText>
      </w:r>
      <w:r>
        <w:rPr>
          <w:rFonts w:hint="eastAsia" w:ascii="ˎ̥" w:hAnsi="ˎ̥"/>
          <w:bCs/>
          <w:sz w:val="24"/>
          <w:szCs w:val="24"/>
        </w:rPr>
        <w:fldChar w:fldCharType="separate"/>
      </w:r>
      <w:r>
        <w:rPr>
          <w:rFonts w:hint="eastAsia" w:ascii="仿宋_GB2312" w:hAnsi="仿宋_GB2312" w:eastAsia="仿宋_GB2312"/>
          <w:sz w:val="24"/>
          <w:szCs w:val="24"/>
        </w:rPr>
        <w:t>（一）机关运行经费</w:t>
      </w:r>
      <w:r>
        <w:rPr>
          <w:sz w:val="24"/>
          <w:szCs w:val="24"/>
        </w:rPr>
        <w:tab/>
      </w:r>
      <w:r>
        <w:rPr>
          <w:rFonts w:hint="eastAsia" w:ascii="ˎ̥" w:hAnsi="ˎ̥"/>
          <w:bCs/>
          <w:color w:val="000000"/>
          <w:sz w:val="24"/>
          <w:szCs w:val="24"/>
        </w:rPr>
        <w:fldChar w:fldCharType="end"/>
      </w:r>
      <w:r>
        <w:rPr>
          <w:rFonts w:hint="eastAsia" w:ascii="ˎ̥" w:hAnsi="ˎ̥"/>
          <w:bCs/>
          <w:color w:val="000000"/>
          <w:sz w:val="24"/>
          <w:szCs w:val="24"/>
          <w:lang w:val="en-US" w:eastAsia="zh-CN"/>
        </w:rPr>
        <w:t>15</w:t>
      </w:r>
    </w:p>
    <w:p w14:paraId="3034B90C">
      <w:pPr>
        <w:pStyle w:val="24"/>
        <w:keepNext w:val="0"/>
        <w:keepLines w:val="0"/>
        <w:pageBreakBefore w:val="0"/>
        <w:tabs>
          <w:tab w:val="right" w:leader="dot" w:pos="8845"/>
        </w:tabs>
        <w:kinsoku/>
        <w:wordWrap/>
        <w:overflowPunct/>
        <w:topLinePunct w:val="0"/>
        <w:autoSpaceDE/>
        <w:autoSpaceDN/>
        <w:bidi w:val="0"/>
        <w:adjustRightInd/>
        <w:snapToGrid/>
        <w:spacing w:line="460" w:lineRule="exact"/>
        <w:ind w:left="0" w:leftChars="0" w:firstLine="480" w:firstLineChars="200"/>
        <w:textAlignment w:val="auto"/>
        <w:rPr>
          <w:rFonts w:hint="default" w:eastAsia="宋体"/>
          <w:sz w:val="24"/>
          <w:szCs w:val="24"/>
          <w:lang w:val="en-US" w:eastAsia="zh-CN"/>
        </w:rPr>
      </w:pPr>
      <w:r>
        <w:rPr>
          <w:rFonts w:hint="eastAsia" w:ascii="ˎ̥" w:hAnsi="ˎ̥"/>
          <w:bCs/>
          <w:color w:val="000000"/>
          <w:sz w:val="24"/>
          <w:szCs w:val="24"/>
        </w:rPr>
        <w:fldChar w:fldCharType="begin"/>
      </w:r>
      <w:r>
        <w:rPr>
          <w:rFonts w:hint="eastAsia" w:ascii="ˎ̥" w:hAnsi="ˎ̥"/>
          <w:bCs/>
          <w:sz w:val="24"/>
          <w:szCs w:val="24"/>
        </w:rPr>
        <w:instrText xml:space="preserve"> HYPERLINK \l _Toc15299 </w:instrText>
      </w:r>
      <w:r>
        <w:rPr>
          <w:rFonts w:hint="eastAsia" w:ascii="ˎ̥" w:hAnsi="ˎ̥"/>
          <w:bCs/>
          <w:sz w:val="24"/>
          <w:szCs w:val="24"/>
        </w:rPr>
        <w:fldChar w:fldCharType="separate"/>
      </w:r>
      <w:r>
        <w:rPr>
          <w:rFonts w:hint="eastAsia" w:ascii="仿宋_GB2312" w:hAnsi="仿宋_GB2312" w:eastAsia="仿宋_GB2312"/>
          <w:sz w:val="24"/>
          <w:szCs w:val="24"/>
        </w:rPr>
        <w:t>（二）政府采购情况</w:t>
      </w:r>
      <w:r>
        <w:rPr>
          <w:sz w:val="24"/>
          <w:szCs w:val="24"/>
        </w:rPr>
        <w:tab/>
      </w:r>
      <w:r>
        <w:rPr>
          <w:rFonts w:hint="eastAsia" w:ascii="ˎ̥" w:hAnsi="ˎ̥"/>
          <w:bCs/>
          <w:color w:val="000000"/>
          <w:sz w:val="24"/>
          <w:szCs w:val="24"/>
        </w:rPr>
        <w:fldChar w:fldCharType="end"/>
      </w:r>
      <w:r>
        <w:rPr>
          <w:rFonts w:hint="eastAsia" w:ascii="ˎ̥" w:hAnsi="ˎ̥"/>
          <w:bCs/>
          <w:color w:val="000000"/>
          <w:sz w:val="24"/>
          <w:szCs w:val="24"/>
          <w:lang w:val="en-US" w:eastAsia="zh-CN"/>
        </w:rPr>
        <w:t>15</w:t>
      </w:r>
    </w:p>
    <w:p w14:paraId="4016BDA6">
      <w:pPr>
        <w:pStyle w:val="24"/>
        <w:keepNext w:val="0"/>
        <w:keepLines w:val="0"/>
        <w:pageBreakBefore w:val="0"/>
        <w:tabs>
          <w:tab w:val="right" w:leader="dot" w:pos="8845"/>
        </w:tabs>
        <w:kinsoku/>
        <w:wordWrap/>
        <w:overflowPunct/>
        <w:topLinePunct w:val="0"/>
        <w:autoSpaceDE/>
        <w:autoSpaceDN/>
        <w:bidi w:val="0"/>
        <w:adjustRightInd/>
        <w:snapToGrid/>
        <w:spacing w:line="460" w:lineRule="exact"/>
        <w:ind w:left="0" w:leftChars="0" w:firstLine="480" w:firstLineChars="200"/>
        <w:textAlignment w:val="auto"/>
        <w:rPr>
          <w:rFonts w:hint="default" w:eastAsia="宋体"/>
          <w:sz w:val="24"/>
          <w:szCs w:val="24"/>
          <w:lang w:val="en-US" w:eastAsia="zh-CN"/>
        </w:rPr>
      </w:pPr>
      <w:r>
        <w:rPr>
          <w:rFonts w:hint="eastAsia" w:ascii="ˎ̥" w:hAnsi="ˎ̥"/>
          <w:bCs/>
          <w:color w:val="000000"/>
          <w:sz w:val="24"/>
          <w:szCs w:val="24"/>
        </w:rPr>
        <w:fldChar w:fldCharType="begin"/>
      </w:r>
      <w:r>
        <w:rPr>
          <w:rFonts w:hint="eastAsia" w:ascii="ˎ̥" w:hAnsi="ˎ̥"/>
          <w:bCs/>
          <w:sz w:val="24"/>
          <w:szCs w:val="24"/>
        </w:rPr>
        <w:instrText xml:space="preserve"> HYPERLINK \l _Toc18679 </w:instrText>
      </w:r>
      <w:r>
        <w:rPr>
          <w:rFonts w:hint="eastAsia" w:ascii="ˎ̥" w:hAnsi="ˎ̥"/>
          <w:bCs/>
          <w:sz w:val="24"/>
          <w:szCs w:val="24"/>
        </w:rPr>
        <w:fldChar w:fldCharType="separate"/>
      </w:r>
      <w:r>
        <w:rPr>
          <w:rFonts w:hint="eastAsia" w:ascii="仿宋_GB2312" w:hAnsi="仿宋_GB2312" w:eastAsia="仿宋_GB2312"/>
          <w:sz w:val="24"/>
          <w:szCs w:val="24"/>
        </w:rPr>
        <w:t>（三）国有资产占有使用情况</w:t>
      </w:r>
      <w:r>
        <w:rPr>
          <w:sz w:val="24"/>
          <w:szCs w:val="24"/>
        </w:rPr>
        <w:tab/>
      </w:r>
      <w:r>
        <w:rPr>
          <w:rFonts w:hint="eastAsia" w:ascii="ˎ̥" w:hAnsi="ˎ̥"/>
          <w:bCs/>
          <w:color w:val="000000"/>
          <w:sz w:val="24"/>
          <w:szCs w:val="24"/>
        </w:rPr>
        <w:fldChar w:fldCharType="end"/>
      </w:r>
      <w:r>
        <w:rPr>
          <w:rFonts w:hint="eastAsia" w:ascii="ˎ̥" w:hAnsi="ˎ̥"/>
          <w:bCs/>
          <w:color w:val="000000"/>
          <w:sz w:val="24"/>
          <w:szCs w:val="24"/>
          <w:lang w:val="en-US" w:eastAsia="zh-CN"/>
        </w:rPr>
        <w:t>15</w:t>
      </w:r>
    </w:p>
    <w:p w14:paraId="04B55C5F">
      <w:pPr>
        <w:pStyle w:val="24"/>
        <w:keepNext w:val="0"/>
        <w:keepLines w:val="0"/>
        <w:pageBreakBefore w:val="0"/>
        <w:tabs>
          <w:tab w:val="right" w:leader="dot" w:pos="8845"/>
        </w:tabs>
        <w:kinsoku/>
        <w:wordWrap/>
        <w:overflowPunct/>
        <w:topLinePunct w:val="0"/>
        <w:autoSpaceDE/>
        <w:autoSpaceDN/>
        <w:bidi w:val="0"/>
        <w:adjustRightInd/>
        <w:snapToGrid/>
        <w:spacing w:line="460" w:lineRule="exact"/>
        <w:ind w:left="0" w:leftChars="0" w:firstLine="480" w:firstLineChars="200"/>
        <w:textAlignment w:val="auto"/>
        <w:rPr>
          <w:rFonts w:hint="default" w:eastAsia="宋体"/>
          <w:sz w:val="24"/>
          <w:szCs w:val="24"/>
          <w:lang w:val="en-US" w:eastAsia="zh-CN"/>
        </w:rPr>
      </w:pPr>
      <w:r>
        <w:rPr>
          <w:rFonts w:hint="eastAsia" w:ascii="ˎ̥" w:hAnsi="ˎ̥"/>
          <w:bCs/>
          <w:color w:val="000000"/>
          <w:sz w:val="24"/>
          <w:szCs w:val="24"/>
        </w:rPr>
        <w:fldChar w:fldCharType="begin"/>
      </w:r>
      <w:r>
        <w:rPr>
          <w:rFonts w:hint="eastAsia" w:ascii="ˎ̥" w:hAnsi="ˎ̥"/>
          <w:bCs/>
          <w:sz w:val="24"/>
          <w:szCs w:val="24"/>
        </w:rPr>
        <w:instrText xml:space="preserve"> HYPERLINK \l _Toc2176 </w:instrText>
      </w:r>
      <w:r>
        <w:rPr>
          <w:rFonts w:hint="eastAsia" w:ascii="ˎ̥" w:hAnsi="ˎ̥"/>
          <w:bCs/>
          <w:sz w:val="24"/>
          <w:szCs w:val="24"/>
        </w:rPr>
        <w:fldChar w:fldCharType="separate"/>
      </w:r>
      <w:r>
        <w:rPr>
          <w:rFonts w:hint="eastAsia" w:ascii="仿宋_GB2312" w:hAnsi="仿宋_GB2312" w:eastAsia="仿宋_GB2312"/>
          <w:sz w:val="24"/>
          <w:szCs w:val="24"/>
        </w:rPr>
        <w:t>（四）绩效目标设置情况</w:t>
      </w:r>
      <w:r>
        <w:rPr>
          <w:sz w:val="24"/>
          <w:szCs w:val="24"/>
        </w:rPr>
        <w:tab/>
      </w:r>
      <w:r>
        <w:rPr>
          <w:rFonts w:hint="eastAsia" w:ascii="ˎ̥" w:hAnsi="ˎ̥"/>
          <w:bCs/>
          <w:color w:val="000000"/>
          <w:sz w:val="24"/>
          <w:szCs w:val="24"/>
        </w:rPr>
        <w:fldChar w:fldCharType="end"/>
      </w:r>
      <w:r>
        <w:rPr>
          <w:rFonts w:hint="eastAsia" w:ascii="ˎ̥" w:hAnsi="ˎ̥"/>
          <w:bCs/>
          <w:color w:val="000000"/>
          <w:sz w:val="24"/>
          <w:szCs w:val="24"/>
          <w:lang w:val="en-US" w:eastAsia="zh-CN"/>
        </w:rPr>
        <w:t>15</w:t>
      </w:r>
    </w:p>
    <w:p w14:paraId="17B259F2">
      <w:pPr>
        <w:pStyle w:val="23"/>
        <w:keepNext w:val="0"/>
        <w:keepLines w:val="0"/>
        <w:pageBreakBefore w:val="0"/>
        <w:tabs>
          <w:tab w:val="right" w:leader="dot" w:pos="8845"/>
        </w:tabs>
        <w:kinsoku/>
        <w:wordWrap/>
        <w:overflowPunct/>
        <w:topLinePunct w:val="0"/>
        <w:autoSpaceDE/>
        <w:autoSpaceDN/>
        <w:bidi w:val="0"/>
        <w:adjustRightInd/>
        <w:snapToGrid/>
        <w:spacing w:line="460" w:lineRule="exact"/>
        <w:textAlignment w:val="auto"/>
        <w:rPr>
          <w:rFonts w:hint="default" w:eastAsia="宋体"/>
          <w:b/>
          <w:sz w:val="24"/>
          <w:szCs w:val="24"/>
          <w:lang w:val="en-US" w:eastAsia="zh-CN"/>
        </w:rPr>
      </w:pPr>
      <w:r>
        <w:rPr>
          <w:rFonts w:hint="eastAsia" w:ascii="ˎ̥" w:hAnsi="ˎ̥"/>
          <w:b/>
          <w:bCs/>
          <w:color w:val="000000"/>
          <w:sz w:val="24"/>
          <w:szCs w:val="24"/>
        </w:rPr>
        <w:fldChar w:fldCharType="begin"/>
      </w:r>
      <w:r>
        <w:rPr>
          <w:rFonts w:hint="eastAsia" w:ascii="ˎ̥" w:hAnsi="ˎ̥"/>
          <w:b/>
          <w:bCs/>
          <w:sz w:val="24"/>
          <w:szCs w:val="24"/>
        </w:rPr>
        <w:instrText xml:space="preserve"> HYPERLINK \l _Toc6693 </w:instrText>
      </w:r>
      <w:r>
        <w:rPr>
          <w:rFonts w:hint="eastAsia" w:ascii="ˎ̥" w:hAnsi="ˎ̥"/>
          <w:b/>
          <w:bCs/>
          <w:sz w:val="24"/>
          <w:szCs w:val="24"/>
        </w:rPr>
        <w:fldChar w:fldCharType="separate"/>
      </w:r>
      <w:r>
        <w:rPr>
          <w:rFonts w:hint="eastAsia" w:ascii="仿宋_GB2312" w:hAnsi="仿宋_GB2312" w:eastAsia="仿宋_GB2312"/>
          <w:b/>
          <w:sz w:val="24"/>
          <w:szCs w:val="24"/>
        </w:rPr>
        <w:t>十</w:t>
      </w:r>
      <w:r>
        <w:rPr>
          <w:rFonts w:hint="eastAsia" w:ascii="仿宋_GB2312" w:hAnsi="仿宋_GB2312" w:eastAsia="仿宋_GB2312"/>
          <w:b/>
          <w:sz w:val="24"/>
          <w:szCs w:val="24"/>
          <w:lang w:val="en-US" w:eastAsia="zh-CN"/>
        </w:rPr>
        <w:t>二</w:t>
      </w:r>
      <w:r>
        <w:rPr>
          <w:rFonts w:hint="eastAsia" w:ascii="仿宋_GB2312" w:hAnsi="仿宋_GB2312" w:eastAsia="仿宋_GB2312"/>
          <w:b/>
          <w:sz w:val="24"/>
          <w:szCs w:val="24"/>
        </w:rPr>
        <w:t>、名词解释</w:t>
      </w:r>
      <w:r>
        <w:rPr>
          <w:b/>
          <w:sz w:val="24"/>
          <w:szCs w:val="24"/>
        </w:rPr>
        <w:tab/>
      </w:r>
      <w:r>
        <w:rPr>
          <w:rFonts w:hint="eastAsia" w:ascii="ˎ̥" w:hAnsi="ˎ̥"/>
          <w:b/>
          <w:bCs/>
          <w:color w:val="000000"/>
          <w:sz w:val="24"/>
          <w:szCs w:val="24"/>
        </w:rPr>
        <w:fldChar w:fldCharType="end"/>
      </w:r>
      <w:r>
        <w:rPr>
          <w:rFonts w:hint="eastAsia" w:ascii="ˎ̥" w:hAnsi="ˎ̥"/>
          <w:b/>
          <w:bCs/>
          <w:color w:val="000000"/>
          <w:sz w:val="24"/>
          <w:szCs w:val="24"/>
          <w:lang w:val="en-US" w:eastAsia="zh-CN"/>
        </w:rPr>
        <w:t>16</w:t>
      </w:r>
    </w:p>
    <w:p w14:paraId="48459579">
      <w:pPr>
        <w:keepNext w:val="0"/>
        <w:keepLines w:val="0"/>
        <w:pageBreakBefore w:val="0"/>
        <w:kinsoku/>
        <w:wordWrap/>
        <w:overflowPunct/>
        <w:topLinePunct w:val="0"/>
        <w:autoSpaceDE/>
        <w:autoSpaceDN/>
        <w:bidi w:val="0"/>
        <w:adjustRightInd/>
        <w:snapToGrid/>
        <w:spacing w:line="460" w:lineRule="exact"/>
        <w:jc w:val="both"/>
        <w:textAlignment w:val="auto"/>
        <w:rPr>
          <w:rStyle w:val="13"/>
          <w:rFonts w:hint="eastAsia" w:ascii="方正小标宋简体" w:hAnsi="方正小标宋简体" w:eastAsia="方正小标宋简体" w:cs="方正小标宋简体"/>
          <w:b/>
          <w:bCs/>
          <w:color w:val="000000"/>
          <w:sz w:val="44"/>
          <w:szCs w:val="44"/>
          <w:lang w:val="en-US" w:eastAsia="zh-CN"/>
        </w:rPr>
      </w:pPr>
      <w:r>
        <w:rPr>
          <w:rFonts w:hint="eastAsia" w:ascii="ˎ̥" w:hAnsi="ˎ̥"/>
          <w:b/>
          <w:bCs/>
          <w:color w:val="000000"/>
          <w:sz w:val="24"/>
          <w:szCs w:val="24"/>
        </w:rPr>
        <w:fldChar w:fldCharType="end"/>
      </w:r>
      <w:r>
        <w:rPr>
          <w:rFonts w:hint="eastAsia" w:ascii="ˎ̥" w:hAnsi="ˎ̥"/>
          <w:b/>
          <w:bCs/>
          <w:color w:val="000000"/>
          <w:sz w:val="24"/>
          <w:szCs w:val="24"/>
          <w:lang w:val="en-US" w:eastAsia="zh-CN"/>
        </w:rPr>
        <w:t xml:space="preserve">                </w:t>
      </w:r>
      <w:r>
        <w:rPr>
          <w:rStyle w:val="13"/>
          <w:rFonts w:hint="eastAsia" w:ascii="方正小标宋简体" w:hAnsi="方正小标宋简体" w:eastAsia="方正小标宋简体" w:cs="方正小标宋简体"/>
          <w:b/>
          <w:bCs/>
          <w:color w:val="000000"/>
          <w:sz w:val="44"/>
          <w:szCs w:val="44"/>
          <w:lang w:val="en-US" w:eastAsia="zh-CN"/>
        </w:rPr>
        <w:t xml:space="preserve"> </w:t>
      </w:r>
    </w:p>
    <w:p w14:paraId="34A50360">
      <w:pPr>
        <w:keepNext w:val="0"/>
        <w:keepLines w:val="0"/>
        <w:pageBreakBefore w:val="0"/>
        <w:kinsoku/>
        <w:wordWrap/>
        <w:overflowPunct/>
        <w:topLinePunct w:val="0"/>
        <w:autoSpaceDE/>
        <w:autoSpaceDN/>
        <w:bidi w:val="0"/>
        <w:adjustRightInd/>
        <w:snapToGrid/>
        <w:spacing w:line="460" w:lineRule="exact"/>
        <w:jc w:val="both"/>
        <w:textAlignment w:val="auto"/>
        <w:rPr>
          <w:rStyle w:val="13"/>
          <w:rFonts w:hint="eastAsia" w:ascii="方正小标宋简体" w:hAnsi="方正小标宋简体" w:eastAsia="方正小标宋简体" w:cs="方正小标宋简体"/>
          <w:b/>
          <w:bCs/>
          <w:color w:val="000000"/>
          <w:sz w:val="44"/>
          <w:szCs w:val="44"/>
          <w:lang w:val="en-US" w:eastAsia="zh-CN"/>
        </w:rPr>
      </w:pPr>
      <w:bookmarkStart w:id="0" w:name="_GoBack"/>
      <w:bookmarkEnd w:id="0"/>
    </w:p>
    <w:p w14:paraId="42DC233C">
      <w:pPr>
        <w:keepNext w:val="0"/>
        <w:keepLines w:val="0"/>
        <w:pageBreakBefore w:val="0"/>
        <w:kinsoku/>
        <w:wordWrap/>
        <w:overflowPunct/>
        <w:topLinePunct w:val="0"/>
        <w:autoSpaceDE/>
        <w:autoSpaceDN/>
        <w:bidi w:val="0"/>
        <w:adjustRightInd/>
        <w:snapToGrid/>
        <w:spacing w:line="460" w:lineRule="exact"/>
        <w:jc w:val="both"/>
        <w:textAlignment w:val="auto"/>
        <w:rPr>
          <w:rStyle w:val="13"/>
          <w:rFonts w:hint="eastAsia" w:ascii="方正小标宋简体" w:hAnsi="方正小标宋简体" w:eastAsia="方正小标宋简体" w:cs="方正小标宋简体"/>
          <w:b/>
          <w:bCs/>
          <w:color w:val="000000"/>
          <w:sz w:val="44"/>
          <w:szCs w:val="44"/>
          <w:lang w:val="en-US" w:eastAsia="zh-CN"/>
        </w:rPr>
      </w:pPr>
    </w:p>
    <w:p w14:paraId="2CE2DE93">
      <w:pPr>
        <w:keepNext w:val="0"/>
        <w:keepLines w:val="0"/>
        <w:pageBreakBefore w:val="0"/>
        <w:kinsoku/>
        <w:wordWrap/>
        <w:overflowPunct/>
        <w:topLinePunct w:val="0"/>
        <w:autoSpaceDE/>
        <w:autoSpaceDN/>
        <w:bidi w:val="0"/>
        <w:adjustRightInd/>
        <w:snapToGrid/>
        <w:spacing w:line="460" w:lineRule="exact"/>
        <w:ind w:firstLine="2209" w:firstLineChars="500"/>
        <w:jc w:val="both"/>
        <w:textAlignment w:val="auto"/>
        <w:rPr>
          <w:rStyle w:val="13"/>
          <w:rFonts w:hint="eastAsia" w:ascii="方正小标宋简体" w:hAnsi="方正小标宋简体" w:eastAsia="方正小标宋简体" w:cs="方正小标宋简体"/>
          <w:b/>
          <w:bCs/>
          <w:color w:val="000000"/>
          <w:sz w:val="44"/>
          <w:szCs w:val="44"/>
        </w:rPr>
      </w:pPr>
      <w:r>
        <w:rPr>
          <w:rStyle w:val="13"/>
          <w:rFonts w:hint="eastAsia" w:ascii="方正小标宋简体" w:hAnsi="方正小标宋简体" w:eastAsia="方正小标宋简体" w:cs="方正小标宋简体"/>
          <w:b/>
          <w:bCs/>
          <w:color w:val="000000"/>
          <w:sz w:val="44"/>
          <w:szCs w:val="44"/>
        </w:rPr>
        <w:t>德阳市罗江区发展和改革局</w:t>
      </w:r>
    </w:p>
    <w:p w14:paraId="1FD23344">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Style w:val="13"/>
          <w:rFonts w:hint="eastAsia" w:ascii="方正小标宋简体" w:hAnsi="方正小标宋简体" w:eastAsia="方正小标宋简体" w:cs="方正小标宋简体"/>
          <w:b/>
          <w:bCs/>
          <w:color w:val="000000"/>
          <w:sz w:val="44"/>
          <w:szCs w:val="44"/>
        </w:rPr>
      </w:pPr>
      <w:r>
        <w:rPr>
          <w:rStyle w:val="13"/>
          <w:rFonts w:hint="eastAsia" w:ascii="方正小标宋简体" w:hAnsi="方正小标宋简体" w:eastAsia="方正小标宋简体" w:cs="方正小标宋简体"/>
          <w:b/>
          <w:bCs/>
          <w:color w:val="000000"/>
          <w:sz w:val="44"/>
          <w:szCs w:val="44"/>
        </w:rPr>
        <w:t>20</w:t>
      </w:r>
      <w:r>
        <w:rPr>
          <w:rStyle w:val="13"/>
          <w:rFonts w:hint="eastAsia" w:ascii="方正小标宋简体" w:hAnsi="方正小标宋简体" w:eastAsia="方正小标宋简体" w:cs="方正小标宋简体"/>
          <w:b/>
          <w:bCs/>
          <w:color w:val="000000"/>
          <w:sz w:val="44"/>
          <w:szCs w:val="44"/>
          <w:lang w:val="en-US" w:eastAsia="zh-CN"/>
        </w:rPr>
        <w:t>25</w:t>
      </w:r>
      <w:r>
        <w:rPr>
          <w:rStyle w:val="13"/>
          <w:rFonts w:hint="eastAsia" w:ascii="方正小标宋简体" w:hAnsi="方正小标宋简体" w:eastAsia="方正小标宋简体" w:cs="方正小标宋简体"/>
          <w:b/>
          <w:bCs/>
          <w:color w:val="000000"/>
          <w:sz w:val="44"/>
          <w:szCs w:val="44"/>
        </w:rPr>
        <w:t>年部门预算编制说明</w:t>
      </w:r>
    </w:p>
    <w:p w14:paraId="646173B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14:paraId="76A73285">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基本职能及主要工作</w:t>
      </w:r>
    </w:p>
    <w:p w14:paraId="1E6156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kern w:val="0"/>
          <w:sz w:val="32"/>
          <w:szCs w:val="32"/>
          <w:shd w:val="clear" w:color="auto" w:fill="FFFFFF"/>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lang w:val="en-US" w:eastAsia="zh-CN"/>
        </w:rPr>
        <w:t>德阳市</w:t>
      </w:r>
      <w:r>
        <w:rPr>
          <w:rFonts w:hint="eastAsia" w:ascii="楷体_GB2312" w:hAnsi="楷体_GB2312" w:eastAsia="楷体_GB2312" w:cs="楷体_GB2312"/>
          <w:color w:val="000000"/>
          <w:kern w:val="0"/>
          <w:sz w:val="32"/>
          <w:szCs w:val="32"/>
          <w:shd w:val="clear" w:color="auto" w:fill="FFFFFF"/>
        </w:rPr>
        <w:t>罗江区发展和改革局的主要职责是：</w:t>
      </w:r>
    </w:p>
    <w:p w14:paraId="78948A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仿宋_GB2312" w:eastAsia="仿宋_GB2312"/>
          <w:sz w:val="32"/>
        </w:rPr>
      </w:pPr>
      <w:r>
        <w:rPr>
          <w:rFonts w:hint="eastAsia" w:ascii="仿宋_GB2312" w:eastAsia="仿宋_GB2312"/>
          <w:sz w:val="32"/>
          <w:lang w:val="en-US" w:eastAsia="zh-CN"/>
        </w:rPr>
        <w:t>1.</w:t>
      </w:r>
      <w:r>
        <w:rPr>
          <w:rFonts w:hint="eastAsia" w:ascii="仿宋_GB2312" w:eastAsia="仿宋_GB2312"/>
          <w:sz w:val="32"/>
        </w:rPr>
        <w:t>负责拟订并组织实施全区国民经济和社会发展中长期规划和年度计划，统筹协调全区经济社会发展，研究分析宏观经济形势，提出全区经济社会发展、经济结构优化、价格总水平调控目标和政策建议，衔接、平衡各主要行业的行业规划，加强实施过程中的宏观调控。受区政府委托向区人大提交国民经济和社会发展计划报告。</w:t>
      </w:r>
    </w:p>
    <w:p w14:paraId="482880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仿宋_GB2312" w:eastAsia="仿宋_GB2312"/>
          <w:sz w:val="32"/>
        </w:rPr>
      </w:pPr>
      <w:r>
        <w:rPr>
          <w:rFonts w:hint="eastAsia" w:ascii="仿宋_GB2312" w:eastAsia="仿宋_GB2312"/>
          <w:sz w:val="32"/>
          <w:lang w:val="en-US" w:eastAsia="zh-CN"/>
        </w:rPr>
        <w:t>2.</w:t>
      </w:r>
      <w:r>
        <w:rPr>
          <w:rFonts w:hint="eastAsia" w:ascii="仿宋_GB2312" w:eastAsia="仿宋_GB2312"/>
          <w:sz w:val="32"/>
        </w:rPr>
        <w:t>负责监测全区宏观经济和社会发展态势，承担预测预警和信息引导的责任，组织研究宏观调控重大问题并提出政策建议，综合协调经济社会发展中的重大问题。</w:t>
      </w:r>
    </w:p>
    <w:p w14:paraId="581660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仿宋_GB2312" w:eastAsia="仿宋_GB2312"/>
          <w:sz w:val="32"/>
        </w:rPr>
      </w:pPr>
      <w:r>
        <w:rPr>
          <w:rFonts w:hint="eastAsia" w:ascii="仿宋_GB2312" w:eastAsia="仿宋_GB2312"/>
          <w:sz w:val="32"/>
          <w:lang w:val="en-US" w:eastAsia="zh-CN"/>
        </w:rPr>
        <w:t>3.</w:t>
      </w:r>
      <w:r>
        <w:rPr>
          <w:rFonts w:hint="eastAsia" w:ascii="仿宋_GB2312" w:eastAsia="仿宋_GB2312"/>
          <w:sz w:val="32"/>
        </w:rPr>
        <w:t>负责汇总分析全区财政、金融等方面情况，参与制订财政、金融、土地政策，综合分析政策执行效果，负责提出多渠道融资的政策建议，综合协调财政、金融、价格和产业政策等经济杠杆以及我区直接掌握的经济手段的使用，保证全区国民经济计划和发展规划的实施。</w:t>
      </w:r>
    </w:p>
    <w:p w14:paraId="0AF680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eastAsia="仿宋_GB2312"/>
          <w:sz w:val="32"/>
        </w:rPr>
      </w:pPr>
      <w:r>
        <w:rPr>
          <w:rFonts w:hint="eastAsia" w:ascii="仿宋_GB2312" w:eastAsia="仿宋_GB2312"/>
          <w:sz w:val="32"/>
          <w:lang w:val="en-US" w:eastAsia="zh-CN"/>
        </w:rPr>
        <w:t>4.</w:t>
      </w:r>
      <w:r>
        <w:rPr>
          <w:rFonts w:hint="eastAsia" w:ascii="仿宋_GB2312" w:eastAsia="仿宋_GB2312"/>
          <w:sz w:val="32"/>
        </w:rPr>
        <w:t>负责贯彻实施国家和省价格法律、法规和方针、政策，编制和执行价格调整改革规划，管理国家、省列名管理的商品和服务价格，监管实行市场调节价的商品和服务价格，承担行政事业性收费管理工作，负责全区价格成本调查监审、价格监测、价格认证等工作。</w:t>
      </w:r>
    </w:p>
    <w:p w14:paraId="797E2E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仿宋_GB2312" w:eastAsia="仿宋_GB2312"/>
          <w:sz w:val="32"/>
        </w:rPr>
      </w:pPr>
      <w:r>
        <w:rPr>
          <w:rFonts w:hint="eastAsia" w:ascii="仿宋_GB2312" w:eastAsia="仿宋_GB2312"/>
          <w:sz w:val="32"/>
          <w:lang w:val="en-US" w:eastAsia="zh-CN"/>
        </w:rPr>
        <w:t>5.</w:t>
      </w:r>
      <w:r>
        <w:rPr>
          <w:rFonts w:hint="eastAsia" w:ascii="仿宋_GB2312" w:eastAsia="仿宋_GB2312"/>
          <w:sz w:val="32"/>
        </w:rPr>
        <w:t>负责拟订全社会固定资产投资中长期规划和年度计划，协调建设资金，储备建设项目；研究提出利用外资和境外投资的规划、总量平衡和结构优化的目标和政策；按规定权限审批、核准、备案或转报固定资产投资项目；引导民间投资方向。</w:t>
      </w:r>
    </w:p>
    <w:p w14:paraId="0EB78A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仿宋_GB2312" w:eastAsia="仿宋_GB2312"/>
          <w:sz w:val="32"/>
        </w:rPr>
      </w:pPr>
      <w:r>
        <w:rPr>
          <w:rFonts w:hint="eastAsia" w:ascii="仿宋_GB2312" w:eastAsia="仿宋_GB2312"/>
          <w:sz w:val="32"/>
          <w:lang w:val="en-US" w:eastAsia="zh-CN"/>
        </w:rPr>
        <w:t>6.</w:t>
      </w:r>
      <w:r>
        <w:rPr>
          <w:rFonts w:hint="eastAsia" w:ascii="仿宋_GB2312" w:eastAsia="仿宋_GB2312"/>
          <w:sz w:val="32"/>
        </w:rPr>
        <w:t>推进经济结构战略性调整。负责研究分析全区经济结构的状况，提出优化所有制结构的建议，拟定促进全区多种经济成分公平竞争和共同发展的政策措施；提出全区重要经济产业的发展战略和规划，推进产业结构战略性调整和升级；研究并协调农业和农村经济社会发展的有关重大问题；衔接农村专项规划和政策；综合协调产业发展战略、发展规划；拟定全区能源交通发展战略和规划，做好能源供需预测和综合平衡；研究提出全区高新技术产业战略和发展规划，推进重大科技成果的产业化，实施技术进步和产业现代化的宏观指导。</w:t>
      </w:r>
    </w:p>
    <w:p w14:paraId="156E28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仿宋_GB2312" w:eastAsia="仿宋_GB2312"/>
          <w:sz w:val="32"/>
        </w:rPr>
      </w:pPr>
      <w:r>
        <w:rPr>
          <w:rFonts w:hint="eastAsia" w:ascii="仿宋_GB2312" w:eastAsia="仿宋_GB2312"/>
          <w:sz w:val="32"/>
          <w:lang w:val="en-US" w:eastAsia="zh-CN"/>
        </w:rPr>
        <w:t>7.</w:t>
      </w:r>
      <w:r>
        <w:rPr>
          <w:rFonts w:hint="eastAsia" w:ascii="仿宋_GB2312" w:eastAsia="仿宋_GB2312"/>
          <w:sz w:val="32"/>
        </w:rPr>
        <w:t>促进城乡区域协调发展。组织编制全区主体功能区规划并协调规划实施和进行监测评估，组织拟订区域协调发展战略、规划和重大政策，研究提出城镇化发展战略和统筹城乡发展的重大政策，负责地区经济协作的统筹协调。</w:t>
      </w:r>
    </w:p>
    <w:p w14:paraId="5689E4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仿宋_GB2312" w:eastAsia="仿宋_GB2312"/>
          <w:sz w:val="32"/>
        </w:rPr>
      </w:pPr>
      <w:r>
        <w:rPr>
          <w:rFonts w:hint="eastAsia" w:ascii="仿宋_GB2312" w:eastAsia="仿宋_GB2312"/>
          <w:sz w:val="32"/>
          <w:lang w:val="en-US" w:eastAsia="zh-CN"/>
        </w:rPr>
        <w:t>8.</w:t>
      </w:r>
      <w:r>
        <w:rPr>
          <w:rFonts w:hint="eastAsia" w:ascii="仿宋_GB2312" w:eastAsia="仿宋_GB2312"/>
          <w:sz w:val="32"/>
        </w:rPr>
        <w:t>负责全区人口和计划生育、科学技术、教育、文化、卫生、民政以及国防动员等社会发展与国民经济发展的政策衔接，组织拟订经济与社会协调发展、相互促进的政策，协调社会事业发展和政策中的重大问题及政策。研究提出促进就业、调整收入分配、完善社会保障与经济协调发展的政策建议。</w:t>
      </w:r>
    </w:p>
    <w:p w14:paraId="66DC7C5F">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1"/>
        <w:rPr>
          <w:rFonts w:ascii="仿宋_GB2312" w:eastAsia="仿宋_GB2312"/>
          <w:sz w:val="32"/>
        </w:rPr>
      </w:pPr>
      <w:r>
        <w:rPr>
          <w:rFonts w:hint="eastAsia" w:ascii="仿宋_GB2312" w:eastAsia="仿宋_GB2312"/>
          <w:sz w:val="32"/>
          <w:lang w:val="en-US" w:eastAsia="zh-CN"/>
        </w:rPr>
        <w:t>9.</w:t>
      </w:r>
      <w:r>
        <w:rPr>
          <w:rFonts w:hint="eastAsia" w:ascii="仿宋_GB2312" w:eastAsia="仿宋_GB2312"/>
          <w:sz w:val="32"/>
        </w:rPr>
        <w:t>负责指导和协调全区招标投标工作，对重大建设项目建设过程中的工程招标投标活动实施监督检查。</w:t>
      </w:r>
    </w:p>
    <w:p w14:paraId="79A5CEFE">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1"/>
        <w:rPr>
          <w:rFonts w:ascii="仿宋_GB2312" w:eastAsia="仿宋_GB2312"/>
          <w:sz w:val="32"/>
        </w:rPr>
      </w:pPr>
      <w:r>
        <w:rPr>
          <w:rFonts w:hint="eastAsia" w:ascii="仿宋_GB2312" w:eastAsia="仿宋_GB2312"/>
          <w:sz w:val="32"/>
          <w:lang w:val="en-US" w:eastAsia="zh-CN"/>
        </w:rPr>
        <w:t>10.</w:t>
      </w:r>
      <w:r>
        <w:rPr>
          <w:rFonts w:hint="eastAsia" w:ascii="仿宋_GB2312" w:eastAsia="仿宋_GB2312"/>
          <w:sz w:val="32"/>
        </w:rPr>
        <w:t>负责组织编制全区国民经济动员与装备动员规划、计划，研究国民经济动员与装备动员和国民经济、国防建设的关系，协调相关重大问题，组织实施国民经济动员与装备动员有关工作。</w:t>
      </w:r>
    </w:p>
    <w:p w14:paraId="0DB4EC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仿宋_GB2312" w:eastAsia="仿宋_GB2312"/>
          <w:sz w:val="32"/>
        </w:rPr>
      </w:pPr>
      <w:r>
        <w:rPr>
          <w:rFonts w:hint="eastAsia" w:ascii="仿宋_GB2312" w:eastAsia="仿宋_GB2312"/>
          <w:sz w:val="32"/>
          <w:lang w:val="en-US" w:eastAsia="zh-CN"/>
        </w:rPr>
        <w:t>11.</w:t>
      </w:r>
      <w:r>
        <w:rPr>
          <w:rFonts w:hint="eastAsia" w:ascii="仿宋_GB2312" w:eastAsia="仿宋_GB2312"/>
          <w:sz w:val="32"/>
        </w:rPr>
        <w:t>承担全区经济体制改革工作，研究经济体制改革和对外开放的重大问题，组织拟订综合性经济体制改革方案，协调有关专项经济体制改革方案，会同有关部门搞好重要专项经济体制改革之间的衔接。</w:t>
      </w:r>
    </w:p>
    <w:p w14:paraId="6614E7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eastAsia="仿宋_GB2312"/>
          <w:sz w:val="32"/>
        </w:rPr>
      </w:pPr>
      <w:r>
        <w:rPr>
          <w:rFonts w:hint="eastAsia" w:ascii="仿宋_GB2312" w:eastAsia="仿宋_GB2312"/>
          <w:sz w:val="32"/>
          <w:lang w:val="en-US" w:eastAsia="zh-CN"/>
        </w:rPr>
        <w:t>12.</w:t>
      </w:r>
      <w:r>
        <w:rPr>
          <w:rFonts w:hint="eastAsia" w:ascii="仿宋_GB2312" w:eastAsia="仿宋_GB2312"/>
          <w:sz w:val="32"/>
        </w:rPr>
        <w:t>承担区重点项目领导小组的具体工作。</w:t>
      </w:r>
    </w:p>
    <w:p w14:paraId="2AA7CA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仿宋_GB2312" w:eastAsia="仿宋_GB2312"/>
          <w:sz w:val="32"/>
        </w:rPr>
      </w:pPr>
      <w:r>
        <w:rPr>
          <w:rFonts w:hint="eastAsia" w:ascii="仿宋_GB2312" w:eastAsia="仿宋_GB2312"/>
          <w:sz w:val="32"/>
          <w:lang w:val="en-US" w:eastAsia="zh-CN"/>
        </w:rPr>
        <w:t>13.</w:t>
      </w:r>
      <w:r>
        <w:rPr>
          <w:rFonts w:hint="eastAsia" w:ascii="仿宋_GB2312" w:eastAsia="仿宋_GB2312"/>
          <w:sz w:val="32"/>
        </w:rPr>
        <w:t>贯彻执行中央、省、市粮食流通和储备粮管理的方针、政策及法律、法规；拟定全区粮食流通体制改革方案并组织实施，推动国有粮食企业改革；提出发展现代粮食流通产业战略建议；监督执行粮食流通、库存监督检查等相关管理制度；承担粮食行政调解、行政复议、行政应诉工作。</w:t>
      </w:r>
    </w:p>
    <w:p w14:paraId="36C211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仿宋_GB2312" w:eastAsia="仿宋_GB2312"/>
          <w:sz w:val="32"/>
        </w:rPr>
      </w:pPr>
      <w:r>
        <w:rPr>
          <w:rFonts w:hint="eastAsia" w:ascii="仿宋_GB2312" w:eastAsia="仿宋_GB2312"/>
          <w:sz w:val="32"/>
          <w:lang w:val="en-US" w:eastAsia="zh-CN"/>
        </w:rPr>
        <w:t>14.</w:t>
      </w:r>
      <w:r>
        <w:rPr>
          <w:rFonts w:hint="eastAsia" w:ascii="仿宋_GB2312" w:eastAsia="仿宋_GB2312"/>
          <w:sz w:val="32"/>
        </w:rPr>
        <w:t>承担粮食预警监测，负责全区粮食宏观调控具体工作，指导全区粮食系统统计工作；研究提出全区粮食宏观调控、总量平衡以及粮食流通中长期规划的建议；监督执行国家粮食最低收购价政策；会同有关部门发展优质、专用粮食订单生产，培育发展粮食龙头企业；管理社会粮食流通，负责全区粮食余缺调剂。</w:t>
      </w:r>
    </w:p>
    <w:p w14:paraId="04A44A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仿宋_GB2312" w:eastAsia="仿宋_GB2312"/>
          <w:sz w:val="32"/>
        </w:rPr>
      </w:pPr>
      <w:r>
        <w:rPr>
          <w:rFonts w:hint="eastAsia" w:ascii="仿宋_GB2312" w:eastAsia="仿宋_GB2312"/>
          <w:sz w:val="32"/>
          <w:lang w:val="en-US" w:eastAsia="zh-CN"/>
        </w:rPr>
        <w:t>15.</w:t>
      </w:r>
      <w:r>
        <w:rPr>
          <w:rFonts w:hint="eastAsia" w:ascii="仿宋_GB2312" w:eastAsia="仿宋_GB2312"/>
          <w:sz w:val="32"/>
        </w:rPr>
        <w:t>承担粮食应急责任，保障粮食应急供应，负责军粮供应，保障驻军、驻训和抢险救灾部队粮食供应。</w:t>
      </w:r>
    </w:p>
    <w:p w14:paraId="13F74C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仿宋_GB2312" w:eastAsia="仿宋_GB2312"/>
          <w:sz w:val="32"/>
        </w:rPr>
      </w:pPr>
      <w:r>
        <w:rPr>
          <w:rFonts w:hint="eastAsia" w:ascii="仿宋_GB2312" w:eastAsia="仿宋_GB2312"/>
          <w:sz w:val="32"/>
          <w:lang w:val="en-US" w:eastAsia="zh-CN"/>
        </w:rPr>
        <w:t>16.</w:t>
      </w:r>
      <w:r>
        <w:rPr>
          <w:rFonts w:hint="eastAsia" w:ascii="仿宋_GB2312" w:eastAsia="仿宋_GB2312"/>
          <w:sz w:val="32"/>
        </w:rPr>
        <w:t>负责中央、地方各级储备粮的管理，指导全区粮食储备体系建设；提出区级储备总规模和总体布局，组织实施各级储备粮油的收储、轮换、动用；监督检查各级储备粮油库存数量、质量和储存的安全；协助做好中央在罗江的储备粮及国家其他政策性临时储存粮食的监督管理工作。</w:t>
      </w:r>
    </w:p>
    <w:p w14:paraId="13B75A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lang w:val="en-US" w:eastAsia="zh-CN"/>
        </w:rPr>
        <w:t>17.</w:t>
      </w:r>
      <w:r>
        <w:rPr>
          <w:rFonts w:hint="eastAsia" w:ascii="仿宋_GB2312" w:eastAsia="仿宋_GB2312"/>
          <w:sz w:val="32"/>
        </w:rPr>
        <w:t>贯彻实施国家粮食质量标准，监督执行粮食储存、运输技术规范；负责全区粮食收购、储存环节和政策性用粮质量安全，负责库存原粮卫生监督管理，指导粮食行业安全生产和抢险救灾，指导全区农村科学储粮工作。</w:t>
      </w:r>
    </w:p>
    <w:p w14:paraId="700BE9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lang w:val="en-US" w:eastAsia="zh-CN"/>
        </w:rPr>
        <w:t>18.</w:t>
      </w:r>
      <w:r>
        <w:rPr>
          <w:rFonts w:hint="eastAsia" w:ascii="仿宋_GB2312" w:eastAsia="仿宋_GB2312"/>
          <w:sz w:val="32"/>
        </w:rPr>
        <w:t>制定粮食流通产业发展规划，负责全区粮食流通基础设施建设；制定全区粮油仓储、加工设施建设和物流体系建设规划并组织实施；负责粮油仓储设施的报废、占用、拆迁的审核报批；指导粮食企业科技进步、技术改造和新技术推广应用；指导城乡粮食流通市场建设。</w:t>
      </w:r>
    </w:p>
    <w:p w14:paraId="22EE83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lang w:val="en-US" w:eastAsia="zh-CN"/>
        </w:rPr>
        <w:t>19.</w:t>
      </w:r>
      <w:r>
        <w:rPr>
          <w:rFonts w:hint="eastAsia" w:ascii="仿宋_GB2312" w:eastAsia="仿宋_GB2312"/>
          <w:sz w:val="32"/>
        </w:rPr>
        <w:t>指导全区国有粮食企业的财务管理和会计报告工作；贯彻国家粮食流通财务政策和会计制度，组织编报全区国有粮食企业会计报表及会计决算；负责国家和省、市预算拨付的粮食政策性补贴和专项资金的使用管理；会同有关部门管理粮食风险基金、政策性粮食财务挂帐，参与粮食收购资金贷款管理；负责下属企业国有资产的监督管理。</w:t>
      </w:r>
    </w:p>
    <w:p w14:paraId="3E877D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rPr>
      </w:pPr>
      <w:r>
        <w:rPr>
          <w:rFonts w:hint="eastAsia" w:ascii="仿宋_GB2312" w:eastAsia="仿宋_GB2312"/>
          <w:sz w:val="32"/>
          <w:lang w:val="en-US" w:eastAsia="zh-CN"/>
        </w:rPr>
        <w:t>20.</w:t>
      </w:r>
      <w:r>
        <w:rPr>
          <w:rFonts w:hint="eastAsia" w:ascii="仿宋_GB2312" w:eastAsia="仿宋_GB2312"/>
          <w:sz w:val="32"/>
        </w:rPr>
        <w:t>承担区政府公布的有关行政审批和公共服务事项；承担行业统计工作；会同有关部门加强对粮食市场的监督管理。</w:t>
      </w:r>
    </w:p>
    <w:p w14:paraId="47FAC2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lang w:val="en-US" w:eastAsia="zh-CN"/>
        </w:rPr>
        <w:t>21.</w:t>
      </w:r>
      <w:r>
        <w:rPr>
          <w:rFonts w:hint="eastAsia" w:ascii="仿宋_GB2312" w:eastAsia="仿宋_GB2312"/>
          <w:sz w:val="32"/>
        </w:rPr>
        <w:t>负责制定全区粮食系统人才发展规划，指导全区粮食系统人才队伍建设；指导全区粮食系统纪检监察工作。</w:t>
      </w:r>
    </w:p>
    <w:p w14:paraId="38AD06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lang w:val="en-US" w:eastAsia="zh-CN"/>
        </w:rPr>
        <w:t>22.</w:t>
      </w:r>
      <w:r>
        <w:rPr>
          <w:rFonts w:hint="eastAsia" w:ascii="仿宋_GB2312" w:eastAsia="仿宋_GB2312"/>
          <w:sz w:val="32"/>
        </w:rPr>
        <w:t>负责职责范围内的安全生产和职业健康、生态环境保护等工作。</w:t>
      </w:r>
    </w:p>
    <w:p w14:paraId="217B91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23.</w:t>
      </w:r>
      <w:r>
        <w:rPr>
          <w:rFonts w:hint="eastAsia" w:ascii="仿宋_GB2312" w:eastAsia="仿宋_GB2312"/>
          <w:sz w:val="32"/>
        </w:rPr>
        <w:t>完成区委</w:t>
      </w:r>
      <w:r>
        <w:rPr>
          <w:rFonts w:hint="eastAsia" w:ascii="仿宋_GB2312" w:eastAsia="仿宋_GB2312"/>
          <w:sz w:val="32"/>
          <w:lang w:eastAsia="zh-CN"/>
        </w:rPr>
        <w:t>、</w:t>
      </w:r>
      <w:r>
        <w:rPr>
          <w:rFonts w:hint="eastAsia" w:ascii="仿宋_GB2312" w:eastAsia="仿宋_GB2312"/>
          <w:sz w:val="32"/>
        </w:rPr>
        <w:t>区政府交办的其他任务</w:t>
      </w:r>
      <w:r>
        <w:rPr>
          <w:rFonts w:hint="eastAsia" w:ascii="仿宋_GB2312" w:eastAsia="仿宋_GB2312"/>
          <w:sz w:val="32"/>
          <w:lang w:val="en-US" w:eastAsia="zh-CN"/>
        </w:rPr>
        <w:t>。</w:t>
      </w:r>
    </w:p>
    <w:p w14:paraId="1A4B3C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二、2025重点工作</w:t>
      </w:r>
    </w:p>
    <w:p w14:paraId="7F93B73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Times New Roman"/>
          <w:color w:val="000000" w:themeColor="text1"/>
          <w:kern w:val="2"/>
          <w:sz w:val="32"/>
          <w:szCs w:val="32"/>
          <w14:textFill>
            <w14:solidFill>
              <w14:schemeClr w14:val="tx1"/>
            </w14:solidFill>
          </w14:textFill>
        </w:rPr>
      </w:pPr>
      <w:r>
        <w:rPr>
          <w:rFonts w:hint="default" w:ascii="Times New Roman" w:hAnsi="Times New Roman" w:eastAsia="仿宋_GB2312" w:cs="Times New Roman"/>
          <w:color w:val="000000" w:themeColor="text1"/>
          <w:kern w:val="2"/>
          <w:sz w:val="32"/>
          <w:szCs w:val="32"/>
          <w14:textFill>
            <w14:solidFill>
              <w14:schemeClr w14:val="tx1"/>
            </w14:solidFill>
          </w14:textFill>
        </w:rPr>
        <w:t>202</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kern w:val="2"/>
          <w:sz w:val="32"/>
          <w:szCs w:val="32"/>
          <w14:textFill>
            <w14:solidFill>
              <w14:schemeClr w14:val="tx1"/>
            </w14:solidFill>
          </w14:textFill>
        </w:rPr>
        <w:t>年，</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德阳市罗江区发展和改革局</w:t>
      </w:r>
      <w:r>
        <w:rPr>
          <w:rFonts w:hint="eastAsia" w:ascii="Times New Roman" w:hAnsi="Times New Roman" w:eastAsia="仿宋_GB2312" w:cs="Times New Roman"/>
          <w:color w:val="000000" w:themeColor="text1"/>
          <w:kern w:val="2"/>
          <w:sz w:val="32"/>
          <w:szCs w:val="32"/>
          <w14:textFill>
            <w14:solidFill>
              <w14:schemeClr w14:val="tx1"/>
            </w14:solidFill>
          </w14:textFill>
        </w:rPr>
        <w:t>将始终坚持以习近平新时代中国特色社会主义思想为引领，认真贯彻落实中省市区经济工作会议精神，坚定发展信心、专注发展定力，按照“突出一条主线、聚焦两个重点、健全三大机制、强化四大建设、加强五方联系”工作思路，把握好经济发展规律、应对好严峻复杂形势、利用好各项支持政策、整合好多方优势资源，全力以赴“拼经济、搞建设、抓发展”，为县域经济高质量发展和建设“大同予共”现代化罗江做出积极贡献。</w:t>
      </w:r>
    </w:p>
    <w:p w14:paraId="0E178CB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pPr>
      <w:r>
        <w:rPr>
          <w:rFonts w:hint="eastAsia" w:ascii="楷体_GB2312" w:hAnsi="楷体" w:eastAsia="楷体_GB2312" w:cs="楷体_GB2312"/>
          <w:bCs/>
          <w:sz w:val="32"/>
          <w:szCs w:val="22"/>
          <w:lang w:val="en-US" w:eastAsia="zh-CN"/>
        </w:rPr>
        <w:t>（一）</w:t>
      </w:r>
      <w:r>
        <w:rPr>
          <w:rFonts w:hint="default" w:ascii="楷体_GB2312" w:hAnsi="楷体" w:eastAsia="楷体_GB2312" w:cs="楷体_GB2312"/>
          <w:bCs/>
          <w:sz w:val="32"/>
          <w:szCs w:val="22"/>
          <w:lang w:val="en-US" w:eastAsia="zh-CN"/>
        </w:rPr>
        <w:t>抓好经济运行调度。</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全面</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启动“</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十五五”规划</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编制</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工作。落实国省市区稳增长、扩投资、促消费一系列政策。狠抓重点项目建设，强化项目投资制度，促进固定资产投资稳定增长。加强预期项目引导和进度管理，认真研判每一项指标的支撑因素，统筹抓好运行监测，着力补齐缺项指标短板，准确把握经济运行态势。力争全年GDP增速高于全市一个百分点。</w:t>
      </w:r>
    </w:p>
    <w:p w14:paraId="3D28545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pPr>
      <w:r>
        <w:rPr>
          <w:rFonts w:hint="eastAsia" w:ascii="楷体_GB2312" w:hAnsi="楷体" w:eastAsia="楷体_GB2312" w:cs="楷体_GB2312"/>
          <w:bCs/>
          <w:sz w:val="32"/>
          <w:szCs w:val="22"/>
          <w:lang w:val="en-US" w:eastAsia="zh-CN"/>
        </w:rPr>
        <w:t>（二）</w:t>
      </w:r>
      <w:r>
        <w:rPr>
          <w:rFonts w:hint="eastAsia" w:ascii="楷体_GB2312" w:hAnsi="楷体" w:eastAsia="楷体_GB2312" w:cs="楷体_GB2312"/>
          <w:bCs/>
          <w:sz w:val="32"/>
          <w:szCs w:val="22"/>
        </w:rPr>
        <w:t>加大主体培育力度。</w:t>
      </w:r>
      <w:r>
        <w:rPr>
          <w:rFonts w:hint="eastAsia" w:ascii="Times New Roman" w:hAnsi="Times New Roman" w:eastAsia="仿宋_GB2312" w:cs="Times New Roman"/>
          <w:color w:val="000000" w:themeColor="text1"/>
          <w:kern w:val="2"/>
          <w:sz w:val="32"/>
          <w:szCs w:val="32"/>
          <w14:textFill>
            <w14:solidFill>
              <w14:schemeClr w14:val="tx1"/>
            </w14:solidFill>
          </w14:textFill>
        </w:rPr>
        <w:t>一是更加注重招商成果。围绕“工业强区”战略，切实加大招商引资力度，围绕主导产业有针对性地延链补链开展定向招商。二是更加优化营商环境。</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建立健全工作推进机制</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强化都市圈联动协作。与成都市成华区在《条例》框架下协同推进优化区域营商环境工作。</w:t>
      </w:r>
      <w:r>
        <w:rPr>
          <w:rFonts w:hint="eastAsia" w:ascii="Times New Roman" w:hAnsi="Times New Roman" w:eastAsia="仿宋_GB2312" w:cs="Times New Roman"/>
          <w:color w:val="000000" w:themeColor="text1"/>
          <w:kern w:val="2"/>
          <w:sz w:val="32"/>
          <w:szCs w:val="32"/>
          <w14:textFill>
            <w14:solidFill>
              <w14:schemeClr w14:val="tx1"/>
            </w14:solidFill>
          </w14:textFill>
        </w:rPr>
        <w:t>三是更加注重企业后劲。加大对现有企业服务队伍的业务培训力度，提升工作人员指导企业能力，为县域经济发展提供有效支撑。</w:t>
      </w:r>
    </w:p>
    <w:p w14:paraId="27A36EE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Times New Roman"/>
          <w:color w:val="000000" w:themeColor="text1"/>
          <w:kern w:val="2"/>
          <w:sz w:val="32"/>
          <w:szCs w:val="32"/>
          <w14:textFill>
            <w14:solidFill>
              <w14:schemeClr w14:val="tx1"/>
            </w14:solidFill>
          </w14:textFill>
        </w:rPr>
      </w:pPr>
      <w:r>
        <w:rPr>
          <w:rFonts w:hint="eastAsia" w:ascii="楷体_GB2312" w:hAnsi="楷体" w:eastAsia="楷体_GB2312" w:cs="楷体_GB2312"/>
          <w:bCs/>
          <w:sz w:val="32"/>
          <w:szCs w:val="22"/>
          <w:lang w:val="en-US" w:eastAsia="zh-CN"/>
        </w:rPr>
        <w:t>（三）强化项目推进管理。</w:t>
      </w:r>
      <w:r>
        <w:rPr>
          <w:rFonts w:hint="eastAsia" w:ascii="Times New Roman" w:hAnsi="Times New Roman" w:eastAsia="仿宋_GB2312" w:cs="Times New Roman"/>
          <w:color w:val="000000" w:themeColor="text1"/>
          <w:kern w:val="2"/>
          <w:sz w:val="32"/>
          <w:szCs w:val="32"/>
          <w14:textFill>
            <w14:solidFill>
              <w14:schemeClr w14:val="tx1"/>
            </w14:solidFill>
          </w14:textFill>
        </w:rPr>
        <w:t>理顺政府投资项目管理机制，加强部门之间协作配合，加强政府投资项目全过程监管，提高政府投资项目管理绩效。聚焦中省政策加大“三重”争取力度，积极储备一批政策到位可申报、资金到位可实施的高质量项目。集中力量，坚持“周调度、月通报、季拉练”机制，强化项目推进力度。</w:t>
      </w:r>
    </w:p>
    <w:p w14:paraId="5902A4E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pPr>
      <w:r>
        <w:rPr>
          <w:rFonts w:hint="eastAsia" w:ascii="楷体_GB2312" w:hAnsi="楷体" w:eastAsia="楷体_GB2312" w:cs="楷体_GB2312"/>
          <w:bCs/>
          <w:sz w:val="32"/>
          <w:szCs w:val="22"/>
          <w:lang w:val="en-US" w:eastAsia="zh-CN"/>
        </w:rPr>
        <w:t>（四）提升民生保障能力。</w:t>
      </w:r>
      <w:r>
        <w:rPr>
          <w:rFonts w:hint="eastAsia" w:ascii="Times New Roman" w:hAnsi="Times New Roman" w:eastAsia="仿宋_GB2312" w:cs="Times New Roman"/>
          <w:color w:val="000000" w:themeColor="text1"/>
          <w:kern w:val="2"/>
          <w:sz w:val="32"/>
          <w:szCs w:val="32"/>
          <w:lang w:eastAsia="zh-CN"/>
          <w14:textFill>
            <w14:solidFill>
              <w14:schemeClr w14:val="tx1"/>
            </w14:solidFill>
          </w14:textFill>
        </w:rPr>
        <w:t>持续压紧压实粮食安全主体责任，严格履行监督管理职责，加强粮食储备与流通管理，加大对粮食流通各个环节的执法力度，严厉查处违法违规行为，坚决杜绝问题粮食流入口粮市场。</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继续牵头</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推进全</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区</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转供电“一户一表”等设施改造工作</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按照项目施工总设计，优化施工流程，有序完成“一户一表”改造</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kern w:val="2"/>
          <w:sz w:val="32"/>
          <w:szCs w:val="32"/>
          <w14:textFill>
            <w14:solidFill>
              <w14:schemeClr w14:val="tx1"/>
            </w14:solidFill>
          </w14:textFill>
        </w:rPr>
        <w:t>围绕老百姓密切相关的民生商品，</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认真组织</w:t>
      </w:r>
      <w:r>
        <w:rPr>
          <w:rFonts w:hint="eastAsia" w:ascii="Times New Roman" w:hAnsi="Times New Roman" w:eastAsia="仿宋_GB2312" w:cs="Times New Roman"/>
          <w:color w:val="000000" w:themeColor="text1"/>
          <w:kern w:val="2"/>
          <w:sz w:val="32"/>
          <w:szCs w:val="32"/>
          <w14:textFill>
            <w14:solidFill>
              <w14:schemeClr w14:val="tx1"/>
            </w14:solidFill>
          </w14:textFill>
        </w:rPr>
        <w:t>开展各项</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价格</w:t>
      </w:r>
      <w:r>
        <w:rPr>
          <w:rFonts w:hint="eastAsia" w:ascii="Times New Roman" w:hAnsi="Times New Roman" w:eastAsia="仿宋_GB2312" w:cs="Times New Roman"/>
          <w:color w:val="000000" w:themeColor="text1"/>
          <w:kern w:val="2"/>
          <w:sz w:val="32"/>
          <w:szCs w:val="32"/>
          <w14:textFill>
            <w14:solidFill>
              <w14:schemeClr w14:val="tx1"/>
            </w14:solidFill>
          </w14:textFill>
        </w:rPr>
        <w:t>监测</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和</w:t>
      </w:r>
      <w:r>
        <w:rPr>
          <w:rFonts w:hint="eastAsia" w:ascii="Times New Roman" w:hAnsi="Times New Roman" w:eastAsia="仿宋_GB2312" w:cs="Times New Roman"/>
          <w:color w:val="000000" w:themeColor="text1"/>
          <w:kern w:val="2"/>
          <w:sz w:val="32"/>
          <w:szCs w:val="32"/>
          <w14:textFill>
            <w14:solidFill>
              <w14:schemeClr w14:val="tx1"/>
            </w14:solidFill>
          </w14:textFill>
        </w:rPr>
        <w:t>分析报告工作</w:t>
      </w:r>
      <w:r>
        <w:rPr>
          <w:rFonts w:hint="eastAsia" w:ascii="Times New Roman" w:hAnsi="Times New Roman" w:eastAsia="仿宋_GB2312" w:cs="Times New Roman"/>
          <w:color w:val="000000" w:themeColor="text1"/>
          <w:kern w:val="2"/>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持续推动充电基础设施建设，继续规范光伏产业发展，不断提升全区电力保障安全性和能力。</w:t>
      </w:r>
    </w:p>
    <w:p w14:paraId="73157F4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pPr>
      <w:r>
        <w:rPr>
          <w:rFonts w:hint="eastAsia" w:ascii="楷体_GB2312" w:hAnsi="楷体" w:eastAsia="楷体_GB2312" w:cs="楷体_GB2312"/>
          <w:bCs/>
          <w:sz w:val="32"/>
          <w:szCs w:val="22"/>
          <w:lang w:val="en-US" w:eastAsia="zh-CN"/>
        </w:rPr>
        <w:t>（五）提升数据交互和管理能力。</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依托德阳“城市大脑”，开发具有罗江特色的数据分析模型。同时，在市级指导下运维数据专区，持续扩容赋能，挖掘数据中台能力。</w:t>
      </w:r>
    </w:p>
    <w:p w14:paraId="7D3028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、部门预算单位构成</w:t>
      </w:r>
    </w:p>
    <w:p w14:paraId="644F840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FF0000"/>
          <w:sz w:val="32"/>
          <w:szCs w:val="32"/>
        </w:rPr>
      </w:pPr>
      <w:r>
        <w:rPr>
          <w:rFonts w:hint="eastAsia" w:ascii="仿宋_GB2312" w:hAnsi="仿宋" w:eastAsia="仿宋_GB2312"/>
          <w:color w:val="000000"/>
          <w:sz w:val="32"/>
          <w:szCs w:val="32"/>
          <w:lang w:val="en-US" w:eastAsia="zh-CN"/>
        </w:rPr>
        <w:t xml:space="preserve">  </w:t>
      </w:r>
      <w:r>
        <w:rPr>
          <w:rFonts w:hint="eastAsia" w:ascii="仿宋_GB2312" w:hAnsi="仿宋" w:eastAsia="仿宋_GB2312"/>
          <w:color w:val="FF0000"/>
          <w:sz w:val="32"/>
          <w:szCs w:val="32"/>
          <w:lang w:val="en-US" w:eastAsia="zh-CN"/>
        </w:rPr>
        <w:t xml:space="preserve">   （一）</w:t>
      </w:r>
      <w:r>
        <w:rPr>
          <w:rFonts w:hint="eastAsia" w:ascii="仿宋_GB2312" w:hAnsi="仿宋" w:eastAsia="仿宋_GB2312"/>
          <w:color w:val="FF0000"/>
          <w:sz w:val="32"/>
          <w:szCs w:val="32"/>
        </w:rPr>
        <w:t>机构情况</w:t>
      </w:r>
      <w:r>
        <w:rPr>
          <w:rFonts w:hint="eastAsia" w:ascii="仿宋_GB2312" w:hAnsi="仿宋" w:eastAsia="仿宋_GB2312"/>
          <w:color w:val="FF0000"/>
          <w:sz w:val="32"/>
          <w:szCs w:val="32"/>
          <w:lang w:eastAsia="zh-CN"/>
        </w:rPr>
        <w:t>：</w:t>
      </w:r>
      <w:r>
        <w:rPr>
          <w:rFonts w:hint="eastAsia" w:ascii="仿宋_GB2312" w:hAnsi="仿宋" w:eastAsia="仿宋_GB2312"/>
          <w:color w:val="FF0000"/>
          <w:sz w:val="32"/>
          <w:szCs w:val="32"/>
          <w:lang w:val="en-US" w:eastAsia="zh-CN"/>
        </w:rPr>
        <w:t>德阳市</w:t>
      </w:r>
      <w:r>
        <w:rPr>
          <w:rFonts w:hint="eastAsia" w:ascii="仿宋_GB2312" w:eastAsia="仿宋_GB2312"/>
          <w:color w:val="FF0000"/>
          <w:sz w:val="32"/>
          <w:szCs w:val="32"/>
        </w:rPr>
        <w:t>罗江区发展和改革局为区政府下属的行政单位，一级财务核算单位，财务管理部门设置归属局办公室、</w:t>
      </w:r>
      <w:r>
        <w:rPr>
          <w:rFonts w:hint="eastAsia" w:ascii="仿宋_GB2312" w:eastAsia="仿宋_GB2312"/>
          <w:color w:val="FF0000"/>
          <w:sz w:val="32"/>
          <w:szCs w:val="32"/>
          <w:lang w:eastAsia="zh-CN"/>
        </w:rPr>
        <w:t>有内设股室</w:t>
      </w:r>
      <w:r>
        <w:rPr>
          <w:rFonts w:hint="eastAsia" w:ascii="仿宋_GB2312" w:eastAsia="仿宋_GB2312"/>
          <w:color w:val="FF0000"/>
          <w:sz w:val="32"/>
          <w:szCs w:val="32"/>
          <w:lang w:val="en-US" w:eastAsia="zh-CN"/>
        </w:rPr>
        <w:t>6个，有下属事业单位3个。</w:t>
      </w:r>
      <w:r>
        <w:rPr>
          <w:rFonts w:hint="eastAsia" w:ascii="仿宋_GB2312" w:eastAsia="仿宋_GB2312"/>
          <w:color w:val="FF0000"/>
          <w:sz w:val="32"/>
          <w:szCs w:val="32"/>
        </w:rPr>
        <w:t>执行</w:t>
      </w:r>
      <w:r>
        <w:rPr>
          <w:rFonts w:hint="eastAsia" w:ascii="仿宋_GB2312" w:eastAsia="仿宋_GB2312"/>
          <w:color w:val="FF0000"/>
          <w:sz w:val="32"/>
          <w:szCs w:val="32"/>
          <w:lang w:eastAsia="zh-CN"/>
        </w:rPr>
        <w:t>政府行政单位</w:t>
      </w:r>
      <w:r>
        <w:rPr>
          <w:rFonts w:hint="eastAsia" w:ascii="仿宋_GB2312" w:eastAsia="仿宋_GB2312"/>
          <w:color w:val="FF0000"/>
          <w:sz w:val="32"/>
          <w:szCs w:val="32"/>
        </w:rPr>
        <w:t>会计制度情况。</w:t>
      </w:r>
    </w:p>
    <w:p w14:paraId="305A7FE7">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hint="eastAsia" w:ascii="仿宋_GB2312" w:eastAsia="仿宋_GB2312"/>
          <w:color w:val="FF0000"/>
          <w:sz w:val="32"/>
        </w:rPr>
      </w:pPr>
      <w:r>
        <w:rPr>
          <w:rFonts w:hint="eastAsia" w:ascii="仿宋_GB2312" w:hAnsi="仿宋" w:eastAsia="仿宋_GB2312"/>
          <w:color w:val="FF0000"/>
          <w:sz w:val="32"/>
          <w:szCs w:val="32"/>
          <w:lang w:val="en-US" w:eastAsia="zh-CN"/>
        </w:rPr>
        <w:t>（二）</w:t>
      </w:r>
      <w:r>
        <w:rPr>
          <w:rFonts w:hint="eastAsia" w:ascii="仿宋_GB2312" w:hAnsi="仿宋" w:eastAsia="仿宋_GB2312"/>
          <w:color w:val="FF0000"/>
          <w:sz w:val="32"/>
          <w:szCs w:val="32"/>
        </w:rPr>
        <w:t>人员情况</w:t>
      </w:r>
      <w:r>
        <w:rPr>
          <w:rFonts w:hint="eastAsia" w:ascii="仿宋_GB2312" w:hAnsi="仿宋" w:eastAsia="仿宋_GB2312"/>
          <w:color w:val="FF0000"/>
          <w:sz w:val="32"/>
          <w:szCs w:val="32"/>
          <w:lang w:eastAsia="zh-CN"/>
        </w:rPr>
        <w:t>：</w:t>
      </w:r>
      <w:r>
        <w:rPr>
          <w:rFonts w:hint="eastAsia" w:ascii="仿宋_GB2312" w:hAnsi="仿宋" w:eastAsia="仿宋_GB2312" w:cs="仿宋"/>
          <w:color w:val="FF0000"/>
          <w:sz w:val="32"/>
          <w:szCs w:val="32"/>
        </w:rPr>
        <w:t>20</w:t>
      </w:r>
      <w:r>
        <w:rPr>
          <w:rFonts w:hint="eastAsia" w:ascii="仿宋_GB2312" w:hAnsi="仿宋" w:eastAsia="仿宋_GB2312" w:cs="仿宋"/>
          <w:color w:val="FF0000"/>
          <w:sz w:val="32"/>
          <w:szCs w:val="32"/>
          <w:lang w:val="en-US" w:eastAsia="zh-CN"/>
        </w:rPr>
        <w:t>24</w:t>
      </w:r>
      <w:r>
        <w:rPr>
          <w:rFonts w:hint="eastAsia" w:ascii="仿宋_GB2312" w:hAnsi="仿宋" w:eastAsia="仿宋_GB2312" w:cs="仿宋"/>
          <w:color w:val="FF0000"/>
          <w:sz w:val="32"/>
          <w:szCs w:val="32"/>
        </w:rPr>
        <w:t>年末，</w:t>
      </w:r>
      <w:r>
        <w:rPr>
          <w:rFonts w:hint="eastAsia" w:ascii="仿宋_GB2312" w:hAnsi="仿宋" w:eastAsia="仿宋_GB2312"/>
          <w:color w:val="FF0000"/>
          <w:sz w:val="32"/>
          <w:szCs w:val="32"/>
          <w:lang w:val="en-US" w:eastAsia="zh-CN"/>
        </w:rPr>
        <w:t>德阳市</w:t>
      </w:r>
      <w:r>
        <w:rPr>
          <w:rFonts w:hint="eastAsia" w:ascii="仿宋_GB2312" w:eastAsia="仿宋_GB2312"/>
          <w:color w:val="FF0000"/>
          <w:sz w:val="32"/>
          <w:szCs w:val="32"/>
        </w:rPr>
        <w:t>罗江区发展和改革局</w:t>
      </w:r>
      <w:r>
        <w:rPr>
          <w:rFonts w:hint="eastAsia" w:ascii="仿宋_GB2312" w:hAnsi="仿宋" w:eastAsia="仿宋_GB2312" w:cs="仿宋"/>
          <w:color w:val="FF0000"/>
          <w:sz w:val="32"/>
          <w:szCs w:val="32"/>
        </w:rPr>
        <w:t>公务员编制数</w:t>
      </w:r>
      <w:r>
        <w:rPr>
          <w:rFonts w:hint="eastAsia" w:ascii="仿宋_GB2312" w:hAnsi="仿宋" w:eastAsia="仿宋_GB2312" w:cs="仿宋"/>
          <w:color w:val="FF0000"/>
          <w:sz w:val="32"/>
          <w:szCs w:val="32"/>
          <w:lang w:val="en-US" w:eastAsia="zh-CN"/>
        </w:rPr>
        <w:t>11</w:t>
      </w:r>
      <w:r>
        <w:rPr>
          <w:rFonts w:hint="eastAsia" w:ascii="仿宋_GB2312" w:hAnsi="仿宋" w:eastAsia="仿宋_GB2312" w:cs="仿宋"/>
          <w:color w:val="FF0000"/>
          <w:sz w:val="32"/>
          <w:szCs w:val="32"/>
        </w:rPr>
        <w:t>名，在职</w:t>
      </w:r>
      <w:r>
        <w:rPr>
          <w:rFonts w:hint="eastAsia" w:ascii="仿宋_GB2312" w:hAnsi="仿宋" w:eastAsia="仿宋_GB2312" w:cs="仿宋"/>
          <w:color w:val="FF0000"/>
          <w:sz w:val="32"/>
          <w:szCs w:val="32"/>
          <w:lang w:val="en-US" w:eastAsia="zh-CN"/>
        </w:rPr>
        <w:t>11</w:t>
      </w:r>
      <w:r>
        <w:rPr>
          <w:rFonts w:hint="eastAsia" w:ascii="仿宋_GB2312" w:hAnsi="仿宋" w:eastAsia="仿宋_GB2312" w:cs="仿宋"/>
          <w:color w:val="FF0000"/>
          <w:sz w:val="32"/>
          <w:szCs w:val="32"/>
        </w:rPr>
        <w:t>人</w:t>
      </w:r>
      <w:r>
        <w:rPr>
          <w:rFonts w:hint="eastAsia" w:ascii="仿宋_GB2312" w:hAnsi="仿宋" w:eastAsia="仿宋_GB2312" w:cs="仿宋"/>
          <w:color w:val="FF0000"/>
          <w:sz w:val="32"/>
          <w:szCs w:val="32"/>
          <w:lang w:eastAsia="zh-CN"/>
        </w:rPr>
        <w:t>。</w:t>
      </w:r>
      <w:r>
        <w:rPr>
          <w:rFonts w:hint="eastAsia" w:ascii="仿宋_GB2312" w:hAnsi="仿宋" w:eastAsia="仿宋_GB2312" w:cs="仿宋"/>
          <w:color w:val="FF0000"/>
          <w:sz w:val="32"/>
          <w:szCs w:val="32"/>
        </w:rPr>
        <w:t>事业编制</w:t>
      </w:r>
      <w:r>
        <w:rPr>
          <w:rFonts w:hint="eastAsia" w:ascii="仿宋_GB2312" w:hAnsi="仿宋" w:eastAsia="仿宋_GB2312" w:cs="仿宋"/>
          <w:color w:val="FF0000"/>
          <w:sz w:val="32"/>
          <w:szCs w:val="32"/>
          <w:lang w:val="en-US" w:eastAsia="zh-CN"/>
        </w:rPr>
        <w:t>26</w:t>
      </w:r>
      <w:r>
        <w:rPr>
          <w:rFonts w:hint="eastAsia" w:ascii="仿宋_GB2312" w:hAnsi="仿宋" w:eastAsia="仿宋_GB2312" w:cs="仿宋"/>
          <w:color w:val="FF0000"/>
          <w:sz w:val="32"/>
          <w:szCs w:val="32"/>
        </w:rPr>
        <w:t>名，在职</w:t>
      </w:r>
      <w:r>
        <w:rPr>
          <w:rFonts w:hint="eastAsia" w:ascii="仿宋_GB2312" w:hAnsi="仿宋" w:eastAsia="仿宋_GB2312" w:cs="仿宋"/>
          <w:color w:val="FF0000"/>
          <w:sz w:val="32"/>
          <w:szCs w:val="32"/>
          <w:lang w:val="en-US" w:eastAsia="zh-CN"/>
        </w:rPr>
        <w:t>23</w:t>
      </w:r>
      <w:r>
        <w:rPr>
          <w:rFonts w:hint="eastAsia" w:ascii="仿宋_GB2312" w:hAnsi="仿宋" w:eastAsia="仿宋_GB2312" w:cs="仿宋"/>
          <w:color w:val="FF0000"/>
          <w:sz w:val="32"/>
          <w:szCs w:val="32"/>
        </w:rPr>
        <w:t>人</w:t>
      </w:r>
      <w:r>
        <w:rPr>
          <w:rFonts w:hint="eastAsia" w:ascii="仿宋_GB2312" w:hAnsi="仿宋" w:eastAsia="仿宋_GB2312" w:cs="仿宋"/>
          <w:color w:val="FF0000"/>
          <w:sz w:val="32"/>
          <w:szCs w:val="32"/>
          <w:lang w:eastAsia="zh-CN"/>
        </w:rPr>
        <w:t>。</w:t>
      </w:r>
      <w:r>
        <w:rPr>
          <w:rFonts w:hint="eastAsia" w:ascii="仿宋_GB2312" w:hAnsi="仿宋" w:eastAsia="仿宋_GB2312" w:cs="仿宋"/>
          <w:color w:val="FF0000"/>
          <w:sz w:val="32"/>
          <w:szCs w:val="32"/>
        </w:rPr>
        <w:t>单位总编制</w:t>
      </w:r>
      <w:r>
        <w:rPr>
          <w:rFonts w:hint="eastAsia" w:ascii="仿宋_GB2312" w:hAnsi="仿宋" w:eastAsia="仿宋_GB2312" w:cs="仿宋"/>
          <w:color w:val="FF0000"/>
          <w:sz w:val="32"/>
          <w:szCs w:val="32"/>
          <w:lang w:val="en-US" w:eastAsia="zh-CN"/>
        </w:rPr>
        <w:t>37</w:t>
      </w:r>
      <w:r>
        <w:rPr>
          <w:rFonts w:hint="eastAsia" w:ascii="仿宋_GB2312" w:hAnsi="仿宋" w:eastAsia="仿宋_GB2312" w:cs="仿宋"/>
          <w:color w:val="FF0000"/>
          <w:sz w:val="32"/>
          <w:szCs w:val="32"/>
        </w:rPr>
        <w:t>名，年末公务员、事业在职总数</w:t>
      </w:r>
      <w:r>
        <w:rPr>
          <w:rFonts w:hint="eastAsia" w:ascii="仿宋_GB2312" w:hAnsi="仿宋" w:eastAsia="仿宋_GB2312" w:cs="仿宋"/>
          <w:color w:val="FF0000"/>
          <w:sz w:val="32"/>
          <w:szCs w:val="32"/>
          <w:lang w:val="en-US" w:eastAsia="zh-CN"/>
        </w:rPr>
        <w:t>34</w:t>
      </w:r>
      <w:r>
        <w:rPr>
          <w:rFonts w:hint="eastAsia" w:ascii="仿宋_GB2312" w:hAnsi="仿宋" w:eastAsia="仿宋_GB2312" w:cs="仿宋"/>
          <w:color w:val="FF0000"/>
          <w:sz w:val="32"/>
          <w:szCs w:val="32"/>
        </w:rPr>
        <w:t>名，缺编</w:t>
      </w:r>
      <w:r>
        <w:rPr>
          <w:rFonts w:hint="eastAsia" w:ascii="仿宋_GB2312" w:hAnsi="仿宋" w:eastAsia="仿宋_GB2312" w:cs="仿宋"/>
          <w:color w:val="FF0000"/>
          <w:sz w:val="32"/>
          <w:szCs w:val="32"/>
          <w:lang w:val="en-US" w:eastAsia="zh-CN"/>
        </w:rPr>
        <w:t>3</w:t>
      </w:r>
      <w:r>
        <w:rPr>
          <w:rFonts w:hint="eastAsia" w:ascii="仿宋_GB2312" w:hAnsi="仿宋" w:eastAsia="仿宋_GB2312" w:cs="仿宋"/>
          <w:color w:val="FF0000"/>
          <w:sz w:val="32"/>
          <w:szCs w:val="32"/>
        </w:rPr>
        <w:t>名。</w:t>
      </w:r>
      <w:r>
        <w:rPr>
          <w:rFonts w:hint="eastAsia" w:ascii="仿宋_GB2312" w:eastAsia="仿宋_GB2312"/>
          <w:color w:val="FF0000"/>
          <w:sz w:val="32"/>
          <w:szCs w:val="32"/>
        </w:rPr>
        <w:t>单位</w:t>
      </w:r>
      <w:r>
        <w:rPr>
          <w:rFonts w:hint="eastAsia" w:ascii="仿宋_GB2312" w:eastAsia="仿宋_GB2312"/>
          <w:color w:val="FF0000"/>
          <w:sz w:val="32"/>
          <w:szCs w:val="32"/>
          <w:lang w:val="en-US" w:eastAsia="zh-CN"/>
        </w:rPr>
        <w:t>现有</w:t>
      </w:r>
      <w:r>
        <w:rPr>
          <w:rFonts w:hint="eastAsia" w:ascii="仿宋_GB2312" w:eastAsia="仿宋_GB2312"/>
          <w:color w:val="FF0000"/>
          <w:sz w:val="32"/>
          <w:szCs w:val="32"/>
        </w:rPr>
        <w:t>行政编制</w:t>
      </w:r>
      <w:r>
        <w:rPr>
          <w:rFonts w:hint="eastAsia" w:ascii="仿宋_GB2312" w:eastAsia="仿宋_GB2312"/>
          <w:color w:val="FF0000"/>
          <w:sz w:val="32"/>
          <w:szCs w:val="32"/>
          <w:lang w:val="en-US" w:eastAsia="zh-CN"/>
        </w:rPr>
        <w:t>11</w:t>
      </w:r>
      <w:r>
        <w:rPr>
          <w:rFonts w:hint="eastAsia" w:ascii="仿宋_GB2312" w:eastAsia="仿宋_GB2312"/>
          <w:color w:val="FF0000"/>
          <w:sz w:val="32"/>
          <w:szCs w:val="32"/>
        </w:rPr>
        <w:t>名，与上年相比</w:t>
      </w:r>
      <w:r>
        <w:rPr>
          <w:rFonts w:hint="eastAsia" w:ascii="仿宋_GB2312" w:eastAsia="仿宋_GB2312"/>
          <w:color w:val="FF0000"/>
          <w:sz w:val="32"/>
          <w:szCs w:val="32"/>
          <w:lang w:eastAsia="zh-CN"/>
        </w:rPr>
        <w:t>无变化</w:t>
      </w:r>
      <w:r>
        <w:rPr>
          <w:rFonts w:hint="eastAsia" w:ascii="仿宋_GB2312" w:eastAsia="仿宋_GB2312"/>
          <w:color w:val="FF0000"/>
          <w:sz w:val="32"/>
          <w:szCs w:val="32"/>
        </w:rPr>
        <w:t>；单位</w:t>
      </w:r>
      <w:r>
        <w:rPr>
          <w:rFonts w:hint="eastAsia" w:ascii="仿宋_GB2312" w:eastAsia="仿宋_GB2312"/>
          <w:color w:val="FF0000"/>
          <w:sz w:val="32"/>
          <w:szCs w:val="32"/>
          <w:lang w:val="en-US" w:eastAsia="zh-CN"/>
        </w:rPr>
        <w:t>现</w:t>
      </w:r>
      <w:r>
        <w:rPr>
          <w:rFonts w:hint="eastAsia" w:ascii="仿宋_GB2312" w:eastAsia="仿宋_GB2312"/>
          <w:color w:val="FF0000"/>
          <w:sz w:val="32"/>
          <w:szCs w:val="32"/>
        </w:rPr>
        <w:t>有事业编制</w:t>
      </w:r>
      <w:r>
        <w:rPr>
          <w:rFonts w:hint="eastAsia" w:ascii="仿宋_GB2312" w:eastAsia="仿宋_GB2312"/>
          <w:color w:val="FF0000"/>
          <w:sz w:val="32"/>
          <w:szCs w:val="32"/>
          <w:lang w:val="en-US" w:eastAsia="zh-CN"/>
        </w:rPr>
        <w:t>23</w:t>
      </w:r>
      <w:r>
        <w:rPr>
          <w:rFonts w:hint="eastAsia" w:ascii="仿宋_GB2312" w:eastAsia="仿宋_GB2312"/>
          <w:color w:val="FF0000"/>
          <w:sz w:val="32"/>
          <w:szCs w:val="32"/>
        </w:rPr>
        <w:t>名，与上年相比</w:t>
      </w:r>
      <w:r>
        <w:rPr>
          <w:rFonts w:hint="eastAsia" w:ascii="仿宋_GB2312" w:eastAsia="仿宋_GB2312"/>
          <w:color w:val="FF0000"/>
          <w:sz w:val="32"/>
          <w:szCs w:val="32"/>
          <w:lang w:val="en-US" w:eastAsia="zh-CN"/>
        </w:rPr>
        <w:t>增加5人（增加原因为机构改革划编）</w:t>
      </w:r>
      <w:r>
        <w:rPr>
          <w:rFonts w:hint="eastAsia" w:ascii="仿宋_GB2312" w:eastAsia="仿宋_GB2312"/>
          <w:color w:val="FF0000"/>
          <w:sz w:val="32"/>
          <w:szCs w:val="32"/>
          <w:lang w:eastAsia="zh-CN"/>
        </w:rPr>
        <w:t>无</w:t>
      </w:r>
      <w:r>
        <w:rPr>
          <w:rFonts w:hint="eastAsia" w:ascii="仿宋_GB2312" w:eastAsia="仿宋_GB2312"/>
          <w:color w:val="FF0000"/>
          <w:sz w:val="32"/>
          <w:szCs w:val="32"/>
        </w:rPr>
        <w:t>；</w:t>
      </w:r>
      <w:r>
        <w:rPr>
          <w:rFonts w:hint="eastAsia" w:ascii="仿宋_GB2312" w:eastAsia="仿宋_GB2312"/>
          <w:color w:val="FF0000"/>
          <w:sz w:val="32"/>
        </w:rPr>
        <w:t>退休人员</w:t>
      </w:r>
      <w:r>
        <w:rPr>
          <w:rFonts w:hint="eastAsia" w:ascii="仿宋_GB2312" w:eastAsia="仿宋_GB2312"/>
          <w:color w:val="FF0000"/>
          <w:sz w:val="32"/>
          <w:lang w:val="en-US" w:eastAsia="zh-CN"/>
        </w:rPr>
        <w:t>15</w:t>
      </w:r>
      <w:r>
        <w:rPr>
          <w:rFonts w:hint="eastAsia" w:ascii="仿宋_GB2312" w:eastAsia="仿宋_GB2312"/>
          <w:color w:val="FF0000"/>
          <w:sz w:val="32"/>
        </w:rPr>
        <w:t>名，与上年相比</w:t>
      </w:r>
      <w:r>
        <w:rPr>
          <w:rFonts w:hint="eastAsia" w:ascii="仿宋_GB2312" w:eastAsia="仿宋_GB2312"/>
          <w:color w:val="FF0000"/>
          <w:sz w:val="32"/>
          <w:lang w:val="en-US" w:eastAsia="zh-CN"/>
        </w:rPr>
        <w:t>增加3名</w:t>
      </w:r>
      <w:r>
        <w:rPr>
          <w:rFonts w:hint="eastAsia" w:ascii="仿宋_GB2312" w:eastAsia="仿宋_GB2312"/>
          <w:color w:val="FF0000"/>
          <w:sz w:val="32"/>
        </w:rPr>
        <w:t>，以上均为全额财政预算编制。本次公开数据包括所有下属二级单位数据</w:t>
      </w:r>
      <w:r>
        <w:rPr>
          <w:rFonts w:hint="eastAsia" w:ascii="仿宋_GB2312" w:eastAsia="仿宋_GB2312"/>
          <w:color w:val="FF0000"/>
          <w:sz w:val="32"/>
          <w:lang w:eastAsia="zh-CN"/>
        </w:rPr>
        <w:t>（含</w:t>
      </w:r>
      <w:r>
        <w:rPr>
          <w:rFonts w:hint="eastAsia" w:ascii="仿宋_GB2312" w:eastAsia="仿宋_GB2312"/>
          <w:color w:val="FF0000"/>
          <w:sz w:val="32"/>
          <w:lang w:val="en-US" w:eastAsia="zh-CN"/>
        </w:rPr>
        <w:t>德阳市罗江区重大</w:t>
      </w:r>
      <w:r>
        <w:rPr>
          <w:rFonts w:hint="eastAsia" w:ascii="仿宋_GB2312" w:eastAsia="仿宋_GB2312"/>
          <w:color w:val="FF0000"/>
          <w:sz w:val="32"/>
          <w:lang w:eastAsia="zh-CN"/>
        </w:rPr>
        <w:t>项目</w:t>
      </w:r>
      <w:r>
        <w:rPr>
          <w:rFonts w:hint="eastAsia" w:ascii="仿宋_GB2312" w:eastAsia="仿宋_GB2312"/>
          <w:color w:val="FF0000"/>
          <w:sz w:val="32"/>
          <w:lang w:val="en-US" w:eastAsia="zh-CN"/>
        </w:rPr>
        <w:t>推进</w:t>
      </w:r>
      <w:r>
        <w:rPr>
          <w:rFonts w:hint="eastAsia" w:ascii="仿宋_GB2312" w:eastAsia="仿宋_GB2312"/>
          <w:color w:val="FF0000"/>
          <w:sz w:val="32"/>
          <w:lang w:eastAsia="zh-CN"/>
        </w:rPr>
        <w:t>中心、</w:t>
      </w:r>
      <w:r>
        <w:rPr>
          <w:rFonts w:hint="eastAsia" w:ascii="仿宋_GB2312" w:eastAsia="仿宋_GB2312"/>
          <w:color w:val="FF0000"/>
          <w:sz w:val="32"/>
          <w:lang w:val="en-US" w:eastAsia="zh-CN"/>
        </w:rPr>
        <w:t>德阳市罗江区价格</w:t>
      </w:r>
      <w:r>
        <w:rPr>
          <w:rFonts w:hint="eastAsia" w:ascii="仿宋_GB2312" w:eastAsia="仿宋_GB2312"/>
          <w:color w:val="FF0000"/>
          <w:sz w:val="32"/>
          <w:lang w:eastAsia="zh-CN"/>
        </w:rPr>
        <w:t>认证中心、</w:t>
      </w:r>
      <w:r>
        <w:rPr>
          <w:rFonts w:hint="eastAsia" w:ascii="仿宋_GB2312" w:eastAsia="仿宋_GB2312"/>
          <w:color w:val="FF0000"/>
          <w:sz w:val="32"/>
          <w:lang w:val="en-US" w:eastAsia="zh-CN"/>
        </w:rPr>
        <w:t>德阳市罗江区粮食和质量安全监督</w:t>
      </w:r>
      <w:r>
        <w:rPr>
          <w:rFonts w:hint="eastAsia" w:ascii="仿宋_GB2312" w:eastAsia="仿宋_GB2312"/>
          <w:color w:val="FF0000"/>
          <w:sz w:val="32"/>
          <w:lang w:eastAsia="zh-CN"/>
        </w:rPr>
        <w:t>检测站）</w:t>
      </w:r>
      <w:r>
        <w:rPr>
          <w:rFonts w:hint="eastAsia" w:ascii="仿宋_GB2312" w:eastAsia="仿宋_GB2312"/>
          <w:color w:val="FF0000"/>
          <w:sz w:val="32"/>
        </w:rPr>
        <w:t>。</w:t>
      </w:r>
    </w:p>
    <w:p w14:paraId="56F18FE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w:t>
      </w: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、收支预算增减变化情况说明</w:t>
      </w:r>
    </w:p>
    <w:p w14:paraId="0F36032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olor w:val="FF0000"/>
          <w:sz w:val="32"/>
          <w:szCs w:val="32"/>
          <w:lang w:val="en-US" w:eastAsia="zh-CN"/>
        </w:rPr>
      </w:pPr>
      <w:r>
        <w:rPr>
          <w:rFonts w:hint="eastAsia" w:ascii="仿宋_GB2312" w:hAnsi="仿宋_GB2312" w:eastAsia="仿宋_GB2312"/>
          <w:color w:val="FF0000"/>
          <w:sz w:val="32"/>
          <w:szCs w:val="32"/>
        </w:rPr>
        <w:t>按照综合预算的原则，</w:t>
      </w:r>
      <w:r>
        <w:rPr>
          <w:rFonts w:hint="eastAsia" w:ascii="仿宋_GB2312" w:hAnsi="仿宋_GB2312" w:eastAsia="仿宋_GB2312"/>
          <w:color w:val="FF0000"/>
          <w:sz w:val="32"/>
          <w:szCs w:val="32"/>
          <w:lang w:val="en-US" w:eastAsia="zh-CN"/>
        </w:rPr>
        <w:t>德阳市罗江区发展和改革局</w:t>
      </w:r>
      <w:r>
        <w:rPr>
          <w:rFonts w:hint="eastAsia" w:ascii="仿宋_GB2312" w:hAnsi="仿宋_GB2312" w:eastAsia="仿宋_GB2312"/>
          <w:color w:val="FF0000"/>
          <w:sz w:val="32"/>
          <w:szCs w:val="32"/>
        </w:rPr>
        <w:t>所有收支均包含下属单位数据，全部纳入部门预算管理。收入包括：</w:t>
      </w:r>
      <w:r>
        <w:rPr>
          <w:rFonts w:hint="eastAsia" w:ascii="仿宋_GB2312" w:hAnsi="仿宋_GB2312" w:eastAsia="仿宋_GB2312"/>
          <w:color w:val="FF0000"/>
          <w:sz w:val="32"/>
          <w:szCs w:val="32"/>
          <w:lang w:val="en-US" w:eastAsia="zh-CN"/>
        </w:rPr>
        <w:t>2025年</w:t>
      </w:r>
      <w:r>
        <w:rPr>
          <w:rFonts w:hint="eastAsia" w:ascii="仿宋_GB2312" w:hAnsi="仿宋_GB2312" w:eastAsia="仿宋_GB2312"/>
          <w:color w:val="FF0000"/>
          <w:sz w:val="32"/>
          <w:szCs w:val="32"/>
          <w:lang w:eastAsia="zh-CN"/>
        </w:rPr>
        <w:t>财政拨款总收入</w:t>
      </w:r>
      <w:r>
        <w:rPr>
          <w:rFonts w:hint="eastAsia" w:ascii="仿宋_GB2312" w:hAnsi="仿宋_GB2312" w:eastAsia="仿宋_GB2312"/>
          <w:color w:val="FF0000"/>
          <w:sz w:val="32"/>
          <w:szCs w:val="32"/>
          <w:lang w:val="en-US" w:eastAsia="zh-CN"/>
        </w:rPr>
        <w:t>2388.26万元，</w:t>
      </w:r>
      <w:r>
        <w:rPr>
          <w:rFonts w:hint="eastAsia" w:ascii="仿宋_GB2312" w:hAnsi="仿宋_GB2312" w:eastAsia="仿宋_GB2312"/>
          <w:color w:val="FF0000"/>
          <w:sz w:val="32"/>
          <w:szCs w:val="32"/>
        </w:rPr>
        <w:t>比20</w:t>
      </w:r>
      <w:r>
        <w:rPr>
          <w:rFonts w:hint="eastAsia" w:ascii="仿宋_GB2312" w:hAnsi="仿宋_GB2312" w:eastAsia="仿宋_GB2312"/>
          <w:color w:val="FF0000"/>
          <w:sz w:val="32"/>
          <w:szCs w:val="32"/>
          <w:lang w:val="en-US" w:eastAsia="zh-CN"/>
        </w:rPr>
        <w:t>24</w:t>
      </w:r>
      <w:r>
        <w:rPr>
          <w:rFonts w:hint="eastAsia" w:ascii="仿宋_GB2312" w:hAnsi="仿宋_GB2312" w:eastAsia="仿宋_GB2312"/>
          <w:color w:val="FF0000"/>
          <w:sz w:val="32"/>
          <w:szCs w:val="32"/>
        </w:rPr>
        <w:t>年预算数</w:t>
      </w:r>
      <w:r>
        <w:rPr>
          <w:rFonts w:hint="eastAsia" w:ascii="仿宋_GB2312" w:hAnsi="仿宋_GB2312" w:eastAsia="仿宋_GB2312"/>
          <w:color w:val="FF0000"/>
          <w:sz w:val="32"/>
          <w:szCs w:val="32"/>
          <w:lang w:val="en-US" w:eastAsia="zh-CN"/>
        </w:rPr>
        <w:t>2232.36万元</w:t>
      </w:r>
      <w:r>
        <w:rPr>
          <w:rFonts w:hint="eastAsia" w:ascii="仿宋_GB2312" w:hAnsi="仿宋_GB2312" w:eastAsia="仿宋_GB2312"/>
          <w:color w:val="FF0000"/>
          <w:sz w:val="32"/>
          <w:szCs w:val="32"/>
          <w:lang w:eastAsia="zh-CN"/>
        </w:rPr>
        <w:t>（</w:t>
      </w:r>
      <w:r>
        <w:rPr>
          <w:rFonts w:hint="eastAsia" w:ascii="仿宋_GB2312" w:hAnsi="仿宋_GB2312" w:eastAsia="仿宋_GB2312"/>
          <w:color w:val="FF0000"/>
          <w:sz w:val="32"/>
          <w:szCs w:val="32"/>
          <w:lang w:val="en-US" w:eastAsia="zh-CN"/>
        </w:rPr>
        <w:t>其中当年预算拨款2103.83万元，上年结转结余128.53万元</w:t>
      </w:r>
      <w:r>
        <w:rPr>
          <w:rFonts w:hint="eastAsia" w:ascii="仿宋_GB2312" w:hAnsi="仿宋_GB2312" w:eastAsia="仿宋_GB2312"/>
          <w:color w:val="FF0000"/>
          <w:sz w:val="32"/>
          <w:szCs w:val="32"/>
          <w:lang w:eastAsia="zh-CN"/>
        </w:rPr>
        <w:t>）</w:t>
      </w:r>
      <w:r>
        <w:rPr>
          <w:rFonts w:hint="eastAsia" w:ascii="仿宋_GB2312" w:hAnsi="仿宋_GB2312" w:eastAsia="仿宋_GB2312"/>
          <w:color w:val="FF0000"/>
          <w:sz w:val="32"/>
          <w:szCs w:val="32"/>
          <w:lang w:val="en-US" w:eastAsia="zh-CN"/>
        </w:rPr>
        <w:t>万元增加155.90</w:t>
      </w:r>
      <w:r>
        <w:rPr>
          <w:rFonts w:hint="eastAsia" w:ascii="仿宋_GB2312" w:hAnsi="仿宋_GB2312" w:eastAsia="仿宋_GB2312"/>
          <w:color w:val="FF0000"/>
          <w:sz w:val="32"/>
          <w:szCs w:val="32"/>
        </w:rPr>
        <w:t>万元，主要是本年单位在职人员</w:t>
      </w:r>
      <w:r>
        <w:rPr>
          <w:rFonts w:hint="eastAsia" w:ascii="仿宋_GB2312" w:hAnsi="仿宋_GB2312" w:eastAsia="仿宋_GB2312"/>
          <w:color w:val="FF0000"/>
          <w:sz w:val="32"/>
          <w:szCs w:val="32"/>
          <w:lang w:val="en-US" w:eastAsia="zh-CN"/>
        </w:rPr>
        <w:t>增加</w:t>
      </w:r>
      <w:r>
        <w:rPr>
          <w:rFonts w:hint="eastAsia" w:ascii="仿宋_GB2312" w:hAnsi="仿宋_GB2312" w:eastAsia="仿宋_GB2312"/>
          <w:color w:val="FF0000"/>
          <w:sz w:val="32"/>
          <w:szCs w:val="32"/>
        </w:rPr>
        <w:t>；</w:t>
      </w:r>
      <w:r>
        <w:rPr>
          <w:rFonts w:hint="eastAsia" w:ascii="仿宋_GB2312" w:hAnsi="仿宋_GB2312" w:eastAsia="仿宋_GB2312"/>
          <w:color w:val="auto"/>
          <w:sz w:val="32"/>
          <w:szCs w:val="32"/>
        </w:rPr>
        <w:t>支</w:t>
      </w:r>
      <w:r>
        <w:rPr>
          <w:rFonts w:hint="eastAsia" w:ascii="仿宋_GB2312" w:hAnsi="仿宋_GB2312" w:eastAsia="仿宋_GB2312"/>
          <w:color w:val="FF0000"/>
          <w:sz w:val="32"/>
          <w:szCs w:val="32"/>
        </w:rPr>
        <w:t>出</w:t>
      </w:r>
      <w:r>
        <w:rPr>
          <w:rFonts w:hint="eastAsia" w:ascii="仿宋_GB2312" w:hAnsi="仿宋_GB2312" w:eastAsia="仿宋_GB2312"/>
          <w:color w:val="FF0000"/>
          <w:sz w:val="32"/>
          <w:szCs w:val="32"/>
          <w:lang w:eastAsia="zh-CN"/>
        </w:rPr>
        <w:t>总</w:t>
      </w:r>
      <w:r>
        <w:rPr>
          <w:rFonts w:hint="eastAsia" w:ascii="仿宋_GB2312" w:hAnsi="仿宋_GB2312" w:eastAsia="仿宋_GB2312"/>
          <w:color w:val="FF0000"/>
          <w:sz w:val="32"/>
          <w:szCs w:val="32"/>
        </w:rPr>
        <w:t>预算</w:t>
      </w:r>
      <w:r>
        <w:rPr>
          <w:rFonts w:hint="eastAsia" w:ascii="仿宋_GB2312" w:hAnsi="仿宋_GB2312" w:eastAsia="仿宋_GB2312"/>
          <w:color w:val="FF0000"/>
          <w:sz w:val="32"/>
          <w:szCs w:val="32"/>
          <w:lang w:val="en-US" w:eastAsia="zh-CN"/>
        </w:rPr>
        <w:t>2388.26万元，其中</w:t>
      </w:r>
      <w:r>
        <w:rPr>
          <w:rFonts w:hint="eastAsia" w:ascii="仿宋_GB2312" w:hAnsi="仿宋_GB2312" w:eastAsia="仿宋_GB2312"/>
          <w:color w:val="FF0000"/>
          <w:sz w:val="32"/>
          <w:szCs w:val="32"/>
        </w:rPr>
        <w:t>包括</w:t>
      </w:r>
      <w:r>
        <w:rPr>
          <w:rFonts w:hint="eastAsia" w:ascii="仿宋_GB2312" w:hAnsi="仿宋_GB2312" w:eastAsia="仿宋_GB2312"/>
          <w:color w:val="FF0000"/>
          <w:sz w:val="32"/>
          <w:szCs w:val="32"/>
          <w:lang w:eastAsia="zh-CN"/>
        </w:rPr>
        <w:t>：</w:t>
      </w:r>
      <w:r>
        <w:rPr>
          <w:rFonts w:hint="eastAsia" w:ascii="仿宋_GB2312" w:hAnsi="仿宋_GB2312" w:eastAsia="仿宋_GB2312"/>
          <w:color w:val="FF0000"/>
          <w:sz w:val="32"/>
          <w:szCs w:val="32"/>
        </w:rPr>
        <w:t>一般公共服务支出</w:t>
      </w:r>
      <w:r>
        <w:rPr>
          <w:rFonts w:hint="eastAsia" w:ascii="仿宋_GB2312" w:hAnsi="仿宋_GB2312" w:eastAsia="仿宋_GB2312"/>
          <w:color w:val="FF0000"/>
          <w:sz w:val="32"/>
          <w:szCs w:val="32"/>
          <w:lang w:val="en-US" w:eastAsia="zh-CN"/>
        </w:rPr>
        <w:t>2217.03万元，</w:t>
      </w:r>
      <w:r>
        <w:rPr>
          <w:rFonts w:hint="eastAsia" w:ascii="仿宋_GB2312" w:hAnsi="仿宋_GB2312" w:eastAsia="仿宋_GB2312"/>
          <w:color w:val="FF0000"/>
          <w:sz w:val="32"/>
          <w:szCs w:val="32"/>
        </w:rPr>
        <w:t>社会保障和就业支出</w:t>
      </w:r>
      <w:r>
        <w:rPr>
          <w:rFonts w:hint="eastAsia" w:ascii="仿宋_GB2312" w:hAnsi="仿宋_GB2312" w:eastAsia="仿宋_GB2312"/>
          <w:color w:val="FF0000"/>
          <w:sz w:val="32"/>
          <w:szCs w:val="32"/>
          <w:lang w:val="en-US" w:eastAsia="zh-CN"/>
        </w:rPr>
        <w:t>107.19万元、卫生健康支出21.41万元、住房保障支出42.62万元。</w:t>
      </w:r>
      <w:r>
        <w:rPr>
          <w:rFonts w:hint="eastAsia" w:ascii="仿宋_GB2312" w:hAnsi="仿宋_GB2312" w:eastAsia="仿宋_GB2312"/>
          <w:color w:val="FF0000"/>
          <w:sz w:val="32"/>
          <w:szCs w:val="32"/>
        </w:rPr>
        <w:t>比20</w:t>
      </w:r>
      <w:r>
        <w:rPr>
          <w:rFonts w:hint="eastAsia" w:ascii="仿宋_GB2312" w:hAnsi="仿宋_GB2312" w:eastAsia="仿宋_GB2312"/>
          <w:color w:val="FF0000"/>
          <w:sz w:val="32"/>
          <w:szCs w:val="32"/>
          <w:lang w:val="en-US" w:eastAsia="zh-CN"/>
        </w:rPr>
        <w:t>24</w:t>
      </w:r>
      <w:r>
        <w:rPr>
          <w:rFonts w:hint="eastAsia" w:ascii="仿宋_GB2312" w:hAnsi="仿宋_GB2312" w:eastAsia="仿宋_GB2312"/>
          <w:color w:val="FF0000"/>
          <w:sz w:val="32"/>
          <w:szCs w:val="32"/>
        </w:rPr>
        <w:t>年预算数</w:t>
      </w:r>
      <w:r>
        <w:rPr>
          <w:rFonts w:hint="eastAsia" w:ascii="仿宋_GB2312" w:hAnsi="仿宋_GB2312" w:eastAsia="仿宋_GB2312"/>
          <w:color w:val="FF0000"/>
          <w:sz w:val="32"/>
          <w:szCs w:val="32"/>
          <w:lang w:val="en-US" w:eastAsia="zh-CN"/>
        </w:rPr>
        <w:t>2232.36万元增加155.90</w:t>
      </w:r>
      <w:r>
        <w:rPr>
          <w:rFonts w:hint="eastAsia" w:ascii="仿宋_GB2312" w:hAnsi="仿宋_GB2312" w:eastAsia="仿宋_GB2312"/>
          <w:color w:val="FF0000"/>
          <w:sz w:val="32"/>
          <w:szCs w:val="32"/>
        </w:rPr>
        <w:t>万元，主要是本年单位在职人员</w:t>
      </w:r>
      <w:r>
        <w:rPr>
          <w:rFonts w:hint="eastAsia" w:ascii="仿宋_GB2312" w:hAnsi="仿宋_GB2312" w:eastAsia="仿宋_GB2312"/>
          <w:color w:val="FF0000"/>
          <w:sz w:val="32"/>
          <w:szCs w:val="32"/>
          <w:lang w:val="en-US" w:eastAsia="zh-CN"/>
        </w:rPr>
        <w:t>增加。</w:t>
      </w:r>
    </w:p>
    <w:p w14:paraId="3634E5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FF0000"/>
          <w:sz w:val="32"/>
          <w:szCs w:val="32"/>
        </w:rPr>
      </w:pPr>
      <w:r>
        <w:rPr>
          <w:rFonts w:hint="eastAsia" w:ascii="楷体_GB2312" w:hAnsi="楷体_GB2312" w:eastAsia="楷体_GB2312" w:cs="楷体_GB2312"/>
          <w:color w:val="FF0000"/>
          <w:sz w:val="32"/>
          <w:szCs w:val="32"/>
        </w:rPr>
        <w:t>（一）收入预算情况</w:t>
      </w:r>
    </w:p>
    <w:p w14:paraId="443E3B85">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olor w:val="FF0000"/>
          <w:sz w:val="32"/>
          <w:szCs w:val="32"/>
        </w:rPr>
      </w:pP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rPr>
        <w:t>20</w:t>
      </w:r>
      <w:r>
        <w:rPr>
          <w:rFonts w:hint="eastAsia" w:ascii="仿宋_GB2312" w:hAnsi="仿宋_GB2312" w:eastAsia="仿宋_GB2312"/>
          <w:color w:val="FF0000"/>
          <w:sz w:val="32"/>
          <w:szCs w:val="32"/>
          <w:lang w:val="en-US" w:eastAsia="zh-CN"/>
        </w:rPr>
        <w:t>25</w:t>
      </w:r>
      <w:r>
        <w:rPr>
          <w:rFonts w:ascii="仿宋_GB2312" w:hAnsi="仿宋_GB2312" w:eastAsia="仿宋_GB2312"/>
          <w:color w:val="FF0000"/>
          <w:sz w:val="32"/>
          <w:szCs w:val="32"/>
        </w:rPr>
        <w:t>年收入预算</w:t>
      </w:r>
      <w:r>
        <w:rPr>
          <w:rFonts w:hint="eastAsia" w:ascii="仿宋_GB2312" w:hAnsi="仿宋_GB2312" w:eastAsia="仿宋_GB2312"/>
          <w:color w:val="FF0000"/>
          <w:sz w:val="32"/>
          <w:szCs w:val="32"/>
          <w:lang w:val="en-US" w:eastAsia="zh-CN"/>
        </w:rPr>
        <w:t>2388.26</w:t>
      </w:r>
      <w:r>
        <w:rPr>
          <w:rFonts w:ascii="仿宋_GB2312" w:hAnsi="仿宋_GB2312" w:eastAsia="仿宋_GB2312"/>
          <w:color w:val="FF0000"/>
          <w:sz w:val="32"/>
          <w:szCs w:val="32"/>
        </w:rPr>
        <w:t>万元，其中：一般公共预算拨款收入</w:t>
      </w:r>
      <w:r>
        <w:rPr>
          <w:rFonts w:hint="eastAsia" w:ascii="仿宋_GB2312" w:hAnsi="仿宋_GB2312" w:eastAsia="仿宋_GB2312"/>
          <w:color w:val="FF0000"/>
          <w:sz w:val="32"/>
          <w:szCs w:val="32"/>
          <w:lang w:val="en-US" w:eastAsia="zh-CN"/>
        </w:rPr>
        <w:t>2388.26</w:t>
      </w:r>
      <w:r>
        <w:rPr>
          <w:rFonts w:ascii="仿宋_GB2312" w:hAnsi="仿宋_GB2312" w:eastAsia="仿宋_GB2312"/>
          <w:color w:val="FF0000"/>
          <w:sz w:val="32"/>
          <w:szCs w:val="32"/>
        </w:rPr>
        <w:t>万元。</w:t>
      </w:r>
    </w:p>
    <w:p w14:paraId="3E0C8951">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楷体_GB2312" w:hAnsi="楷体_GB2312" w:eastAsia="楷体_GB2312" w:cs="楷体_GB2312"/>
          <w:color w:val="FF0000"/>
          <w:sz w:val="32"/>
          <w:szCs w:val="32"/>
        </w:rPr>
      </w:pPr>
      <w:r>
        <w:rPr>
          <w:rFonts w:hint="eastAsia" w:ascii="楷体_GB2312" w:hAnsi="楷体_GB2312" w:eastAsia="楷体_GB2312" w:cs="楷体_GB2312"/>
          <w:color w:val="FF0000"/>
          <w:sz w:val="32"/>
          <w:szCs w:val="32"/>
        </w:rPr>
        <w:t>（二）支出预算情况</w:t>
      </w:r>
    </w:p>
    <w:p w14:paraId="0A2D3C6F">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color w:val="auto"/>
          <w:sz w:val="32"/>
          <w:szCs w:val="32"/>
        </w:rPr>
      </w:pPr>
      <w:r>
        <w:rPr>
          <w:rFonts w:ascii="仿宋_GB2312" w:hAnsi="仿宋_GB2312" w:eastAsia="仿宋_GB2312"/>
          <w:color w:val="FF0000"/>
          <w:sz w:val="32"/>
          <w:szCs w:val="32"/>
        </w:rPr>
        <w:t>20</w:t>
      </w:r>
      <w:r>
        <w:rPr>
          <w:rFonts w:hint="eastAsia" w:ascii="仿宋_GB2312" w:hAnsi="仿宋_GB2312" w:eastAsia="仿宋_GB2312"/>
          <w:color w:val="FF0000"/>
          <w:sz w:val="32"/>
          <w:szCs w:val="32"/>
          <w:lang w:val="en-US" w:eastAsia="zh-CN"/>
        </w:rPr>
        <w:t>25</w:t>
      </w:r>
      <w:r>
        <w:rPr>
          <w:rFonts w:ascii="仿宋_GB2312" w:hAnsi="仿宋_GB2312" w:eastAsia="仿宋_GB2312"/>
          <w:color w:val="FF0000"/>
          <w:sz w:val="32"/>
          <w:szCs w:val="32"/>
        </w:rPr>
        <w:t>年支出预算</w:t>
      </w:r>
      <w:r>
        <w:rPr>
          <w:rFonts w:hint="eastAsia" w:ascii="仿宋_GB2312" w:hAnsi="仿宋_GB2312" w:eastAsia="仿宋_GB2312"/>
          <w:color w:val="FF0000"/>
          <w:sz w:val="32"/>
          <w:szCs w:val="32"/>
          <w:lang w:val="en-US" w:eastAsia="zh-CN"/>
        </w:rPr>
        <w:t>2388.26</w:t>
      </w:r>
      <w:r>
        <w:rPr>
          <w:rFonts w:ascii="仿宋_GB2312" w:hAnsi="仿宋_GB2312" w:eastAsia="仿宋_GB2312"/>
          <w:color w:val="FF0000"/>
          <w:sz w:val="32"/>
          <w:szCs w:val="32"/>
        </w:rPr>
        <w:t>万元，其中：基本支出</w:t>
      </w:r>
      <w:r>
        <w:rPr>
          <w:rFonts w:hint="eastAsia" w:ascii="仿宋_GB2312" w:hAnsi="仿宋_GB2312" w:eastAsia="仿宋_GB2312"/>
          <w:color w:val="FF0000"/>
          <w:sz w:val="32"/>
          <w:szCs w:val="32"/>
          <w:lang w:val="en-US" w:eastAsia="zh-CN"/>
        </w:rPr>
        <w:t>676.67</w:t>
      </w:r>
      <w:r>
        <w:rPr>
          <w:rFonts w:ascii="仿宋_GB2312" w:hAnsi="仿宋_GB2312" w:eastAsia="仿宋_GB2312"/>
          <w:color w:val="FF0000"/>
          <w:sz w:val="32"/>
          <w:szCs w:val="32"/>
        </w:rPr>
        <w:t>万元；项目支出</w:t>
      </w:r>
      <w:r>
        <w:rPr>
          <w:rFonts w:hint="eastAsia" w:ascii="仿宋_GB2312" w:hAnsi="仿宋_GB2312" w:eastAsia="仿宋_GB2312"/>
          <w:color w:val="FF0000"/>
          <w:sz w:val="32"/>
          <w:szCs w:val="32"/>
          <w:lang w:val="en-US" w:eastAsia="zh-CN"/>
        </w:rPr>
        <w:t>1711.59</w:t>
      </w:r>
      <w:r>
        <w:rPr>
          <w:rFonts w:ascii="仿宋_GB2312" w:hAnsi="仿宋_GB2312" w:eastAsia="仿宋_GB2312"/>
          <w:color w:val="FF0000"/>
          <w:sz w:val="32"/>
          <w:szCs w:val="32"/>
        </w:rPr>
        <w:t>万元。</w:t>
      </w:r>
    </w:p>
    <w:p w14:paraId="1F39A68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w:t>
      </w: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、财政拨款收支预算情况说明</w:t>
      </w:r>
    </w:p>
    <w:p w14:paraId="18767F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olor w:val="FF0000"/>
          <w:sz w:val="32"/>
          <w:szCs w:val="32"/>
        </w:rPr>
      </w:pPr>
      <w:r>
        <w:rPr>
          <w:rFonts w:hint="eastAsia" w:ascii="仿宋_GB2312" w:hAnsi="仿宋_GB2312" w:eastAsia="仿宋_GB2312"/>
          <w:color w:val="FF0000"/>
          <w:sz w:val="32"/>
          <w:szCs w:val="32"/>
          <w:lang w:val="en-US" w:eastAsia="zh-CN"/>
        </w:rPr>
        <w:t>德阳市罗江区发展和改革局</w:t>
      </w:r>
      <w:r>
        <w:rPr>
          <w:rFonts w:hint="eastAsia" w:ascii="仿宋_GB2312" w:hAnsi="仿宋_GB2312" w:eastAsia="仿宋_GB2312"/>
          <w:color w:val="FF0000"/>
          <w:sz w:val="32"/>
          <w:szCs w:val="32"/>
        </w:rPr>
        <w:t>20</w:t>
      </w:r>
      <w:r>
        <w:rPr>
          <w:rFonts w:hint="eastAsia" w:ascii="仿宋_GB2312" w:hAnsi="仿宋_GB2312" w:eastAsia="仿宋_GB2312"/>
          <w:color w:val="FF0000"/>
          <w:sz w:val="32"/>
          <w:szCs w:val="32"/>
          <w:lang w:val="en-US" w:eastAsia="zh-CN"/>
        </w:rPr>
        <w:t>25</w:t>
      </w:r>
      <w:r>
        <w:rPr>
          <w:rFonts w:hint="eastAsia" w:ascii="仿宋_GB2312" w:hAnsi="仿宋_GB2312" w:eastAsia="仿宋_GB2312"/>
          <w:color w:val="FF0000"/>
          <w:sz w:val="32"/>
          <w:szCs w:val="32"/>
        </w:rPr>
        <w:t>年财政拨款收支总预算</w:t>
      </w:r>
      <w:r>
        <w:rPr>
          <w:rFonts w:hint="eastAsia" w:ascii="仿宋_GB2312" w:hAnsi="仿宋_GB2312" w:eastAsia="仿宋_GB2312"/>
          <w:color w:val="FF0000"/>
          <w:sz w:val="32"/>
          <w:szCs w:val="32"/>
          <w:lang w:val="en-US" w:eastAsia="zh-CN"/>
        </w:rPr>
        <w:t>2388.26万元</w:t>
      </w:r>
      <w:r>
        <w:rPr>
          <w:rFonts w:hint="eastAsia" w:ascii="仿宋_GB2312" w:hAnsi="仿宋_GB2312" w:eastAsia="仿宋_GB2312"/>
          <w:color w:val="FF0000"/>
          <w:sz w:val="32"/>
          <w:szCs w:val="32"/>
        </w:rPr>
        <w:t>。</w:t>
      </w:r>
      <w:r>
        <w:rPr>
          <w:rFonts w:hint="eastAsia" w:ascii="仿宋_GB2312" w:eastAsia="仿宋_GB2312"/>
          <w:color w:val="FF0000"/>
          <w:sz w:val="32"/>
          <w:szCs w:val="32"/>
        </w:rPr>
        <w:t>比</w:t>
      </w:r>
      <w:r>
        <w:rPr>
          <w:rFonts w:hint="eastAsia" w:ascii="仿宋_GB2312" w:hAnsi="仿宋_GB2312" w:eastAsia="仿宋_GB2312"/>
          <w:color w:val="FF0000"/>
          <w:sz w:val="32"/>
          <w:szCs w:val="32"/>
        </w:rPr>
        <w:t>20</w:t>
      </w:r>
      <w:r>
        <w:rPr>
          <w:rFonts w:hint="eastAsia" w:ascii="仿宋_GB2312" w:hAnsi="仿宋_GB2312" w:eastAsia="仿宋_GB2312"/>
          <w:color w:val="FF0000"/>
          <w:sz w:val="32"/>
          <w:szCs w:val="32"/>
          <w:lang w:val="en-US" w:eastAsia="zh-CN"/>
        </w:rPr>
        <w:t>24</w:t>
      </w:r>
      <w:r>
        <w:rPr>
          <w:rFonts w:hint="eastAsia" w:ascii="仿宋_GB2312" w:hAnsi="仿宋_GB2312" w:eastAsia="仿宋_GB2312"/>
          <w:color w:val="FF0000"/>
          <w:sz w:val="32"/>
          <w:szCs w:val="32"/>
        </w:rPr>
        <w:t>年财政拨款收支总预算</w:t>
      </w:r>
      <w:r>
        <w:rPr>
          <w:rFonts w:hint="eastAsia" w:ascii="仿宋_GB2312" w:hAnsi="仿宋_GB2312" w:eastAsia="仿宋_GB2312"/>
          <w:color w:val="FF0000"/>
          <w:sz w:val="32"/>
          <w:szCs w:val="32"/>
          <w:lang w:val="en-US" w:eastAsia="zh-CN"/>
        </w:rPr>
        <w:t>增加155.90</w:t>
      </w:r>
      <w:r>
        <w:rPr>
          <w:rFonts w:hint="eastAsia" w:ascii="仿宋_GB2312" w:hAnsi="仿宋_GB2312" w:eastAsia="仿宋_GB2312"/>
          <w:color w:val="FF0000"/>
          <w:sz w:val="32"/>
          <w:szCs w:val="32"/>
        </w:rPr>
        <w:t>万元，主要是本年单位在职人员</w:t>
      </w:r>
      <w:r>
        <w:rPr>
          <w:rFonts w:hint="eastAsia" w:ascii="仿宋_GB2312" w:hAnsi="仿宋_GB2312" w:eastAsia="仿宋_GB2312"/>
          <w:color w:val="FF0000"/>
          <w:sz w:val="32"/>
          <w:szCs w:val="32"/>
          <w:lang w:val="en-US" w:eastAsia="zh-CN"/>
        </w:rPr>
        <w:t>增加。</w:t>
      </w:r>
    </w:p>
    <w:p w14:paraId="5EB3C6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olor w:val="FF0000"/>
          <w:sz w:val="32"/>
          <w:szCs w:val="32"/>
        </w:rPr>
      </w:pPr>
      <w:r>
        <w:rPr>
          <w:rFonts w:hint="eastAsia" w:ascii="仿宋_GB2312" w:hAnsi="仿宋_GB2312" w:eastAsia="仿宋_GB2312"/>
          <w:color w:val="FF0000"/>
          <w:sz w:val="32"/>
          <w:szCs w:val="32"/>
        </w:rPr>
        <w:t>收入包括：本年</w:t>
      </w:r>
      <w:r>
        <w:rPr>
          <w:rFonts w:ascii="仿宋_GB2312" w:hAnsi="仿宋_GB2312" w:eastAsia="仿宋_GB2312"/>
          <w:color w:val="FF0000"/>
          <w:sz w:val="32"/>
          <w:szCs w:val="32"/>
        </w:rPr>
        <w:t>一般公共预算拨款收入</w:t>
      </w:r>
      <w:r>
        <w:rPr>
          <w:rFonts w:hint="eastAsia" w:ascii="仿宋_GB2312" w:hAnsi="仿宋_GB2312" w:eastAsia="仿宋_GB2312"/>
          <w:color w:val="FF0000"/>
          <w:sz w:val="32"/>
          <w:szCs w:val="32"/>
          <w:lang w:val="en-US" w:eastAsia="zh-CN"/>
        </w:rPr>
        <w:t>2388.26</w:t>
      </w:r>
      <w:r>
        <w:rPr>
          <w:rFonts w:ascii="仿宋_GB2312" w:hAnsi="仿宋_GB2312" w:eastAsia="仿宋_GB2312"/>
          <w:color w:val="FF0000"/>
          <w:sz w:val="32"/>
          <w:szCs w:val="32"/>
        </w:rPr>
        <w:t>万元；一般公共预算拨款收入</w:t>
      </w:r>
      <w:r>
        <w:rPr>
          <w:rFonts w:hint="eastAsia" w:ascii="仿宋_GB2312" w:hAnsi="仿宋_GB2312" w:eastAsia="仿宋_GB2312"/>
          <w:color w:val="FF0000"/>
          <w:sz w:val="32"/>
          <w:szCs w:val="32"/>
          <w:lang w:val="en-US" w:eastAsia="zh-CN"/>
        </w:rPr>
        <w:t>2388.26</w:t>
      </w:r>
      <w:r>
        <w:rPr>
          <w:rFonts w:ascii="仿宋_GB2312" w:hAnsi="仿宋_GB2312" w:eastAsia="仿宋_GB2312"/>
          <w:color w:val="FF0000"/>
          <w:sz w:val="32"/>
          <w:szCs w:val="32"/>
        </w:rPr>
        <w:t>万元。</w:t>
      </w:r>
    </w:p>
    <w:p w14:paraId="4E8EB587">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color w:val="FF0000"/>
          <w:sz w:val="32"/>
          <w:szCs w:val="32"/>
        </w:rPr>
      </w:pPr>
      <w:r>
        <w:rPr>
          <w:rFonts w:hint="eastAsia" w:ascii="仿宋_GB2312" w:hAnsi="仿宋_GB2312" w:eastAsia="仿宋_GB2312"/>
          <w:color w:val="FF0000"/>
          <w:sz w:val="32"/>
          <w:szCs w:val="32"/>
        </w:rPr>
        <w:t>支出包括</w:t>
      </w:r>
      <w:r>
        <w:rPr>
          <w:rFonts w:hint="eastAsia" w:ascii="仿宋_GB2312" w:hAnsi="仿宋_GB2312" w:eastAsia="仿宋_GB2312"/>
          <w:color w:val="FF0000"/>
          <w:sz w:val="32"/>
          <w:szCs w:val="32"/>
          <w:lang w:eastAsia="zh-CN"/>
        </w:rPr>
        <w:t>：</w:t>
      </w:r>
      <w:r>
        <w:rPr>
          <w:rFonts w:hint="eastAsia" w:ascii="仿宋_GB2312" w:hAnsi="仿宋_GB2312" w:eastAsia="仿宋_GB2312"/>
          <w:color w:val="FF0000"/>
          <w:sz w:val="32"/>
          <w:szCs w:val="32"/>
        </w:rPr>
        <w:t>一般公共服务支出</w:t>
      </w:r>
      <w:r>
        <w:rPr>
          <w:rFonts w:hint="eastAsia" w:ascii="仿宋_GB2312" w:hAnsi="仿宋_GB2312" w:eastAsia="仿宋_GB2312"/>
          <w:color w:val="FF0000"/>
          <w:sz w:val="32"/>
          <w:szCs w:val="32"/>
          <w:lang w:val="en-US" w:eastAsia="zh-CN"/>
        </w:rPr>
        <w:t>2217.03万元，</w:t>
      </w:r>
      <w:r>
        <w:rPr>
          <w:rFonts w:hint="eastAsia" w:ascii="仿宋_GB2312" w:hAnsi="仿宋_GB2312" w:eastAsia="仿宋_GB2312"/>
          <w:color w:val="FF0000"/>
          <w:sz w:val="32"/>
          <w:szCs w:val="32"/>
        </w:rPr>
        <w:t>社会保障和就业支出</w:t>
      </w:r>
      <w:r>
        <w:rPr>
          <w:rFonts w:hint="eastAsia" w:ascii="仿宋_GB2312" w:hAnsi="仿宋_GB2312" w:eastAsia="仿宋_GB2312"/>
          <w:color w:val="FF0000"/>
          <w:sz w:val="32"/>
          <w:szCs w:val="32"/>
          <w:lang w:val="en-US" w:eastAsia="zh-CN"/>
        </w:rPr>
        <w:t>107.19万元、卫生健康支出21.41万元、住房保障支出42.62万元。</w:t>
      </w:r>
    </w:p>
    <w:p w14:paraId="61ADEED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w:t>
      </w: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、一般公共预算当年拨款情况说明</w:t>
      </w:r>
    </w:p>
    <w:p w14:paraId="33B15A5F">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w:t>
      </w:r>
      <w:r>
        <w:rPr>
          <w:rFonts w:hint="eastAsia" w:ascii="楷体_GB2312" w:hAnsi="楷体_GB2312" w:eastAsia="楷体_GB2312" w:cs="楷体_GB2312"/>
          <w:color w:val="auto"/>
          <w:sz w:val="32"/>
          <w:szCs w:val="32"/>
        </w:rPr>
        <w:t>　（一）一般公共预算当年拨款规模变化情况</w:t>
      </w:r>
    </w:p>
    <w:p w14:paraId="2BA06F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德阳市罗江区发展和改革局2025</w:t>
      </w:r>
      <w:r>
        <w:rPr>
          <w:rFonts w:hint="eastAsia" w:ascii="仿宋_GB2312" w:hAnsi="仿宋_GB2312" w:eastAsia="仿宋_GB2312"/>
          <w:color w:val="auto"/>
          <w:sz w:val="32"/>
          <w:szCs w:val="32"/>
        </w:rPr>
        <w:t>年一般公共预算当年拨款</w:t>
      </w:r>
      <w:r>
        <w:rPr>
          <w:rFonts w:hint="eastAsia" w:ascii="仿宋_GB2312" w:hAnsi="仿宋_GB2312" w:eastAsia="仿宋_GB2312" w:cs="Times New Roman"/>
          <w:color w:val="auto"/>
          <w:sz w:val="32"/>
          <w:szCs w:val="32"/>
          <w:lang w:val="en-US" w:eastAsia="zh-CN"/>
        </w:rPr>
        <w:t>2388.26</w:t>
      </w:r>
      <w:r>
        <w:rPr>
          <w:rFonts w:hint="eastAsia" w:ascii="仿宋_GB2312" w:hAnsi="仿宋_GB2312" w:eastAsia="仿宋_GB2312"/>
          <w:color w:val="auto"/>
          <w:sz w:val="32"/>
          <w:szCs w:val="32"/>
          <w:lang w:val="en-US" w:eastAsia="zh-CN"/>
        </w:rPr>
        <w:t>万元，</w:t>
      </w:r>
      <w:r>
        <w:rPr>
          <w:rFonts w:hint="eastAsia" w:ascii="仿宋_GB2312" w:hAnsi="仿宋_GB2312" w:eastAsia="仿宋_GB2312"/>
          <w:color w:val="auto"/>
          <w:sz w:val="32"/>
          <w:szCs w:val="32"/>
        </w:rPr>
        <w:t>比20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年预算数</w:t>
      </w:r>
      <w:r>
        <w:rPr>
          <w:rFonts w:hint="eastAsia" w:ascii="仿宋_GB2312" w:hAnsi="仿宋_GB2312" w:eastAsia="仿宋_GB2312"/>
          <w:color w:val="auto"/>
          <w:sz w:val="32"/>
          <w:szCs w:val="32"/>
          <w:lang w:val="en-US" w:eastAsia="zh-CN"/>
        </w:rPr>
        <w:t>2232.36万元增加155.90</w:t>
      </w:r>
      <w:r>
        <w:rPr>
          <w:rFonts w:hint="eastAsia" w:ascii="仿宋_GB2312" w:hAnsi="仿宋_GB2312" w:eastAsia="仿宋_GB2312"/>
          <w:color w:val="auto"/>
          <w:sz w:val="32"/>
          <w:szCs w:val="32"/>
        </w:rPr>
        <w:t>万元，主要是本年单位在职人员</w:t>
      </w:r>
      <w:r>
        <w:rPr>
          <w:rFonts w:hint="eastAsia" w:ascii="仿宋_GB2312" w:hAnsi="仿宋_GB2312" w:eastAsia="仿宋_GB2312"/>
          <w:color w:val="auto"/>
          <w:sz w:val="32"/>
          <w:szCs w:val="32"/>
          <w:lang w:val="en-US" w:eastAsia="zh-CN"/>
        </w:rPr>
        <w:t>增加。</w:t>
      </w:r>
    </w:p>
    <w:p w14:paraId="15F0FE0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sz w:val="32"/>
          <w:szCs w:val="32"/>
        </w:rPr>
      </w:pPr>
      <w:r>
        <w:rPr>
          <w:rFonts w:hint="eastAsia" w:ascii="仿宋_GB2312" w:hAnsi="仿宋_GB2312" w:eastAsia="仿宋_GB2312"/>
          <w:color w:val="auto"/>
          <w:sz w:val="32"/>
          <w:szCs w:val="32"/>
        </w:rPr>
        <w:t>　</w:t>
      </w:r>
      <w:r>
        <w:rPr>
          <w:rFonts w:hint="eastAsia" w:ascii="楷体_GB2312" w:hAnsi="楷体_GB2312" w:eastAsia="楷体_GB2312" w:cs="楷体_GB2312"/>
          <w:color w:val="auto"/>
          <w:sz w:val="32"/>
          <w:szCs w:val="32"/>
        </w:rPr>
        <w:t>　（二）一般公共预算当年拨款结构情况(按照功能科目类写)</w:t>
      </w:r>
    </w:p>
    <w:p w14:paraId="40255D4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rPr>
        <w:t>　　</w:t>
      </w:r>
      <w:r>
        <w:rPr>
          <w:rFonts w:hint="eastAsia" w:ascii="仿宋_GB2312" w:hAnsi="仿宋_GB2312" w:eastAsia="仿宋_GB2312"/>
          <w:color w:val="FF0000"/>
          <w:sz w:val="32"/>
          <w:szCs w:val="32"/>
        </w:rPr>
        <w:t>一般公共服务支出</w:t>
      </w:r>
      <w:r>
        <w:rPr>
          <w:rFonts w:hint="eastAsia" w:ascii="仿宋_GB2312" w:hAnsi="仿宋_GB2312" w:eastAsia="仿宋_GB2312"/>
          <w:color w:val="FF0000"/>
          <w:sz w:val="32"/>
          <w:szCs w:val="32"/>
          <w:lang w:val="en-US" w:eastAsia="zh-CN"/>
        </w:rPr>
        <w:t>2217.03万元，</w:t>
      </w:r>
      <w:r>
        <w:rPr>
          <w:rFonts w:hint="eastAsia" w:ascii="仿宋_GB2312" w:hAnsi="仿宋_GB2312" w:eastAsia="仿宋_GB2312"/>
          <w:color w:val="FF0000"/>
          <w:sz w:val="32"/>
          <w:szCs w:val="32"/>
        </w:rPr>
        <w:t>社会保障和就业支出</w:t>
      </w:r>
      <w:r>
        <w:rPr>
          <w:rFonts w:hint="eastAsia" w:ascii="仿宋_GB2312" w:hAnsi="仿宋_GB2312" w:eastAsia="仿宋_GB2312"/>
          <w:color w:val="FF0000"/>
          <w:sz w:val="32"/>
          <w:szCs w:val="32"/>
          <w:lang w:val="en-US" w:eastAsia="zh-CN"/>
        </w:rPr>
        <w:t>107.19万元、卫生健康支出21.41万元、住房保障支出42.62万元。</w:t>
      </w:r>
    </w:p>
    <w:p w14:paraId="47A2953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　　（三）一般公共预算当年拨款具体使用情况（按功能科目类款项写）</w:t>
      </w:r>
    </w:p>
    <w:p w14:paraId="77CEDE36">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1.一般公共服务</w:t>
      </w:r>
      <w:r>
        <w:rPr>
          <w:rFonts w:hint="eastAsia" w:ascii="仿宋_GB2312" w:hAnsi="仿宋_GB2312" w:eastAsia="仿宋_GB2312"/>
          <w:color w:val="auto"/>
          <w:sz w:val="32"/>
          <w:szCs w:val="32"/>
          <w:lang w:eastAsia="zh-CN"/>
        </w:rPr>
        <w:t>社会保障和就业支出</w:t>
      </w:r>
      <w:r>
        <w:rPr>
          <w:rFonts w:hint="eastAsia" w:ascii="仿宋_GB2312" w:hAnsi="仿宋_GB2312" w:eastAsia="仿宋_GB2312"/>
          <w:color w:val="auto"/>
          <w:sz w:val="32"/>
          <w:szCs w:val="32"/>
        </w:rPr>
        <w:t>（类）</w:t>
      </w:r>
      <w:r>
        <w:rPr>
          <w:rFonts w:hint="eastAsia" w:ascii="仿宋_GB2312" w:hAnsi="仿宋_GB2312" w:eastAsia="仿宋_GB2312"/>
          <w:color w:val="auto"/>
          <w:sz w:val="32"/>
          <w:szCs w:val="32"/>
          <w:lang w:val="en-US" w:eastAsia="zh-CN"/>
        </w:rPr>
        <w:t>行政事业单位离退休</w:t>
      </w:r>
      <w:r>
        <w:rPr>
          <w:rFonts w:hint="eastAsia" w:ascii="仿宋_GB2312" w:hAnsi="仿宋_GB2312" w:eastAsia="仿宋_GB2312"/>
          <w:color w:val="auto"/>
          <w:sz w:val="32"/>
          <w:szCs w:val="32"/>
        </w:rPr>
        <w:t>（款）</w:t>
      </w:r>
      <w:r>
        <w:rPr>
          <w:rFonts w:hint="eastAsia" w:ascii="仿宋_GB2312" w:hAnsi="仿宋_GB2312" w:eastAsia="仿宋_GB2312"/>
          <w:color w:val="auto"/>
          <w:sz w:val="32"/>
          <w:szCs w:val="32"/>
          <w:lang w:eastAsia="zh-CN"/>
        </w:rPr>
        <w:t>机关事业单位基本养老保险缴费支出</w:t>
      </w:r>
      <w:r>
        <w:rPr>
          <w:rFonts w:hint="eastAsia" w:ascii="仿宋_GB2312" w:hAnsi="仿宋_GB2312" w:eastAsia="仿宋_GB2312"/>
          <w:color w:val="auto"/>
          <w:sz w:val="32"/>
          <w:szCs w:val="32"/>
        </w:rPr>
        <w:t>（项）</w:t>
      </w:r>
      <w:r>
        <w:rPr>
          <w:rFonts w:hint="eastAsia" w:ascii="仿宋_GB2312" w:hAnsi="仿宋_GB2312" w:eastAsia="仿宋_GB2312"/>
          <w:color w:val="auto"/>
          <w:sz w:val="32"/>
          <w:szCs w:val="32"/>
          <w:lang w:val="en-US" w:eastAsia="zh-CN"/>
        </w:rPr>
        <w:t>2025</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50.38</w:t>
      </w:r>
      <w:r>
        <w:rPr>
          <w:rFonts w:hint="eastAsia" w:ascii="仿宋_GB2312" w:hAnsi="仿宋_GB2312" w:eastAsia="仿宋_GB2312"/>
          <w:color w:val="auto"/>
          <w:sz w:val="32"/>
          <w:szCs w:val="32"/>
        </w:rPr>
        <w:t>万元，主要用于：</w:t>
      </w:r>
      <w:r>
        <w:rPr>
          <w:rFonts w:hint="eastAsia" w:ascii="仿宋_GB2312" w:hAnsi="仿宋_GB2312" w:eastAsia="仿宋_GB2312"/>
          <w:color w:val="auto"/>
          <w:sz w:val="32"/>
          <w:szCs w:val="32"/>
          <w:lang w:eastAsia="zh-CN"/>
        </w:rPr>
        <w:t>机关事业人员缴纳的基本养老保险缴费支出</w:t>
      </w:r>
      <w:r>
        <w:rPr>
          <w:rFonts w:hint="eastAsia" w:ascii="仿宋_GB2312" w:hAnsi="仿宋_GB2312" w:eastAsia="仿宋_GB2312"/>
          <w:color w:val="auto"/>
          <w:sz w:val="32"/>
          <w:szCs w:val="32"/>
        </w:rPr>
        <w:t>。</w:t>
      </w:r>
    </w:p>
    <w:p w14:paraId="2A4A2BDC">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2. 一般公共服务</w:t>
      </w:r>
      <w:r>
        <w:rPr>
          <w:rFonts w:hint="eastAsia" w:ascii="仿宋_GB2312" w:hAnsi="仿宋_GB2312" w:eastAsia="仿宋_GB2312"/>
          <w:color w:val="auto"/>
          <w:sz w:val="32"/>
          <w:szCs w:val="32"/>
          <w:lang w:eastAsia="zh-CN"/>
        </w:rPr>
        <w:t>社会保障和就业支出</w:t>
      </w:r>
      <w:r>
        <w:rPr>
          <w:rFonts w:hint="eastAsia" w:ascii="仿宋_GB2312" w:hAnsi="仿宋_GB2312" w:eastAsia="仿宋_GB2312"/>
          <w:color w:val="auto"/>
          <w:sz w:val="32"/>
          <w:szCs w:val="32"/>
        </w:rPr>
        <w:t>（类）</w:t>
      </w:r>
      <w:r>
        <w:rPr>
          <w:rFonts w:hint="eastAsia" w:ascii="仿宋_GB2312" w:hAnsi="仿宋_GB2312" w:eastAsia="仿宋_GB2312"/>
          <w:color w:val="auto"/>
          <w:sz w:val="32"/>
          <w:szCs w:val="32"/>
          <w:lang w:val="en-US" w:eastAsia="zh-CN"/>
        </w:rPr>
        <w:t>行政事业单位离退休</w:t>
      </w:r>
      <w:r>
        <w:rPr>
          <w:rFonts w:hint="eastAsia" w:ascii="仿宋_GB2312" w:hAnsi="仿宋_GB2312" w:eastAsia="仿宋_GB2312"/>
          <w:color w:val="auto"/>
          <w:sz w:val="32"/>
          <w:szCs w:val="32"/>
        </w:rPr>
        <w:t>（款）</w:t>
      </w:r>
      <w:r>
        <w:rPr>
          <w:rFonts w:hint="eastAsia" w:ascii="仿宋_GB2312" w:hAnsi="仿宋_GB2312" w:eastAsia="仿宋_GB2312"/>
          <w:color w:val="auto"/>
          <w:sz w:val="32"/>
          <w:szCs w:val="32"/>
          <w:lang w:eastAsia="zh-CN"/>
        </w:rPr>
        <w:t>机关事业单位职业年金缴费支出</w:t>
      </w:r>
      <w:r>
        <w:rPr>
          <w:rFonts w:hint="eastAsia" w:ascii="仿宋_GB2312" w:hAnsi="仿宋_GB2312" w:eastAsia="仿宋_GB2312"/>
          <w:color w:val="auto"/>
          <w:sz w:val="32"/>
          <w:szCs w:val="32"/>
        </w:rPr>
        <w:t>（项）20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25.19</w:t>
      </w:r>
      <w:r>
        <w:rPr>
          <w:rFonts w:hint="eastAsia" w:ascii="仿宋_GB2312" w:hAnsi="仿宋_GB2312" w:eastAsia="仿宋_GB2312"/>
          <w:color w:val="auto"/>
          <w:sz w:val="32"/>
          <w:szCs w:val="32"/>
        </w:rPr>
        <w:t>万元，主要用于：</w:t>
      </w:r>
      <w:r>
        <w:rPr>
          <w:rFonts w:hint="eastAsia" w:ascii="仿宋_GB2312" w:hAnsi="仿宋_GB2312" w:eastAsia="仿宋_GB2312"/>
          <w:color w:val="auto"/>
          <w:sz w:val="32"/>
          <w:szCs w:val="32"/>
          <w:lang w:eastAsia="zh-CN"/>
        </w:rPr>
        <w:t>机关事业人员缴纳的职业年金缴费支出</w:t>
      </w:r>
      <w:r>
        <w:rPr>
          <w:rFonts w:hint="eastAsia" w:ascii="仿宋_GB2312" w:hAnsi="仿宋_GB2312" w:eastAsia="仿宋_GB2312"/>
          <w:color w:val="auto"/>
          <w:sz w:val="32"/>
          <w:szCs w:val="32"/>
        </w:rPr>
        <w:t>。</w:t>
      </w:r>
    </w:p>
    <w:p w14:paraId="053E78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3</w:t>
      </w:r>
      <w:r>
        <w:rPr>
          <w:rFonts w:hint="eastAsia" w:ascii="仿宋_GB2312" w:hAnsi="仿宋_GB2312" w:eastAsia="仿宋_GB2312"/>
          <w:color w:val="auto"/>
          <w:sz w:val="32"/>
          <w:szCs w:val="32"/>
          <w:lang w:val="en-US" w:eastAsia="zh-CN"/>
        </w:rPr>
        <w:t>.</w:t>
      </w:r>
      <w:r>
        <w:rPr>
          <w:rFonts w:hint="eastAsia" w:ascii="仿宋_GB2312" w:hAnsi="仿宋_GB2312" w:eastAsia="仿宋_GB2312"/>
          <w:color w:val="auto"/>
          <w:sz w:val="32"/>
          <w:szCs w:val="32"/>
        </w:rPr>
        <w:t>一般公共服务</w:t>
      </w:r>
      <w:r>
        <w:rPr>
          <w:rFonts w:hint="eastAsia" w:ascii="仿宋_GB2312" w:hAnsi="仿宋_GB2312" w:eastAsia="仿宋_GB2312"/>
          <w:color w:val="auto"/>
          <w:sz w:val="32"/>
          <w:szCs w:val="32"/>
          <w:lang w:eastAsia="zh-CN"/>
        </w:rPr>
        <w:t>社会保障和就业支出</w:t>
      </w:r>
      <w:r>
        <w:rPr>
          <w:rFonts w:hint="eastAsia" w:ascii="仿宋_GB2312" w:hAnsi="仿宋_GB2312" w:eastAsia="仿宋_GB2312"/>
          <w:color w:val="auto"/>
          <w:sz w:val="32"/>
          <w:szCs w:val="32"/>
        </w:rPr>
        <w:t>（类）</w:t>
      </w:r>
      <w:r>
        <w:rPr>
          <w:rFonts w:hint="eastAsia" w:ascii="仿宋_GB2312" w:hAnsi="仿宋_GB2312" w:eastAsia="仿宋_GB2312"/>
          <w:color w:val="auto"/>
          <w:sz w:val="32"/>
          <w:szCs w:val="32"/>
          <w:lang w:val="en-US" w:eastAsia="zh-CN"/>
        </w:rPr>
        <w:t>行政事业单位离退休</w:t>
      </w:r>
      <w:r>
        <w:rPr>
          <w:rFonts w:hint="eastAsia" w:ascii="仿宋_GB2312" w:hAnsi="仿宋_GB2312" w:eastAsia="仿宋_GB2312"/>
          <w:color w:val="auto"/>
          <w:sz w:val="32"/>
          <w:szCs w:val="32"/>
        </w:rPr>
        <w:t>（款）</w:t>
      </w:r>
      <w:r>
        <w:rPr>
          <w:rFonts w:hint="eastAsia" w:ascii="仿宋_GB2312" w:hAnsi="仿宋_GB2312" w:eastAsia="仿宋_GB2312"/>
          <w:color w:val="auto"/>
          <w:sz w:val="32"/>
          <w:szCs w:val="32"/>
          <w:lang w:eastAsia="zh-CN"/>
        </w:rPr>
        <w:t>其他行政事业单位离退休支出</w:t>
      </w:r>
      <w:r>
        <w:rPr>
          <w:rFonts w:hint="eastAsia" w:ascii="仿宋_GB2312" w:hAnsi="仿宋_GB2312" w:eastAsia="仿宋_GB2312"/>
          <w:color w:val="auto"/>
          <w:sz w:val="32"/>
          <w:szCs w:val="32"/>
        </w:rPr>
        <w:t>（项）20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30.15</w:t>
      </w:r>
      <w:r>
        <w:rPr>
          <w:rFonts w:hint="eastAsia" w:ascii="仿宋_GB2312" w:hAnsi="仿宋_GB2312" w:eastAsia="仿宋_GB2312"/>
          <w:color w:val="auto"/>
          <w:sz w:val="32"/>
          <w:szCs w:val="32"/>
        </w:rPr>
        <w:t>万元，主要用于：</w:t>
      </w:r>
      <w:r>
        <w:rPr>
          <w:rFonts w:hint="eastAsia" w:ascii="仿宋_GB2312" w:hAnsi="仿宋_GB2312" w:eastAsia="仿宋_GB2312"/>
          <w:color w:val="auto"/>
          <w:sz w:val="32"/>
          <w:szCs w:val="32"/>
          <w:lang w:eastAsia="zh-CN"/>
        </w:rPr>
        <w:t>主要是机关退休人员生活补助等支出</w:t>
      </w:r>
      <w:r>
        <w:rPr>
          <w:rFonts w:hint="eastAsia" w:ascii="仿宋_GB2312" w:hAnsi="仿宋_GB2312" w:eastAsia="仿宋_GB2312"/>
          <w:color w:val="auto"/>
          <w:sz w:val="32"/>
          <w:szCs w:val="32"/>
        </w:rPr>
        <w:t>。</w:t>
      </w:r>
    </w:p>
    <w:p w14:paraId="192B82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4.一般公共服务</w:t>
      </w:r>
      <w:r>
        <w:rPr>
          <w:rFonts w:hint="eastAsia" w:ascii="仿宋_GB2312" w:hAnsi="仿宋_GB2312" w:eastAsia="仿宋_GB2312"/>
          <w:color w:val="auto"/>
          <w:sz w:val="32"/>
          <w:szCs w:val="32"/>
          <w:lang w:eastAsia="zh-CN"/>
        </w:rPr>
        <w:t>卫生健康支出</w:t>
      </w:r>
      <w:r>
        <w:rPr>
          <w:rFonts w:hint="eastAsia" w:ascii="仿宋_GB2312" w:hAnsi="仿宋_GB2312" w:eastAsia="仿宋_GB2312"/>
          <w:color w:val="auto"/>
          <w:sz w:val="32"/>
          <w:szCs w:val="32"/>
        </w:rPr>
        <w:t>（类）</w:t>
      </w:r>
      <w:r>
        <w:rPr>
          <w:rFonts w:hint="eastAsia" w:ascii="仿宋_GB2312" w:hAnsi="仿宋_GB2312" w:eastAsia="仿宋_GB2312"/>
          <w:color w:val="auto"/>
          <w:sz w:val="32"/>
          <w:szCs w:val="32"/>
          <w:lang w:val="en-US" w:eastAsia="zh-CN"/>
        </w:rPr>
        <w:t>行政事业单位医疗</w:t>
      </w:r>
      <w:r>
        <w:rPr>
          <w:rFonts w:hint="eastAsia" w:ascii="仿宋_GB2312" w:hAnsi="仿宋_GB2312" w:eastAsia="仿宋_GB2312"/>
          <w:color w:val="auto"/>
          <w:sz w:val="32"/>
          <w:szCs w:val="32"/>
        </w:rPr>
        <w:t>（款）</w:t>
      </w:r>
      <w:r>
        <w:rPr>
          <w:rFonts w:hint="eastAsia" w:ascii="仿宋_GB2312" w:hAnsi="仿宋_GB2312" w:eastAsia="仿宋_GB2312"/>
          <w:color w:val="auto"/>
          <w:sz w:val="32"/>
          <w:szCs w:val="32"/>
          <w:lang w:eastAsia="zh-CN"/>
        </w:rPr>
        <w:t>行政单位医疗</w:t>
      </w:r>
      <w:r>
        <w:rPr>
          <w:rFonts w:hint="eastAsia" w:ascii="仿宋_GB2312" w:hAnsi="仿宋_GB2312" w:eastAsia="仿宋_GB2312"/>
          <w:color w:val="auto"/>
          <w:sz w:val="32"/>
          <w:szCs w:val="32"/>
        </w:rPr>
        <w:t>（项）20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8.43</w:t>
      </w:r>
      <w:r>
        <w:rPr>
          <w:rFonts w:hint="eastAsia" w:ascii="仿宋_GB2312" w:hAnsi="仿宋_GB2312" w:eastAsia="仿宋_GB2312"/>
          <w:color w:val="auto"/>
          <w:sz w:val="32"/>
          <w:szCs w:val="32"/>
        </w:rPr>
        <w:t>万元，主要用于：</w:t>
      </w:r>
      <w:r>
        <w:rPr>
          <w:rFonts w:hint="eastAsia" w:ascii="仿宋_GB2312" w:hAnsi="仿宋_GB2312" w:eastAsia="仿宋_GB2312"/>
          <w:color w:val="auto"/>
          <w:sz w:val="32"/>
          <w:szCs w:val="32"/>
          <w:lang w:eastAsia="zh-CN"/>
        </w:rPr>
        <w:t>主要是公务员医疗保险缴费支出</w:t>
      </w:r>
      <w:r>
        <w:rPr>
          <w:rFonts w:hint="eastAsia" w:ascii="仿宋_GB2312" w:hAnsi="仿宋_GB2312" w:eastAsia="仿宋_GB2312"/>
          <w:color w:val="auto"/>
          <w:sz w:val="32"/>
          <w:szCs w:val="32"/>
        </w:rPr>
        <w:t>。</w:t>
      </w:r>
    </w:p>
    <w:p w14:paraId="517D9B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5</w:t>
      </w:r>
      <w:r>
        <w:rPr>
          <w:rFonts w:hint="eastAsia" w:ascii="仿宋_GB2312" w:hAnsi="仿宋_GB2312" w:eastAsia="仿宋_GB2312"/>
          <w:color w:val="auto"/>
          <w:sz w:val="32"/>
          <w:szCs w:val="32"/>
        </w:rPr>
        <w:t>.一般公共服务</w:t>
      </w:r>
      <w:r>
        <w:rPr>
          <w:rFonts w:hint="eastAsia" w:ascii="仿宋_GB2312" w:hAnsi="仿宋_GB2312" w:eastAsia="仿宋_GB2312"/>
          <w:color w:val="auto"/>
          <w:sz w:val="32"/>
          <w:szCs w:val="32"/>
          <w:lang w:eastAsia="zh-CN"/>
        </w:rPr>
        <w:t>卫生健康支出</w:t>
      </w:r>
      <w:r>
        <w:rPr>
          <w:rFonts w:hint="eastAsia" w:ascii="仿宋_GB2312" w:hAnsi="仿宋_GB2312" w:eastAsia="仿宋_GB2312"/>
          <w:color w:val="auto"/>
          <w:sz w:val="32"/>
          <w:szCs w:val="32"/>
        </w:rPr>
        <w:t>（类）</w:t>
      </w:r>
      <w:r>
        <w:rPr>
          <w:rFonts w:hint="eastAsia" w:ascii="仿宋_GB2312" w:hAnsi="仿宋_GB2312" w:eastAsia="仿宋_GB2312"/>
          <w:color w:val="auto"/>
          <w:sz w:val="32"/>
          <w:szCs w:val="32"/>
          <w:lang w:val="en-US" w:eastAsia="zh-CN"/>
        </w:rPr>
        <w:t>行政事业单位医疗</w:t>
      </w:r>
      <w:r>
        <w:rPr>
          <w:rFonts w:hint="eastAsia" w:ascii="仿宋_GB2312" w:hAnsi="仿宋_GB2312" w:eastAsia="仿宋_GB2312"/>
          <w:color w:val="auto"/>
          <w:sz w:val="32"/>
          <w:szCs w:val="32"/>
        </w:rPr>
        <w:t>（款）</w:t>
      </w:r>
      <w:r>
        <w:rPr>
          <w:rFonts w:hint="eastAsia" w:ascii="仿宋_GB2312" w:hAnsi="仿宋_GB2312" w:eastAsia="仿宋_GB2312"/>
          <w:color w:val="auto"/>
          <w:sz w:val="32"/>
          <w:szCs w:val="32"/>
          <w:lang w:eastAsia="zh-CN"/>
        </w:rPr>
        <w:t>事业单位医疗支出</w:t>
      </w:r>
      <w:r>
        <w:rPr>
          <w:rFonts w:hint="eastAsia" w:ascii="仿宋_GB2312" w:hAnsi="仿宋_GB2312" w:eastAsia="仿宋_GB2312"/>
          <w:color w:val="auto"/>
          <w:sz w:val="32"/>
          <w:szCs w:val="32"/>
        </w:rPr>
        <w:t>（项）20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12.98</w:t>
      </w:r>
      <w:r>
        <w:rPr>
          <w:rFonts w:hint="eastAsia" w:ascii="仿宋_GB2312" w:hAnsi="仿宋_GB2312" w:eastAsia="仿宋_GB2312"/>
          <w:color w:val="auto"/>
          <w:sz w:val="32"/>
          <w:szCs w:val="32"/>
        </w:rPr>
        <w:t>万元，主要用于：</w:t>
      </w:r>
      <w:r>
        <w:rPr>
          <w:rFonts w:hint="eastAsia" w:ascii="仿宋_GB2312" w:hAnsi="仿宋_GB2312" w:eastAsia="仿宋_GB2312"/>
          <w:color w:val="auto"/>
          <w:sz w:val="32"/>
          <w:szCs w:val="32"/>
          <w:lang w:eastAsia="zh-CN"/>
        </w:rPr>
        <w:t>主要是事业人员医疗保险缴费支出</w:t>
      </w:r>
      <w:r>
        <w:rPr>
          <w:rFonts w:hint="eastAsia" w:ascii="仿宋_GB2312" w:hAnsi="仿宋_GB2312" w:eastAsia="仿宋_GB2312"/>
          <w:color w:val="auto"/>
          <w:sz w:val="32"/>
          <w:szCs w:val="32"/>
        </w:rPr>
        <w:t>。</w:t>
      </w:r>
    </w:p>
    <w:p w14:paraId="688A96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6.</w:t>
      </w:r>
      <w:r>
        <w:rPr>
          <w:rFonts w:hint="eastAsia" w:ascii="仿宋_GB2312" w:hAnsi="仿宋_GB2312" w:eastAsia="仿宋_GB2312"/>
          <w:color w:val="auto"/>
          <w:sz w:val="32"/>
          <w:szCs w:val="32"/>
        </w:rPr>
        <w:t>一般公共服务</w:t>
      </w:r>
      <w:r>
        <w:rPr>
          <w:rFonts w:hint="eastAsia" w:ascii="仿宋_GB2312" w:hAnsi="仿宋_GB2312" w:eastAsia="仿宋_GB2312"/>
          <w:color w:val="auto"/>
          <w:sz w:val="32"/>
          <w:szCs w:val="32"/>
          <w:lang w:eastAsia="zh-CN"/>
        </w:rPr>
        <w:t>住房保障支出</w:t>
      </w:r>
      <w:r>
        <w:rPr>
          <w:rFonts w:hint="eastAsia" w:ascii="仿宋_GB2312" w:hAnsi="仿宋_GB2312" w:eastAsia="仿宋_GB2312"/>
          <w:color w:val="auto"/>
          <w:sz w:val="32"/>
          <w:szCs w:val="32"/>
        </w:rPr>
        <w:t>（类）</w:t>
      </w:r>
      <w:r>
        <w:rPr>
          <w:rFonts w:hint="eastAsia" w:ascii="仿宋_GB2312" w:hAnsi="仿宋_GB2312" w:eastAsia="仿宋_GB2312"/>
          <w:color w:val="auto"/>
          <w:sz w:val="32"/>
          <w:szCs w:val="32"/>
          <w:lang w:eastAsia="zh-CN"/>
        </w:rPr>
        <w:t>住房改革支出</w:t>
      </w:r>
      <w:r>
        <w:rPr>
          <w:rFonts w:hint="eastAsia" w:ascii="仿宋_GB2312" w:hAnsi="仿宋_GB2312" w:eastAsia="仿宋_GB2312"/>
          <w:color w:val="auto"/>
          <w:sz w:val="32"/>
          <w:szCs w:val="32"/>
        </w:rPr>
        <w:t>（款）</w:t>
      </w:r>
      <w:r>
        <w:rPr>
          <w:rFonts w:hint="eastAsia" w:ascii="仿宋_GB2312" w:hAnsi="仿宋_GB2312" w:eastAsia="仿宋_GB2312"/>
          <w:color w:val="auto"/>
          <w:sz w:val="32"/>
          <w:szCs w:val="32"/>
          <w:lang w:val="en-US" w:eastAsia="zh-CN"/>
        </w:rPr>
        <w:t>住房公积金</w:t>
      </w:r>
      <w:r>
        <w:rPr>
          <w:rFonts w:hint="eastAsia" w:ascii="仿宋_GB2312" w:hAnsi="仿宋_GB2312" w:eastAsia="仿宋_GB2312"/>
          <w:color w:val="auto"/>
          <w:sz w:val="32"/>
          <w:szCs w:val="32"/>
        </w:rPr>
        <w:t>（项）20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42.62</w:t>
      </w:r>
      <w:r>
        <w:rPr>
          <w:rFonts w:hint="eastAsia" w:ascii="仿宋_GB2312" w:hAnsi="仿宋_GB2312" w:eastAsia="仿宋_GB2312"/>
          <w:color w:val="auto"/>
          <w:sz w:val="32"/>
          <w:szCs w:val="32"/>
        </w:rPr>
        <w:t>万元，主要用于：</w:t>
      </w:r>
      <w:r>
        <w:rPr>
          <w:rFonts w:hint="eastAsia" w:ascii="仿宋_GB2312" w:hAnsi="仿宋_GB2312" w:eastAsia="仿宋_GB2312"/>
          <w:color w:val="auto"/>
          <w:sz w:val="32"/>
          <w:szCs w:val="32"/>
          <w:lang w:eastAsia="zh-CN"/>
        </w:rPr>
        <w:t>主要是机关事业人员缴存的住房公积金支出</w:t>
      </w:r>
      <w:r>
        <w:rPr>
          <w:rFonts w:hint="eastAsia" w:ascii="仿宋_GB2312" w:hAnsi="仿宋_GB2312" w:eastAsia="仿宋_GB2312"/>
          <w:color w:val="auto"/>
          <w:sz w:val="32"/>
          <w:szCs w:val="32"/>
        </w:rPr>
        <w:t>。</w:t>
      </w:r>
    </w:p>
    <w:p w14:paraId="7728BC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7</w:t>
      </w:r>
      <w:r>
        <w:rPr>
          <w:rFonts w:hint="eastAsia" w:ascii="仿宋_GB2312" w:hAnsi="仿宋_GB2312" w:eastAsia="仿宋_GB2312"/>
          <w:color w:val="auto"/>
          <w:sz w:val="32"/>
          <w:szCs w:val="32"/>
        </w:rPr>
        <w:t>.一般公共服务</w:t>
      </w:r>
      <w:r>
        <w:rPr>
          <w:rFonts w:hint="eastAsia" w:ascii="仿宋_GB2312" w:hAnsi="仿宋_GB2312" w:eastAsia="仿宋_GB2312"/>
          <w:color w:val="auto"/>
          <w:sz w:val="32"/>
          <w:szCs w:val="32"/>
          <w:lang w:eastAsia="zh-CN"/>
        </w:rPr>
        <w:t>发展与改革事务行政运行</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val="en-US" w:eastAsia="zh-CN"/>
        </w:rPr>
        <w:t>类</w:t>
      </w:r>
      <w:r>
        <w:rPr>
          <w:rFonts w:hint="eastAsia"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179.33</w:t>
      </w:r>
      <w:r>
        <w:rPr>
          <w:rFonts w:hint="eastAsia" w:ascii="仿宋_GB2312" w:hAnsi="仿宋_GB2312" w:eastAsia="仿宋_GB2312"/>
          <w:color w:val="auto"/>
          <w:sz w:val="32"/>
          <w:szCs w:val="32"/>
        </w:rPr>
        <w:t>万元，主要用于：</w:t>
      </w:r>
      <w:r>
        <w:rPr>
          <w:rFonts w:hint="eastAsia" w:ascii="仿宋_GB2312" w:hAnsi="仿宋_GB2312" w:eastAsia="仿宋_GB2312"/>
          <w:color w:val="auto"/>
          <w:sz w:val="32"/>
          <w:szCs w:val="32"/>
          <w:lang w:eastAsia="zh-CN"/>
        </w:rPr>
        <w:t>主要是机关人员基本工资、津补贴、公用经费等支出</w:t>
      </w:r>
      <w:r>
        <w:rPr>
          <w:rFonts w:hint="eastAsia" w:ascii="仿宋_GB2312" w:hAnsi="仿宋_GB2312" w:eastAsia="仿宋_GB2312"/>
          <w:color w:val="auto"/>
          <w:sz w:val="32"/>
          <w:szCs w:val="32"/>
        </w:rPr>
        <w:t>。</w:t>
      </w:r>
    </w:p>
    <w:p w14:paraId="6F043C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8.</w:t>
      </w:r>
      <w:r>
        <w:rPr>
          <w:rFonts w:hint="eastAsia" w:ascii="仿宋_GB2312" w:hAnsi="仿宋_GB2312" w:eastAsia="仿宋_GB2312"/>
          <w:color w:val="auto"/>
          <w:sz w:val="32"/>
          <w:szCs w:val="32"/>
        </w:rPr>
        <w:t>一般公共服务</w:t>
      </w:r>
      <w:r>
        <w:rPr>
          <w:rFonts w:hint="eastAsia" w:ascii="仿宋_GB2312" w:hAnsi="仿宋_GB2312" w:eastAsia="仿宋_GB2312"/>
          <w:color w:val="auto"/>
          <w:sz w:val="32"/>
          <w:szCs w:val="32"/>
          <w:lang w:eastAsia="zh-CN"/>
        </w:rPr>
        <w:t>发展与改革事务事业运行</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val="en-US" w:eastAsia="zh-CN"/>
        </w:rPr>
        <w:t>类</w:t>
      </w:r>
      <w:r>
        <w:rPr>
          <w:rFonts w:hint="eastAsia"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326.11</w:t>
      </w:r>
      <w:r>
        <w:rPr>
          <w:rFonts w:hint="eastAsia" w:ascii="仿宋_GB2312" w:hAnsi="仿宋_GB2312" w:eastAsia="仿宋_GB2312"/>
          <w:color w:val="auto"/>
          <w:sz w:val="32"/>
          <w:szCs w:val="32"/>
        </w:rPr>
        <w:t>万元，主要用于：</w:t>
      </w:r>
      <w:r>
        <w:rPr>
          <w:rFonts w:hint="eastAsia" w:ascii="仿宋_GB2312" w:hAnsi="仿宋_GB2312" w:eastAsia="仿宋_GB2312"/>
          <w:color w:val="auto"/>
          <w:sz w:val="32"/>
          <w:szCs w:val="32"/>
          <w:lang w:eastAsia="zh-CN"/>
        </w:rPr>
        <w:t>主要是下属事业单位人员基本工资、津补贴、公用经费等支出</w:t>
      </w:r>
      <w:r>
        <w:rPr>
          <w:rFonts w:hint="eastAsia" w:ascii="仿宋_GB2312" w:hAnsi="仿宋_GB2312" w:eastAsia="仿宋_GB2312"/>
          <w:color w:val="auto"/>
          <w:sz w:val="32"/>
          <w:szCs w:val="32"/>
        </w:rPr>
        <w:t>。</w:t>
      </w:r>
    </w:p>
    <w:p w14:paraId="03FD79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9.</w:t>
      </w:r>
      <w:r>
        <w:rPr>
          <w:rFonts w:hint="eastAsia" w:ascii="仿宋_GB2312" w:hAnsi="仿宋_GB2312" w:eastAsia="仿宋_GB2312"/>
          <w:color w:val="auto"/>
          <w:sz w:val="32"/>
          <w:szCs w:val="32"/>
        </w:rPr>
        <w:t>一般公共服务</w:t>
      </w:r>
      <w:r>
        <w:rPr>
          <w:rFonts w:hint="eastAsia" w:ascii="仿宋_GB2312" w:hAnsi="仿宋_GB2312" w:eastAsia="仿宋_GB2312"/>
          <w:color w:val="auto"/>
          <w:sz w:val="32"/>
          <w:szCs w:val="32"/>
          <w:lang w:eastAsia="zh-CN"/>
        </w:rPr>
        <w:t>其他社会保障和就业支出</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val="en-US" w:eastAsia="zh-CN"/>
        </w:rPr>
        <w:t>类</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val="en-US" w:eastAsia="zh-CN"/>
        </w:rPr>
        <w:t>2025</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1.47</w:t>
      </w:r>
      <w:r>
        <w:rPr>
          <w:rFonts w:hint="eastAsia" w:ascii="仿宋_GB2312" w:hAnsi="仿宋_GB2312" w:eastAsia="仿宋_GB2312"/>
          <w:color w:val="auto"/>
          <w:sz w:val="32"/>
          <w:szCs w:val="32"/>
        </w:rPr>
        <w:t>万元，主要用于：</w:t>
      </w:r>
      <w:r>
        <w:rPr>
          <w:rFonts w:hint="eastAsia" w:ascii="仿宋_GB2312" w:hAnsi="仿宋_GB2312" w:eastAsia="仿宋_GB2312"/>
          <w:color w:val="auto"/>
          <w:sz w:val="32"/>
          <w:szCs w:val="32"/>
          <w:lang w:eastAsia="zh-CN"/>
        </w:rPr>
        <w:t>机关事业人员缴纳的生育及工伤保险缴费支出</w:t>
      </w:r>
      <w:r>
        <w:rPr>
          <w:rFonts w:hint="eastAsia" w:ascii="仿宋_GB2312" w:hAnsi="仿宋_GB2312" w:eastAsia="仿宋_GB2312"/>
          <w:color w:val="auto"/>
          <w:sz w:val="32"/>
          <w:szCs w:val="32"/>
        </w:rPr>
        <w:t>。</w:t>
      </w:r>
    </w:p>
    <w:p w14:paraId="4A0B08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10.</w:t>
      </w:r>
      <w:r>
        <w:rPr>
          <w:rFonts w:hint="eastAsia" w:ascii="仿宋_GB2312" w:hAnsi="仿宋_GB2312" w:eastAsia="仿宋_GB2312"/>
          <w:color w:val="auto"/>
          <w:sz w:val="32"/>
          <w:szCs w:val="32"/>
        </w:rPr>
        <w:t>一般公共服务</w:t>
      </w:r>
      <w:r>
        <w:rPr>
          <w:rFonts w:hint="eastAsia" w:ascii="仿宋_GB2312" w:hAnsi="仿宋_GB2312" w:eastAsia="仿宋_GB2312"/>
          <w:color w:val="auto"/>
          <w:sz w:val="32"/>
          <w:szCs w:val="32"/>
          <w:lang w:eastAsia="zh-CN"/>
        </w:rPr>
        <w:t>发展与改革事务物价管理</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val="en-US" w:eastAsia="zh-CN"/>
        </w:rPr>
        <w:t>类</w:t>
      </w:r>
      <w:r>
        <w:rPr>
          <w:rFonts w:hint="eastAsia"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65.00</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为专项支出，</w:t>
      </w:r>
      <w:r>
        <w:rPr>
          <w:rFonts w:hint="eastAsia" w:ascii="仿宋_GB2312" w:hAnsi="仿宋_GB2312" w:eastAsia="仿宋_GB2312"/>
          <w:color w:val="auto"/>
          <w:sz w:val="32"/>
          <w:szCs w:val="32"/>
        </w:rPr>
        <w:t>主要用于</w:t>
      </w:r>
      <w:r>
        <w:rPr>
          <w:rFonts w:hint="eastAsia" w:ascii="仿宋_GB2312" w:hAnsi="仿宋_GB2312" w:eastAsia="仿宋_GB2312"/>
          <w:color w:val="auto"/>
          <w:sz w:val="32"/>
          <w:szCs w:val="32"/>
          <w:lang w:eastAsia="zh-CN"/>
        </w:rPr>
        <w:t>价格管理，价格认证、监测专项支出</w:t>
      </w:r>
      <w:r>
        <w:rPr>
          <w:rFonts w:hint="eastAsia" w:ascii="仿宋_GB2312" w:hAnsi="仿宋_GB2312" w:eastAsia="仿宋_GB2312"/>
          <w:color w:val="auto"/>
          <w:sz w:val="32"/>
          <w:szCs w:val="32"/>
        </w:rPr>
        <w:t>。</w:t>
      </w:r>
    </w:p>
    <w:p w14:paraId="5BFE51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FF0000"/>
          <w:sz w:val="32"/>
          <w:szCs w:val="32"/>
          <w:lang w:val="en-US" w:eastAsia="zh-CN"/>
        </w:rPr>
        <w:t>11.</w:t>
      </w:r>
      <w:r>
        <w:rPr>
          <w:rFonts w:hint="eastAsia" w:ascii="仿宋_GB2312" w:hAnsi="仿宋_GB2312" w:eastAsia="仿宋_GB2312"/>
          <w:color w:val="FF0000"/>
          <w:sz w:val="32"/>
          <w:szCs w:val="32"/>
        </w:rPr>
        <w:t>一般公共服务其他发展与改革事务</w:t>
      </w:r>
      <w:r>
        <w:rPr>
          <w:rFonts w:hint="eastAsia" w:ascii="仿宋_GB2312" w:hAnsi="仿宋_GB2312" w:eastAsia="仿宋_GB2312"/>
          <w:color w:val="FF0000"/>
          <w:sz w:val="32"/>
          <w:szCs w:val="32"/>
          <w:lang w:eastAsia="zh-CN"/>
        </w:rPr>
        <w:t>（</w:t>
      </w:r>
      <w:r>
        <w:rPr>
          <w:rFonts w:hint="eastAsia" w:ascii="仿宋_GB2312" w:hAnsi="仿宋_GB2312" w:eastAsia="仿宋_GB2312"/>
          <w:color w:val="FF0000"/>
          <w:sz w:val="32"/>
          <w:szCs w:val="32"/>
          <w:lang w:val="en-US" w:eastAsia="zh-CN"/>
        </w:rPr>
        <w:t>类</w:t>
      </w:r>
      <w:r>
        <w:rPr>
          <w:rFonts w:hint="eastAsia" w:ascii="仿宋_GB2312" w:hAnsi="仿宋_GB2312" w:eastAsia="仿宋_GB2312"/>
          <w:color w:val="FF0000"/>
          <w:sz w:val="32"/>
          <w:szCs w:val="32"/>
          <w:lang w:eastAsia="zh-CN"/>
        </w:rPr>
        <w:t>）</w:t>
      </w:r>
      <w:r>
        <w:rPr>
          <w:rFonts w:hint="eastAsia" w:ascii="仿宋_GB2312" w:hAnsi="仿宋_GB2312" w:eastAsia="仿宋_GB2312"/>
          <w:color w:val="FF0000"/>
          <w:sz w:val="32"/>
          <w:szCs w:val="32"/>
        </w:rPr>
        <w:t>20</w:t>
      </w:r>
      <w:r>
        <w:rPr>
          <w:rFonts w:hint="eastAsia" w:ascii="仿宋_GB2312" w:hAnsi="仿宋_GB2312" w:eastAsia="仿宋_GB2312"/>
          <w:color w:val="FF0000"/>
          <w:sz w:val="32"/>
          <w:szCs w:val="32"/>
          <w:lang w:val="en-US" w:eastAsia="zh-CN"/>
        </w:rPr>
        <w:t>25</w:t>
      </w:r>
      <w:r>
        <w:rPr>
          <w:rFonts w:hint="eastAsia" w:ascii="仿宋_GB2312" w:hAnsi="仿宋_GB2312" w:eastAsia="仿宋_GB2312"/>
          <w:color w:val="FF0000"/>
          <w:sz w:val="32"/>
          <w:szCs w:val="32"/>
        </w:rPr>
        <w:t>年预</w:t>
      </w:r>
      <w:r>
        <w:rPr>
          <w:rFonts w:hint="eastAsia" w:ascii="仿宋_GB2312" w:hAnsi="仿宋_GB2312" w:eastAsia="仿宋_GB2312"/>
          <w:color w:val="FF0000"/>
          <w:sz w:val="32"/>
          <w:szCs w:val="32"/>
          <w:lang w:val="en-US" w:eastAsia="zh-CN"/>
        </w:rPr>
        <w:t>算专项</w:t>
      </w:r>
      <w:r>
        <w:rPr>
          <w:rFonts w:hint="eastAsia" w:ascii="仿宋_GB2312" w:hAnsi="仿宋_GB2312" w:eastAsia="仿宋_GB2312"/>
          <w:color w:val="FF0000"/>
          <w:sz w:val="32"/>
          <w:szCs w:val="32"/>
        </w:rPr>
        <w:t>支出</w:t>
      </w:r>
      <w:r>
        <w:rPr>
          <w:rFonts w:hint="eastAsia" w:ascii="仿宋_GB2312" w:hAnsi="仿宋_GB2312" w:eastAsia="仿宋_GB2312"/>
          <w:color w:val="FF0000"/>
          <w:sz w:val="32"/>
          <w:szCs w:val="32"/>
          <w:lang w:val="en-US" w:eastAsia="zh-CN"/>
        </w:rPr>
        <w:t>1711.59</w:t>
      </w:r>
      <w:r>
        <w:rPr>
          <w:rFonts w:hint="eastAsia" w:ascii="仿宋_GB2312" w:hAnsi="仿宋_GB2312" w:eastAsia="仿宋_GB2312"/>
          <w:color w:val="FF0000"/>
          <w:sz w:val="32"/>
          <w:szCs w:val="32"/>
        </w:rPr>
        <w:t>万元</w:t>
      </w:r>
      <w:r>
        <w:rPr>
          <w:rFonts w:hint="eastAsia" w:ascii="仿宋_GB2312" w:hAnsi="仿宋_GB2312" w:eastAsia="仿宋_GB2312"/>
          <w:color w:val="FF0000"/>
          <w:sz w:val="32"/>
          <w:szCs w:val="32"/>
          <w:lang w:eastAsia="zh-CN"/>
        </w:rPr>
        <w:t>。</w:t>
      </w:r>
      <w:r>
        <w:rPr>
          <w:rFonts w:hint="eastAsia" w:ascii="仿宋_GB2312" w:hAnsi="仿宋_GB2312" w:eastAsia="仿宋_GB2312"/>
          <w:color w:val="auto"/>
          <w:sz w:val="32"/>
          <w:szCs w:val="32"/>
          <w:lang w:eastAsia="zh-CN"/>
        </w:rPr>
        <w:t>其中价格管理、成本监审、价格监测专项经费支出</w:t>
      </w:r>
      <w:r>
        <w:rPr>
          <w:rFonts w:hint="eastAsia" w:ascii="仿宋_GB2312" w:hAnsi="仿宋_GB2312" w:eastAsia="仿宋_GB2312"/>
          <w:color w:val="auto"/>
          <w:sz w:val="32"/>
          <w:szCs w:val="32"/>
          <w:lang w:val="en-US" w:eastAsia="zh-CN"/>
        </w:rPr>
        <w:t>65.00</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、罗江区财经工作专项经费</w:t>
      </w:r>
      <w:r>
        <w:rPr>
          <w:rFonts w:hint="eastAsia" w:ascii="仿宋_GB2312" w:hAnsi="仿宋_GB2312" w:eastAsia="仿宋_GB2312"/>
          <w:color w:val="auto"/>
          <w:sz w:val="32"/>
          <w:szCs w:val="32"/>
          <w:lang w:val="en-US" w:eastAsia="zh-CN"/>
        </w:rPr>
        <w:t>支出50.00万元、政府投资项目概算审查费专项支出108.00万元、罗江区人武部生活秩序规范化建设项目附属工程专项支出2.22万元、</w:t>
      </w:r>
      <w:r>
        <w:rPr>
          <w:rFonts w:hint="eastAsia" w:ascii="仿宋_GB2312" w:hAnsi="仿宋_GB2312" w:eastAsia="仿宋_GB2312"/>
          <w:color w:val="auto"/>
          <w:sz w:val="32"/>
          <w:szCs w:val="32"/>
          <w:lang w:eastAsia="zh-CN"/>
        </w:rPr>
        <w:t>罗江区人武部正规化建设项目专项支出</w:t>
      </w:r>
      <w:r>
        <w:rPr>
          <w:rFonts w:hint="eastAsia" w:ascii="仿宋_GB2312" w:hAnsi="仿宋_GB2312" w:eastAsia="仿宋_GB2312"/>
          <w:color w:val="auto"/>
          <w:sz w:val="32"/>
          <w:szCs w:val="32"/>
          <w:lang w:val="en-US" w:eastAsia="zh-CN"/>
        </w:rPr>
        <w:t>8.39</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、粮食流通统计及社会粮食平衡调查补助费专项</w:t>
      </w:r>
      <w:r>
        <w:rPr>
          <w:rFonts w:hint="eastAsia" w:ascii="仿宋_GB2312" w:hAnsi="仿宋_GB2312" w:eastAsia="仿宋_GB2312"/>
          <w:color w:val="auto"/>
          <w:sz w:val="32"/>
          <w:szCs w:val="32"/>
          <w:lang w:val="en-US" w:eastAsia="zh-CN"/>
        </w:rPr>
        <w:t>支出10.00万元、罗江区人武部综合保障楼建设项目专项支出5.10万元、区级粮油储备费用支出262.88万元、产业投资发展专项经费专项支出55.00万元、能源工作专项经费专项支出25.00万元、优化营商环境及信用体系建设专项支出65.00万元、区域协同发展（同城融圈、成渝双城经济圈等）专项支出35.00万元、国民经济“十五五”规划及相关专项规划编制专项经费支出100.00万元、粮食质量安全监督监测运行业务费专项支出25.00万元、罗江区油料仓储能力提升建设项目专项支出400.00万元、救灾物资储备和物资储备库运行管理专项经费支出55.00万元、应急救灾物资采购专项经费专项支出100.00万元、罗江区大数据工作专项经费支出150.00万元、政府投资项目管理服务专项经费支出85.00万元、重大项目推进专项经费专项支出60.00万元、全域城乡融合专项费用专项支出45.00万元。</w:t>
      </w:r>
    </w:p>
    <w:p w14:paraId="1D591398">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w:t>
      </w:r>
      <w:r>
        <w:rPr>
          <w:rFonts w:hint="eastAsia" w:ascii="黑体" w:hAnsi="黑体" w:eastAsia="黑体" w:cs="黑体"/>
          <w:color w:val="auto"/>
          <w:sz w:val="32"/>
          <w:szCs w:val="32"/>
        </w:rPr>
        <w:t>　</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一般公共预算基本支出情况说明</w:t>
      </w:r>
    </w:p>
    <w:p w14:paraId="39A7B94B">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w:t>
      </w:r>
      <w:r>
        <w:rPr>
          <w:rFonts w:hint="eastAsia" w:ascii="仿宋_GB2312" w:hAnsi="仿宋_GB2312" w:eastAsia="仿宋_GB2312"/>
          <w:color w:val="auto"/>
          <w:sz w:val="32"/>
          <w:szCs w:val="32"/>
          <w:lang w:val="en-US" w:eastAsia="zh-CN"/>
        </w:rPr>
        <w:t>德阳市罗江区发展和改革局</w:t>
      </w:r>
      <w:r>
        <w:rPr>
          <w:rFonts w:hint="eastAsia"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年一般公共预算基本支出</w:t>
      </w:r>
      <w:r>
        <w:rPr>
          <w:rFonts w:hint="eastAsia" w:ascii="仿宋_GB2312" w:hAnsi="仿宋_GB2312" w:eastAsia="仿宋_GB2312"/>
          <w:color w:val="auto"/>
          <w:sz w:val="32"/>
          <w:szCs w:val="32"/>
          <w:lang w:val="en-US" w:eastAsia="zh-CN"/>
        </w:rPr>
        <w:t>676.67</w:t>
      </w:r>
      <w:r>
        <w:rPr>
          <w:rFonts w:hint="eastAsia" w:ascii="仿宋_GB2312" w:hAnsi="仿宋_GB2312" w:eastAsia="仿宋_GB2312"/>
          <w:color w:val="auto"/>
          <w:sz w:val="32"/>
          <w:szCs w:val="32"/>
        </w:rPr>
        <w:t>万元，其中：</w:t>
      </w:r>
    </w:p>
    <w:p w14:paraId="27D4E045">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人员经费</w:t>
      </w:r>
      <w:r>
        <w:rPr>
          <w:rFonts w:hint="eastAsia" w:ascii="仿宋_GB2312" w:hAnsi="仿宋_GB2312" w:eastAsia="仿宋_GB2312"/>
          <w:color w:val="auto"/>
          <w:sz w:val="32"/>
          <w:szCs w:val="32"/>
          <w:lang w:val="en-US" w:eastAsia="zh-CN"/>
        </w:rPr>
        <w:t>597.39</w:t>
      </w:r>
      <w:r>
        <w:rPr>
          <w:rFonts w:hint="eastAsia" w:ascii="仿宋_GB2312" w:hAnsi="仿宋_GB2312" w:eastAsia="仿宋_GB2312"/>
          <w:color w:val="auto"/>
          <w:sz w:val="32"/>
          <w:szCs w:val="32"/>
        </w:rPr>
        <w:t>元，主要包括：基本工资、津贴补贴、奖金、社会保险缴费、绩效工资、机关事业单位基本养老保险缴费、职业年金缴费、其他工资福利支出。</w:t>
      </w:r>
    </w:p>
    <w:p w14:paraId="680B1FD7">
      <w:pPr>
        <w:keepNext w:val="0"/>
        <w:keepLines w:val="0"/>
        <w:pageBreakBefore w:val="0"/>
        <w:widowControl w:val="0"/>
        <w:kinsoku/>
        <w:wordWrap/>
        <w:overflowPunct/>
        <w:topLinePunct w:val="0"/>
        <w:autoSpaceDE/>
        <w:autoSpaceDN/>
        <w:bidi w:val="0"/>
        <w:adjustRightInd/>
        <w:snapToGrid/>
        <w:spacing w:line="560" w:lineRule="exact"/>
        <w:ind w:firstLine="652"/>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公用经费</w:t>
      </w:r>
      <w:r>
        <w:rPr>
          <w:rFonts w:hint="eastAsia" w:ascii="仿宋_GB2312" w:hAnsi="仿宋_GB2312" w:eastAsia="仿宋_GB2312"/>
          <w:color w:val="auto"/>
          <w:sz w:val="32"/>
          <w:szCs w:val="32"/>
          <w:lang w:val="en-US" w:eastAsia="zh-CN"/>
        </w:rPr>
        <w:t>79.28</w:t>
      </w:r>
      <w:r>
        <w:rPr>
          <w:rFonts w:hint="eastAsia" w:ascii="仿宋_GB2312" w:hAnsi="仿宋_GB2312" w:eastAsia="仿宋_GB2312"/>
          <w:color w:val="auto"/>
          <w:sz w:val="32"/>
          <w:szCs w:val="32"/>
        </w:rPr>
        <w:t>万元，主要包括：办公费、印刷费、咨询费、手续费、水电费、邮电费、差旅费、维修（护）费、租赁费、会议费、培训费、劳务费、工会经费、福利费、其他交通工具运行维护费、其他商品和服务支出。</w:t>
      </w:r>
    </w:p>
    <w:p w14:paraId="7452AF62">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八、</w:t>
      </w:r>
      <w:r>
        <w:rPr>
          <w:rFonts w:hint="eastAsia" w:ascii="黑体" w:hAnsi="黑体" w:eastAsia="黑体" w:cs="黑体"/>
          <w:color w:val="auto"/>
          <w:sz w:val="32"/>
          <w:szCs w:val="32"/>
        </w:rPr>
        <w:t>“三公”经费财政拨款预算安排情况说明</w:t>
      </w:r>
    </w:p>
    <w:p w14:paraId="51930A7B">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w:t>
      </w:r>
      <w:r>
        <w:rPr>
          <w:rFonts w:hint="eastAsia" w:ascii="仿宋_GB2312" w:hAnsi="仿宋_GB2312" w:eastAsia="仿宋_GB2312"/>
          <w:color w:val="auto"/>
          <w:sz w:val="32"/>
          <w:szCs w:val="32"/>
          <w:lang w:val="en-US" w:eastAsia="zh-CN"/>
        </w:rPr>
        <w:t>德阳市罗江区发展和改革局</w:t>
      </w:r>
      <w:r>
        <w:rPr>
          <w:rFonts w:hint="eastAsia"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年“三公”经费财政拨款预算数</w:t>
      </w:r>
      <w:r>
        <w:rPr>
          <w:rFonts w:hint="eastAsia" w:ascii="仿宋_GB2312" w:hAnsi="仿宋_GB2312" w:eastAsia="仿宋_GB2312"/>
          <w:color w:val="auto"/>
          <w:sz w:val="32"/>
          <w:szCs w:val="32"/>
          <w:lang w:val="en-US" w:eastAsia="zh-CN"/>
        </w:rPr>
        <w:t>4.00</w:t>
      </w:r>
      <w:r>
        <w:rPr>
          <w:rFonts w:hint="eastAsia" w:ascii="仿宋_GB2312" w:hAnsi="仿宋_GB2312" w:eastAsia="仿宋_GB2312"/>
          <w:color w:val="auto"/>
          <w:sz w:val="32"/>
          <w:szCs w:val="32"/>
        </w:rPr>
        <w:t>万元，其中：因公出国（境）经费</w:t>
      </w:r>
      <w:r>
        <w:rPr>
          <w:rFonts w:hint="eastAsia" w:ascii="仿宋_GB2312" w:hAnsi="仿宋_GB2312" w:eastAsia="仿宋_GB2312"/>
          <w:color w:val="auto"/>
          <w:sz w:val="32"/>
          <w:szCs w:val="32"/>
          <w:lang w:val="en-US" w:eastAsia="zh-CN"/>
        </w:rPr>
        <w:t>0</w:t>
      </w:r>
      <w:r>
        <w:rPr>
          <w:rFonts w:hint="eastAsia" w:ascii="仿宋_GB2312" w:hAnsi="仿宋_GB2312" w:eastAsia="仿宋_GB2312"/>
          <w:color w:val="auto"/>
          <w:sz w:val="32"/>
          <w:szCs w:val="32"/>
        </w:rPr>
        <w:t>万元，公务接待费</w:t>
      </w:r>
      <w:r>
        <w:rPr>
          <w:rFonts w:hint="eastAsia" w:ascii="仿宋_GB2312" w:hAnsi="仿宋_GB2312" w:eastAsia="仿宋_GB2312"/>
          <w:color w:val="auto"/>
          <w:sz w:val="32"/>
          <w:szCs w:val="32"/>
          <w:lang w:val="en-US" w:eastAsia="zh-CN"/>
        </w:rPr>
        <w:t>2.00</w:t>
      </w:r>
      <w:r>
        <w:rPr>
          <w:rFonts w:hint="eastAsia" w:ascii="仿宋_GB2312" w:hAnsi="仿宋_GB2312" w:eastAsia="仿宋_GB2312"/>
          <w:color w:val="auto"/>
          <w:sz w:val="32"/>
          <w:szCs w:val="32"/>
        </w:rPr>
        <w:t>万元，公务用车购置</w:t>
      </w:r>
      <w:r>
        <w:rPr>
          <w:rFonts w:hint="eastAsia" w:ascii="仿宋_GB2312" w:hAnsi="仿宋_GB2312" w:eastAsia="仿宋_GB2312"/>
          <w:color w:val="auto"/>
          <w:sz w:val="32"/>
          <w:szCs w:val="32"/>
          <w:lang w:val="en-US" w:eastAsia="zh-CN"/>
        </w:rPr>
        <w:t>0</w:t>
      </w:r>
      <w:r>
        <w:rPr>
          <w:rFonts w:hint="eastAsia" w:ascii="仿宋_GB2312" w:hAnsi="仿宋_GB2312" w:eastAsia="仿宋_GB2312"/>
          <w:color w:val="auto"/>
          <w:sz w:val="32"/>
          <w:szCs w:val="32"/>
        </w:rPr>
        <w:t>万元，公务用车运行维护费</w:t>
      </w:r>
      <w:r>
        <w:rPr>
          <w:rFonts w:hint="eastAsia" w:ascii="仿宋_GB2312" w:hAnsi="仿宋_GB2312" w:eastAsia="仿宋_GB2312"/>
          <w:color w:val="auto"/>
          <w:sz w:val="32"/>
          <w:szCs w:val="32"/>
          <w:lang w:val="en-US" w:eastAsia="zh-CN"/>
        </w:rPr>
        <w:t>2.00</w:t>
      </w:r>
      <w:r>
        <w:rPr>
          <w:rFonts w:hint="eastAsia" w:ascii="仿宋_GB2312" w:hAnsi="仿宋_GB2312" w:eastAsia="仿宋_GB2312"/>
          <w:color w:val="auto"/>
          <w:sz w:val="32"/>
          <w:szCs w:val="32"/>
        </w:rPr>
        <w:t>万元。</w:t>
      </w:r>
    </w:p>
    <w:p w14:paraId="7D9E94A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firstLine="0" w:firstLineChars="0"/>
        <w:textAlignment w:val="auto"/>
        <w:rPr>
          <w:rFonts w:hint="eastAsia" w:ascii="仿宋_GB2312" w:hAnsi="仿宋_GB2312" w:eastAsia="仿宋_GB2312"/>
          <w:color w:val="auto"/>
          <w:sz w:val="32"/>
          <w:szCs w:val="32"/>
          <w:lang w:val="en-US" w:eastAsia="zh-CN"/>
        </w:rPr>
      </w:pPr>
      <w:r>
        <w:rPr>
          <w:rFonts w:hint="eastAsia" w:ascii="楷体_GB2312" w:hAnsi="楷体_GB2312" w:eastAsia="楷体_GB2312" w:cs="楷体_GB2312"/>
          <w:color w:val="auto"/>
          <w:sz w:val="32"/>
          <w:szCs w:val="32"/>
        </w:rPr>
        <w:t>因公出国（境）经费较20</w:t>
      </w:r>
      <w:r>
        <w:rPr>
          <w:rFonts w:hint="eastAsia" w:ascii="楷体_GB2312" w:hAnsi="楷体_GB2312" w:eastAsia="楷体_GB2312" w:cs="楷体_GB2312"/>
          <w:color w:val="auto"/>
          <w:sz w:val="32"/>
          <w:szCs w:val="32"/>
          <w:lang w:val="en-US" w:eastAsia="zh-CN"/>
        </w:rPr>
        <w:t>24</w:t>
      </w:r>
      <w:r>
        <w:rPr>
          <w:rFonts w:hint="eastAsia" w:ascii="楷体_GB2312" w:hAnsi="楷体_GB2312" w:eastAsia="楷体_GB2312" w:cs="楷体_GB2312"/>
          <w:color w:val="auto"/>
          <w:sz w:val="32"/>
          <w:szCs w:val="32"/>
        </w:rPr>
        <w:t>年预算持平。</w:t>
      </w:r>
      <w:r>
        <w:rPr>
          <w:rFonts w:hint="eastAsia" w:ascii="仿宋_GB2312" w:hAnsi="仿宋_GB2312" w:eastAsia="仿宋_GB2312"/>
          <w:color w:val="auto"/>
          <w:sz w:val="32"/>
          <w:szCs w:val="32"/>
          <w:lang w:val="en-US" w:eastAsia="zh-CN"/>
        </w:rPr>
        <w:t xml:space="preserve">           </w:t>
      </w:r>
    </w:p>
    <w:p w14:paraId="4D9006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hAnsi="仿宋_GB2312" w:eastAsia="仿宋_GB2312"/>
          <w:color w:val="auto"/>
          <w:sz w:val="32"/>
          <w:szCs w:val="32"/>
        </w:rPr>
        <w:t>主要原因是</w:t>
      </w:r>
      <w:r>
        <w:rPr>
          <w:rFonts w:hint="eastAsia" w:ascii="仿宋_GB2312" w:hAnsi="仿宋_GB2312" w:eastAsia="仿宋_GB2312"/>
          <w:color w:val="auto"/>
          <w:sz w:val="32"/>
          <w:szCs w:val="32"/>
          <w:lang w:val="en-US" w:eastAsia="zh-CN"/>
        </w:rPr>
        <w:t>2024年与2025年均无出国计划安排</w:t>
      </w:r>
      <w:r>
        <w:rPr>
          <w:rFonts w:hint="eastAsia" w:ascii="仿宋_GB2312" w:hAnsi="仿宋_GB2312" w:eastAsia="仿宋_GB2312"/>
          <w:color w:val="auto"/>
          <w:sz w:val="32"/>
          <w:szCs w:val="32"/>
        </w:rPr>
        <w:t>。拟安排出国</w:t>
      </w:r>
      <w:r>
        <w:rPr>
          <w:rFonts w:hint="eastAsia" w:ascii="仿宋_GB2312" w:eastAsia="仿宋_GB2312"/>
          <w:color w:val="auto"/>
          <w:sz w:val="32"/>
          <w:szCs w:val="32"/>
        </w:rPr>
        <w:t>（境）团组</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次，出国（境）</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人次。</w:t>
      </w:r>
    </w:p>
    <w:p w14:paraId="3235C87A">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bCs/>
          <w:color w:val="auto"/>
          <w:sz w:val="32"/>
          <w:szCs w:val="32"/>
        </w:rPr>
      </w:pPr>
      <w:r>
        <w:rPr>
          <w:rFonts w:hint="eastAsia" w:ascii="楷体_GB2312" w:hAnsi="楷体_GB2312" w:eastAsia="楷体_GB2312" w:cs="楷体_GB2312"/>
          <w:color w:val="auto"/>
          <w:sz w:val="32"/>
          <w:szCs w:val="32"/>
        </w:rPr>
        <w:t>公务接待费较20</w:t>
      </w:r>
      <w:r>
        <w:rPr>
          <w:rFonts w:hint="eastAsia" w:ascii="楷体_GB2312" w:hAnsi="楷体_GB2312" w:eastAsia="楷体_GB2312" w:cs="楷体_GB2312"/>
          <w:color w:val="auto"/>
          <w:sz w:val="32"/>
          <w:szCs w:val="32"/>
          <w:lang w:val="en-US" w:eastAsia="zh-CN"/>
        </w:rPr>
        <w:t>24</w:t>
      </w:r>
      <w:r>
        <w:rPr>
          <w:rFonts w:hint="eastAsia" w:ascii="楷体_GB2312" w:hAnsi="楷体_GB2312" w:eastAsia="楷体_GB2312" w:cs="楷体_GB2312"/>
          <w:color w:val="auto"/>
          <w:sz w:val="32"/>
          <w:szCs w:val="32"/>
        </w:rPr>
        <w:t>年预算持平</w:t>
      </w:r>
      <w:r>
        <w:rPr>
          <w:rFonts w:hint="eastAsia" w:ascii="楷体_GB2312" w:hAnsi="楷体_GB2312" w:eastAsia="楷体_GB2312" w:cs="楷体_GB2312"/>
          <w:color w:val="auto"/>
          <w:sz w:val="32"/>
          <w:szCs w:val="32"/>
          <w:lang w:eastAsia="zh-CN"/>
        </w:rPr>
        <w:t>。</w:t>
      </w:r>
    </w:p>
    <w:p w14:paraId="0821BB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bCs/>
          <w:color w:val="auto"/>
          <w:sz w:val="32"/>
          <w:szCs w:val="32"/>
        </w:rPr>
      </w:pPr>
      <w:r>
        <w:rPr>
          <w:rFonts w:hint="eastAsia" w:ascii="仿宋_GB2312" w:hAnsi="仿宋_GB2312" w:eastAsia="仿宋_GB2312"/>
          <w:color w:val="auto"/>
          <w:sz w:val="32"/>
          <w:szCs w:val="32"/>
          <w:lang w:eastAsia="zh-CN"/>
        </w:rPr>
        <w:t>主要</w:t>
      </w:r>
      <w:r>
        <w:rPr>
          <w:rFonts w:hint="eastAsia" w:ascii="仿宋_GB2312" w:hAnsi="仿宋_GB2312" w:eastAsia="仿宋_GB2312"/>
          <w:color w:val="auto"/>
          <w:sz w:val="32"/>
          <w:szCs w:val="32"/>
        </w:rPr>
        <w:t>原因</w:t>
      </w:r>
      <w:r>
        <w:rPr>
          <w:rFonts w:hint="eastAsia" w:ascii="仿宋_GB2312" w:hAnsi="仿宋_GB2312" w:eastAsia="仿宋_GB2312"/>
          <w:color w:val="auto"/>
          <w:sz w:val="32"/>
          <w:szCs w:val="32"/>
          <w:lang w:eastAsia="zh-CN"/>
        </w:rPr>
        <w:t>是工作业务增加，</w:t>
      </w:r>
      <w:r>
        <w:rPr>
          <w:rFonts w:hint="eastAsia" w:ascii="仿宋_GB2312" w:hAnsi="仿宋_GB2312" w:eastAsia="仿宋_GB2312"/>
          <w:color w:val="auto"/>
          <w:sz w:val="32"/>
          <w:szCs w:val="32"/>
          <w:lang w:val="en-US" w:eastAsia="zh-CN"/>
        </w:rPr>
        <w:t>2024年与2025年均</w:t>
      </w:r>
      <w:r>
        <w:rPr>
          <w:rFonts w:hint="eastAsia" w:ascii="仿宋_GB2312" w:hAnsi="仿宋_GB2312" w:eastAsia="仿宋_GB2312"/>
          <w:color w:val="auto"/>
          <w:sz w:val="32"/>
          <w:szCs w:val="32"/>
          <w:lang w:eastAsia="zh-CN"/>
        </w:rPr>
        <w:t>压缩</w:t>
      </w:r>
      <w:r>
        <w:rPr>
          <w:rFonts w:hint="eastAsia" w:ascii="仿宋_GB2312" w:hAnsi="仿宋_GB2312" w:eastAsia="仿宋_GB2312"/>
          <w:color w:val="auto"/>
          <w:sz w:val="32"/>
          <w:szCs w:val="32"/>
          <w:lang w:val="en-US" w:eastAsia="zh-CN"/>
        </w:rPr>
        <w:t>公务接待</w:t>
      </w:r>
      <w:r>
        <w:rPr>
          <w:rFonts w:hint="eastAsia" w:ascii="仿宋_GB2312" w:hAnsi="仿宋_GB2312" w:eastAsia="仿宋_GB2312"/>
          <w:color w:val="auto"/>
          <w:sz w:val="32"/>
          <w:szCs w:val="32"/>
          <w:lang w:eastAsia="zh-CN"/>
        </w:rPr>
        <w:t>开支</w:t>
      </w:r>
      <w:r>
        <w:rPr>
          <w:rFonts w:hint="eastAsia" w:ascii="楷体_GB2312" w:eastAsia="楷体_GB2312"/>
          <w:bCs/>
          <w:color w:val="auto"/>
          <w:sz w:val="32"/>
          <w:szCs w:val="32"/>
        </w:rPr>
        <w:t>。</w:t>
      </w:r>
    </w:p>
    <w:p w14:paraId="3A2CA3E6">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公务用车购置及运行维护费较20</w:t>
      </w:r>
      <w:r>
        <w:rPr>
          <w:rFonts w:hint="eastAsia" w:ascii="楷体_GB2312" w:hAnsi="楷体_GB2312" w:eastAsia="楷体_GB2312" w:cs="楷体_GB2312"/>
          <w:bCs/>
          <w:color w:val="auto"/>
          <w:sz w:val="32"/>
          <w:szCs w:val="32"/>
          <w:lang w:val="en-US" w:eastAsia="zh-CN"/>
        </w:rPr>
        <w:t>24</w:t>
      </w:r>
      <w:r>
        <w:rPr>
          <w:rFonts w:hint="eastAsia" w:ascii="楷体_GB2312" w:hAnsi="楷体_GB2312" w:eastAsia="楷体_GB2312" w:cs="楷体_GB2312"/>
          <w:bCs/>
          <w:color w:val="auto"/>
          <w:sz w:val="32"/>
          <w:szCs w:val="32"/>
        </w:rPr>
        <w:t>年预算持平。</w:t>
      </w:r>
    </w:p>
    <w:p w14:paraId="2B7DC9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主要原因是</w:t>
      </w:r>
      <w:r>
        <w:rPr>
          <w:rFonts w:hint="eastAsia" w:ascii="仿宋_GB2312" w:hAnsi="仿宋_GB2312" w:eastAsia="仿宋_GB2312"/>
          <w:color w:val="auto"/>
          <w:sz w:val="32"/>
          <w:szCs w:val="32"/>
          <w:lang w:eastAsia="zh-CN"/>
        </w:rPr>
        <w:t>公车改革后，</w:t>
      </w:r>
      <w:r>
        <w:rPr>
          <w:rFonts w:hint="eastAsia" w:ascii="仿宋_GB2312" w:hAnsi="仿宋_GB2312" w:eastAsia="仿宋_GB2312"/>
          <w:color w:val="auto"/>
          <w:sz w:val="32"/>
          <w:szCs w:val="32"/>
        </w:rPr>
        <w:t>单位现有公务用车</w:t>
      </w:r>
      <w:r>
        <w:rPr>
          <w:rFonts w:hint="eastAsia" w:ascii="仿宋_GB2312" w:hAnsi="仿宋_GB2312" w:eastAsia="仿宋_GB2312"/>
          <w:color w:val="auto"/>
          <w:sz w:val="32"/>
          <w:szCs w:val="32"/>
          <w:lang w:val="en-US" w:eastAsia="zh-CN"/>
        </w:rPr>
        <w:t>1</w:t>
      </w:r>
      <w:r>
        <w:rPr>
          <w:rFonts w:hint="eastAsia" w:ascii="仿宋_GB2312" w:hAnsi="仿宋_GB2312" w:eastAsia="仿宋_GB2312"/>
          <w:color w:val="auto"/>
          <w:sz w:val="32"/>
          <w:szCs w:val="32"/>
        </w:rPr>
        <w:t>辆</w:t>
      </w:r>
      <w:r>
        <w:rPr>
          <w:rFonts w:hint="eastAsia" w:ascii="仿宋_GB2312" w:hAnsi="仿宋_GB2312" w:eastAsia="仿宋_GB2312"/>
          <w:color w:val="auto"/>
          <w:sz w:val="32"/>
          <w:szCs w:val="32"/>
          <w:lang w:eastAsia="zh-CN"/>
        </w:rPr>
        <w:t>（主要用于重点项目推进工作）</w:t>
      </w:r>
      <w:r>
        <w:rPr>
          <w:rFonts w:hint="eastAsia" w:ascii="仿宋_GB2312" w:hAnsi="仿宋_GB2312" w:eastAsia="仿宋_GB2312"/>
          <w:color w:val="auto"/>
          <w:sz w:val="32"/>
          <w:szCs w:val="32"/>
        </w:rPr>
        <w:t>。其中：轿车</w:t>
      </w:r>
      <w:r>
        <w:rPr>
          <w:rFonts w:hint="eastAsia" w:ascii="仿宋_GB2312" w:hAnsi="仿宋_GB2312" w:eastAsia="仿宋_GB2312"/>
          <w:color w:val="auto"/>
          <w:sz w:val="32"/>
          <w:szCs w:val="32"/>
          <w:lang w:val="en-US" w:eastAsia="zh-CN"/>
        </w:rPr>
        <w:t>1辆</w:t>
      </w:r>
      <w:r>
        <w:rPr>
          <w:rFonts w:hint="eastAsia"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年安排公务用车运行维护费</w:t>
      </w:r>
      <w:r>
        <w:rPr>
          <w:rFonts w:hint="eastAsia" w:ascii="仿宋_GB2312" w:hAnsi="仿宋_GB2312" w:eastAsia="仿宋_GB2312"/>
          <w:color w:val="auto"/>
          <w:sz w:val="32"/>
          <w:szCs w:val="32"/>
          <w:lang w:val="en-US" w:eastAsia="zh-CN"/>
        </w:rPr>
        <w:t>2.00</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主要</w:t>
      </w:r>
      <w:r>
        <w:rPr>
          <w:rFonts w:hint="eastAsia" w:ascii="仿宋_GB2312" w:hAnsi="仿宋_GB2312" w:eastAsia="仿宋_GB2312"/>
          <w:color w:val="auto"/>
          <w:sz w:val="32"/>
          <w:szCs w:val="32"/>
        </w:rPr>
        <w:t>用于</w:t>
      </w:r>
      <w:r>
        <w:rPr>
          <w:rFonts w:hint="eastAsia" w:ascii="仿宋_GB2312" w:hAnsi="仿宋_GB2312" w:eastAsia="仿宋_GB2312"/>
          <w:color w:val="auto"/>
          <w:sz w:val="32"/>
          <w:szCs w:val="32"/>
          <w:lang w:val="en-US" w:eastAsia="zh-CN"/>
        </w:rPr>
        <w:t>1</w:t>
      </w:r>
      <w:r>
        <w:rPr>
          <w:rFonts w:hint="eastAsia" w:ascii="仿宋_GB2312" w:hAnsi="仿宋_GB2312" w:eastAsia="仿宋_GB2312"/>
          <w:color w:val="auto"/>
          <w:sz w:val="32"/>
          <w:szCs w:val="32"/>
        </w:rPr>
        <w:t>辆公务用车燃油、</w:t>
      </w:r>
      <w:r>
        <w:rPr>
          <w:rFonts w:hint="eastAsia" w:ascii="仿宋_GB2312" w:hAnsi="仿宋_GB2312" w:eastAsia="仿宋_GB2312"/>
          <w:color w:val="auto"/>
          <w:sz w:val="32"/>
          <w:szCs w:val="32"/>
          <w:lang w:val="en-US" w:eastAsia="zh-CN"/>
        </w:rPr>
        <w:t>日常</w:t>
      </w:r>
      <w:r>
        <w:rPr>
          <w:rFonts w:hint="eastAsia" w:ascii="仿宋_GB2312" w:hAnsi="仿宋_GB2312" w:eastAsia="仿宋_GB2312"/>
          <w:color w:val="auto"/>
          <w:sz w:val="32"/>
          <w:szCs w:val="32"/>
        </w:rPr>
        <w:t>维修、</w:t>
      </w:r>
      <w:r>
        <w:rPr>
          <w:rFonts w:hint="eastAsia" w:ascii="仿宋_GB2312" w:hAnsi="仿宋_GB2312" w:eastAsia="仿宋_GB2312"/>
          <w:color w:val="auto"/>
          <w:sz w:val="32"/>
          <w:szCs w:val="32"/>
          <w:lang w:val="en-US" w:eastAsia="zh-CN"/>
        </w:rPr>
        <w:t>车辆</w:t>
      </w:r>
      <w:r>
        <w:rPr>
          <w:rFonts w:hint="eastAsia" w:ascii="仿宋_GB2312" w:hAnsi="仿宋_GB2312" w:eastAsia="仿宋_GB2312"/>
          <w:color w:val="auto"/>
          <w:sz w:val="32"/>
          <w:szCs w:val="32"/>
        </w:rPr>
        <w:t>保险等方面支出</w:t>
      </w:r>
      <w:r>
        <w:rPr>
          <w:rFonts w:hint="eastAsia" w:ascii="仿宋_GB2312" w:hAnsi="仿宋_GB2312" w:eastAsia="仿宋_GB2312"/>
          <w:color w:val="auto"/>
          <w:sz w:val="32"/>
          <w:szCs w:val="32"/>
          <w:lang w:val="en-US" w:eastAsia="zh-CN"/>
        </w:rPr>
        <w:t>2.00万元</w:t>
      </w:r>
      <w:r>
        <w:rPr>
          <w:rFonts w:hint="eastAsia" w:ascii="仿宋_GB2312" w:hAnsi="仿宋_GB2312" w:eastAsia="仿宋_GB2312"/>
          <w:color w:val="auto"/>
          <w:sz w:val="32"/>
          <w:szCs w:val="32"/>
        </w:rPr>
        <w:t>。</w:t>
      </w:r>
    </w:p>
    <w:p w14:paraId="53FFF3F0">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政府性基金预算收支情况说明</w:t>
      </w:r>
    </w:p>
    <w:p w14:paraId="7EE535D6">
      <w:pPr>
        <w:keepNext w:val="0"/>
        <w:keepLines w:val="0"/>
        <w:pageBreakBefore w:val="0"/>
        <w:widowControl w:val="0"/>
        <w:kinsoku/>
        <w:wordWrap/>
        <w:overflowPunct/>
        <w:topLinePunct w:val="0"/>
        <w:autoSpaceDE/>
        <w:autoSpaceDN/>
        <w:bidi w:val="0"/>
        <w:adjustRightInd/>
        <w:snapToGrid/>
        <w:spacing w:line="560" w:lineRule="exact"/>
        <w:ind w:firstLine="652"/>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收入包括：</w:t>
      </w:r>
      <w:r>
        <w:rPr>
          <w:rFonts w:hint="eastAsia" w:ascii="仿宋_GB2312" w:hAnsi="仿宋_GB2312" w:eastAsia="仿宋_GB2312"/>
          <w:color w:val="auto"/>
          <w:sz w:val="32"/>
          <w:szCs w:val="32"/>
          <w:lang w:val="en-US" w:eastAsia="zh-CN"/>
        </w:rPr>
        <w:t>德阳市罗江区发展和改革局2025年</w:t>
      </w:r>
      <w:r>
        <w:rPr>
          <w:rFonts w:hint="eastAsia" w:ascii="仿宋_GB2312" w:hAnsi="仿宋_GB2312" w:eastAsia="仿宋_GB2312"/>
          <w:color w:val="auto"/>
          <w:sz w:val="32"/>
          <w:szCs w:val="32"/>
          <w:lang w:eastAsia="zh-CN"/>
        </w:rPr>
        <w:t>无政府性基金预算收入，与</w:t>
      </w:r>
      <w:r>
        <w:rPr>
          <w:rFonts w:hint="eastAsia"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年预算数</w:t>
      </w:r>
      <w:r>
        <w:rPr>
          <w:rFonts w:hint="eastAsia" w:ascii="仿宋_GB2312" w:hAnsi="仿宋_GB2312" w:eastAsia="仿宋_GB2312"/>
          <w:color w:val="auto"/>
          <w:sz w:val="32"/>
          <w:szCs w:val="32"/>
          <w:lang w:eastAsia="zh-CN"/>
        </w:rPr>
        <w:t>持平。</w:t>
      </w:r>
      <w:r>
        <w:rPr>
          <w:rFonts w:hint="eastAsia" w:ascii="仿宋_GB2312" w:hAnsi="仿宋_GB2312" w:eastAsia="仿宋_GB2312"/>
          <w:color w:val="auto"/>
          <w:sz w:val="32"/>
          <w:szCs w:val="32"/>
        </w:rPr>
        <w:t>支出包括：</w:t>
      </w:r>
      <w:r>
        <w:rPr>
          <w:rFonts w:hint="eastAsia" w:ascii="仿宋_GB2312" w:hAnsi="仿宋_GB2312" w:eastAsia="仿宋_GB2312"/>
          <w:color w:val="auto"/>
          <w:sz w:val="32"/>
          <w:szCs w:val="32"/>
          <w:lang w:val="en-US" w:eastAsia="zh-CN"/>
        </w:rPr>
        <w:t>德阳市罗江区发展和改革局2025年</w:t>
      </w:r>
      <w:r>
        <w:rPr>
          <w:rFonts w:hint="eastAsia" w:ascii="仿宋_GB2312" w:hAnsi="仿宋_GB2312" w:eastAsia="仿宋_GB2312"/>
          <w:color w:val="auto"/>
          <w:sz w:val="32"/>
          <w:szCs w:val="32"/>
          <w:lang w:eastAsia="zh-CN"/>
        </w:rPr>
        <w:t>无政府性基金预算支出，与</w:t>
      </w:r>
      <w:r>
        <w:rPr>
          <w:rFonts w:hint="eastAsia"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年预算数</w:t>
      </w:r>
      <w:r>
        <w:rPr>
          <w:rFonts w:hint="eastAsia" w:ascii="仿宋_GB2312" w:hAnsi="仿宋_GB2312" w:eastAsia="仿宋_GB2312"/>
          <w:color w:val="auto"/>
          <w:sz w:val="32"/>
          <w:szCs w:val="32"/>
          <w:lang w:eastAsia="zh-CN"/>
        </w:rPr>
        <w:t>持平</w:t>
      </w:r>
      <w:r>
        <w:rPr>
          <w:rFonts w:hint="eastAsia" w:ascii="仿宋_GB2312" w:hAnsi="仿宋_GB2312" w:eastAsia="仿宋_GB2312"/>
          <w:color w:val="auto"/>
          <w:sz w:val="32"/>
          <w:szCs w:val="32"/>
        </w:rPr>
        <w:t>。</w:t>
      </w:r>
    </w:p>
    <w:p w14:paraId="12CD8E18">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FF0000"/>
          <w:sz w:val="32"/>
          <w:szCs w:val="32"/>
        </w:rPr>
      </w:pPr>
      <w:r>
        <w:rPr>
          <w:rFonts w:hint="eastAsia" w:ascii="黑体" w:hAnsi="黑体" w:eastAsia="黑体" w:cs="黑体"/>
          <w:color w:val="FF0000"/>
          <w:sz w:val="32"/>
          <w:szCs w:val="32"/>
          <w:lang w:val="en-US" w:eastAsia="zh-CN"/>
        </w:rPr>
        <w:t>十、</w:t>
      </w:r>
      <w:r>
        <w:rPr>
          <w:rFonts w:hint="eastAsia" w:ascii="黑体" w:hAnsi="黑体" w:eastAsia="黑体" w:cs="黑体"/>
          <w:color w:val="FF0000"/>
          <w:sz w:val="32"/>
          <w:szCs w:val="32"/>
        </w:rPr>
        <w:t>国有资本经营预算支出情况说明</w:t>
      </w:r>
    </w:p>
    <w:p w14:paraId="0DFB8895">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color w:val="FF0000"/>
          <w:sz w:val="32"/>
          <w:szCs w:val="32"/>
        </w:rPr>
      </w:pPr>
      <w:r>
        <w:rPr>
          <w:rFonts w:hint="eastAsia" w:ascii="仿宋_GB2312" w:hAnsi="仿宋_GB2312" w:eastAsia="仿宋_GB2312"/>
          <w:color w:val="FF0000"/>
          <w:sz w:val="32"/>
          <w:szCs w:val="32"/>
          <w:lang w:val="en-US" w:eastAsia="zh-CN"/>
        </w:rPr>
        <w:t>德阳市罗江区发展和改革局</w:t>
      </w:r>
      <w:r>
        <w:rPr>
          <w:rFonts w:hint="eastAsia" w:ascii="仿宋_GB2312" w:hAnsi="仿宋_GB2312" w:eastAsia="仿宋_GB2312"/>
          <w:color w:val="FF0000"/>
          <w:sz w:val="32"/>
          <w:szCs w:val="32"/>
        </w:rPr>
        <w:t>20</w:t>
      </w:r>
      <w:r>
        <w:rPr>
          <w:rFonts w:hint="eastAsia" w:ascii="仿宋_GB2312" w:hAnsi="仿宋_GB2312" w:eastAsia="仿宋_GB2312"/>
          <w:color w:val="FF0000"/>
          <w:sz w:val="32"/>
          <w:szCs w:val="32"/>
          <w:lang w:val="en-US" w:eastAsia="zh-CN"/>
        </w:rPr>
        <w:t>25</w:t>
      </w:r>
      <w:r>
        <w:rPr>
          <w:rFonts w:hint="eastAsia" w:ascii="仿宋_GB2312" w:hAnsi="仿宋_GB2312" w:eastAsia="仿宋_GB2312"/>
          <w:color w:val="FF0000"/>
          <w:sz w:val="32"/>
          <w:szCs w:val="32"/>
        </w:rPr>
        <w:t>年使用国有资本经营预算拨款安排</w:t>
      </w:r>
      <w:r>
        <w:rPr>
          <w:rFonts w:hint="eastAsia" w:ascii="仿宋_GB2312" w:hAnsi="仿宋_GB2312" w:eastAsia="仿宋_GB2312"/>
          <w:color w:val="FF0000"/>
          <w:sz w:val="32"/>
          <w:szCs w:val="32"/>
          <w:lang w:val="en-US" w:eastAsia="zh-CN"/>
        </w:rPr>
        <w:t>0.00</w:t>
      </w:r>
      <w:r>
        <w:rPr>
          <w:rFonts w:hint="eastAsia" w:ascii="仿宋_GB2312" w:hAnsi="仿宋_GB2312" w:eastAsia="仿宋_GB2312"/>
          <w:color w:val="FF0000"/>
          <w:sz w:val="32"/>
          <w:szCs w:val="32"/>
        </w:rPr>
        <w:t>万元，</w:t>
      </w:r>
      <w:r>
        <w:rPr>
          <w:rFonts w:hint="eastAsia" w:ascii="仿宋_GB2312" w:hAnsi="仿宋_GB2312" w:eastAsia="仿宋_GB2312"/>
          <w:color w:val="FF0000"/>
          <w:sz w:val="32"/>
          <w:szCs w:val="32"/>
          <w:lang w:eastAsia="zh-CN"/>
        </w:rPr>
        <w:t>与</w:t>
      </w:r>
      <w:r>
        <w:rPr>
          <w:rFonts w:hint="eastAsia" w:ascii="仿宋_GB2312" w:hAnsi="仿宋_GB2312" w:eastAsia="仿宋_GB2312"/>
          <w:color w:val="FF0000"/>
          <w:sz w:val="32"/>
          <w:szCs w:val="32"/>
        </w:rPr>
        <w:t>20</w:t>
      </w:r>
      <w:r>
        <w:rPr>
          <w:rFonts w:hint="eastAsia" w:ascii="仿宋_GB2312" w:hAnsi="仿宋_GB2312" w:eastAsia="仿宋_GB2312"/>
          <w:color w:val="FF0000"/>
          <w:sz w:val="32"/>
          <w:szCs w:val="32"/>
          <w:lang w:val="en-US" w:eastAsia="zh-CN"/>
        </w:rPr>
        <w:t>24</w:t>
      </w:r>
      <w:r>
        <w:rPr>
          <w:rFonts w:hint="eastAsia" w:ascii="仿宋_GB2312" w:hAnsi="仿宋_GB2312" w:eastAsia="仿宋_GB2312"/>
          <w:color w:val="FF0000"/>
          <w:sz w:val="32"/>
          <w:szCs w:val="32"/>
        </w:rPr>
        <w:t>年预算</w:t>
      </w:r>
      <w:r>
        <w:rPr>
          <w:rFonts w:hint="eastAsia" w:ascii="仿宋_GB2312" w:hAnsi="仿宋_GB2312" w:eastAsia="仿宋_GB2312"/>
          <w:color w:val="FF0000"/>
          <w:sz w:val="32"/>
          <w:szCs w:val="32"/>
          <w:lang w:val="en-US" w:eastAsia="zh-CN"/>
        </w:rPr>
        <w:t>数持平。</w:t>
      </w:r>
    </w:p>
    <w:p w14:paraId="7370D7DF">
      <w:pPr>
        <w:keepNext w:val="0"/>
        <w:keepLines w:val="0"/>
        <w:pageBreakBefore w:val="0"/>
        <w:widowControl w:val="0"/>
        <w:tabs>
          <w:tab w:val="left" w:pos="6103"/>
        </w:tabs>
        <w:kinsoku/>
        <w:wordWrap/>
        <w:overflowPunct/>
        <w:topLinePunct w:val="0"/>
        <w:autoSpaceDE/>
        <w:autoSpaceDN/>
        <w:bidi w:val="0"/>
        <w:adjustRightInd/>
        <w:snapToGrid/>
        <w:spacing w:line="560" w:lineRule="exact"/>
        <w:textAlignment w:val="auto"/>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rPr>
        <w:t>　　</w:t>
      </w:r>
      <w:r>
        <w:rPr>
          <w:rFonts w:hint="eastAsia" w:ascii="黑体" w:hAnsi="黑体" w:eastAsia="黑体" w:cs="黑体"/>
          <w:color w:val="auto"/>
          <w:sz w:val="32"/>
          <w:szCs w:val="32"/>
        </w:rPr>
        <w:t>十</w:t>
      </w: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其他重要事项的情况说明</w:t>
      </w:r>
      <w:r>
        <w:rPr>
          <w:rFonts w:hint="eastAsia" w:ascii="仿宋_GB2312" w:hAnsi="仿宋_GB2312" w:eastAsia="仿宋_GB2312"/>
          <w:color w:val="auto"/>
          <w:sz w:val="32"/>
          <w:szCs w:val="32"/>
          <w:lang w:eastAsia="zh-CN"/>
        </w:rPr>
        <w:tab/>
      </w:r>
    </w:p>
    <w:p w14:paraId="33BB235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　　（一）机关运行经费</w:t>
      </w:r>
    </w:p>
    <w:p w14:paraId="484A86E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rPr>
        <w:t>　　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德阳市罗江区发展和改革局</w:t>
      </w:r>
      <w:r>
        <w:rPr>
          <w:rFonts w:hint="eastAsia" w:ascii="仿宋_GB2312" w:hAnsi="仿宋_GB2312" w:eastAsia="仿宋_GB2312"/>
          <w:color w:val="auto"/>
          <w:sz w:val="32"/>
          <w:szCs w:val="32"/>
        </w:rPr>
        <w:t>的机关运行经费财政拨款预算为</w:t>
      </w:r>
      <w:r>
        <w:rPr>
          <w:rFonts w:hint="eastAsia" w:ascii="仿宋_GB2312" w:hAnsi="仿宋_GB2312" w:eastAsia="仿宋_GB2312"/>
          <w:color w:val="auto"/>
          <w:sz w:val="32"/>
          <w:szCs w:val="32"/>
          <w:lang w:val="en-US" w:eastAsia="zh-CN"/>
        </w:rPr>
        <w:t>79.28</w:t>
      </w:r>
      <w:r>
        <w:rPr>
          <w:rFonts w:hint="eastAsia" w:ascii="仿宋_GB2312" w:hAnsi="仿宋_GB2312" w:eastAsia="仿宋_GB2312"/>
          <w:color w:val="auto"/>
          <w:sz w:val="32"/>
          <w:szCs w:val="32"/>
        </w:rPr>
        <w:t>万元，比20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w:t>
      </w:r>
      <w:r>
        <w:rPr>
          <w:rFonts w:hint="eastAsia" w:ascii="仿宋_GB2312" w:hAnsi="仿宋_GB2312" w:eastAsia="仿宋_GB2312"/>
          <w:color w:val="auto"/>
          <w:sz w:val="32"/>
          <w:szCs w:val="32"/>
          <w:lang w:val="en-US" w:eastAsia="zh-CN"/>
        </w:rPr>
        <w:t>预算72.42万元</w:t>
      </w:r>
      <w:r>
        <w:rPr>
          <w:rFonts w:hint="eastAsia" w:ascii="仿宋_GB2312" w:hAnsi="仿宋_GB2312" w:eastAsia="仿宋_GB2312"/>
          <w:color w:val="auto"/>
          <w:sz w:val="32"/>
          <w:szCs w:val="32"/>
          <w:lang w:eastAsia="zh-CN"/>
        </w:rPr>
        <w:t>增加</w:t>
      </w:r>
      <w:r>
        <w:rPr>
          <w:rFonts w:hint="eastAsia" w:ascii="仿宋_GB2312" w:hAnsi="仿宋_GB2312" w:eastAsia="仿宋_GB2312"/>
          <w:color w:val="auto"/>
          <w:sz w:val="32"/>
          <w:szCs w:val="32"/>
          <w:lang w:val="en-US" w:eastAsia="zh-CN"/>
        </w:rPr>
        <w:t>6.86</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主要是</w:t>
      </w:r>
      <w:r>
        <w:rPr>
          <w:rFonts w:hint="eastAsia" w:ascii="仿宋_GB2312" w:hAnsi="仿宋_GB2312" w:eastAsia="仿宋_GB2312"/>
          <w:color w:val="auto"/>
          <w:sz w:val="32"/>
          <w:szCs w:val="32"/>
          <w:lang w:val="en-US" w:eastAsia="zh-CN"/>
        </w:rPr>
        <w:t>机构改革</w:t>
      </w:r>
      <w:r>
        <w:rPr>
          <w:rFonts w:hint="eastAsia" w:ascii="仿宋_GB2312" w:hAnsi="仿宋_GB2312" w:eastAsia="仿宋_GB2312"/>
          <w:color w:val="auto"/>
          <w:sz w:val="32"/>
          <w:szCs w:val="32"/>
          <w:lang w:eastAsia="zh-CN"/>
        </w:rPr>
        <w:t>单位调</w:t>
      </w:r>
      <w:r>
        <w:rPr>
          <w:rFonts w:hint="eastAsia" w:ascii="仿宋_GB2312" w:hAnsi="仿宋_GB2312" w:eastAsia="仿宋_GB2312"/>
          <w:color w:val="auto"/>
          <w:sz w:val="32"/>
          <w:szCs w:val="32"/>
          <w:lang w:val="en-US" w:eastAsia="zh-CN"/>
        </w:rPr>
        <w:t>入</w:t>
      </w:r>
      <w:r>
        <w:rPr>
          <w:rFonts w:hint="eastAsia" w:ascii="仿宋_GB2312" w:hAnsi="仿宋_GB2312" w:eastAsia="仿宋_GB2312"/>
          <w:color w:val="auto"/>
          <w:sz w:val="32"/>
          <w:szCs w:val="32"/>
          <w:lang w:eastAsia="zh-CN"/>
        </w:rPr>
        <w:t>人员</w:t>
      </w:r>
      <w:r>
        <w:rPr>
          <w:rFonts w:hint="eastAsia" w:ascii="仿宋_GB2312" w:hAnsi="仿宋_GB2312" w:eastAsia="仿宋_GB2312"/>
          <w:color w:val="auto"/>
          <w:sz w:val="32"/>
          <w:szCs w:val="32"/>
          <w:lang w:val="en-US" w:eastAsia="zh-CN"/>
        </w:rPr>
        <w:t>增加，人员公用</w:t>
      </w:r>
      <w:r>
        <w:rPr>
          <w:rFonts w:hint="eastAsia" w:ascii="仿宋_GB2312" w:hAnsi="仿宋_GB2312" w:eastAsia="仿宋_GB2312"/>
          <w:color w:val="auto"/>
          <w:sz w:val="32"/>
          <w:szCs w:val="32"/>
          <w:lang w:eastAsia="zh-CN"/>
        </w:rPr>
        <w:t>经费</w:t>
      </w:r>
      <w:r>
        <w:rPr>
          <w:rFonts w:hint="eastAsia" w:ascii="仿宋_GB2312" w:hAnsi="仿宋_GB2312" w:eastAsia="仿宋_GB2312"/>
          <w:color w:val="auto"/>
          <w:sz w:val="32"/>
          <w:szCs w:val="32"/>
          <w:lang w:val="en-US" w:eastAsia="zh-CN"/>
        </w:rPr>
        <w:t>增加</w:t>
      </w:r>
      <w:r>
        <w:rPr>
          <w:rFonts w:hint="eastAsia" w:ascii="仿宋_GB2312" w:hAnsi="仿宋_GB2312" w:eastAsia="仿宋_GB2312"/>
          <w:color w:val="auto"/>
          <w:sz w:val="32"/>
          <w:szCs w:val="32"/>
          <w:lang w:eastAsia="zh-CN"/>
        </w:rPr>
        <w:t>所致。</w:t>
      </w:r>
    </w:p>
    <w:p w14:paraId="15CC192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firstLine="0" w:firstLineChars="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政府采购情况</w:t>
      </w:r>
    </w:p>
    <w:p w14:paraId="7EA6ED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rPr>
      </w:pPr>
      <w:r>
        <w:rPr>
          <w:rFonts w:hint="eastAsia" w:ascii="仿宋_GB2312" w:hAnsi="仿宋_GB2312" w:eastAsia="仿宋_GB2312" w:cs="Times New Roman"/>
          <w:color w:val="auto"/>
          <w:sz w:val="32"/>
          <w:szCs w:val="32"/>
        </w:rPr>
        <w:t>20</w:t>
      </w:r>
      <w:r>
        <w:rPr>
          <w:rFonts w:hint="eastAsia" w:ascii="仿宋_GB2312" w:hAnsi="仿宋_GB2312" w:eastAsia="仿宋_GB2312" w:cs="Times New Roman"/>
          <w:color w:val="auto"/>
          <w:sz w:val="32"/>
          <w:szCs w:val="32"/>
          <w:lang w:val="en-US" w:eastAsia="zh-CN"/>
        </w:rPr>
        <w:t>25</w:t>
      </w:r>
      <w:r>
        <w:rPr>
          <w:rFonts w:hint="eastAsia" w:ascii="仿宋_GB2312" w:hAnsi="仿宋_GB2312" w:eastAsia="仿宋_GB2312" w:cs="Times New Roman"/>
          <w:color w:val="auto"/>
          <w:sz w:val="32"/>
          <w:szCs w:val="32"/>
        </w:rPr>
        <w:t>年，</w:t>
      </w:r>
      <w:r>
        <w:rPr>
          <w:rFonts w:hint="eastAsia" w:ascii="仿宋_GB2312" w:hAnsi="仿宋_GB2312" w:eastAsia="仿宋_GB2312" w:cs="Times New Roman"/>
          <w:color w:val="auto"/>
          <w:sz w:val="32"/>
          <w:szCs w:val="32"/>
          <w:lang w:val="en-US" w:eastAsia="zh-CN"/>
        </w:rPr>
        <w:t>德阳市罗江区发展和改革局</w:t>
      </w:r>
      <w:r>
        <w:rPr>
          <w:rFonts w:hint="eastAsia" w:ascii="仿宋_GB2312" w:hAnsi="仿宋_GB2312" w:eastAsia="仿宋_GB2312" w:cs="Times New Roman"/>
          <w:color w:val="auto"/>
          <w:sz w:val="32"/>
          <w:szCs w:val="32"/>
        </w:rPr>
        <w:t>安排政府采购预算</w:t>
      </w:r>
      <w:r>
        <w:rPr>
          <w:rFonts w:hint="eastAsia" w:ascii="仿宋_GB2312" w:hAnsi="仿宋_GB2312" w:eastAsia="仿宋_GB2312" w:cs="Times New Roman"/>
          <w:color w:val="auto"/>
          <w:sz w:val="32"/>
          <w:szCs w:val="32"/>
          <w:lang w:val="en-US" w:eastAsia="zh-CN"/>
        </w:rPr>
        <w:t>288.00万元，主要为专项资金采购设备及其他服务</w:t>
      </w:r>
      <w:r>
        <w:rPr>
          <w:rFonts w:hint="eastAsia" w:ascii="仿宋_GB2312" w:hAnsi="仿宋_GB2312" w:eastAsia="仿宋_GB2312" w:cs="Times New Roman"/>
          <w:color w:val="auto"/>
          <w:sz w:val="32"/>
          <w:szCs w:val="32"/>
        </w:rPr>
        <w:t>。</w:t>
      </w:r>
    </w:p>
    <w:p w14:paraId="02213D18">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w:t>
      </w:r>
      <w:r>
        <w:rPr>
          <w:rFonts w:hint="eastAsia" w:ascii="楷体_GB2312" w:hAnsi="楷体_GB2312" w:eastAsia="楷体_GB2312" w:cs="楷体_GB2312"/>
          <w:color w:val="auto"/>
          <w:sz w:val="32"/>
          <w:szCs w:val="32"/>
        </w:rPr>
        <w:t>（三）国有资产占有使用情况</w:t>
      </w:r>
    </w:p>
    <w:p w14:paraId="4BA9DF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截至20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年底，</w:t>
      </w:r>
      <w:r>
        <w:rPr>
          <w:rFonts w:hint="eastAsia" w:ascii="仿宋_GB2312" w:hAnsi="仿宋_GB2312" w:eastAsia="仿宋_GB2312"/>
          <w:color w:val="auto"/>
          <w:sz w:val="32"/>
          <w:szCs w:val="32"/>
          <w:lang w:val="en-US" w:eastAsia="zh-CN"/>
        </w:rPr>
        <w:t>德阳市罗江区发展和改革局</w:t>
      </w:r>
      <w:r>
        <w:rPr>
          <w:rFonts w:hint="eastAsia" w:ascii="仿宋_GB2312" w:hAnsi="仿宋_GB2312" w:eastAsia="仿宋_GB2312"/>
          <w:color w:val="auto"/>
          <w:sz w:val="32"/>
          <w:szCs w:val="32"/>
        </w:rPr>
        <w:t>所属各预算单位共有固定资产总额</w:t>
      </w:r>
      <w:r>
        <w:rPr>
          <w:rFonts w:hint="eastAsia" w:ascii="仿宋_GB2312" w:hAnsi="仿宋_GB2312" w:eastAsia="仿宋_GB2312"/>
          <w:color w:val="auto"/>
          <w:sz w:val="32"/>
          <w:szCs w:val="32"/>
          <w:lang w:val="en-US" w:eastAsia="zh-CN"/>
        </w:rPr>
        <w:t>806.54</w:t>
      </w:r>
      <w:r>
        <w:rPr>
          <w:rFonts w:hint="eastAsia" w:ascii="仿宋_GB2312" w:hAnsi="仿宋_GB2312" w:eastAsia="仿宋_GB2312"/>
          <w:color w:val="auto"/>
          <w:sz w:val="32"/>
          <w:szCs w:val="32"/>
        </w:rPr>
        <w:t>万元，其中</w:t>
      </w:r>
      <w:r>
        <w:rPr>
          <w:rFonts w:hint="eastAsia" w:ascii="仿宋_GB2312" w:hAnsi="仿宋_GB2312" w:eastAsia="仿宋_GB2312"/>
          <w:color w:val="auto"/>
          <w:sz w:val="32"/>
          <w:szCs w:val="32"/>
          <w:lang w:eastAsia="zh-CN"/>
        </w:rPr>
        <w:t>待处理车辆</w:t>
      </w:r>
      <w:r>
        <w:rPr>
          <w:rFonts w:hint="eastAsia" w:ascii="仿宋_GB2312" w:hAnsi="仿宋_GB2312" w:eastAsia="仿宋_GB2312"/>
          <w:color w:val="auto"/>
          <w:sz w:val="32"/>
          <w:szCs w:val="32"/>
          <w:lang w:val="en-US" w:eastAsia="zh-CN"/>
        </w:rPr>
        <w:t>1</w:t>
      </w:r>
      <w:r>
        <w:rPr>
          <w:rFonts w:hint="eastAsia" w:ascii="仿宋_GB2312" w:hAnsi="仿宋_GB2312" w:eastAsia="仿宋_GB2312"/>
          <w:color w:val="auto"/>
          <w:sz w:val="32"/>
          <w:szCs w:val="32"/>
        </w:rPr>
        <w:t>辆</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有公务用车</w:t>
      </w:r>
      <w:r>
        <w:rPr>
          <w:rFonts w:hint="eastAsia" w:ascii="仿宋_GB2312" w:hAnsi="仿宋_GB2312" w:eastAsia="仿宋_GB2312"/>
          <w:color w:val="auto"/>
          <w:sz w:val="32"/>
          <w:szCs w:val="32"/>
          <w:lang w:val="en-US" w:eastAsia="zh-CN"/>
        </w:rPr>
        <w:t>1</w:t>
      </w:r>
      <w:r>
        <w:rPr>
          <w:rFonts w:hint="eastAsia" w:ascii="仿宋_GB2312" w:hAnsi="仿宋_GB2312" w:eastAsia="仿宋_GB2312"/>
          <w:color w:val="auto"/>
          <w:sz w:val="32"/>
          <w:szCs w:val="32"/>
        </w:rPr>
        <w:t>辆</w:t>
      </w:r>
      <w:r>
        <w:rPr>
          <w:rFonts w:hint="eastAsia" w:ascii="仿宋_GB2312" w:hAnsi="仿宋_GB2312" w:eastAsia="仿宋_GB2312"/>
          <w:color w:val="auto"/>
          <w:sz w:val="32"/>
          <w:szCs w:val="32"/>
          <w:lang w:eastAsia="zh-CN"/>
        </w:rPr>
        <w:t>，粮食检测专用设备</w:t>
      </w:r>
      <w:r>
        <w:rPr>
          <w:rFonts w:hint="eastAsia" w:ascii="仿宋_GB2312" w:hAnsi="仿宋_GB2312" w:eastAsia="仿宋_GB2312"/>
          <w:color w:val="auto"/>
          <w:sz w:val="32"/>
          <w:szCs w:val="32"/>
          <w:lang w:val="en-US" w:eastAsia="zh-CN"/>
        </w:rPr>
        <w:t>1批</w:t>
      </w:r>
      <w:r>
        <w:rPr>
          <w:rFonts w:hint="eastAsia" w:ascii="仿宋_GB2312" w:hAnsi="仿宋_GB2312" w:eastAsia="仿宋_GB2312"/>
          <w:color w:val="auto"/>
          <w:sz w:val="32"/>
          <w:szCs w:val="32"/>
        </w:rPr>
        <w:t>。</w:t>
      </w:r>
    </w:p>
    <w:p w14:paraId="24490B7D">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年部门预算未安排购置车辆及单位价值200万元以上大型设备。</w:t>
      </w:r>
    </w:p>
    <w:p w14:paraId="50D8AE25">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w:t>
      </w:r>
      <w:r>
        <w:rPr>
          <w:rFonts w:hint="eastAsia" w:ascii="楷体_GB2312" w:hAnsi="楷体_GB2312" w:eastAsia="楷体_GB2312" w:cs="楷体_GB2312"/>
          <w:color w:val="auto"/>
          <w:sz w:val="32"/>
          <w:szCs w:val="32"/>
        </w:rPr>
        <w:t>　（四）绩效目标设置情况</w:t>
      </w:r>
    </w:p>
    <w:p w14:paraId="3020B67E">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w:t>
      </w:r>
      <w:r>
        <w:rPr>
          <w:rFonts w:hint="eastAsia" w:ascii="仿宋_GB2312" w:hAnsi="仿宋_GB2312" w:eastAsia="仿宋_GB2312"/>
          <w:color w:val="auto"/>
          <w:sz w:val="32"/>
          <w:szCs w:val="32"/>
          <w:lang w:val="en-US" w:eastAsia="zh-CN"/>
        </w:rPr>
        <w:t>德阳市罗江区发展和改革局</w:t>
      </w:r>
      <w:r>
        <w:rPr>
          <w:rFonts w:hint="eastAsia" w:ascii="仿宋_GB2312" w:hAnsi="仿宋_GB2312" w:eastAsia="仿宋_GB2312"/>
          <w:color w:val="auto"/>
          <w:sz w:val="32"/>
          <w:szCs w:val="32"/>
        </w:rPr>
        <w:t>部门通用项目和专用项目均按要求实行绩效目标管理，涉及一般公共预算当年拨款</w:t>
      </w:r>
      <w:r>
        <w:rPr>
          <w:rFonts w:hint="eastAsia" w:ascii="仿宋_GB2312" w:hAnsi="仿宋_GB2312" w:eastAsia="仿宋_GB2312"/>
          <w:color w:val="auto"/>
          <w:sz w:val="32"/>
          <w:szCs w:val="32"/>
          <w:lang w:val="en-US" w:eastAsia="zh-CN"/>
        </w:rPr>
        <w:t>1711.59</w:t>
      </w:r>
      <w:r>
        <w:rPr>
          <w:rFonts w:hint="eastAsia" w:ascii="仿宋_GB2312" w:hAnsi="仿宋_GB2312" w:eastAsia="仿宋_GB2312"/>
          <w:color w:val="auto"/>
          <w:sz w:val="32"/>
          <w:szCs w:val="32"/>
        </w:rPr>
        <w:t>万元。</w:t>
      </w:r>
    </w:p>
    <w:p w14:paraId="6F4960B5">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w:t>
      </w:r>
      <w:r>
        <w:rPr>
          <w:rFonts w:hint="eastAsia" w:ascii="黑体" w:hAnsi="黑体" w:eastAsia="黑体" w:cs="黑体"/>
          <w:color w:val="auto"/>
          <w:sz w:val="32"/>
          <w:szCs w:val="32"/>
        </w:rPr>
        <w:t>十</w:t>
      </w: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、名词解释</w:t>
      </w:r>
    </w:p>
    <w:p w14:paraId="04D60111">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（一）一般公共预算拨款收入：指区级财政当年拨付的资金。</w:t>
      </w:r>
    </w:p>
    <w:p w14:paraId="0F9980DF">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（二）上年结转：指以前年度尚未完成、结转到本年仍按原规定用途继续使用的资金。</w:t>
      </w:r>
    </w:p>
    <w:p w14:paraId="08615FD5">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（三）基本支出：指为保障机构正常运转、完成日常工作任务所必需的人员经费和日常公用经费。</w:t>
      </w:r>
    </w:p>
    <w:p w14:paraId="5AB026B7">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（四）项目支出：指在基本支出之外，为完成特定的行政工作任务或事业发展目标所发生的支出。</w:t>
      </w:r>
    </w:p>
    <w:p w14:paraId="4E4AA397">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五）“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14:paraId="0CC0EC4B">
      <w:pPr>
        <w:keepNext w:val="0"/>
        <w:keepLines w:val="0"/>
        <w:pageBreakBefore w:val="0"/>
        <w:widowControl w:val="0"/>
        <w:kinsoku/>
        <w:wordWrap/>
        <w:overflowPunct/>
        <w:topLinePunct w:val="0"/>
        <w:autoSpaceDE/>
        <w:autoSpaceDN/>
        <w:bidi w:val="0"/>
        <w:adjustRightInd/>
        <w:snapToGrid/>
        <w:spacing w:line="560" w:lineRule="exact"/>
        <w:ind w:left="1914" w:leftChars="132" w:hanging="1280" w:hangingChars="400"/>
        <w:textAlignment w:val="auto"/>
        <w:rPr>
          <w:rFonts w:hint="eastAsia" w:ascii="仿宋_GB2312" w:hAnsi="仿宋_GB2312" w:eastAsia="仿宋_GB2312"/>
          <w:color w:val="auto"/>
          <w:sz w:val="32"/>
          <w:szCs w:val="32"/>
        </w:rPr>
      </w:pPr>
    </w:p>
    <w:p w14:paraId="7754FD37">
      <w:pPr>
        <w:keepNext w:val="0"/>
        <w:keepLines w:val="0"/>
        <w:pageBreakBefore w:val="0"/>
        <w:widowControl w:val="0"/>
        <w:kinsoku/>
        <w:wordWrap/>
        <w:overflowPunct/>
        <w:topLinePunct w:val="0"/>
        <w:autoSpaceDE/>
        <w:autoSpaceDN/>
        <w:bidi w:val="0"/>
        <w:adjustRightInd/>
        <w:snapToGrid/>
        <w:spacing w:line="560" w:lineRule="exact"/>
        <w:ind w:left="1914" w:leftChars="132" w:hanging="1280" w:hangingChars="400"/>
        <w:textAlignment w:val="auto"/>
        <w:rPr>
          <w:rFonts w:hint="eastAsia" w:ascii="仿宋_GB2312" w:hAnsi="仿宋_GB2312" w:eastAsia="仿宋_GB2312"/>
          <w:color w:val="auto"/>
          <w:sz w:val="32"/>
          <w:szCs w:val="32"/>
        </w:rPr>
      </w:pPr>
    </w:p>
    <w:p w14:paraId="7ADB6A0D">
      <w:pPr>
        <w:keepNext w:val="0"/>
        <w:keepLines w:val="0"/>
        <w:pageBreakBefore w:val="0"/>
        <w:widowControl w:val="0"/>
        <w:kinsoku/>
        <w:wordWrap/>
        <w:overflowPunct/>
        <w:topLinePunct w:val="0"/>
        <w:autoSpaceDE/>
        <w:autoSpaceDN/>
        <w:bidi w:val="0"/>
        <w:adjustRightInd/>
        <w:snapToGrid/>
        <w:spacing w:line="560" w:lineRule="exact"/>
        <w:ind w:left="1914" w:leftChars="132" w:hanging="1280" w:hangingChars="4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附件：</w:t>
      </w:r>
      <w:r>
        <w:rPr>
          <w:rFonts w:hint="eastAsia" w:ascii="仿宋_GB2312" w:hAnsi="仿宋_GB2312" w:eastAsia="仿宋_GB2312"/>
          <w:color w:val="auto"/>
          <w:sz w:val="32"/>
          <w:szCs w:val="32"/>
          <w:lang w:val="en-US" w:eastAsia="zh-CN"/>
        </w:rPr>
        <w:t>1.</w:t>
      </w:r>
      <w:r>
        <w:rPr>
          <w:rFonts w:hint="eastAsia"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年部门预算</w:t>
      </w:r>
      <w:r>
        <w:rPr>
          <w:rFonts w:hint="eastAsia" w:ascii="仿宋_GB2312" w:hAnsi="仿宋_GB2312" w:eastAsia="仿宋_GB2312"/>
          <w:color w:val="auto"/>
          <w:sz w:val="32"/>
          <w:szCs w:val="32"/>
          <w:lang w:eastAsia="zh-CN"/>
        </w:rPr>
        <w:t>批复</w:t>
      </w:r>
      <w:r>
        <w:rPr>
          <w:rFonts w:hint="eastAsia" w:ascii="仿宋_GB2312" w:hAnsi="仿宋_GB2312" w:eastAsia="仿宋_GB2312"/>
          <w:color w:val="auto"/>
          <w:sz w:val="32"/>
          <w:szCs w:val="32"/>
        </w:rPr>
        <w:t xml:space="preserve">表 </w:t>
      </w:r>
    </w:p>
    <w:p w14:paraId="215E0394">
      <w:pPr>
        <w:keepNext w:val="0"/>
        <w:keepLines w:val="0"/>
        <w:pageBreakBefore w:val="0"/>
        <w:widowControl w:val="0"/>
        <w:kinsoku/>
        <w:wordWrap/>
        <w:overflowPunct/>
        <w:topLinePunct w:val="0"/>
        <w:autoSpaceDE/>
        <w:autoSpaceDN/>
        <w:bidi w:val="0"/>
        <w:adjustRightInd/>
        <w:snapToGrid/>
        <w:spacing w:line="560" w:lineRule="exact"/>
        <w:ind w:left="1914" w:leftChars="132" w:hanging="1280" w:hangingChars="400"/>
        <w:textAlignment w:val="auto"/>
        <w:rPr>
          <w:rFonts w:hint="default"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 xml:space="preserve">      2.部门预算整体支出绩效目标批复表</w:t>
      </w:r>
    </w:p>
    <w:p w14:paraId="10A5C985">
      <w:pPr>
        <w:keepNext w:val="0"/>
        <w:keepLines w:val="0"/>
        <w:pageBreakBefore w:val="0"/>
        <w:widowControl w:val="0"/>
        <w:kinsoku/>
        <w:wordWrap/>
        <w:overflowPunct/>
        <w:topLinePunct w:val="0"/>
        <w:autoSpaceDE/>
        <w:autoSpaceDN/>
        <w:bidi w:val="0"/>
        <w:adjustRightInd/>
        <w:snapToGrid/>
        <w:spacing w:line="560" w:lineRule="exact"/>
        <w:ind w:left="1904" w:leftChars="330" w:hanging="320" w:hangingChars="1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3.部门预算项目支出绩效目标批复表</w:t>
      </w:r>
    </w:p>
    <w:p w14:paraId="067BCDE4">
      <w:pPr>
        <w:keepNext w:val="0"/>
        <w:keepLines w:val="0"/>
        <w:pageBreakBefore w:val="0"/>
        <w:widowControl w:val="0"/>
        <w:kinsoku/>
        <w:wordWrap/>
        <w:overflowPunct/>
        <w:topLinePunct w:val="0"/>
        <w:autoSpaceDE/>
        <w:autoSpaceDN/>
        <w:bidi w:val="0"/>
        <w:adjustRightInd/>
        <w:snapToGrid/>
        <w:spacing w:line="560" w:lineRule="exact"/>
        <w:ind w:left="2880" w:hanging="2880" w:hangingChars="9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 xml:space="preserve">                </w:t>
      </w:r>
      <w:r>
        <w:rPr>
          <w:rFonts w:hint="eastAsia" w:ascii="仿宋_GB2312" w:hAnsi="仿宋_GB2312" w:eastAsia="仿宋_GB2312"/>
          <w:color w:val="auto"/>
          <w:sz w:val="32"/>
          <w:szCs w:val="32"/>
        </w:rPr>
        <w:t xml:space="preserve"> </w:t>
      </w:r>
    </w:p>
    <w:p w14:paraId="75E3258D">
      <w:pPr>
        <w:pStyle w:val="2"/>
        <w:rPr>
          <w:rFonts w:hint="eastAsia"/>
        </w:rPr>
      </w:pPr>
    </w:p>
    <w:p w14:paraId="349CE33C">
      <w:pPr>
        <w:keepNext w:val="0"/>
        <w:keepLines w:val="0"/>
        <w:pageBreakBefore w:val="0"/>
        <w:widowControl w:val="0"/>
        <w:kinsoku/>
        <w:wordWrap/>
        <w:overflowPunct/>
        <w:topLinePunct w:val="0"/>
        <w:autoSpaceDE/>
        <w:autoSpaceDN/>
        <w:bidi w:val="0"/>
        <w:adjustRightInd/>
        <w:snapToGrid/>
        <w:spacing w:line="560" w:lineRule="exact"/>
        <w:ind w:left="2851" w:leftChars="594" w:firstLine="1600" w:firstLineChars="5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olor w:val="auto"/>
          <w:sz w:val="32"/>
          <w:szCs w:val="32"/>
          <w:lang w:eastAsia="zh-CN"/>
        </w:rPr>
        <w:t>德阳市</w:t>
      </w:r>
      <w:r>
        <w:rPr>
          <w:rFonts w:hint="eastAsia" w:ascii="仿宋_GB2312" w:hAnsi="仿宋_GB2312" w:eastAsia="仿宋_GB2312"/>
          <w:color w:val="auto"/>
          <w:sz w:val="32"/>
          <w:szCs w:val="32"/>
        </w:rPr>
        <w:t>罗江区</w:t>
      </w:r>
      <w:r>
        <w:rPr>
          <w:rFonts w:hint="eastAsia" w:ascii="仿宋_GB2312" w:hAnsi="仿宋_GB2312" w:eastAsia="仿宋_GB2312"/>
          <w:color w:val="auto"/>
          <w:sz w:val="32"/>
          <w:szCs w:val="32"/>
          <w:lang w:eastAsia="zh-CN"/>
        </w:rPr>
        <w:t>发展和改革</w:t>
      </w:r>
      <w:r>
        <w:rPr>
          <w:rFonts w:hint="eastAsia" w:ascii="仿宋_GB2312" w:hAnsi="仿宋_GB2312" w:eastAsia="仿宋_GB2312"/>
          <w:color w:val="auto"/>
          <w:sz w:val="32"/>
          <w:szCs w:val="32"/>
        </w:rPr>
        <w:t>局</w:t>
      </w:r>
    </w:p>
    <w:p w14:paraId="70C9A1E7">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eastAsia="宋体"/>
          <w:color w:val="auto"/>
          <w:sz w:val="32"/>
          <w:szCs w:val="32"/>
          <w:lang w:val="en-US" w:eastAsia="zh-CN"/>
        </w:rPr>
      </w:pPr>
      <w:r>
        <w:rPr>
          <w:rFonts w:hint="eastAsia" w:ascii="仿宋_GB2312" w:hAnsi="仿宋_GB2312" w:eastAsia="仿宋_GB2312" w:cs="仿宋_GB2312"/>
          <w:color w:val="auto"/>
          <w:sz w:val="32"/>
          <w:szCs w:val="32"/>
          <w:lang w:val="en-US" w:eastAsia="zh-CN"/>
        </w:rPr>
        <w:t>2025年1月23日</w:t>
      </w: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ˎ̥">
    <w:altName w:val="Times New Roman"/>
    <w:panose1 w:val="00000000000000000000"/>
    <w:charset w:val="00"/>
    <w:family w:val="decorative"/>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BBFA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-121285</wp:posOffset>
              </wp:positionV>
              <wp:extent cx="1828800" cy="3321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3321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C095AA">
                          <w:pPr>
                            <w:pStyle w:val="5"/>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9.55pt;height:26.15pt;width:144pt;mso-position-horizontal:outside;mso-position-horizontal-relative:margin;mso-wrap-style:none;z-index:251659264;mso-width-relative:page;mso-height-relative:page;" filled="f" stroked="f" coordsize="21600,21600" o:gfxdata="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kh75FdcAAAAHAQAADwAAAAAAAAABACAAAAAiAAAAZHJzL2Rvd25yZXYu&#10;eG1sUEsBAhQAFAAAAAgAh07iQCpAE2U1AgAAYAQAAA4AAAAAAAAAAQAgAAAAJgEAAGRycy9lMm9E&#10;b2MueG1sUEsFBgAAAAAGAAYAWQEAAM0FAAAAAA==&#10;">
              <v:fill on="f" focussize="0,0"/>
              <v:stroke on="f" weight="0.5pt"/>
              <v:imagedata o:title=""/>
              <o:lock v:ext="edit" aspectratio="f"/>
              <v:textbox inset="0mm,0mm,0mm,0mm">
                <w:txbxContent>
                  <w:p w14:paraId="76C095AA">
                    <w:pPr>
                      <w:pStyle w:val="5"/>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D44E9">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8149"/>
    <w:multiLevelType w:val="singleLevel"/>
    <w:tmpl w:val="8CA08149"/>
    <w:lvl w:ilvl="0" w:tentative="0">
      <w:start w:val="1"/>
      <w:numFmt w:val="chineseCounting"/>
      <w:suff w:val="nothing"/>
      <w:lvlText w:val="%1、"/>
      <w:lvlJc w:val="left"/>
      <w:rPr>
        <w:rFonts w:hint="eastAsia"/>
      </w:rPr>
    </w:lvl>
  </w:abstractNum>
  <w:abstractNum w:abstractNumId="1">
    <w:nsid w:val="BF606B67"/>
    <w:multiLevelType w:val="singleLevel"/>
    <w:tmpl w:val="BF606B67"/>
    <w:lvl w:ilvl="0" w:tentative="0">
      <w:start w:val="2"/>
      <w:numFmt w:val="chineseCounting"/>
      <w:suff w:val="nothing"/>
      <w:lvlText w:val="（%1）"/>
      <w:lvlJc w:val="left"/>
      <w:rPr>
        <w:rFonts w:hint="eastAsia"/>
      </w:rPr>
    </w:lvl>
  </w:abstractNum>
  <w:abstractNum w:abstractNumId="2">
    <w:nsid w:val="17BFBC53"/>
    <w:multiLevelType w:val="singleLevel"/>
    <w:tmpl w:val="17BFBC53"/>
    <w:lvl w:ilvl="0" w:tentative="0">
      <w:start w:val="1"/>
      <w:numFmt w:val="chineseCounting"/>
      <w:suff w:val="nothing"/>
      <w:lvlText w:val="（%1）"/>
      <w:lvlJc w:val="left"/>
      <w:pPr>
        <w:ind w:left="640" w:leftChars="0" w:firstLine="0" w:firstLineChars="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jNWM0OTZkODc2MmNmYTc4ODNjMTUzMTMwN2Y5ZTUifQ=="/>
  </w:docVars>
  <w:rsids>
    <w:rsidRoot w:val="004E4A63"/>
    <w:rsid w:val="00107AF7"/>
    <w:rsid w:val="001A5E61"/>
    <w:rsid w:val="001F59C4"/>
    <w:rsid w:val="00202A4E"/>
    <w:rsid w:val="00245794"/>
    <w:rsid w:val="002D17ED"/>
    <w:rsid w:val="002F6687"/>
    <w:rsid w:val="00325291"/>
    <w:rsid w:val="00336B03"/>
    <w:rsid w:val="00363AC0"/>
    <w:rsid w:val="003B021E"/>
    <w:rsid w:val="003D6656"/>
    <w:rsid w:val="00417EF4"/>
    <w:rsid w:val="004B52FA"/>
    <w:rsid w:val="004D53A9"/>
    <w:rsid w:val="004E4A63"/>
    <w:rsid w:val="00504316"/>
    <w:rsid w:val="00563314"/>
    <w:rsid w:val="005A0F05"/>
    <w:rsid w:val="00640CC1"/>
    <w:rsid w:val="007225E2"/>
    <w:rsid w:val="007365C4"/>
    <w:rsid w:val="008F70DC"/>
    <w:rsid w:val="009049CB"/>
    <w:rsid w:val="00933755"/>
    <w:rsid w:val="009D554C"/>
    <w:rsid w:val="00A35F1B"/>
    <w:rsid w:val="00A46B69"/>
    <w:rsid w:val="00A5551E"/>
    <w:rsid w:val="00A60A56"/>
    <w:rsid w:val="00BC757B"/>
    <w:rsid w:val="00BD7C8D"/>
    <w:rsid w:val="00BF1A33"/>
    <w:rsid w:val="00C96FDA"/>
    <w:rsid w:val="00D14665"/>
    <w:rsid w:val="00D20B4D"/>
    <w:rsid w:val="00D64AE1"/>
    <w:rsid w:val="00DC34F5"/>
    <w:rsid w:val="00EE23D3"/>
    <w:rsid w:val="00FD2791"/>
    <w:rsid w:val="00FD2F29"/>
    <w:rsid w:val="017442FA"/>
    <w:rsid w:val="01931A7A"/>
    <w:rsid w:val="01AE3AC2"/>
    <w:rsid w:val="01E579E8"/>
    <w:rsid w:val="01F33438"/>
    <w:rsid w:val="021555D4"/>
    <w:rsid w:val="028024DC"/>
    <w:rsid w:val="029E4E2A"/>
    <w:rsid w:val="02C861A3"/>
    <w:rsid w:val="02FF0DA1"/>
    <w:rsid w:val="0305345B"/>
    <w:rsid w:val="03103BAE"/>
    <w:rsid w:val="03123DCA"/>
    <w:rsid w:val="03200295"/>
    <w:rsid w:val="033A0C2B"/>
    <w:rsid w:val="035C5DF1"/>
    <w:rsid w:val="0368655C"/>
    <w:rsid w:val="036F2FCB"/>
    <w:rsid w:val="037A6B05"/>
    <w:rsid w:val="03AC5A3B"/>
    <w:rsid w:val="03D41080"/>
    <w:rsid w:val="03FF5FEC"/>
    <w:rsid w:val="04AE7B23"/>
    <w:rsid w:val="05015EA4"/>
    <w:rsid w:val="0513603C"/>
    <w:rsid w:val="05153AE8"/>
    <w:rsid w:val="051B49EB"/>
    <w:rsid w:val="05445D91"/>
    <w:rsid w:val="05452E18"/>
    <w:rsid w:val="054777F1"/>
    <w:rsid w:val="056A0389"/>
    <w:rsid w:val="056D7096"/>
    <w:rsid w:val="05915A2B"/>
    <w:rsid w:val="05CC108B"/>
    <w:rsid w:val="05D6059E"/>
    <w:rsid w:val="05F6352F"/>
    <w:rsid w:val="060914B4"/>
    <w:rsid w:val="06223984"/>
    <w:rsid w:val="067B1C86"/>
    <w:rsid w:val="06895B13"/>
    <w:rsid w:val="0698131F"/>
    <w:rsid w:val="06C062CF"/>
    <w:rsid w:val="06DA4BFF"/>
    <w:rsid w:val="06F55595"/>
    <w:rsid w:val="071669FD"/>
    <w:rsid w:val="07245E7A"/>
    <w:rsid w:val="07571DAC"/>
    <w:rsid w:val="07CD6512"/>
    <w:rsid w:val="07E775D3"/>
    <w:rsid w:val="08080427"/>
    <w:rsid w:val="083B16CD"/>
    <w:rsid w:val="086C1887"/>
    <w:rsid w:val="08A1466E"/>
    <w:rsid w:val="08ED6E6B"/>
    <w:rsid w:val="091A7535"/>
    <w:rsid w:val="09385C0D"/>
    <w:rsid w:val="093F6F9B"/>
    <w:rsid w:val="095F33AC"/>
    <w:rsid w:val="0961008B"/>
    <w:rsid w:val="09891E65"/>
    <w:rsid w:val="09A04AED"/>
    <w:rsid w:val="0A0F696E"/>
    <w:rsid w:val="0A2E68FF"/>
    <w:rsid w:val="0A342878"/>
    <w:rsid w:val="0A530F50"/>
    <w:rsid w:val="0A60366D"/>
    <w:rsid w:val="0A786C09"/>
    <w:rsid w:val="0ABB3D4D"/>
    <w:rsid w:val="0AD017FF"/>
    <w:rsid w:val="0ADB7197"/>
    <w:rsid w:val="0ADD4CBE"/>
    <w:rsid w:val="0AE61DC4"/>
    <w:rsid w:val="0B2138E2"/>
    <w:rsid w:val="0B474CB1"/>
    <w:rsid w:val="0B980BE5"/>
    <w:rsid w:val="0BD87233"/>
    <w:rsid w:val="0BF73B5D"/>
    <w:rsid w:val="0C281F69"/>
    <w:rsid w:val="0C2F3C65"/>
    <w:rsid w:val="0C4E6E8A"/>
    <w:rsid w:val="0C554EB0"/>
    <w:rsid w:val="0C5B0590"/>
    <w:rsid w:val="0C833643"/>
    <w:rsid w:val="0CB41A4E"/>
    <w:rsid w:val="0CB96ABE"/>
    <w:rsid w:val="0CBC3A4D"/>
    <w:rsid w:val="0CCC516C"/>
    <w:rsid w:val="0D3A4D90"/>
    <w:rsid w:val="0D690A8B"/>
    <w:rsid w:val="0DF90060"/>
    <w:rsid w:val="0E2B5D40"/>
    <w:rsid w:val="0E325697"/>
    <w:rsid w:val="0E936459"/>
    <w:rsid w:val="0EA07117"/>
    <w:rsid w:val="0F00541F"/>
    <w:rsid w:val="0F0E18EA"/>
    <w:rsid w:val="0F3D5D2B"/>
    <w:rsid w:val="0F4A65E8"/>
    <w:rsid w:val="0F53554E"/>
    <w:rsid w:val="0F6C03BE"/>
    <w:rsid w:val="0F7F6343"/>
    <w:rsid w:val="0FEE5698"/>
    <w:rsid w:val="0FFD4CA3"/>
    <w:rsid w:val="10463305"/>
    <w:rsid w:val="10C5422A"/>
    <w:rsid w:val="10EC154E"/>
    <w:rsid w:val="11203B56"/>
    <w:rsid w:val="114B7A45"/>
    <w:rsid w:val="11735EB1"/>
    <w:rsid w:val="118063A3"/>
    <w:rsid w:val="11874169"/>
    <w:rsid w:val="11D15796"/>
    <w:rsid w:val="12046FD4"/>
    <w:rsid w:val="12744159"/>
    <w:rsid w:val="12774711"/>
    <w:rsid w:val="127C4DBC"/>
    <w:rsid w:val="12807414"/>
    <w:rsid w:val="1292279D"/>
    <w:rsid w:val="12E110C3"/>
    <w:rsid w:val="12E2102D"/>
    <w:rsid w:val="12E932FE"/>
    <w:rsid w:val="12F37301"/>
    <w:rsid w:val="12F9465F"/>
    <w:rsid w:val="131261E7"/>
    <w:rsid w:val="1335594B"/>
    <w:rsid w:val="13522181"/>
    <w:rsid w:val="13545D39"/>
    <w:rsid w:val="13774FD3"/>
    <w:rsid w:val="13C30D64"/>
    <w:rsid w:val="13E26EA1"/>
    <w:rsid w:val="140B464A"/>
    <w:rsid w:val="141352AC"/>
    <w:rsid w:val="14425B91"/>
    <w:rsid w:val="14741FA9"/>
    <w:rsid w:val="14F25809"/>
    <w:rsid w:val="14F77743"/>
    <w:rsid w:val="150964BF"/>
    <w:rsid w:val="1514752E"/>
    <w:rsid w:val="1525798D"/>
    <w:rsid w:val="158F12AA"/>
    <w:rsid w:val="159348F7"/>
    <w:rsid w:val="15E038B4"/>
    <w:rsid w:val="167F30CD"/>
    <w:rsid w:val="16B52250"/>
    <w:rsid w:val="16C93F5B"/>
    <w:rsid w:val="16D927DD"/>
    <w:rsid w:val="16EB6689"/>
    <w:rsid w:val="16EF1D13"/>
    <w:rsid w:val="170006CD"/>
    <w:rsid w:val="17253C74"/>
    <w:rsid w:val="17414F22"/>
    <w:rsid w:val="176C53FF"/>
    <w:rsid w:val="1779476E"/>
    <w:rsid w:val="179B5CE4"/>
    <w:rsid w:val="179B61C0"/>
    <w:rsid w:val="17CF4534"/>
    <w:rsid w:val="17D46F37"/>
    <w:rsid w:val="189574CF"/>
    <w:rsid w:val="18A70B70"/>
    <w:rsid w:val="18A92683"/>
    <w:rsid w:val="18B52204"/>
    <w:rsid w:val="18CA5813"/>
    <w:rsid w:val="19047BDD"/>
    <w:rsid w:val="197861F0"/>
    <w:rsid w:val="199450E1"/>
    <w:rsid w:val="19D965FB"/>
    <w:rsid w:val="19E62EF5"/>
    <w:rsid w:val="1A1E04F8"/>
    <w:rsid w:val="1A4C59BC"/>
    <w:rsid w:val="1A637674"/>
    <w:rsid w:val="1A7B1DFD"/>
    <w:rsid w:val="1A8B57AF"/>
    <w:rsid w:val="1AB853D5"/>
    <w:rsid w:val="1B09565B"/>
    <w:rsid w:val="1B6D1D1B"/>
    <w:rsid w:val="1BAC1FB6"/>
    <w:rsid w:val="1BC113BD"/>
    <w:rsid w:val="1C0912A1"/>
    <w:rsid w:val="1C161DDD"/>
    <w:rsid w:val="1C4701E9"/>
    <w:rsid w:val="1C6B037B"/>
    <w:rsid w:val="1C986C96"/>
    <w:rsid w:val="1CB80986"/>
    <w:rsid w:val="1CF072CC"/>
    <w:rsid w:val="1CF455D6"/>
    <w:rsid w:val="1D206422"/>
    <w:rsid w:val="1D210A3A"/>
    <w:rsid w:val="1D267D68"/>
    <w:rsid w:val="1DCC309C"/>
    <w:rsid w:val="1DDB07CB"/>
    <w:rsid w:val="1DFC519C"/>
    <w:rsid w:val="1E193E07"/>
    <w:rsid w:val="1E65013E"/>
    <w:rsid w:val="1E716DC5"/>
    <w:rsid w:val="1EB458DE"/>
    <w:rsid w:val="1EB53B30"/>
    <w:rsid w:val="1ED65854"/>
    <w:rsid w:val="1EE01F56"/>
    <w:rsid w:val="1EE44415"/>
    <w:rsid w:val="1F076224"/>
    <w:rsid w:val="1F176598"/>
    <w:rsid w:val="1F770DE5"/>
    <w:rsid w:val="1F7E2174"/>
    <w:rsid w:val="1F98454F"/>
    <w:rsid w:val="1FCE268A"/>
    <w:rsid w:val="1FD55B0C"/>
    <w:rsid w:val="1FEA15B7"/>
    <w:rsid w:val="1FEB532F"/>
    <w:rsid w:val="20062F0E"/>
    <w:rsid w:val="2007660D"/>
    <w:rsid w:val="20B10327"/>
    <w:rsid w:val="20B322F1"/>
    <w:rsid w:val="20BC578A"/>
    <w:rsid w:val="2100305C"/>
    <w:rsid w:val="210E5779"/>
    <w:rsid w:val="21191780"/>
    <w:rsid w:val="216B4761"/>
    <w:rsid w:val="218B0B78"/>
    <w:rsid w:val="21A8391D"/>
    <w:rsid w:val="21A94B56"/>
    <w:rsid w:val="21F030D1"/>
    <w:rsid w:val="21F77FBB"/>
    <w:rsid w:val="223D4159"/>
    <w:rsid w:val="22405E06"/>
    <w:rsid w:val="227341E6"/>
    <w:rsid w:val="227E248B"/>
    <w:rsid w:val="229B128E"/>
    <w:rsid w:val="22B20386"/>
    <w:rsid w:val="22D24584"/>
    <w:rsid w:val="22D83049"/>
    <w:rsid w:val="22F015DA"/>
    <w:rsid w:val="22FA13D7"/>
    <w:rsid w:val="230C6A37"/>
    <w:rsid w:val="235F68CB"/>
    <w:rsid w:val="238241FC"/>
    <w:rsid w:val="23AD1279"/>
    <w:rsid w:val="23C23C14"/>
    <w:rsid w:val="23D04AF7"/>
    <w:rsid w:val="23DA5DE6"/>
    <w:rsid w:val="2403321B"/>
    <w:rsid w:val="240D11FE"/>
    <w:rsid w:val="24255145"/>
    <w:rsid w:val="24390D5F"/>
    <w:rsid w:val="24392B0D"/>
    <w:rsid w:val="24750C34"/>
    <w:rsid w:val="25113A8A"/>
    <w:rsid w:val="252A06A8"/>
    <w:rsid w:val="256B003A"/>
    <w:rsid w:val="25761B3F"/>
    <w:rsid w:val="25B6018D"/>
    <w:rsid w:val="25B763DF"/>
    <w:rsid w:val="25C805EC"/>
    <w:rsid w:val="25CE54D7"/>
    <w:rsid w:val="26025181"/>
    <w:rsid w:val="262F10C7"/>
    <w:rsid w:val="264F486A"/>
    <w:rsid w:val="267344F0"/>
    <w:rsid w:val="26867FA4"/>
    <w:rsid w:val="268F1F23"/>
    <w:rsid w:val="269A38F4"/>
    <w:rsid w:val="26AB00DB"/>
    <w:rsid w:val="26DB434F"/>
    <w:rsid w:val="27417A30"/>
    <w:rsid w:val="27606603"/>
    <w:rsid w:val="27A40BE5"/>
    <w:rsid w:val="27C748D4"/>
    <w:rsid w:val="27DE5436"/>
    <w:rsid w:val="280276BA"/>
    <w:rsid w:val="281F026C"/>
    <w:rsid w:val="283755B5"/>
    <w:rsid w:val="285919D0"/>
    <w:rsid w:val="28B46C06"/>
    <w:rsid w:val="28B9421C"/>
    <w:rsid w:val="28BF3E24"/>
    <w:rsid w:val="2912634B"/>
    <w:rsid w:val="29455AB0"/>
    <w:rsid w:val="29475280"/>
    <w:rsid w:val="29862CCB"/>
    <w:rsid w:val="298C36DF"/>
    <w:rsid w:val="29E52B9D"/>
    <w:rsid w:val="29FB2A50"/>
    <w:rsid w:val="2A8461B6"/>
    <w:rsid w:val="2A8E1323"/>
    <w:rsid w:val="2ABE5B1A"/>
    <w:rsid w:val="2AEE0E9A"/>
    <w:rsid w:val="2AEF3F25"/>
    <w:rsid w:val="2B127FCE"/>
    <w:rsid w:val="2B3E12B7"/>
    <w:rsid w:val="2B3E4AE2"/>
    <w:rsid w:val="2B607240"/>
    <w:rsid w:val="2B944ACD"/>
    <w:rsid w:val="2C22688D"/>
    <w:rsid w:val="2C2C11A9"/>
    <w:rsid w:val="2C66290D"/>
    <w:rsid w:val="2C6E1641"/>
    <w:rsid w:val="2CBD72B2"/>
    <w:rsid w:val="2CBF3DCB"/>
    <w:rsid w:val="2D7479D0"/>
    <w:rsid w:val="2E0663BD"/>
    <w:rsid w:val="2E33377B"/>
    <w:rsid w:val="2E3A5DFF"/>
    <w:rsid w:val="2EB86423"/>
    <w:rsid w:val="2EDC3C50"/>
    <w:rsid w:val="2EE443A2"/>
    <w:rsid w:val="2F124686"/>
    <w:rsid w:val="2F3960B7"/>
    <w:rsid w:val="2F4C15E3"/>
    <w:rsid w:val="2F6224DE"/>
    <w:rsid w:val="2F695B44"/>
    <w:rsid w:val="2F881F0F"/>
    <w:rsid w:val="2FC260AC"/>
    <w:rsid w:val="2FEB512F"/>
    <w:rsid w:val="303E14AB"/>
    <w:rsid w:val="305A21D7"/>
    <w:rsid w:val="306929CC"/>
    <w:rsid w:val="30753757"/>
    <w:rsid w:val="31211F60"/>
    <w:rsid w:val="314954A2"/>
    <w:rsid w:val="3163566D"/>
    <w:rsid w:val="31666628"/>
    <w:rsid w:val="317A063D"/>
    <w:rsid w:val="31C06B62"/>
    <w:rsid w:val="31DB3455"/>
    <w:rsid w:val="32EA40D1"/>
    <w:rsid w:val="330C61EC"/>
    <w:rsid w:val="331878B3"/>
    <w:rsid w:val="33291F9F"/>
    <w:rsid w:val="333F17C2"/>
    <w:rsid w:val="33470A56"/>
    <w:rsid w:val="33855AB9"/>
    <w:rsid w:val="339C5E04"/>
    <w:rsid w:val="33E23365"/>
    <w:rsid w:val="33EF548F"/>
    <w:rsid w:val="341D19F8"/>
    <w:rsid w:val="342804A8"/>
    <w:rsid w:val="346C25FA"/>
    <w:rsid w:val="34735BC7"/>
    <w:rsid w:val="34BD5094"/>
    <w:rsid w:val="34D0301A"/>
    <w:rsid w:val="34D36666"/>
    <w:rsid w:val="350D15E3"/>
    <w:rsid w:val="35257474"/>
    <w:rsid w:val="356B691F"/>
    <w:rsid w:val="3577459C"/>
    <w:rsid w:val="35BD5B35"/>
    <w:rsid w:val="35D05A62"/>
    <w:rsid w:val="35D300BB"/>
    <w:rsid w:val="364752FF"/>
    <w:rsid w:val="3680281D"/>
    <w:rsid w:val="36AD2D04"/>
    <w:rsid w:val="36C721FA"/>
    <w:rsid w:val="36DD1A1E"/>
    <w:rsid w:val="37503831"/>
    <w:rsid w:val="3758109B"/>
    <w:rsid w:val="37647A49"/>
    <w:rsid w:val="37840664"/>
    <w:rsid w:val="378A770F"/>
    <w:rsid w:val="37954B02"/>
    <w:rsid w:val="37A550DA"/>
    <w:rsid w:val="37B06CE3"/>
    <w:rsid w:val="37B2466F"/>
    <w:rsid w:val="37B564F7"/>
    <w:rsid w:val="37BC1633"/>
    <w:rsid w:val="37CC3398"/>
    <w:rsid w:val="37DD091B"/>
    <w:rsid w:val="37EF7B33"/>
    <w:rsid w:val="38042FDA"/>
    <w:rsid w:val="38060583"/>
    <w:rsid w:val="382B6C3E"/>
    <w:rsid w:val="388163D9"/>
    <w:rsid w:val="388A0DA7"/>
    <w:rsid w:val="38EF77E6"/>
    <w:rsid w:val="39203E44"/>
    <w:rsid w:val="39311BAD"/>
    <w:rsid w:val="39631265"/>
    <w:rsid w:val="396D0D28"/>
    <w:rsid w:val="396D20A9"/>
    <w:rsid w:val="39754190"/>
    <w:rsid w:val="398119E4"/>
    <w:rsid w:val="398C3287"/>
    <w:rsid w:val="39900FC9"/>
    <w:rsid w:val="39EB4452"/>
    <w:rsid w:val="3A013C75"/>
    <w:rsid w:val="3A257EA8"/>
    <w:rsid w:val="3A3C2EFF"/>
    <w:rsid w:val="3A465B2C"/>
    <w:rsid w:val="3A5C534F"/>
    <w:rsid w:val="3AAA1C17"/>
    <w:rsid w:val="3AB26D1E"/>
    <w:rsid w:val="3AC71D0D"/>
    <w:rsid w:val="3AD34177"/>
    <w:rsid w:val="3AE72E6B"/>
    <w:rsid w:val="3AEA4ED0"/>
    <w:rsid w:val="3B3F124B"/>
    <w:rsid w:val="3B450047"/>
    <w:rsid w:val="3B5A363D"/>
    <w:rsid w:val="3B984CA6"/>
    <w:rsid w:val="3BA66882"/>
    <w:rsid w:val="3BAB6A07"/>
    <w:rsid w:val="3BD6013A"/>
    <w:rsid w:val="3C676344"/>
    <w:rsid w:val="3C77021F"/>
    <w:rsid w:val="3C933FC3"/>
    <w:rsid w:val="3CB54A77"/>
    <w:rsid w:val="3D39482A"/>
    <w:rsid w:val="3D445A1B"/>
    <w:rsid w:val="3D63377E"/>
    <w:rsid w:val="3D9077EA"/>
    <w:rsid w:val="3DCB66F9"/>
    <w:rsid w:val="3DEF50C2"/>
    <w:rsid w:val="3E304B29"/>
    <w:rsid w:val="3E594080"/>
    <w:rsid w:val="3E6B3098"/>
    <w:rsid w:val="3E7B6B4D"/>
    <w:rsid w:val="3EA41944"/>
    <w:rsid w:val="3EB37D3B"/>
    <w:rsid w:val="3EBE4641"/>
    <w:rsid w:val="3EC82FB3"/>
    <w:rsid w:val="3ED96F6F"/>
    <w:rsid w:val="3EDC5AB8"/>
    <w:rsid w:val="3EF43DA9"/>
    <w:rsid w:val="3F924B43"/>
    <w:rsid w:val="3FA304D7"/>
    <w:rsid w:val="3FA84969"/>
    <w:rsid w:val="3FAE3F57"/>
    <w:rsid w:val="3FC47485"/>
    <w:rsid w:val="3FDA4D4C"/>
    <w:rsid w:val="3FE43E1D"/>
    <w:rsid w:val="4039433C"/>
    <w:rsid w:val="40B41A41"/>
    <w:rsid w:val="40CD2B03"/>
    <w:rsid w:val="410E362E"/>
    <w:rsid w:val="412E79F2"/>
    <w:rsid w:val="41336B41"/>
    <w:rsid w:val="4136045D"/>
    <w:rsid w:val="415B75FC"/>
    <w:rsid w:val="416604FE"/>
    <w:rsid w:val="41894C7C"/>
    <w:rsid w:val="41931657"/>
    <w:rsid w:val="419A4F54"/>
    <w:rsid w:val="41A167E8"/>
    <w:rsid w:val="421F50ED"/>
    <w:rsid w:val="42293D69"/>
    <w:rsid w:val="422D5894"/>
    <w:rsid w:val="42786A9F"/>
    <w:rsid w:val="42933B54"/>
    <w:rsid w:val="42991D01"/>
    <w:rsid w:val="42B73034"/>
    <w:rsid w:val="42CF64B8"/>
    <w:rsid w:val="43572B58"/>
    <w:rsid w:val="438F22F2"/>
    <w:rsid w:val="43AD665B"/>
    <w:rsid w:val="43B42F23"/>
    <w:rsid w:val="43BE7D31"/>
    <w:rsid w:val="442A21FE"/>
    <w:rsid w:val="446A72EE"/>
    <w:rsid w:val="447B63D2"/>
    <w:rsid w:val="44814145"/>
    <w:rsid w:val="44964E48"/>
    <w:rsid w:val="44A21CBD"/>
    <w:rsid w:val="44E1584B"/>
    <w:rsid w:val="44E93A5D"/>
    <w:rsid w:val="44F468B0"/>
    <w:rsid w:val="450A2708"/>
    <w:rsid w:val="45124F88"/>
    <w:rsid w:val="451E56DB"/>
    <w:rsid w:val="454A2974"/>
    <w:rsid w:val="454B0393"/>
    <w:rsid w:val="455767ED"/>
    <w:rsid w:val="455D3B83"/>
    <w:rsid w:val="45AA6F6F"/>
    <w:rsid w:val="45B43BB8"/>
    <w:rsid w:val="45F52C0E"/>
    <w:rsid w:val="46110D70"/>
    <w:rsid w:val="465B46F2"/>
    <w:rsid w:val="4695585D"/>
    <w:rsid w:val="46C21042"/>
    <w:rsid w:val="46F53B97"/>
    <w:rsid w:val="477C0DDF"/>
    <w:rsid w:val="47887784"/>
    <w:rsid w:val="478A7058"/>
    <w:rsid w:val="47A90010"/>
    <w:rsid w:val="480C5CBF"/>
    <w:rsid w:val="480F57AF"/>
    <w:rsid w:val="4871646A"/>
    <w:rsid w:val="487B1097"/>
    <w:rsid w:val="48C20A74"/>
    <w:rsid w:val="48D52555"/>
    <w:rsid w:val="48F055E1"/>
    <w:rsid w:val="48FF5E41"/>
    <w:rsid w:val="49157A48"/>
    <w:rsid w:val="49555444"/>
    <w:rsid w:val="49632BA3"/>
    <w:rsid w:val="49724A30"/>
    <w:rsid w:val="499A72FA"/>
    <w:rsid w:val="49C76AE6"/>
    <w:rsid w:val="49DA6779"/>
    <w:rsid w:val="4A407EA2"/>
    <w:rsid w:val="4A4852DA"/>
    <w:rsid w:val="4A4C2CEB"/>
    <w:rsid w:val="4A6E0EB3"/>
    <w:rsid w:val="4A966F56"/>
    <w:rsid w:val="4AC81EE0"/>
    <w:rsid w:val="4AD73E31"/>
    <w:rsid w:val="4AF34F14"/>
    <w:rsid w:val="4B005883"/>
    <w:rsid w:val="4B182BCD"/>
    <w:rsid w:val="4B2F7168"/>
    <w:rsid w:val="4B3C0E90"/>
    <w:rsid w:val="4B401E9A"/>
    <w:rsid w:val="4B6338E3"/>
    <w:rsid w:val="4BB40B47"/>
    <w:rsid w:val="4BC114B6"/>
    <w:rsid w:val="4BC92119"/>
    <w:rsid w:val="4BD513D3"/>
    <w:rsid w:val="4BE64A79"/>
    <w:rsid w:val="4C095CD8"/>
    <w:rsid w:val="4C2537F3"/>
    <w:rsid w:val="4D1A2C2C"/>
    <w:rsid w:val="4D267823"/>
    <w:rsid w:val="4D6B3021"/>
    <w:rsid w:val="4D7B7E62"/>
    <w:rsid w:val="4D7F6F33"/>
    <w:rsid w:val="4D812CAB"/>
    <w:rsid w:val="4DA073FE"/>
    <w:rsid w:val="4DC45D61"/>
    <w:rsid w:val="4DCB500F"/>
    <w:rsid w:val="4DF41C64"/>
    <w:rsid w:val="4E031912"/>
    <w:rsid w:val="4E325B83"/>
    <w:rsid w:val="4E940B3C"/>
    <w:rsid w:val="4ED82D9F"/>
    <w:rsid w:val="4EE33EEF"/>
    <w:rsid w:val="4EEC6EA2"/>
    <w:rsid w:val="4EEC755C"/>
    <w:rsid w:val="4F365D17"/>
    <w:rsid w:val="4F4C59B5"/>
    <w:rsid w:val="4F620B65"/>
    <w:rsid w:val="4F6665FD"/>
    <w:rsid w:val="4F8151E4"/>
    <w:rsid w:val="4FC103A3"/>
    <w:rsid w:val="4FF43C08"/>
    <w:rsid w:val="4FF5172F"/>
    <w:rsid w:val="4FFD5C59"/>
    <w:rsid w:val="5051105B"/>
    <w:rsid w:val="50601A18"/>
    <w:rsid w:val="507C3BFE"/>
    <w:rsid w:val="507D55C5"/>
    <w:rsid w:val="50895A6D"/>
    <w:rsid w:val="50A867A1"/>
    <w:rsid w:val="50E85B55"/>
    <w:rsid w:val="512513C0"/>
    <w:rsid w:val="514F0810"/>
    <w:rsid w:val="51B2088F"/>
    <w:rsid w:val="51CE0489"/>
    <w:rsid w:val="51E14DCF"/>
    <w:rsid w:val="52053353"/>
    <w:rsid w:val="520E0886"/>
    <w:rsid w:val="52555D66"/>
    <w:rsid w:val="525766D1"/>
    <w:rsid w:val="52635075"/>
    <w:rsid w:val="526D1A50"/>
    <w:rsid w:val="52912517"/>
    <w:rsid w:val="52BF41CD"/>
    <w:rsid w:val="52C90A13"/>
    <w:rsid w:val="533B56AA"/>
    <w:rsid w:val="535F3A8F"/>
    <w:rsid w:val="537333FE"/>
    <w:rsid w:val="53BA0CC5"/>
    <w:rsid w:val="53BC07CF"/>
    <w:rsid w:val="53C2401E"/>
    <w:rsid w:val="53F02939"/>
    <w:rsid w:val="53F31BCB"/>
    <w:rsid w:val="5418318C"/>
    <w:rsid w:val="541F321E"/>
    <w:rsid w:val="54230044"/>
    <w:rsid w:val="54336CC9"/>
    <w:rsid w:val="54660E4D"/>
    <w:rsid w:val="54703A7A"/>
    <w:rsid w:val="549A5EE9"/>
    <w:rsid w:val="54A92AE8"/>
    <w:rsid w:val="54AF702E"/>
    <w:rsid w:val="54CA3E3E"/>
    <w:rsid w:val="54CF0CF2"/>
    <w:rsid w:val="54DA7145"/>
    <w:rsid w:val="55164621"/>
    <w:rsid w:val="55466588"/>
    <w:rsid w:val="559D264C"/>
    <w:rsid w:val="55B55BE8"/>
    <w:rsid w:val="560D46CF"/>
    <w:rsid w:val="5628144A"/>
    <w:rsid w:val="56586573"/>
    <w:rsid w:val="566B62A7"/>
    <w:rsid w:val="56772E9D"/>
    <w:rsid w:val="56BC6B02"/>
    <w:rsid w:val="56CD4470"/>
    <w:rsid w:val="56EF512A"/>
    <w:rsid w:val="573A204C"/>
    <w:rsid w:val="57664CC0"/>
    <w:rsid w:val="576B7987"/>
    <w:rsid w:val="578A7DA4"/>
    <w:rsid w:val="58093FC9"/>
    <w:rsid w:val="582726A1"/>
    <w:rsid w:val="583152CE"/>
    <w:rsid w:val="58AB32AC"/>
    <w:rsid w:val="58AD585C"/>
    <w:rsid w:val="58DB1B27"/>
    <w:rsid w:val="58DF1F50"/>
    <w:rsid w:val="590F634E"/>
    <w:rsid w:val="593B1FD4"/>
    <w:rsid w:val="598D0C2A"/>
    <w:rsid w:val="59D16BD8"/>
    <w:rsid w:val="59FD7B5D"/>
    <w:rsid w:val="5A2D1BB7"/>
    <w:rsid w:val="5A3E202C"/>
    <w:rsid w:val="5A4534F1"/>
    <w:rsid w:val="5A5F359F"/>
    <w:rsid w:val="5A7122F9"/>
    <w:rsid w:val="5AE20B01"/>
    <w:rsid w:val="5AFA7FD7"/>
    <w:rsid w:val="5B150ED7"/>
    <w:rsid w:val="5B8A7C55"/>
    <w:rsid w:val="5BC87CF7"/>
    <w:rsid w:val="5BFD2097"/>
    <w:rsid w:val="5C107EB0"/>
    <w:rsid w:val="5C87260D"/>
    <w:rsid w:val="5C907A33"/>
    <w:rsid w:val="5CDC3237"/>
    <w:rsid w:val="5D355860"/>
    <w:rsid w:val="5D5C103F"/>
    <w:rsid w:val="5D704367"/>
    <w:rsid w:val="5D73140D"/>
    <w:rsid w:val="5DB91FED"/>
    <w:rsid w:val="5DE720E2"/>
    <w:rsid w:val="5E053485"/>
    <w:rsid w:val="5E0F1C0D"/>
    <w:rsid w:val="5E4044BD"/>
    <w:rsid w:val="5E483371"/>
    <w:rsid w:val="5EC62C14"/>
    <w:rsid w:val="5EDF5A84"/>
    <w:rsid w:val="5F1D25F2"/>
    <w:rsid w:val="5F3E56D7"/>
    <w:rsid w:val="606D5311"/>
    <w:rsid w:val="60D14480"/>
    <w:rsid w:val="60F5173C"/>
    <w:rsid w:val="61152955"/>
    <w:rsid w:val="61165BEF"/>
    <w:rsid w:val="61171EEB"/>
    <w:rsid w:val="61252F39"/>
    <w:rsid w:val="613876CD"/>
    <w:rsid w:val="6175447D"/>
    <w:rsid w:val="61A04787"/>
    <w:rsid w:val="62570027"/>
    <w:rsid w:val="62854B94"/>
    <w:rsid w:val="62A96AD4"/>
    <w:rsid w:val="62B66AFB"/>
    <w:rsid w:val="62B7534B"/>
    <w:rsid w:val="62D41677"/>
    <w:rsid w:val="63655C09"/>
    <w:rsid w:val="637F3391"/>
    <w:rsid w:val="63BB7A89"/>
    <w:rsid w:val="63DA0F0F"/>
    <w:rsid w:val="641C574E"/>
    <w:rsid w:val="64405216"/>
    <w:rsid w:val="64A15B78"/>
    <w:rsid w:val="64A84B6A"/>
    <w:rsid w:val="64D30F5B"/>
    <w:rsid w:val="64E4383E"/>
    <w:rsid w:val="64EC2CA8"/>
    <w:rsid w:val="64F953DE"/>
    <w:rsid w:val="6511270F"/>
    <w:rsid w:val="651A5A67"/>
    <w:rsid w:val="651A5E66"/>
    <w:rsid w:val="65E86718"/>
    <w:rsid w:val="65EC12C0"/>
    <w:rsid w:val="65F71905"/>
    <w:rsid w:val="66242D30"/>
    <w:rsid w:val="662E109F"/>
    <w:rsid w:val="663568D1"/>
    <w:rsid w:val="664337A6"/>
    <w:rsid w:val="667C1E0A"/>
    <w:rsid w:val="667E2026"/>
    <w:rsid w:val="66A15B8B"/>
    <w:rsid w:val="66B27F22"/>
    <w:rsid w:val="671C0369"/>
    <w:rsid w:val="67520936"/>
    <w:rsid w:val="67D53726"/>
    <w:rsid w:val="67E22141"/>
    <w:rsid w:val="67EC25BE"/>
    <w:rsid w:val="6827609B"/>
    <w:rsid w:val="682C1C8B"/>
    <w:rsid w:val="688414EC"/>
    <w:rsid w:val="688558EE"/>
    <w:rsid w:val="68960155"/>
    <w:rsid w:val="68CB020A"/>
    <w:rsid w:val="69080DA6"/>
    <w:rsid w:val="69094446"/>
    <w:rsid w:val="690B56C7"/>
    <w:rsid w:val="691C1593"/>
    <w:rsid w:val="691F15E0"/>
    <w:rsid w:val="69216C99"/>
    <w:rsid w:val="692F0164"/>
    <w:rsid w:val="696C49B1"/>
    <w:rsid w:val="696F5C56"/>
    <w:rsid w:val="69C04704"/>
    <w:rsid w:val="69CD41A9"/>
    <w:rsid w:val="69D361E5"/>
    <w:rsid w:val="69DF4B8A"/>
    <w:rsid w:val="6A1B7B8C"/>
    <w:rsid w:val="6A502604"/>
    <w:rsid w:val="6A6C14C4"/>
    <w:rsid w:val="6A7A6FA8"/>
    <w:rsid w:val="6A7F636D"/>
    <w:rsid w:val="6AAD06D1"/>
    <w:rsid w:val="6AC029BD"/>
    <w:rsid w:val="6AD761A9"/>
    <w:rsid w:val="6B0162BF"/>
    <w:rsid w:val="6B2667E8"/>
    <w:rsid w:val="6B797260"/>
    <w:rsid w:val="6BB660AA"/>
    <w:rsid w:val="6BC229B5"/>
    <w:rsid w:val="6C1B0E2C"/>
    <w:rsid w:val="6C25094D"/>
    <w:rsid w:val="6C81461E"/>
    <w:rsid w:val="6C8C022A"/>
    <w:rsid w:val="6C975BF0"/>
    <w:rsid w:val="6CB22A29"/>
    <w:rsid w:val="6CB61601"/>
    <w:rsid w:val="6D1237B1"/>
    <w:rsid w:val="6D142D9C"/>
    <w:rsid w:val="6D1C4347"/>
    <w:rsid w:val="6D610B27"/>
    <w:rsid w:val="6D851E3B"/>
    <w:rsid w:val="6DD807A5"/>
    <w:rsid w:val="6DF1132F"/>
    <w:rsid w:val="6DF332FA"/>
    <w:rsid w:val="6E020BB9"/>
    <w:rsid w:val="6E6C4E5A"/>
    <w:rsid w:val="6E851A78"/>
    <w:rsid w:val="6E95615F"/>
    <w:rsid w:val="6EB1286D"/>
    <w:rsid w:val="6EE811F9"/>
    <w:rsid w:val="6EEF2FF2"/>
    <w:rsid w:val="6F885CC3"/>
    <w:rsid w:val="6F9D54EF"/>
    <w:rsid w:val="6FBD7EBB"/>
    <w:rsid w:val="6FD3597B"/>
    <w:rsid w:val="6FD9651F"/>
    <w:rsid w:val="6FDB2297"/>
    <w:rsid w:val="701901B8"/>
    <w:rsid w:val="702D1EF1"/>
    <w:rsid w:val="70626515"/>
    <w:rsid w:val="706C1141"/>
    <w:rsid w:val="70974410"/>
    <w:rsid w:val="70C01FE6"/>
    <w:rsid w:val="70E00746"/>
    <w:rsid w:val="70E37655"/>
    <w:rsid w:val="71401EC1"/>
    <w:rsid w:val="716A38D3"/>
    <w:rsid w:val="7189187F"/>
    <w:rsid w:val="718D75C1"/>
    <w:rsid w:val="71CC633B"/>
    <w:rsid w:val="71E36E95"/>
    <w:rsid w:val="720D159E"/>
    <w:rsid w:val="72492030"/>
    <w:rsid w:val="72587BCF"/>
    <w:rsid w:val="72701ABD"/>
    <w:rsid w:val="727147ED"/>
    <w:rsid w:val="72A44929"/>
    <w:rsid w:val="72A51027"/>
    <w:rsid w:val="72BA2BA7"/>
    <w:rsid w:val="72E17BC5"/>
    <w:rsid w:val="72FE2226"/>
    <w:rsid w:val="73124222"/>
    <w:rsid w:val="731D4975"/>
    <w:rsid w:val="735E06AF"/>
    <w:rsid w:val="736C3B18"/>
    <w:rsid w:val="73BD156D"/>
    <w:rsid w:val="73C01F61"/>
    <w:rsid w:val="73CA68AB"/>
    <w:rsid w:val="73F622E7"/>
    <w:rsid w:val="7413162B"/>
    <w:rsid w:val="742A7349"/>
    <w:rsid w:val="7438214C"/>
    <w:rsid w:val="743E1047"/>
    <w:rsid w:val="74570C7A"/>
    <w:rsid w:val="74820F33"/>
    <w:rsid w:val="74B34894"/>
    <w:rsid w:val="75524DAA"/>
    <w:rsid w:val="757F3F50"/>
    <w:rsid w:val="75882579"/>
    <w:rsid w:val="758A3D6D"/>
    <w:rsid w:val="75B72E5F"/>
    <w:rsid w:val="75BF3AC1"/>
    <w:rsid w:val="75C23793"/>
    <w:rsid w:val="75CE1F56"/>
    <w:rsid w:val="75E44BFA"/>
    <w:rsid w:val="76023629"/>
    <w:rsid w:val="760D2A7F"/>
    <w:rsid w:val="76261D92"/>
    <w:rsid w:val="764C7A4B"/>
    <w:rsid w:val="76876CD5"/>
    <w:rsid w:val="7694459E"/>
    <w:rsid w:val="76B74CBF"/>
    <w:rsid w:val="76BE1CC2"/>
    <w:rsid w:val="76D9217C"/>
    <w:rsid w:val="7709405E"/>
    <w:rsid w:val="770A7925"/>
    <w:rsid w:val="770C67A9"/>
    <w:rsid w:val="77103EEA"/>
    <w:rsid w:val="775B07E0"/>
    <w:rsid w:val="77680998"/>
    <w:rsid w:val="779A355D"/>
    <w:rsid w:val="77D2795E"/>
    <w:rsid w:val="780E5D20"/>
    <w:rsid w:val="78236589"/>
    <w:rsid w:val="786D30A1"/>
    <w:rsid w:val="78844A8A"/>
    <w:rsid w:val="78D45B62"/>
    <w:rsid w:val="794744F9"/>
    <w:rsid w:val="794A68EA"/>
    <w:rsid w:val="79716E39"/>
    <w:rsid w:val="79755ADE"/>
    <w:rsid w:val="79935991"/>
    <w:rsid w:val="7995639E"/>
    <w:rsid w:val="79BF0FAE"/>
    <w:rsid w:val="79FF6B82"/>
    <w:rsid w:val="7A140880"/>
    <w:rsid w:val="7A195E96"/>
    <w:rsid w:val="7A3E3457"/>
    <w:rsid w:val="7A46328F"/>
    <w:rsid w:val="7A4C631E"/>
    <w:rsid w:val="7AC57DCC"/>
    <w:rsid w:val="7AEF7E7D"/>
    <w:rsid w:val="7B694BFB"/>
    <w:rsid w:val="7B9C5FE7"/>
    <w:rsid w:val="7BB37C24"/>
    <w:rsid w:val="7BB51BEE"/>
    <w:rsid w:val="7BCE7867"/>
    <w:rsid w:val="7C43544C"/>
    <w:rsid w:val="7C5C02BC"/>
    <w:rsid w:val="7CB225D2"/>
    <w:rsid w:val="7CCF4F32"/>
    <w:rsid w:val="7CDB38D7"/>
    <w:rsid w:val="7CEF1130"/>
    <w:rsid w:val="7CF9356C"/>
    <w:rsid w:val="7D0C1CE2"/>
    <w:rsid w:val="7D107465"/>
    <w:rsid w:val="7D2F3C22"/>
    <w:rsid w:val="7D380E83"/>
    <w:rsid w:val="7DA20666"/>
    <w:rsid w:val="7E612D97"/>
    <w:rsid w:val="7E7D7721"/>
    <w:rsid w:val="7E843AFA"/>
    <w:rsid w:val="7EB50157"/>
    <w:rsid w:val="7F17496E"/>
    <w:rsid w:val="7F62060E"/>
    <w:rsid w:val="7F656B7D"/>
    <w:rsid w:val="7F6851CA"/>
    <w:rsid w:val="7F6F7633"/>
    <w:rsid w:val="7F7959DC"/>
    <w:rsid w:val="7F7D47B2"/>
    <w:rsid w:val="7F7D6EC7"/>
    <w:rsid w:val="7FA426CB"/>
    <w:rsid w:val="7FD203EE"/>
    <w:rsid w:val="7FEC7B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kern w:val="2"/>
      <w:sz w:val="48"/>
      <w:szCs w:val="24"/>
      <w:lang w:val="en-US" w:eastAsia="zh-CN" w:bidi="ar-SA"/>
    </w:rPr>
  </w:style>
  <w:style w:type="character" w:default="1" w:styleId="12">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rPr>
      <w:rFonts w:ascii="等线" w:hAnsi="等线" w:eastAsia="等线" w:cs="Times New Roman"/>
    </w:rPr>
  </w:style>
  <w:style w:type="paragraph" w:styleId="3">
    <w:name w:val="Body Text"/>
    <w:basedOn w:val="1"/>
    <w:link w:val="22"/>
    <w:autoRedefine/>
    <w:qFormat/>
    <w:uiPriority w:val="0"/>
    <w:pPr>
      <w:spacing w:before="93" w:beforeLines="30"/>
    </w:pPr>
    <w:rPr>
      <w:rFonts w:ascii="仿宋_GB2312" w:eastAsia="仿宋_GB2312"/>
      <w:sz w:val="30"/>
    </w:rPr>
  </w:style>
  <w:style w:type="paragraph" w:styleId="4">
    <w:name w:val="Body Text Indent"/>
    <w:basedOn w:val="1"/>
    <w:next w:val="1"/>
    <w:autoRedefine/>
    <w:qFormat/>
    <w:uiPriority w:val="0"/>
    <w:pPr>
      <w:spacing w:after="120" w:afterLines="0"/>
      <w:ind w:leftChars="200"/>
    </w:pPr>
  </w:style>
  <w:style w:type="paragraph" w:styleId="5">
    <w:name w:val="footer"/>
    <w:basedOn w:val="1"/>
    <w:link w:val="21"/>
    <w:autoRedefine/>
    <w:unhideWhenUsed/>
    <w:qFormat/>
    <w:uiPriority w:val="99"/>
    <w:pPr>
      <w:tabs>
        <w:tab w:val="center" w:pos="4153"/>
        <w:tab w:val="right" w:pos="8306"/>
      </w:tabs>
      <w:snapToGrid w:val="0"/>
      <w:jc w:val="left"/>
    </w:pPr>
    <w:rPr>
      <w:sz w:val="18"/>
      <w:szCs w:val="18"/>
    </w:rPr>
  </w:style>
  <w:style w:type="paragraph" w:styleId="6">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semiHidden/>
    <w:qFormat/>
    <w:uiPriority w:val="99"/>
    <w:pPr>
      <w:tabs>
        <w:tab w:val="right" w:leader="dot" w:pos="8296"/>
      </w:tabs>
      <w:spacing w:before="93"/>
      <w:jc w:val="center"/>
    </w:pPr>
    <w:rPr>
      <w:rFonts w:ascii="仿宋" w:hAnsi="仿宋" w:eastAsia="仿宋" w:cs="仿宋"/>
      <w:sz w:val="28"/>
      <w:szCs w:val="28"/>
    </w:rPr>
  </w:style>
  <w:style w:type="paragraph" w:styleId="8">
    <w:name w:val="toc 2"/>
    <w:basedOn w:val="1"/>
    <w:next w:val="1"/>
    <w:autoRedefine/>
    <w:semiHidden/>
    <w:qFormat/>
    <w:uiPriority w:val="99"/>
    <w:pPr>
      <w:tabs>
        <w:tab w:val="right" w:leader="dot" w:pos="8296"/>
      </w:tabs>
      <w:ind w:left="420" w:leftChars="200"/>
    </w:pPr>
  </w:style>
  <w:style w:type="paragraph" w:styleId="9">
    <w:name w:val="Body Text First Indent"/>
    <w:basedOn w:val="3"/>
    <w:autoRedefine/>
    <w:unhideWhenUsed/>
    <w:qFormat/>
    <w:uiPriority w:val="99"/>
    <w:pPr>
      <w:ind w:firstLine="420" w:firstLineChars="100"/>
    </w:pPr>
  </w:style>
  <w:style w:type="paragraph" w:styleId="10">
    <w:name w:val="Body Text First Indent 2"/>
    <w:basedOn w:val="4"/>
    <w:next w:val="1"/>
    <w:autoRedefine/>
    <w:qFormat/>
    <w:uiPriority w:val="0"/>
    <w:pPr>
      <w:ind w:firstLine="420" w:firstLineChars="200"/>
    </w:pPr>
  </w:style>
  <w:style w:type="character" w:styleId="13">
    <w:name w:val="Emphasis"/>
    <w:basedOn w:val="12"/>
    <w:autoRedefine/>
    <w:qFormat/>
    <w:uiPriority w:val="20"/>
  </w:style>
  <w:style w:type="character" w:styleId="14">
    <w:name w:val="Hyperlink"/>
    <w:basedOn w:val="12"/>
    <w:autoRedefine/>
    <w:qFormat/>
    <w:uiPriority w:val="99"/>
    <w:rPr>
      <w:color w:val="0000FF"/>
      <w:u w:val="single"/>
    </w:rPr>
  </w:style>
  <w:style w:type="paragraph" w:customStyle="1" w:styleId="15">
    <w:name w:val="图表目录1"/>
    <w:basedOn w:val="1"/>
    <w:next w:val="1"/>
    <w:autoRedefine/>
    <w:qFormat/>
    <w:uiPriority w:val="0"/>
    <w:pPr>
      <w:widowControl w:val="0"/>
      <w:adjustRightInd/>
      <w:snapToGrid/>
      <w:spacing w:after="0"/>
      <w:ind w:left="200" w:leftChars="200" w:hanging="200" w:hangingChars="200"/>
      <w:jc w:val="both"/>
    </w:pPr>
    <w:rPr>
      <w:rFonts w:ascii="Calibri" w:hAnsi="Calibri" w:eastAsiaTheme="minorEastAsia"/>
      <w:kern w:val="2"/>
      <w:sz w:val="21"/>
      <w:szCs w:val="24"/>
    </w:rPr>
  </w:style>
  <w:style w:type="paragraph" w:customStyle="1" w:styleId="16">
    <w:name w:val="BodyText1I"/>
    <w:basedOn w:val="17"/>
    <w:autoRedefine/>
    <w:qFormat/>
    <w:uiPriority w:val="0"/>
    <w:pPr>
      <w:spacing w:after="120"/>
      <w:ind w:firstLine="420"/>
      <w:jc w:val="both"/>
      <w:textAlignment w:val="baseline"/>
    </w:pPr>
    <w:rPr>
      <w:rFonts w:ascii="Calibri" w:hAnsi="Calibri" w:eastAsia="宋体" w:cs="Times New Roman"/>
    </w:rPr>
  </w:style>
  <w:style w:type="paragraph" w:customStyle="1" w:styleId="17">
    <w:name w:val="BodyText"/>
    <w:basedOn w:val="1"/>
    <w:qFormat/>
    <w:uiPriority w:val="0"/>
    <w:pPr>
      <w:spacing w:after="120"/>
      <w:jc w:val="both"/>
      <w:textAlignment w:val="baseline"/>
    </w:pPr>
  </w:style>
  <w:style w:type="paragraph" w:customStyle="1" w:styleId="18">
    <w:name w:val="Heading3"/>
    <w:basedOn w:val="1"/>
    <w:next w:val="1"/>
    <w:autoRedefine/>
    <w:qFormat/>
    <w:uiPriority w:val="0"/>
    <w:pPr>
      <w:keepNext/>
      <w:keepLines/>
      <w:spacing w:before="260" w:after="260" w:line="416" w:lineRule="auto"/>
    </w:pPr>
    <w:rPr>
      <w:rFonts w:cs="Times New Roman"/>
      <w:b/>
      <w:bCs/>
    </w:rPr>
  </w:style>
  <w:style w:type="paragraph" w:customStyle="1" w:styleId="19">
    <w:name w:val="List Paragraph"/>
    <w:basedOn w:val="1"/>
    <w:autoRedefine/>
    <w:qFormat/>
    <w:uiPriority w:val="34"/>
    <w:pPr>
      <w:ind w:firstLine="420" w:firstLineChars="200"/>
    </w:pPr>
  </w:style>
  <w:style w:type="character" w:customStyle="1" w:styleId="20">
    <w:name w:val="页眉 Char"/>
    <w:basedOn w:val="12"/>
    <w:link w:val="6"/>
    <w:autoRedefine/>
    <w:qFormat/>
    <w:uiPriority w:val="99"/>
    <w:rPr>
      <w:rFonts w:ascii="宋体" w:hAnsi="Times New Roman" w:eastAsia="宋体" w:cs="Times New Roman"/>
      <w:sz w:val="18"/>
      <w:szCs w:val="18"/>
    </w:rPr>
  </w:style>
  <w:style w:type="character" w:customStyle="1" w:styleId="21">
    <w:name w:val="页脚 Char"/>
    <w:basedOn w:val="12"/>
    <w:link w:val="5"/>
    <w:autoRedefine/>
    <w:qFormat/>
    <w:uiPriority w:val="99"/>
    <w:rPr>
      <w:rFonts w:ascii="宋体" w:hAnsi="Times New Roman" w:eastAsia="宋体" w:cs="Times New Roman"/>
      <w:sz w:val="18"/>
      <w:szCs w:val="18"/>
    </w:rPr>
  </w:style>
  <w:style w:type="character" w:customStyle="1" w:styleId="22">
    <w:name w:val="正文文本 Char"/>
    <w:basedOn w:val="12"/>
    <w:link w:val="3"/>
    <w:autoRedefine/>
    <w:qFormat/>
    <w:uiPriority w:val="0"/>
    <w:rPr>
      <w:rFonts w:ascii="仿宋_GB2312" w:hAnsi="Times New Roman" w:eastAsia="仿宋_GB2312" w:cs="Times New Roman"/>
      <w:kern w:val="2"/>
      <w:sz w:val="30"/>
      <w:szCs w:val="24"/>
    </w:rPr>
  </w:style>
  <w:style w:type="paragraph" w:customStyle="1" w:styleId="23">
    <w:name w:val="WPSOffice手动目录 1"/>
    <w:autoRedefine/>
    <w:qFormat/>
    <w:uiPriority w:val="0"/>
    <w:pPr>
      <w:ind w:leftChars="0"/>
    </w:pPr>
    <w:rPr>
      <w:rFonts w:ascii="Calibri" w:hAnsi="Calibri" w:eastAsia="宋体" w:cs="Times New Roman"/>
      <w:sz w:val="20"/>
      <w:szCs w:val="20"/>
    </w:rPr>
  </w:style>
  <w:style w:type="paragraph" w:customStyle="1" w:styleId="24">
    <w:name w:val="WPSOffice手动目录 2"/>
    <w:autoRedefine/>
    <w:qFormat/>
    <w:uiPriority w:val="0"/>
    <w:pPr>
      <w:ind w:leftChars="200"/>
    </w:pPr>
    <w:rPr>
      <w:rFonts w:ascii="Calibri" w:hAnsi="Calibri" w:eastAsia="宋体" w:cs="Times New Roman"/>
      <w:sz w:val="20"/>
      <w:szCs w:val="20"/>
    </w:rPr>
  </w:style>
  <w:style w:type="character" w:customStyle="1" w:styleId="25">
    <w:name w:val="标题 3 字符"/>
    <w:basedOn w:val="12"/>
    <w:autoRedefine/>
    <w:qFormat/>
    <w:uiPriority w:val="9"/>
    <w:rPr>
      <w:rFonts w:ascii="Times New Roman" w:hAnsi="Times New Roman" w:eastAsia="楷体_GB2312"/>
      <w:b/>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17</Pages>
  <Words>7641</Words>
  <Characters>8366</Characters>
  <Lines>17</Lines>
  <Paragraphs>4</Paragraphs>
  <TotalTime>229</TotalTime>
  <ScaleCrop>false</ScaleCrop>
  <LinksUpToDate>false</LinksUpToDate>
  <CharactersWithSpaces>8505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2017-10-20T03:21:00Z</dcterms:created>
  <dc:creator>null,null,总收发</dc:creator>
  <cp:lastModifiedBy>@飞奔的蜗牛</cp:lastModifiedBy>
  <cp:lastPrinted>2025-01-23T06:17:45Z</cp:lastPrinted>
  <dcterms:modified xsi:type="dcterms:W3CDTF">2025-01-23T07:13:57Z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B10FD009615D42989517D42AAAAE4A01_12</vt:lpwstr>
  </property>
  <property fmtid="{D5CDD505-2E9C-101B-9397-08002B2CF9AE}" pid="4" name="KSOTemplateDocerSaveRecord">
    <vt:lpwstr>eyJoZGlkIjoiNGRjNWM0OTZkODc2MmNmYTc4ODNjMTUzMTMwN2Y5ZTUiLCJ1c2VySWQiOiIxMTczMzk5NDczIn0=</vt:lpwstr>
  </property>
</Properties>
</file>