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73432">
      <w:pPr>
        <w:adjustRightInd w:val="0"/>
        <w:snapToGrid w:val="0"/>
        <w:spacing w:line="360" w:lineRule="auto"/>
        <w:jc w:val="both"/>
        <w:outlineLvl w:val="0"/>
        <w:rPr>
          <w:rFonts w:ascii="黑体" w:hAnsi="黑体" w:eastAsia="黑体"/>
          <w:color w:val="000000"/>
          <w:sz w:val="72"/>
          <w:szCs w:val="72"/>
        </w:rPr>
      </w:pPr>
      <w:bookmarkStart w:id="0" w:name="_Toc15378441"/>
      <w:bookmarkStart w:id="1" w:name="_Toc15377193"/>
      <w:bookmarkStart w:id="2" w:name="_Toc15396597"/>
      <w:bookmarkStart w:id="3" w:name="_Toc15396475"/>
      <w:bookmarkStart w:id="4" w:name="_Toc15377425"/>
    </w:p>
    <w:p w14:paraId="2D0D7941">
      <w:pPr>
        <w:adjustRightInd w:val="0"/>
        <w:snapToGrid w:val="0"/>
        <w:spacing w:line="360" w:lineRule="auto"/>
        <w:jc w:val="center"/>
        <w:outlineLvl w:val="0"/>
        <w:rPr>
          <w:rFonts w:ascii="黑体" w:hAnsi="黑体" w:eastAsia="黑体"/>
          <w:color w:val="000000"/>
          <w:sz w:val="72"/>
          <w:szCs w:val="72"/>
        </w:rPr>
      </w:pPr>
    </w:p>
    <w:p w14:paraId="357B82EE">
      <w:pPr>
        <w:adjustRightInd w:val="0"/>
        <w:snapToGrid w:val="0"/>
        <w:spacing w:line="360" w:lineRule="auto"/>
        <w:jc w:val="center"/>
        <w:outlineLvl w:val="0"/>
        <w:rPr>
          <w:rFonts w:ascii="黑体" w:hAnsi="黑体" w:eastAsia="黑体"/>
          <w:color w:val="000000"/>
          <w:sz w:val="72"/>
          <w:szCs w:val="72"/>
        </w:rPr>
      </w:pPr>
    </w:p>
    <w:p w14:paraId="1E616B1E">
      <w:pPr>
        <w:adjustRightInd w:val="0"/>
        <w:snapToGrid w:val="0"/>
        <w:spacing w:line="360" w:lineRule="auto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r>
        <w:rPr>
          <w:rFonts w:ascii="黑体" w:hAnsi="黑体" w:eastAsia="黑体"/>
          <w:color w:val="000000"/>
          <w:sz w:val="72"/>
          <w:szCs w:val="72"/>
        </w:rPr>
        <w:t>20</w:t>
      </w:r>
      <w:r>
        <w:rPr>
          <w:rFonts w:hint="eastAsia" w:ascii="黑体" w:hAnsi="黑体" w:eastAsia="黑体"/>
          <w:color w:val="000000"/>
          <w:sz w:val="72"/>
          <w:szCs w:val="72"/>
        </w:rPr>
        <w:t>2</w:t>
      </w:r>
      <w:r>
        <w:rPr>
          <w:rFonts w:hint="eastAsia" w:ascii="黑体" w:hAnsi="黑体" w:eastAsia="黑体"/>
          <w:color w:val="000000"/>
          <w:sz w:val="72"/>
          <w:szCs w:val="72"/>
          <w:lang w:val="en-US" w:eastAsia="zh-CN"/>
        </w:rPr>
        <w:t>5</w:t>
      </w:r>
      <w:r>
        <w:rPr>
          <w:rFonts w:hint="eastAsia" w:ascii="方正小标宋简体" w:hAnsi="宋体" w:eastAsia="方正小标宋简体"/>
          <w:color w:val="000000"/>
          <w:sz w:val="72"/>
          <w:szCs w:val="72"/>
        </w:rPr>
        <w:t>年度</w:t>
      </w:r>
      <w:bookmarkEnd w:id="0"/>
      <w:bookmarkEnd w:id="1"/>
      <w:bookmarkEnd w:id="2"/>
      <w:bookmarkEnd w:id="3"/>
      <w:bookmarkEnd w:id="4"/>
    </w:p>
    <w:p w14:paraId="24288F11">
      <w:pPr>
        <w:adjustRightInd w:val="0"/>
        <w:snapToGrid w:val="0"/>
        <w:spacing w:line="360" w:lineRule="auto"/>
        <w:jc w:val="center"/>
        <w:outlineLvl w:val="0"/>
        <w:rPr>
          <w:rFonts w:hint="eastAsia" w:ascii="方正小标宋简体" w:hAnsi="宋体" w:eastAsia="方正小标宋简体"/>
          <w:color w:val="000000"/>
          <w:sz w:val="48"/>
          <w:szCs w:val="48"/>
        </w:rPr>
      </w:pPr>
      <w:bookmarkStart w:id="5" w:name="_Toc15378442"/>
      <w:bookmarkStart w:id="6" w:name="_Toc15396476"/>
      <w:bookmarkStart w:id="7" w:name="_Toc15306268"/>
      <w:bookmarkStart w:id="8" w:name="_Toc15377194"/>
      <w:bookmarkStart w:id="9" w:name="_Toc15377426"/>
      <w:bookmarkStart w:id="10" w:name="_Toc15396598"/>
      <w:r>
        <w:rPr>
          <w:rFonts w:hint="eastAsia" w:ascii="方正小标宋简体" w:hAnsi="宋体" w:eastAsia="方正小标宋简体"/>
          <w:color w:val="000000"/>
          <w:sz w:val="48"/>
          <w:szCs w:val="48"/>
        </w:rPr>
        <w:t>中国人民政治协商会议</w:t>
      </w:r>
    </w:p>
    <w:p w14:paraId="79B27F12">
      <w:pPr>
        <w:adjustRightInd w:val="0"/>
        <w:snapToGrid w:val="0"/>
        <w:spacing w:line="360" w:lineRule="auto"/>
        <w:jc w:val="center"/>
        <w:outlineLvl w:val="0"/>
        <w:rPr>
          <w:rFonts w:hint="eastAsia" w:ascii="方正小标宋简体" w:hAnsi="宋体" w:eastAsia="方正小标宋简体"/>
          <w:color w:val="000000"/>
          <w:sz w:val="48"/>
          <w:szCs w:val="48"/>
        </w:rPr>
      </w:pPr>
      <w:r>
        <w:rPr>
          <w:rFonts w:hint="eastAsia" w:ascii="方正小标宋简体" w:hAnsi="宋体" w:eastAsia="方正小标宋简体"/>
          <w:color w:val="000000"/>
          <w:sz w:val="48"/>
          <w:szCs w:val="48"/>
        </w:rPr>
        <w:t>四川省德阳市罗江区委员会办公室</w:t>
      </w:r>
    </w:p>
    <w:p w14:paraId="1802AF65">
      <w:pPr>
        <w:adjustRightInd w:val="0"/>
        <w:snapToGrid w:val="0"/>
        <w:spacing w:line="360" w:lineRule="auto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r>
        <w:rPr>
          <w:rFonts w:hint="eastAsia" w:ascii="方正小标宋简体" w:hAnsi="宋体" w:eastAsia="方正小标宋简体"/>
          <w:color w:val="000000"/>
          <w:sz w:val="72"/>
          <w:szCs w:val="72"/>
        </w:rPr>
        <w:t>部门</w:t>
      </w:r>
      <w:r>
        <w:rPr>
          <w:rFonts w:hint="eastAsia" w:ascii="方正小标宋简体" w:hAnsi="宋体" w:eastAsia="方正小标宋简体"/>
          <w:color w:val="000000"/>
          <w:sz w:val="72"/>
          <w:szCs w:val="72"/>
          <w:lang w:val="en-US" w:eastAsia="zh-CN"/>
        </w:rPr>
        <w:t>预</w:t>
      </w:r>
      <w:r>
        <w:rPr>
          <w:rFonts w:hint="eastAsia" w:ascii="方正小标宋简体" w:hAnsi="宋体" w:eastAsia="方正小标宋简体"/>
          <w:color w:val="000000"/>
          <w:sz w:val="72"/>
          <w:szCs w:val="72"/>
        </w:rPr>
        <w:t>算</w:t>
      </w:r>
      <w:bookmarkEnd w:id="5"/>
      <w:bookmarkEnd w:id="6"/>
      <w:bookmarkEnd w:id="7"/>
      <w:bookmarkEnd w:id="8"/>
      <w:bookmarkEnd w:id="9"/>
      <w:bookmarkEnd w:id="10"/>
      <w:r>
        <w:rPr>
          <w:rFonts w:hint="eastAsia" w:ascii="方正小标宋简体" w:hAnsi="宋体" w:eastAsia="方正小标宋简体"/>
          <w:color w:val="000000"/>
          <w:sz w:val="72"/>
          <w:szCs w:val="72"/>
        </w:rPr>
        <w:t>公开</w:t>
      </w:r>
    </w:p>
    <w:p w14:paraId="4FF845E3">
      <w:pPr>
        <w:ind w:firstLine="412" w:firstLineChars="100"/>
        <w:jc w:val="center"/>
        <w:rPr>
          <w:rStyle w:val="9"/>
          <w:rFonts w:hint="eastAsia" w:ascii="ˎ̥" w:hAnsi="ˎ̥"/>
          <w:b/>
          <w:bCs/>
          <w:color w:val="000000"/>
          <w:sz w:val="41"/>
          <w:szCs w:val="41"/>
          <w:lang w:val="en-US" w:eastAsia="zh-CN"/>
        </w:rPr>
      </w:pPr>
    </w:p>
    <w:p w14:paraId="3B21AD1D">
      <w:pPr>
        <w:ind w:firstLine="412" w:firstLineChars="100"/>
        <w:jc w:val="center"/>
        <w:rPr>
          <w:rStyle w:val="9"/>
          <w:rFonts w:hint="eastAsia" w:ascii="ˎ̥" w:hAnsi="ˎ̥"/>
          <w:b/>
          <w:bCs/>
          <w:color w:val="000000"/>
          <w:sz w:val="41"/>
          <w:szCs w:val="41"/>
          <w:lang w:val="en-US" w:eastAsia="zh-CN"/>
        </w:rPr>
      </w:pPr>
    </w:p>
    <w:p w14:paraId="4A020A33">
      <w:pPr>
        <w:ind w:firstLine="412" w:firstLineChars="100"/>
        <w:jc w:val="center"/>
        <w:rPr>
          <w:rStyle w:val="9"/>
          <w:rFonts w:hint="eastAsia" w:ascii="ˎ̥" w:hAnsi="ˎ̥"/>
          <w:b/>
          <w:bCs/>
          <w:color w:val="000000"/>
          <w:sz w:val="41"/>
          <w:szCs w:val="41"/>
          <w:lang w:val="en-US" w:eastAsia="zh-CN"/>
        </w:rPr>
      </w:pPr>
    </w:p>
    <w:p w14:paraId="2EE8F14C">
      <w:pPr>
        <w:jc w:val="both"/>
        <w:rPr>
          <w:rStyle w:val="9"/>
          <w:rFonts w:hint="eastAsia" w:ascii="ˎ̥" w:hAnsi="ˎ̥"/>
          <w:b/>
          <w:bCs/>
          <w:color w:val="000000"/>
          <w:sz w:val="41"/>
          <w:szCs w:val="41"/>
          <w:lang w:val="en-US" w:eastAsia="zh-CN"/>
        </w:rPr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71545"/>
        <w15:color w:val="DBDBDB"/>
      </w:sdtPr>
      <w:sdtEndPr>
        <w:rPr>
          <w:rFonts w:hint="eastAsia" w:ascii="ˎ̥" w:hAnsi="ˎ̥" w:eastAsia="宋体" w:cs="Times New Roman"/>
          <w:b/>
          <w:bCs/>
          <w:color w:val="000000"/>
          <w:kern w:val="2"/>
          <w:sz w:val="48"/>
          <w:szCs w:val="41"/>
          <w:lang w:val="en-US" w:eastAsia="zh-CN" w:bidi="ar-SA"/>
        </w:rPr>
      </w:sdtEndPr>
      <w:sdtContent>
        <w:p w14:paraId="1178DC00">
          <w:pPr>
            <w:spacing w:before="0" w:beforeLines="0" w:after="0" w:afterLines="0" w:line="240" w:lineRule="auto"/>
            <w:ind w:left="0" w:leftChars="0" w:right="0" w:rightChars="0" w:firstLine="0" w:firstLineChars="0"/>
            <w:jc w:val="both"/>
            <w:rPr>
              <w:rFonts w:ascii="宋体" w:hAnsi="宋体" w:eastAsia="宋体" w:cs="Times New Roman"/>
              <w:kern w:val="2"/>
              <w:sz w:val="21"/>
              <w:szCs w:val="24"/>
              <w:lang w:val="en-US" w:eastAsia="zh-CN" w:bidi="ar-SA"/>
            </w:rPr>
          </w:pPr>
        </w:p>
        <w:p w14:paraId="0438B84E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 w14:paraId="6CDB3FEA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 w14:paraId="1F85D78E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 w14:paraId="3CE3897F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 w14:paraId="6D48E2FF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 w14:paraId="653B0B96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 w14:paraId="7C711B06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 w14:paraId="04C514D7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 w14:paraId="7B478F9B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11" w:name="_Toc3604"/>
          <w:bookmarkStart w:id="12" w:name="_Toc28770"/>
          <w:r>
            <w:rPr>
              <w:rFonts w:ascii="宋体" w:hAnsi="宋体" w:eastAsia="宋体"/>
              <w:sz w:val="21"/>
            </w:rPr>
            <w:t>目录</w:t>
          </w:r>
        </w:p>
        <w:p w14:paraId="2ABE9AB2">
          <w:pPr>
            <w:pStyle w:val="15"/>
            <w:tabs>
              <w:tab w:val="right" w:leader="dot" w:pos="8845"/>
            </w:tabs>
            <w:rPr>
              <w:rFonts w:hint="eastAsia" w:ascii="ˎ̥" w:hAnsi="ˎ̥"/>
              <w:b/>
              <w:bCs/>
              <w:color w:val="000000"/>
              <w:szCs w:val="41"/>
            </w:rPr>
          </w:pPr>
          <w:r>
            <w:rPr>
              <w:rStyle w:val="9"/>
              <w:rFonts w:hint="eastAsia" w:ascii="ˎ̥" w:hAnsi="ˎ̥"/>
              <w:b/>
              <w:bCs/>
              <w:color w:val="000000"/>
              <w:sz w:val="41"/>
              <w:szCs w:val="41"/>
            </w:rPr>
            <w:fldChar w:fldCharType="begin"/>
          </w:r>
          <w:r>
            <w:rPr>
              <w:rStyle w:val="9"/>
              <w:rFonts w:hint="eastAsia" w:ascii="ˎ̥" w:hAnsi="ˎ̥"/>
              <w:b/>
              <w:bCs/>
              <w:color w:val="000000"/>
              <w:sz w:val="41"/>
              <w:szCs w:val="41"/>
            </w:rPr>
            <w:instrText xml:space="preserve">TOC \o "1-2" \h \u </w:instrText>
          </w:r>
          <w:r>
            <w:rPr>
              <w:rStyle w:val="9"/>
              <w:rFonts w:hint="eastAsia" w:ascii="ˎ̥" w:hAnsi="ˎ̥"/>
              <w:b/>
              <w:bCs/>
              <w:color w:val="000000"/>
              <w:sz w:val="41"/>
              <w:szCs w:val="41"/>
            </w:rPr>
            <w:fldChar w:fldCharType="separate"/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_Toc28770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一、基本职能及主要工作</w:t>
          </w:r>
          <w:r>
            <w:rPr>
              <w:b/>
            </w:rPr>
            <w:tab/>
          </w:r>
          <w:r>
            <w:rPr>
              <w:rFonts w:hint="eastAsia"/>
              <w:b/>
              <w:lang w:val="en-US" w:eastAsia="zh-CN"/>
            </w:rPr>
            <w:t>1</w:t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</w:p>
        <w:p w14:paraId="2A889DCE">
          <w:pPr>
            <w:pStyle w:val="16"/>
            <w:tabs>
              <w:tab w:val="right" w:leader="dot" w:pos="8845"/>
            </w:tabs>
            <w:ind w:left="0" w:leftChars="0" w:firstLine="400" w:firstLineChars="200"/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_Toc21884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szCs w:val="32"/>
            </w:rPr>
            <w:t>（一）机构设置及主要职责</w:t>
          </w:r>
          <w:r>
            <w:tab/>
          </w:r>
          <w:r>
            <w:fldChar w:fldCharType="begin"/>
          </w:r>
          <w:r>
            <w:instrText xml:space="preserve"> PAGEREF _Toc21884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</w:p>
        <w:p w14:paraId="3407D8C4">
          <w:pPr>
            <w:pStyle w:val="15"/>
            <w:tabs>
              <w:tab w:val="right" w:leader="dot" w:pos="8845"/>
            </w:tabs>
            <w:ind w:firstLine="400" w:firstLineChars="200"/>
            <w:rPr>
              <w:rFonts w:hint="eastAsia" w:ascii="ˎ̥" w:hAnsi="ˎ̥" w:eastAsia="宋体"/>
              <w:bCs/>
              <w:color w:val="000000"/>
              <w:szCs w:val="41"/>
              <w:lang w:val="en-US" w:eastAsia="zh-CN"/>
            </w:rPr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_Toc818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szCs w:val="32"/>
            </w:rPr>
            <w:t>（二）20</w:t>
          </w:r>
          <w:r>
            <w:rPr>
              <w:rFonts w:hint="eastAsia" w:ascii="楷体_GB2312" w:hAnsi="楷体_GB2312" w:eastAsia="楷体_GB2312" w:cs="楷体_GB2312"/>
              <w:bCs/>
              <w:szCs w:val="32"/>
              <w:lang w:val="en-US" w:eastAsia="zh-CN"/>
            </w:rPr>
            <w:t>25</w:t>
          </w:r>
          <w:r>
            <w:rPr>
              <w:rFonts w:hint="eastAsia" w:ascii="楷体_GB2312" w:hAnsi="楷体_GB2312" w:eastAsia="楷体_GB2312" w:cs="楷体_GB2312"/>
              <w:bCs/>
              <w:szCs w:val="32"/>
            </w:rPr>
            <w:t>年重点工作</w:t>
          </w:r>
          <w:r>
            <w:tab/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Cs/>
              <w:color w:val="000000"/>
              <w:szCs w:val="41"/>
              <w:lang w:val="en-US" w:eastAsia="zh-CN"/>
            </w:rPr>
            <w:t>2</w:t>
          </w:r>
        </w:p>
        <w:p w14:paraId="2C3994F1">
          <w:pPr>
            <w:pStyle w:val="15"/>
            <w:tabs>
              <w:tab w:val="right" w:leader="dot" w:pos="8845"/>
            </w:tabs>
            <w:rPr>
              <w:rFonts w:hint="eastAsia" w:eastAsia="宋体"/>
              <w:b/>
              <w:lang w:val="en-US" w:eastAsia="zh-CN"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_Toc27442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二、部门预算单位构成</w:t>
          </w:r>
          <w:r>
            <w:rPr>
              <w:b/>
            </w:rPr>
            <w:tab/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/>
              <w:bCs/>
              <w:color w:val="000000"/>
              <w:szCs w:val="41"/>
              <w:lang w:val="en-US" w:eastAsia="zh-CN"/>
            </w:rPr>
            <w:t>5</w:t>
          </w:r>
        </w:p>
        <w:p w14:paraId="70C6E76B">
          <w:pPr>
            <w:pStyle w:val="15"/>
            <w:tabs>
              <w:tab w:val="right" w:leader="dot" w:pos="8845"/>
            </w:tabs>
            <w:rPr>
              <w:rFonts w:hint="eastAsia" w:eastAsia="宋体"/>
              <w:b/>
              <w:lang w:val="en-US" w:eastAsia="zh-CN"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_Toc1848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三、收支预算增减变化情况说明</w:t>
          </w:r>
          <w:r>
            <w:rPr>
              <w:b/>
            </w:rPr>
            <w:tab/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/>
              <w:bCs/>
              <w:color w:val="000000"/>
              <w:szCs w:val="41"/>
              <w:lang w:val="en-US" w:eastAsia="zh-CN"/>
            </w:rPr>
            <w:t>5</w:t>
          </w:r>
        </w:p>
        <w:p w14:paraId="7A774FE2">
          <w:pPr>
            <w:pStyle w:val="16"/>
            <w:tabs>
              <w:tab w:val="right" w:leader="dot" w:pos="8845"/>
            </w:tabs>
            <w:ind w:left="0" w:leftChars="0" w:firstLine="400" w:firstLineChars="200"/>
            <w:rPr>
              <w:rFonts w:hint="eastAsia" w:eastAsia="宋体"/>
              <w:lang w:val="en-US" w:eastAsia="zh-CN"/>
            </w:rPr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_Toc193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szCs w:val="32"/>
            </w:rPr>
            <w:t>（一）收入预算情况</w:t>
          </w:r>
          <w:r>
            <w:tab/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Cs/>
              <w:color w:val="000000"/>
              <w:szCs w:val="41"/>
              <w:lang w:val="en-US" w:eastAsia="zh-CN"/>
            </w:rPr>
            <w:t>5</w:t>
          </w:r>
        </w:p>
        <w:p w14:paraId="058AC009">
          <w:pPr>
            <w:pStyle w:val="16"/>
            <w:tabs>
              <w:tab w:val="right" w:leader="dot" w:pos="8845"/>
            </w:tabs>
            <w:ind w:left="0" w:leftChars="0" w:firstLine="400" w:firstLineChars="200"/>
            <w:rPr>
              <w:rFonts w:hint="eastAsia" w:eastAsia="宋体"/>
              <w:lang w:val="en-US" w:eastAsia="zh-CN"/>
            </w:rPr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_Toc3651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szCs w:val="32"/>
            </w:rPr>
            <w:t>（二）支出预算情况</w:t>
          </w:r>
          <w:r>
            <w:tab/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Cs/>
              <w:color w:val="000000"/>
              <w:szCs w:val="41"/>
              <w:lang w:val="en-US" w:eastAsia="zh-CN"/>
            </w:rPr>
            <w:t>5</w:t>
          </w:r>
        </w:p>
        <w:p w14:paraId="1EF75D0B">
          <w:pPr>
            <w:pStyle w:val="15"/>
            <w:tabs>
              <w:tab w:val="right" w:leader="dot" w:pos="8845"/>
            </w:tabs>
            <w:rPr>
              <w:rFonts w:hint="eastAsia" w:eastAsia="宋体"/>
              <w:b/>
              <w:lang w:val="en-US" w:eastAsia="zh-CN"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_Toc3738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四、财政拨款收支预算情况说明</w:t>
          </w:r>
          <w:r>
            <w:rPr>
              <w:b/>
            </w:rPr>
            <w:tab/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/>
              <w:bCs/>
              <w:color w:val="000000"/>
              <w:szCs w:val="41"/>
              <w:lang w:val="en-US" w:eastAsia="zh-CN"/>
            </w:rPr>
            <w:t>5</w:t>
          </w:r>
        </w:p>
        <w:p w14:paraId="4703B18F">
          <w:pPr>
            <w:pStyle w:val="15"/>
            <w:tabs>
              <w:tab w:val="right" w:leader="dot" w:pos="8845"/>
            </w:tabs>
            <w:rPr>
              <w:rFonts w:hint="eastAsia" w:eastAsia="宋体"/>
              <w:b/>
              <w:lang w:val="en-US" w:eastAsia="zh-CN"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_Toc3440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五、一般公共预算当年拨款情况说明</w:t>
          </w:r>
          <w:r>
            <w:rPr>
              <w:b/>
            </w:rPr>
            <w:tab/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/>
              <w:bCs/>
              <w:color w:val="000000"/>
              <w:szCs w:val="41"/>
              <w:lang w:val="en-US" w:eastAsia="zh-CN"/>
            </w:rPr>
            <w:t>6</w:t>
          </w:r>
        </w:p>
        <w:p w14:paraId="4BFCAFDC">
          <w:pPr>
            <w:pStyle w:val="16"/>
            <w:tabs>
              <w:tab w:val="right" w:leader="dot" w:pos="8845"/>
            </w:tabs>
            <w:ind w:left="0" w:leftChars="0" w:firstLine="400" w:firstLineChars="200"/>
            <w:rPr>
              <w:rFonts w:hint="eastAsia" w:eastAsia="宋体"/>
              <w:lang w:val="en-US" w:eastAsia="zh-CN"/>
            </w:rPr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_Toc25098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szCs w:val="32"/>
            </w:rPr>
            <w:t>（一）一般公共预算当年拨款规模变化情况</w:t>
          </w:r>
          <w:r>
            <w:tab/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Cs/>
              <w:color w:val="000000"/>
              <w:szCs w:val="41"/>
              <w:lang w:val="en-US" w:eastAsia="zh-CN"/>
            </w:rPr>
            <w:t>5</w:t>
          </w:r>
        </w:p>
        <w:p w14:paraId="5A98C073">
          <w:pPr>
            <w:pStyle w:val="16"/>
            <w:tabs>
              <w:tab w:val="right" w:leader="dot" w:pos="8845"/>
            </w:tabs>
            <w:ind w:left="0" w:leftChars="0" w:firstLine="400" w:firstLineChars="200"/>
            <w:rPr>
              <w:rFonts w:hint="eastAsia" w:eastAsia="宋体"/>
              <w:lang w:val="en-US" w:eastAsia="zh-CN"/>
            </w:rPr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_Toc16092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仿宋_GB2312" w:hAnsi="仿宋_GB2312" w:eastAsia="仿宋_GB2312"/>
              <w:bCs/>
              <w:szCs w:val="32"/>
            </w:rPr>
            <w:t>（二）一般公共预算当年拨款结构情况(按照功能科目类写)</w:t>
          </w:r>
          <w:r>
            <w:tab/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Cs/>
              <w:color w:val="000000"/>
              <w:szCs w:val="41"/>
              <w:lang w:val="en-US" w:eastAsia="zh-CN"/>
            </w:rPr>
            <w:t>5</w:t>
          </w:r>
        </w:p>
        <w:p w14:paraId="45DA2635">
          <w:pPr>
            <w:pStyle w:val="16"/>
            <w:tabs>
              <w:tab w:val="right" w:leader="dot" w:pos="8845"/>
            </w:tabs>
            <w:ind w:left="0" w:leftChars="0" w:firstLine="400" w:firstLineChars="200"/>
            <w:rPr>
              <w:rFonts w:hint="eastAsia" w:eastAsia="宋体"/>
              <w:lang w:val="en-US" w:eastAsia="zh-CN"/>
            </w:rPr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_Toc28341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szCs w:val="32"/>
            </w:rPr>
            <w:t>（三）一般公共预算当年拨款具体使用情况（按功能科目类款项写）</w:t>
          </w:r>
          <w:r>
            <w:tab/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Cs/>
              <w:color w:val="000000"/>
              <w:szCs w:val="41"/>
              <w:lang w:val="en-US" w:eastAsia="zh-CN"/>
            </w:rPr>
            <w:t>6</w:t>
          </w:r>
        </w:p>
        <w:p w14:paraId="7D289C1C">
          <w:pPr>
            <w:pStyle w:val="15"/>
            <w:tabs>
              <w:tab w:val="right" w:leader="dot" w:pos="8845"/>
            </w:tabs>
            <w:rPr>
              <w:rFonts w:hint="eastAsia" w:eastAsia="宋体"/>
              <w:b/>
              <w:lang w:val="en-US" w:eastAsia="zh-CN"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_Toc18858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六、一般公共预算基本支出情况说明</w:t>
          </w:r>
          <w:r>
            <w:rPr>
              <w:b/>
            </w:rPr>
            <w:tab/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/>
              <w:bCs/>
              <w:color w:val="000000"/>
              <w:szCs w:val="41"/>
              <w:lang w:val="en-US" w:eastAsia="zh-CN"/>
            </w:rPr>
            <w:t>7</w:t>
          </w:r>
        </w:p>
        <w:p w14:paraId="693A0BAB">
          <w:pPr>
            <w:pStyle w:val="15"/>
            <w:tabs>
              <w:tab w:val="right" w:leader="dot" w:pos="8845"/>
            </w:tabs>
            <w:rPr>
              <w:rFonts w:hint="eastAsia" w:eastAsia="宋体"/>
              <w:b/>
              <w:lang w:val="en-US" w:eastAsia="zh-CN"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_Toc256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七、“三公”经费财政拨款预算安排情况说明</w:t>
          </w:r>
          <w:r>
            <w:rPr>
              <w:b/>
            </w:rPr>
            <w:tab/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/>
              <w:bCs/>
              <w:color w:val="000000"/>
              <w:szCs w:val="41"/>
              <w:lang w:val="en-US" w:eastAsia="zh-CN"/>
            </w:rPr>
            <w:t>8</w:t>
          </w:r>
        </w:p>
        <w:p w14:paraId="59B2C0D5">
          <w:pPr>
            <w:pStyle w:val="15"/>
            <w:tabs>
              <w:tab w:val="right" w:leader="dot" w:pos="8845"/>
            </w:tabs>
            <w:rPr>
              <w:rFonts w:hint="eastAsia" w:eastAsia="宋体"/>
              <w:b/>
              <w:lang w:val="en-US" w:eastAsia="zh-CN"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_Toc11086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bCs w:val="0"/>
              <w:szCs w:val="32"/>
            </w:rPr>
            <w:t>八、政府性基金预算收支情况说明</w:t>
          </w:r>
          <w:r>
            <w:rPr>
              <w:b/>
            </w:rPr>
            <w:tab/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/>
              <w:bCs/>
              <w:color w:val="000000"/>
              <w:szCs w:val="41"/>
              <w:lang w:val="en-US" w:eastAsia="zh-CN"/>
            </w:rPr>
            <w:t>8</w:t>
          </w:r>
        </w:p>
        <w:p w14:paraId="3EC3DE35">
          <w:pPr>
            <w:pStyle w:val="15"/>
            <w:tabs>
              <w:tab w:val="right" w:leader="dot" w:pos="8845"/>
            </w:tabs>
            <w:rPr>
              <w:rFonts w:hint="eastAsia" w:eastAsia="宋体"/>
              <w:b/>
              <w:lang w:val="en-US" w:eastAsia="zh-CN"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_Toc165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九、国有资本经营预算支出情况说明</w:t>
          </w:r>
          <w:r>
            <w:rPr>
              <w:b/>
            </w:rPr>
            <w:tab/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/>
              <w:bCs/>
              <w:color w:val="000000"/>
              <w:szCs w:val="41"/>
              <w:lang w:val="en-US" w:eastAsia="zh-CN"/>
            </w:rPr>
            <w:t>9</w:t>
          </w:r>
        </w:p>
        <w:p w14:paraId="2AC9B90C">
          <w:pPr>
            <w:pStyle w:val="15"/>
            <w:tabs>
              <w:tab w:val="right" w:leader="dot" w:pos="8845"/>
            </w:tabs>
            <w:rPr>
              <w:rFonts w:hint="eastAsia" w:eastAsia="宋体"/>
              <w:b/>
              <w:lang w:val="en-US" w:eastAsia="zh-CN"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_Toc29771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十、其他重要事项的情况说明</w:t>
          </w:r>
          <w:r>
            <w:rPr>
              <w:b/>
            </w:rPr>
            <w:tab/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/>
              <w:bCs/>
              <w:color w:val="000000"/>
              <w:szCs w:val="41"/>
              <w:lang w:val="en-US" w:eastAsia="zh-CN"/>
            </w:rPr>
            <w:t>9</w:t>
          </w:r>
        </w:p>
        <w:p w14:paraId="5AF0419B">
          <w:pPr>
            <w:pStyle w:val="16"/>
            <w:tabs>
              <w:tab w:val="right" w:leader="dot" w:pos="8845"/>
            </w:tabs>
            <w:ind w:left="0" w:leftChars="0" w:firstLine="400" w:firstLineChars="200"/>
            <w:rPr>
              <w:rFonts w:hint="eastAsia" w:eastAsia="宋体"/>
              <w:lang w:val="en-US" w:eastAsia="zh-CN"/>
            </w:rPr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_Toc11525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仿宋_GB2312" w:hAnsi="仿宋_GB2312" w:eastAsia="仿宋_GB2312"/>
              <w:szCs w:val="32"/>
            </w:rPr>
            <w:t>（一）机关运行经费</w:t>
          </w:r>
          <w:r>
            <w:tab/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Cs/>
              <w:color w:val="000000"/>
              <w:szCs w:val="41"/>
              <w:lang w:val="en-US" w:eastAsia="zh-CN"/>
            </w:rPr>
            <w:t>9</w:t>
          </w:r>
        </w:p>
        <w:p w14:paraId="79C62F73">
          <w:pPr>
            <w:pStyle w:val="16"/>
            <w:tabs>
              <w:tab w:val="right" w:leader="dot" w:pos="8845"/>
            </w:tabs>
            <w:ind w:left="0" w:leftChars="0" w:firstLine="400" w:firstLineChars="200"/>
            <w:rPr>
              <w:rFonts w:hint="eastAsia" w:eastAsia="宋体"/>
              <w:lang w:val="en-US" w:eastAsia="zh-CN"/>
            </w:rPr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_Toc15299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仿宋_GB2312" w:hAnsi="仿宋_GB2312" w:eastAsia="仿宋_GB2312"/>
              <w:szCs w:val="32"/>
            </w:rPr>
            <w:t>（二）政府采购情况</w:t>
          </w:r>
          <w:r>
            <w:tab/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Cs/>
              <w:color w:val="000000"/>
              <w:szCs w:val="41"/>
              <w:lang w:val="en-US" w:eastAsia="zh-CN"/>
            </w:rPr>
            <w:t>9</w:t>
          </w:r>
        </w:p>
        <w:p w14:paraId="2211E226">
          <w:pPr>
            <w:pStyle w:val="16"/>
            <w:tabs>
              <w:tab w:val="right" w:leader="dot" w:pos="8845"/>
            </w:tabs>
            <w:ind w:left="0" w:leftChars="0" w:firstLine="400" w:firstLineChars="200"/>
            <w:rPr>
              <w:rFonts w:hint="eastAsia" w:eastAsia="宋体"/>
              <w:lang w:val="en-US" w:eastAsia="zh-CN"/>
            </w:rPr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_Toc18679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仿宋_GB2312" w:hAnsi="仿宋_GB2312" w:eastAsia="仿宋_GB2312"/>
              <w:szCs w:val="32"/>
            </w:rPr>
            <w:t>（三）国有资产占有使用情况</w:t>
          </w:r>
          <w:r>
            <w:tab/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Cs/>
              <w:color w:val="000000"/>
              <w:szCs w:val="41"/>
              <w:lang w:val="en-US" w:eastAsia="zh-CN"/>
            </w:rPr>
            <w:t>9</w:t>
          </w:r>
        </w:p>
        <w:p w14:paraId="743FB927">
          <w:pPr>
            <w:pStyle w:val="16"/>
            <w:tabs>
              <w:tab w:val="right" w:leader="dot" w:pos="8845"/>
            </w:tabs>
            <w:ind w:left="0" w:leftChars="0" w:firstLine="400" w:firstLineChars="200"/>
            <w:rPr>
              <w:rFonts w:hint="eastAsia" w:eastAsia="宋体"/>
              <w:lang w:val="en-US" w:eastAsia="zh-CN"/>
            </w:rPr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_Toc2176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仿宋_GB2312" w:hAnsi="仿宋_GB2312" w:eastAsia="仿宋_GB2312"/>
              <w:szCs w:val="32"/>
            </w:rPr>
            <w:t>（四）绩效目标设置情况</w:t>
          </w:r>
          <w:r>
            <w:tab/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Cs/>
              <w:color w:val="000000"/>
              <w:szCs w:val="41"/>
              <w:lang w:val="en-US" w:eastAsia="zh-CN"/>
            </w:rPr>
            <w:t>9</w:t>
          </w:r>
        </w:p>
        <w:p w14:paraId="0EB50756">
          <w:pPr>
            <w:pStyle w:val="15"/>
            <w:tabs>
              <w:tab w:val="right" w:leader="dot" w:pos="8845"/>
            </w:tabs>
            <w:rPr>
              <w:rFonts w:hint="eastAsia" w:eastAsia="宋体"/>
              <w:b/>
              <w:bCs w:val="0"/>
              <w:lang w:val="en-US" w:eastAsia="zh-CN"/>
            </w:rPr>
          </w:pPr>
          <w:r>
            <w:rPr>
              <w:rFonts w:hint="eastAsia" w:ascii="ˎ̥" w:hAnsi="ˎ̥"/>
              <w:b/>
              <w:bCs w:val="0"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 w:val="0"/>
              <w:szCs w:val="41"/>
            </w:rPr>
            <w:instrText xml:space="preserve"> HYPERLINK \l _Toc6693 </w:instrText>
          </w:r>
          <w:r>
            <w:rPr>
              <w:rFonts w:hint="eastAsia" w:ascii="ˎ̥" w:hAnsi="ˎ̥"/>
              <w:b/>
              <w:bCs w:val="0"/>
              <w:szCs w:val="41"/>
            </w:rPr>
            <w:fldChar w:fldCharType="separate"/>
          </w:r>
          <w:r>
            <w:rPr>
              <w:rFonts w:hint="eastAsia" w:ascii="仿宋_GB2312" w:hAnsi="仿宋_GB2312" w:eastAsia="仿宋_GB2312"/>
              <w:b/>
              <w:bCs w:val="0"/>
              <w:szCs w:val="32"/>
              <w:lang w:val="en-US" w:eastAsia="zh-CN"/>
            </w:rPr>
            <w:t>十一</w:t>
          </w:r>
          <w:r>
            <w:rPr>
              <w:rFonts w:hint="eastAsia" w:ascii="仿宋_GB2312" w:hAnsi="仿宋_GB2312" w:eastAsia="仿宋_GB2312"/>
              <w:b/>
              <w:bCs w:val="0"/>
              <w:szCs w:val="32"/>
            </w:rPr>
            <w:t>、名词解释</w:t>
          </w:r>
          <w:r>
            <w:rPr>
              <w:b/>
              <w:bCs w:val="0"/>
            </w:rPr>
            <w:tab/>
          </w:r>
          <w:r>
            <w:rPr>
              <w:rFonts w:hint="eastAsia" w:ascii="ˎ̥" w:hAnsi="ˎ̥"/>
              <w:b/>
              <w:bCs w:val="0"/>
              <w:color w:val="000000"/>
              <w:szCs w:val="41"/>
            </w:rPr>
            <w:fldChar w:fldCharType="end"/>
          </w:r>
          <w:bookmarkStart w:id="13" w:name="_GoBack"/>
          <w:bookmarkEnd w:id="13"/>
          <w:r>
            <w:rPr>
              <w:rFonts w:hint="eastAsia" w:ascii="ˎ̥" w:hAnsi="ˎ̥"/>
              <w:b/>
              <w:bCs w:val="0"/>
              <w:color w:val="000000"/>
              <w:szCs w:val="41"/>
              <w:lang w:val="en-US" w:eastAsia="zh-CN"/>
            </w:rPr>
            <w:t>9</w:t>
          </w:r>
        </w:p>
        <w:p w14:paraId="520E2DA9">
          <w:pPr>
            <w:ind w:firstLine="482" w:firstLineChars="100"/>
            <w:jc w:val="center"/>
            <w:rPr>
              <w:rStyle w:val="9"/>
              <w:rFonts w:hint="eastAsia" w:ascii="ˎ̥" w:hAnsi="ˎ̥"/>
              <w:b/>
              <w:bCs/>
              <w:color w:val="000000"/>
              <w:sz w:val="41"/>
              <w:szCs w:val="41"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</w:p>
        <w:p w14:paraId="5704FA31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  <w:outlineLvl w:val="0"/>
            <w:rPr>
              <w:rFonts w:hint="eastAsia" w:ascii="黑体" w:hAnsi="黑体" w:eastAsia="黑体" w:cs="黑体"/>
              <w:sz w:val="32"/>
              <w:szCs w:val="32"/>
            </w:rPr>
          </w:pPr>
        </w:p>
        <w:p w14:paraId="1BA16F03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  <w:outlineLvl w:val="0"/>
            <w:rPr>
              <w:rFonts w:hint="eastAsia" w:ascii="黑体" w:hAnsi="黑体" w:eastAsia="黑体" w:cs="黑体"/>
              <w:sz w:val="32"/>
              <w:szCs w:val="32"/>
            </w:rPr>
          </w:pPr>
        </w:p>
        <w:p w14:paraId="5604B13D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outlineLvl w:val="0"/>
            <w:rPr>
              <w:rFonts w:hint="eastAsia" w:ascii="黑体" w:hAnsi="黑体" w:eastAsia="黑体" w:cs="黑体"/>
              <w:sz w:val="32"/>
              <w:szCs w:val="32"/>
            </w:rPr>
          </w:pPr>
        </w:p>
        <w:p w14:paraId="75FF03F6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  <w:outlineLvl w:val="0"/>
            <w:rPr>
              <w:rFonts w:hint="eastAsia" w:ascii="黑体" w:hAnsi="黑体" w:eastAsia="黑体" w:cs="黑体"/>
              <w:sz w:val="32"/>
              <w:szCs w:val="32"/>
            </w:rPr>
          </w:pPr>
        </w:p>
        <w:p w14:paraId="03399591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1594" w:leftChars="132" w:hanging="960" w:hangingChars="300"/>
            <w:textAlignment w:val="auto"/>
            <w:rPr>
              <w:rFonts w:hint="eastAsia" w:ascii="仿宋_GB2312" w:hAnsi="仿宋_GB2312" w:eastAsia="仿宋_GB2312"/>
              <w:sz w:val="32"/>
              <w:szCs w:val="32"/>
            </w:rPr>
          </w:pPr>
          <w:r>
            <w:rPr>
              <w:rFonts w:hint="eastAsia" w:ascii="仿宋_GB2312" w:hAnsi="仿宋_GB2312" w:eastAsia="仿宋_GB2312"/>
              <w:sz w:val="32"/>
              <w:szCs w:val="32"/>
            </w:rPr>
            <w:t>附件：</w:t>
          </w:r>
          <w:r>
            <w:rPr>
              <w:rFonts w:hint="eastAsia" w:ascii="仿宋_GB2312" w:hAnsi="仿宋_GB2312" w:eastAsia="仿宋_GB2312"/>
              <w:sz w:val="32"/>
              <w:szCs w:val="32"/>
              <w:lang w:val="en-US" w:eastAsia="zh-CN"/>
            </w:rPr>
            <w:t>1.</w:t>
          </w:r>
          <w:r>
            <w:rPr>
              <w:rFonts w:hint="eastAsia" w:ascii="仿宋_GB2312" w:hAnsi="仿宋_GB2312" w:eastAsia="仿宋_GB2312"/>
              <w:sz w:val="32"/>
              <w:szCs w:val="32"/>
            </w:rPr>
            <w:t>20</w:t>
          </w:r>
          <w:r>
            <w:rPr>
              <w:rFonts w:hint="eastAsia" w:ascii="仿宋_GB2312" w:hAnsi="仿宋_GB2312" w:eastAsia="仿宋_GB2312"/>
              <w:sz w:val="32"/>
              <w:szCs w:val="32"/>
              <w:lang w:val="en-US" w:eastAsia="zh-CN"/>
            </w:rPr>
            <w:t>25</w:t>
          </w:r>
          <w:r>
            <w:rPr>
              <w:rFonts w:hint="eastAsia" w:ascii="仿宋_GB2312" w:hAnsi="仿宋_GB2312" w:eastAsia="仿宋_GB2312"/>
              <w:sz w:val="32"/>
              <w:szCs w:val="32"/>
            </w:rPr>
            <w:t>年部门预算</w:t>
          </w:r>
          <w:r>
            <w:rPr>
              <w:rFonts w:hint="eastAsia" w:ascii="仿宋_GB2312" w:hAnsi="仿宋_GB2312" w:eastAsia="仿宋_GB2312"/>
              <w:sz w:val="32"/>
              <w:szCs w:val="32"/>
              <w:lang w:val="en-US" w:eastAsia="zh-CN"/>
            </w:rPr>
            <w:t>批复</w:t>
          </w:r>
          <w:r>
            <w:rPr>
              <w:rFonts w:hint="eastAsia" w:ascii="仿宋_GB2312" w:hAnsi="仿宋_GB2312" w:eastAsia="仿宋_GB2312"/>
              <w:sz w:val="32"/>
              <w:szCs w:val="32"/>
            </w:rPr>
            <w:t>表</w:t>
          </w:r>
        </w:p>
        <w:p w14:paraId="6050B0F8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1904" w:leftChars="330" w:hanging="320" w:hangingChars="100"/>
            <w:textAlignment w:val="auto"/>
            <w:rPr>
              <w:rFonts w:hint="eastAsia" w:ascii="仿宋_GB2312" w:hAnsi="仿宋_GB2312" w:eastAsia="仿宋_GB2312"/>
              <w:sz w:val="32"/>
              <w:szCs w:val="32"/>
            </w:rPr>
          </w:pPr>
          <w:r>
            <w:rPr>
              <w:rFonts w:hint="eastAsia" w:ascii="仿宋_GB2312" w:hAnsi="仿宋_GB2312" w:eastAsia="仿宋_GB2312"/>
              <w:sz w:val="32"/>
              <w:szCs w:val="32"/>
              <w:lang w:val="en-US" w:eastAsia="zh-CN"/>
            </w:rPr>
            <w:t>2.部门项目支出绩效目标批复表</w:t>
          </w:r>
        </w:p>
        <w:p w14:paraId="4314A778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1600" w:firstLineChars="500"/>
            <w:textAlignment w:val="auto"/>
            <w:rPr>
              <w:rFonts w:hint="eastAsia" w:ascii="仿宋_GB2312" w:hAnsi="仿宋_GB2312" w:eastAsia="仿宋_GB2312"/>
              <w:sz w:val="32"/>
              <w:szCs w:val="32"/>
            </w:rPr>
          </w:pPr>
          <w:r>
            <w:rPr>
              <w:rFonts w:hint="eastAsia" w:ascii="仿宋_GB2312" w:hAnsi="仿宋_GB2312" w:eastAsia="仿宋_GB2312"/>
              <w:sz w:val="32"/>
              <w:szCs w:val="32"/>
              <w:lang w:val="en-US" w:eastAsia="zh-CN"/>
            </w:rPr>
            <w:t>3.部门整体支出绩效目标批复表</w:t>
          </w:r>
          <w:bookmarkEnd w:id="11"/>
          <w:bookmarkEnd w:id="12"/>
        </w:p>
      </w:sdtContent>
    </w:sdt>
    <w:p w14:paraId="116B4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 w14:paraId="211FA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/>
          <w:sz w:val="32"/>
          <w:szCs w:val="32"/>
        </w:rPr>
        <w:t>年部门预算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批复</w:t>
      </w:r>
      <w:r>
        <w:rPr>
          <w:rFonts w:hint="eastAsia" w:ascii="仿宋_GB2312" w:hAnsi="仿宋_GB2312" w:eastAsia="仿宋_GB2312"/>
          <w:sz w:val="32"/>
          <w:szCs w:val="32"/>
        </w:rPr>
        <w:t>表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目录</w:t>
      </w:r>
    </w:p>
    <w:p w14:paraId="633A4E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部门收支总表</w:t>
      </w:r>
    </w:p>
    <w:p w14:paraId="5A2799AD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部门收入总表</w:t>
      </w:r>
    </w:p>
    <w:p w14:paraId="7053564E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部门支出总表</w:t>
      </w:r>
    </w:p>
    <w:p w14:paraId="27D63E8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财政拨款收支预算总表</w:t>
      </w:r>
    </w:p>
    <w:p w14:paraId="101C5AF5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财政拨款支出预算表（政府经济分类科目）</w:t>
      </w:r>
    </w:p>
    <w:p w14:paraId="2525270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一般公共预算支出预算表</w:t>
      </w:r>
    </w:p>
    <w:p w14:paraId="0035A5CC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一般公共预算基本支出预算表</w:t>
      </w:r>
    </w:p>
    <w:p w14:paraId="73370454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一般公共预算项目支出预算表</w:t>
      </w:r>
    </w:p>
    <w:p w14:paraId="3EB39C4C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一般公共预算“三公”经费支出预算表</w:t>
      </w:r>
    </w:p>
    <w:p w14:paraId="005C7DE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政府性基金支出预算表</w:t>
      </w:r>
    </w:p>
    <w:p w14:paraId="5CF0F223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政府性基金预算“三公”经费支出预算表</w:t>
      </w:r>
    </w:p>
    <w:p w14:paraId="6FB862F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国有资本经营预算支出预算表</w:t>
      </w:r>
    </w:p>
    <w:p w14:paraId="4974A0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</w:p>
    <w:p w14:paraId="01AF74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2" w:firstLineChars="100"/>
        <w:jc w:val="center"/>
        <w:textAlignment w:val="auto"/>
        <w:rPr>
          <w:rStyle w:val="9"/>
          <w:rFonts w:hint="eastAsia" w:ascii="ˎ̥" w:hAnsi="ˎ̥"/>
          <w:b/>
          <w:bCs/>
          <w:color w:val="000000"/>
          <w:sz w:val="41"/>
          <w:szCs w:val="41"/>
        </w:rPr>
      </w:pPr>
    </w:p>
    <w:p w14:paraId="1AE525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7E56CC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260D28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3D0994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5A398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一、基本职能及主要工作</w:t>
      </w:r>
    </w:p>
    <w:p w14:paraId="1561D8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政协办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机构设置及主要职责。</w:t>
      </w:r>
    </w:p>
    <w:p w14:paraId="7FA366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1.负责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政协全委会议、常委会议、主席会议和其他重要会议及重大活动的会务、文秘和后期服务等工作。</w:t>
      </w:r>
    </w:p>
    <w:p w14:paraId="5A84D0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2.负责与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委办、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人大办、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政府办、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级部门和镇的联系、配合、协调工作。</w:t>
      </w:r>
    </w:p>
    <w:p w14:paraId="61D113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3.负责与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政协各专门委员会工作的协调、沟通、配合工作。</w:t>
      </w:r>
    </w:p>
    <w:p w14:paraId="2A4546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4.负责与市政协及兄弟县（市、区）政协办的联系工作；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政协的对内外宣传工作。</w:t>
      </w:r>
    </w:p>
    <w:p w14:paraId="4B8E0B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5.负责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政协开展活动的后勤保障、财务管理、基建维修及其他有关工作。</w:t>
      </w:r>
    </w:p>
    <w:p w14:paraId="16CC51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6.负责机关来往电处理、文书档案、机要保密、文印、通讯、信访、音像器材、安全保卫、接待及小车管理工作。</w:t>
      </w:r>
    </w:p>
    <w:p w14:paraId="14BDF1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7.负责权限范围内的机构调整和人事工作；离退休人员管理服务工作。</w:t>
      </w:r>
    </w:p>
    <w:p w14:paraId="43FF7A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8.承办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政协主席、副主席交办的其他工作。</w:t>
      </w:r>
    </w:p>
    <w:p w14:paraId="18D401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3" w:firstLineChars="200"/>
        <w:textAlignment w:val="auto"/>
        <w:rPr>
          <w:rFonts w:hint="eastAsia" w:ascii="仿宋_GB2312" w:hAnsi="新宋体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德阳市罗江区政协信息中心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及主要职责</w:t>
      </w:r>
    </w:p>
    <w:p w14:paraId="15C972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新宋体" w:eastAsia="仿宋_GB2312"/>
          <w:sz w:val="32"/>
          <w:szCs w:val="32"/>
          <w:lang w:eastAsia="zh-CN"/>
        </w:rPr>
        <w:t>为区政协办所属公益一类事业单位，机构规格为正股级，核定事业编制1名，设主任1名（</w:t>
      </w:r>
      <w:r>
        <w:rPr>
          <w:rFonts w:hint="eastAsia" w:ascii="仿宋_GB2312" w:eastAsia="仿宋_GB2312"/>
          <w:sz w:val="32"/>
          <w:szCs w:val="32"/>
          <w:lang w:eastAsia="zh-CN"/>
        </w:rPr>
        <w:t>正股级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2164DE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主要职责：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负责区政协信息网络规划、建设和日常管理维护；负责政协网络宣传工作及重大活动、重要会议的策划、宣传和相关会务工作；承担区政协委员提案的网络交办工作；负责政协信息编纂、委员联络服务等工作。</w:t>
      </w:r>
    </w:p>
    <w:p w14:paraId="3453A4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ind w:firstLine="643" w:firstLineChars="200"/>
        <w:jc w:val="left"/>
        <w:textAlignment w:val="auto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  <w:t>政协办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20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年重点工作。</w:t>
      </w:r>
    </w:p>
    <w:p w14:paraId="197FBA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711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坚持党对政协工作全面领导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贯彻落实中共中央和省委、市委关于新时代加强和改进人民政协工作的意见，学习贯彻庆祝中国人民政治协商会议成立75周年大会精神和省委政协工作会议精神，把党的领导贯穿政协工作全过程、各方面。强化党组的把关作用，深化政协党的建设，增强政协党组织政治功能和组织功能。遵守重大事项请示报告规定，抓好区委审定的年度协商工作计划执行落实。学习宣传好年内各级重要会议精神，加强面向委员的团结联谊，切实担负起“落实下去、凝聚起来”的政治责任。</w:t>
      </w:r>
    </w:p>
    <w:p w14:paraId="1DA094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711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2.持续加强思想政治引领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把准政协之“政”，把学习贯彻习近平新时代中国特色社会主义思想作为首要政治任务，完善学习体系、丰富学习形式，不断把理论收获转化为思想收获、行动指引。做好宣传思想文化工作，筑牢意识形态安全防线。发挥“三个重要”作用，履行政协统战职责，拓宽知情明政渠道，把凝聚共识融入贯彻政协履职实践，加强界别工作、广泛联系群众，做深做细宣介政策、引导预期、解疑释惑、凝聚共识工作，不断汇聚落实区委决策部署的合力。建成政协诗书画院，持续开展“书香政协”活动，办好“同心”主题书画展，开展“感恩·奋进”活动，增强“四个认同”。</w:t>
      </w:r>
    </w:p>
    <w:p w14:paraId="2DE0D0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711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3.广泛深入协商议政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。围绕进一步全面深化改革、推动罗江高质量发展方面积极建言，以高水平建言服务党委政府科学决策。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围绕服务“拼经济搞建设抓发展”，就“推进土地改革，促进城乡要素双向流动”“深化医疗改革，优化乡村公共卫生体系”“优化营商环境，加快产业提档升级”“持续壮大农村集体经济”等开展专题协商。就“打造罗江消费新场景”“城乡供水一体化项目建成投用情况”等组织开展视察。结合“助推新型工业高质量发展、红色档案开发利用、绿色建材建圈强链、抓好科普阵地建设”等市政协年度重点调研、协商、视察课题，主动对接、联动履职，在更高层面为罗江发声。</w:t>
      </w:r>
    </w:p>
    <w:p w14:paraId="02D9F34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711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4.抓好民主监督促落实。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紧扣区委重大决策部署、区委区政府年度重点工作目标任务以及群众关心关注的问题，组织委员围绕开展民主监督，及时提出改进建议，形成抓落实合力。加大提案办理督促力度，继续用好主席会议领衔督办、专委会对口协商督办、提案办理公众评价、“回头看”等协商式监督手段，推动提案办实、提高群众获得感。</w:t>
      </w:r>
    </w:p>
    <w:p w14:paraId="70B3EA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711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5.广泛联系服务群众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推进“有事来协商”与基层协商更有效协同，围绕基层发展难题、群众急难问题组织开展协商议事，推动协商民主成为基层治理的常态。深化委员履职“服务为民”实践，持续深入开展“百名委员走基层”活动，积极发挥委员所长和优势，坚持做好本职与奉献社会的高度融合，在帮民利民惠民的务实之举中诠释委员“心中有民”的拳拳之心。用好政协“直通车”渠道，聚焦社会焦点、民生痛点难点及时反映社情民意信息，推动民意高效直达。</w:t>
      </w:r>
    </w:p>
    <w:p w14:paraId="5D47BB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711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6.持续努力改善民生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牢记宗旨，践行以人民为中心的发展思想，坚持把收集民意、反映民愿、解决民生作为政协工作的重要任务。瞄准民之关切，围绕农民增收、就近上学、便捷就医、安心养老、生态宜居等持续建言，紧扣教育、医疗、养老、卫生等领域工作开展民主监督。加大民生提案办理社会公众评价力度，办好群众“关切事”。</w:t>
      </w:r>
    </w:p>
    <w:p w14:paraId="47CFF2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711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7.提升工作质效。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以改革思维谋划和推进政协工作思路创新、实践创新，健全深度协商互动、意见充分表达、广泛凝聚共识的机制，加强反映社情民意和联系服务群众的制度建设。发挥专委会基础作用，培育形成专委会工作特色，加强政协履职品牌建设。抓好委员学习培训、履职管理，丰富拓展委员履职尽责、发挥所长的载体和平台。加强与兄弟区（市、县）政协联合协商、与市政协联动协商力度，拓宽政协协商“借力”的广度、建言“借智”的力度，更好发挥政协“智库”“参谋”作用。</w:t>
      </w:r>
    </w:p>
    <w:p w14:paraId="016976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711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8.抓好机关建设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坚持委员主体，不断深化联系服务委员工作，建设委员之家、民主之家、团结之家，丰富委员履职载体，为委员履职创造有利条件、提供充分保障。推进学习型、创新型、廉洁型机关建设，严格落实全面从严治党各项部署要求，加强机关党建和党风廉政建设，为提高工作质效提供良好作风保障。强化新闻宣传工作，努力提高信息编报采用率，全方位展示罗江发展成效、政协特色工作和委员履职风采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3ED4AF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outlineLvl w:val="9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二、部门预算单位构成</w:t>
      </w:r>
    </w:p>
    <w:p w14:paraId="679C2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政协办</w:t>
      </w:r>
      <w:r>
        <w:rPr>
          <w:rFonts w:hint="eastAsia" w:ascii="仿宋_GB2312" w:hAnsi="仿宋_GB2312" w:eastAsia="仿宋_GB2312"/>
          <w:sz w:val="32"/>
          <w:szCs w:val="32"/>
        </w:rPr>
        <w:t>属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/>
          <w:sz w:val="32"/>
          <w:szCs w:val="32"/>
        </w:rPr>
        <w:t>级预算单位，其中行政单位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  <w:szCs w:val="32"/>
        </w:rPr>
        <w:t>个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事业单位1个。</w:t>
      </w:r>
    </w:p>
    <w:p w14:paraId="6942BF9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72" w:firstLineChars="210"/>
        <w:textAlignment w:val="auto"/>
        <w:rPr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政协办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总编制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名，其中行政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名，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工勤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名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事业1人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。在职人员总数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人，其中：行政人员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事业人员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人，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工勤人员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人；离退休人员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人，其中：退休人员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人。</w:t>
      </w:r>
      <w:r>
        <w:rPr>
          <w:rFonts w:hint="eastAsia"/>
          <w:sz w:val="32"/>
          <w:szCs w:val="32"/>
          <w:highlight w:val="none"/>
        </w:rPr>
        <w:t>本次公开数据包括所有下属二级单位数据。</w:t>
      </w:r>
    </w:p>
    <w:p w14:paraId="19E03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ascii="仿宋_GB2312" w:hAnsi="仿宋_GB2312" w:eastAsia="仿宋_GB2312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三、收支预算增减变化情况说明</w:t>
      </w:r>
    </w:p>
    <w:p w14:paraId="480C7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</w:rPr>
        <w:t>按照综合预算的原则，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政协办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所有收支均包含下属单位数据，全部纳入部门预算管理。收</w:t>
      </w:r>
      <w:r>
        <w:rPr>
          <w:rFonts w:hint="eastAsia" w:ascii="仿宋_GB2312" w:hAnsi="仿宋_GB2312" w:eastAsia="仿宋_GB2312"/>
          <w:sz w:val="32"/>
          <w:szCs w:val="32"/>
        </w:rPr>
        <w:t>入包括：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财政拨款收入545.5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eastAsia="仿宋_GB2312"/>
          <w:sz w:val="32"/>
          <w:szCs w:val="32"/>
        </w:rPr>
        <w:t>比20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年预算数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减少111.47</w:t>
      </w:r>
      <w:r>
        <w:rPr>
          <w:rFonts w:hint="eastAsia" w:ascii="仿宋_GB2312" w:hAnsi="仿宋_GB2312" w:eastAsia="仿宋_GB2312"/>
          <w:sz w:val="32"/>
          <w:szCs w:val="32"/>
        </w:rPr>
        <w:t>万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元，主要是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由于人员减少</w:t>
      </w:r>
      <w:r>
        <w:rPr>
          <w:rFonts w:hint="eastAsia" w:ascii="仿宋_GB2312" w:hAnsi="仿宋_GB2312" w:eastAsia="仿宋_GB2312"/>
          <w:sz w:val="32"/>
          <w:szCs w:val="32"/>
        </w:rPr>
        <w:t>；支出包括：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财政拨款支出545.5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/>
          <w:sz w:val="32"/>
          <w:szCs w:val="32"/>
        </w:rPr>
        <w:t>，比20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年预算数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减少111.47</w:t>
      </w:r>
      <w:r>
        <w:rPr>
          <w:rFonts w:hint="eastAsia" w:ascii="仿宋_GB2312" w:hAnsi="仿宋_GB2312" w:eastAsia="仿宋_GB2312"/>
          <w:sz w:val="32"/>
          <w:szCs w:val="32"/>
        </w:rPr>
        <w:t>万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元，主要是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由于人员减少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政协办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/>
          <w:sz w:val="32"/>
          <w:szCs w:val="32"/>
        </w:rPr>
        <w:t>年收支总预算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545.5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</w:p>
    <w:p w14:paraId="08A8A1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（一）收入预算情况</w:t>
      </w:r>
    </w:p>
    <w:p w14:paraId="7EF5D8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</w:t>
      </w:r>
      <w:r>
        <w:rPr>
          <w:rFonts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25</w:t>
      </w:r>
      <w:r>
        <w:rPr>
          <w:rFonts w:ascii="仿宋_GB2312" w:hAnsi="仿宋_GB2312" w:eastAsia="仿宋_GB2312"/>
          <w:sz w:val="32"/>
          <w:szCs w:val="32"/>
        </w:rPr>
        <w:t>年收入预算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545.5</w:t>
      </w:r>
      <w:r>
        <w:rPr>
          <w:rFonts w:ascii="仿宋_GB2312" w:hAnsi="仿宋_GB2312" w:eastAsia="仿宋_GB2312"/>
          <w:sz w:val="32"/>
          <w:szCs w:val="32"/>
        </w:rPr>
        <w:t>万元，其中：一般公共预算拨款收入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545.5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100</w:t>
      </w:r>
      <w:r>
        <w:rPr>
          <w:rFonts w:ascii="仿宋_GB2312" w:hAnsi="仿宋_GB2312" w:eastAsia="仿宋_GB2312"/>
          <w:sz w:val="32"/>
          <w:szCs w:val="32"/>
        </w:rPr>
        <w:t>%。</w:t>
      </w:r>
    </w:p>
    <w:p w14:paraId="3C2AC7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5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（二）支出预算情况</w:t>
      </w:r>
    </w:p>
    <w:p w14:paraId="6301C9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5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25</w:t>
      </w:r>
      <w:r>
        <w:rPr>
          <w:rFonts w:ascii="仿宋_GB2312" w:hAnsi="仿宋_GB2312" w:eastAsia="仿宋_GB2312"/>
          <w:sz w:val="32"/>
          <w:szCs w:val="32"/>
        </w:rPr>
        <w:t>年支出预算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545.5</w:t>
      </w:r>
      <w:r>
        <w:rPr>
          <w:rFonts w:ascii="仿宋_GB2312" w:hAnsi="仿宋_GB2312" w:eastAsia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/>
          <w:sz w:val="32"/>
          <w:szCs w:val="32"/>
        </w:rPr>
        <w:t>425.5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78</w:t>
      </w:r>
      <w:r>
        <w:rPr>
          <w:rFonts w:ascii="仿宋_GB2312" w:hAnsi="仿宋_GB2312" w:eastAsia="仿宋_GB2312"/>
          <w:sz w:val="32"/>
          <w:szCs w:val="32"/>
        </w:rPr>
        <w:t>%；项目支出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120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22</w:t>
      </w:r>
      <w:r>
        <w:rPr>
          <w:rFonts w:ascii="仿宋_GB2312" w:hAnsi="仿宋_GB2312" w:eastAsia="仿宋_GB2312"/>
          <w:sz w:val="32"/>
          <w:szCs w:val="32"/>
        </w:rPr>
        <w:t>%。</w:t>
      </w:r>
    </w:p>
    <w:p w14:paraId="03EEB9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四、财政拨款收支预算情况说明</w:t>
      </w:r>
    </w:p>
    <w:p w14:paraId="05442B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5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政协办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/>
          <w:sz w:val="32"/>
          <w:szCs w:val="32"/>
        </w:rPr>
        <w:t>年财政拨款收支总预算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425.5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  <w:r>
        <w:rPr>
          <w:rFonts w:hint="eastAsia" w:ascii="仿宋_GB2312" w:eastAsia="仿宋_GB2312"/>
          <w:color w:val="000000"/>
          <w:sz w:val="32"/>
          <w:szCs w:val="32"/>
        </w:rPr>
        <w:t>比20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000000"/>
          <w:sz w:val="32"/>
          <w:szCs w:val="32"/>
        </w:rPr>
        <w:t>年财政拨款收支总预算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减少111.47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highlight w:val="none"/>
        </w:rPr>
        <w:t>主要是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由于人员减少。</w:t>
      </w:r>
    </w:p>
    <w:p w14:paraId="1D6FF5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hAnsi="仿宋_GB2312" w:eastAsia="仿宋_GB2312"/>
          <w:sz w:val="32"/>
          <w:szCs w:val="32"/>
        </w:rPr>
        <w:t>收入包括：本年一般公共预算拨款收入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545.5</w:t>
      </w:r>
      <w:r>
        <w:rPr>
          <w:rFonts w:ascii="仿宋_GB2312" w:hAnsi="仿宋_GB2312" w:eastAsia="仿宋_GB2312"/>
          <w:sz w:val="32"/>
          <w:szCs w:val="32"/>
        </w:rPr>
        <w:t>万元；</w:t>
      </w:r>
      <w:r>
        <w:rPr>
          <w:rFonts w:hint="eastAsia" w:ascii="仿宋_GB2312" w:hAnsi="仿宋_GB2312" w:eastAsia="仿宋_GB2312"/>
          <w:sz w:val="32"/>
          <w:szCs w:val="32"/>
        </w:rPr>
        <w:t>支出包括：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一般公共服务支出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420.81万元；社会保障和就业支出81.54万元；卫生健康支出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14.54万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元；住房保障支出28.61万元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 w14:paraId="4AB769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五、一般公共预算当年拨款情况说明</w:t>
      </w:r>
    </w:p>
    <w:p w14:paraId="7FFF13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（一）一般公共预算当年拨款规模变化情况</w:t>
      </w:r>
    </w:p>
    <w:p w14:paraId="4CAE97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政协办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/>
          <w:sz w:val="32"/>
          <w:szCs w:val="32"/>
        </w:rPr>
        <w:t>年一般公共预算当年拨款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545.5</w:t>
      </w:r>
      <w:r>
        <w:rPr>
          <w:rFonts w:hint="eastAsia" w:ascii="仿宋_GB2312" w:hAnsi="仿宋_GB2312" w:eastAsia="仿宋_GB2312"/>
          <w:sz w:val="32"/>
          <w:szCs w:val="32"/>
        </w:rPr>
        <w:t>万元，比20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/>
          <w:sz w:val="32"/>
          <w:szCs w:val="32"/>
        </w:rPr>
        <w:t>年预算数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减少111.47</w:t>
      </w:r>
      <w:r>
        <w:rPr>
          <w:rFonts w:hint="eastAsia" w:ascii="仿宋_GB2312" w:hAns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highlight w:val="none"/>
        </w:rPr>
        <w:t>主要是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由于人员减少。</w:t>
      </w:r>
    </w:p>
    <w:p w14:paraId="7D2467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（二）一般公共预算当年拨款结构情况(按照功能科目类写)</w:t>
      </w:r>
    </w:p>
    <w:p w14:paraId="10B536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一般公共服务支出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420.81万元，占78%；社会保障和就业支出81.54万元，占15%；卫生健康支出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14.54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万元，占3%；住房保障支出28.61万元，占6%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 w14:paraId="12715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  <w:szCs w:val="32"/>
        </w:rPr>
        <w:t>（三）一般公共预算当年拨款具体使用情况（按功能科目类款项写）</w:t>
      </w:r>
    </w:p>
    <w:p w14:paraId="0CD88F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/>
          <w:sz w:val="32"/>
          <w:szCs w:val="32"/>
        </w:rPr>
        <w:t>一般公共服务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-政协事务-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行政运行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296.01</w:t>
      </w:r>
      <w:r>
        <w:rPr>
          <w:rFonts w:hint="eastAsia" w:ascii="仿宋_GB2312" w:hAnsi="仿宋_GB2312" w:eastAsia="仿宋_GB2312"/>
          <w:sz w:val="32"/>
          <w:szCs w:val="32"/>
        </w:rPr>
        <w:t>万元，主要用于：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保障机构正常运转、完成日常工作任务而发生的人员支出和公用支出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 w14:paraId="070C6B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一般公共服务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-政协事务-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 参政议政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/>
          <w:sz w:val="32"/>
          <w:szCs w:val="32"/>
        </w:rPr>
        <w:t>万元，主要用于：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保障区政协委员参政议政、民主监督、政协会议、委员活动、培训视察等。</w:t>
      </w:r>
    </w:p>
    <w:p w14:paraId="0F69E1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一般公共服务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-政协事务-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 其他政协事务支出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/>
          <w:sz w:val="32"/>
          <w:szCs w:val="32"/>
        </w:rPr>
        <w:t>万元，主要用于：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保障政协综合管理服务工作正常开展。</w:t>
      </w:r>
    </w:p>
    <w:p w14:paraId="7036CE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一般公共服务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-政协事务-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事业运行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4.8</w:t>
      </w:r>
      <w:r>
        <w:rPr>
          <w:rFonts w:hint="eastAsia" w:ascii="仿宋_GB2312" w:hAnsi="仿宋_GB2312" w:eastAsia="仿宋_GB2312"/>
          <w:sz w:val="32"/>
          <w:szCs w:val="32"/>
        </w:rPr>
        <w:t>万元，主要用于：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保障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完成日常工作任务而发生的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其他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人员支出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 w14:paraId="651AE9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社会保障和就业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-行政事业单位离退休-机关事业单位基本养老保险缴费支出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/>
          <w:sz w:val="32"/>
          <w:szCs w:val="32"/>
        </w:rPr>
        <w:t>年预算数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35.03万元，</w:t>
      </w:r>
      <w:r>
        <w:rPr>
          <w:rFonts w:hint="eastAsia" w:ascii="仿宋_GB2312" w:hAnsi="仿宋_GB2312" w:eastAsia="仿宋_GB2312"/>
          <w:sz w:val="32"/>
          <w:szCs w:val="32"/>
        </w:rPr>
        <w:t>主要用于：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基本养老保险缴费。</w:t>
      </w:r>
    </w:p>
    <w:p w14:paraId="499CF6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社会保障和就业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-行政事业单位离退休-机关事业单位职业年金缴费支出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/>
          <w:sz w:val="32"/>
          <w:szCs w:val="32"/>
        </w:rPr>
        <w:t>年预算数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17.51万元，主要用于：职业年金缴费。    </w:t>
      </w:r>
    </w:p>
    <w:p w14:paraId="1002E0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社会保障和就业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-行政事业单位离退休-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其他行政事业单位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养老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/>
          <w:sz w:val="32"/>
          <w:szCs w:val="32"/>
        </w:rPr>
        <w:t>年预算数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28.52</w:t>
      </w:r>
      <w:r>
        <w:rPr>
          <w:rFonts w:hint="eastAsia" w:ascii="仿宋_GB2312" w:hAnsi="仿宋_GB2312" w:eastAsia="仿宋_GB2312"/>
          <w:sz w:val="32"/>
          <w:szCs w:val="32"/>
        </w:rPr>
        <w:t>万元，主要用于：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退休人员支出。</w:t>
      </w:r>
    </w:p>
    <w:p w14:paraId="072C3A3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社会保障和就业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-其他社会保障和就业支出-其他社会保障和就业支出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/>
          <w:sz w:val="32"/>
          <w:szCs w:val="32"/>
        </w:rPr>
        <w:t>年预算数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0.48万元，主要用于：工伤保险、失业保险缴费。</w:t>
      </w:r>
    </w:p>
    <w:p w14:paraId="73CCEA1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卫生健康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-行政事业单位医疗-行政单位医疗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/>
          <w:sz w:val="32"/>
          <w:szCs w:val="32"/>
        </w:rPr>
        <w:t>年预算数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14.54万元，主要用于行政人员社会保险缴费。</w:t>
      </w:r>
    </w:p>
    <w:p w14:paraId="65BF870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住房保障支出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-住房改革支出-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住房公积金支出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/>
          <w:sz w:val="32"/>
          <w:szCs w:val="32"/>
        </w:rPr>
        <w:t>年预算数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28.61万元，主要用于：缴纳职工住房公积金。</w:t>
      </w:r>
    </w:p>
    <w:p w14:paraId="7B7B4F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六、一般公共预算基本支出情况说明</w:t>
      </w:r>
    </w:p>
    <w:p w14:paraId="63550B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政协办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/>
          <w:sz w:val="32"/>
          <w:szCs w:val="32"/>
        </w:rPr>
        <w:t>年一般公共预算基本支出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425.5</w:t>
      </w:r>
      <w:r>
        <w:rPr>
          <w:rFonts w:hint="eastAsia" w:ascii="仿宋_GB2312" w:hAnsi="仿宋_GB2312" w:eastAsia="仿宋_GB2312"/>
          <w:sz w:val="32"/>
          <w:szCs w:val="32"/>
        </w:rPr>
        <w:t>万元，其中：</w:t>
      </w:r>
    </w:p>
    <w:p w14:paraId="7521AE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人员经费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389.04</w:t>
      </w:r>
      <w:r>
        <w:rPr>
          <w:rFonts w:hint="eastAsia" w:ascii="仿宋_GB2312" w:hAnsi="仿宋_GB2312" w:eastAsia="仿宋_GB2312"/>
          <w:sz w:val="32"/>
          <w:szCs w:val="32"/>
        </w:rPr>
        <w:t>万元，主要包括：基本工资、津贴补贴、奖金、社会保险缴费、绩效工资、机关事业单位基本养老保险缴费、职业年金缴费、其他工资福利支出。</w:t>
      </w:r>
    </w:p>
    <w:p w14:paraId="782BEE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公用经费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36.46</w:t>
      </w:r>
      <w:r>
        <w:rPr>
          <w:rFonts w:hint="eastAsia" w:ascii="仿宋_GB2312" w:hAnsi="仿宋_GB2312" w:eastAsia="仿宋_GB2312"/>
          <w:sz w:val="32"/>
          <w:szCs w:val="32"/>
        </w:rPr>
        <w:t>万元，主要包括：办公费、印刷费、咨询费、手续费、水电费、邮电费、差旅费、维修（护）费、租赁费、会议费、培训费、劳务费、工会经费、福利费、其他交通工具运行维护费、其他商品和服务支出。</w:t>
      </w:r>
    </w:p>
    <w:p w14:paraId="2128FB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七、“三公”经费财政拨款预算安排情况说明</w:t>
      </w:r>
    </w:p>
    <w:p w14:paraId="7B7647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政协办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/>
          <w:sz w:val="32"/>
          <w:szCs w:val="32"/>
        </w:rPr>
        <w:t>年“三公”经费财政拨款预算数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万元，其中：因公出国（境）经费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  <w:szCs w:val="32"/>
        </w:rPr>
        <w:t>万元，公务接待费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万元，公务用车购置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  <w:szCs w:val="32"/>
        </w:rPr>
        <w:t>万元，公务用车运行维护费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</w:p>
    <w:p w14:paraId="13A82C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（一）因公出国（境）经费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/>
          <w:sz w:val="32"/>
          <w:szCs w:val="32"/>
        </w:rPr>
        <w:t>与20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/>
          <w:sz w:val="32"/>
          <w:szCs w:val="32"/>
        </w:rPr>
        <w:t>年预算持平。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主要原因是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无此预算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。</w:t>
      </w:r>
    </w:p>
    <w:p w14:paraId="1C53CF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</w:t>
      </w:r>
      <w:r>
        <w:rPr>
          <w:rFonts w:hint="eastAsia" w:ascii="楷体_GB2312" w:eastAsia="楷体_GB2312"/>
          <w:bCs/>
          <w:sz w:val="32"/>
          <w:szCs w:val="32"/>
        </w:rPr>
        <w:t>公务接待费与20</w:t>
      </w:r>
      <w:r>
        <w:rPr>
          <w:rFonts w:hint="eastAsia" w:ascii="楷体_GB2312" w:eastAsia="楷体_GB2312"/>
          <w:bCs/>
          <w:sz w:val="32"/>
          <w:szCs w:val="32"/>
          <w:lang w:val="en-US" w:eastAsia="zh-CN"/>
        </w:rPr>
        <w:t>24</w:t>
      </w:r>
      <w:r>
        <w:rPr>
          <w:rFonts w:hint="eastAsia" w:ascii="楷体_GB2312" w:eastAsia="楷体_GB2312"/>
          <w:bCs/>
          <w:sz w:val="32"/>
          <w:szCs w:val="32"/>
        </w:rPr>
        <w:t>年预算</w:t>
      </w:r>
      <w:r>
        <w:rPr>
          <w:rFonts w:hint="eastAsia" w:ascii="楷体_GB2312" w:eastAsia="楷体_GB2312"/>
          <w:bCs/>
          <w:sz w:val="32"/>
          <w:szCs w:val="32"/>
          <w:lang w:eastAsia="zh-CN"/>
        </w:rPr>
        <w:t>数</w:t>
      </w:r>
      <w:r>
        <w:rPr>
          <w:rFonts w:hint="eastAsia" w:ascii="楷体_GB2312" w:eastAsia="楷体_GB2312"/>
          <w:bCs/>
          <w:sz w:val="32"/>
          <w:szCs w:val="32"/>
        </w:rPr>
        <w:t>持平。</w:t>
      </w:r>
      <w:r>
        <w:rPr>
          <w:rFonts w:hint="eastAsia" w:ascii="楷体_GB2312" w:eastAsia="楷体_GB2312"/>
          <w:bCs/>
          <w:sz w:val="32"/>
          <w:szCs w:val="32"/>
          <w:lang w:eastAsia="zh-CN"/>
        </w:rPr>
        <w:t>主要原因是严格按照规定进行公务接待。</w:t>
      </w:r>
    </w:p>
    <w:p w14:paraId="56DED6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（三）公务用车购置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，与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持平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。主要原因是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公车改革后无公务用车购置计划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。</w:t>
      </w:r>
    </w:p>
    <w:p w14:paraId="66B252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单位现有公务用车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辆。</w:t>
      </w:r>
    </w:p>
    <w:p w14:paraId="660DD1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　　20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年安排公务用车运行维护费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万元。</w:t>
      </w:r>
    </w:p>
    <w:p w14:paraId="715F25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八、政府性基金预算收支情况说明</w:t>
      </w:r>
    </w:p>
    <w:p w14:paraId="06AE83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政协办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2025年无</w:t>
      </w:r>
      <w:r>
        <w:rPr>
          <w:rFonts w:hint="eastAsia" w:ascii="仿宋_GB2312" w:hAnsi="仿宋_GB2312" w:eastAsia="仿宋_GB2312"/>
          <w:sz w:val="32"/>
          <w:szCs w:val="32"/>
        </w:rPr>
        <w:t>使用政府性基金预算拨款安排的支出。</w:t>
      </w:r>
    </w:p>
    <w:p w14:paraId="534C97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九、国有资本经营预算支出情况说明</w:t>
      </w:r>
    </w:p>
    <w:p w14:paraId="7DEB5D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5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政协办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/>
          <w:sz w:val="32"/>
          <w:szCs w:val="32"/>
        </w:rPr>
        <w:t>使用国有资本经营预算拨款安排支出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 w14:paraId="71E65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十、其他重要事项的情况说明</w:t>
      </w:r>
    </w:p>
    <w:p w14:paraId="7A86EE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（一）机关运行经费</w:t>
      </w:r>
    </w:p>
    <w:p w14:paraId="5E0B65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/>
          <w:sz w:val="32"/>
          <w:szCs w:val="32"/>
        </w:rPr>
        <w:t>年，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政协办</w:t>
      </w:r>
      <w:r>
        <w:rPr>
          <w:rFonts w:hint="eastAsia" w:ascii="仿宋_GB2312" w:hAnsi="仿宋_GB2312" w:eastAsia="仿宋_GB2312"/>
          <w:sz w:val="32"/>
          <w:szCs w:val="32"/>
        </w:rPr>
        <w:t>机关运行经费财政拨款预算为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36.46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</w:p>
    <w:p w14:paraId="744518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（二）政府采购情况</w:t>
      </w:r>
    </w:p>
    <w:p w14:paraId="18F39A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/>
          <w:sz w:val="32"/>
          <w:szCs w:val="32"/>
        </w:rPr>
        <w:t>年，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政协办未</w:t>
      </w:r>
      <w:r>
        <w:rPr>
          <w:rFonts w:hint="eastAsia" w:ascii="仿宋_GB2312" w:hAnsi="仿宋_GB2312" w:eastAsia="仿宋_GB2312"/>
          <w:sz w:val="32"/>
          <w:szCs w:val="32"/>
        </w:rPr>
        <w:t>安排政府采购预算。</w:t>
      </w:r>
    </w:p>
    <w:p w14:paraId="54297A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（三）国有资产占有使用情况</w:t>
      </w:r>
    </w:p>
    <w:p w14:paraId="355EE9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截至20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年底，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政协办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共有</w:t>
      </w:r>
      <w:r>
        <w:rPr>
          <w:rFonts w:hint="eastAsia" w:ascii="仿宋_GB2312" w:eastAsia="仿宋_GB2312"/>
          <w:sz w:val="32"/>
          <w:szCs w:val="32"/>
          <w:highlight w:val="none"/>
        </w:rPr>
        <w:t>固定资产总额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42.87</w:t>
      </w:r>
      <w:r>
        <w:rPr>
          <w:rFonts w:hint="eastAsia" w:ascii="仿宋_GB2312" w:eastAsia="仿宋_GB2312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　　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/>
          <w:sz w:val="32"/>
          <w:szCs w:val="32"/>
        </w:rPr>
        <w:t>年部门预算未安排购置车辆及单位价值200万元以上大型设备。</w:t>
      </w:r>
    </w:p>
    <w:p w14:paraId="6F34C6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（四）绩效目标设置情况</w:t>
      </w:r>
    </w:p>
    <w:p w14:paraId="774C69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政协办</w:t>
      </w:r>
      <w:r>
        <w:rPr>
          <w:rFonts w:hint="eastAsia" w:ascii="仿宋_GB2312" w:hAnsi="仿宋_GB2312" w:eastAsia="仿宋_GB2312"/>
          <w:sz w:val="32"/>
          <w:szCs w:val="32"/>
        </w:rPr>
        <w:t>通用项目和专用项目均按要求实行绩效目标管理，涉及一般公共预算当年拨款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120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</w:p>
    <w:p w14:paraId="2936A1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、名词解释</w:t>
      </w:r>
    </w:p>
    <w:p w14:paraId="1A0B8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（一）一般公共预算拨款收入：指区级财政当年拨付的资金。</w:t>
      </w:r>
    </w:p>
    <w:p w14:paraId="496A5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（二）上年结转：指以前年度尚未完成、结转到本年仍按原规定用途继续使用的资金。</w:t>
      </w:r>
    </w:p>
    <w:p w14:paraId="600DE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（三）基本支出：指为保障机构正常运转、完成日常工作任务所必需的人员经费和日常公用经费。</w:t>
      </w:r>
    </w:p>
    <w:p w14:paraId="3C0E1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（四）项目支出：指在基本支出之外，为完成特定的行政工作任务或事业发展目标所发生的支出。</w:t>
      </w:r>
    </w:p>
    <w:p w14:paraId="153A8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5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五）“三公”经费：是指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 w14:paraId="6F55D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（六）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机关运行经费：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 - aixinjuel">
    <w:altName w:val="宋体"/>
    <w:panose1 w:val="02010600040101010101"/>
    <w:charset w:val="86"/>
    <w:family w:val="auto"/>
    <w:pitch w:val="default"/>
    <w:sig w:usb0="00000000" w:usb1="00000000" w:usb2="00000016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decorative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28F5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168EE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168EE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456EC">
    <w:pPr>
      <w:pStyle w:val="6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A7944F"/>
    <w:multiLevelType w:val="multilevel"/>
    <w:tmpl w:val="14A7944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lvlText w:val="%1-%2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lvlText w:val="%1-%2.%3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lvlText w:val="%1-%2.%3.%4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lvlText w:val="%1-%2.%3.%4.%5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lvlText w:val="%1-%2.%3.%4.%5.%6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lvlText w:val="%1-%2.%3.%4.%5.%6.%7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lvlText w:val="%1-%2.%3.%4.%5.%6.%7.%8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lvlText w:val="%1-%2.%3.%4.%5.%6.%7.%8.%9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</w:abstractNum>
  <w:abstractNum w:abstractNumId="1">
    <w:nsid w:val="44197BEA"/>
    <w:multiLevelType w:val="singleLevel"/>
    <w:tmpl w:val="44197B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C6E1E68"/>
    <w:multiLevelType w:val="singleLevel"/>
    <w:tmpl w:val="5C6E1E68"/>
    <w:lvl w:ilvl="0" w:tentative="0">
      <w:start w:val="4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MzFmNDRkOGIyOTljNmQ3MmY5NDIzNGI3OThhMzkifQ=="/>
  </w:docVars>
  <w:rsids>
    <w:rsidRoot w:val="004E4A63"/>
    <w:rsid w:val="00107AF7"/>
    <w:rsid w:val="001A5E61"/>
    <w:rsid w:val="001F59C4"/>
    <w:rsid w:val="00202A4E"/>
    <w:rsid w:val="00245794"/>
    <w:rsid w:val="002D17ED"/>
    <w:rsid w:val="002F6687"/>
    <w:rsid w:val="00325291"/>
    <w:rsid w:val="00336B03"/>
    <w:rsid w:val="00363AC0"/>
    <w:rsid w:val="003B021E"/>
    <w:rsid w:val="004B52FA"/>
    <w:rsid w:val="004D53A9"/>
    <w:rsid w:val="004E4A63"/>
    <w:rsid w:val="00504316"/>
    <w:rsid w:val="00563314"/>
    <w:rsid w:val="005A0F05"/>
    <w:rsid w:val="00640CC1"/>
    <w:rsid w:val="007225E2"/>
    <w:rsid w:val="007365C4"/>
    <w:rsid w:val="008F70DC"/>
    <w:rsid w:val="009049CB"/>
    <w:rsid w:val="00933755"/>
    <w:rsid w:val="009D554C"/>
    <w:rsid w:val="00A35F1B"/>
    <w:rsid w:val="00A46B69"/>
    <w:rsid w:val="00A5551E"/>
    <w:rsid w:val="00A60A56"/>
    <w:rsid w:val="00BD7C8D"/>
    <w:rsid w:val="00C96FDA"/>
    <w:rsid w:val="00D14665"/>
    <w:rsid w:val="00DC34F5"/>
    <w:rsid w:val="00EE23D3"/>
    <w:rsid w:val="00FD2791"/>
    <w:rsid w:val="00FD2F29"/>
    <w:rsid w:val="01931A7A"/>
    <w:rsid w:val="03B21DAA"/>
    <w:rsid w:val="03F41285"/>
    <w:rsid w:val="0B682C10"/>
    <w:rsid w:val="0BC22C98"/>
    <w:rsid w:val="0BEA2FA7"/>
    <w:rsid w:val="0CBC3A4D"/>
    <w:rsid w:val="117C1E78"/>
    <w:rsid w:val="11E05CF7"/>
    <w:rsid w:val="11F503B0"/>
    <w:rsid w:val="12535319"/>
    <w:rsid w:val="13522181"/>
    <w:rsid w:val="144D4918"/>
    <w:rsid w:val="147D4239"/>
    <w:rsid w:val="1A8B57AF"/>
    <w:rsid w:val="1B4B4C19"/>
    <w:rsid w:val="1BF418F8"/>
    <w:rsid w:val="1C437767"/>
    <w:rsid w:val="1F500E29"/>
    <w:rsid w:val="1FCE268A"/>
    <w:rsid w:val="20C258A1"/>
    <w:rsid w:val="2A0143FB"/>
    <w:rsid w:val="2B46035D"/>
    <w:rsid w:val="2B8A4C7C"/>
    <w:rsid w:val="2CBD72B2"/>
    <w:rsid w:val="382A0105"/>
    <w:rsid w:val="389B46A9"/>
    <w:rsid w:val="3AAA2FF5"/>
    <w:rsid w:val="42607EC0"/>
    <w:rsid w:val="42991D01"/>
    <w:rsid w:val="43074B98"/>
    <w:rsid w:val="4467365A"/>
    <w:rsid w:val="44E1584B"/>
    <w:rsid w:val="47141954"/>
    <w:rsid w:val="47573FFC"/>
    <w:rsid w:val="47F20366"/>
    <w:rsid w:val="4A564538"/>
    <w:rsid w:val="4AEF727F"/>
    <w:rsid w:val="550B1BA8"/>
    <w:rsid w:val="55EE2673"/>
    <w:rsid w:val="564D61BE"/>
    <w:rsid w:val="58B76DBF"/>
    <w:rsid w:val="5D6B62E5"/>
    <w:rsid w:val="5E6304D8"/>
    <w:rsid w:val="5EC8589C"/>
    <w:rsid w:val="5EEC05C1"/>
    <w:rsid w:val="626D7763"/>
    <w:rsid w:val="65792927"/>
    <w:rsid w:val="6B9D5311"/>
    <w:rsid w:val="6C5B55F5"/>
    <w:rsid w:val="6D480389"/>
    <w:rsid w:val="6F9D54EF"/>
    <w:rsid w:val="70C05D4F"/>
    <w:rsid w:val="73CF7B58"/>
    <w:rsid w:val="745A59A2"/>
    <w:rsid w:val="77103EEA"/>
    <w:rsid w:val="7836417C"/>
    <w:rsid w:val="7B636E1D"/>
    <w:rsid w:val="7D9C25F6"/>
    <w:rsid w:val="7DD04F73"/>
    <w:rsid w:val="7E6D33AD"/>
    <w:rsid w:val="7F7D47B2"/>
    <w:rsid w:val="7FBC68D6"/>
    <w:rsid w:val="7FF7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48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/>
      <w:ind w:left="420" w:leftChars="200" w:firstLine="420" w:firstLineChars="200"/>
    </w:pPr>
    <w:rPr>
      <w:szCs w:val="32"/>
      <w:lang w:val="en-US"/>
    </w:rPr>
  </w:style>
  <w:style w:type="paragraph" w:styleId="3">
    <w:name w:val="Body Text Indent"/>
    <w:basedOn w:val="1"/>
    <w:next w:val="1"/>
    <w:unhideWhenUsed/>
    <w:qFormat/>
    <w:uiPriority w:val="99"/>
    <w:pPr>
      <w:ind w:firstLine="645"/>
    </w:pPr>
    <w:rPr>
      <w:szCs w:val="30"/>
      <w:lang w:val="zh-CN"/>
    </w:rPr>
  </w:style>
  <w:style w:type="paragraph" w:styleId="4">
    <w:name w:val="Body Text"/>
    <w:basedOn w:val="1"/>
    <w:link w:val="13"/>
    <w:qFormat/>
    <w:uiPriority w:val="0"/>
    <w:pPr>
      <w:spacing w:before="93" w:beforeLines="30"/>
    </w:pPr>
    <w:rPr>
      <w:rFonts w:ascii="仿宋_GB2312" w:eastAsia="仿宋_GB2312"/>
      <w:sz w:val="3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mphasis"/>
    <w:basedOn w:val="8"/>
    <w:qFormat/>
    <w:uiPriority w:val="20"/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6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3">
    <w:name w:val="正文文本 Char"/>
    <w:basedOn w:val="8"/>
    <w:link w:val="4"/>
    <w:qFormat/>
    <w:uiPriority w:val="0"/>
    <w:rPr>
      <w:rFonts w:ascii="仿宋_GB2312" w:hAnsi="Times New Roman" w:eastAsia="仿宋_GB2312" w:cs="Times New Roman"/>
      <w:kern w:val="2"/>
      <w:sz w:val="30"/>
      <w:szCs w:val="24"/>
    </w:rPr>
  </w:style>
  <w:style w:type="paragraph" w:customStyle="1" w:styleId="14">
    <w:name w:val="样式46"/>
    <w:basedOn w:val="1"/>
    <w:qFormat/>
    <w:uiPriority w:val="0"/>
    <w:pPr>
      <w:spacing w:line="594" w:lineRule="atLeast"/>
      <w:ind w:firstLine="640" w:firstLineChars="200"/>
    </w:pPr>
    <w:rPr>
      <w:rFonts w:ascii="华文楷体 - aixinjuel" w:hAnsi="华文楷体 - aixinjuel" w:eastAsia="华文楷体 - aixinjuel" w:cs="楷体_GB2312"/>
      <w:color w:val="000000"/>
      <w:spacing w:val="-8"/>
      <w:sz w:val="30"/>
      <w:szCs w:val="30"/>
    </w:rPr>
  </w:style>
  <w:style w:type="paragraph" w:customStyle="1" w:styleId="15">
    <w:name w:val="WPSOffice手动目录 1"/>
    <w:autoRedefine/>
    <w:qFormat/>
    <w:uiPriority w:val="0"/>
    <w:pPr>
      <w:ind w:leftChars="0"/>
    </w:pPr>
    <w:rPr>
      <w:rFonts w:ascii="Calibri" w:hAnsi="Calibri" w:eastAsia="宋体" w:cs="Times New Roman"/>
      <w:sz w:val="20"/>
      <w:szCs w:val="20"/>
    </w:rPr>
  </w:style>
  <w:style w:type="paragraph" w:customStyle="1" w:styleId="16">
    <w:name w:val="WPSOffice手动目录 2"/>
    <w:qFormat/>
    <w:uiPriority w:val="0"/>
    <w:pPr>
      <w:ind w:leftChars="200"/>
    </w:pPr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13</Pages>
  <Words>5556</Words>
  <Characters>5890</Characters>
  <Lines>17</Lines>
  <Paragraphs>4</Paragraphs>
  <TotalTime>12</TotalTime>
  <ScaleCrop>false</ScaleCrop>
  <LinksUpToDate>false</LinksUpToDate>
  <CharactersWithSpaces>6075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2017-10-20T03:21:00Z</dcterms:created>
  <dc:creator>null,null,总收发</dc:creator>
  <cp:lastModifiedBy>hp</cp:lastModifiedBy>
  <dcterms:modified xsi:type="dcterms:W3CDTF">2025-01-22T01:24:52Z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9DD7BEB662DD47E182B55849CC71D92F_13</vt:lpwstr>
  </property>
</Properties>
</file>