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5ACC9">
      <w:pPr>
        <w:spacing w:line="600" w:lineRule="exact"/>
        <w:jc w:val="center"/>
        <w:outlineLvl w:val="0"/>
        <w:rPr>
          <w:rFonts w:eastAsia="方正小标宋简体"/>
          <w:color w:val="000000"/>
          <w:sz w:val="72"/>
          <w:szCs w:val="72"/>
        </w:rPr>
      </w:pPr>
      <w:bookmarkStart w:id="0" w:name="_Toc15306267"/>
    </w:p>
    <w:p w14:paraId="2E4D2B3E">
      <w:pPr>
        <w:adjustRightInd w:val="0"/>
        <w:snapToGrid w:val="0"/>
        <w:spacing w:line="360" w:lineRule="auto"/>
        <w:ind w:firstLine="1980" w:firstLineChars="450"/>
        <w:outlineLvl w:val="0"/>
        <w:rPr>
          <w:rFonts w:eastAsia="方正小标宋简体"/>
          <w:color w:val="000000"/>
          <w:sz w:val="44"/>
          <w:szCs w:val="44"/>
        </w:rPr>
      </w:pPr>
      <w:bookmarkStart w:id="1" w:name="_Toc15378441"/>
      <w:bookmarkStart w:id="2" w:name="_Toc15396475"/>
      <w:bookmarkStart w:id="3" w:name="_Toc54341256"/>
      <w:bookmarkStart w:id="4" w:name="_Toc15377193"/>
      <w:bookmarkStart w:id="5" w:name="_Toc54341102"/>
      <w:bookmarkStart w:id="6" w:name="_Toc15396597"/>
      <w:bookmarkStart w:id="7" w:name="_Toc15377425"/>
      <w:bookmarkStart w:id="8" w:name="_Toc54341308"/>
    </w:p>
    <w:p w14:paraId="6237E155">
      <w:pPr>
        <w:adjustRightInd w:val="0"/>
        <w:snapToGrid w:val="0"/>
        <w:spacing w:line="360" w:lineRule="auto"/>
        <w:jc w:val="center"/>
        <w:outlineLvl w:val="0"/>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2020年度</w:t>
      </w:r>
      <w:bookmarkEnd w:id="1"/>
      <w:bookmarkEnd w:id="2"/>
      <w:bookmarkEnd w:id="3"/>
      <w:bookmarkEnd w:id="4"/>
      <w:bookmarkEnd w:id="5"/>
      <w:bookmarkEnd w:id="6"/>
      <w:bookmarkEnd w:id="7"/>
      <w:bookmarkEnd w:id="8"/>
    </w:p>
    <w:p w14:paraId="4BB72E49">
      <w:pPr>
        <w:adjustRightInd w:val="0"/>
        <w:snapToGrid w:val="0"/>
        <w:spacing w:line="360" w:lineRule="auto"/>
        <w:jc w:val="center"/>
        <w:outlineLvl w:val="0"/>
        <w:rPr>
          <w:rFonts w:ascii="方正小标宋简体" w:hAnsi="方正小标宋简体" w:eastAsia="方正小标宋简体" w:cs="方正小标宋简体"/>
          <w:b/>
          <w:bCs/>
          <w:color w:val="000000"/>
          <w:sz w:val="44"/>
          <w:szCs w:val="44"/>
        </w:rPr>
      </w:pPr>
      <w:bookmarkStart w:id="9" w:name="_Toc54341309"/>
      <w:bookmarkStart w:id="10" w:name="_Toc54341257"/>
      <w:bookmarkStart w:id="11" w:name="_Toc54341103"/>
      <w:bookmarkStart w:id="12" w:name="_Toc15377194"/>
      <w:bookmarkStart w:id="13" w:name="_Toc15377426"/>
      <w:bookmarkStart w:id="14" w:name="_Toc15378442"/>
      <w:bookmarkStart w:id="15" w:name="_Toc15396598"/>
      <w:bookmarkStart w:id="16" w:name="_Toc15396476"/>
      <w:r>
        <w:rPr>
          <w:rFonts w:hint="eastAsia" w:ascii="方正小标宋简体" w:hAnsi="方正小标宋简体" w:eastAsia="方正小标宋简体" w:cs="方正小标宋简体"/>
          <w:b/>
          <w:bCs/>
          <w:color w:val="000000"/>
          <w:sz w:val="44"/>
          <w:szCs w:val="44"/>
        </w:rPr>
        <w:t>四川省德阳市罗江区</w:t>
      </w:r>
      <w:bookmarkEnd w:id="0"/>
      <w:bookmarkEnd w:id="9"/>
      <w:bookmarkEnd w:id="10"/>
      <w:bookmarkEnd w:id="11"/>
      <w:bookmarkStart w:id="17" w:name="_Toc15306268"/>
      <w:r>
        <w:rPr>
          <w:rFonts w:hint="eastAsia" w:ascii="方正小标宋简体" w:hAnsi="方正小标宋简体" w:eastAsia="方正小标宋简体" w:cs="方正小标宋简体"/>
          <w:b/>
          <w:bCs/>
          <w:color w:val="000000"/>
          <w:sz w:val="44"/>
          <w:szCs w:val="44"/>
        </w:rPr>
        <w:t>中医医院</w:t>
      </w:r>
    </w:p>
    <w:p w14:paraId="01ED5DB6">
      <w:pPr>
        <w:adjustRightInd w:val="0"/>
        <w:snapToGrid w:val="0"/>
        <w:spacing w:line="360" w:lineRule="auto"/>
        <w:jc w:val="center"/>
        <w:outlineLvl w:val="0"/>
        <w:rPr>
          <w:rFonts w:ascii="方正小标宋简体" w:hAnsi="方正小标宋简体" w:eastAsia="方正小标宋简体" w:cs="方正小标宋简体"/>
          <w:b/>
          <w:bCs/>
          <w:color w:val="000000"/>
          <w:sz w:val="44"/>
          <w:szCs w:val="44"/>
        </w:rPr>
      </w:pPr>
      <w:bookmarkStart w:id="18" w:name="_Toc54341104"/>
      <w:bookmarkStart w:id="19" w:name="_Toc54341310"/>
      <w:bookmarkStart w:id="20" w:name="_Toc54341258"/>
      <w:r>
        <w:rPr>
          <w:rFonts w:hint="eastAsia" w:ascii="方正小标宋简体" w:hAnsi="方正小标宋简体" w:eastAsia="方正小标宋简体" w:cs="方正小标宋简体"/>
          <w:b/>
          <w:bCs/>
          <w:color w:val="000000"/>
          <w:sz w:val="44"/>
          <w:szCs w:val="44"/>
        </w:rPr>
        <w:t>部门决算</w:t>
      </w:r>
      <w:bookmarkEnd w:id="12"/>
      <w:bookmarkEnd w:id="13"/>
      <w:bookmarkEnd w:id="14"/>
      <w:bookmarkEnd w:id="15"/>
      <w:bookmarkEnd w:id="16"/>
      <w:bookmarkEnd w:id="17"/>
      <w:r>
        <w:rPr>
          <w:rFonts w:hint="eastAsia" w:ascii="方正小标宋简体" w:hAnsi="方正小标宋简体" w:eastAsia="方正小标宋简体" w:cs="方正小标宋简体"/>
          <w:b/>
          <w:bCs/>
          <w:color w:val="000000"/>
          <w:sz w:val="44"/>
          <w:szCs w:val="44"/>
        </w:rPr>
        <w:t>公开编制说明</w:t>
      </w:r>
      <w:bookmarkEnd w:id="18"/>
      <w:bookmarkEnd w:id="19"/>
      <w:bookmarkEnd w:id="20"/>
    </w:p>
    <w:p w14:paraId="6CA9DAE3">
      <w:pPr>
        <w:widowControl/>
        <w:jc w:val="center"/>
        <w:rPr>
          <w:rFonts w:ascii="方正小标宋简体" w:hAnsi="方正小标宋简体" w:eastAsia="方正小标宋简体" w:cs="方正小标宋简体"/>
          <w:color w:val="000000"/>
          <w:sz w:val="44"/>
          <w:szCs w:val="44"/>
        </w:rPr>
      </w:pPr>
    </w:p>
    <w:p w14:paraId="213D6EC9">
      <w:pPr>
        <w:widowControl/>
        <w:jc w:val="center"/>
        <w:rPr>
          <w:rFonts w:hAnsi="黑体" w:eastAsia="黑体"/>
          <w:color w:val="000000"/>
          <w:sz w:val="48"/>
          <w:szCs w:val="48"/>
        </w:rPr>
      </w:pPr>
    </w:p>
    <w:p w14:paraId="1F3BCB4B">
      <w:pPr>
        <w:widowControl/>
        <w:jc w:val="center"/>
        <w:rPr>
          <w:rFonts w:hAnsi="黑体" w:eastAsia="黑体"/>
          <w:color w:val="000000"/>
          <w:sz w:val="48"/>
          <w:szCs w:val="48"/>
        </w:rPr>
      </w:pPr>
    </w:p>
    <w:p w14:paraId="263A0E89">
      <w:pPr>
        <w:widowControl/>
        <w:jc w:val="center"/>
        <w:rPr>
          <w:rFonts w:hAnsi="黑体" w:eastAsia="黑体"/>
          <w:color w:val="000000"/>
          <w:sz w:val="48"/>
          <w:szCs w:val="48"/>
        </w:rPr>
      </w:pPr>
    </w:p>
    <w:p w14:paraId="3763E636">
      <w:pPr>
        <w:widowControl/>
        <w:jc w:val="center"/>
        <w:rPr>
          <w:rFonts w:hAnsi="黑体" w:eastAsia="黑体"/>
          <w:color w:val="000000"/>
          <w:sz w:val="48"/>
          <w:szCs w:val="48"/>
        </w:rPr>
      </w:pPr>
    </w:p>
    <w:p w14:paraId="06159390">
      <w:pPr>
        <w:widowControl/>
        <w:jc w:val="center"/>
        <w:rPr>
          <w:rFonts w:hAnsi="黑体" w:eastAsia="黑体"/>
          <w:color w:val="000000"/>
          <w:sz w:val="48"/>
          <w:szCs w:val="48"/>
        </w:rPr>
      </w:pPr>
    </w:p>
    <w:p w14:paraId="074A3182">
      <w:pPr>
        <w:pStyle w:val="4"/>
      </w:pPr>
    </w:p>
    <w:p w14:paraId="3B1C6F33">
      <w:pPr>
        <w:widowControl/>
        <w:jc w:val="center"/>
        <w:rPr>
          <w:rFonts w:hAnsi="黑体" w:eastAsia="黑体"/>
          <w:color w:val="000000"/>
          <w:sz w:val="48"/>
          <w:szCs w:val="48"/>
        </w:rPr>
      </w:pPr>
    </w:p>
    <w:p w14:paraId="6F141EC9">
      <w:pPr>
        <w:widowControl/>
        <w:jc w:val="center"/>
        <w:rPr>
          <w:rFonts w:hAnsi="黑体" w:eastAsia="黑体"/>
          <w:color w:val="000000"/>
          <w:sz w:val="48"/>
          <w:szCs w:val="48"/>
        </w:rPr>
      </w:pPr>
    </w:p>
    <w:p w14:paraId="05A2E873">
      <w:pPr>
        <w:widowControl/>
        <w:jc w:val="center"/>
        <w:rPr>
          <w:rFonts w:hAnsi="黑体" w:eastAsia="黑体"/>
          <w:color w:val="000000"/>
          <w:sz w:val="48"/>
          <w:szCs w:val="48"/>
        </w:rPr>
      </w:pPr>
    </w:p>
    <w:p w14:paraId="5A33C230">
      <w:pPr>
        <w:pStyle w:val="17"/>
        <w:adjustRightInd w:val="0"/>
        <w:snapToGrid w:val="0"/>
        <w:spacing w:before="0" w:line="360" w:lineRule="auto"/>
        <w:jc w:val="left"/>
        <w:rPr>
          <w:rFonts w:ascii="Times New Roman" w:hAnsi="Times New Roman" w:eastAsia="宋体"/>
          <w:sz w:val="21"/>
          <w:szCs w:val="24"/>
          <w:lang w:val="zh-CN"/>
        </w:rPr>
      </w:pPr>
      <w:bookmarkStart w:id="21" w:name="_Toc54341259"/>
      <w:bookmarkStart w:id="22" w:name="_Toc54341311"/>
      <w:bookmarkStart w:id="23" w:name="_Toc15377196"/>
      <w:bookmarkStart w:id="24" w:name="_Toc15396599"/>
    </w:p>
    <w:sdt>
      <w:sdtPr>
        <w:rPr>
          <w:rFonts w:ascii="Times New Roman" w:hAnsi="Times New Roman" w:eastAsia="宋体"/>
          <w:sz w:val="21"/>
          <w:szCs w:val="24"/>
          <w:lang w:val="zh-CN"/>
        </w:rPr>
        <w:id w:val="139692535"/>
        <w:docPartObj>
          <w:docPartGallery w:val="Table of Contents"/>
          <w:docPartUnique/>
        </w:docPartObj>
      </w:sdtPr>
      <w:sdtEndPr>
        <w:rPr>
          <w:rFonts w:ascii="Times New Roman" w:hAnsi="Times New Roman" w:eastAsia="仿宋_GB2312"/>
          <w:sz w:val="32"/>
          <w:szCs w:val="32"/>
          <w:lang w:val="en-US"/>
        </w:rPr>
      </w:sdtEndPr>
      <w:sdtContent>
        <w:p w14:paraId="2D251F5A">
          <w:pPr>
            <w:pStyle w:val="17"/>
            <w:adjustRightInd w:val="0"/>
            <w:snapToGrid w:val="0"/>
            <w:spacing w:before="0" w:line="594" w:lineRule="exact"/>
            <w:jc w:val="left"/>
            <w:outlineLvl w:val="0"/>
            <w:rPr>
              <w:rFonts w:ascii="Times New Roman" w:hAnsi="Times New Roman" w:eastAsia="宋体"/>
              <w:sz w:val="21"/>
              <w:szCs w:val="24"/>
              <w:lang w:val="zh-CN"/>
            </w:rPr>
          </w:pPr>
        </w:p>
        <w:p w14:paraId="70E94474">
          <w:pPr>
            <w:pStyle w:val="17"/>
            <w:adjustRightInd w:val="0"/>
            <w:snapToGrid w:val="0"/>
            <w:spacing w:before="0" w:line="594" w:lineRule="exact"/>
            <w:jc w:val="left"/>
            <w:outlineLvl w:val="0"/>
            <w:rPr>
              <w:rFonts w:ascii="Times New Roman" w:hAnsi="Times New Roman" w:eastAsia="宋体"/>
              <w:sz w:val="21"/>
              <w:szCs w:val="24"/>
              <w:lang w:val="zh-CN"/>
            </w:rPr>
          </w:pPr>
        </w:p>
        <w:p w14:paraId="6AFF2DC2">
          <w:pPr>
            <w:pStyle w:val="17"/>
            <w:adjustRightInd w:val="0"/>
            <w:snapToGrid w:val="0"/>
            <w:spacing w:before="0" w:line="594" w:lineRule="exact"/>
            <w:jc w:val="left"/>
            <w:outlineLvl w:val="0"/>
            <w:rPr>
              <w:rFonts w:ascii="Times New Roman" w:hAnsi="Times New Roman" w:eastAsia="仿宋_GB2312"/>
              <w:sz w:val="32"/>
              <w:szCs w:val="32"/>
            </w:rPr>
          </w:pPr>
          <w:r>
            <w:rPr>
              <w:rFonts w:ascii="Times New Roman" w:hAnsi="Times New Roman" w:eastAsia="仿宋_GB2312"/>
              <w:sz w:val="32"/>
              <w:szCs w:val="32"/>
            </w:rPr>
            <w:t>第一部分部门概况</w:t>
          </w:r>
          <w:r>
            <w:tab/>
          </w:r>
          <w:r>
            <w:rPr>
              <w:rFonts w:hint="eastAsia"/>
            </w:rPr>
            <w:t>1</w:t>
          </w:r>
        </w:p>
        <w:p w14:paraId="765BBB83">
          <w:pPr>
            <w:pStyle w:val="20"/>
            <w:adjustRightInd w:val="0"/>
            <w:snapToGrid w:val="0"/>
            <w:spacing w:line="594" w:lineRule="exact"/>
            <w:rPr>
              <w:rFonts w:eastAsia="仿宋_GB2312"/>
              <w:sz w:val="32"/>
              <w:szCs w:val="32"/>
            </w:rPr>
          </w:pPr>
          <w:r>
            <w:rPr>
              <w:rFonts w:eastAsia="仿宋_GB2312"/>
              <w:sz w:val="32"/>
              <w:szCs w:val="32"/>
            </w:rPr>
            <w:t>一、基本职能及主要工作</w:t>
          </w:r>
          <w:r>
            <w:rPr>
              <w:rFonts w:ascii="仿宋" w:hAnsi="仿宋" w:eastAsia="仿宋"/>
              <w:sz w:val="28"/>
              <w:szCs w:val="28"/>
            </w:rPr>
            <w:tab/>
          </w:r>
          <w:r>
            <w:rPr>
              <w:rFonts w:hint="eastAsia" w:ascii="仿宋" w:hAnsi="仿宋" w:eastAsia="仿宋"/>
              <w:sz w:val="28"/>
              <w:szCs w:val="28"/>
            </w:rPr>
            <w:t>1</w:t>
          </w:r>
        </w:p>
        <w:p w14:paraId="4EBADC37">
          <w:pPr>
            <w:pStyle w:val="20"/>
            <w:adjustRightInd w:val="0"/>
            <w:snapToGrid w:val="0"/>
            <w:spacing w:line="594" w:lineRule="exact"/>
            <w:jc w:val="left"/>
            <w:rPr>
              <w:rFonts w:eastAsia="仿宋_GB2312"/>
              <w:sz w:val="32"/>
              <w:szCs w:val="32"/>
            </w:rPr>
          </w:pPr>
          <w:r>
            <w:rPr>
              <w:rFonts w:eastAsia="仿宋_GB2312"/>
              <w:sz w:val="32"/>
              <w:szCs w:val="32"/>
            </w:rPr>
            <w:t>二、机构设置</w:t>
          </w:r>
          <w:r>
            <w:rPr>
              <w:rFonts w:ascii="仿宋" w:hAnsi="仿宋" w:eastAsia="仿宋"/>
              <w:sz w:val="28"/>
              <w:szCs w:val="28"/>
            </w:rPr>
            <w:tab/>
          </w:r>
          <w:r>
            <w:rPr>
              <w:rFonts w:hint="eastAsia" w:ascii="仿宋" w:hAnsi="仿宋" w:eastAsia="仿宋"/>
              <w:sz w:val="28"/>
              <w:szCs w:val="28"/>
            </w:rPr>
            <w:t>2</w:t>
          </w:r>
        </w:p>
        <w:p w14:paraId="7FE74941">
          <w:pPr>
            <w:pStyle w:val="17"/>
            <w:adjustRightInd w:val="0"/>
            <w:snapToGrid w:val="0"/>
            <w:spacing w:before="0" w:line="594" w:lineRule="exact"/>
            <w:jc w:val="left"/>
            <w:rPr>
              <w:rFonts w:ascii="Times New Roman" w:hAnsi="Times New Roman"/>
              <w:sz w:val="32"/>
              <w:szCs w:val="32"/>
            </w:rPr>
          </w:pPr>
          <w:r>
            <w:rPr>
              <w:rFonts w:ascii="Times New Roman" w:hAnsi="Times New Roman" w:eastAsia="仿宋_GB2312"/>
              <w:sz w:val="32"/>
              <w:szCs w:val="32"/>
            </w:rPr>
            <w:t>第二部分度部门决算情况说明</w:t>
          </w:r>
          <w:r>
            <w:tab/>
          </w:r>
          <w:r>
            <w:rPr>
              <w:rFonts w:hint="eastAsia"/>
            </w:rPr>
            <w:t>3</w:t>
          </w:r>
        </w:p>
        <w:p w14:paraId="7536757C">
          <w:pPr>
            <w:pStyle w:val="20"/>
            <w:adjustRightInd w:val="0"/>
            <w:snapToGrid w:val="0"/>
            <w:spacing w:line="594" w:lineRule="exact"/>
            <w:jc w:val="left"/>
            <w:rPr>
              <w:rFonts w:eastAsia="仿宋"/>
              <w:sz w:val="32"/>
              <w:szCs w:val="32"/>
            </w:rPr>
          </w:pPr>
          <w:r>
            <w:rPr>
              <w:rFonts w:eastAsia="仿宋_GB2312"/>
              <w:sz w:val="32"/>
              <w:szCs w:val="32"/>
            </w:rPr>
            <w:t>一、收入支出决算总体情况说明</w:t>
          </w:r>
          <w:r>
            <w:rPr>
              <w:rFonts w:ascii="仿宋" w:hAnsi="仿宋" w:eastAsia="仿宋"/>
              <w:sz w:val="28"/>
              <w:szCs w:val="28"/>
            </w:rPr>
            <w:tab/>
          </w:r>
          <w:r>
            <w:rPr>
              <w:rFonts w:hint="eastAsia" w:ascii="仿宋" w:hAnsi="仿宋" w:eastAsia="仿宋"/>
              <w:sz w:val="28"/>
              <w:szCs w:val="28"/>
            </w:rPr>
            <w:t>3</w:t>
          </w:r>
        </w:p>
        <w:p w14:paraId="1480967B">
          <w:pPr>
            <w:pStyle w:val="20"/>
            <w:adjustRightInd w:val="0"/>
            <w:snapToGrid w:val="0"/>
            <w:spacing w:line="594" w:lineRule="exact"/>
            <w:jc w:val="left"/>
            <w:rPr>
              <w:rFonts w:eastAsia="仿宋"/>
              <w:sz w:val="32"/>
              <w:szCs w:val="32"/>
            </w:rPr>
          </w:pPr>
          <w:r>
            <w:rPr>
              <w:rFonts w:eastAsia="仿宋_GB2312"/>
              <w:sz w:val="32"/>
              <w:szCs w:val="32"/>
            </w:rPr>
            <w:t>二、收入决算情况说明</w:t>
          </w:r>
          <w:r>
            <w:rPr>
              <w:rFonts w:ascii="仿宋" w:hAnsi="仿宋" w:eastAsia="仿宋"/>
              <w:sz w:val="28"/>
              <w:szCs w:val="28"/>
            </w:rPr>
            <w:tab/>
          </w:r>
          <w:r>
            <w:rPr>
              <w:rFonts w:hint="eastAsia" w:ascii="仿宋" w:hAnsi="仿宋" w:eastAsia="仿宋"/>
              <w:sz w:val="28"/>
              <w:szCs w:val="28"/>
            </w:rPr>
            <w:t>4</w:t>
          </w:r>
        </w:p>
        <w:p w14:paraId="3C01E041">
          <w:pPr>
            <w:pStyle w:val="20"/>
            <w:adjustRightInd w:val="0"/>
            <w:snapToGrid w:val="0"/>
            <w:spacing w:line="594" w:lineRule="exact"/>
            <w:jc w:val="left"/>
            <w:rPr>
              <w:rFonts w:eastAsia="仿宋"/>
              <w:sz w:val="32"/>
              <w:szCs w:val="32"/>
            </w:rPr>
          </w:pPr>
          <w:r>
            <w:rPr>
              <w:rFonts w:eastAsia="仿宋_GB2312"/>
              <w:sz w:val="32"/>
              <w:szCs w:val="32"/>
            </w:rPr>
            <w:t>三、支出决算情况说明</w:t>
          </w:r>
          <w:r>
            <w:rPr>
              <w:rFonts w:ascii="仿宋" w:hAnsi="仿宋" w:eastAsia="仿宋"/>
              <w:sz w:val="28"/>
              <w:szCs w:val="28"/>
            </w:rPr>
            <w:tab/>
          </w:r>
          <w:r>
            <w:rPr>
              <w:rFonts w:hint="eastAsia" w:ascii="仿宋" w:hAnsi="仿宋" w:eastAsia="仿宋"/>
              <w:sz w:val="28"/>
              <w:szCs w:val="28"/>
            </w:rPr>
            <w:t>4</w:t>
          </w:r>
        </w:p>
        <w:p w14:paraId="21EE8C1F">
          <w:pPr>
            <w:pStyle w:val="20"/>
            <w:adjustRightInd w:val="0"/>
            <w:snapToGrid w:val="0"/>
            <w:spacing w:line="594" w:lineRule="exact"/>
            <w:jc w:val="left"/>
            <w:rPr>
              <w:rFonts w:eastAsia="仿宋"/>
              <w:sz w:val="32"/>
              <w:szCs w:val="32"/>
            </w:rPr>
          </w:pPr>
          <w:r>
            <w:rPr>
              <w:rFonts w:eastAsia="仿宋_GB2312"/>
              <w:sz w:val="32"/>
              <w:szCs w:val="32"/>
            </w:rPr>
            <w:t>四、财政拨款收入支出决算总体情况说明</w:t>
          </w:r>
          <w:r>
            <w:rPr>
              <w:rFonts w:ascii="仿宋" w:hAnsi="仿宋" w:eastAsia="仿宋"/>
              <w:sz w:val="28"/>
              <w:szCs w:val="28"/>
            </w:rPr>
            <w:tab/>
          </w:r>
          <w:r>
            <w:rPr>
              <w:rFonts w:hint="eastAsia" w:ascii="仿宋" w:hAnsi="仿宋" w:eastAsia="仿宋"/>
              <w:sz w:val="28"/>
              <w:szCs w:val="28"/>
            </w:rPr>
            <w:t>5</w:t>
          </w:r>
        </w:p>
        <w:p w14:paraId="47DC28E3">
          <w:pPr>
            <w:pStyle w:val="20"/>
            <w:adjustRightInd w:val="0"/>
            <w:snapToGrid w:val="0"/>
            <w:spacing w:line="594" w:lineRule="exact"/>
            <w:jc w:val="left"/>
            <w:rPr>
              <w:rFonts w:eastAsia="仿宋_GB2312"/>
              <w:sz w:val="32"/>
              <w:szCs w:val="32"/>
            </w:rPr>
          </w:pPr>
          <w:r>
            <w:rPr>
              <w:rFonts w:eastAsia="仿宋_GB2312"/>
              <w:sz w:val="32"/>
              <w:szCs w:val="32"/>
            </w:rPr>
            <w:t>五、一般公共预算财政拨款支出决算情况说明</w:t>
          </w:r>
          <w:r>
            <w:rPr>
              <w:rFonts w:ascii="仿宋" w:hAnsi="仿宋" w:eastAsia="仿宋"/>
              <w:sz w:val="28"/>
              <w:szCs w:val="28"/>
            </w:rPr>
            <w:tab/>
          </w:r>
          <w:r>
            <w:rPr>
              <w:rFonts w:hint="eastAsia" w:ascii="仿宋" w:hAnsi="仿宋" w:eastAsia="仿宋"/>
              <w:sz w:val="28"/>
              <w:szCs w:val="28"/>
            </w:rPr>
            <w:t>6</w:t>
          </w:r>
        </w:p>
        <w:p w14:paraId="1617A88B">
          <w:pPr>
            <w:pStyle w:val="20"/>
            <w:adjustRightInd w:val="0"/>
            <w:snapToGrid w:val="0"/>
            <w:spacing w:line="594" w:lineRule="exact"/>
            <w:jc w:val="left"/>
            <w:rPr>
              <w:rFonts w:ascii="仿宋" w:hAnsi="仿宋" w:eastAsia="仿宋"/>
              <w:sz w:val="28"/>
              <w:szCs w:val="28"/>
            </w:rPr>
          </w:pPr>
          <w:r>
            <w:rPr>
              <w:rFonts w:eastAsia="仿宋_GB2312"/>
              <w:sz w:val="32"/>
              <w:szCs w:val="32"/>
            </w:rPr>
            <w:t>六、一般公共预算财政拨款基本支出决算情况说明</w:t>
          </w:r>
          <w:r>
            <w:rPr>
              <w:rFonts w:ascii="仿宋" w:hAnsi="仿宋" w:eastAsia="仿宋"/>
              <w:sz w:val="28"/>
              <w:szCs w:val="28"/>
            </w:rPr>
            <w:tab/>
          </w:r>
          <w:r>
            <w:rPr>
              <w:rFonts w:hint="eastAsia" w:ascii="仿宋" w:hAnsi="仿宋" w:eastAsia="仿宋"/>
              <w:sz w:val="28"/>
              <w:szCs w:val="28"/>
            </w:rPr>
            <w:t>11</w:t>
          </w:r>
        </w:p>
        <w:p w14:paraId="535FD8FB">
          <w:pPr>
            <w:pStyle w:val="20"/>
            <w:adjustRightInd w:val="0"/>
            <w:snapToGrid w:val="0"/>
            <w:spacing w:line="594" w:lineRule="exact"/>
            <w:jc w:val="left"/>
            <w:rPr>
              <w:rFonts w:eastAsia="仿宋"/>
              <w:sz w:val="32"/>
              <w:szCs w:val="32"/>
            </w:rPr>
          </w:pPr>
          <w:r>
            <w:rPr>
              <w:rFonts w:eastAsia="仿宋_GB2312"/>
              <w:sz w:val="32"/>
              <w:szCs w:val="32"/>
            </w:rPr>
            <w:t>七、“三公”经费财政拨款支出决算情况说明</w:t>
          </w:r>
          <w:r>
            <w:rPr>
              <w:rFonts w:ascii="仿宋" w:hAnsi="仿宋" w:eastAsia="仿宋"/>
              <w:sz w:val="28"/>
              <w:szCs w:val="28"/>
            </w:rPr>
            <w:tab/>
          </w:r>
          <w:r>
            <w:rPr>
              <w:rFonts w:hint="eastAsia" w:ascii="仿宋" w:hAnsi="仿宋" w:eastAsia="仿宋"/>
              <w:sz w:val="28"/>
              <w:szCs w:val="28"/>
            </w:rPr>
            <w:t>12</w:t>
          </w:r>
        </w:p>
        <w:p w14:paraId="1D777EB6">
          <w:pPr>
            <w:pStyle w:val="20"/>
            <w:adjustRightInd w:val="0"/>
            <w:snapToGrid w:val="0"/>
            <w:spacing w:line="594" w:lineRule="exact"/>
            <w:jc w:val="left"/>
            <w:rPr>
              <w:rFonts w:eastAsia="仿宋"/>
              <w:sz w:val="32"/>
              <w:szCs w:val="32"/>
            </w:rPr>
          </w:pPr>
          <w:r>
            <w:rPr>
              <w:rFonts w:eastAsia="仿宋_GB2312"/>
              <w:sz w:val="32"/>
              <w:szCs w:val="32"/>
            </w:rPr>
            <w:t>八、政府性基金预算支出决算情况说明</w:t>
          </w:r>
          <w:r>
            <w:rPr>
              <w:rFonts w:ascii="仿宋" w:hAnsi="仿宋" w:eastAsia="仿宋"/>
              <w:sz w:val="28"/>
              <w:szCs w:val="28"/>
            </w:rPr>
            <w:tab/>
          </w:r>
          <w:r>
            <w:rPr>
              <w:rFonts w:hint="eastAsia" w:ascii="仿宋" w:hAnsi="仿宋" w:eastAsia="仿宋"/>
              <w:sz w:val="28"/>
              <w:szCs w:val="28"/>
            </w:rPr>
            <w:t>13</w:t>
          </w:r>
        </w:p>
        <w:p w14:paraId="3D5600DC">
          <w:pPr>
            <w:pStyle w:val="20"/>
            <w:adjustRightInd w:val="0"/>
            <w:snapToGrid w:val="0"/>
            <w:spacing w:line="594" w:lineRule="exact"/>
            <w:ind w:leftChars="0"/>
            <w:jc w:val="left"/>
            <w:rPr>
              <w:rFonts w:eastAsia="仿宋"/>
              <w:sz w:val="32"/>
              <w:szCs w:val="32"/>
            </w:rPr>
          </w:pPr>
          <w:r>
            <w:rPr>
              <w:rFonts w:eastAsia="仿宋_GB2312"/>
              <w:sz w:val="32"/>
              <w:szCs w:val="32"/>
            </w:rPr>
            <w:t>九、 国有资本经营预算支出决算情况说明</w:t>
          </w:r>
          <w:r>
            <w:rPr>
              <w:rFonts w:ascii="仿宋" w:hAnsi="仿宋" w:eastAsia="仿宋"/>
              <w:sz w:val="28"/>
              <w:szCs w:val="28"/>
            </w:rPr>
            <w:tab/>
          </w:r>
          <w:r>
            <w:rPr>
              <w:rFonts w:hint="eastAsia" w:ascii="仿宋" w:hAnsi="仿宋" w:eastAsia="仿宋"/>
              <w:sz w:val="28"/>
              <w:szCs w:val="28"/>
            </w:rPr>
            <w:t>13</w:t>
          </w:r>
        </w:p>
        <w:p w14:paraId="24122EDF">
          <w:pPr>
            <w:pStyle w:val="20"/>
            <w:adjustRightInd w:val="0"/>
            <w:snapToGrid w:val="0"/>
            <w:spacing w:line="594" w:lineRule="exact"/>
            <w:jc w:val="left"/>
            <w:rPr>
              <w:rFonts w:eastAsia="仿宋_GB2312"/>
              <w:sz w:val="32"/>
              <w:szCs w:val="32"/>
            </w:rPr>
          </w:pPr>
          <w:r>
            <w:rPr>
              <w:rStyle w:val="25"/>
              <w:rFonts w:eastAsia="仿宋_GB2312"/>
              <w:color w:val="000000" w:themeColor="text1"/>
              <w:sz w:val="32"/>
              <w:szCs w:val="32"/>
              <w:u w:val="none"/>
            </w:rPr>
            <w:t>十、</w:t>
          </w:r>
          <w:r>
            <w:rPr>
              <w:rFonts w:eastAsia="仿宋_GB2312"/>
              <w:sz w:val="32"/>
              <w:szCs w:val="32"/>
            </w:rPr>
            <w:t>其他重要事项的情况说明</w:t>
          </w:r>
          <w:r>
            <w:rPr>
              <w:rFonts w:ascii="仿宋" w:hAnsi="仿宋" w:eastAsia="仿宋"/>
              <w:sz w:val="28"/>
              <w:szCs w:val="28"/>
            </w:rPr>
            <w:tab/>
          </w:r>
          <w:r>
            <w:rPr>
              <w:rFonts w:hint="eastAsia" w:ascii="仿宋" w:hAnsi="仿宋" w:eastAsia="仿宋"/>
              <w:sz w:val="28"/>
              <w:szCs w:val="28"/>
            </w:rPr>
            <w:t>13</w:t>
          </w:r>
        </w:p>
        <w:p w14:paraId="528328CB">
          <w:pPr>
            <w:pStyle w:val="17"/>
            <w:adjustRightInd w:val="0"/>
            <w:snapToGrid w:val="0"/>
            <w:spacing w:before="0" w:line="594" w:lineRule="exact"/>
            <w:jc w:val="left"/>
            <w:rPr>
              <w:rFonts w:ascii="Times New Roman" w:hAnsi="Times New Roman" w:eastAsia="仿宋_GB2312"/>
              <w:sz w:val="32"/>
              <w:szCs w:val="32"/>
            </w:rPr>
          </w:pPr>
          <w:r>
            <w:rPr>
              <w:rFonts w:ascii="Times New Roman" w:hAnsi="Times New Roman" w:eastAsia="仿宋_GB2312"/>
              <w:sz w:val="32"/>
              <w:szCs w:val="32"/>
            </w:rPr>
            <w:t>第三部分名词解释</w:t>
          </w:r>
          <w:r>
            <w:tab/>
          </w:r>
          <w:r>
            <w:rPr>
              <w:rFonts w:hint="eastAsia"/>
            </w:rPr>
            <w:t>21</w:t>
          </w:r>
        </w:p>
        <w:p w14:paraId="199A6204">
          <w:pPr>
            <w:pStyle w:val="17"/>
            <w:adjustRightInd w:val="0"/>
            <w:snapToGrid w:val="0"/>
            <w:spacing w:before="0" w:line="594" w:lineRule="exact"/>
            <w:jc w:val="left"/>
            <w:rPr>
              <w:rFonts w:ascii="Times New Roman" w:hAnsi="Times New Roman"/>
              <w:sz w:val="32"/>
              <w:szCs w:val="32"/>
            </w:rPr>
          </w:pPr>
          <w:r>
            <w:rPr>
              <w:rFonts w:ascii="Times New Roman" w:hAnsi="Times New Roman" w:eastAsia="仿宋_GB2312"/>
              <w:sz w:val="32"/>
              <w:szCs w:val="32"/>
            </w:rPr>
            <w:t>第四部分附件</w:t>
          </w:r>
          <w:r>
            <w:tab/>
          </w:r>
          <w:r>
            <w:rPr>
              <w:rFonts w:hint="eastAsia"/>
            </w:rPr>
            <w:t>27</w:t>
          </w:r>
        </w:p>
        <w:p w14:paraId="25E18BE6">
          <w:pPr>
            <w:pStyle w:val="20"/>
            <w:adjustRightInd w:val="0"/>
            <w:snapToGrid w:val="0"/>
            <w:spacing w:line="594" w:lineRule="exact"/>
            <w:jc w:val="left"/>
            <w:rPr>
              <w:rFonts w:eastAsia="仿宋"/>
              <w:sz w:val="32"/>
              <w:szCs w:val="32"/>
            </w:rPr>
          </w:pPr>
          <w:r>
            <w:rPr>
              <w:rFonts w:eastAsia="仿宋_GB2312"/>
              <w:sz w:val="32"/>
              <w:szCs w:val="32"/>
            </w:rPr>
            <w:t>附件1</w:t>
          </w:r>
          <w:r>
            <w:rPr>
              <w:rFonts w:ascii="仿宋" w:hAnsi="仿宋" w:eastAsia="仿宋"/>
              <w:sz w:val="28"/>
              <w:szCs w:val="28"/>
            </w:rPr>
            <w:tab/>
          </w:r>
          <w:r>
            <w:rPr>
              <w:rFonts w:hint="eastAsia" w:ascii="仿宋" w:hAnsi="仿宋" w:eastAsia="仿宋"/>
              <w:sz w:val="28"/>
              <w:szCs w:val="28"/>
            </w:rPr>
            <w:t>27</w:t>
          </w:r>
        </w:p>
        <w:p w14:paraId="0708A2E4">
          <w:pPr>
            <w:pStyle w:val="20"/>
            <w:adjustRightInd w:val="0"/>
            <w:snapToGrid w:val="0"/>
            <w:spacing w:line="594" w:lineRule="exact"/>
            <w:jc w:val="left"/>
            <w:rPr>
              <w:rFonts w:ascii="仿宋" w:hAnsi="仿宋" w:eastAsia="仿宋"/>
              <w:sz w:val="28"/>
              <w:szCs w:val="28"/>
            </w:rPr>
          </w:pPr>
          <w:r>
            <w:rPr>
              <w:rFonts w:eastAsia="仿宋_GB2312"/>
              <w:sz w:val="32"/>
              <w:szCs w:val="32"/>
            </w:rPr>
            <w:t>附件2</w:t>
          </w:r>
          <w:r>
            <w:rPr>
              <w:rFonts w:ascii="仿宋" w:hAnsi="仿宋" w:eastAsia="仿宋"/>
              <w:sz w:val="28"/>
              <w:szCs w:val="28"/>
            </w:rPr>
            <w:tab/>
          </w:r>
          <w:r>
            <w:rPr>
              <w:rFonts w:hint="eastAsia" w:ascii="仿宋" w:hAnsi="仿宋" w:eastAsia="仿宋"/>
              <w:sz w:val="28"/>
              <w:szCs w:val="28"/>
            </w:rPr>
            <w:t>34</w:t>
          </w:r>
        </w:p>
        <w:p w14:paraId="74E419A8">
          <w:pPr>
            <w:pStyle w:val="20"/>
            <w:adjustRightInd w:val="0"/>
            <w:snapToGrid w:val="0"/>
            <w:spacing w:line="594" w:lineRule="exact"/>
            <w:jc w:val="left"/>
            <w:rPr>
              <w:rFonts w:eastAsia="仿宋_GB2312"/>
              <w:sz w:val="32"/>
              <w:szCs w:val="32"/>
            </w:rPr>
          </w:pPr>
          <w:r>
            <w:rPr>
              <w:rFonts w:hint="eastAsia" w:eastAsia="仿宋_GB2312"/>
              <w:sz w:val="32"/>
              <w:szCs w:val="32"/>
            </w:rPr>
            <w:t>附件3</w:t>
          </w:r>
          <w:r>
            <w:rPr>
              <w:rFonts w:ascii="仿宋" w:hAnsi="仿宋" w:eastAsia="仿宋"/>
              <w:sz w:val="28"/>
              <w:szCs w:val="28"/>
            </w:rPr>
            <w:tab/>
          </w:r>
          <w:r>
            <w:rPr>
              <w:rFonts w:hint="eastAsia" w:eastAsia="仿宋_GB2312"/>
              <w:sz w:val="32"/>
              <w:szCs w:val="32"/>
            </w:rPr>
            <w:t>36</w:t>
          </w:r>
        </w:p>
        <w:p w14:paraId="62111EC4">
          <w:pPr>
            <w:pStyle w:val="20"/>
            <w:adjustRightInd w:val="0"/>
            <w:snapToGrid w:val="0"/>
            <w:spacing w:line="594" w:lineRule="exact"/>
            <w:jc w:val="left"/>
            <w:rPr>
              <w:rFonts w:eastAsia="仿宋_GB2312"/>
              <w:sz w:val="32"/>
              <w:szCs w:val="32"/>
            </w:rPr>
          </w:pPr>
          <w:r>
            <w:rPr>
              <w:rFonts w:hint="eastAsia" w:eastAsia="仿宋_GB2312"/>
              <w:sz w:val="32"/>
              <w:szCs w:val="32"/>
            </w:rPr>
            <w:t>附件4</w:t>
          </w:r>
          <w:r>
            <w:rPr>
              <w:rFonts w:ascii="仿宋" w:hAnsi="仿宋" w:eastAsia="仿宋"/>
              <w:sz w:val="28"/>
              <w:szCs w:val="28"/>
            </w:rPr>
            <w:tab/>
          </w:r>
          <w:r>
            <w:rPr>
              <w:rFonts w:hint="eastAsia" w:eastAsia="仿宋_GB2312"/>
              <w:sz w:val="32"/>
              <w:szCs w:val="32"/>
            </w:rPr>
            <w:t>39</w:t>
          </w:r>
        </w:p>
        <w:p w14:paraId="5E5043AA">
          <w:pPr>
            <w:pStyle w:val="20"/>
            <w:adjustRightInd w:val="0"/>
            <w:snapToGrid w:val="0"/>
            <w:spacing w:line="594" w:lineRule="exact"/>
            <w:jc w:val="left"/>
            <w:rPr>
              <w:rFonts w:eastAsia="仿宋_GB2312"/>
              <w:sz w:val="32"/>
              <w:szCs w:val="32"/>
            </w:rPr>
          </w:pPr>
          <w:r>
            <w:rPr>
              <w:rFonts w:hint="eastAsia" w:eastAsia="仿宋_GB2312"/>
              <w:sz w:val="32"/>
              <w:szCs w:val="32"/>
            </w:rPr>
            <w:t xml:space="preserve">附件5 </w:t>
          </w:r>
          <w:r>
            <w:rPr>
              <w:rFonts w:ascii="仿宋" w:hAnsi="仿宋" w:eastAsia="仿宋"/>
              <w:sz w:val="28"/>
              <w:szCs w:val="28"/>
            </w:rPr>
            <w:tab/>
          </w:r>
          <w:r>
            <w:rPr>
              <w:rFonts w:hint="eastAsia" w:eastAsia="仿宋_GB2312"/>
              <w:sz w:val="32"/>
              <w:szCs w:val="32"/>
            </w:rPr>
            <w:t>.41</w:t>
          </w:r>
        </w:p>
        <w:p w14:paraId="2F308AD9">
          <w:pPr>
            <w:pStyle w:val="20"/>
            <w:adjustRightInd w:val="0"/>
            <w:snapToGrid w:val="0"/>
            <w:spacing w:line="594" w:lineRule="exact"/>
            <w:jc w:val="left"/>
            <w:rPr>
              <w:rFonts w:eastAsia="仿宋_GB2312"/>
              <w:sz w:val="32"/>
              <w:szCs w:val="32"/>
            </w:rPr>
          </w:pPr>
          <w:r>
            <w:rPr>
              <w:rFonts w:hint="eastAsia" w:eastAsia="仿宋_GB2312"/>
              <w:sz w:val="32"/>
              <w:szCs w:val="32"/>
            </w:rPr>
            <w:t xml:space="preserve">附件6 </w:t>
          </w:r>
          <w:r>
            <w:rPr>
              <w:rFonts w:ascii="仿宋" w:hAnsi="仿宋" w:eastAsia="仿宋"/>
              <w:sz w:val="28"/>
              <w:szCs w:val="28"/>
            </w:rPr>
            <w:tab/>
          </w:r>
          <w:r>
            <w:rPr>
              <w:rFonts w:hint="eastAsia" w:eastAsia="仿宋_GB2312"/>
              <w:sz w:val="32"/>
              <w:szCs w:val="32"/>
            </w:rPr>
            <w:t>44</w:t>
          </w:r>
        </w:p>
        <w:p w14:paraId="5BB5494E">
          <w:pPr>
            <w:pStyle w:val="17"/>
            <w:adjustRightInd w:val="0"/>
            <w:snapToGrid w:val="0"/>
            <w:spacing w:before="0" w:line="594" w:lineRule="exact"/>
            <w:jc w:val="left"/>
            <w:rPr>
              <w:rFonts w:ascii="Times New Roman" w:hAnsi="Times New Roman"/>
              <w:sz w:val="32"/>
              <w:szCs w:val="32"/>
            </w:rPr>
          </w:pPr>
          <w:r>
            <w:rPr>
              <w:rFonts w:ascii="Times New Roman" w:hAnsi="Times New Roman" w:eastAsia="仿宋_GB2312"/>
              <w:sz w:val="32"/>
              <w:szCs w:val="32"/>
            </w:rPr>
            <w:t>第五部分附表</w:t>
          </w:r>
          <w:r>
            <w:tab/>
          </w:r>
          <w:r>
            <w:rPr>
              <w:rFonts w:hint="eastAsia"/>
            </w:rPr>
            <w:t>47</w:t>
          </w:r>
        </w:p>
        <w:p w14:paraId="436264CE">
          <w:pPr>
            <w:pStyle w:val="20"/>
            <w:adjustRightInd w:val="0"/>
            <w:snapToGrid w:val="0"/>
            <w:spacing w:line="594" w:lineRule="exact"/>
            <w:jc w:val="left"/>
            <w:rPr>
              <w:rFonts w:eastAsia="仿宋"/>
              <w:sz w:val="32"/>
              <w:szCs w:val="32"/>
            </w:rPr>
          </w:pPr>
          <w:r>
            <w:rPr>
              <w:rFonts w:eastAsia="仿宋_GB2312"/>
              <w:sz w:val="32"/>
              <w:szCs w:val="32"/>
            </w:rPr>
            <w:t>一、收入支出决算总表</w:t>
          </w:r>
          <w:r>
            <w:rPr>
              <w:rFonts w:ascii="仿宋" w:hAnsi="仿宋" w:eastAsia="仿宋"/>
              <w:sz w:val="28"/>
              <w:szCs w:val="28"/>
            </w:rPr>
            <w:tab/>
          </w:r>
          <w:r>
            <w:rPr>
              <w:rFonts w:hint="eastAsia" w:ascii="仿宋" w:hAnsi="仿宋" w:eastAsia="仿宋"/>
              <w:sz w:val="28"/>
              <w:szCs w:val="28"/>
            </w:rPr>
            <w:t>47</w:t>
          </w:r>
        </w:p>
        <w:p w14:paraId="6AD51769">
          <w:pPr>
            <w:pStyle w:val="20"/>
            <w:adjustRightInd w:val="0"/>
            <w:snapToGrid w:val="0"/>
            <w:spacing w:line="594" w:lineRule="exact"/>
            <w:jc w:val="left"/>
            <w:rPr>
              <w:rFonts w:eastAsia="仿宋"/>
              <w:sz w:val="32"/>
              <w:szCs w:val="32"/>
            </w:rPr>
          </w:pPr>
          <w:r>
            <w:rPr>
              <w:rFonts w:eastAsia="仿宋_GB2312"/>
              <w:sz w:val="32"/>
              <w:szCs w:val="32"/>
            </w:rPr>
            <w:t>二、收入决算表</w:t>
          </w:r>
          <w:r>
            <w:rPr>
              <w:rFonts w:ascii="仿宋" w:hAnsi="仿宋" w:eastAsia="仿宋"/>
              <w:sz w:val="28"/>
              <w:szCs w:val="28"/>
            </w:rPr>
            <w:tab/>
          </w:r>
          <w:r>
            <w:rPr>
              <w:rFonts w:hint="eastAsia" w:ascii="仿宋" w:hAnsi="仿宋" w:eastAsia="仿宋"/>
              <w:sz w:val="28"/>
              <w:szCs w:val="28"/>
            </w:rPr>
            <w:t>47</w:t>
          </w:r>
        </w:p>
        <w:p w14:paraId="05777404">
          <w:pPr>
            <w:pStyle w:val="20"/>
            <w:adjustRightInd w:val="0"/>
            <w:snapToGrid w:val="0"/>
            <w:spacing w:line="594" w:lineRule="exact"/>
            <w:jc w:val="left"/>
            <w:rPr>
              <w:rFonts w:eastAsia="仿宋"/>
              <w:sz w:val="32"/>
              <w:szCs w:val="32"/>
            </w:rPr>
          </w:pPr>
          <w:r>
            <w:rPr>
              <w:rFonts w:eastAsia="仿宋_GB2312"/>
              <w:sz w:val="32"/>
              <w:szCs w:val="32"/>
            </w:rPr>
            <w:t>三、支出决算表</w:t>
          </w:r>
          <w:r>
            <w:rPr>
              <w:rFonts w:ascii="仿宋" w:hAnsi="仿宋" w:eastAsia="仿宋"/>
              <w:sz w:val="28"/>
              <w:szCs w:val="28"/>
            </w:rPr>
            <w:tab/>
          </w:r>
          <w:r>
            <w:rPr>
              <w:rFonts w:hint="eastAsia" w:ascii="仿宋" w:hAnsi="仿宋" w:eastAsia="仿宋"/>
              <w:sz w:val="28"/>
              <w:szCs w:val="28"/>
            </w:rPr>
            <w:t>47</w:t>
          </w:r>
        </w:p>
        <w:p w14:paraId="2B28EBD1">
          <w:pPr>
            <w:pStyle w:val="20"/>
            <w:adjustRightInd w:val="0"/>
            <w:snapToGrid w:val="0"/>
            <w:spacing w:line="594" w:lineRule="exact"/>
            <w:jc w:val="left"/>
            <w:rPr>
              <w:rFonts w:eastAsia="仿宋"/>
              <w:sz w:val="32"/>
              <w:szCs w:val="32"/>
            </w:rPr>
          </w:pPr>
          <w:r>
            <w:rPr>
              <w:rFonts w:eastAsia="仿宋_GB2312"/>
              <w:sz w:val="32"/>
              <w:szCs w:val="32"/>
            </w:rPr>
            <w:t>四、财政拨款收入支出决算总表</w:t>
          </w:r>
          <w:r>
            <w:rPr>
              <w:rFonts w:ascii="仿宋" w:hAnsi="仿宋" w:eastAsia="仿宋"/>
              <w:sz w:val="28"/>
              <w:szCs w:val="28"/>
            </w:rPr>
            <w:tab/>
          </w:r>
          <w:r>
            <w:rPr>
              <w:rFonts w:hint="eastAsia" w:ascii="仿宋" w:hAnsi="仿宋" w:eastAsia="仿宋"/>
              <w:sz w:val="28"/>
              <w:szCs w:val="28"/>
            </w:rPr>
            <w:t>47</w:t>
          </w:r>
        </w:p>
        <w:p w14:paraId="7A18F3CA">
          <w:pPr>
            <w:pStyle w:val="20"/>
            <w:adjustRightInd w:val="0"/>
            <w:snapToGrid w:val="0"/>
            <w:spacing w:line="594" w:lineRule="exact"/>
            <w:jc w:val="left"/>
            <w:rPr>
              <w:rFonts w:eastAsia="仿宋"/>
              <w:sz w:val="32"/>
              <w:szCs w:val="32"/>
            </w:rPr>
          </w:pPr>
          <w:r>
            <w:rPr>
              <w:rFonts w:eastAsia="仿宋_GB2312"/>
              <w:sz w:val="32"/>
              <w:szCs w:val="32"/>
            </w:rPr>
            <w:t>五、财政拨款支出决算明细表</w:t>
          </w:r>
          <w:r>
            <w:rPr>
              <w:rFonts w:ascii="仿宋" w:hAnsi="仿宋" w:eastAsia="仿宋"/>
              <w:sz w:val="28"/>
              <w:szCs w:val="28"/>
            </w:rPr>
            <w:tab/>
          </w:r>
          <w:r>
            <w:rPr>
              <w:rFonts w:hint="eastAsia" w:ascii="仿宋" w:hAnsi="仿宋" w:eastAsia="仿宋"/>
              <w:sz w:val="28"/>
              <w:szCs w:val="28"/>
            </w:rPr>
            <w:t>47</w:t>
          </w:r>
        </w:p>
        <w:p w14:paraId="2800B482">
          <w:pPr>
            <w:pStyle w:val="20"/>
            <w:adjustRightInd w:val="0"/>
            <w:snapToGrid w:val="0"/>
            <w:spacing w:line="594" w:lineRule="exact"/>
            <w:jc w:val="left"/>
            <w:rPr>
              <w:rFonts w:eastAsia="仿宋"/>
              <w:sz w:val="32"/>
              <w:szCs w:val="32"/>
            </w:rPr>
          </w:pPr>
          <w:r>
            <w:rPr>
              <w:rFonts w:eastAsia="仿宋_GB2312"/>
              <w:sz w:val="32"/>
              <w:szCs w:val="32"/>
            </w:rPr>
            <w:t>六、一般公共预算财政拨款支出决算表</w:t>
          </w:r>
          <w:r>
            <w:rPr>
              <w:rFonts w:ascii="仿宋" w:hAnsi="仿宋" w:eastAsia="仿宋"/>
              <w:sz w:val="28"/>
              <w:szCs w:val="28"/>
            </w:rPr>
            <w:tab/>
          </w:r>
          <w:r>
            <w:rPr>
              <w:rFonts w:hint="eastAsia" w:ascii="仿宋" w:hAnsi="仿宋" w:eastAsia="仿宋"/>
              <w:sz w:val="28"/>
              <w:szCs w:val="28"/>
            </w:rPr>
            <w:t>47</w:t>
          </w:r>
        </w:p>
        <w:p w14:paraId="71FD15A5">
          <w:pPr>
            <w:pStyle w:val="20"/>
            <w:adjustRightInd w:val="0"/>
            <w:snapToGrid w:val="0"/>
            <w:spacing w:line="594" w:lineRule="exact"/>
            <w:jc w:val="left"/>
            <w:rPr>
              <w:rFonts w:eastAsia="仿宋"/>
              <w:sz w:val="32"/>
              <w:szCs w:val="32"/>
            </w:rPr>
          </w:pPr>
          <w:r>
            <w:rPr>
              <w:rFonts w:eastAsia="仿宋_GB2312"/>
              <w:sz w:val="32"/>
              <w:szCs w:val="32"/>
            </w:rPr>
            <w:t>七、一般公共预算财政拨款支出决算明细表</w:t>
          </w:r>
          <w:r>
            <w:rPr>
              <w:rFonts w:ascii="仿宋" w:hAnsi="仿宋" w:eastAsia="仿宋"/>
              <w:sz w:val="28"/>
              <w:szCs w:val="28"/>
            </w:rPr>
            <w:tab/>
          </w:r>
          <w:r>
            <w:rPr>
              <w:rFonts w:hint="eastAsia" w:ascii="仿宋" w:hAnsi="仿宋" w:eastAsia="仿宋"/>
              <w:sz w:val="28"/>
              <w:szCs w:val="28"/>
            </w:rPr>
            <w:t>47</w:t>
          </w:r>
        </w:p>
        <w:p w14:paraId="0CE2134A">
          <w:pPr>
            <w:pStyle w:val="20"/>
            <w:adjustRightInd w:val="0"/>
            <w:snapToGrid w:val="0"/>
            <w:spacing w:line="594" w:lineRule="exact"/>
            <w:jc w:val="left"/>
            <w:rPr>
              <w:rFonts w:eastAsia="仿宋"/>
              <w:sz w:val="32"/>
              <w:szCs w:val="32"/>
            </w:rPr>
          </w:pPr>
          <w:r>
            <w:rPr>
              <w:rFonts w:eastAsia="仿宋_GB2312"/>
              <w:sz w:val="32"/>
              <w:szCs w:val="32"/>
            </w:rPr>
            <w:t>八、一般公共预算财政拨款基本支出决算表</w:t>
          </w:r>
          <w:r>
            <w:rPr>
              <w:rFonts w:ascii="仿宋" w:hAnsi="仿宋" w:eastAsia="仿宋"/>
              <w:sz w:val="28"/>
              <w:szCs w:val="28"/>
            </w:rPr>
            <w:tab/>
          </w:r>
          <w:r>
            <w:rPr>
              <w:rFonts w:hint="eastAsia" w:ascii="仿宋" w:hAnsi="仿宋" w:eastAsia="仿宋"/>
              <w:sz w:val="28"/>
              <w:szCs w:val="28"/>
            </w:rPr>
            <w:t>47</w:t>
          </w:r>
        </w:p>
        <w:p w14:paraId="3B3A6F09">
          <w:pPr>
            <w:pStyle w:val="20"/>
            <w:adjustRightInd w:val="0"/>
            <w:snapToGrid w:val="0"/>
            <w:spacing w:line="594" w:lineRule="exact"/>
            <w:jc w:val="left"/>
            <w:rPr>
              <w:rFonts w:eastAsia="仿宋"/>
              <w:sz w:val="32"/>
              <w:szCs w:val="32"/>
            </w:rPr>
          </w:pPr>
          <w:r>
            <w:rPr>
              <w:rFonts w:eastAsia="仿宋_GB2312"/>
              <w:sz w:val="32"/>
              <w:szCs w:val="32"/>
            </w:rPr>
            <w:t>九、一般公共预算财政拨款项目支出决算表</w:t>
          </w:r>
          <w:r>
            <w:rPr>
              <w:rFonts w:ascii="仿宋" w:hAnsi="仿宋" w:eastAsia="仿宋"/>
              <w:sz w:val="28"/>
              <w:szCs w:val="28"/>
            </w:rPr>
            <w:tab/>
          </w:r>
          <w:r>
            <w:rPr>
              <w:rFonts w:hint="eastAsia" w:ascii="仿宋" w:hAnsi="仿宋" w:eastAsia="仿宋"/>
              <w:sz w:val="28"/>
              <w:szCs w:val="28"/>
            </w:rPr>
            <w:t>47</w:t>
          </w:r>
        </w:p>
        <w:p w14:paraId="28E41F35">
          <w:pPr>
            <w:pStyle w:val="20"/>
            <w:adjustRightInd w:val="0"/>
            <w:snapToGrid w:val="0"/>
            <w:spacing w:line="594" w:lineRule="exact"/>
            <w:jc w:val="left"/>
            <w:rPr>
              <w:rFonts w:ascii="仿宋" w:hAnsi="仿宋" w:eastAsia="仿宋"/>
              <w:sz w:val="28"/>
              <w:szCs w:val="28"/>
            </w:rPr>
          </w:pPr>
          <w:r>
            <w:rPr>
              <w:rFonts w:eastAsia="仿宋_GB2312"/>
              <w:sz w:val="32"/>
              <w:szCs w:val="32"/>
            </w:rPr>
            <w:t>十、一般公共预算财政拨款“三公”经费支出决算表</w:t>
          </w:r>
          <w:r>
            <w:rPr>
              <w:rFonts w:ascii="仿宋" w:hAnsi="仿宋" w:eastAsia="仿宋"/>
              <w:sz w:val="28"/>
              <w:szCs w:val="28"/>
            </w:rPr>
            <w:tab/>
          </w:r>
          <w:r>
            <w:rPr>
              <w:rFonts w:hint="eastAsia" w:ascii="仿宋" w:hAnsi="仿宋" w:eastAsia="仿宋"/>
              <w:sz w:val="28"/>
              <w:szCs w:val="28"/>
            </w:rPr>
            <w:t>47</w:t>
          </w:r>
        </w:p>
        <w:p w14:paraId="21E42A33">
          <w:pPr>
            <w:pStyle w:val="20"/>
            <w:adjustRightInd w:val="0"/>
            <w:snapToGrid w:val="0"/>
            <w:spacing w:line="594" w:lineRule="exact"/>
            <w:jc w:val="left"/>
            <w:rPr>
              <w:rFonts w:eastAsia="仿宋"/>
              <w:sz w:val="32"/>
              <w:szCs w:val="32"/>
            </w:rPr>
          </w:pPr>
          <w:r>
            <w:rPr>
              <w:rFonts w:eastAsia="仿宋_GB2312"/>
              <w:sz w:val="32"/>
              <w:szCs w:val="32"/>
            </w:rPr>
            <w:t>十一、政府性基金预算财政拨款收入支出决算表</w:t>
          </w:r>
          <w:r>
            <w:rPr>
              <w:rFonts w:ascii="仿宋" w:hAnsi="仿宋" w:eastAsia="仿宋"/>
              <w:sz w:val="28"/>
              <w:szCs w:val="28"/>
            </w:rPr>
            <w:tab/>
          </w:r>
          <w:r>
            <w:rPr>
              <w:rFonts w:hint="eastAsia" w:ascii="仿宋" w:hAnsi="仿宋" w:eastAsia="仿宋"/>
              <w:sz w:val="28"/>
              <w:szCs w:val="28"/>
            </w:rPr>
            <w:t>47</w:t>
          </w:r>
        </w:p>
        <w:p w14:paraId="474278F9">
          <w:pPr>
            <w:pStyle w:val="20"/>
            <w:adjustRightInd w:val="0"/>
            <w:snapToGrid w:val="0"/>
            <w:spacing w:line="594" w:lineRule="exact"/>
            <w:jc w:val="left"/>
            <w:rPr>
              <w:rFonts w:ascii="仿宋" w:hAnsi="仿宋" w:eastAsia="仿宋"/>
              <w:sz w:val="28"/>
              <w:szCs w:val="28"/>
            </w:rPr>
          </w:pPr>
          <w:r>
            <w:rPr>
              <w:rFonts w:eastAsia="仿宋_GB2312"/>
              <w:sz w:val="32"/>
              <w:szCs w:val="32"/>
            </w:rPr>
            <w:t>十二、政府性基金预算财政拨款“三公”经费支出决算表</w:t>
          </w:r>
          <w:r>
            <w:rPr>
              <w:rFonts w:ascii="仿宋" w:hAnsi="仿宋" w:eastAsia="仿宋"/>
              <w:sz w:val="28"/>
              <w:szCs w:val="28"/>
            </w:rPr>
            <w:tab/>
          </w:r>
          <w:r>
            <w:rPr>
              <w:rFonts w:hint="eastAsia" w:ascii="仿宋" w:hAnsi="仿宋" w:eastAsia="仿宋"/>
              <w:sz w:val="28"/>
              <w:szCs w:val="28"/>
            </w:rPr>
            <w:t>47</w:t>
          </w:r>
        </w:p>
        <w:p w14:paraId="6BE03E43">
          <w:pPr>
            <w:pStyle w:val="20"/>
            <w:adjustRightInd w:val="0"/>
            <w:snapToGrid w:val="0"/>
            <w:spacing w:line="594" w:lineRule="exact"/>
            <w:jc w:val="left"/>
            <w:rPr>
              <w:rFonts w:eastAsia="仿宋_GB2312"/>
              <w:sz w:val="28"/>
              <w:szCs w:val="28"/>
            </w:rPr>
          </w:pPr>
          <w:r>
            <w:rPr>
              <w:rFonts w:hint="eastAsia" w:eastAsia="仿宋_GB2312"/>
              <w:sz w:val="32"/>
              <w:szCs w:val="32"/>
            </w:rPr>
            <w:t>十三、国有资本经营预算财政拨款收入支出决算表</w:t>
          </w:r>
          <w:r>
            <w:rPr>
              <w:rFonts w:eastAsia="仿宋_GB2312"/>
              <w:sz w:val="32"/>
              <w:szCs w:val="32"/>
            </w:rPr>
            <w:tab/>
          </w:r>
          <w:r>
            <w:rPr>
              <w:rFonts w:hint="eastAsia" w:ascii="仿宋_GB2312" w:hAnsi="仿宋_GB2312" w:eastAsia="仿宋_GB2312" w:cs="仿宋_GB2312"/>
              <w:sz w:val="28"/>
              <w:szCs w:val="28"/>
            </w:rPr>
            <w:t>47</w:t>
          </w:r>
        </w:p>
        <w:p w14:paraId="4B38E949">
          <w:pPr>
            <w:pStyle w:val="20"/>
            <w:adjustRightInd w:val="0"/>
            <w:snapToGrid w:val="0"/>
            <w:spacing w:line="594" w:lineRule="exact"/>
            <w:jc w:val="left"/>
            <w:rPr>
              <w:rFonts w:eastAsia="仿宋_GB2312"/>
              <w:sz w:val="32"/>
              <w:szCs w:val="32"/>
            </w:rPr>
          </w:pPr>
          <w:r>
            <w:rPr>
              <w:rFonts w:hint="eastAsia" w:eastAsia="仿宋_GB2312"/>
              <w:sz w:val="32"/>
              <w:szCs w:val="32"/>
            </w:rPr>
            <w:t>十四、国有资本经营预算财政拨款支出决算表</w:t>
          </w:r>
          <w:r>
            <w:rPr>
              <w:rFonts w:eastAsia="仿宋_GB2312"/>
              <w:sz w:val="32"/>
              <w:szCs w:val="32"/>
            </w:rPr>
            <w:tab/>
          </w:r>
          <w:r>
            <w:rPr>
              <w:rFonts w:hint="eastAsia" w:ascii="仿宋_GB2312" w:hAnsi="仿宋_GB2312" w:eastAsia="仿宋_GB2312" w:cs="仿宋_GB2312"/>
              <w:sz w:val="28"/>
              <w:szCs w:val="28"/>
            </w:rPr>
            <w:t>47</w:t>
          </w:r>
        </w:p>
        <w:p w14:paraId="31BB86C9">
          <w:pPr>
            <w:pStyle w:val="20"/>
            <w:adjustRightInd w:val="0"/>
            <w:snapToGrid w:val="0"/>
            <w:spacing w:line="594" w:lineRule="exact"/>
            <w:jc w:val="left"/>
            <w:rPr>
              <w:rFonts w:eastAsia="仿宋_GB2312"/>
              <w:sz w:val="32"/>
              <w:szCs w:val="32"/>
            </w:rPr>
          </w:pPr>
        </w:p>
      </w:sdtContent>
    </w:sdt>
    <w:p w14:paraId="114FCF6A">
      <w:pPr>
        <w:sectPr>
          <w:headerReference r:id="rId4" w:type="first"/>
          <w:headerReference r:id="rId3" w:type="default"/>
          <w:footerReference r:id="rId5" w:type="default"/>
          <w:pgSz w:w="11906" w:h="16838"/>
          <w:pgMar w:top="2098" w:right="1361" w:bottom="1361" w:left="1588" w:header="851" w:footer="992" w:gutter="0"/>
          <w:pgNumType w:start="0"/>
          <w:cols w:space="425" w:num="1"/>
          <w:titlePg/>
          <w:docGrid w:type="lines" w:linePitch="312" w:charSpace="0"/>
        </w:sectPr>
      </w:pPr>
    </w:p>
    <w:p w14:paraId="42F6F0C6">
      <w:pPr>
        <w:pStyle w:val="4"/>
        <w:spacing w:before="0" w:after="0" w:line="594" w:lineRule="exact"/>
        <w:ind w:firstLine="2200" w:firstLineChars="500"/>
        <w:rPr>
          <w:rStyle w:val="34"/>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rPr>
        <w:t xml:space="preserve"> 第一部分 </w:t>
      </w:r>
      <w:r>
        <w:rPr>
          <w:rStyle w:val="34"/>
          <w:rFonts w:hint="eastAsia" w:ascii="方正小标宋简体" w:hAnsi="方正小标宋简体" w:eastAsia="方正小标宋简体" w:cs="方正小标宋简体"/>
          <w:b w:val="0"/>
          <w:bCs w:val="0"/>
        </w:rPr>
        <w:t>部门概况</w:t>
      </w:r>
      <w:bookmarkEnd w:id="21"/>
      <w:bookmarkEnd w:id="22"/>
      <w:bookmarkEnd w:id="23"/>
      <w:bookmarkEnd w:id="24"/>
    </w:p>
    <w:p w14:paraId="3794E0AC"/>
    <w:p w14:paraId="78B3B4F3">
      <w:pPr>
        <w:pStyle w:val="5"/>
        <w:numPr>
          <w:ilvl w:val="0"/>
          <w:numId w:val="1"/>
        </w:numPr>
        <w:spacing w:before="0" w:after="0" w:line="594" w:lineRule="exact"/>
        <w:ind w:firstLine="707" w:firstLineChars="221"/>
        <w:rPr>
          <w:rStyle w:val="35"/>
          <w:rFonts w:ascii="Times New Roman" w:hAnsi="Times New Roman" w:eastAsia="黑体" w:cs="Times New Roman"/>
          <w:b w:val="0"/>
          <w:bCs w:val="0"/>
        </w:rPr>
      </w:pPr>
      <w:bookmarkStart w:id="25" w:name="_Toc54341260"/>
      <w:bookmarkStart w:id="26" w:name="_Toc15396600"/>
      <w:bookmarkStart w:id="27" w:name="_Toc54341312"/>
      <w:bookmarkStart w:id="28" w:name="_Toc15377197"/>
      <w:r>
        <w:rPr>
          <w:rFonts w:ascii="Times New Roman" w:hAnsi="黑体" w:eastAsia="黑体" w:cs="Times New Roman"/>
          <w:b w:val="0"/>
          <w:color w:val="000000"/>
        </w:rPr>
        <w:t>基</w:t>
      </w:r>
      <w:r>
        <w:rPr>
          <w:rStyle w:val="35"/>
          <w:rFonts w:ascii="Times New Roman" w:hAnsi="黑体" w:eastAsia="黑体" w:cs="Times New Roman"/>
          <w:b w:val="0"/>
          <w:bCs w:val="0"/>
        </w:rPr>
        <w:t>本职能及主要工作</w:t>
      </w:r>
      <w:bookmarkEnd w:id="25"/>
      <w:bookmarkEnd w:id="26"/>
      <w:bookmarkEnd w:id="27"/>
      <w:bookmarkEnd w:id="28"/>
      <w:bookmarkStart w:id="29" w:name="_Toc15377198"/>
      <w:bookmarkStart w:id="30" w:name="_Toc15378445"/>
    </w:p>
    <w:bookmarkEnd w:id="29"/>
    <w:bookmarkEnd w:id="30"/>
    <w:p w14:paraId="7E236B63">
      <w:pPr>
        <w:numPr>
          <w:ilvl w:val="0"/>
          <w:numId w:val="2"/>
        </w:numPr>
        <w:snapToGrid w:val="0"/>
        <w:spacing w:line="588" w:lineRule="exact"/>
        <w:ind w:firstLine="472" w:firstLineChars="147"/>
        <w:rPr>
          <w:rFonts w:eastAsia="楷体_GB2312"/>
          <w:b/>
          <w:color w:val="000000"/>
          <w:sz w:val="32"/>
          <w:szCs w:val="32"/>
        </w:rPr>
      </w:pPr>
      <w:bookmarkStart w:id="31" w:name="_Toc15396601"/>
      <w:bookmarkStart w:id="32" w:name="_Toc15377200"/>
      <w:r>
        <w:rPr>
          <w:rFonts w:eastAsia="楷体_GB2312"/>
          <w:b/>
          <w:color w:val="000000"/>
          <w:sz w:val="32"/>
          <w:szCs w:val="32"/>
        </w:rPr>
        <w:t>主要职能</w:t>
      </w:r>
    </w:p>
    <w:p w14:paraId="6F5A00C2">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发展中医药事业，为人民身体健康提供医疗与预防保健服务。开展中西医医疗服务、中医药教学科研和地方病防治、妇幼保健工作。</w:t>
      </w:r>
    </w:p>
    <w:p w14:paraId="69D300E9">
      <w:pPr>
        <w:snapToGrid w:val="0"/>
        <w:spacing w:line="588"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（二）2020年重点工作完成情况</w:t>
      </w:r>
    </w:p>
    <w:p w14:paraId="346E7B10">
      <w:pPr>
        <w:spacing w:line="594"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医院集团检验分中心通过专家组评审，投入运行。持续推进德阳市罗江区医养结合中心、安宁疗护中心（国家安宁疗护中心德阳试点单位）建设，充分发挥中医药特色优势，为人民群众提供了全方位、全生命周期的中医药服务，使人生更圆满、圆寂。两个中心在全市领先。医院骨伤科已成功申报省级重点中医专科建设科室，截至目前医院儿科创建为四川省中医重点专科，骨伤科创建为省级重点中医专科建设科室，针灸科为德阳市中医重点专科，肺病科为德阳市中医重点专科建设科室，医院肛肠科李金隆团队挂牌为全国基层名老中医药专家学术传承工作室，针灸科何世平为“德阳市第四批名老中医药专家学术传承人”命名为“罗江名师工作室”。</w:t>
      </w:r>
      <w:r>
        <w:rPr>
          <w:rFonts w:eastAsia="仿宋_GB2312"/>
          <w:sz w:val="32"/>
          <w:szCs w:val="32"/>
        </w:rPr>
        <w:t>2020</w:t>
      </w:r>
      <w:r>
        <w:rPr>
          <w:rFonts w:hint="eastAsia" w:ascii="仿宋_GB2312" w:hAnsi="仿宋_GB2312" w:eastAsia="仿宋_GB2312" w:cs="仿宋_GB2312"/>
          <w:sz w:val="32"/>
          <w:szCs w:val="32"/>
        </w:rPr>
        <w:t>年由于受疫情影响，医院部分指标有所降低，</w:t>
      </w:r>
      <w:r>
        <w:rPr>
          <w:rFonts w:eastAsia="仿宋_GB2312"/>
          <w:sz w:val="32"/>
          <w:szCs w:val="32"/>
        </w:rPr>
        <w:t>2020</w:t>
      </w:r>
      <w:r>
        <w:rPr>
          <w:rFonts w:hint="eastAsia" w:ascii="仿宋_GB2312" w:hAnsi="仿宋_GB2312" w:eastAsia="仿宋_GB2312" w:cs="仿宋_GB2312"/>
          <w:sz w:val="32"/>
          <w:szCs w:val="32"/>
        </w:rPr>
        <w:t>年医院门诊人次</w:t>
      </w:r>
      <w:r>
        <w:rPr>
          <w:rFonts w:eastAsia="仿宋_GB2312"/>
          <w:sz w:val="32"/>
          <w:szCs w:val="32"/>
        </w:rPr>
        <w:t>103847</w:t>
      </w:r>
      <w:r>
        <w:rPr>
          <w:rFonts w:hint="eastAsia" w:ascii="仿宋_GB2312" w:hAnsi="仿宋_GB2312" w:eastAsia="仿宋_GB2312" w:cs="仿宋_GB2312"/>
          <w:sz w:val="32"/>
          <w:szCs w:val="32"/>
        </w:rPr>
        <w:t>人次，较</w:t>
      </w:r>
      <w:r>
        <w:rPr>
          <w:rFonts w:eastAsia="仿宋_GB2312"/>
          <w:sz w:val="32"/>
          <w:szCs w:val="32"/>
        </w:rPr>
        <w:t>2019</w:t>
      </w:r>
      <w:r>
        <w:rPr>
          <w:rFonts w:hint="eastAsia" w:ascii="仿宋_GB2312" w:hAnsi="仿宋_GB2312" w:eastAsia="仿宋_GB2312" w:cs="仿宋_GB2312"/>
          <w:sz w:val="32"/>
          <w:szCs w:val="32"/>
        </w:rPr>
        <w:t>年降低</w:t>
      </w:r>
      <w:r>
        <w:rPr>
          <w:rFonts w:eastAsia="仿宋_GB2312"/>
          <w:sz w:val="32"/>
          <w:szCs w:val="32"/>
        </w:rPr>
        <w:t>16.32</w:t>
      </w:r>
      <w:r>
        <w:rPr>
          <w:rFonts w:hint="eastAsia" w:ascii="仿宋_GB2312" w:hAnsi="仿宋_GB2312" w:eastAsia="仿宋_GB2312" w:cs="仿宋_GB2312"/>
          <w:sz w:val="32"/>
          <w:szCs w:val="32"/>
        </w:rPr>
        <w:t>%；收治住院病人</w:t>
      </w:r>
      <w:r>
        <w:rPr>
          <w:rFonts w:eastAsia="仿宋_GB2312"/>
          <w:sz w:val="32"/>
          <w:szCs w:val="32"/>
        </w:rPr>
        <w:t>5085</w:t>
      </w:r>
      <w:r>
        <w:rPr>
          <w:rFonts w:hint="eastAsia" w:ascii="仿宋_GB2312" w:hAnsi="仿宋_GB2312" w:eastAsia="仿宋_GB2312" w:cs="仿宋_GB2312"/>
          <w:sz w:val="32"/>
          <w:szCs w:val="32"/>
        </w:rPr>
        <w:t>人，较</w:t>
      </w:r>
      <w:r>
        <w:rPr>
          <w:rFonts w:eastAsia="仿宋_GB2312"/>
          <w:sz w:val="32"/>
          <w:szCs w:val="32"/>
        </w:rPr>
        <w:t>2019</w:t>
      </w:r>
      <w:r>
        <w:rPr>
          <w:rFonts w:hint="eastAsia" w:ascii="仿宋_GB2312" w:hAnsi="仿宋_GB2312" w:eastAsia="仿宋_GB2312" w:cs="仿宋_GB2312"/>
          <w:sz w:val="32"/>
          <w:szCs w:val="32"/>
        </w:rPr>
        <w:t>年降低</w:t>
      </w:r>
      <w:r>
        <w:rPr>
          <w:rFonts w:eastAsia="仿宋_GB2312"/>
          <w:sz w:val="32"/>
          <w:szCs w:val="32"/>
        </w:rPr>
        <w:t>26.93</w:t>
      </w:r>
      <w:r>
        <w:rPr>
          <w:rFonts w:hint="eastAsia" w:ascii="仿宋_GB2312" w:hAnsi="仿宋_GB2312" w:eastAsia="仿宋_GB2312" w:cs="仿宋_GB2312"/>
          <w:sz w:val="32"/>
          <w:szCs w:val="32"/>
        </w:rPr>
        <w:t>%；业务总收入</w:t>
      </w:r>
      <w:r>
        <w:rPr>
          <w:rFonts w:eastAsia="仿宋_GB2312"/>
          <w:sz w:val="32"/>
          <w:szCs w:val="32"/>
        </w:rPr>
        <w:t>4514.61</w:t>
      </w:r>
      <w:r>
        <w:rPr>
          <w:rFonts w:hint="eastAsia" w:ascii="仿宋_GB2312" w:hAnsi="仿宋_GB2312" w:eastAsia="仿宋_GB2312" w:cs="仿宋_GB2312"/>
          <w:sz w:val="32"/>
          <w:szCs w:val="32"/>
        </w:rPr>
        <w:t>万元，较</w:t>
      </w:r>
      <w:r>
        <w:rPr>
          <w:rFonts w:eastAsia="仿宋_GB2312"/>
          <w:sz w:val="32"/>
          <w:szCs w:val="32"/>
        </w:rPr>
        <w:t>2019</w:t>
      </w:r>
      <w:r>
        <w:rPr>
          <w:rFonts w:hint="eastAsia" w:ascii="仿宋_GB2312" w:hAnsi="仿宋_GB2312" w:eastAsia="仿宋_GB2312" w:cs="仿宋_GB2312"/>
          <w:sz w:val="32"/>
          <w:szCs w:val="32"/>
        </w:rPr>
        <w:t>年降低</w:t>
      </w:r>
      <w:r>
        <w:rPr>
          <w:rFonts w:eastAsia="仿宋_GB2312"/>
          <w:sz w:val="32"/>
          <w:szCs w:val="32"/>
        </w:rPr>
        <w:t>9.26</w:t>
      </w:r>
      <w:r>
        <w:rPr>
          <w:rFonts w:hint="eastAsia" w:ascii="仿宋_GB2312" w:hAnsi="仿宋_GB2312" w:eastAsia="仿宋_GB2312" w:cs="仿宋_GB2312"/>
          <w:sz w:val="32"/>
          <w:szCs w:val="32"/>
        </w:rPr>
        <w:t>%；全年手术</w:t>
      </w:r>
      <w:r>
        <w:rPr>
          <w:rFonts w:eastAsia="仿宋_GB2312"/>
          <w:sz w:val="32"/>
          <w:szCs w:val="32"/>
        </w:rPr>
        <w:t>1219</w:t>
      </w:r>
      <w:r>
        <w:rPr>
          <w:rFonts w:hint="eastAsia" w:ascii="仿宋_GB2312" w:hAnsi="仿宋_GB2312" w:eastAsia="仿宋_GB2312" w:cs="仿宋_GB2312"/>
          <w:sz w:val="32"/>
          <w:szCs w:val="32"/>
        </w:rPr>
        <w:t>台次，其中三、四级手术占比为</w:t>
      </w:r>
      <w:r>
        <w:rPr>
          <w:rFonts w:eastAsia="仿宋_GB2312"/>
          <w:sz w:val="32"/>
          <w:szCs w:val="32"/>
        </w:rPr>
        <w:t>34.04</w:t>
      </w:r>
      <w:r>
        <w:rPr>
          <w:rFonts w:hint="eastAsia" w:ascii="仿宋_GB2312" w:hAnsi="仿宋_GB2312" w:eastAsia="仿宋_GB2312" w:cs="仿宋_GB2312"/>
          <w:sz w:val="32"/>
          <w:szCs w:val="32"/>
        </w:rPr>
        <w:t>%。</w:t>
      </w:r>
    </w:p>
    <w:p w14:paraId="43FED0DA">
      <w:pPr>
        <w:pStyle w:val="5"/>
        <w:spacing w:before="0" w:after="0" w:line="594" w:lineRule="exact"/>
        <w:rPr>
          <w:rStyle w:val="35"/>
          <w:rFonts w:ascii="Times New Roman" w:hAnsi="Times New Roman" w:cs="Times New Roman"/>
          <w:b w:val="0"/>
          <w:bCs w:val="0"/>
        </w:rPr>
      </w:pPr>
      <w:r>
        <w:rPr>
          <w:rFonts w:ascii="Times New Roman" w:hAnsi="Times New Roman" w:eastAsia="黑体" w:cs="Times New Roman"/>
          <w:b w:val="0"/>
          <w:color w:val="000000"/>
        </w:rPr>
        <w:t xml:space="preserve">  </w:t>
      </w:r>
      <w:bookmarkStart w:id="33" w:name="_Toc54341261"/>
      <w:bookmarkStart w:id="34" w:name="_Toc54341313"/>
      <w:r>
        <w:rPr>
          <w:rFonts w:ascii="Times New Roman" w:hAnsi="Times New Roman" w:eastAsia="黑体" w:cs="Times New Roman"/>
          <w:bCs w:val="0"/>
          <w:color w:val="000000"/>
        </w:rPr>
        <w:t>二、</w:t>
      </w:r>
      <w:r>
        <w:rPr>
          <w:rFonts w:ascii="Times New Roman" w:hAnsi="黑体" w:eastAsia="黑体" w:cs="Times New Roman"/>
          <w:bCs w:val="0"/>
          <w:color w:val="000000"/>
        </w:rPr>
        <w:t>机</w:t>
      </w:r>
      <w:r>
        <w:rPr>
          <w:rStyle w:val="35"/>
          <w:rFonts w:ascii="Times New Roman" w:hAnsi="黑体" w:eastAsia="黑体" w:cs="Times New Roman"/>
          <w:b/>
          <w:bCs w:val="0"/>
        </w:rPr>
        <w:t>构设置</w:t>
      </w:r>
      <w:bookmarkEnd w:id="31"/>
      <w:bookmarkEnd w:id="32"/>
      <w:bookmarkEnd w:id="33"/>
      <w:bookmarkEnd w:id="34"/>
    </w:p>
    <w:p w14:paraId="270D5E10">
      <w:pPr>
        <w:spacing w:line="594" w:lineRule="exact"/>
        <w:ind w:firstLine="567"/>
        <w:rPr>
          <w:rFonts w:ascii="仿宋_GB2312" w:hAnsi="仿宋" w:eastAsia="仿宋_GB2312" w:cs="仿宋"/>
          <w:bCs/>
          <w:sz w:val="32"/>
          <w:szCs w:val="32"/>
        </w:rPr>
      </w:pPr>
      <w:r>
        <w:rPr>
          <w:rFonts w:hint="eastAsia" w:ascii="仿宋_GB2312" w:hAnsi="仿宋" w:eastAsia="仿宋_GB2312" w:cs="仿宋"/>
          <w:bCs/>
          <w:sz w:val="32"/>
          <w:szCs w:val="32"/>
        </w:rPr>
        <w:t>本单位为德阳市罗江区卫健局所属二级</w:t>
      </w:r>
      <w:r>
        <w:rPr>
          <w:rFonts w:hint="eastAsia" w:ascii="仿宋_GB2312" w:hAnsi="仿宋" w:eastAsia="仿宋_GB2312" w:cs="仿宋"/>
          <w:bCs/>
          <w:spacing w:val="14"/>
          <w:sz w:val="32"/>
          <w:szCs w:val="32"/>
        </w:rPr>
        <w:t>预算单位，单位性质</w:t>
      </w:r>
      <w:r>
        <w:rPr>
          <w:rFonts w:hint="eastAsia" w:ascii="仿宋_GB2312" w:hAnsi="仿宋" w:eastAsia="仿宋_GB2312" w:cs="仿宋"/>
          <w:bCs/>
          <w:sz w:val="32"/>
          <w:szCs w:val="32"/>
        </w:rPr>
        <w:t>为财政补助差额拨款事业单位。</w:t>
      </w:r>
    </w:p>
    <w:p w14:paraId="30D20F51">
      <w:pPr>
        <w:pStyle w:val="4"/>
        <w:spacing w:before="0" w:after="0" w:line="594" w:lineRule="exact"/>
        <w:rPr>
          <w:rFonts w:ascii="方正小标宋简体" w:hAnsi="方正小标宋简体" w:eastAsia="方正小标宋简体" w:cs="方正小标宋简体"/>
          <w:b w:val="0"/>
        </w:rPr>
      </w:pPr>
      <w:bookmarkStart w:id="35" w:name="_Toc15377204"/>
      <w:bookmarkStart w:id="36" w:name="_Toc54341262"/>
      <w:bookmarkStart w:id="37" w:name="_Toc54341329"/>
      <w:bookmarkStart w:id="38" w:name="_Toc15396602"/>
    </w:p>
    <w:p w14:paraId="78129852">
      <w:pPr>
        <w:pStyle w:val="4"/>
        <w:spacing w:before="0" w:after="0" w:line="594" w:lineRule="exact"/>
        <w:rPr>
          <w:rFonts w:ascii="方正小标宋简体" w:hAnsi="方正小标宋简体" w:eastAsia="方正小标宋简体" w:cs="方正小标宋简体"/>
          <w:b w:val="0"/>
        </w:rPr>
      </w:pPr>
    </w:p>
    <w:p w14:paraId="68775097">
      <w:pPr>
        <w:pStyle w:val="4"/>
        <w:spacing w:before="0" w:after="0" w:line="594" w:lineRule="exact"/>
        <w:rPr>
          <w:rFonts w:ascii="方正小标宋简体" w:hAnsi="方正小标宋简体" w:eastAsia="方正小标宋简体" w:cs="方正小标宋简体"/>
          <w:b w:val="0"/>
        </w:rPr>
      </w:pPr>
    </w:p>
    <w:p w14:paraId="7778C21E">
      <w:pPr>
        <w:pStyle w:val="4"/>
        <w:spacing w:before="0" w:after="0" w:line="594" w:lineRule="exact"/>
        <w:rPr>
          <w:rFonts w:ascii="方正小标宋简体" w:hAnsi="方正小标宋简体" w:eastAsia="方正小标宋简体" w:cs="方正小标宋简体"/>
          <w:b w:val="0"/>
        </w:rPr>
      </w:pPr>
    </w:p>
    <w:p w14:paraId="1C97D50A">
      <w:pPr>
        <w:pStyle w:val="4"/>
        <w:spacing w:before="0" w:after="0" w:line="594" w:lineRule="exact"/>
        <w:rPr>
          <w:rFonts w:ascii="方正小标宋简体" w:hAnsi="方正小标宋简体" w:eastAsia="方正小标宋简体" w:cs="方正小标宋简体"/>
          <w:b w:val="0"/>
        </w:rPr>
      </w:pPr>
    </w:p>
    <w:p w14:paraId="37019BE1">
      <w:pPr>
        <w:pStyle w:val="4"/>
        <w:spacing w:before="0" w:after="0" w:line="594" w:lineRule="exact"/>
        <w:rPr>
          <w:rFonts w:ascii="方正小标宋简体" w:hAnsi="方正小标宋简体" w:eastAsia="方正小标宋简体" w:cs="方正小标宋简体"/>
          <w:b w:val="0"/>
        </w:rPr>
      </w:pPr>
    </w:p>
    <w:p w14:paraId="7575CA14">
      <w:pPr>
        <w:pStyle w:val="4"/>
        <w:spacing w:before="0" w:after="0" w:line="594" w:lineRule="exact"/>
        <w:rPr>
          <w:rFonts w:ascii="方正小标宋简体" w:hAnsi="方正小标宋简体" w:eastAsia="方正小标宋简体" w:cs="方正小标宋简体"/>
          <w:b w:val="0"/>
        </w:rPr>
      </w:pPr>
    </w:p>
    <w:bookmarkEnd w:id="35"/>
    <w:bookmarkEnd w:id="36"/>
    <w:bookmarkEnd w:id="37"/>
    <w:bookmarkEnd w:id="38"/>
    <w:p w14:paraId="7D81100D">
      <w:pPr>
        <w:pStyle w:val="4"/>
        <w:spacing w:before="0" w:after="0" w:line="594" w:lineRule="exact"/>
        <w:rPr>
          <w:rFonts w:ascii="方正小标宋简体" w:hAnsi="方正小标宋简体" w:eastAsia="方正小标宋简体" w:cs="方正小标宋简体"/>
          <w:b w:val="0"/>
        </w:rPr>
      </w:pPr>
    </w:p>
    <w:p w14:paraId="72DF9917">
      <w:pPr>
        <w:pStyle w:val="4"/>
        <w:spacing w:before="0" w:after="0" w:line="594" w:lineRule="exact"/>
        <w:rPr>
          <w:rFonts w:ascii="方正小标宋简体" w:hAnsi="方正小标宋简体" w:eastAsia="方正小标宋简体" w:cs="方正小标宋简体"/>
          <w:b w:val="0"/>
        </w:rPr>
      </w:pPr>
    </w:p>
    <w:p w14:paraId="34B8B1CB">
      <w:pPr>
        <w:pStyle w:val="4"/>
        <w:spacing w:before="0" w:after="0" w:line="594" w:lineRule="exact"/>
        <w:rPr>
          <w:rFonts w:ascii="方正小标宋简体" w:hAnsi="方正小标宋简体" w:eastAsia="方正小标宋简体" w:cs="方正小标宋简体"/>
          <w:b w:val="0"/>
        </w:rPr>
      </w:pPr>
    </w:p>
    <w:p w14:paraId="3C4FC7F4">
      <w:pPr>
        <w:pStyle w:val="4"/>
        <w:spacing w:before="0" w:after="0" w:line="594" w:lineRule="exact"/>
        <w:rPr>
          <w:rFonts w:ascii="方正小标宋简体" w:hAnsi="方正小标宋简体" w:eastAsia="方正小标宋简体" w:cs="方正小标宋简体"/>
          <w:b w:val="0"/>
        </w:rPr>
      </w:pPr>
    </w:p>
    <w:p w14:paraId="4CF47D0D">
      <w:pPr>
        <w:pStyle w:val="4"/>
        <w:spacing w:before="0" w:after="0" w:line="594" w:lineRule="exact"/>
        <w:rPr>
          <w:rFonts w:ascii="方正小标宋简体" w:hAnsi="方正小标宋简体" w:eastAsia="方正小标宋简体" w:cs="方正小标宋简体"/>
          <w:b w:val="0"/>
        </w:rPr>
      </w:pPr>
    </w:p>
    <w:p w14:paraId="54BE0D03">
      <w:pPr>
        <w:pStyle w:val="4"/>
        <w:spacing w:before="0" w:after="0" w:line="594" w:lineRule="exact"/>
        <w:rPr>
          <w:rFonts w:ascii="方正小标宋简体" w:hAnsi="方正小标宋简体" w:eastAsia="方正小标宋简体" w:cs="方正小标宋简体"/>
          <w:b w:val="0"/>
        </w:rPr>
      </w:pPr>
    </w:p>
    <w:p w14:paraId="7F4DC411">
      <w:pPr>
        <w:pStyle w:val="4"/>
        <w:spacing w:before="0" w:after="0" w:line="594" w:lineRule="exact"/>
        <w:rPr>
          <w:rFonts w:ascii="方正小标宋简体" w:hAnsi="方正小标宋简体" w:eastAsia="方正小标宋简体" w:cs="方正小标宋简体"/>
          <w:b w:val="0"/>
        </w:rPr>
      </w:pPr>
    </w:p>
    <w:p w14:paraId="7132F742">
      <w:pPr>
        <w:pStyle w:val="4"/>
        <w:spacing w:before="0" w:after="0" w:line="594" w:lineRule="exact"/>
        <w:rPr>
          <w:rFonts w:ascii="方正小标宋简体" w:hAnsi="方正小标宋简体" w:eastAsia="方正小标宋简体" w:cs="方正小标宋简体"/>
          <w:b w:val="0"/>
        </w:rPr>
      </w:pPr>
    </w:p>
    <w:p w14:paraId="34858FEA">
      <w:pPr>
        <w:pStyle w:val="4"/>
        <w:spacing w:before="0" w:after="0" w:line="594" w:lineRule="exact"/>
        <w:rPr>
          <w:rFonts w:ascii="方正小标宋简体" w:hAnsi="方正小标宋简体" w:eastAsia="方正小标宋简体" w:cs="方正小标宋简体"/>
          <w:b w:val="0"/>
        </w:rPr>
      </w:pPr>
    </w:p>
    <w:p w14:paraId="6608CFF8">
      <w:pPr>
        <w:rPr>
          <w:rFonts w:ascii="方正小标宋简体" w:hAnsi="方正小标宋简体" w:eastAsia="方正小标宋简体" w:cs="方正小标宋简体"/>
        </w:rPr>
      </w:pPr>
    </w:p>
    <w:p w14:paraId="34B59F0B">
      <w:pPr>
        <w:pStyle w:val="2"/>
      </w:pPr>
    </w:p>
    <w:p w14:paraId="3780E276">
      <w:pPr>
        <w:pStyle w:val="4"/>
        <w:spacing w:before="0" w:after="0" w:line="594" w:lineRule="exact"/>
        <w:jc w:val="center"/>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第二部分 2020年度部门决算情况说明</w:t>
      </w:r>
    </w:p>
    <w:p w14:paraId="2A9B33D6">
      <w:pPr>
        <w:spacing w:line="594" w:lineRule="exact"/>
      </w:pPr>
    </w:p>
    <w:p w14:paraId="10CDDE54">
      <w:pPr>
        <w:pStyle w:val="33"/>
        <w:numPr>
          <w:ilvl w:val="0"/>
          <w:numId w:val="3"/>
        </w:numPr>
        <w:spacing w:line="594" w:lineRule="exact"/>
        <w:ind w:firstLineChars="0"/>
        <w:outlineLvl w:val="1"/>
        <w:rPr>
          <w:rStyle w:val="35"/>
          <w:rFonts w:ascii="Times New Roman" w:hAnsi="Times New Roman" w:eastAsia="黑体" w:cs="Times New Roman"/>
          <w:b w:val="0"/>
          <w:bCs w:val="0"/>
        </w:rPr>
      </w:pPr>
      <w:bookmarkStart w:id="39" w:name="_Toc54341263"/>
      <w:bookmarkStart w:id="40" w:name="_Toc54341330"/>
      <w:bookmarkStart w:id="41" w:name="_Toc15396603"/>
      <w:bookmarkStart w:id="42" w:name="_Toc15377205"/>
      <w:r>
        <w:rPr>
          <w:rFonts w:hAnsi="黑体" w:eastAsia="黑体"/>
          <w:color w:val="000000"/>
          <w:sz w:val="32"/>
          <w:szCs w:val="32"/>
        </w:rPr>
        <w:t>收</w:t>
      </w:r>
      <w:r>
        <w:rPr>
          <w:rStyle w:val="35"/>
          <w:rFonts w:ascii="Times New Roman" w:hAnsi="黑体" w:eastAsia="黑体" w:cs="Times New Roman"/>
          <w:b w:val="0"/>
          <w:bCs w:val="0"/>
        </w:rPr>
        <w:t>入支出决算总体情况说明</w:t>
      </w:r>
      <w:bookmarkEnd w:id="39"/>
      <w:bookmarkEnd w:id="40"/>
      <w:bookmarkEnd w:id="41"/>
      <w:bookmarkEnd w:id="42"/>
    </w:p>
    <w:p w14:paraId="0D3EBEB9">
      <w:pPr>
        <w:spacing w:line="594"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20</w:t>
      </w:r>
      <w:r>
        <w:rPr>
          <w:rFonts w:eastAsia="仿宋_GB2312"/>
          <w:sz w:val="32"/>
          <w:szCs w:val="32"/>
        </w:rPr>
        <w:t>年度收、支总计</w:t>
      </w:r>
      <w:r>
        <w:rPr>
          <w:rFonts w:hint="eastAsia" w:eastAsia="仿宋_GB2312"/>
          <w:sz w:val="32"/>
          <w:szCs w:val="32"/>
        </w:rPr>
        <w:t>5627.40</w:t>
      </w:r>
      <w:r>
        <w:rPr>
          <w:rFonts w:eastAsia="仿宋_GB2312"/>
          <w:sz w:val="32"/>
          <w:szCs w:val="32"/>
        </w:rPr>
        <w:t>万元</w:t>
      </w:r>
      <w:r>
        <w:rPr>
          <w:rFonts w:hint="eastAsia" w:eastAsia="仿宋_GB2312"/>
          <w:sz w:val="32"/>
          <w:szCs w:val="32"/>
        </w:rPr>
        <w:t>。</w:t>
      </w:r>
      <w:r>
        <w:rPr>
          <w:rFonts w:eastAsia="仿宋_GB2312"/>
          <w:color w:val="000000"/>
          <w:sz w:val="32"/>
          <w:szCs w:val="32"/>
        </w:rPr>
        <w:t>与201</w:t>
      </w:r>
      <w:r>
        <w:rPr>
          <w:rFonts w:hint="eastAsia" w:eastAsia="仿宋_GB2312"/>
          <w:color w:val="000000"/>
          <w:sz w:val="32"/>
          <w:szCs w:val="32"/>
        </w:rPr>
        <w:t>9</w:t>
      </w:r>
      <w:r>
        <w:rPr>
          <w:rFonts w:eastAsia="仿宋_GB2312"/>
          <w:color w:val="000000"/>
          <w:sz w:val="32"/>
          <w:szCs w:val="32"/>
        </w:rPr>
        <w:t>年相比，收、支总计</w:t>
      </w:r>
      <w:r>
        <w:rPr>
          <w:rFonts w:hint="eastAsia" w:eastAsia="仿宋_GB2312"/>
          <w:color w:val="000000"/>
          <w:sz w:val="32"/>
          <w:szCs w:val="32"/>
        </w:rPr>
        <w:t>减少572.07</w:t>
      </w:r>
      <w:r>
        <w:rPr>
          <w:rFonts w:eastAsia="仿宋_GB2312"/>
          <w:color w:val="000000"/>
          <w:sz w:val="32"/>
          <w:szCs w:val="32"/>
        </w:rPr>
        <w:t>万元，</w:t>
      </w:r>
      <w:r>
        <w:rPr>
          <w:rFonts w:hint="eastAsia" w:eastAsia="仿宋_GB2312"/>
          <w:color w:val="000000"/>
          <w:sz w:val="32"/>
          <w:szCs w:val="32"/>
        </w:rPr>
        <w:t>减少9.23</w:t>
      </w:r>
      <w:r>
        <w:rPr>
          <w:rFonts w:eastAsia="仿宋_GB2312"/>
          <w:color w:val="000000"/>
          <w:sz w:val="32"/>
          <w:szCs w:val="32"/>
        </w:rPr>
        <w:t>%。主要变动原因是</w:t>
      </w:r>
      <w:r>
        <w:rPr>
          <w:rFonts w:hint="eastAsia" w:eastAsia="仿宋_GB2312"/>
          <w:sz w:val="32"/>
          <w:szCs w:val="32"/>
        </w:rPr>
        <w:t>因为2020年受新冠疫情影响，医疗业务收入大幅度减少，医疗业务收入减少的同时导致药品、卫生材料等医疗支出减少。</w:t>
      </w:r>
    </w:p>
    <w:p w14:paraId="0C783D75">
      <w:pPr>
        <w:pStyle w:val="33"/>
        <w:spacing w:line="594" w:lineRule="exact"/>
        <w:ind w:left="640" w:firstLine="0" w:firstLineChars="0"/>
        <w:outlineLvl w:val="1"/>
        <w:rPr>
          <w:rFonts w:eastAsia="仿宋_GB2312"/>
          <w:color w:val="000000" w:themeColor="text1"/>
          <w:sz w:val="32"/>
          <w:szCs w:val="32"/>
        </w:rPr>
      </w:pPr>
      <w:bookmarkStart w:id="43" w:name="_Toc54341264"/>
      <w:bookmarkStart w:id="44" w:name="_Toc54341331"/>
      <w:r>
        <w:rPr>
          <w:rFonts w:eastAsia="仿宋_GB2312"/>
          <w:color w:val="000000" w:themeColor="text1"/>
          <w:sz w:val="32"/>
          <w:szCs w:val="32"/>
        </w:rPr>
        <w:t>（图1：收、支决算总计变动情况图）</w:t>
      </w:r>
      <w:bookmarkEnd w:id="43"/>
      <w:bookmarkEnd w:id="44"/>
      <w:bookmarkStart w:id="45" w:name="_Toc15396604"/>
      <w:bookmarkStart w:id="46" w:name="_Toc15377206"/>
    </w:p>
    <w:tbl>
      <w:tblPr>
        <w:tblStyle w:val="22"/>
        <w:tblW w:w="13240" w:type="dxa"/>
        <w:tblInd w:w="108" w:type="dxa"/>
        <w:tblLayout w:type="autofit"/>
        <w:tblCellMar>
          <w:top w:w="0" w:type="dxa"/>
          <w:left w:w="108" w:type="dxa"/>
          <w:bottom w:w="0" w:type="dxa"/>
          <w:right w:w="108" w:type="dxa"/>
        </w:tblCellMar>
      </w:tblPr>
      <w:tblGrid>
        <w:gridCol w:w="3976"/>
        <w:gridCol w:w="3000"/>
        <w:gridCol w:w="1080"/>
        <w:gridCol w:w="1080"/>
        <w:gridCol w:w="1080"/>
        <w:gridCol w:w="1080"/>
        <w:gridCol w:w="1080"/>
        <w:gridCol w:w="1080"/>
      </w:tblGrid>
      <w:tr w14:paraId="425C46EE">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1694A724">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6684D49C">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DF226C7">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3BBCF16F">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6DBCB96">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B8C4695">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0A7510B">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BFBA6F7">
            <w:pPr>
              <w:widowControl/>
              <w:jc w:val="left"/>
              <w:rPr>
                <w:rFonts w:ascii="宋体" w:hAnsi="宋体" w:cs="宋体"/>
                <w:kern w:val="0"/>
                <w:sz w:val="24"/>
              </w:rPr>
            </w:pPr>
          </w:p>
        </w:tc>
      </w:tr>
      <w:tr w14:paraId="7DDCABC2">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57924AA0">
            <w:pPr>
              <w:widowControl/>
              <w:jc w:val="left"/>
              <w:rPr>
                <w:rFonts w:ascii="宋体" w:hAnsi="宋体" w:cs="宋体"/>
                <w:kern w:val="0"/>
                <w:sz w:val="24"/>
              </w:rPr>
            </w:pPr>
            <w:r>
              <w:rPr>
                <w:rFonts w:ascii="宋体" w:hAnsi="宋体" w:cs="宋体"/>
                <w:kern w:val="0"/>
                <w:sz w:val="24"/>
              </w:rPr>
              <w:drawing>
                <wp:anchor distT="0" distB="0" distL="114300" distR="114300" simplePos="0" relativeHeight="251659264" behindDoc="0" locked="0" layoutInCell="1" allowOverlap="1">
                  <wp:simplePos x="0" y="0"/>
                  <wp:positionH relativeFrom="column">
                    <wp:posOffset>-284480</wp:posOffset>
                  </wp:positionH>
                  <wp:positionV relativeFrom="paragraph">
                    <wp:posOffset>49530</wp:posOffset>
                  </wp:positionV>
                  <wp:extent cx="6372225" cy="3790950"/>
                  <wp:effectExtent l="0" t="0" r="0" b="0"/>
                  <wp:wrapNone/>
                  <wp:docPr id="2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c>
        <w:tc>
          <w:tcPr>
            <w:tcW w:w="3000" w:type="dxa"/>
            <w:tcBorders>
              <w:top w:val="nil"/>
              <w:left w:val="nil"/>
              <w:bottom w:val="nil"/>
              <w:right w:val="nil"/>
            </w:tcBorders>
            <w:shd w:val="clear" w:color="auto" w:fill="auto"/>
            <w:noWrap/>
            <w:vAlign w:val="center"/>
          </w:tcPr>
          <w:p w14:paraId="250E34F5">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F6C5A15">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3D7B1C9">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35D3614">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040F8751">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90FA655">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0C8D1506">
            <w:pPr>
              <w:widowControl/>
              <w:jc w:val="left"/>
              <w:rPr>
                <w:rFonts w:ascii="宋体" w:hAnsi="宋体" w:cs="宋体"/>
                <w:kern w:val="0"/>
                <w:sz w:val="24"/>
              </w:rPr>
            </w:pPr>
          </w:p>
        </w:tc>
      </w:tr>
      <w:tr w14:paraId="10E03551">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7132CB79">
            <w:pPr>
              <w:widowControl/>
              <w:jc w:val="left"/>
              <w:rPr>
                <w:rFonts w:ascii="宋体" w:hAnsi="宋体" w:cs="宋体"/>
                <w:kern w:val="0"/>
                <w:sz w:val="24"/>
              </w:rPr>
            </w:pPr>
          </w:p>
          <w:tbl>
            <w:tblPr>
              <w:tblStyle w:val="22"/>
              <w:tblW w:w="0" w:type="auto"/>
              <w:tblCellSpacing w:w="0" w:type="dxa"/>
              <w:tblInd w:w="0" w:type="dxa"/>
              <w:tblLayout w:type="autofit"/>
              <w:tblCellMar>
                <w:top w:w="0" w:type="dxa"/>
                <w:left w:w="0" w:type="dxa"/>
                <w:bottom w:w="0" w:type="dxa"/>
                <w:right w:w="0" w:type="dxa"/>
              </w:tblCellMar>
            </w:tblPr>
            <w:tblGrid>
              <w:gridCol w:w="3760"/>
            </w:tblGrid>
            <w:tr w14:paraId="62F61E76">
              <w:tblPrEx>
                <w:tblCellMar>
                  <w:top w:w="0" w:type="dxa"/>
                  <w:left w:w="0" w:type="dxa"/>
                  <w:bottom w:w="0" w:type="dxa"/>
                  <w:right w:w="0" w:type="dxa"/>
                </w:tblCellMar>
              </w:tblPrEx>
              <w:trPr>
                <w:trHeight w:val="285" w:hRule="atLeast"/>
                <w:tblCellSpacing w:w="0" w:type="dxa"/>
              </w:trPr>
              <w:tc>
                <w:tcPr>
                  <w:tcW w:w="3760" w:type="dxa"/>
                  <w:tcBorders>
                    <w:top w:val="nil"/>
                    <w:left w:val="nil"/>
                    <w:bottom w:val="nil"/>
                    <w:right w:val="nil"/>
                  </w:tcBorders>
                  <w:shd w:val="clear" w:color="auto" w:fill="auto"/>
                  <w:noWrap/>
                  <w:vAlign w:val="center"/>
                </w:tcPr>
                <w:p w14:paraId="587BE4F7">
                  <w:pPr>
                    <w:widowControl/>
                    <w:jc w:val="left"/>
                    <w:rPr>
                      <w:rFonts w:ascii="宋体" w:hAnsi="宋体" w:cs="宋体"/>
                      <w:kern w:val="0"/>
                      <w:sz w:val="24"/>
                    </w:rPr>
                  </w:pPr>
                </w:p>
              </w:tc>
            </w:tr>
          </w:tbl>
          <w:p w14:paraId="2CC92E80">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6D9646C6">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060C6FB">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E6C8DA6">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179E485">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5412816">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205AB86E">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35CF899F">
            <w:pPr>
              <w:widowControl/>
              <w:jc w:val="left"/>
              <w:rPr>
                <w:rFonts w:ascii="宋体" w:hAnsi="宋体" w:cs="宋体"/>
                <w:kern w:val="0"/>
                <w:sz w:val="24"/>
              </w:rPr>
            </w:pPr>
          </w:p>
        </w:tc>
      </w:tr>
      <w:tr w14:paraId="0158BDFA">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53688626">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593671AE">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9A28ECE">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CF302F6">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3AC3AA42">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1299232">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20F1159">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A00A208">
            <w:pPr>
              <w:widowControl/>
              <w:jc w:val="left"/>
              <w:rPr>
                <w:rFonts w:ascii="宋体" w:hAnsi="宋体" w:cs="宋体"/>
                <w:kern w:val="0"/>
                <w:sz w:val="24"/>
              </w:rPr>
            </w:pPr>
          </w:p>
        </w:tc>
      </w:tr>
      <w:tr w14:paraId="6CB441B6">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7A82AA74">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5467145F">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69AF22A">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ED5A995">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B81C9B7">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3ACA4C57">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7F2DA32">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30616891">
            <w:pPr>
              <w:widowControl/>
              <w:jc w:val="left"/>
              <w:rPr>
                <w:rFonts w:ascii="宋体" w:hAnsi="宋体" w:cs="宋体"/>
                <w:kern w:val="0"/>
                <w:sz w:val="24"/>
              </w:rPr>
            </w:pPr>
          </w:p>
        </w:tc>
      </w:tr>
      <w:tr w14:paraId="183E1021">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469FC1A3">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50A3F89B">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A856FD7">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03E5A2DE">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211EE022">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5A0E0A4">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F95A1EE">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490A8A0">
            <w:pPr>
              <w:widowControl/>
              <w:jc w:val="left"/>
              <w:rPr>
                <w:rFonts w:ascii="宋体" w:hAnsi="宋体" w:cs="宋体"/>
                <w:kern w:val="0"/>
                <w:sz w:val="24"/>
              </w:rPr>
            </w:pPr>
          </w:p>
        </w:tc>
      </w:tr>
      <w:tr w14:paraId="440AFABB">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1477ABCD">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6AFAC7FE">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05BE919B">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2792F7FE">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0230656">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0456A5DF">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FF03DC8">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1EA353D">
            <w:pPr>
              <w:widowControl/>
              <w:jc w:val="left"/>
              <w:rPr>
                <w:rFonts w:ascii="宋体" w:hAnsi="宋体" w:cs="宋体"/>
                <w:kern w:val="0"/>
                <w:sz w:val="24"/>
              </w:rPr>
            </w:pPr>
          </w:p>
        </w:tc>
      </w:tr>
      <w:tr w14:paraId="3F6B6929">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52AE55EA">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423E4D97">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3A721D53">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408474C">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DD087AD">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21F8465">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39B489A">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2B3D7FE7">
            <w:pPr>
              <w:widowControl/>
              <w:jc w:val="left"/>
              <w:rPr>
                <w:rFonts w:ascii="宋体" w:hAnsi="宋体" w:cs="宋体"/>
                <w:kern w:val="0"/>
                <w:sz w:val="24"/>
              </w:rPr>
            </w:pPr>
          </w:p>
        </w:tc>
      </w:tr>
      <w:tr w14:paraId="4689BFF9">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3BE48DE2">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321FBF6E">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AAD272C">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1FDB35F">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94B4CF5">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0E7B3A5">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24C4169F">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5C56907">
            <w:pPr>
              <w:widowControl/>
              <w:jc w:val="left"/>
              <w:rPr>
                <w:rFonts w:ascii="宋体" w:hAnsi="宋体" w:cs="宋体"/>
                <w:kern w:val="0"/>
                <w:sz w:val="24"/>
              </w:rPr>
            </w:pPr>
          </w:p>
        </w:tc>
      </w:tr>
      <w:tr w14:paraId="54D3B9C0">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7A8833D4">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0AC23447">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4F3BF63">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37CFF9FF">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CEFF42E">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9D95F0A">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2B8576BA">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2CD50F1">
            <w:pPr>
              <w:widowControl/>
              <w:jc w:val="left"/>
              <w:rPr>
                <w:rFonts w:ascii="宋体" w:hAnsi="宋体" w:cs="宋体"/>
                <w:kern w:val="0"/>
                <w:sz w:val="24"/>
              </w:rPr>
            </w:pPr>
          </w:p>
        </w:tc>
      </w:tr>
      <w:tr w14:paraId="006C1B51">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402F84F2">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0CED5D39">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5EC3C6A">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34481868">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65AD527">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29D4014">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3EA87E6D">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E7428B9">
            <w:pPr>
              <w:widowControl/>
              <w:jc w:val="left"/>
              <w:rPr>
                <w:rFonts w:ascii="宋体" w:hAnsi="宋体" w:cs="宋体"/>
                <w:kern w:val="0"/>
                <w:sz w:val="24"/>
              </w:rPr>
            </w:pPr>
          </w:p>
        </w:tc>
      </w:tr>
      <w:tr w14:paraId="0C60330D">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089D762C">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332CED61">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C0C20A7">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37F30CF">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6547A90">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6319D82">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9A78AD8">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C33ACA6">
            <w:pPr>
              <w:widowControl/>
              <w:jc w:val="left"/>
              <w:rPr>
                <w:rFonts w:ascii="宋体" w:hAnsi="宋体" w:cs="宋体"/>
                <w:kern w:val="0"/>
                <w:sz w:val="24"/>
              </w:rPr>
            </w:pPr>
          </w:p>
        </w:tc>
      </w:tr>
      <w:tr w14:paraId="4B61E957">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31C8D7BF">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7FE5A645">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371891B">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EC0C865">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06F34633">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52C8CA4">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3AA5F0B2">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2B9721C">
            <w:pPr>
              <w:widowControl/>
              <w:jc w:val="left"/>
              <w:rPr>
                <w:rFonts w:ascii="宋体" w:hAnsi="宋体" w:cs="宋体"/>
                <w:kern w:val="0"/>
                <w:sz w:val="24"/>
              </w:rPr>
            </w:pPr>
          </w:p>
        </w:tc>
      </w:tr>
      <w:tr w14:paraId="68F00114">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33444FB4">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4D3E290F">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2FA1BC99">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36DE0403">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ED82CFB">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9F62630">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3DF905C">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23699D8F">
            <w:pPr>
              <w:widowControl/>
              <w:jc w:val="left"/>
              <w:rPr>
                <w:rFonts w:ascii="宋体" w:hAnsi="宋体" w:cs="宋体"/>
                <w:kern w:val="0"/>
                <w:sz w:val="24"/>
              </w:rPr>
            </w:pPr>
          </w:p>
        </w:tc>
      </w:tr>
      <w:tr w14:paraId="7BD0092D">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65A86BB3">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1C8F529D">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C0AE726">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EE45221">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7DD7B08">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BCD3FDA">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B0116DD">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4D95953">
            <w:pPr>
              <w:widowControl/>
              <w:jc w:val="left"/>
              <w:rPr>
                <w:rFonts w:ascii="宋体" w:hAnsi="宋体" w:cs="宋体"/>
                <w:kern w:val="0"/>
                <w:sz w:val="24"/>
              </w:rPr>
            </w:pPr>
          </w:p>
        </w:tc>
      </w:tr>
      <w:tr w14:paraId="63BEBAFD">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2E442F71">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443465FB">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B8B3B53">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94BD408">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74A5EAB">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6349489">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9B5D464">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33621E4B">
            <w:pPr>
              <w:widowControl/>
              <w:jc w:val="left"/>
              <w:rPr>
                <w:rFonts w:ascii="宋体" w:hAnsi="宋体" w:cs="宋体"/>
                <w:kern w:val="0"/>
                <w:sz w:val="24"/>
              </w:rPr>
            </w:pPr>
          </w:p>
        </w:tc>
      </w:tr>
      <w:tr w14:paraId="5FA86205">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5B1E341B">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039A944D">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0E5F982">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4EC9869">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9815D99">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B027807">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FA58198">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9355480">
            <w:pPr>
              <w:widowControl/>
              <w:jc w:val="left"/>
              <w:rPr>
                <w:rFonts w:ascii="宋体" w:hAnsi="宋体" w:cs="宋体"/>
                <w:kern w:val="0"/>
                <w:sz w:val="24"/>
              </w:rPr>
            </w:pPr>
          </w:p>
        </w:tc>
      </w:tr>
      <w:tr w14:paraId="609F9F35">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0187EA45">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63285B2E">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BDD1A42">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DD4E11A">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089725D">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D4CBAC0">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34C56F58">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7DF13EA">
            <w:pPr>
              <w:widowControl/>
              <w:jc w:val="left"/>
              <w:rPr>
                <w:rFonts w:ascii="宋体" w:hAnsi="宋体" w:cs="宋体"/>
                <w:kern w:val="0"/>
                <w:sz w:val="24"/>
              </w:rPr>
            </w:pPr>
          </w:p>
        </w:tc>
      </w:tr>
      <w:tr w14:paraId="3421B752">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16820999">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42A4C875">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0533CD6">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2C7ED10">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DED23DC">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2472FCB0">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0E55EFCF">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CABFE90">
            <w:pPr>
              <w:widowControl/>
              <w:jc w:val="left"/>
              <w:rPr>
                <w:rFonts w:ascii="宋体" w:hAnsi="宋体" w:cs="宋体"/>
                <w:kern w:val="0"/>
                <w:sz w:val="24"/>
              </w:rPr>
            </w:pPr>
          </w:p>
        </w:tc>
      </w:tr>
      <w:tr w14:paraId="228F321C">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210AB67D">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17B0549B">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A5D6134">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0280EA2">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00703BA9">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DEC9AB1">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16C0152">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D9933CE">
            <w:pPr>
              <w:widowControl/>
              <w:jc w:val="left"/>
              <w:rPr>
                <w:rFonts w:ascii="宋体" w:hAnsi="宋体" w:cs="宋体"/>
                <w:kern w:val="0"/>
                <w:sz w:val="24"/>
              </w:rPr>
            </w:pPr>
          </w:p>
        </w:tc>
      </w:tr>
      <w:tr w14:paraId="3257CD83">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3AAD2ECC">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157B9253">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CE19EAB">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CB8421D">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6F4D660">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9FCA053">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3232CDD">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BB12E9C">
            <w:pPr>
              <w:widowControl/>
              <w:jc w:val="left"/>
              <w:rPr>
                <w:rFonts w:ascii="宋体" w:hAnsi="宋体" w:cs="宋体"/>
                <w:kern w:val="0"/>
                <w:sz w:val="24"/>
              </w:rPr>
            </w:pPr>
          </w:p>
        </w:tc>
      </w:tr>
      <w:tr w14:paraId="5B11D1BF">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3CEB0566">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1C097375">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31D48337">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C82C612">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0CBF0DD2">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B3740B5">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2193557">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0E2F1988">
            <w:pPr>
              <w:widowControl/>
              <w:jc w:val="left"/>
              <w:rPr>
                <w:rFonts w:ascii="宋体" w:hAnsi="宋体" w:cs="宋体"/>
                <w:kern w:val="0"/>
                <w:sz w:val="24"/>
              </w:rPr>
            </w:pPr>
          </w:p>
        </w:tc>
      </w:tr>
      <w:tr w14:paraId="6083C3E6">
        <w:tblPrEx>
          <w:tblCellMar>
            <w:top w:w="0" w:type="dxa"/>
            <w:left w:w="108" w:type="dxa"/>
            <w:bottom w:w="0" w:type="dxa"/>
            <w:right w:w="108" w:type="dxa"/>
          </w:tblCellMar>
        </w:tblPrEx>
        <w:trPr>
          <w:trHeight w:val="285" w:hRule="atLeast"/>
        </w:trPr>
        <w:tc>
          <w:tcPr>
            <w:tcW w:w="3760" w:type="dxa"/>
            <w:tcBorders>
              <w:top w:val="nil"/>
              <w:left w:val="nil"/>
              <w:bottom w:val="nil"/>
              <w:right w:val="nil"/>
            </w:tcBorders>
            <w:shd w:val="clear" w:color="auto" w:fill="auto"/>
            <w:noWrap/>
            <w:vAlign w:val="center"/>
          </w:tcPr>
          <w:p w14:paraId="3E063EE3">
            <w:pPr>
              <w:widowControl/>
              <w:jc w:val="left"/>
              <w:rPr>
                <w:rFonts w:ascii="宋体" w:hAnsi="宋体" w:cs="宋体"/>
                <w:kern w:val="0"/>
                <w:sz w:val="24"/>
              </w:rPr>
            </w:pPr>
          </w:p>
        </w:tc>
        <w:tc>
          <w:tcPr>
            <w:tcW w:w="3000" w:type="dxa"/>
            <w:tcBorders>
              <w:top w:val="nil"/>
              <w:left w:val="nil"/>
              <w:bottom w:val="nil"/>
              <w:right w:val="nil"/>
            </w:tcBorders>
            <w:shd w:val="clear" w:color="auto" w:fill="auto"/>
            <w:noWrap/>
            <w:vAlign w:val="center"/>
          </w:tcPr>
          <w:p w14:paraId="1EF4BC94">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1245F9F">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17B5A394">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5128DE13">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4A88F7CC">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2B457F1C">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384DC680">
            <w:pPr>
              <w:widowControl/>
              <w:jc w:val="left"/>
              <w:rPr>
                <w:rFonts w:ascii="宋体" w:hAnsi="宋体" w:cs="宋体"/>
                <w:kern w:val="0"/>
                <w:sz w:val="24"/>
              </w:rPr>
            </w:pPr>
          </w:p>
        </w:tc>
      </w:tr>
    </w:tbl>
    <w:p w14:paraId="46FBB848">
      <w:pPr>
        <w:spacing w:line="594" w:lineRule="exact"/>
        <w:ind w:firstLine="160" w:firstLineChars="50"/>
        <w:outlineLvl w:val="1"/>
        <w:rPr>
          <w:rFonts w:hAnsi="黑体" w:eastAsia="黑体"/>
          <w:color w:val="000000"/>
          <w:sz w:val="32"/>
          <w:szCs w:val="32"/>
        </w:rPr>
      </w:pPr>
      <w:bookmarkStart w:id="47" w:name="_Toc54341332"/>
      <w:bookmarkStart w:id="48" w:name="_Toc54341265"/>
    </w:p>
    <w:p w14:paraId="55078662">
      <w:pPr>
        <w:spacing w:line="594" w:lineRule="exact"/>
        <w:ind w:firstLine="640" w:firstLineChars="200"/>
        <w:outlineLvl w:val="1"/>
        <w:rPr>
          <w:rStyle w:val="35"/>
          <w:rFonts w:ascii="Times New Roman" w:hAnsi="Times New Roman" w:eastAsia="黑体" w:cs="Times New Roman"/>
          <w:b w:val="0"/>
          <w:bCs w:val="0"/>
        </w:rPr>
      </w:pPr>
      <w:r>
        <w:rPr>
          <w:rFonts w:hint="eastAsia" w:hAnsi="黑体" w:eastAsia="黑体"/>
          <w:color w:val="000000"/>
          <w:sz w:val="32"/>
          <w:szCs w:val="32"/>
        </w:rPr>
        <w:t>二、</w:t>
      </w:r>
      <w:r>
        <w:rPr>
          <w:rFonts w:hAnsi="黑体" w:eastAsia="黑体"/>
          <w:color w:val="000000"/>
          <w:sz w:val="32"/>
          <w:szCs w:val="32"/>
        </w:rPr>
        <w:t>收</w:t>
      </w:r>
      <w:r>
        <w:rPr>
          <w:rStyle w:val="35"/>
          <w:rFonts w:ascii="Times New Roman" w:hAnsi="黑体" w:eastAsia="黑体" w:cs="Times New Roman"/>
          <w:b w:val="0"/>
          <w:bCs w:val="0"/>
        </w:rPr>
        <w:t>入决算情况说明</w:t>
      </w:r>
      <w:bookmarkEnd w:id="45"/>
      <w:bookmarkEnd w:id="46"/>
      <w:bookmarkEnd w:id="47"/>
      <w:bookmarkEnd w:id="48"/>
    </w:p>
    <w:p w14:paraId="45827480">
      <w:pPr>
        <w:spacing w:line="594" w:lineRule="exact"/>
        <w:ind w:firstLine="640" w:firstLineChars="200"/>
        <w:rPr>
          <w:rFonts w:eastAsia="仿宋_GB2312"/>
          <w:color w:val="000000"/>
          <w:sz w:val="32"/>
          <w:szCs w:val="32"/>
        </w:rPr>
      </w:pP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年本年收入合计</w:t>
      </w:r>
      <w:r>
        <w:rPr>
          <w:rFonts w:hint="eastAsia" w:eastAsia="仿宋_GB2312"/>
          <w:color w:val="000000"/>
          <w:sz w:val="32"/>
          <w:szCs w:val="32"/>
        </w:rPr>
        <w:t>5170.98</w:t>
      </w:r>
      <w:r>
        <w:rPr>
          <w:rFonts w:eastAsia="仿宋_GB2312"/>
          <w:color w:val="000000"/>
          <w:sz w:val="32"/>
          <w:szCs w:val="32"/>
        </w:rPr>
        <w:t>万元，其中：一般公共预算财政拨款收入</w:t>
      </w:r>
      <w:r>
        <w:rPr>
          <w:rFonts w:hint="eastAsia" w:eastAsia="仿宋_GB2312"/>
          <w:color w:val="000000"/>
          <w:sz w:val="32"/>
          <w:szCs w:val="32"/>
        </w:rPr>
        <w:t>647.37</w:t>
      </w:r>
      <w:r>
        <w:rPr>
          <w:rFonts w:eastAsia="仿宋_GB2312"/>
          <w:color w:val="000000"/>
          <w:sz w:val="32"/>
          <w:szCs w:val="32"/>
        </w:rPr>
        <w:t>万元，占</w:t>
      </w:r>
      <w:r>
        <w:rPr>
          <w:rFonts w:hint="eastAsia" w:eastAsia="仿宋_GB2312"/>
          <w:color w:val="000000"/>
          <w:sz w:val="32"/>
          <w:szCs w:val="32"/>
        </w:rPr>
        <w:t>12.52</w:t>
      </w:r>
      <w:r>
        <w:rPr>
          <w:rFonts w:eastAsia="仿宋_GB2312"/>
          <w:color w:val="000000"/>
          <w:sz w:val="32"/>
          <w:szCs w:val="32"/>
        </w:rPr>
        <w:t>%；事业收入</w:t>
      </w:r>
      <w:r>
        <w:rPr>
          <w:rFonts w:hint="eastAsia" w:eastAsia="仿宋_GB2312"/>
          <w:color w:val="000000"/>
          <w:sz w:val="32"/>
          <w:szCs w:val="32"/>
        </w:rPr>
        <w:t>4512.22</w:t>
      </w:r>
      <w:r>
        <w:rPr>
          <w:rFonts w:eastAsia="仿宋_GB2312"/>
          <w:color w:val="000000"/>
          <w:sz w:val="32"/>
          <w:szCs w:val="32"/>
        </w:rPr>
        <w:t>万元，占</w:t>
      </w:r>
      <w:r>
        <w:rPr>
          <w:rFonts w:hint="eastAsia" w:eastAsia="仿宋_GB2312"/>
          <w:color w:val="000000"/>
          <w:sz w:val="32"/>
          <w:szCs w:val="32"/>
        </w:rPr>
        <w:t>87.26</w:t>
      </w:r>
      <w:r>
        <w:rPr>
          <w:rFonts w:eastAsia="仿宋_GB2312"/>
          <w:color w:val="000000"/>
          <w:sz w:val="32"/>
          <w:szCs w:val="32"/>
        </w:rPr>
        <w:t>%；其他收入</w:t>
      </w:r>
      <w:r>
        <w:rPr>
          <w:rFonts w:hint="eastAsia" w:eastAsia="仿宋_GB2312"/>
          <w:color w:val="000000"/>
          <w:sz w:val="32"/>
          <w:szCs w:val="32"/>
        </w:rPr>
        <w:t>11.39</w:t>
      </w:r>
      <w:r>
        <w:rPr>
          <w:rFonts w:eastAsia="仿宋_GB2312"/>
          <w:color w:val="000000"/>
          <w:sz w:val="32"/>
          <w:szCs w:val="32"/>
        </w:rPr>
        <w:t>万元，占</w:t>
      </w:r>
      <w:r>
        <w:rPr>
          <w:rFonts w:hint="eastAsia" w:eastAsia="仿宋_GB2312"/>
          <w:color w:val="000000"/>
          <w:sz w:val="32"/>
          <w:szCs w:val="32"/>
        </w:rPr>
        <w:t>0.22</w:t>
      </w:r>
      <w:r>
        <w:rPr>
          <w:rFonts w:eastAsia="仿宋_GB2312"/>
          <w:color w:val="000000"/>
          <w:sz w:val="32"/>
          <w:szCs w:val="32"/>
        </w:rPr>
        <w:t>%。</w:t>
      </w:r>
    </w:p>
    <w:tbl>
      <w:tblPr>
        <w:tblStyle w:val="22"/>
        <w:tblW w:w="15432" w:type="dxa"/>
        <w:tblInd w:w="108" w:type="dxa"/>
        <w:tblLayout w:type="autofit"/>
        <w:tblCellMar>
          <w:top w:w="0" w:type="dxa"/>
          <w:left w:w="108" w:type="dxa"/>
          <w:bottom w:w="0" w:type="dxa"/>
          <w:right w:w="108" w:type="dxa"/>
        </w:tblCellMar>
      </w:tblPr>
      <w:tblGrid>
        <w:gridCol w:w="8856"/>
        <w:gridCol w:w="1096"/>
        <w:gridCol w:w="1096"/>
        <w:gridCol w:w="1096"/>
        <w:gridCol w:w="1096"/>
        <w:gridCol w:w="1096"/>
        <w:gridCol w:w="1096"/>
      </w:tblGrid>
      <w:tr w14:paraId="674500FC">
        <w:trPr>
          <w:trHeight w:val="285" w:hRule="atLeast"/>
        </w:trPr>
        <w:tc>
          <w:tcPr>
            <w:tcW w:w="8856" w:type="dxa"/>
            <w:tcBorders>
              <w:top w:val="nil"/>
              <w:left w:val="nil"/>
              <w:bottom w:val="nil"/>
              <w:right w:val="nil"/>
            </w:tcBorders>
            <w:shd w:val="clear" w:color="auto" w:fill="auto"/>
            <w:noWrap/>
            <w:vAlign w:val="center"/>
          </w:tcPr>
          <w:p w14:paraId="06C2362B">
            <w:pPr>
              <w:widowControl/>
              <w:jc w:val="center"/>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684546A5">
            <w:pPr>
              <w:widowControl/>
              <w:jc w:val="left"/>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5FCE4358">
            <w:pPr>
              <w:widowControl/>
              <w:jc w:val="left"/>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105899FB">
            <w:pPr>
              <w:widowControl/>
              <w:jc w:val="left"/>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65CE52C3">
            <w:pPr>
              <w:widowControl/>
              <w:jc w:val="left"/>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1B1FF7F2">
            <w:pPr>
              <w:widowControl/>
              <w:jc w:val="left"/>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71205615">
            <w:pPr>
              <w:widowControl/>
              <w:jc w:val="left"/>
              <w:rPr>
                <w:rFonts w:ascii="宋体" w:hAnsi="宋体" w:cs="宋体"/>
                <w:kern w:val="0"/>
                <w:sz w:val="24"/>
              </w:rPr>
            </w:pPr>
          </w:p>
        </w:tc>
      </w:tr>
      <w:tr w14:paraId="02A21E1C">
        <w:tblPrEx>
          <w:tblCellMar>
            <w:top w:w="0" w:type="dxa"/>
            <w:left w:w="108" w:type="dxa"/>
            <w:bottom w:w="0" w:type="dxa"/>
            <w:right w:w="108" w:type="dxa"/>
          </w:tblCellMar>
        </w:tblPrEx>
        <w:trPr>
          <w:trHeight w:val="285" w:hRule="atLeast"/>
        </w:trPr>
        <w:tc>
          <w:tcPr>
            <w:tcW w:w="8856" w:type="dxa"/>
            <w:tcBorders>
              <w:top w:val="nil"/>
              <w:left w:val="nil"/>
              <w:bottom w:val="nil"/>
              <w:right w:val="nil"/>
            </w:tcBorders>
            <w:shd w:val="clear" w:color="auto" w:fill="auto"/>
            <w:noWrap/>
            <w:vAlign w:val="center"/>
          </w:tcPr>
          <w:p w14:paraId="393C5108">
            <w:pPr>
              <w:widowControl/>
              <w:jc w:val="center"/>
              <w:rPr>
                <w:rFonts w:ascii="宋体" w:hAnsi="宋体" w:cs="宋体"/>
                <w:kern w:val="0"/>
                <w:sz w:val="24"/>
              </w:rPr>
            </w:pPr>
            <w:r>
              <w:rPr>
                <w:rFonts w:ascii="宋体" w:hAnsi="宋体" w:cs="宋体"/>
                <w:kern w:val="0"/>
                <w:sz w:val="24"/>
              </w:rPr>
              <w:drawing>
                <wp:inline distT="0" distB="0" distL="0" distR="0">
                  <wp:extent cx="5486400" cy="294703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1096" w:type="dxa"/>
            <w:tcBorders>
              <w:top w:val="nil"/>
              <w:left w:val="nil"/>
              <w:bottom w:val="nil"/>
              <w:right w:val="nil"/>
            </w:tcBorders>
            <w:shd w:val="clear" w:color="auto" w:fill="auto"/>
            <w:noWrap/>
            <w:vAlign w:val="center"/>
          </w:tcPr>
          <w:p w14:paraId="4D0A8CFB">
            <w:pPr>
              <w:widowControl/>
              <w:jc w:val="left"/>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27FF84F6">
            <w:pPr>
              <w:widowControl/>
              <w:jc w:val="left"/>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7BFD43A9">
            <w:pPr>
              <w:widowControl/>
              <w:jc w:val="left"/>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1B642671">
            <w:pPr>
              <w:widowControl/>
              <w:jc w:val="left"/>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4635948B">
            <w:pPr>
              <w:widowControl/>
              <w:jc w:val="left"/>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7836DC15">
            <w:pPr>
              <w:widowControl/>
              <w:jc w:val="left"/>
              <w:rPr>
                <w:rFonts w:ascii="宋体" w:hAnsi="宋体" w:cs="宋体"/>
                <w:kern w:val="0"/>
                <w:sz w:val="24"/>
              </w:rPr>
            </w:pPr>
          </w:p>
        </w:tc>
      </w:tr>
      <w:tr w14:paraId="637D0CCF">
        <w:trPr>
          <w:trHeight w:val="285" w:hRule="atLeast"/>
        </w:trPr>
        <w:tc>
          <w:tcPr>
            <w:tcW w:w="8856" w:type="dxa"/>
            <w:tcBorders>
              <w:top w:val="nil"/>
              <w:left w:val="nil"/>
              <w:bottom w:val="nil"/>
              <w:right w:val="nil"/>
            </w:tcBorders>
            <w:shd w:val="clear" w:color="auto" w:fill="auto"/>
            <w:noWrap/>
            <w:vAlign w:val="center"/>
          </w:tcPr>
          <w:p w14:paraId="00344C09">
            <w:pPr>
              <w:widowControl/>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3223EB7F">
            <w:pPr>
              <w:widowControl/>
              <w:jc w:val="left"/>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6FC7BCED">
            <w:pPr>
              <w:widowControl/>
              <w:jc w:val="left"/>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6C40FC94">
            <w:pPr>
              <w:widowControl/>
              <w:jc w:val="left"/>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449A4900">
            <w:pPr>
              <w:widowControl/>
              <w:jc w:val="left"/>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084F2882">
            <w:pPr>
              <w:widowControl/>
              <w:jc w:val="left"/>
              <w:rPr>
                <w:rFonts w:ascii="宋体" w:hAnsi="宋体" w:cs="宋体"/>
                <w:kern w:val="0"/>
                <w:sz w:val="24"/>
              </w:rPr>
            </w:pPr>
          </w:p>
        </w:tc>
        <w:tc>
          <w:tcPr>
            <w:tcW w:w="1096" w:type="dxa"/>
            <w:tcBorders>
              <w:top w:val="nil"/>
              <w:left w:val="nil"/>
              <w:bottom w:val="nil"/>
              <w:right w:val="nil"/>
            </w:tcBorders>
            <w:shd w:val="clear" w:color="auto" w:fill="auto"/>
            <w:noWrap/>
            <w:vAlign w:val="center"/>
          </w:tcPr>
          <w:p w14:paraId="65B64AAE">
            <w:pPr>
              <w:widowControl/>
              <w:jc w:val="left"/>
              <w:rPr>
                <w:rFonts w:ascii="宋体" w:hAnsi="宋体" w:cs="宋体"/>
                <w:kern w:val="0"/>
                <w:sz w:val="24"/>
              </w:rPr>
            </w:pPr>
          </w:p>
        </w:tc>
      </w:tr>
    </w:tbl>
    <w:p w14:paraId="1DC08AFA">
      <w:pPr>
        <w:spacing w:line="600" w:lineRule="exact"/>
        <w:rPr>
          <w:rFonts w:eastAsia="仿宋_GB2312"/>
          <w:color w:val="FF0000"/>
          <w:sz w:val="32"/>
          <w:szCs w:val="32"/>
        </w:rPr>
      </w:pPr>
      <w:r>
        <w:rPr>
          <w:rFonts w:eastAsia="仿宋_GB2312"/>
          <w:color w:val="000000" w:themeColor="text1"/>
          <w:sz w:val="32"/>
          <w:szCs w:val="32"/>
        </w:rPr>
        <w:t>（图2：收入决算结构图）（饼状图）</w:t>
      </w:r>
    </w:p>
    <w:p w14:paraId="7B1441EF">
      <w:pPr>
        <w:pStyle w:val="33"/>
        <w:numPr>
          <w:ilvl w:val="0"/>
          <w:numId w:val="4"/>
        </w:numPr>
        <w:spacing w:line="600" w:lineRule="exact"/>
        <w:ind w:firstLineChars="0"/>
        <w:outlineLvl w:val="1"/>
        <w:rPr>
          <w:rStyle w:val="35"/>
          <w:rFonts w:ascii="Times New Roman" w:hAnsi="Times New Roman" w:eastAsia="黑体" w:cs="Times New Roman"/>
          <w:b w:val="0"/>
          <w:bCs w:val="0"/>
        </w:rPr>
      </w:pPr>
      <w:bookmarkStart w:id="49" w:name="_Toc54341266"/>
      <w:bookmarkStart w:id="50" w:name="_Toc54341333"/>
      <w:bookmarkStart w:id="51" w:name="_Toc15396605"/>
      <w:bookmarkStart w:id="52" w:name="_Toc15377207"/>
      <w:r>
        <w:rPr>
          <w:rFonts w:hAnsi="黑体" w:eastAsia="黑体"/>
          <w:color w:val="000000"/>
          <w:sz w:val="32"/>
          <w:szCs w:val="32"/>
        </w:rPr>
        <w:t>支</w:t>
      </w:r>
      <w:r>
        <w:rPr>
          <w:rStyle w:val="35"/>
          <w:rFonts w:ascii="Times New Roman" w:hAnsi="黑体" w:eastAsia="黑体" w:cs="Times New Roman"/>
          <w:b w:val="0"/>
          <w:bCs w:val="0"/>
        </w:rPr>
        <w:t>出决算情况说明</w:t>
      </w:r>
      <w:bookmarkEnd w:id="49"/>
      <w:bookmarkEnd w:id="50"/>
      <w:bookmarkEnd w:id="51"/>
      <w:bookmarkEnd w:id="52"/>
    </w:p>
    <w:p w14:paraId="394868D1">
      <w:pPr>
        <w:spacing w:line="594" w:lineRule="exact"/>
        <w:ind w:firstLine="640" w:firstLineChars="200"/>
        <w:outlineLvl w:val="1"/>
        <w:rPr>
          <w:rFonts w:eastAsia="仿宋_GB2312"/>
          <w:color w:val="000000"/>
          <w:sz w:val="32"/>
          <w:szCs w:val="32"/>
        </w:rPr>
      </w:pPr>
      <w:bookmarkStart w:id="53" w:name="_Toc54341267"/>
      <w:bookmarkStart w:id="54" w:name="_Toc54341334"/>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年本年支出合计</w:t>
      </w:r>
      <w:r>
        <w:rPr>
          <w:rFonts w:hint="eastAsia" w:eastAsia="仿宋_GB2312"/>
          <w:color w:val="000000"/>
          <w:sz w:val="32"/>
          <w:szCs w:val="32"/>
        </w:rPr>
        <w:t>5472.72</w:t>
      </w:r>
      <w:r>
        <w:rPr>
          <w:rFonts w:eastAsia="仿宋_GB2312"/>
          <w:color w:val="000000"/>
          <w:sz w:val="32"/>
          <w:szCs w:val="32"/>
        </w:rPr>
        <w:t>万元，其中：基本支出</w:t>
      </w:r>
      <w:r>
        <w:rPr>
          <w:rFonts w:hint="eastAsia" w:eastAsia="仿宋_GB2312"/>
          <w:color w:val="000000"/>
          <w:sz w:val="32"/>
          <w:szCs w:val="32"/>
        </w:rPr>
        <w:t>4837.29</w:t>
      </w:r>
      <w:r>
        <w:rPr>
          <w:rFonts w:eastAsia="仿宋_GB2312"/>
          <w:color w:val="000000"/>
          <w:sz w:val="32"/>
          <w:szCs w:val="32"/>
        </w:rPr>
        <w:t>万元，占</w:t>
      </w:r>
      <w:r>
        <w:rPr>
          <w:rFonts w:hint="eastAsia" w:eastAsia="仿宋_GB2312"/>
          <w:color w:val="000000"/>
          <w:sz w:val="32"/>
          <w:szCs w:val="32"/>
        </w:rPr>
        <w:t>88.39</w:t>
      </w:r>
      <w:r>
        <w:rPr>
          <w:rFonts w:eastAsia="仿宋_GB2312"/>
          <w:color w:val="000000"/>
          <w:sz w:val="32"/>
          <w:szCs w:val="32"/>
        </w:rPr>
        <w:t>%；项目支出</w:t>
      </w:r>
      <w:r>
        <w:rPr>
          <w:rFonts w:hint="eastAsia" w:eastAsia="仿宋_GB2312"/>
          <w:color w:val="000000"/>
          <w:sz w:val="32"/>
          <w:szCs w:val="32"/>
        </w:rPr>
        <w:t>635.43</w:t>
      </w:r>
      <w:r>
        <w:rPr>
          <w:rFonts w:eastAsia="仿宋_GB2312"/>
          <w:color w:val="000000"/>
          <w:sz w:val="32"/>
          <w:szCs w:val="32"/>
        </w:rPr>
        <w:t>万元，占</w:t>
      </w:r>
      <w:r>
        <w:rPr>
          <w:rFonts w:hint="eastAsia" w:eastAsia="仿宋_GB2312"/>
          <w:color w:val="000000"/>
          <w:sz w:val="32"/>
          <w:szCs w:val="32"/>
        </w:rPr>
        <w:t>11.61</w:t>
      </w:r>
      <w:r>
        <w:rPr>
          <w:rFonts w:eastAsia="仿宋_GB2312"/>
          <w:color w:val="000000"/>
          <w:sz w:val="32"/>
          <w:szCs w:val="32"/>
        </w:rPr>
        <w:t>%</w:t>
      </w:r>
      <w:bookmarkEnd w:id="53"/>
      <w:bookmarkEnd w:id="54"/>
      <w:r>
        <w:rPr>
          <w:rFonts w:hint="eastAsia" w:eastAsia="仿宋_GB2312"/>
          <w:color w:val="000000"/>
          <w:sz w:val="32"/>
          <w:szCs w:val="32"/>
        </w:rPr>
        <w:t>。</w:t>
      </w:r>
    </w:p>
    <w:p w14:paraId="5713B388">
      <w:pPr>
        <w:spacing w:line="594" w:lineRule="exact"/>
        <w:ind w:firstLine="640" w:firstLineChars="200"/>
        <w:outlineLvl w:val="1"/>
        <w:rPr>
          <w:rFonts w:eastAsia="仿宋_GB2312"/>
          <w:color w:val="000000"/>
          <w:sz w:val="32"/>
          <w:szCs w:val="32"/>
        </w:rPr>
      </w:pPr>
    </w:p>
    <w:p w14:paraId="1A603AD6">
      <w:pPr>
        <w:ind w:firstLine="640" w:firstLineChars="200"/>
        <w:outlineLvl w:val="1"/>
        <w:rPr>
          <w:rFonts w:eastAsia="仿宋"/>
          <w:color w:val="000000"/>
          <w:sz w:val="32"/>
          <w:szCs w:val="32"/>
        </w:rPr>
      </w:pPr>
      <w:r>
        <w:rPr>
          <w:rFonts w:eastAsia="仿宋"/>
          <w:color w:val="000000"/>
          <w:sz w:val="32"/>
          <w:szCs w:val="32"/>
        </w:rPr>
        <w:drawing>
          <wp:inline distT="0" distB="0" distL="0" distR="0">
            <wp:extent cx="5486400" cy="2765425"/>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DE3577">
      <w:pPr>
        <w:spacing w:line="600" w:lineRule="exact"/>
        <w:ind w:firstLine="640" w:firstLineChars="200"/>
        <w:rPr>
          <w:rFonts w:eastAsia="仿宋_GB2312"/>
          <w:color w:val="FF0000"/>
          <w:sz w:val="32"/>
          <w:szCs w:val="32"/>
        </w:rPr>
      </w:pPr>
      <w:r>
        <w:rPr>
          <w:rFonts w:eastAsia="仿宋_GB2312"/>
          <w:color w:val="000000" w:themeColor="text1"/>
          <w:sz w:val="32"/>
          <w:szCs w:val="32"/>
        </w:rPr>
        <w:t>（图3：支出决算结构图）（饼状图）</w:t>
      </w:r>
    </w:p>
    <w:p w14:paraId="51AC6BE8">
      <w:pPr>
        <w:spacing w:line="600" w:lineRule="exact"/>
        <w:ind w:firstLine="640" w:firstLineChars="200"/>
        <w:outlineLvl w:val="1"/>
        <w:rPr>
          <w:rStyle w:val="35"/>
          <w:rFonts w:ascii="Times New Roman" w:hAnsi="Times New Roman" w:eastAsia="黑体" w:cs="Times New Roman"/>
          <w:b w:val="0"/>
          <w:bCs w:val="0"/>
        </w:rPr>
      </w:pPr>
      <w:bookmarkStart w:id="55" w:name="_Toc15396606"/>
      <w:bookmarkStart w:id="56" w:name="_Toc15377208"/>
      <w:bookmarkStart w:id="57" w:name="_Toc54341268"/>
      <w:bookmarkStart w:id="58" w:name="_Toc54341335"/>
      <w:r>
        <w:rPr>
          <w:rFonts w:hAnsi="黑体" w:eastAsia="黑体"/>
          <w:color w:val="000000"/>
          <w:sz w:val="32"/>
          <w:szCs w:val="32"/>
        </w:rPr>
        <w:t>四、财</w:t>
      </w:r>
      <w:r>
        <w:rPr>
          <w:rStyle w:val="35"/>
          <w:rFonts w:ascii="Times New Roman" w:hAnsi="黑体" w:eastAsia="黑体" w:cs="Times New Roman"/>
          <w:b w:val="0"/>
          <w:bCs w:val="0"/>
        </w:rPr>
        <w:t>政拨款收入支出决算总体情况说明</w:t>
      </w:r>
      <w:bookmarkEnd w:id="55"/>
      <w:bookmarkEnd w:id="56"/>
      <w:bookmarkEnd w:id="57"/>
      <w:bookmarkEnd w:id="58"/>
    </w:p>
    <w:p w14:paraId="2F33F1D2">
      <w:pPr>
        <w:spacing w:line="600" w:lineRule="exact"/>
        <w:ind w:firstLine="640"/>
        <w:jc w:val="left"/>
        <w:rPr>
          <w:rFonts w:eastAsia="仿宋_GB2312"/>
          <w:color w:val="000000"/>
          <w:sz w:val="32"/>
          <w:szCs w:val="32"/>
        </w:rPr>
      </w:pPr>
      <w:r>
        <w:rPr>
          <w:rFonts w:eastAsia="仿宋_GB2312"/>
          <w:sz w:val="32"/>
          <w:szCs w:val="32"/>
        </w:rPr>
        <w:t>20</w:t>
      </w:r>
      <w:r>
        <w:rPr>
          <w:rFonts w:hint="eastAsia" w:eastAsia="仿宋_GB2312"/>
          <w:sz w:val="32"/>
          <w:szCs w:val="32"/>
        </w:rPr>
        <w:t>20</w:t>
      </w:r>
      <w:r>
        <w:rPr>
          <w:rFonts w:eastAsia="仿宋_GB2312"/>
          <w:sz w:val="32"/>
          <w:szCs w:val="32"/>
        </w:rPr>
        <w:t>年财政拨款收、支总计</w:t>
      </w:r>
      <w:r>
        <w:rPr>
          <w:rFonts w:hint="eastAsia" w:eastAsia="仿宋_GB2312"/>
          <w:sz w:val="32"/>
          <w:szCs w:val="32"/>
        </w:rPr>
        <w:t>1091.90</w:t>
      </w:r>
      <w:r>
        <w:rPr>
          <w:rFonts w:eastAsia="仿宋_GB2312"/>
          <w:sz w:val="32"/>
          <w:szCs w:val="32"/>
        </w:rPr>
        <w:t>万元</w:t>
      </w:r>
      <w:r>
        <w:rPr>
          <w:rFonts w:hint="eastAsia" w:eastAsia="仿宋_GB2312"/>
          <w:sz w:val="32"/>
          <w:szCs w:val="32"/>
        </w:rPr>
        <w:t>。</w:t>
      </w:r>
      <w:r>
        <w:rPr>
          <w:rFonts w:eastAsia="仿宋_GB2312"/>
          <w:color w:val="000000"/>
          <w:sz w:val="32"/>
          <w:szCs w:val="32"/>
        </w:rPr>
        <w:t>与201</w:t>
      </w:r>
      <w:r>
        <w:rPr>
          <w:rFonts w:hint="eastAsia" w:eastAsia="仿宋_GB2312"/>
          <w:color w:val="000000"/>
          <w:sz w:val="32"/>
          <w:szCs w:val="32"/>
        </w:rPr>
        <w:t>9</w:t>
      </w:r>
      <w:r>
        <w:rPr>
          <w:rFonts w:eastAsia="仿宋_GB2312"/>
          <w:color w:val="000000"/>
          <w:sz w:val="32"/>
          <w:szCs w:val="32"/>
        </w:rPr>
        <w:t>年相比，财政拨款收、支总计</w:t>
      </w:r>
      <w:r>
        <w:rPr>
          <w:rFonts w:hint="eastAsia" w:eastAsia="仿宋_GB2312"/>
          <w:color w:val="000000"/>
          <w:sz w:val="32"/>
          <w:szCs w:val="32"/>
        </w:rPr>
        <w:t>减少116.26</w:t>
      </w:r>
      <w:r>
        <w:rPr>
          <w:rFonts w:eastAsia="仿宋_GB2312"/>
          <w:color w:val="000000"/>
          <w:sz w:val="32"/>
          <w:szCs w:val="32"/>
        </w:rPr>
        <w:t>万元，</w:t>
      </w:r>
      <w:r>
        <w:rPr>
          <w:rFonts w:hint="eastAsia" w:eastAsia="仿宋_GB2312"/>
          <w:color w:val="000000"/>
          <w:sz w:val="32"/>
          <w:szCs w:val="32"/>
        </w:rPr>
        <w:t>减少9.62</w:t>
      </w:r>
      <w:r>
        <w:rPr>
          <w:rFonts w:eastAsia="仿宋_GB2312"/>
          <w:color w:val="000000"/>
          <w:sz w:val="32"/>
          <w:szCs w:val="32"/>
        </w:rPr>
        <w:t>%。主要变动原因是</w:t>
      </w:r>
      <w:r>
        <w:rPr>
          <w:rFonts w:hint="eastAsia" w:eastAsia="仿宋_GB2312"/>
          <w:sz w:val="32"/>
          <w:szCs w:val="32"/>
        </w:rPr>
        <w:t>2019年含有2018年末结转省级中医药补助380.00万元。</w:t>
      </w:r>
    </w:p>
    <w:p w14:paraId="664D848F">
      <w:pPr>
        <w:rPr>
          <w:rFonts w:eastAsia="仿宋"/>
          <w:color w:val="000000"/>
          <w:sz w:val="32"/>
          <w:szCs w:val="32"/>
        </w:rPr>
      </w:pPr>
      <w:r>
        <w:rPr>
          <w:rFonts w:eastAsia="仿宋"/>
          <w:color w:val="FFFFFF" w:themeColor="background1"/>
          <w:sz w:val="32"/>
          <w:szCs w:val="32"/>
        </w:rPr>
        <w:drawing>
          <wp:inline distT="0" distB="0" distL="0" distR="0">
            <wp:extent cx="5486400" cy="3236595"/>
            <wp:effectExtent l="0" t="0" r="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7CA83D">
      <w:pPr>
        <w:spacing w:line="600" w:lineRule="exact"/>
        <w:ind w:firstLine="640" w:firstLineChars="200"/>
        <w:rPr>
          <w:rFonts w:eastAsia="仿宋_GB2312"/>
          <w:color w:val="000000" w:themeColor="text1"/>
          <w:sz w:val="32"/>
          <w:szCs w:val="32"/>
        </w:rPr>
      </w:pPr>
      <w:r>
        <w:rPr>
          <w:rFonts w:eastAsia="仿宋_GB2312"/>
          <w:color w:val="000000" w:themeColor="text1"/>
          <w:sz w:val="32"/>
          <w:szCs w:val="32"/>
        </w:rPr>
        <w:t>（图4：财政拨款收、支决算总计变动情况）</w:t>
      </w:r>
    </w:p>
    <w:p w14:paraId="2BAC14BC">
      <w:pPr>
        <w:spacing w:line="600" w:lineRule="exact"/>
        <w:ind w:firstLine="640" w:firstLineChars="200"/>
        <w:outlineLvl w:val="1"/>
        <w:rPr>
          <w:rStyle w:val="35"/>
          <w:rFonts w:ascii="Times New Roman" w:hAnsi="Times New Roman" w:eastAsia="黑体" w:cs="Times New Roman"/>
          <w:b w:val="0"/>
          <w:bCs w:val="0"/>
        </w:rPr>
      </w:pPr>
      <w:bookmarkStart w:id="59" w:name="_Toc15377209"/>
      <w:bookmarkStart w:id="60" w:name="_Toc54341336"/>
      <w:bookmarkStart w:id="61" w:name="_Toc15396607"/>
      <w:bookmarkStart w:id="62" w:name="_Toc54341269"/>
      <w:r>
        <w:rPr>
          <w:rFonts w:hAnsi="黑体" w:eastAsia="黑体"/>
          <w:color w:val="000000"/>
          <w:sz w:val="32"/>
          <w:szCs w:val="32"/>
        </w:rPr>
        <w:t>五、一</w:t>
      </w:r>
      <w:r>
        <w:rPr>
          <w:rStyle w:val="35"/>
          <w:rFonts w:ascii="Times New Roman" w:hAnsi="黑体" w:eastAsia="黑体" w:cs="Times New Roman"/>
          <w:b w:val="0"/>
          <w:bCs w:val="0"/>
        </w:rPr>
        <w:t>般公共预算财政拨款支出决算情况说明</w:t>
      </w:r>
      <w:bookmarkEnd w:id="59"/>
      <w:bookmarkEnd w:id="60"/>
      <w:bookmarkEnd w:id="61"/>
      <w:bookmarkEnd w:id="62"/>
    </w:p>
    <w:p w14:paraId="5ED8A02C">
      <w:pPr>
        <w:spacing w:line="600" w:lineRule="exact"/>
        <w:ind w:firstLine="643" w:firstLineChars="200"/>
        <w:outlineLvl w:val="2"/>
        <w:rPr>
          <w:rFonts w:eastAsia="楷体_GB2312"/>
          <w:b/>
          <w:color w:val="000000"/>
          <w:sz w:val="32"/>
          <w:szCs w:val="32"/>
        </w:rPr>
      </w:pPr>
      <w:bookmarkStart w:id="63" w:name="_Toc54341337"/>
      <w:bookmarkStart w:id="64" w:name="_Toc15377210"/>
      <w:r>
        <w:rPr>
          <w:rFonts w:eastAsia="楷体_GB2312"/>
          <w:b/>
          <w:color w:val="000000"/>
          <w:sz w:val="32"/>
          <w:szCs w:val="32"/>
        </w:rPr>
        <w:t>（一）一般公共预算财政拨款支出决算总体情况</w:t>
      </w:r>
      <w:bookmarkEnd w:id="63"/>
      <w:bookmarkEnd w:id="64"/>
    </w:p>
    <w:p w14:paraId="3F270B13">
      <w:pPr>
        <w:spacing w:line="600" w:lineRule="exact"/>
        <w:ind w:firstLine="640" w:firstLineChars="200"/>
        <w:rPr>
          <w:rFonts w:eastAsia="仿宋_GB2312"/>
          <w:sz w:val="32"/>
          <w:szCs w:val="32"/>
        </w:rPr>
      </w:pP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年一般公共预算财政拨款支出</w:t>
      </w:r>
      <w:r>
        <w:rPr>
          <w:rFonts w:hint="eastAsia" w:eastAsia="仿宋_GB2312"/>
          <w:color w:val="000000"/>
          <w:sz w:val="32"/>
          <w:szCs w:val="32"/>
        </w:rPr>
        <w:t>941.32</w:t>
      </w:r>
      <w:r>
        <w:rPr>
          <w:rFonts w:eastAsia="仿宋_GB2312"/>
          <w:color w:val="000000"/>
          <w:sz w:val="32"/>
          <w:szCs w:val="32"/>
        </w:rPr>
        <w:t>万元</w:t>
      </w:r>
      <w:r>
        <w:rPr>
          <w:rFonts w:hint="eastAsia" w:eastAsia="仿宋_GB2312"/>
          <w:sz w:val="32"/>
          <w:szCs w:val="32"/>
        </w:rPr>
        <w:t>，</w:t>
      </w:r>
      <w:r>
        <w:rPr>
          <w:rFonts w:eastAsia="仿宋_GB2312"/>
          <w:sz w:val="32"/>
          <w:szCs w:val="32"/>
        </w:rPr>
        <w:t>占本年支出合计的</w:t>
      </w:r>
      <w:r>
        <w:rPr>
          <w:rFonts w:hint="eastAsia" w:eastAsia="仿宋_GB2312"/>
          <w:sz w:val="32"/>
          <w:szCs w:val="32"/>
        </w:rPr>
        <w:t>17.20</w:t>
      </w:r>
      <w:r>
        <w:rPr>
          <w:rFonts w:eastAsia="仿宋_GB2312"/>
          <w:sz w:val="32"/>
          <w:szCs w:val="32"/>
        </w:rPr>
        <w:t>%</w:t>
      </w:r>
      <w:r>
        <w:rPr>
          <w:rFonts w:hint="eastAsia" w:eastAsia="仿宋_GB2312"/>
          <w:sz w:val="32"/>
          <w:szCs w:val="32"/>
        </w:rPr>
        <w:t>；</w:t>
      </w:r>
      <w:r>
        <w:rPr>
          <w:rFonts w:eastAsia="仿宋_GB2312"/>
          <w:sz w:val="32"/>
          <w:szCs w:val="32"/>
        </w:rPr>
        <w:t>一般公共预算财政拨款</w:t>
      </w:r>
      <w:r>
        <w:rPr>
          <w:rFonts w:hint="eastAsia" w:eastAsia="仿宋_GB2312"/>
          <w:sz w:val="32"/>
          <w:szCs w:val="32"/>
        </w:rPr>
        <w:t>增加177.68</w:t>
      </w:r>
      <w:r>
        <w:rPr>
          <w:rFonts w:eastAsia="仿宋_GB2312"/>
          <w:sz w:val="32"/>
          <w:szCs w:val="32"/>
        </w:rPr>
        <w:t>万元，</w:t>
      </w:r>
      <w:r>
        <w:rPr>
          <w:rFonts w:hint="eastAsia" w:eastAsia="仿宋_GB2312"/>
          <w:sz w:val="32"/>
          <w:szCs w:val="32"/>
        </w:rPr>
        <w:t>增加23.27</w:t>
      </w:r>
      <w:r>
        <w:rPr>
          <w:rFonts w:eastAsia="仿宋_GB2312"/>
          <w:sz w:val="32"/>
          <w:szCs w:val="32"/>
        </w:rPr>
        <w:t>%。主要变动原因是政策性调整专项经费</w:t>
      </w:r>
      <w:r>
        <w:rPr>
          <w:rFonts w:hint="eastAsia" w:eastAsia="仿宋_GB2312"/>
          <w:sz w:val="32"/>
          <w:szCs w:val="32"/>
        </w:rPr>
        <w:t>增加</w:t>
      </w:r>
      <w:r>
        <w:rPr>
          <w:rFonts w:eastAsia="仿宋_GB2312"/>
          <w:sz w:val="32"/>
          <w:szCs w:val="32"/>
        </w:rPr>
        <w:t>。</w:t>
      </w:r>
    </w:p>
    <w:p w14:paraId="6EB311CE">
      <w:pPr>
        <w:ind w:firstLine="640" w:firstLineChars="200"/>
        <w:rPr>
          <w:rFonts w:eastAsia="仿宋"/>
          <w:sz w:val="32"/>
          <w:szCs w:val="32"/>
        </w:rPr>
      </w:pPr>
      <w:r>
        <w:rPr>
          <w:rFonts w:eastAsia="仿宋"/>
          <w:sz w:val="32"/>
          <w:szCs w:val="32"/>
        </w:rPr>
        <w:drawing>
          <wp:inline distT="0" distB="0" distL="0" distR="0">
            <wp:extent cx="5486400" cy="3872865"/>
            <wp:effectExtent l="0" t="0" r="0" b="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67544A">
      <w:pPr>
        <w:spacing w:line="600" w:lineRule="exact"/>
        <w:ind w:firstLine="640" w:firstLineChars="200"/>
        <w:jc w:val="center"/>
        <w:rPr>
          <w:rFonts w:eastAsia="仿宋_GB2312"/>
          <w:color w:val="000000" w:themeColor="text1"/>
          <w:sz w:val="32"/>
          <w:szCs w:val="32"/>
        </w:rPr>
      </w:pPr>
    </w:p>
    <w:p w14:paraId="39AB947A">
      <w:pPr>
        <w:spacing w:line="600" w:lineRule="exact"/>
        <w:ind w:firstLine="640" w:firstLineChars="200"/>
        <w:jc w:val="center"/>
        <w:rPr>
          <w:rFonts w:eastAsia="仿宋_GB2312"/>
          <w:color w:val="000000" w:themeColor="text1"/>
          <w:sz w:val="32"/>
          <w:szCs w:val="32"/>
        </w:rPr>
      </w:pPr>
      <w:r>
        <w:rPr>
          <w:rFonts w:eastAsia="仿宋_GB2312"/>
          <w:color w:val="000000" w:themeColor="text1"/>
          <w:sz w:val="32"/>
          <w:szCs w:val="32"/>
        </w:rPr>
        <w:t>（图5：一般公共预算财政拨款支出决算变动情况）</w:t>
      </w:r>
    </w:p>
    <w:p w14:paraId="574D27EE">
      <w:pPr>
        <w:spacing w:line="600" w:lineRule="exact"/>
        <w:ind w:firstLine="643" w:firstLineChars="200"/>
        <w:outlineLvl w:val="2"/>
        <w:rPr>
          <w:rFonts w:eastAsia="楷体_GB2312"/>
          <w:b/>
          <w:color w:val="000000"/>
          <w:sz w:val="32"/>
          <w:szCs w:val="32"/>
        </w:rPr>
      </w:pPr>
      <w:bookmarkStart w:id="65" w:name="_Toc15377211"/>
      <w:bookmarkStart w:id="66" w:name="_Toc54341338"/>
      <w:r>
        <w:rPr>
          <w:rFonts w:eastAsia="楷体_GB2312"/>
          <w:b/>
          <w:color w:val="000000"/>
          <w:sz w:val="32"/>
          <w:szCs w:val="32"/>
        </w:rPr>
        <w:t>（二）一般公共预算财政拨款支出决算结构情况</w:t>
      </w:r>
      <w:bookmarkEnd w:id="65"/>
      <w:bookmarkEnd w:id="66"/>
    </w:p>
    <w:p w14:paraId="22C27842">
      <w:pPr>
        <w:spacing w:line="594" w:lineRule="exact"/>
        <w:ind w:firstLine="641"/>
        <w:rPr>
          <w:rFonts w:eastAsia="仿宋_GB2312"/>
          <w:sz w:val="32"/>
          <w:szCs w:val="32"/>
        </w:rPr>
      </w:pPr>
      <w:r>
        <w:rPr>
          <w:rFonts w:eastAsia="仿宋_GB2312"/>
          <w:sz w:val="32"/>
          <w:szCs w:val="32"/>
        </w:rPr>
        <w:t>20</w:t>
      </w:r>
      <w:r>
        <w:rPr>
          <w:rFonts w:hint="eastAsia" w:eastAsia="仿宋_GB2312"/>
          <w:sz w:val="32"/>
          <w:szCs w:val="32"/>
        </w:rPr>
        <w:t>20</w:t>
      </w:r>
      <w:r>
        <w:rPr>
          <w:rFonts w:eastAsia="仿宋_GB2312"/>
          <w:sz w:val="32"/>
          <w:szCs w:val="32"/>
        </w:rPr>
        <w:t>年一般公共预算财政拨款支出</w:t>
      </w:r>
      <w:r>
        <w:rPr>
          <w:rFonts w:hint="eastAsia" w:eastAsia="仿宋_GB2312"/>
          <w:sz w:val="32"/>
          <w:szCs w:val="32"/>
        </w:rPr>
        <w:t>941.32</w:t>
      </w:r>
      <w:r>
        <w:rPr>
          <w:rFonts w:eastAsia="仿宋_GB2312"/>
          <w:sz w:val="32"/>
          <w:szCs w:val="32"/>
        </w:rPr>
        <w:t>万元，</w:t>
      </w:r>
      <w:r>
        <w:rPr>
          <w:rFonts w:hint="eastAsia" w:eastAsia="仿宋_GB2312"/>
          <w:sz w:val="32"/>
          <w:szCs w:val="32"/>
        </w:rPr>
        <w:t>主要用于以下方面：一般公共卫生服务0万元，占比0%；外交支出0万元，占比0%；国防支出0万元，占比0%；公共安全支出0万元，占比0%；教育支出0万元，占比0%；科学技术支出0万元，占比0%；文化旅游体育余传媒支出0万元，占比0%；社会保障和就业支出62.74万元，占比6.67%；卫生健康支出850.6万元，占比90.36%；节能环保支出0万元，占比0%；农林水支出0万元，占比0%；交通运输支出0万元，占比0%；资源勘探工业信息等支出0万元，占比0%；商业服务支出0万元，占比0%；金融支出0万元，占比0%；援助洽谈地区支出0万元，占比0%；自然资源海洋气象等支出0万元，占比0%；住房保障支出27.98万元，占比2.97%；粮油物资储备支出0万元，占比0%；国有资本经营预算支出0万元，占比0%；灾害房子及应急管理支出0万元，占比0%；其他支出0万元，占比0%；债务还本支出0万元，占比0%；债务付息支出0万元，占比0%；抗疫特别国债安排的支出0万元，占比0%。</w:t>
      </w:r>
    </w:p>
    <w:tbl>
      <w:tblPr>
        <w:tblStyle w:val="22"/>
        <w:tblW w:w="19268" w:type="dxa"/>
        <w:tblInd w:w="193" w:type="dxa"/>
        <w:tblLayout w:type="autofit"/>
        <w:tblCellMar>
          <w:top w:w="0" w:type="dxa"/>
          <w:left w:w="108" w:type="dxa"/>
          <w:bottom w:w="0" w:type="dxa"/>
          <w:right w:w="108" w:type="dxa"/>
        </w:tblCellMar>
      </w:tblPr>
      <w:tblGrid>
        <w:gridCol w:w="12048"/>
        <w:gridCol w:w="1540"/>
        <w:gridCol w:w="1080"/>
        <w:gridCol w:w="1080"/>
        <w:gridCol w:w="1360"/>
        <w:gridCol w:w="1080"/>
        <w:gridCol w:w="1080"/>
      </w:tblGrid>
      <w:tr w14:paraId="10A23F21">
        <w:trPr>
          <w:trHeight w:val="285" w:hRule="atLeast"/>
        </w:trPr>
        <w:tc>
          <w:tcPr>
            <w:tcW w:w="12048" w:type="dxa"/>
            <w:tcBorders>
              <w:top w:val="nil"/>
              <w:left w:val="nil"/>
              <w:bottom w:val="nil"/>
              <w:right w:val="nil"/>
            </w:tcBorders>
            <w:shd w:val="clear" w:color="auto" w:fill="auto"/>
            <w:noWrap/>
            <w:vAlign w:val="center"/>
          </w:tcPr>
          <w:p w14:paraId="1B65F7ED">
            <w:pPr>
              <w:widowControl/>
              <w:jc w:val="center"/>
              <w:rPr>
                <w:rFonts w:ascii="宋体" w:hAnsi="宋体" w:cs="宋体"/>
                <w:kern w:val="0"/>
                <w:sz w:val="24"/>
              </w:rPr>
            </w:pPr>
          </w:p>
        </w:tc>
        <w:tc>
          <w:tcPr>
            <w:tcW w:w="1540" w:type="dxa"/>
            <w:tcBorders>
              <w:top w:val="nil"/>
              <w:left w:val="nil"/>
              <w:bottom w:val="nil"/>
              <w:right w:val="nil"/>
            </w:tcBorders>
            <w:shd w:val="clear" w:color="auto" w:fill="auto"/>
            <w:noWrap/>
            <w:vAlign w:val="center"/>
          </w:tcPr>
          <w:p w14:paraId="5F3CA582">
            <w:pPr>
              <w:widowControl/>
              <w:jc w:val="center"/>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7DAD8AB2">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6F8D1E46">
            <w:pPr>
              <w:widowControl/>
              <w:jc w:val="left"/>
              <w:rPr>
                <w:rFonts w:ascii="宋体" w:hAnsi="宋体" w:cs="宋体"/>
                <w:kern w:val="0"/>
                <w:sz w:val="24"/>
              </w:rPr>
            </w:pPr>
          </w:p>
        </w:tc>
        <w:tc>
          <w:tcPr>
            <w:tcW w:w="1360" w:type="dxa"/>
            <w:tcBorders>
              <w:top w:val="nil"/>
              <w:left w:val="nil"/>
              <w:bottom w:val="nil"/>
              <w:right w:val="nil"/>
            </w:tcBorders>
            <w:shd w:val="clear" w:color="auto" w:fill="auto"/>
            <w:noWrap/>
            <w:vAlign w:val="center"/>
          </w:tcPr>
          <w:p w14:paraId="6E2AF9D9">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245679FD">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tcPr>
          <w:p w14:paraId="2B60F8A2">
            <w:pPr>
              <w:widowControl/>
              <w:jc w:val="left"/>
              <w:rPr>
                <w:rFonts w:ascii="宋体" w:hAnsi="宋体" w:cs="宋体"/>
                <w:kern w:val="0"/>
                <w:sz w:val="24"/>
              </w:rPr>
            </w:pPr>
          </w:p>
        </w:tc>
      </w:tr>
      <w:tr w14:paraId="2378C7E4">
        <w:tblPrEx>
          <w:tblCellMar>
            <w:top w:w="0" w:type="dxa"/>
            <w:left w:w="108" w:type="dxa"/>
            <w:bottom w:w="0" w:type="dxa"/>
            <w:right w:w="108" w:type="dxa"/>
          </w:tblCellMar>
        </w:tblPrEx>
        <w:trPr>
          <w:trHeight w:val="285" w:hRule="atLeast"/>
        </w:trPr>
        <w:tc>
          <w:tcPr>
            <w:tcW w:w="12048" w:type="dxa"/>
            <w:tcBorders>
              <w:top w:val="nil"/>
              <w:left w:val="nil"/>
              <w:bottom w:val="nil"/>
              <w:right w:val="nil"/>
            </w:tcBorders>
            <w:shd w:val="clear" w:color="auto" w:fill="auto"/>
            <w:noWrap/>
            <w:vAlign w:val="center"/>
          </w:tcPr>
          <w:p w14:paraId="1CCD804F">
            <w:pPr>
              <w:widowControl/>
              <w:jc w:val="center"/>
              <w:rPr>
                <w:rFonts w:ascii="宋体" w:hAnsi="宋体" w:cs="宋体"/>
                <w:kern w:val="0"/>
                <w:sz w:val="24"/>
              </w:rPr>
            </w:pPr>
          </w:p>
        </w:tc>
        <w:tc>
          <w:tcPr>
            <w:tcW w:w="1540" w:type="dxa"/>
            <w:tcBorders>
              <w:top w:val="nil"/>
              <w:left w:val="nil"/>
              <w:bottom w:val="nil"/>
              <w:right w:val="nil"/>
            </w:tcBorders>
            <w:shd w:val="clear" w:color="auto" w:fill="auto"/>
            <w:noWrap/>
            <w:vAlign w:val="center"/>
          </w:tcPr>
          <w:p w14:paraId="105F7171">
            <w:pPr>
              <w:widowControl/>
              <w:jc w:val="left"/>
              <w:rPr>
                <w:rFonts w:ascii="宋体" w:hAnsi="宋体" w:cs="宋体"/>
                <w:kern w:val="0"/>
                <w:sz w:val="24"/>
              </w:rPr>
            </w:pPr>
          </w:p>
        </w:tc>
        <w:tc>
          <w:tcPr>
            <w:tcW w:w="1080" w:type="dxa"/>
            <w:tcBorders>
              <w:top w:val="nil"/>
              <w:left w:val="nil"/>
              <w:bottom w:val="nil"/>
              <w:right w:val="nil"/>
            </w:tcBorders>
            <w:shd w:val="clear" w:color="000000" w:fill="FFFFFF"/>
            <w:noWrap/>
            <w:vAlign w:val="center"/>
          </w:tcPr>
          <w:p w14:paraId="1C15C5E0">
            <w:pPr>
              <w:widowControl/>
              <w:jc w:val="left"/>
              <w:rPr>
                <w:rFonts w:ascii="宋体" w:hAnsi="宋体" w:cs="宋体"/>
                <w:kern w:val="0"/>
                <w:sz w:val="24"/>
              </w:rPr>
            </w:pPr>
          </w:p>
        </w:tc>
        <w:tc>
          <w:tcPr>
            <w:tcW w:w="1080" w:type="dxa"/>
            <w:tcBorders>
              <w:top w:val="nil"/>
              <w:left w:val="nil"/>
              <w:bottom w:val="nil"/>
              <w:right w:val="nil"/>
            </w:tcBorders>
            <w:shd w:val="clear" w:color="000000" w:fill="FFFFFF"/>
            <w:noWrap/>
            <w:vAlign w:val="center"/>
          </w:tcPr>
          <w:p w14:paraId="7D27A870">
            <w:pPr>
              <w:widowControl/>
              <w:jc w:val="left"/>
              <w:rPr>
                <w:rFonts w:ascii="宋体" w:hAnsi="宋体" w:cs="宋体"/>
                <w:kern w:val="0"/>
                <w:sz w:val="24"/>
              </w:rPr>
            </w:pPr>
          </w:p>
        </w:tc>
        <w:tc>
          <w:tcPr>
            <w:tcW w:w="1360" w:type="dxa"/>
            <w:tcBorders>
              <w:top w:val="nil"/>
              <w:left w:val="nil"/>
              <w:bottom w:val="nil"/>
              <w:right w:val="nil"/>
            </w:tcBorders>
            <w:shd w:val="clear" w:color="000000" w:fill="FFFFFF"/>
            <w:noWrap/>
            <w:vAlign w:val="center"/>
          </w:tcPr>
          <w:p w14:paraId="34E40D2F">
            <w:pPr>
              <w:widowControl/>
              <w:jc w:val="left"/>
              <w:rPr>
                <w:rFonts w:ascii="宋体" w:hAnsi="宋体" w:cs="宋体"/>
                <w:kern w:val="0"/>
                <w:sz w:val="24"/>
              </w:rPr>
            </w:pPr>
          </w:p>
        </w:tc>
        <w:tc>
          <w:tcPr>
            <w:tcW w:w="1080" w:type="dxa"/>
            <w:tcBorders>
              <w:top w:val="nil"/>
              <w:left w:val="nil"/>
              <w:bottom w:val="nil"/>
              <w:right w:val="nil"/>
            </w:tcBorders>
            <w:shd w:val="clear" w:color="000000" w:fill="FFFFFF"/>
            <w:noWrap/>
            <w:vAlign w:val="center"/>
          </w:tcPr>
          <w:p w14:paraId="44EF1E77">
            <w:pPr>
              <w:widowControl/>
              <w:jc w:val="left"/>
              <w:rPr>
                <w:rFonts w:ascii="宋体" w:hAnsi="宋体" w:cs="宋体"/>
                <w:kern w:val="0"/>
                <w:sz w:val="24"/>
              </w:rPr>
            </w:pPr>
          </w:p>
        </w:tc>
        <w:tc>
          <w:tcPr>
            <w:tcW w:w="1080" w:type="dxa"/>
            <w:tcBorders>
              <w:top w:val="nil"/>
              <w:left w:val="nil"/>
              <w:bottom w:val="nil"/>
              <w:right w:val="nil"/>
            </w:tcBorders>
            <w:shd w:val="clear" w:color="000000" w:fill="FFFFFF"/>
            <w:noWrap/>
            <w:vAlign w:val="center"/>
          </w:tcPr>
          <w:p w14:paraId="35AFC42A">
            <w:pPr>
              <w:widowControl/>
              <w:jc w:val="left"/>
              <w:rPr>
                <w:rFonts w:ascii="宋体" w:hAnsi="宋体" w:cs="宋体"/>
                <w:kern w:val="0"/>
                <w:sz w:val="24"/>
              </w:rPr>
            </w:pPr>
          </w:p>
        </w:tc>
      </w:tr>
      <w:tr w14:paraId="16C2A3A7">
        <w:trPr>
          <w:trHeight w:val="285" w:hRule="atLeast"/>
        </w:trPr>
        <w:tc>
          <w:tcPr>
            <w:tcW w:w="12048" w:type="dxa"/>
            <w:tcBorders>
              <w:top w:val="nil"/>
              <w:left w:val="nil"/>
              <w:bottom w:val="nil"/>
              <w:right w:val="nil"/>
            </w:tcBorders>
            <w:shd w:val="clear" w:color="000000" w:fill="FFFFFF"/>
            <w:noWrap/>
            <w:vAlign w:val="center"/>
          </w:tcPr>
          <w:p w14:paraId="7B38F3A5">
            <w:pPr>
              <w:widowControl/>
              <w:rPr>
                <w:rFonts w:ascii="宋体" w:hAnsi="宋体" w:cs="宋体"/>
                <w:kern w:val="0"/>
                <w:sz w:val="24"/>
              </w:rPr>
            </w:pPr>
            <w:r>
              <w:rPr>
                <w:rFonts w:ascii="宋体" w:hAnsi="宋体" w:cs="宋体"/>
                <w:kern w:val="0"/>
                <w:sz w:val="24"/>
              </w:rPr>
              <w:drawing>
                <wp:inline distT="0" distB="0" distL="0" distR="0">
                  <wp:extent cx="5486400" cy="32004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1540" w:type="dxa"/>
            <w:tcBorders>
              <w:top w:val="nil"/>
              <w:left w:val="nil"/>
              <w:bottom w:val="nil"/>
              <w:right w:val="nil"/>
            </w:tcBorders>
            <w:shd w:val="clear" w:color="000000" w:fill="FFFFFF"/>
            <w:noWrap/>
            <w:vAlign w:val="center"/>
          </w:tcPr>
          <w:p w14:paraId="5471C4EF">
            <w:pPr>
              <w:widowControl/>
              <w:jc w:val="center"/>
              <w:rPr>
                <w:rFonts w:ascii="宋体" w:hAnsi="宋体" w:cs="宋体"/>
                <w:kern w:val="0"/>
                <w:sz w:val="24"/>
              </w:rPr>
            </w:pPr>
          </w:p>
        </w:tc>
        <w:tc>
          <w:tcPr>
            <w:tcW w:w="1080" w:type="dxa"/>
            <w:tcBorders>
              <w:top w:val="nil"/>
              <w:left w:val="nil"/>
              <w:bottom w:val="nil"/>
              <w:right w:val="nil"/>
            </w:tcBorders>
            <w:shd w:val="clear" w:color="000000" w:fill="FFFFFF"/>
            <w:noWrap/>
            <w:vAlign w:val="center"/>
          </w:tcPr>
          <w:p w14:paraId="747B978B">
            <w:pPr>
              <w:widowControl/>
              <w:jc w:val="left"/>
              <w:rPr>
                <w:rFonts w:ascii="宋体" w:hAnsi="宋体" w:cs="宋体"/>
                <w:kern w:val="0"/>
                <w:sz w:val="24"/>
              </w:rPr>
            </w:pPr>
          </w:p>
        </w:tc>
        <w:tc>
          <w:tcPr>
            <w:tcW w:w="1080" w:type="dxa"/>
            <w:tcBorders>
              <w:top w:val="nil"/>
              <w:left w:val="nil"/>
              <w:bottom w:val="nil"/>
              <w:right w:val="nil"/>
            </w:tcBorders>
            <w:shd w:val="clear" w:color="000000" w:fill="FFFFFF"/>
            <w:noWrap/>
            <w:vAlign w:val="center"/>
          </w:tcPr>
          <w:p w14:paraId="6E4C60AB">
            <w:pPr>
              <w:widowControl/>
              <w:jc w:val="left"/>
              <w:rPr>
                <w:rFonts w:ascii="宋体" w:hAnsi="宋体" w:cs="宋体"/>
                <w:kern w:val="0"/>
                <w:sz w:val="24"/>
              </w:rPr>
            </w:pPr>
          </w:p>
        </w:tc>
        <w:tc>
          <w:tcPr>
            <w:tcW w:w="1360" w:type="dxa"/>
            <w:tcBorders>
              <w:top w:val="nil"/>
              <w:left w:val="nil"/>
              <w:bottom w:val="nil"/>
              <w:right w:val="nil"/>
            </w:tcBorders>
            <w:shd w:val="clear" w:color="000000" w:fill="FFFFFF"/>
            <w:noWrap/>
            <w:vAlign w:val="center"/>
          </w:tcPr>
          <w:p w14:paraId="202FC1A9">
            <w:pPr>
              <w:widowControl/>
              <w:jc w:val="left"/>
              <w:rPr>
                <w:rFonts w:ascii="宋体" w:hAnsi="宋体" w:cs="宋体"/>
                <w:kern w:val="0"/>
                <w:sz w:val="24"/>
              </w:rPr>
            </w:pPr>
          </w:p>
        </w:tc>
        <w:tc>
          <w:tcPr>
            <w:tcW w:w="1080" w:type="dxa"/>
            <w:tcBorders>
              <w:top w:val="nil"/>
              <w:left w:val="nil"/>
              <w:bottom w:val="nil"/>
              <w:right w:val="nil"/>
            </w:tcBorders>
            <w:shd w:val="clear" w:color="000000" w:fill="FFFFFF"/>
            <w:noWrap/>
            <w:vAlign w:val="center"/>
          </w:tcPr>
          <w:p w14:paraId="1DF39CA7">
            <w:pPr>
              <w:widowControl/>
              <w:jc w:val="left"/>
              <w:rPr>
                <w:rFonts w:ascii="宋体" w:hAnsi="宋体" w:cs="宋体"/>
                <w:kern w:val="0"/>
                <w:sz w:val="24"/>
              </w:rPr>
            </w:pPr>
          </w:p>
        </w:tc>
        <w:tc>
          <w:tcPr>
            <w:tcW w:w="1080" w:type="dxa"/>
            <w:tcBorders>
              <w:top w:val="nil"/>
              <w:left w:val="nil"/>
              <w:bottom w:val="nil"/>
              <w:right w:val="nil"/>
            </w:tcBorders>
            <w:shd w:val="clear" w:color="000000" w:fill="FFFFFF"/>
            <w:noWrap/>
            <w:vAlign w:val="center"/>
          </w:tcPr>
          <w:p w14:paraId="2D7929D6">
            <w:pPr>
              <w:widowControl/>
              <w:jc w:val="left"/>
              <w:rPr>
                <w:rFonts w:ascii="宋体" w:hAnsi="宋体" w:cs="宋体"/>
                <w:kern w:val="0"/>
                <w:sz w:val="24"/>
              </w:rPr>
            </w:pPr>
          </w:p>
        </w:tc>
      </w:tr>
    </w:tbl>
    <w:p w14:paraId="774ACD05">
      <w:pPr>
        <w:spacing w:line="600" w:lineRule="exact"/>
        <w:rPr>
          <w:rFonts w:eastAsia="仿宋"/>
          <w:color w:val="000000" w:themeColor="text1"/>
          <w:sz w:val="32"/>
          <w:szCs w:val="32"/>
        </w:rPr>
      </w:pPr>
      <w:r>
        <w:rPr>
          <w:rFonts w:eastAsia="仿宋_GB2312"/>
          <w:color w:val="000000"/>
          <w:sz w:val="32"/>
          <w:szCs w:val="32"/>
        </w:rPr>
        <w:t>（图6：一般公共预算财政拨款支出决算结构）</w:t>
      </w:r>
    </w:p>
    <w:p w14:paraId="7FAFC371">
      <w:pPr>
        <w:spacing w:line="600" w:lineRule="exact"/>
        <w:ind w:firstLine="643" w:firstLineChars="200"/>
        <w:outlineLvl w:val="2"/>
        <w:rPr>
          <w:rFonts w:eastAsia="楷体_GB2312"/>
          <w:b/>
          <w:color w:val="000000"/>
          <w:sz w:val="32"/>
          <w:szCs w:val="32"/>
        </w:rPr>
      </w:pPr>
      <w:bookmarkStart w:id="67" w:name="_Toc54341339"/>
      <w:bookmarkStart w:id="68" w:name="_Toc15377212"/>
      <w:bookmarkStart w:id="69" w:name="_Toc15396608"/>
      <w:bookmarkStart w:id="70" w:name="_Toc15377214"/>
      <w:r>
        <w:rPr>
          <w:rFonts w:eastAsia="楷体_GB2312"/>
          <w:b/>
          <w:color w:val="000000"/>
          <w:sz w:val="32"/>
          <w:szCs w:val="32"/>
        </w:rPr>
        <w:t>（三）一般公共预算财政拨款支出决算具体情况</w:t>
      </w:r>
      <w:bookmarkEnd w:id="67"/>
      <w:bookmarkEnd w:id="68"/>
    </w:p>
    <w:p w14:paraId="4FCB91B0">
      <w:pPr>
        <w:spacing w:line="600" w:lineRule="exact"/>
        <w:ind w:firstLine="643" w:firstLineChars="200"/>
        <w:outlineLvl w:val="2"/>
        <w:rPr>
          <w:rFonts w:eastAsia="仿宋_GB2312"/>
          <w:color w:val="FF0000"/>
          <w:sz w:val="32"/>
          <w:szCs w:val="32"/>
        </w:rPr>
      </w:pPr>
      <w:bookmarkStart w:id="71" w:name="_Toc15377213"/>
      <w:bookmarkStart w:id="72" w:name="_Toc54341340"/>
      <w:bookmarkStart w:id="73" w:name="_Toc15377444"/>
      <w:bookmarkStart w:id="74" w:name="_Toc15378460"/>
      <w:r>
        <w:rPr>
          <w:rFonts w:eastAsia="仿宋_GB2312"/>
          <w:b/>
          <w:color w:val="000000" w:themeColor="text1"/>
          <w:sz w:val="32"/>
          <w:szCs w:val="32"/>
        </w:rPr>
        <w:t>20</w:t>
      </w:r>
      <w:r>
        <w:rPr>
          <w:rFonts w:hint="eastAsia" w:eastAsia="仿宋_GB2312"/>
          <w:b/>
          <w:color w:val="000000" w:themeColor="text1"/>
          <w:sz w:val="32"/>
          <w:szCs w:val="32"/>
        </w:rPr>
        <w:t>20</w:t>
      </w:r>
      <w:r>
        <w:rPr>
          <w:rFonts w:eastAsia="仿宋_GB2312"/>
          <w:b/>
          <w:color w:val="000000" w:themeColor="text1"/>
          <w:sz w:val="32"/>
          <w:szCs w:val="32"/>
        </w:rPr>
        <w:t>年一般公共预算支出决算数为</w:t>
      </w:r>
      <w:r>
        <w:rPr>
          <w:rFonts w:hint="eastAsia" w:eastAsia="仿宋_GB2312"/>
          <w:b/>
          <w:color w:val="000000" w:themeColor="text1"/>
          <w:sz w:val="32"/>
          <w:szCs w:val="32"/>
        </w:rPr>
        <w:t>941.32</w:t>
      </w:r>
      <w:r>
        <w:rPr>
          <w:rFonts w:eastAsia="仿宋_GB2312"/>
          <w:b/>
          <w:color w:val="000000" w:themeColor="text1"/>
          <w:sz w:val="32"/>
          <w:szCs w:val="32"/>
        </w:rPr>
        <w:t>万元</w:t>
      </w:r>
      <w:r>
        <w:rPr>
          <w:rFonts w:eastAsia="仿宋_GB2312"/>
          <w:color w:val="000000" w:themeColor="text1"/>
          <w:sz w:val="32"/>
          <w:szCs w:val="32"/>
        </w:rPr>
        <w:t>，</w:t>
      </w:r>
      <w:r>
        <w:rPr>
          <w:rStyle w:val="24"/>
          <w:rFonts w:eastAsia="仿宋_GB2312"/>
          <w:bCs/>
          <w:color w:val="000000" w:themeColor="text1"/>
          <w:sz w:val="32"/>
          <w:szCs w:val="32"/>
        </w:rPr>
        <w:t>完成</w:t>
      </w:r>
      <w:r>
        <w:rPr>
          <w:rStyle w:val="24"/>
          <w:rFonts w:eastAsia="仿宋_GB2312"/>
          <w:bCs/>
          <w:color w:val="000000"/>
          <w:sz w:val="32"/>
          <w:szCs w:val="32"/>
        </w:rPr>
        <w:t>预算</w:t>
      </w:r>
      <w:r>
        <w:rPr>
          <w:rStyle w:val="24"/>
          <w:rFonts w:hint="eastAsia" w:eastAsia="仿宋_GB2312"/>
          <w:bCs/>
          <w:color w:val="000000"/>
          <w:sz w:val="32"/>
          <w:szCs w:val="32"/>
        </w:rPr>
        <w:t>86.21%</w:t>
      </w:r>
      <w:r>
        <w:rPr>
          <w:rStyle w:val="24"/>
          <w:rFonts w:eastAsia="仿宋_GB2312"/>
          <w:bCs/>
          <w:color w:val="000000"/>
          <w:sz w:val="32"/>
          <w:szCs w:val="32"/>
        </w:rPr>
        <w:t>。其中：</w:t>
      </w:r>
      <w:bookmarkEnd w:id="71"/>
      <w:bookmarkEnd w:id="72"/>
      <w:bookmarkEnd w:id="73"/>
      <w:bookmarkEnd w:id="74"/>
    </w:p>
    <w:p w14:paraId="485A957F">
      <w:pPr>
        <w:spacing w:line="600" w:lineRule="exact"/>
        <w:ind w:firstLine="640" w:firstLineChars="200"/>
        <w:rPr>
          <w:rFonts w:eastAsia="仿宋_GB2312"/>
          <w:color w:val="000000"/>
          <w:sz w:val="32"/>
          <w:szCs w:val="32"/>
        </w:rPr>
      </w:pPr>
      <w:r>
        <w:rPr>
          <w:rFonts w:eastAsia="仿宋_GB2312"/>
          <w:color w:val="000000"/>
          <w:sz w:val="32"/>
          <w:szCs w:val="32"/>
        </w:rPr>
        <w:t>1．一般公共服务 支出决算为0万元，完成预算0%。</w:t>
      </w:r>
    </w:p>
    <w:p w14:paraId="50BAA5A2">
      <w:pPr>
        <w:spacing w:line="600" w:lineRule="exact"/>
        <w:ind w:firstLine="640" w:firstLineChars="200"/>
        <w:rPr>
          <w:rFonts w:eastAsia="仿宋_GB2312"/>
          <w:color w:val="000000"/>
          <w:sz w:val="32"/>
          <w:szCs w:val="32"/>
        </w:rPr>
      </w:pPr>
      <w:r>
        <w:rPr>
          <w:rFonts w:eastAsia="仿宋_GB2312"/>
          <w:color w:val="000000"/>
          <w:sz w:val="32"/>
          <w:szCs w:val="32"/>
        </w:rPr>
        <w:t>2．外交支出决算为0万元，完成预算0%。</w:t>
      </w:r>
    </w:p>
    <w:p w14:paraId="64604E30">
      <w:pPr>
        <w:spacing w:line="600" w:lineRule="exact"/>
        <w:ind w:firstLine="640" w:firstLineChars="200"/>
        <w:rPr>
          <w:rFonts w:eastAsia="仿宋_GB2312"/>
          <w:color w:val="000000"/>
          <w:sz w:val="32"/>
          <w:szCs w:val="32"/>
        </w:rPr>
      </w:pPr>
      <w:r>
        <w:rPr>
          <w:rFonts w:eastAsia="仿宋_GB2312"/>
          <w:color w:val="000000"/>
          <w:sz w:val="32"/>
          <w:szCs w:val="32"/>
        </w:rPr>
        <w:t>3．国防支出决算为0万元，完成预算0%。</w:t>
      </w:r>
    </w:p>
    <w:p w14:paraId="101200D1">
      <w:pPr>
        <w:spacing w:line="600" w:lineRule="exact"/>
        <w:ind w:firstLine="640" w:firstLineChars="200"/>
        <w:rPr>
          <w:rFonts w:eastAsia="仿宋_GB2312"/>
          <w:color w:val="000000"/>
          <w:sz w:val="32"/>
          <w:szCs w:val="32"/>
        </w:rPr>
      </w:pPr>
      <w:r>
        <w:rPr>
          <w:rFonts w:eastAsia="仿宋_GB2312"/>
          <w:color w:val="000000"/>
          <w:sz w:val="32"/>
          <w:szCs w:val="32"/>
        </w:rPr>
        <w:t>4．公共安全支出决算为0万元，完成预算0%。</w:t>
      </w:r>
    </w:p>
    <w:p w14:paraId="429AB8D9">
      <w:pPr>
        <w:spacing w:line="600" w:lineRule="exact"/>
        <w:ind w:firstLine="640" w:firstLineChars="200"/>
        <w:rPr>
          <w:rFonts w:eastAsia="仿宋_GB2312"/>
          <w:color w:val="000000"/>
          <w:sz w:val="32"/>
          <w:szCs w:val="32"/>
        </w:rPr>
      </w:pPr>
      <w:r>
        <w:rPr>
          <w:rFonts w:eastAsia="仿宋_GB2312"/>
          <w:color w:val="000000"/>
          <w:sz w:val="32"/>
          <w:szCs w:val="32"/>
        </w:rPr>
        <w:t>5．教育支出决算为0万元，完成预算0%。</w:t>
      </w:r>
    </w:p>
    <w:p w14:paraId="1D305714">
      <w:pPr>
        <w:spacing w:line="600" w:lineRule="exact"/>
        <w:ind w:firstLine="640" w:firstLineChars="200"/>
        <w:rPr>
          <w:rFonts w:eastAsia="仿宋_GB2312"/>
          <w:color w:val="000000"/>
          <w:sz w:val="32"/>
          <w:szCs w:val="32"/>
        </w:rPr>
      </w:pPr>
      <w:r>
        <w:rPr>
          <w:rFonts w:eastAsia="仿宋_GB2312"/>
          <w:color w:val="000000"/>
          <w:sz w:val="32"/>
          <w:szCs w:val="32"/>
        </w:rPr>
        <w:t>6．科学技术支出决算为</w:t>
      </w:r>
      <w:r>
        <w:rPr>
          <w:rFonts w:hint="eastAsia" w:eastAsia="仿宋_GB2312"/>
          <w:color w:val="000000"/>
          <w:sz w:val="32"/>
          <w:szCs w:val="32"/>
        </w:rPr>
        <w:t>0</w:t>
      </w:r>
      <w:r>
        <w:rPr>
          <w:rFonts w:eastAsia="仿宋_GB2312"/>
          <w:color w:val="000000"/>
          <w:sz w:val="32"/>
          <w:szCs w:val="32"/>
        </w:rPr>
        <w:t>万元，完成预算</w:t>
      </w:r>
      <w:r>
        <w:rPr>
          <w:rFonts w:hint="eastAsia" w:eastAsia="仿宋_GB2312"/>
          <w:color w:val="000000"/>
          <w:sz w:val="32"/>
          <w:szCs w:val="32"/>
        </w:rPr>
        <w:t>0</w:t>
      </w:r>
      <w:r>
        <w:rPr>
          <w:rFonts w:eastAsia="仿宋_GB2312"/>
          <w:color w:val="000000"/>
          <w:sz w:val="32"/>
          <w:szCs w:val="32"/>
        </w:rPr>
        <w:t>%</w:t>
      </w:r>
      <w:r>
        <w:rPr>
          <w:rFonts w:hint="eastAsia" w:eastAsia="仿宋_GB2312"/>
          <w:color w:val="000000"/>
          <w:sz w:val="32"/>
          <w:szCs w:val="32"/>
        </w:rPr>
        <w:t>。</w:t>
      </w:r>
    </w:p>
    <w:p w14:paraId="61194214">
      <w:pPr>
        <w:spacing w:line="600" w:lineRule="exact"/>
        <w:ind w:firstLine="640" w:firstLineChars="200"/>
        <w:rPr>
          <w:rFonts w:eastAsia="仿宋_GB2312"/>
          <w:color w:val="000000"/>
          <w:sz w:val="32"/>
          <w:szCs w:val="32"/>
        </w:rPr>
      </w:pPr>
      <w:r>
        <w:rPr>
          <w:rFonts w:eastAsia="仿宋_GB2312"/>
          <w:color w:val="000000"/>
          <w:sz w:val="32"/>
          <w:szCs w:val="32"/>
        </w:rPr>
        <w:t>7．文化旅游体育与传媒支出决算为0万元，完成预算0%。</w:t>
      </w:r>
    </w:p>
    <w:p w14:paraId="5C693BEC">
      <w:pPr>
        <w:spacing w:line="600" w:lineRule="exact"/>
        <w:ind w:firstLine="640" w:firstLineChars="200"/>
        <w:rPr>
          <w:rFonts w:eastAsia="仿宋_GB2312"/>
          <w:sz w:val="32"/>
          <w:szCs w:val="32"/>
        </w:rPr>
      </w:pPr>
      <w:r>
        <w:rPr>
          <w:rFonts w:eastAsia="仿宋_GB2312"/>
          <w:sz w:val="32"/>
          <w:szCs w:val="32"/>
        </w:rPr>
        <w:t>8．</w:t>
      </w:r>
      <w:r>
        <w:rPr>
          <w:rStyle w:val="24"/>
          <w:rFonts w:eastAsia="仿宋_GB2312"/>
          <w:b w:val="0"/>
          <w:sz w:val="32"/>
          <w:szCs w:val="32"/>
        </w:rPr>
        <w:t>社会保障和就业支出</w:t>
      </w:r>
      <w:r>
        <w:rPr>
          <w:rFonts w:eastAsia="仿宋_GB2312"/>
          <w:sz w:val="32"/>
          <w:szCs w:val="32"/>
        </w:rPr>
        <w:t>决算为</w:t>
      </w:r>
      <w:r>
        <w:rPr>
          <w:rFonts w:hint="eastAsia" w:eastAsia="仿宋_GB2312"/>
          <w:sz w:val="32"/>
          <w:szCs w:val="32"/>
        </w:rPr>
        <w:t>62.74</w:t>
      </w:r>
      <w:r>
        <w:rPr>
          <w:rFonts w:eastAsia="仿宋_GB2312"/>
          <w:sz w:val="32"/>
          <w:szCs w:val="32"/>
        </w:rPr>
        <w:t>万元，完成预算100%,</w:t>
      </w:r>
      <w:r>
        <w:rPr>
          <w:rStyle w:val="24"/>
          <w:rFonts w:eastAsia="仿宋_GB2312"/>
          <w:b w:val="0"/>
          <w:bCs/>
          <w:sz w:val="32"/>
          <w:szCs w:val="32"/>
        </w:rPr>
        <w:t>决算数等于预算数</w:t>
      </w:r>
      <w:r>
        <w:rPr>
          <w:rStyle w:val="24"/>
          <w:rFonts w:hint="eastAsia" w:eastAsia="仿宋_GB2312"/>
          <w:b w:val="0"/>
          <w:bCs/>
          <w:sz w:val="32"/>
          <w:szCs w:val="32"/>
        </w:rPr>
        <w:t>主要原因是严格按照预算执行</w:t>
      </w:r>
      <w:r>
        <w:rPr>
          <w:rFonts w:eastAsia="仿宋_GB2312"/>
          <w:sz w:val="32"/>
          <w:szCs w:val="32"/>
        </w:rPr>
        <w:t>。</w:t>
      </w:r>
      <w:r>
        <w:rPr>
          <w:rFonts w:hint="eastAsia" w:eastAsia="仿宋_GB2312"/>
          <w:sz w:val="32"/>
          <w:szCs w:val="32"/>
        </w:rPr>
        <w:t>其中：</w:t>
      </w:r>
    </w:p>
    <w:p w14:paraId="059CC50C">
      <w:pPr>
        <w:spacing w:line="600" w:lineRule="exact"/>
        <w:ind w:firstLine="640" w:firstLineChars="200"/>
        <w:rPr>
          <w:rFonts w:eastAsia="仿宋_GB2312"/>
          <w:sz w:val="32"/>
          <w:szCs w:val="32"/>
        </w:rPr>
      </w:pPr>
      <w:r>
        <w:rPr>
          <w:rFonts w:hint="eastAsia" w:eastAsia="仿宋_GB2312"/>
          <w:sz w:val="32"/>
          <w:szCs w:val="32"/>
        </w:rPr>
        <w:t>（1）机关事业单位基本养老保险缴费支出决算37.22万元，完成预算100%。决算数等于预算数</w:t>
      </w:r>
      <w:r>
        <w:rPr>
          <w:rStyle w:val="24"/>
          <w:rFonts w:hint="eastAsia" w:eastAsia="仿宋_GB2312"/>
          <w:b w:val="0"/>
          <w:bCs/>
          <w:sz w:val="32"/>
          <w:szCs w:val="32"/>
        </w:rPr>
        <w:t>主要原因是严格按照预算执行</w:t>
      </w:r>
      <w:r>
        <w:rPr>
          <w:rFonts w:eastAsia="仿宋_GB2312"/>
          <w:sz w:val="32"/>
          <w:szCs w:val="32"/>
        </w:rPr>
        <w:t>。</w:t>
      </w:r>
    </w:p>
    <w:p w14:paraId="57B63D4F">
      <w:pPr>
        <w:spacing w:line="600" w:lineRule="exact"/>
        <w:ind w:firstLine="640" w:firstLineChars="200"/>
        <w:rPr>
          <w:rFonts w:eastAsia="仿宋_GB2312"/>
          <w:sz w:val="32"/>
          <w:szCs w:val="32"/>
        </w:rPr>
      </w:pPr>
      <w:r>
        <w:rPr>
          <w:rFonts w:hint="eastAsia" w:eastAsia="仿宋_GB2312"/>
          <w:sz w:val="32"/>
          <w:szCs w:val="32"/>
        </w:rPr>
        <w:t>（2）机关事业单位职业年金缴费支出决算数18.75万元，完成预算100%。决算数等于预算数</w:t>
      </w:r>
      <w:r>
        <w:rPr>
          <w:rStyle w:val="24"/>
          <w:rFonts w:hint="eastAsia" w:eastAsia="仿宋_GB2312"/>
          <w:b w:val="0"/>
          <w:bCs/>
          <w:sz w:val="32"/>
          <w:szCs w:val="32"/>
        </w:rPr>
        <w:t>主要原因是严格按照预算执行</w:t>
      </w:r>
      <w:r>
        <w:rPr>
          <w:rFonts w:eastAsia="仿宋_GB2312"/>
          <w:sz w:val="32"/>
          <w:szCs w:val="32"/>
        </w:rPr>
        <w:t>。</w:t>
      </w:r>
    </w:p>
    <w:p w14:paraId="13B271B7">
      <w:pPr>
        <w:spacing w:line="600" w:lineRule="exact"/>
        <w:ind w:firstLine="640" w:firstLineChars="200"/>
        <w:rPr>
          <w:rFonts w:eastAsia="仿宋_GB2312"/>
          <w:sz w:val="32"/>
          <w:szCs w:val="32"/>
        </w:rPr>
      </w:pPr>
      <w:r>
        <w:rPr>
          <w:rFonts w:hint="eastAsia" w:eastAsia="仿宋_GB2312"/>
          <w:sz w:val="32"/>
          <w:szCs w:val="32"/>
        </w:rPr>
        <w:t>（3）死亡抚恤支出决算数5.00万元，完成预算100%，</w:t>
      </w:r>
      <w:r>
        <w:rPr>
          <w:rStyle w:val="24"/>
          <w:rFonts w:eastAsia="仿宋_GB2312"/>
          <w:b w:val="0"/>
          <w:bCs/>
          <w:sz w:val="32"/>
          <w:szCs w:val="32"/>
        </w:rPr>
        <w:t>决算数等于预算数</w:t>
      </w:r>
      <w:r>
        <w:rPr>
          <w:rStyle w:val="24"/>
          <w:rFonts w:hint="eastAsia" w:eastAsia="仿宋_GB2312"/>
          <w:b w:val="0"/>
          <w:bCs/>
          <w:sz w:val="32"/>
          <w:szCs w:val="32"/>
        </w:rPr>
        <w:t>主要原因是严格按照预算执行</w:t>
      </w:r>
      <w:r>
        <w:rPr>
          <w:rFonts w:hint="eastAsia" w:eastAsia="仿宋_GB2312"/>
          <w:sz w:val="32"/>
          <w:szCs w:val="32"/>
        </w:rPr>
        <w:t>。</w:t>
      </w:r>
    </w:p>
    <w:p w14:paraId="26043929">
      <w:pPr>
        <w:spacing w:line="600" w:lineRule="exact"/>
        <w:ind w:firstLine="640" w:firstLineChars="200"/>
        <w:rPr>
          <w:rFonts w:eastAsia="仿宋_GB2312"/>
          <w:sz w:val="32"/>
          <w:szCs w:val="32"/>
        </w:rPr>
      </w:pPr>
      <w:r>
        <w:rPr>
          <w:rFonts w:hint="eastAsia" w:eastAsia="仿宋_GB2312"/>
          <w:sz w:val="32"/>
          <w:szCs w:val="32"/>
        </w:rPr>
        <w:t>（4）其他社会保障和就业支出决算数1.77万元，完成预算100%，决算数等于预算数</w:t>
      </w:r>
      <w:r>
        <w:rPr>
          <w:rStyle w:val="24"/>
          <w:rFonts w:hint="eastAsia" w:eastAsia="仿宋_GB2312"/>
          <w:b w:val="0"/>
          <w:bCs/>
          <w:sz w:val="32"/>
          <w:szCs w:val="32"/>
        </w:rPr>
        <w:t>主要原因是严格按照预算执行</w:t>
      </w:r>
      <w:r>
        <w:rPr>
          <w:rFonts w:eastAsia="仿宋_GB2312"/>
          <w:sz w:val="32"/>
          <w:szCs w:val="32"/>
        </w:rPr>
        <w:t>。</w:t>
      </w:r>
    </w:p>
    <w:p w14:paraId="2C995B94">
      <w:pPr>
        <w:spacing w:line="600" w:lineRule="exact"/>
        <w:ind w:firstLine="640" w:firstLineChars="200"/>
        <w:rPr>
          <w:rFonts w:eastAsia="仿宋_GB2312"/>
          <w:sz w:val="32"/>
          <w:szCs w:val="32"/>
        </w:rPr>
      </w:pPr>
      <w:r>
        <w:rPr>
          <w:rFonts w:eastAsia="仿宋_GB2312"/>
          <w:sz w:val="32"/>
          <w:szCs w:val="32"/>
        </w:rPr>
        <w:t>9.卫生健康支出决算为</w:t>
      </w:r>
      <w:r>
        <w:rPr>
          <w:rFonts w:hint="eastAsia" w:eastAsia="仿宋_GB2312"/>
          <w:sz w:val="32"/>
          <w:szCs w:val="32"/>
        </w:rPr>
        <w:t>850.60</w:t>
      </w:r>
      <w:r>
        <w:rPr>
          <w:rFonts w:eastAsia="仿宋_GB2312"/>
          <w:sz w:val="32"/>
          <w:szCs w:val="32"/>
        </w:rPr>
        <w:t>万元，完成预算</w:t>
      </w:r>
      <w:r>
        <w:rPr>
          <w:rFonts w:hint="eastAsia" w:eastAsia="仿宋_GB2312"/>
          <w:sz w:val="32"/>
          <w:szCs w:val="32"/>
        </w:rPr>
        <w:t>84.96</w:t>
      </w:r>
      <w:r>
        <w:rPr>
          <w:rFonts w:eastAsia="仿宋_GB2312"/>
          <w:sz w:val="32"/>
          <w:szCs w:val="32"/>
        </w:rPr>
        <w:t>%。</w:t>
      </w:r>
      <w:r>
        <w:rPr>
          <w:rFonts w:hint="eastAsia" w:eastAsia="仿宋_GB2312"/>
          <w:sz w:val="32"/>
          <w:szCs w:val="32"/>
        </w:rPr>
        <w:t>其中：</w:t>
      </w:r>
    </w:p>
    <w:p w14:paraId="2764714B">
      <w:pPr>
        <w:spacing w:line="594" w:lineRule="exact"/>
        <w:ind w:firstLine="320" w:firstLineChars="100"/>
        <w:rPr>
          <w:rFonts w:eastAsia="仿宋_GB2312"/>
          <w:sz w:val="32"/>
          <w:szCs w:val="32"/>
        </w:rPr>
      </w:pPr>
      <w:r>
        <w:rPr>
          <w:rFonts w:hint="eastAsia" w:eastAsia="仿宋_GB2312"/>
          <w:sz w:val="32"/>
          <w:szCs w:val="32"/>
        </w:rPr>
        <w:t>（1）其他卫生健康管理事务决算支出为0万元，完成预算0%，</w:t>
      </w:r>
      <w:r>
        <w:rPr>
          <w:rStyle w:val="24"/>
          <w:rFonts w:eastAsia="仿宋_GB2312"/>
          <w:b w:val="0"/>
          <w:bCs/>
          <w:sz w:val="32"/>
          <w:szCs w:val="32"/>
        </w:rPr>
        <w:t>决算数</w:t>
      </w:r>
      <w:r>
        <w:rPr>
          <w:rStyle w:val="24"/>
          <w:rFonts w:hint="eastAsia" w:eastAsia="仿宋_GB2312"/>
          <w:b w:val="0"/>
          <w:bCs/>
          <w:sz w:val="32"/>
          <w:szCs w:val="32"/>
        </w:rPr>
        <w:t>小于</w:t>
      </w:r>
      <w:r>
        <w:rPr>
          <w:rStyle w:val="24"/>
          <w:rFonts w:eastAsia="仿宋_GB2312"/>
          <w:b w:val="0"/>
          <w:bCs/>
          <w:sz w:val="32"/>
          <w:szCs w:val="32"/>
        </w:rPr>
        <w:t>预算数</w:t>
      </w:r>
      <w:r>
        <w:rPr>
          <w:rFonts w:hint="eastAsia" w:eastAsia="仿宋_GB2312"/>
          <w:sz w:val="32"/>
          <w:szCs w:val="32"/>
        </w:rPr>
        <w:t>主要原因是对口支援4.80万元结转到下年度使用。</w:t>
      </w:r>
    </w:p>
    <w:p w14:paraId="7C74C050">
      <w:pPr>
        <w:spacing w:line="594" w:lineRule="exact"/>
        <w:ind w:firstLine="640" w:firstLineChars="200"/>
        <w:rPr>
          <w:rFonts w:eastAsia="仿宋_GB2312"/>
          <w:sz w:val="32"/>
          <w:szCs w:val="32"/>
        </w:rPr>
      </w:pPr>
      <w:r>
        <w:rPr>
          <w:rFonts w:hint="eastAsia" w:eastAsia="仿宋_GB2312"/>
          <w:sz w:val="32"/>
          <w:szCs w:val="32"/>
        </w:rPr>
        <w:t>（2）中医医院支出决算数308.71万元，完成预算84.18%。</w:t>
      </w:r>
      <w:r>
        <w:rPr>
          <w:rStyle w:val="24"/>
          <w:rFonts w:eastAsia="仿宋_GB2312"/>
          <w:b w:val="0"/>
          <w:bCs/>
          <w:sz w:val="32"/>
          <w:szCs w:val="32"/>
        </w:rPr>
        <w:t>决算数</w:t>
      </w:r>
      <w:r>
        <w:rPr>
          <w:rStyle w:val="24"/>
          <w:rFonts w:hint="eastAsia" w:eastAsia="仿宋_GB2312"/>
          <w:b w:val="0"/>
          <w:bCs/>
          <w:sz w:val="32"/>
          <w:szCs w:val="32"/>
        </w:rPr>
        <w:t>小于</w:t>
      </w:r>
      <w:r>
        <w:rPr>
          <w:rStyle w:val="24"/>
          <w:rFonts w:eastAsia="仿宋_GB2312"/>
          <w:b w:val="0"/>
          <w:bCs/>
          <w:sz w:val="32"/>
          <w:szCs w:val="32"/>
        </w:rPr>
        <w:t>预算数</w:t>
      </w:r>
      <w:r>
        <w:rPr>
          <w:rFonts w:hint="eastAsia" w:eastAsia="仿宋_GB2312"/>
          <w:sz w:val="32"/>
          <w:szCs w:val="32"/>
        </w:rPr>
        <w:t>主要原因是2020年公立医院改革资金58.00万元结转到2021年用于信息化建设。</w:t>
      </w:r>
    </w:p>
    <w:p w14:paraId="094FCBEE">
      <w:pPr>
        <w:spacing w:line="594" w:lineRule="exact"/>
        <w:ind w:firstLine="640" w:firstLineChars="200"/>
        <w:rPr>
          <w:rFonts w:eastAsia="仿宋_GB2312"/>
          <w:sz w:val="32"/>
          <w:szCs w:val="32"/>
        </w:rPr>
      </w:pPr>
      <w:r>
        <w:rPr>
          <w:rFonts w:hint="eastAsia" w:eastAsia="仿宋_GB2312"/>
          <w:sz w:val="32"/>
          <w:szCs w:val="32"/>
        </w:rPr>
        <w:t>（3）其他公立医院支出决算数120.5万元，完成预算83.86%。</w:t>
      </w:r>
      <w:r>
        <w:rPr>
          <w:rStyle w:val="24"/>
          <w:rFonts w:eastAsia="仿宋_GB2312"/>
          <w:b w:val="0"/>
          <w:bCs/>
          <w:sz w:val="32"/>
          <w:szCs w:val="32"/>
        </w:rPr>
        <w:t>决算数</w:t>
      </w:r>
      <w:r>
        <w:rPr>
          <w:rStyle w:val="24"/>
          <w:rFonts w:hint="eastAsia" w:eastAsia="仿宋_GB2312"/>
          <w:b w:val="0"/>
          <w:bCs/>
          <w:sz w:val="32"/>
          <w:szCs w:val="32"/>
        </w:rPr>
        <w:t>小于</w:t>
      </w:r>
      <w:r>
        <w:rPr>
          <w:rStyle w:val="24"/>
          <w:rFonts w:eastAsia="仿宋_GB2312"/>
          <w:b w:val="0"/>
          <w:bCs/>
          <w:sz w:val="32"/>
          <w:szCs w:val="32"/>
        </w:rPr>
        <w:t>预算数</w:t>
      </w:r>
      <w:r>
        <w:rPr>
          <w:rFonts w:hint="eastAsia" w:eastAsia="仿宋_GB2312"/>
          <w:sz w:val="32"/>
          <w:szCs w:val="32"/>
        </w:rPr>
        <w:t>主要原因是2020年公立医院改革资金23.20万元结转到2021年用于医院信息化建设。</w:t>
      </w:r>
    </w:p>
    <w:p w14:paraId="73B7D485">
      <w:pPr>
        <w:spacing w:line="594" w:lineRule="exact"/>
        <w:rPr>
          <w:rFonts w:eastAsia="仿宋_GB2312"/>
          <w:sz w:val="32"/>
          <w:szCs w:val="32"/>
        </w:rPr>
      </w:pPr>
      <w:r>
        <w:rPr>
          <w:rFonts w:hint="eastAsia" w:eastAsia="仿宋_GB2312"/>
          <w:sz w:val="32"/>
          <w:szCs w:val="32"/>
        </w:rPr>
        <w:t xml:space="preserve">   （4）乡镇卫生院支出决算时39.58万元，完成预算100%，决算数等于预算数</w:t>
      </w:r>
      <w:r>
        <w:rPr>
          <w:rStyle w:val="24"/>
          <w:rFonts w:hint="eastAsia" w:eastAsia="仿宋_GB2312"/>
          <w:b w:val="0"/>
          <w:bCs/>
          <w:sz w:val="32"/>
          <w:szCs w:val="32"/>
        </w:rPr>
        <w:t>主要原因是严格按照预算执行。</w:t>
      </w:r>
    </w:p>
    <w:p w14:paraId="0DFDA815">
      <w:pPr>
        <w:spacing w:line="594" w:lineRule="exact"/>
        <w:ind w:firstLine="480" w:firstLineChars="150"/>
        <w:rPr>
          <w:rFonts w:eastAsia="仿宋_GB2312"/>
          <w:sz w:val="32"/>
          <w:szCs w:val="32"/>
        </w:rPr>
      </w:pPr>
      <w:r>
        <w:rPr>
          <w:rFonts w:hint="eastAsia" w:eastAsia="仿宋_GB2312"/>
          <w:sz w:val="32"/>
          <w:szCs w:val="32"/>
        </w:rPr>
        <w:t>（5）其他基层医疗机构支出决算数58.15万元，完成预算100%，决算数等于预算数</w:t>
      </w:r>
      <w:r>
        <w:rPr>
          <w:rStyle w:val="24"/>
          <w:rFonts w:hint="eastAsia" w:eastAsia="仿宋_GB2312"/>
          <w:b w:val="0"/>
          <w:bCs/>
          <w:sz w:val="32"/>
          <w:szCs w:val="32"/>
        </w:rPr>
        <w:t>主要原因是严格按照预算执行。</w:t>
      </w:r>
    </w:p>
    <w:p w14:paraId="78C7E814">
      <w:pPr>
        <w:spacing w:line="594" w:lineRule="exact"/>
        <w:ind w:firstLine="480" w:firstLineChars="150"/>
        <w:rPr>
          <w:rFonts w:eastAsia="仿宋_GB2312"/>
          <w:sz w:val="32"/>
          <w:szCs w:val="32"/>
        </w:rPr>
      </w:pPr>
      <w:r>
        <w:rPr>
          <w:rFonts w:hint="eastAsia" w:eastAsia="仿宋_GB2312"/>
          <w:sz w:val="32"/>
          <w:szCs w:val="32"/>
        </w:rPr>
        <w:t>（6）重大公共卫生服务支出决算数15.00万元，完成预算100%，决算数等于预算数</w:t>
      </w:r>
      <w:r>
        <w:rPr>
          <w:rStyle w:val="24"/>
          <w:rFonts w:hint="eastAsia" w:eastAsia="仿宋_GB2312"/>
          <w:b w:val="0"/>
          <w:bCs/>
          <w:sz w:val="32"/>
          <w:szCs w:val="32"/>
        </w:rPr>
        <w:t>主要原因是严格按照预算执行。</w:t>
      </w:r>
    </w:p>
    <w:p w14:paraId="172B0696">
      <w:pPr>
        <w:spacing w:line="594" w:lineRule="exact"/>
        <w:ind w:firstLine="480" w:firstLineChars="150"/>
        <w:rPr>
          <w:rFonts w:eastAsia="仿宋_GB2312"/>
          <w:sz w:val="32"/>
          <w:szCs w:val="32"/>
        </w:rPr>
      </w:pPr>
      <w:r>
        <w:rPr>
          <w:rFonts w:hint="eastAsia" w:eastAsia="仿宋_GB2312"/>
          <w:sz w:val="32"/>
          <w:szCs w:val="32"/>
        </w:rPr>
        <w:t>（7）突发公共卫生事件应急处理支出决算数31.41万元，完成预算100%，决算数等于预算数</w:t>
      </w:r>
      <w:r>
        <w:rPr>
          <w:rStyle w:val="24"/>
          <w:rFonts w:hint="eastAsia" w:eastAsia="仿宋_GB2312"/>
          <w:b w:val="0"/>
          <w:bCs/>
          <w:sz w:val="32"/>
          <w:szCs w:val="32"/>
        </w:rPr>
        <w:t>主要原因是严格按照预算执行。</w:t>
      </w:r>
    </w:p>
    <w:p w14:paraId="0A7D7B93">
      <w:pPr>
        <w:spacing w:line="594" w:lineRule="exact"/>
        <w:ind w:firstLine="480" w:firstLineChars="150"/>
        <w:rPr>
          <w:rFonts w:eastAsia="仿宋_GB2312"/>
          <w:sz w:val="32"/>
          <w:szCs w:val="32"/>
        </w:rPr>
      </w:pPr>
      <w:r>
        <w:rPr>
          <w:rFonts w:hint="eastAsia" w:eastAsia="仿宋_GB2312"/>
          <w:sz w:val="32"/>
          <w:szCs w:val="32"/>
        </w:rPr>
        <w:t>（8）其他公共卫生支出决算数7.00万元，完成预算12.28%，</w:t>
      </w:r>
      <w:r>
        <w:rPr>
          <w:rStyle w:val="24"/>
          <w:rFonts w:eastAsia="仿宋_GB2312"/>
          <w:b w:val="0"/>
          <w:bCs/>
          <w:sz w:val="32"/>
          <w:szCs w:val="32"/>
        </w:rPr>
        <w:t>决算数</w:t>
      </w:r>
      <w:r>
        <w:rPr>
          <w:rStyle w:val="24"/>
          <w:rFonts w:hint="eastAsia" w:eastAsia="仿宋_GB2312"/>
          <w:b w:val="0"/>
          <w:bCs/>
          <w:sz w:val="32"/>
          <w:szCs w:val="32"/>
        </w:rPr>
        <w:t>小于</w:t>
      </w:r>
      <w:r>
        <w:rPr>
          <w:rStyle w:val="24"/>
          <w:rFonts w:eastAsia="仿宋_GB2312"/>
          <w:b w:val="0"/>
          <w:bCs/>
          <w:sz w:val="32"/>
          <w:szCs w:val="32"/>
        </w:rPr>
        <w:t>预算数</w:t>
      </w:r>
      <w:r>
        <w:rPr>
          <w:rFonts w:hint="eastAsia" w:eastAsia="仿宋_GB2312"/>
          <w:sz w:val="32"/>
          <w:szCs w:val="32"/>
        </w:rPr>
        <w:t>主要原因是2020年安宁疗护项目资金结转到下年度使用。</w:t>
      </w:r>
    </w:p>
    <w:p w14:paraId="591420B4">
      <w:pPr>
        <w:spacing w:line="594" w:lineRule="exact"/>
        <w:ind w:firstLine="480" w:firstLineChars="150"/>
        <w:rPr>
          <w:rFonts w:eastAsia="仿宋_GB2312"/>
          <w:sz w:val="32"/>
          <w:szCs w:val="32"/>
        </w:rPr>
      </w:pPr>
      <w:r>
        <w:rPr>
          <w:rFonts w:hint="eastAsia" w:eastAsia="仿宋_GB2312"/>
          <w:sz w:val="32"/>
          <w:szCs w:val="32"/>
        </w:rPr>
        <w:t>（9）中医药专项支出决算数1.21万元，完成预算20.17%，</w:t>
      </w:r>
      <w:r>
        <w:rPr>
          <w:rStyle w:val="24"/>
          <w:rFonts w:eastAsia="仿宋_GB2312"/>
          <w:b w:val="0"/>
          <w:bCs/>
          <w:sz w:val="32"/>
          <w:szCs w:val="32"/>
        </w:rPr>
        <w:t>决算数</w:t>
      </w:r>
      <w:r>
        <w:rPr>
          <w:rStyle w:val="24"/>
          <w:rFonts w:hint="eastAsia" w:eastAsia="仿宋_GB2312"/>
          <w:b w:val="0"/>
          <w:bCs/>
          <w:sz w:val="32"/>
          <w:szCs w:val="32"/>
        </w:rPr>
        <w:t>小于</w:t>
      </w:r>
      <w:r>
        <w:rPr>
          <w:rStyle w:val="24"/>
          <w:rFonts w:eastAsia="仿宋_GB2312"/>
          <w:b w:val="0"/>
          <w:bCs/>
          <w:sz w:val="32"/>
          <w:szCs w:val="32"/>
        </w:rPr>
        <w:t>预算数</w:t>
      </w:r>
      <w:r>
        <w:rPr>
          <w:rFonts w:hint="eastAsia" w:eastAsia="仿宋_GB2312"/>
          <w:sz w:val="32"/>
          <w:szCs w:val="32"/>
        </w:rPr>
        <w:t>主要原因是肖丽中药传承经费受新冠疫情影响，未使用经费结转到下年度使用。</w:t>
      </w:r>
    </w:p>
    <w:p w14:paraId="6445AE4D">
      <w:pPr>
        <w:spacing w:line="594" w:lineRule="exact"/>
        <w:ind w:firstLine="480" w:firstLineChars="150"/>
        <w:rPr>
          <w:rFonts w:eastAsia="仿宋_GB2312"/>
          <w:sz w:val="32"/>
          <w:szCs w:val="32"/>
        </w:rPr>
      </w:pPr>
      <w:r>
        <w:rPr>
          <w:rFonts w:hint="eastAsia" w:eastAsia="仿宋_GB2312"/>
          <w:sz w:val="32"/>
          <w:szCs w:val="32"/>
        </w:rPr>
        <w:t>（10）其他中医药支出决算数55.89万元，完成预算100%，决算数等于预算数</w:t>
      </w:r>
      <w:r>
        <w:rPr>
          <w:rStyle w:val="24"/>
          <w:rFonts w:hint="eastAsia" w:eastAsia="仿宋_GB2312"/>
          <w:b w:val="0"/>
          <w:bCs/>
          <w:sz w:val="32"/>
          <w:szCs w:val="32"/>
        </w:rPr>
        <w:t>主要原因是严格按照预算执行。</w:t>
      </w:r>
    </w:p>
    <w:p w14:paraId="378AD63F">
      <w:pPr>
        <w:spacing w:line="594" w:lineRule="exact"/>
        <w:ind w:firstLine="480" w:firstLineChars="150"/>
        <w:rPr>
          <w:rFonts w:eastAsia="仿宋_GB2312"/>
          <w:sz w:val="32"/>
          <w:szCs w:val="32"/>
        </w:rPr>
      </w:pPr>
      <w:r>
        <w:rPr>
          <w:rFonts w:hint="eastAsia" w:eastAsia="仿宋_GB2312"/>
          <w:sz w:val="32"/>
          <w:szCs w:val="32"/>
        </w:rPr>
        <w:t>（11）事业单位医疗决算支出13.99万元，完成预算100%，决算数等于预算数</w:t>
      </w:r>
      <w:r>
        <w:rPr>
          <w:rStyle w:val="24"/>
          <w:rFonts w:hint="eastAsia" w:eastAsia="仿宋_GB2312"/>
          <w:b w:val="0"/>
          <w:bCs/>
          <w:sz w:val="32"/>
          <w:szCs w:val="32"/>
        </w:rPr>
        <w:t>主要原因是严格按照预算执行。</w:t>
      </w:r>
    </w:p>
    <w:p w14:paraId="59B79984">
      <w:pPr>
        <w:spacing w:line="594" w:lineRule="exact"/>
        <w:ind w:firstLine="480" w:firstLineChars="150"/>
        <w:rPr>
          <w:rFonts w:eastAsia="仿宋_GB2312"/>
          <w:sz w:val="32"/>
          <w:szCs w:val="32"/>
        </w:rPr>
      </w:pPr>
      <w:r>
        <w:rPr>
          <w:rFonts w:hint="eastAsia" w:eastAsia="仿宋_GB2312"/>
          <w:sz w:val="32"/>
          <w:szCs w:val="32"/>
        </w:rPr>
        <w:t>（12）其他行政事业单位医疗决算支出1.16万元，完成预算100%，决算数等于预算数</w:t>
      </w:r>
      <w:r>
        <w:rPr>
          <w:rStyle w:val="24"/>
          <w:rFonts w:hint="eastAsia" w:eastAsia="仿宋_GB2312"/>
          <w:b w:val="0"/>
          <w:bCs/>
          <w:sz w:val="32"/>
          <w:szCs w:val="32"/>
        </w:rPr>
        <w:t>主要原因是严格按照预算执行。</w:t>
      </w:r>
    </w:p>
    <w:p w14:paraId="1FF0CD80">
      <w:pPr>
        <w:spacing w:line="594" w:lineRule="exact"/>
        <w:ind w:firstLine="480" w:firstLineChars="150"/>
        <w:rPr>
          <w:rFonts w:eastAsia="仿宋_GB2312"/>
          <w:sz w:val="32"/>
          <w:szCs w:val="32"/>
        </w:rPr>
      </w:pPr>
      <w:r>
        <w:rPr>
          <w:rFonts w:hint="eastAsia" w:eastAsia="仿宋_GB2312"/>
          <w:sz w:val="32"/>
          <w:szCs w:val="32"/>
        </w:rPr>
        <w:t>（13）老龄卫生健康事务决算支出191.71万元，完成预算95.86%，</w:t>
      </w:r>
      <w:r>
        <w:rPr>
          <w:rStyle w:val="24"/>
          <w:rFonts w:eastAsia="仿宋_GB2312"/>
          <w:b w:val="0"/>
          <w:bCs/>
          <w:sz w:val="32"/>
          <w:szCs w:val="32"/>
        </w:rPr>
        <w:t>决算数</w:t>
      </w:r>
      <w:r>
        <w:rPr>
          <w:rStyle w:val="24"/>
          <w:rFonts w:hint="eastAsia" w:eastAsia="仿宋_GB2312"/>
          <w:b w:val="0"/>
          <w:bCs/>
          <w:sz w:val="32"/>
          <w:szCs w:val="32"/>
        </w:rPr>
        <w:t>小于</w:t>
      </w:r>
      <w:r>
        <w:rPr>
          <w:rStyle w:val="24"/>
          <w:rFonts w:eastAsia="仿宋_GB2312"/>
          <w:b w:val="0"/>
          <w:bCs/>
          <w:sz w:val="32"/>
          <w:szCs w:val="32"/>
        </w:rPr>
        <w:t>预算数</w:t>
      </w:r>
      <w:r>
        <w:rPr>
          <w:rFonts w:hint="eastAsia" w:eastAsia="仿宋_GB2312"/>
          <w:sz w:val="32"/>
          <w:szCs w:val="32"/>
        </w:rPr>
        <w:t>主要原因是按照该项目合同暂未申请工程尾款，该资金结转到下年度使用。</w:t>
      </w:r>
    </w:p>
    <w:p w14:paraId="3608263F">
      <w:pPr>
        <w:spacing w:line="594" w:lineRule="exact"/>
        <w:ind w:firstLine="480" w:firstLineChars="150"/>
        <w:rPr>
          <w:rFonts w:eastAsia="仿宋_GB2312"/>
          <w:sz w:val="32"/>
          <w:szCs w:val="32"/>
        </w:rPr>
      </w:pPr>
      <w:r>
        <w:rPr>
          <w:rFonts w:hint="eastAsia" w:eastAsia="仿宋_GB2312"/>
          <w:sz w:val="32"/>
          <w:szCs w:val="32"/>
        </w:rPr>
        <w:t>（14）其他卫生健康决算支出6.30万元，完成预算80.77%，</w:t>
      </w:r>
      <w:r>
        <w:rPr>
          <w:rStyle w:val="24"/>
          <w:rFonts w:eastAsia="仿宋_GB2312"/>
          <w:b w:val="0"/>
          <w:bCs/>
          <w:sz w:val="32"/>
          <w:szCs w:val="32"/>
        </w:rPr>
        <w:t>决算数</w:t>
      </w:r>
      <w:r>
        <w:rPr>
          <w:rStyle w:val="24"/>
          <w:rFonts w:hint="eastAsia" w:eastAsia="仿宋_GB2312"/>
          <w:b w:val="0"/>
          <w:bCs/>
          <w:sz w:val="32"/>
          <w:szCs w:val="32"/>
        </w:rPr>
        <w:t>小于</w:t>
      </w:r>
      <w:r>
        <w:rPr>
          <w:rStyle w:val="24"/>
          <w:rFonts w:eastAsia="仿宋_GB2312"/>
          <w:b w:val="0"/>
          <w:bCs/>
          <w:sz w:val="32"/>
          <w:szCs w:val="32"/>
        </w:rPr>
        <w:t>预算数</w:t>
      </w:r>
      <w:r>
        <w:rPr>
          <w:rFonts w:hint="eastAsia" w:eastAsia="仿宋_GB2312"/>
          <w:sz w:val="32"/>
          <w:szCs w:val="32"/>
        </w:rPr>
        <w:t>主要原因是援鄂人员补助暂未申请，该资金结转到下年度使用。</w:t>
      </w:r>
    </w:p>
    <w:p w14:paraId="14C718E7">
      <w:pPr>
        <w:spacing w:line="594" w:lineRule="exact"/>
        <w:ind w:firstLine="640" w:firstLineChars="200"/>
        <w:rPr>
          <w:rFonts w:eastAsia="仿宋_GB2312"/>
          <w:color w:val="000000"/>
          <w:sz w:val="32"/>
          <w:szCs w:val="32"/>
        </w:rPr>
      </w:pPr>
      <w:r>
        <w:rPr>
          <w:rFonts w:eastAsia="仿宋_GB2312"/>
          <w:color w:val="000000"/>
          <w:sz w:val="32"/>
          <w:szCs w:val="32"/>
        </w:rPr>
        <w:t>10.节能环保支出决算为0万元，完成预算0%。</w:t>
      </w:r>
    </w:p>
    <w:p w14:paraId="0500890A">
      <w:pPr>
        <w:spacing w:line="594" w:lineRule="exact"/>
        <w:ind w:firstLine="640" w:firstLineChars="200"/>
        <w:rPr>
          <w:rFonts w:eastAsia="仿宋_GB2312"/>
          <w:color w:val="000000"/>
          <w:sz w:val="32"/>
          <w:szCs w:val="32"/>
        </w:rPr>
      </w:pPr>
      <w:r>
        <w:rPr>
          <w:rFonts w:eastAsia="仿宋_GB2312"/>
          <w:color w:val="000000"/>
          <w:sz w:val="32"/>
          <w:szCs w:val="32"/>
        </w:rPr>
        <w:t>11.城乡社区支出决算为0万元，完成预算0%。</w:t>
      </w:r>
    </w:p>
    <w:p w14:paraId="630C32CA">
      <w:pPr>
        <w:spacing w:line="594" w:lineRule="exact"/>
        <w:ind w:firstLine="640" w:firstLineChars="200"/>
        <w:rPr>
          <w:rFonts w:eastAsia="仿宋_GB2312"/>
          <w:color w:val="000000"/>
          <w:sz w:val="32"/>
          <w:szCs w:val="32"/>
        </w:rPr>
      </w:pPr>
      <w:r>
        <w:rPr>
          <w:rFonts w:eastAsia="仿宋_GB2312"/>
          <w:color w:val="000000"/>
          <w:sz w:val="32"/>
          <w:szCs w:val="32"/>
        </w:rPr>
        <w:t>12.农林水支出决算为</w:t>
      </w:r>
      <w:r>
        <w:rPr>
          <w:rFonts w:hint="eastAsia" w:eastAsia="仿宋_GB2312"/>
          <w:color w:val="000000"/>
          <w:sz w:val="32"/>
          <w:szCs w:val="32"/>
        </w:rPr>
        <w:t>0</w:t>
      </w:r>
      <w:r>
        <w:rPr>
          <w:rFonts w:eastAsia="仿宋_GB2312"/>
          <w:color w:val="000000"/>
          <w:sz w:val="32"/>
          <w:szCs w:val="32"/>
        </w:rPr>
        <w:t>万元，完成预算0%</w:t>
      </w:r>
      <w:r>
        <w:rPr>
          <w:rFonts w:hint="eastAsia" w:eastAsia="仿宋_GB2312"/>
          <w:color w:val="000000"/>
          <w:sz w:val="32"/>
          <w:szCs w:val="32"/>
        </w:rPr>
        <w:t>。</w:t>
      </w:r>
    </w:p>
    <w:p w14:paraId="60DDAFC0">
      <w:pPr>
        <w:spacing w:line="594" w:lineRule="exact"/>
        <w:ind w:firstLine="640" w:firstLineChars="200"/>
        <w:rPr>
          <w:rFonts w:eastAsia="仿宋_GB2312"/>
          <w:color w:val="000000"/>
          <w:sz w:val="32"/>
          <w:szCs w:val="32"/>
        </w:rPr>
      </w:pPr>
      <w:r>
        <w:rPr>
          <w:rFonts w:eastAsia="仿宋_GB2312"/>
          <w:color w:val="000000"/>
          <w:sz w:val="32"/>
          <w:szCs w:val="32"/>
        </w:rPr>
        <w:t>13.交通运输支出决算为0万元，完成预算0%。</w:t>
      </w:r>
    </w:p>
    <w:p w14:paraId="3D010D67">
      <w:pPr>
        <w:spacing w:line="594" w:lineRule="exact"/>
        <w:ind w:firstLine="640" w:firstLineChars="200"/>
        <w:rPr>
          <w:rFonts w:eastAsia="仿宋_GB2312"/>
          <w:color w:val="000000"/>
          <w:sz w:val="32"/>
          <w:szCs w:val="32"/>
        </w:rPr>
      </w:pPr>
      <w:r>
        <w:rPr>
          <w:rFonts w:eastAsia="仿宋_GB2312"/>
          <w:color w:val="000000"/>
          <w:sz w:val="32"/>
          <w:szCs w:val="32"/>
        </w:rPr>
        <w:t>14.资源勘探信息等支出决算为0万元，完成预算0%。</w:t>
      </w:r>
    </w:p>
    <w:p w14:paraId="4236B4C6">
      <w:pPr>
        <w:spacing w:line="594" w:lineRule="exact"/>
        <w:ind w:firstLine="640" w:firstLineChars="200"/>
        <w:rPr>
          <w:rFonts w:eastAsia="仿宋_GB2312"/>
          <w:color w:val="000000"/>
          <w:sz w:val="32"/>
          <w:szCs w:val="32"/>
        </w:rPr>
      </w:pPr>
      <w:r>
        <w:rPr>
          <w:rFonts w:eastAsia="仿宋_GB2312"/>
          <w:color w:val="000000"/>
          <w:sz w:val="32"/>
          <w:szCs w:val="32"/>
        </w:rPr>
        <w:t>15.商业服务业等支出决算为0万元，完成预算0%。</w:t>
      </w:r>
    </w:p>
    <w:p w14:paraId="34DC2B5D">
      <w:pPr>
        <w:spacing w:line="594" w:lineRule="exact"/>
        <w:ind w:firstLine="640" w:firstLineChars="200"/>
        <w:rPr>
          <w:rFonts w:eastAsia="仿宋_GB2312"/>
          <w:color w:val="000000"/>
          <w:sz w:val="32"/>
          <w:szCs w:val="32"/>
        </w:rPr>
      </w:pPr>
      <w:r>
        <w:rPr>
          <w:rFonts w:eastAsia="仿宋_GB2312"/>
          <w:color w:val="000000"/>
          <w:sz w:val="32"/>
          <w:szCs w:val="32"/>
        </w:rPr>
        <w:t>16.金融支出决算为0万元，完成预算0%。</w:t>
      </w:r>
    </w:p>
    <w:p w14:paraId="7DBC7BFB">
      <w:pPr>
        <w:spacing w:line="594" w:lineRule="exact"/>
        <w:ind w:firstLine="640" w:firstLineChars="200"/>
        <w:rPr>
          <w:rFonts w:eastAsia="仿宋_GB2312"/>
          <w:color w:val="000000"/>
          <w:sz w:val="32"/>
          <w:szCs w:val="32"/>
        </w:rPr>
      </w:pPr>
      <w:r>
        <w:rPr>
          <w:rFonts w:eastAsia="仿宋_GB2312"/>
          <w:color w:val="000000"/>
          <w:sz w:val="32"/>
          <w:szCs w:val="32"/>
        </w:rPr>
        <w:t>17.援助其他地区支出决算为0万元，完成预算0%。</w:t>
      </w:r>
    </w:p>
    <w:p w14:paraId="4F054BE6">
      <w:pPr>
        <w:spacing w:line="594" w:lineRule="exact"/>
        <w:ind w:firstLine="640" w:firstLineChars="200"/>
        <w:rPr>
          <w:rFonts w:eastAsia="仿宋_GB2312"/>
          <w:color w:val="000000"/>
          <w:sz w:val="32"/>
          <w:szCs w:val="32"/>
        </w:rPr>
      </w:pPr>
      <w:r>
        <w:rPr>
          <w:rFonts w:eastAsia="仿宋_GB2312"/>
          <w:color w:val="000000"/>
          <w:sz w:val="32"/>
          <w:szCs w:val="32"/>
        </w:rPr>
        <w:t>18.自然资源海洋气象等支出决算为0万元，完成预算0%。</w:t>
      </w:r>
    </w:p>
    <w:p w14:paraId="7EE55E34">
      <w:pPr>
        <w:spacing w:line="594" w:lineRule="exact"/>
        <w:ind w:firstLine="640" w:firstLineChars="200"/>
        <w:rPr>
          <w:rFonts w:eastAsia="仿宋_GB2312"/>
          <w:color w:val="000000"/>
          <w:sz w:val="32"/>
          <w:szCs w:val="32"/>
        </w:rPr>
      </w:pPr>
      <w:r>
        <w:rPr>
          <w:rFonts w:eastAsia="仿宋_GB2312"/>
          <w:color w:val="000000"/>
          <w:sz w:val="32"/>
          <w:szCs w:val="32"/>
        </w:rPr>
        <w:t>19.住房保障支出支出决算为</w:t>
      </w:r>
      <w:r>
        <w:rPr>
          <w:rFonts w:hint="eastAsia" w:eastAsia="仿宋_GB2312"/>
          <w:color w:val="000000"/>
          <w:sz w:val="32"/>
          <w:szCs w:val="32"/>
        </w:rPr>
        <w:t>27.98</w:t>
      </w:r>
      <w:r>
        <w:rPr>
          <w:rFonts w:eastAsia="仿宋_GB2312"/>
          <w:color w:val="000000"/>
          <w:sz w:val="32"/>
          <w:szCs w:val="32"/>
        </w:rPr>
        <w:t>万元，完成预算100%</w:t>
      </w:r>
      <w:r>
        <w:rPr>
          <w:rFonts w:hint="eastAsia" w:eastAsia="仿宋_GB2312"/>
          <w:color w:val="000000"/>
          <w:sz w:val="32"/>
          <w:szCs w:val="32"/>
        </w:rPr>
        <w:t>，</w:t>
      </w:r>
      <w:r>
        <w:rPr>
          <w:rFonts w:hint="eastAsia" w:eastAsia="仿宋_GB2312"/>
          <w:sz w:val="32"/>
          <w:szCs w:val="32"/>
        </w:rPr>
        <w:t>决算数等于预算数</w:t>
      </w:r>
      <w:r>
        <w:rPr>
          <w:rStyle w:val="24"/>
          <w:rFonts w:hint="eastAsia" w:eastAsia="仿宋_GB2312"/>
          <w:b w:val="0"/>
          <w:bCs/>
          <w:sz w:val="32"/>
          <w:szCs w:val="32"/>
        </w:rPr>
        <w:t>主要原因是严格按照预算执行。</w:t>
      </w:r>
    </w:p>
    <w:p w14:paraId="63190A7C">
      <w:pPr>
        <w:spacing w:line="594"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住房公积金支出决算为</w:t>
      </w:r>
      <w:r>
        <w:rPr>
          <w:rFonts w:hint="eastAsia" w:eastAsia="仿宋_GB2312"/>
          <w:sz w:val="32"/>
          <w:szCs w:val="32"/>
        </w:rPr>
        <w:t>27.98</w:t>
      </w:r>
      <w:r>
        <w:rPr>
          <w:rFonts w:eastAsia="仿宋_GB2312"/>
          <w:sz w:val="32"/>
          <w:szCs w:val="32"/>
        </w:rPr>
        <w:t>万元，完成预算100%，</w:t>
      </w:r>
      <w:r>
        <w:rPr>
          <w:rFonts w:hint="eastAsia" w:eastAsia="仿宋_GB2312"/>
          <w:sz w:val="32"/>
          <w:szCs w:val="32"/>
        </w:rPr>
        <w:t>决算数等于预算数</w:t>
      </w:r>
      <w:r>
        <w:rPr>
          <w:rStyle w:val="24"/>
          <w:rFonts w:hint="eastAsia" w:eastAsia="仿宋_GB2312"/>
          <w:b w:val="0"/>
          <w:bCs/>
          <w:sz w:val="32"/>
          <w:szCs w:val="32"/>
        </w:rPr>
        <w:t>主要原因是严格按照预算执行。</w:t>
      </w:r>
    </w:p>
    <w:p w14:paraId="3C6049C4">
      <w:pPr>
        <w:spacing w:line="594" w:lineRule="exact"/>
        <w:ind w:firstLine="640" w:firstLineChars="200"/>
        <w:rPr>
          <w:rFonts w:eastAsia="仿宋_GB2312"/>
          <w:sz w:val="32"/>
          <w:szCs w:val="32"/>
        </w:rPr>
      </w:pPr>
      <w:r>
        <w:rPr>
          <w:rFonts w:eastAsia="仿宋_GB2312"/>
          <w:sz w:val="32"/>
          <w:szCs w:val="32"/>
        </w:rPr>
        <w:t>20.粮油物资储备支出决算为0万元，完成预算0%。</w:t>
      </w:r>
    </w:p>
    <w:p w14:paraId="3996C024">
      <w:pPr>
        <w:pStyle w:val="2"/>
        <w:spacing w:line="594" w:lineRule="exact"/>
        <w:ind w:left="0" w:leftChars="0" w:firstLine="640"/>
      </w:pPr>
      <w:r>
        <w:rPr>
          <w:rFonts w:hint="eastAsia" w:eastAsia="仿宋_GB2312"/>
          <w:sz w:val="32"/>
          <w:szCs w:val="32"/>
        </w:rPr>
        <w:t>21.国有资本经营</w:t>
      </w:r>
      <w:r>
        <w:rPr>
          <w:rFonts w:hAnsi="仿宋_GB2312" w:eastAsia="仿宋_GB2312"/>
          <w:sz w:val="32"/>
          <w:szCs w:val="32"/>
        </w:rPr>
        <w:t>支出决算为</w:t>
      </w:r>
      <w:r>
        <w:rPr>
          <w:rFonts w:eastAsia="仿宋_GB2312"/>
          <w:sz w:val="32"/>
          <w:szCs w:val="32"/>
        </w:rPr>
        <w:t>0</w:t>
      </w:r>
      <w:r>
        <w:rPr>
          <w:rFonts w:hAnsi="仿宋_GB2312" w:eastAsia="仿宋_GB2312"/>
          <w:sz w:val="32"/>
          <w:szCs w:val="32"/>
        </w:rPr>
        <w:t>万元，完成预算</w:t>
      </w:r>
      <w:r>
        <w:rPr>
          <w:rFonts w:eastAsia="仿宋_GB2312"/>
          <w:sz w:val="32"/>
          <w:szCs w:val="32"/>
        </w:rPr>
        <w:t>0%</w:t>
      </w:r>
      <w:r>
        <w:rPr>
          <w:rFonts w:hAnsi="仿宋_GB2312" w:eastAsia="仿宋_GB2312"/>
          <w:sz w:val="32"/>
          <w:szCs w:val="32"/>
        </w:rPr>
        <w:t>。</w:t>
      </w:r>
    </w:p>
    <w:p w14:paraId="23183453">
      <w:pPr>
        <w:spacing w:line="594"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2</w:t>
      </w:r>
      <w:r>
        <w:rPr>
          <w:rFonts w:eastAsia="仿宋_GB2312"/>
          <w:sz w:val="32"/>
          <w:szCs w:val="32"/>
        </w:rPr>
        <w:t>.灾害防治及应急管理支出决算为0万元，完成预算0%。</w:t>
      </w:r>
    </w:p>
    <w:p w14:paraId="5FB53157">
      <w:pPr>
        <w:spacing w:line="594"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3</w:t>
      </w:r>
      <w:r>
        <w:rPr>
          <w:rFonts w:eastAsia="仿宋_GB2312"/>
          <w:sz w:val="32"/>
          <w:szCs w:val="32"/>
        </w:rPr>
        <w:t>.其他支出决算为0万元，完成预算0%。</w:t>
      </w:r>
    </w:p>
    <w:p w14:paraId="4991B6C2">
      <w:pPr>
        <w:spacing w:line="594"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4</w:t>
      </w:r>
      <w:r>
        <w:rPr>
          <w:rFonts w:eastAsia="仿宋_GB2312"/>
          <w:sz w:val="32"/>
          <w:szCs w:val="32"/>
        </w:rPr>
        <w:t>.债务还本支出决算为0万元，完成预算0%。</w:t>
      </w:r>
    </w:p>
    <w:p w14:paraId="7A255280">
      <w:pPr>
        <w:spacing w:line="594"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5</w:t>
      </w:r>
      <w:r>
        <w:rPr>
          <w:rFonts w:eastAsia="仿宋_GB2312"/>
          <w:sz w:val="32"/>
          <w:szCs w:val="32"/>
        </w:rPr>
        <w:t>.债务付息支出决算为0万元，完成预算0%。</w:t>
      </w:r>
    </w:p>
    <w:p w14:paraId="2B7B48E9">
      <w:pPr>
        <w:spacing w:line="594" w:lineRule="exact"/>
        <w:ind w:firstLine="640" w:firstLineChars="200"/>
      </w:pPr>
      <w:r>
        <w:rPr>
          <w:rFonts w:hint="eastAsia" w:hAnsi="仿宋_GB2312" w:eastAsia="仿宋_GB2312"/>
          <w:sz w:val="32"/>
          <w:szCs w:val="32"/>
        </w:rPr>
        <w:t>26.</w:t>
      </w:r>
      <w:r>
        <w:rPr>
          <w:rFonts w:hint="eastAsia" w:eastAsia="仿宋_GB2312"/>
          <w:sz w:val="32"/>
          <w:szCs w:val="32"/>
        </w:rPr>
        <w:t>抗疫特别国债安排</w:t>
      </w:r>
      <w:r>
        <w:rPr>
          <w:rFonts w:hAnsi="仿宋_GB2312" w:eastAsia="仿宋_GB2312"/>
          <w:sz w:val="32"/>
          <w:szCs w:val="32"/>
        </w:rPr>
        <w:t>支出决算为</w:t>
      </w:r>
      <w:r>
        <w:rPr>
          <w:rFonts w:eastAsia="仿宋_GB2312"/>
          <w:sz w:val="32"/>
          <w:szCs w:val="32"/>
        </w:rPr>
        <w:t>0</w:t>
      </w:r>
      <w:r>
        <w:rPr>
          <w:rFonts w:hAnsi="仿宋_GB2312" w:eastAsia="仿宋_GB2312"/>
          <w:sz w:val="32"/>
          <w:szCs w:val="32"/>
        </w:rPr>
        <w:t>万元，完成预算</w:t>
      </w:r>
      <w:r>
        <w:rPr>
          <w:rFonts w:eastAsia="仿宋_GB2312"/>
          <w:sz w:val="32"/>
          <w:szCs w:val="32"/>
        </w:rPr>
        <w:t>0%</w:t>
      </w:r>
      <w:r>
        <w:rPr>
          <w:rFonts w:hAnsi="仿宋_GB2312" w:eastAsia="仿宋_GB2312"/>
          <w:sz w:val="32"/>
          <w:szCs w:val="32"/>
        </w:rPr>
        <w:t>。</w:t>
      </w:r>
    </w:p>
    <w:p w14:paraId="75EC30E8">
      <w:pPr>
        <w:tabs>
          <w:tab w:val="right" w:pos="8306"/>
        </w:tabs>
        <w:spacing w:line="600" w:lineRule="exact"/>
        <w:ind w:firstLine="640"/>
        <w:outlineLvl w:val="1"/>
        <w:rPr>
          <w:rStyle w:val="35"/>
          <w:rFonts w:ascii="Times New Roman" w:hAnsi="Times New Roman" w:cs="Times New Roman"/>
        </w:rPr>
      </w:pPr>
      <w:bookmarkStart w:id="75" w:name="_Toc54341270"/>
      <w:bookmarkStart w:id="76" w:name="_Toc54341341"/>
      <w:r>
        <w:rPr>
          <w:rFonts w:eastAsia="黑体"/>
          <w:b/>
          <w:bCs/>
          <w:color w:val="000000"/>
          <w:sz w:val="32"/>
          <w:szCs w:val="32"/>
        </w:rPr>
        <w:t>六、一</w:t>
      </w:r>
      <w:r>
        <w:rPr>
          <w:rStyle w:val="35"/>
          <w:rFonts w:ascii="Times New Roman" w:hAnsi="Times New Roman" w:eastAsia="黑体" w:cs="Times New Roman"/>
        </w:rPr>
        <w:t>般公共预算财政拨款基本支出决算情况说明</w:t>
      </w:r>
      <w:bookmarkEnd w:id="69"/>
      <w:bookmarkEnd w:id="70"/>
      <w:bookmarkEnd w:id="75"/>
      <w:bookmarkEnd w:id="76"/>
      <w:r>
        <w:rPr>
          <w:rStyle w:val="35"/>
          <w:rFonts w:ascii="Times New Roman" w:hAnsi="Times New Roman" w:eastAsia="黑体" w:cs="Times New Roman"/>
          <w:b w:val="0"/>
        </w:rPr>
        <w:tab/>
      </w:r>
    </w:p>
    <w:p w14:paraId="3AC0F0BA">
      <w:pPr>
        <w:spacing w:line="594" w:lineRule="exact"/>
        <w:ind w:firstLine="646"/>
        <w:rPr>
          <w:rFonts w:eastAsia="仿宋_GB2312"/>
          <w:color w:val="000000"/>
          <w:sz w:val="32"/>
          <w:szCs w:val="32"/>
        </w:rPr>
      </w:pP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年一般公共预算财政拨款基本支出</w:t>
      </w:r>
      <w:r>
        <w:rPr>
          <w:rFonts w:hint="eastAsia" w:eastAsia="仿宋_GB2312"/>
          <w:color w:val="000000"/>
          <w:sz w:val="32"/>
          <w:szCs w:val="32"/>
        </w:rPr>
        <w:t>315.06</w:t>
      </w:r>
      <w:r>
        <w:rPr>
          <w:rFonts w:eastAsia="仿宋_GB2312"/>
          <w:color w:val="000000"/>
          <w:sz w:val="32"/>
          <w:szCs w:val="32"/>
        </w:rPr>
        <w:t>万元，其中：</w:t>
      </w:r>
    </w:p>
    <w:p w14:paraId="2A31CCEF">
      <w:pPr>
        <w:spacing w:line="594" w:lineRule="exact"/>
        <w:ind w:firstLine="646"/>
        <w:rPr>
          <w:rFonts w:ascii="仿宋" w:hAnsi="仿宋" w:eastAsia="仿宋"/>
          <w:color w:val="000000"/>
          <w:sz w:val="32"/>
          <w:szCs w:val="32"/>
        </w:rPr>
      </w:pPr>
      <w:r>
        <w:rPr>
          <w:rFonts w:hint="eastAsia" w:ascii="仿宋" w:hAnsi="仿宋" w:eastAsia="仿宋"/>
          <w:color w:val="000000"/>
          <w:sz w:val="32"/>
          <w:szCs w:val="32"/>
        </w:rPr>
        <w:t>人员经费315.06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7EE00400">
      <w:pPr>
        <w:spacing w:line="594" w:lineRule="exact"/>
        <w:ind w:firstLine="646"/>
        <w:rPr>
          <w:rFonts w:ascii="仿宋" w:hAnsi="仿宋" w:eastAsia="仿宋"/>
          <w:color w:val="000000"/>
          <w:sz w:val="32"/>
          <w:szCs w:val="32"/>
        </w:rPr>
      </w:pPr>
      <w:r>
        <w:rPr>
          <w:rFonts w:hint="eastAsia" w:ascii="仿宋" w:hAnsi="仿宋" w:eastAsia="仿宋"/>
          <w:color w:val="000000"/>
          <w:sz w:val="32"/>
          <w:szCs w:val="32"/>
        </w:rPr>
        <w:t>日常公用经费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391CBE2">
      <w:pPr>
        <w:spacing w:line="600" w:lineRule="exact"/>
        <w:ind w:firstLine="640"/>
        <w:outlineLvl w:val="1"/>
        <w:rPr>
          <w:rStyle w:val="35"/>
          <w:rFonts w:ascii="黑体" w:hAnsi="黑体" w:eastAsia="黑体" w:cs="黑体"/>
          <w:b w:val="0"/>
          <w:bCs w:val="0"/>
        </w:rPr>
      </w:pPr>
      <w:bookmarkStart w:id="77" w:name="_Toc15377215"/>
      <w:bookmarkStart w:id="78" w:name="_Toc54341271"/>
      <w:bookmarkStart w:id="79" w:name="_Toc54341342"/>
      <w:bookmarkStart w:id="80" w:name="_Toc15396609"/>
      <w:r>
        <w:rPr>
          <w:rFonts w:hint="eastAsia" w:ascii="黑体" w:hAnsi="黑体" w:eastAsia="黑体" w:cs="黑体"/>
          <w:color w:val="000000"/>
          <w:sz w:val="32"/>
          <w:szCs w:val="32"/>
        </w:rPr>
        <w:t>七、</w:t>
      </w:r>
      <w:r>
        <w:rPr>
          <w:rStyle w:val="35"/>
          <w:rFonts w:hint="eastAsia" w:ascii="黑体" w:hAnsi="黑体" w:eastAsia="黑体" w:cs="黑体"/>
          <w:b w:val="0"/>
          <w:bCs w:val="0"/>
        </w:rPr>
        <w:t>“三公”经费财政拨款支出决算情况说明</w:t>
      </w:r>
      <w:bookmarkEnd w:id="77"/>
      <w:bookmarkEnd w:id="78"/>
      <w:bookmarkEnd w:id="79"/>
      <w:bookmarkEnd w:id="80"/>
    </w:p>
    <w:p w14:paraId="5B95D374">
      <w:pPr>
        <w:spacing w:line="600" w:lineRule="exact"/>
        <w:ind w:firstLine="640"/>
        <w:outlineLvl w:val="2"/>
        <w:rPr>
          <w:rFonts w:eastAsia="楷体_GB2312"/>
          <w:b/>
          <w:color w:val="000000"/>
          <w:sz w:val="32"/>
          <w:szCs w:val="32"/>
        </w:rPr>
      </w:pPr>
      <w:bookmarkStart w:id="81" w:name="_Toc15377216"/>
      <w:bookmarkStart w:id="82" w:name="_Toc54341343"/>
      <w:r>
        <w:rPr>
          <w:rFonts w:eastAsia="楷体_GB2312"/>
          <w:b/>
          <w:color w:val="000000"/>
          <w:sz w:val="32"/>
          <w:szCs w:val="32"/>
        </w:rPr>
        <w:t>（一）“三公”经费财政拨款支出决算总体情况说明</w:t>
      </w:r>
      <w:bookmarkEnd w:id="81"/>
      <w:bookmarkEnd w:id="82"/>
    </w:p>
    <w:p w14:paraId="6C062A19">
      <w:pPr>
        <w:spacing w:line="594" w:lineRule="exact"/>
        <w:ind w:firstLine="800" w:firstLineChars="250"/>
        <w:rPr>
          <w:rFonts w:eastAsia="仿宋_GB2312"/>
          <w:b/>
          <w:color w:val="FF0000"/>
          <w:sz w:val="32"/>
          <w:szCs w:val="32"/>
        </w:rPr>
      </w:pP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年“三公”经费财政拨款支出决算为</w:t>
      </w:r>
      <w:r>
        <w:rPr>
          <w:rFonts w:hint="eastAsia" w:eastAsia="仿宋_GB2312"/>
          <w:color w:val="000000"/>
          <w:sz w:val="32"/>
          <w:szCs w:val="32"/>
        </w:rPr>
        <w:t>0</w:t>
      </w:r>
      <w:r>
        <w:rPr>
          <w:rFonts w:eastAsia="仿宋_GB2312"/>
          <w:color w:val="000000"/>
          <w:sz w:val="32"/>
          <w:szCs w:val="32"/>
        </w:rPr>
        <w:t>万元，</w:t>
      </w:r>
      <w:r>
        <w:rPr>
          <w:rFonts w:hint="eastAsia" w:eastAsia="仿宋_GB2312"/>
          <w:color w:val="000000"/>
          <w:sz w:val="32"/>
          <w:szCs w:val="32"/>
        </w:rPr>
        <w:t>预算数为0万元。（单位无三公经费的财政补助收入）</w:t>
      </w:r>
    </w:p>
    <w:p w14:paraId="6AAAB169">
      <w:pPr>
        <w:spacing w:line="600" w:lineRule="exact"/>
        <w:ind w:firstLine="640"/>
        <w:outlineLvl w:val="2"/>
        <w:rPr>
          <w:rFonts w:eastAsia="楷体_GB2312"/>
          <w:b/>
          <w:color w:val="000000"/>
          <w:sz w:val="32"/>
          <w:szCs w:val="32"/>
        </w:rPr>
      </w:pPr>
      <w:bookmarkStart w:id="83" w:name="_Toc54341344"/>
      <w:bookmarkStart w:id="84" w:name="_Toc15377217"/>
      <w:r>
        <w:rPr>
          <w:rFonts w:eastAsia="楷体_GB2312"/>
          <w:b/>
          <w:color w:val="000000"/>
          <w:sz w:val="32"/>
          <w:szCs w:val="32"/>
        </w:rPr>
        <w:t>（二）“三公”经费财政拨款支出决算具体情况说明</w:t>
      </w:r>
      <w:bookmarkEnd w:id="83"/>
      <w:bookmarkEnd w:id="84"/>
      <w:r>
        <w:rPr>
          <w:rFonts w:hint="eastAsia" w:eastAsia="楷体_GB2312"/>
          <w:b/>
          <w:color w:val="000000"/>
          <w:sz w:val="32"/>
          <w:szCs w:val="32"/>
        </w:rPr>
        <w:t>（我单位无三公经费的财政补助收入）</w:t>
      </w:r>
    </w:p>
    <w:p w14:paraId="7F8C7FF4">
      <w:pPr>
        <w:spacing w:line="600" w:lineRule="exact"/>
        <w:ind w:firstLine="640"/>
        <w:rPr>
          <w:rFonts w:eastAsia="仿宋_GB2312"/>
          <w:color w:val="000000"/>
          <w:sz w:val="32"/>
          <w:szCs w:val="32"/>
        </w:rPr>
      </w:pP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年“三公”经费财政拨款支出决算中，因公出国（境）费支出决算0万元，占0%；公务用车购置及运行维护费支出决算</w:t>
      </w:r>
      <w:r>
        <w:rPr>
          <w:rFonts w:hint="eastAsia" w:eastAsia="仿宋_GB2312"/>
          <w:color w:val="000000"/>
          <w:sz w:val="32"/>
          <w:szCs w:val="32"/>
        </w:rPr>
        <w:t>0</w:t>
      </w:r>
      <w:r>
        <w:rPr>
          <w:rFonts w:eastAsia="仿宋_GB2312"/>
          <w:color w:val="000000"/>
          <w:sz w:val="32"/>
          <w:szCs w:val="32"/>
        </w:rPr>
        <w:t>万元，占</w:t>
      </w:r>
      <w:r>
        <w:rPr>
          <w:rFonts w:hint="eastAsia" w:eastAsia="仿宋_GB2312"/>
          <w:color w:val="000000"/>
          <w:sz w:val="32"/>
          <w:szCs w:val="32"/>
        </w:rPr>
        <w:t>0</w:t>
      </w:r>
      <w:r>
        <w:rPr>
          <w:rFonts w:eastAsia="仿宋_GB2312"/>
          <w:color w:val="000000"/>
          <w:sz w:val="32"/>
          <w:szCs w:val="32"/>
        </w:rPr>
        <w:t>%；公务接待费支出决算</w:t>
      </w:r>
      <w:r>
        <w:rPr>
          <w:rFonts w:hint="eastAsia" w:eastAsia="仿宋_GB2312"/>
          <w:color w:val="000000"/>
          <w:sz w:val="32"/>
          <w:szCs w:val="32"/>
        </w:rPr>
        <w:t>0</w:t>
      </w:r>
      <w:r>
        <w:rPr>
          <w:rFonts w:eastAsia="仿宋_GB2312"/>
          <w:color w:val="000000"/>
          <w:sz w:val="32"/>
          <w:szCs w:val="32"/>
        </w:rPr>
        <w:t>万元，占</w:t>
      </w:r>
      <w:r>
        <w:rPr>
          <w:rFonts w:hint="eastAsia" w:eastAsia="仿宋_GB2312"/>
          <w:color w:val="000000"/>
          <w:sz w:val="32"/>
          <w:szCs w:val="32"/>
        </w:rPr>
        <w:t>0</w:t>
      </w:r>
      <w:r>
        <w:rPr>
          <w:rFonts w:eastAsia="仿宋_GB2312"/>
          <w:color w:val="000000"/>
          <w:sz w:val="32"/>
          <w:szCs w:val="32"/>
        </w:rPr>
        <w:t>%。</w:t>
      </w:r>
    </w:p>
    <w:p w14:paraId="45CC3BAD">
      <w:pPr>
        <w:spacing w:line="600" w:lineRule="exact"/>
        <w:ind w:firstLine="643" w:firstLineChars="200"/>
        <w:rPr>
          <w:rFonts w:eastAsia="仿宋_GB2312"/>
          <w:color w:val="000000"/>
          <w:sz w:val="32"/>
          <w:szCs w:val="32"/>
        </w:rPr>
      </w:pPr>
      <w:r>
        <w:rPr>
          <w:rFonts w:eastAsia="仿宋_GB2312"/>
          <w:b/>
          <w:color w:val="000000"/>
          <w:sz w:val="32"/>
          <w:szCs w:val="32"/>
        </w:rPr>
        <w:t>1.因公出国（境）经费支出</w:t>
      </w:r>
      <w:r>
        <w:rPr>
          <w:rFonts w:eastAsia="仿宋_GB2312"/>
          <w:color w:val="000000"/>
          <w:sz w:val="32"/>
          <w:szCs w:val="32"/>
        </w:rPr>
        <w:t>0万元，</w:t>
      </w:r>
      <w:r>
        <w:rPr>
          <w:rStyle w:val="24"/>
          <w:rFonts w:eastAsia="仿宋_GB2312"/>
          <w:b w:val="0"/>
          <w:bCs/>
          <w:color w:val="000000"/>
          <w:sz w:val="32"/>
          <w:szCs w:val="32"/>
        </w:rPr>
        <w:t>完成预算0%。</w:t>
      </w:r>
      <w:r>
        <w:rPr>
          <w:rFonts w:eastAsia="仿宋_GB2312"/>
          <w:color w:val="000000"/>
          <w:sz w:val="32"/>
          <w:szCs w:val="32"/>
        </w:rPr>
        <w:t>全年安排因公出国（境）团组0次，出国（境）0人。</w:t>
      </w:r>
    </w:p>
    <w:p w14:paraId="4765B4A7">
      <w:pPr>
        <w:spacing w:line="600" w:lineRule="exact"/>
        <w:ind w:firstLine="640"/>
        <w:rPr>
          <w:rFonts w:eastAsia="仿宋_GB2312"/>
          <w:b/>
          <w:color w:val="000000"/>
          <w:sz w:val="32"/>
          <w:szCs w:val="32"/>
        </w:rPr>
      </w:pPr>
      <w:r>
        <w:rPr>
          <w:rFonts w:eastAsia="仿宋_GB2312"/>
          <w:b/>
          <w:color w:val="000000"/>
          <w:sz w:val="32"/>
          <w:szCs w:val="32"/>
        </w:rPr>
        <w:t>2.公务用车购置及运行维护费支出</w:t>
      </w:r>
      <w:r>
        <w:rPr>
          <w:rFonts w:hint="eastAsia" w:eastAsia="仿宋_GB2312"/>
          <w:bCs/>
          <w:color w:val="000000"/>
          <w:sz w:val="32"/>
          <w:szCs w:val="32"/>
        </w:rPr>
        <w:t>0</w:t>
      </w:r>
      <w:r>
        <w:rPr>
          <w:rFonts w:eastAsia="仿宋_GB2312"/>
          <w:color w:val="000000"/>
          <w:sz w:val="32"/>
          <w:szCs w:val="32"/>
        </w:rPr>
        <w:t>万元,</w:t>
      </w:r>
      <w:r>
        <w:rPr>
          <w:rStyle w:val="24"/>
          <w:rFonts w:eastAsia="仿宋_GB2312"/>
          <w:b w:val="0"/>
          <w:bCs/>
          <w:color w:val="000000"/>
          <w:sz w:val="32"/>
          <w:szCs w:val="32"/>
        </w:rPr>
        <w:t>完成预算</w:t>
      </w:r>
      <w:r>
        <w:rPr>
          <w:rStyle w:val="24"/>
          <w:rFonts w:hint="eastAsia" w:eastAsia="仿宋_GB2312"/>
          <w:b w:val="0"/>
          <w:bCs/>
          <w:color w:val="000000"/>
          <w:sz w:val="32"/>
          <w:szCs w:val="32"/>
        </w:rPr>
        <w:t>0</w:t>
      </w:r>
      <w:r>
        <w:rPr>
          <w:rStyle w:val="24"/>
          <w:rFonts w:eastAsia="仿宋_GB2312"/>
          <w:b w:val="0"/>
          <w:bCs/>
          <w:color w:val="000000"/>
          <w:sz w:val="32"/>
          <w:szCs w:val="32"/>
        </w:rPr>
        <w:t>%。</w:t>
      </w:r>
    </w:p>
    <w:p w14:paraId="5ECEC33F">
      <w:pPr>
        <w:spacing w:line="600" w:lineRule="exact"/>
        <w:ind w:firstLine="640" w:firstLineChars="200"/>
        <w:rPr>
          <w:rFonts w:eastAsia="仿宋_GB2312"/>
          <w:color w:val="000000"/>
          <w:sz w:val="32"/>
          <w:szCs w:val="32"/>
        </w:rPr>
      </w:pPr>
      <w:r>
        <w:rPr>
          <w:rFonts w:eastAsia="仿宋_GB2312"/>
          <w:color w:val="000000"/>
          <w:sz w:val="32"/>
          <w:szCs w:val="32"/>
        </w:rPr>
        <w:t>其中：</w:t>
      </w:r>
      <w:r>
        <w:rPr>
          <w:rFonts w:eastAsia="仿宋_GB2312"/>
          <w:b/>
          <w:color w:val="000000"/>
          <w:sz w:val="32"/>
          <w:szCs w:val="32"/>
        </w:rPr>
        <w:t>公务用车购置支出</w:t>
      </w:r>
      <w:r>
        <w:rPr>
          <w:rFonts w:eastAsia="仿宋_GB2312"/>
          <w:color w:val="000000"/>
          <w:sz w:val="32"/>
          <w:szCs w:val="32"/>
        </w:rPr>
        <w:t>0万元。</w:t>
      </w:r>
    </w:p>
    <w:p w14:paraId="2BC83A65">
      <w:pPr>
        <w:spacing w:line="600" w:lineRule="exact"/>
        <w:ind w:firstLine="640"/>
        <w:rPr>
          <w:rFonts w:eastAsia="仿宋_GB2312"/>
          <w:sz w:val="32"/>
          <w:szCs w:val="32"/>
        </w:rPr>
      </w:pPr>
      <w:r>
        <w:rPr>
          <w:rFonts w:eastAsia="仿宋_GB2312"/>
          <w:b/>
          <w:color w:val="000000"/>
          <w:sz w:val="32"/>
          <w:szCs w:val="32"/>
        </w:rPr>
        <w:t>公务用车运行维护费支出</w:t>
      </w:r>
      <w:r>
        <w:rPr>
          <w:rFonts w:hint="eastAsia" w:eastAsia="仿宋_GB2312"/>
          <w:color w:val="000000"/>
          <w:sz w:val="32"/>
          <w:szCs w:val="32"/>
        </w:rPr>
        <w:t>0</w:t>
      </w:r>
      <w:r>
        <w:rPr>
          <w:rFonts w:eastAsia="仿宋_GB2312"/>
          <w:color w:val="000000"/>
          <w:sz w:val="32"/>
          <w:szCs w:val="32"/>
        </w:rPr>
        <w:t>万元。</w:t>
      </w:r>
    </w:p>
    <w:p w14:paraId="1DCAE291">
      <w:pPr>
        <w:spacing w:line="600" w:lineRule="exact"/>
        <w:ind w:firstLine="640"/>
        <w:rPr>
          <w:rFonts w:eastAsia="仿宋_GB2312"/>
          <w:color w:val="000000"/>
          <w:sz w:val="32"/>
          <w:szCs w:val="32"/>
        </w:rPr>
      </w:pPr>
      <w:r>
        <w:rPr>
          <w:rFonts w:eastAsia="仿宋_GB2312"/>
          <w:b/>
          <w:color w:val="000000"/>
          <w:sz w:val="32"/>
          <w:szCs w:val="32"/>
        </w:rPr>
        <w:t>3.公务接待费支出</w:t>
      </w:r>
      <w:r>
        <w:rPr>
          <w:rFonts w:hint="eastAsia" w:eastAsia="仿宋_GB2312"/>
          <w:color w:val="000000"/>
          <w:sz w:val="32"/>
          <w:szCs w:val="32"/>
        </w:rPr>
        <w:t>0</w:t>
      </w:r>
      <w:r>
        <w:rPr>
          <w:rFonts w:eastAsia="仿宋_GB2312"/>
          <w:color w:val="000000"/>
          <w:sz w:val="32"/>
          <w:szCs w:val="32"/>
        </w:rPr>
        <w:t>万元，</w:t>
      </w:r>
      <w:r>
        <w:rPr>
          <w:rStyle w:val="24"/>
          <w:rFonts w:eastAsia="仿宋_GB2312"/>
          <w:b w:val="0"/>
          <w:bCs/>
          <w:color w:val="000000"/>
          <w:sz w:val="32"/>
          <w:szCs w:val="32"/>
        </w:rPr>
        <w:t>完成预算</w:t>
      </w:r>
      <w:r>
        <w:rPr>
          <w:rStyle w:val="24"/>
          <w:rFonts w:hint="eastAsia" w:eastAsia="仿宋_GB2312"/>
          <w:b w:val="0"/>
          <w:bCs/>
          <w:color w:val="000000"/>
          <w:sz w:val="32"/>
          <w:szCs w:val="32"/>
        </w:rPr>
        <w:t>0</w:t>
      </w:r>
      <w:r>
        <w:rPr>
          <w:rStyle w:val="24"/>
          <w:rFonts w:eastAsia="仿宋_GB2312"/>
          <w:b w:val="0"/>
          <w:bCs/>
          <w:color w:val="000000"/>
          <w:sz w:val="32"/>
          <w:szCs w:val="32"/>
        </w:rPr>
        <w:t>%。</w:t>
      </w:r>
    </w:p>
    <w:p w14:paraId="4B073F23">
      <w:pPr>
        <w:spacing w:line="600" w:lineRule="exact"/>
        <w:ind w:firstLine="640"/>
        <w:rPr>
          <w:rFonts w:eastAsia="仿宋_GB2312"/>
          <w:color w:val="000000"/>
          <w:sz w:val="32"/>
          <w:szCs w:val="32"/>
        </w:rPr>
      </w:pPr>
      <w:r>
        <w:rPr>
          <w:rFonts w:eastAsia="仿宋_GB2312"/>
          <w:b/>
          <w:color w:val="000000"/>
          <w:sz w:val="32"/>
          <w:szCs w:val="32"/>
        </w:rPr>
        <w:t>国内公务接待支出</w:t>
      </w:r>
      <w:r>
        <w:rPr>
          <w:rFonts w:hint="eastAsia" w:eastAsia="仿宋_GB2312"/>
          <w:color w:val="000000"/>
          <w:sz w:val="32"/>
          <w:szCs w:val="32"/>
        </w:rPr>
        <w:t>0</w:t>
      </w:r>
      <w:r>
        <w:rPr>
          <w:rFonts w:eastAsia="仿宋_GB2312"/>
          <w:color w:val="000000"/>
          <w:sz w:val="32"/>
          <w:szCs w:val="32"/>
        </w:rPr>
        <w:t>万元</w:t>
      </w:r>
      <w:r>
        <w:rPr>
          <w:rFonts w:hint="eastAsia" w:eastAsia="仿宋_GB2312"/>
          <w:color w:val="000000"/>
          <w:sz w:val="32"/>
          <w:szCs w:val="32"/>
        </w:rPr>
        <w:t>。</w:t>
      </w:r>
    </w:p>
    <w:p w14:paraId="58D0EED6">
      <w:pPr>
        <w:spacing w:line="600" w:lineRule="exact"/>
        <w:ind w:firstLine="643" w:firstLineChars="200"/>
        <w:rPr>
          <w:rFonts w:eastAsia="仿宋_GB2312"/>
          <w:color w:val="000000" w:themeColor="text1"/>
          <w:sz w:val="32"/>
          <w:szCs w:val="32"/>
        </w:rPr>
      </w:pPr>
      <w:r>
        <w:rPr>
          <w:rFonts w:eastAsia="仿宋_GB2312"/>
          <w:b/>
          <w:color w:val="000000"/>
          <w:sz w:val="32"/>
          <w:szCs w:val="32"/>
        </w:rPr>
        <w:t>外事接待支出</w:t>
      </w:r>
      <w:r>
        <w:rPr>
          <w:rFonts w:eastAsia="仿宋_GB2312"/>
          <w:color w:val="000000"/>
          <w:sz w:val="32"/>
          <w:szCs w:val="32"/>
        </w:rPr>
        <w:t>0万元</w:t>
      </w:r>
      <w:r>
        <w:rPr>
          <w:rFonts w:hint="eastAsia" w:eastAsia="仿宋_GB2312"/>
          <w:color w:val="000000" w:themeColor="text1"/>
          <w:sz w:val="32"/>
          <w:szCs w:val="32"/>
        </w:rPr>
        <w:t>。</w:t>
      </w:r>
    </w:p>
    <w:p w14:paraId="2267523E">
      <w:pPr>
        <w:spacing w:line="600" w:lineRule="exact"/>
        <w:ind w:firstLine="640"/>
        <w:outlineLvl w:val="1"/>
        <w:rPr>
          <w:rStyle w:val="35"/>
          <w:rFonts w:ascii="Times New Roman" w:hAnsi="Times New Roman" w:eastAsia="黑体" w:cs="Times New Roman"/>
          <w:b w:val="0"/>
          <w:bCs w:val="0"/>
        </w:rPr>
      </w:pPr>
      <w:bookmarkStart w:id="85" w:name="_Toc15377218"/>
      <w:bookmarkStart w:id="86" w:name="_Toc15396610"/>
      <w:bookmarkStart w:id="87" w:name="_Toc54341345"/>
      <w:bookmarkStart w:id="88" w:name="_Toc54341272"/>
      <w:r>
        <w:rPr>
          <w:rFonts w:eastAsia="黑体"/>
          <w:color w:val="000000"/>
          <w:sz w:val="32"/>
          <w:szCs w:val="32"/>
        </w:rPr>
        <w:t>八、</w:t>
      </w:r>
      <w:r>
        <w:rPr>
          <w:rStyle w:val="35"/>
          <w:rFonts w:ascii="Times New Roman" w:hAnsi="Times New Roman" w:eastAsia="黑体" w:cs="Times New Roman"/>
          <w:b w:val="0"/>
          <w:bCs w:val="0"/>
        </w:rPr>
        <w:t>政府性基金预算支出决算情况说明</w:t>
      </w:r>
      <w:bookmarkEnd w:id="85"/>
      <w:bookmarkEnd w:id="86"/>
      <w:bookmarkEnd w:id="87"/>
      <w:bookmarkEnd w:id="88"/>
    </w:p>
    <w:p w14:paraId="2691E3FC">
      <w:pPr>
        <w:spacing w:line="600" w:lineRule="exact"/>
        <w:ind w:firstLine="640"/>
        <w:rPr>
          <w:rFonts w:eastAsia="仿宋_GB2312"/>
          <w:color w:val="000000"/>
          <w:sz w:val="32"/>
          <w:szCs w:val="32"/>
        </w:rPr>
      </w:pP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年政府性基金预算拨款支出</w:t>
      </w:r>
      <w:r>
        <w:rPr>
          <w:rFonts w:hint="eastAsia" w:eastAsia="仿宋_GB2312"/>
          <w:color w:val="000000"/>
          <w:sz w:val="32"/>
          <w:szCs w:val="32"/>
        </w:rPr>
        <w:t>0</w:t>
      </w:r>
      <w:r>
        <w:rPr>
          <w:rFonts w:eastAsia="仿宋_GB2312"/>
          <w:color w:val="000000"/>
          <w:sz w:val="32"/>
          <w:szCs w:val="32"/>
        </w:rPr>
        <w:t>万元</w:t>
      </w:r>
      <w:r>
        <w:rPr>
          <w:rFonts w:hint="eastAsia" w:eastAsia="仿宋_GB2312"/>
          <w:color w:val="000000"/>
          <w:sz w:val="32"/>
          <w:szCs w:val="32"/>
        </w:rPr>
        <w:t>。</w:t>
      </w:r>
    </w:p>
    <w:p w14:paraId="0CC0602F">
      <w:pPr>
        <w:numPr>
          <w:ilvl w:val="0"/>
          <w:numId w:val="5"/>
        </w:numPr>
        <w:spacing w:line="600" w:lineRule="exact"/>
        <w:ind w:firstLine="640"/>
        <w:outlineLvl w:val="1"/>
        <w:rPr>
          <w:rStyle w:val="35"/>
          <w:rFonts w:ascii="Times New Roman" w:hAnsi="Times New Roman" w:eastAsia="黑体" w:cs="Times New Roman"/>
          <w:b w:val="0"/>
        </w:rPr>
      </w:pPr>
      <w:bookmarkStart w:id="89" w:name="_Toc15377219"/>
      <w:bookmarkStart w:id="90" w:name="_Toc54341346"/>
      <w:bookmarkStart w:id="91" w:name="_Toc15396611"/>
      <w:bookmarkStart w:id="92" w:name="_Toc54341273"/>
      <w:r>
        <w:rPr>
          <w:rStyle w:val="35"/>
          <w:rFonts w:ascii="Times New Roman" w:hAnsi="Times New Roman" w:eastAsia="黑体" w:cs="Times New Roman"/>
          <w:b w:val="0"/>
        </w:rPr>
        <w:t>国有资本经营预算支出决算情况说明</w:t>
      </w:r>
      <w:bookmarkEnd w:id="89"/>
      <w:bookmarkEnd w:id="90"/>
      <w:bookmarkEnd w:id="91"/>
      <w:bookmarkEnd w:id="92"/>
    </w:p>
    <w:p w14:paraId="485FC010">
      <w:pPr>
        <w:spacing w:line="600" w:lineRule="exact"/>
        <w:ind w:firstLine="640"/>
        <w:rPr>
          <w:rFonts w:eastAsia="仿宋_GB2312"/>
          <w:color w:val="000000"/>
          <w:sz w:val="32"/>
          <w:szCs w:val="32"/>
        </w:rPr>
      </w:pP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年国有资本经营预算拨款支出0万元。</w:t>
      </w:r>
    </w:p>
    <w:p w14:paraId="5AE9F7F2">
      <w:pPr>
        <w:spacing w:line="600" w:lineRule="exact"/>
        <w:ind w:firstLine="800" w:firstLineChars="250"/>
        <w:outlineLvl w:val="1"/>
        <w:rPr>
          <w:rStyle w:val="35"/>
          <w:rFonts w:ascii="Times New Roman" w:hAnsi="Times New Roman" w:eastAsia="黑体" w:cs="Times New Roman"/>
          <w:b w:val="0"/>
          <w:bCs w:val="0"/>
        </w:rPr>
      </w:pPr>
      <w:bookmarkStart w:id="93" w:name="_Toc54341274"/>
      <w:bookmarkStart w:id="94" w:name="_Toc15377221"/>
      <w:bookmarkStart w:id="95" w:name="_Toc54341347"/>
      <w:bookmarkStart w:id="96" w:name="_Toc15396612"/>
      <w:r>
        <w:rPr>
          <w:rFonts w:eastAsia="黑体"/>
          <w:color w:val="000000"/>
          <w:sz w:val="32"/>
          <w:szCs w:val="32"/>
        </w:rPr>
        <w:t>十</w:t>
      </w:r>
      <w:r>
        <w:rPr>
          <w:rStyle w:val="35"/>
          <w:rFonts w:ascii="Times New Roman" w:hAnsi="Times New Roman" w:eastAsia="黑体" w:cs="Times New Roman"/>
          <w:b w:val="0"/>
          <w:bCs w:val="0"/>
        </w:rPr>
        <w:t>、其他重要事项的情况说明</w:t>
      </w:r>
      <w:bookmarkEnd w:id="93"/>
      <w:bookmarkEnd w:id="94"/>
      <w:bookmarkEnd w:id="95"/>
      <w:bookmarkEnd w:id="96"/>
    </w:p>
    <w:p w14:paraId="4B234CF7">
      <w:pPr>
        <w:spacing w:line="600" w:lineRule="exact"/>
        <w:ind w:firstLine="643" w:firstLineChars="200"/>
        <w:outlineLvl w:val="2"/>
        <w:rPr>
          <w:rFonts w:eastAsia="楷体_GB2312"/>
          <w:b/>
          <w:color w:val="000000"/>
          <w:sz w:val="32"/>
          <w:szCs w:val="32"/>
        </w:rPr>
      </w:pPr>
      <w:bookmarkStart w:id="97" w:name="_Toc15377222"/>
      <w:bookmarkStart w:id="98" w:name="_Toc54341348"/>
      <w:r>
        <w:rPr>
          <w:rFonts w:eastAsia="楷体_GB2312"/>
          <w:b/>
          <w:color w:val="000000"/>
          <w:sz w:val="32"/>
          <w:szCs w:val="32"/>
        </w:rPr>
        <w:t>（一）机关运行经费支出情况</w:t>
      </w:r>
      <w:bookmarkEnd w:id="97"/>
      <w:bookmarkEnd w:id="98"/>
    </w:p>
    <w:p w14:paraId="25779996">
      <w:pPr>
        <w:spacing w:line="600" w:lineRule="exact"/>
        <w:ind w:firstLine="640" w:firstLineChars="200"/>
        <w:rPr>
          <w:rFonts w:eastAsia="仿宋_GB2312"/>
          <w:color w:val="000000" w:themeColor="text1"/>
          <w:sz w:val="32"/>
          <w:szCs w:val="32"/>
        </w:rPr>
      </w:pP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w:t>
      </w:r>
      <w:r>
        <w:rPr>
          <w:rFonts w:hint="eastAsia" w:eastAsia="仿宋_GB2312"/>
          <w:sz w:val="32"/>
          <w:szCs w:val="32"/>
        </w:rPr>
        <w:t>机关运行经费为0万元。</w:t>
      </w:r>
    </w:p>
    <w:p w14:paraId="17B08EAF">
      <w:pPr>
        <w:autoSpaceDE w:val="0"/>
        <w:autoSpaceDN w:val="0"/>
        <w:adjustRightInd w:val="0"/>
        <w:spacing w:line="600" w:lineRule="exact"/>
        <w:ind w:firstLine="643" w:firstLineChars="200"/>
        <w:jc w:val="left"/>
        <w:outlineLvl w:val="2"/>
        <w:rPr>
          <w:rFonts w:eastAsia="楷体_GB2312"/>
          <w:b/>
          <w:color w:val="000000"/>
          <w:sz w:val="32"/>
          <w:szCs w:val="32"/>
        </w:rPr>
      </w:pPr>
      <w:bookmarkStart w:id="99" w:name="_Toc54341349"/>
      <w:bookmarkStart w:id="100" w:name="_Toc15377223"/>
      <w:r>
        <w:rPr>
          <w:rFonts w:eastAsia="楷体_GB2312"/>
          <w:b/>
          <w:color w:val="000000"/>
          <w:sz w:val="32"/>
          <w:szCs w:val="32"/>
        </w:rPr>
        <w:t>（二）政府采购支出情况</w:t>
      </w:r>
      <w:bookmarkEnd w:id="99"/>
      <w:bookmarkEnd w:id="100"/>
    </w:p>
    <w:p w14:paraId="59607923">
      <w:pPr>
        <w:spacing w:line="594" w:lineRule="exact"/>
        <w:ind w:firstLine="640" w:firstLineChars="200"/>
        <w:rPr>
          <w:rFonts w:eastAsia="仿宋_GB2312"/>
          <w:color w:val="000000"/>
          <w:sz w:val="32"/>
          <w:szCs w:val="32"/>
        </w:rPr>
      </w:pP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年，政府采购支出总额</w:t>
      </w:r>
      <w:r>
        <w:rPr>
          <w:rFonts w:hint="eastAsia" w:eastAsia="仿宋_GB2312"/>
          <w:color w:val="000000"/>
          <w:sz w:val="32"/>
          <w:szCs w:val="32"/>
        </w:rPr>
        <w:t>150.61</w:t>
      </w:r>
      <w:r>
        <w:rPr>
          <w:rFonts w:eastAsia="仿宋_GB2312"/>
          <w:color w:val="000000"/>
          <w:sz w:val="32"/>
          <w:szCs w:val="32"/>
        </w:rPr>
        <w:t>万元，其中：政府采购货物支出</w:t>
      </w:r>
      <w:r>
        <w:rPr>
          <w:rFonts w:hint="eastAsia" w:eastAsia="仿宋_GB2312"/>
          <w:color w:val="000000"/>
          <w:sz w:val="32"/>
          <w:szCs w:val="32"/>
        </w:rPr>
        <w:t>39.11</w:t>
      </w:r>
      <w:r>
        <w:rPr>
          <w:rFonts w:eastAsia="仿宋_GB2312"/>
          <w:color w:val="000000"/>
          <w:sz w:val="32"/>
          <w:szCs w:val="32"/>
        </w:rPr>
        <w:t>万元、政府采购工程支出</w:t>
      </w:r>
      <w:r>
        <w:rPr>
          <w:rFonts w:hint="eastAsia" w:eastAsia="仿宋_GB2312"/>
          <w:color w:val="000000"/>
          <w:sz w:val="32"/>
          <w:szCs w:val="32"/>
        </w:rPr>
        <w:t>0</w:t>
      </w:r>
      <w:r>
        <w:rPr>
          <w:rFonts w:eastAsia="仿宋_GB2312"/>
          <w:color w:val="000000"/>
          <w:sz w:val="32"/>
          <w:szCs w:val="32"/>
        </w:rPr>
        <w:t>万元、政府采购服务支出</w:t>
      </w:r>
      <w:r>
        <w:rPr>
          <w:rFonts w:hint="eastAsia" w:eastAsia="仿宋_GB2312"/>
          <w:color w:val="000000"/>
          <w:sz w:val="32"/>
          <w:szCs w:val="32"/>
        </w:rPr>
        <w:t>111.50</w:t>
      </w:r>
      <w:r>
        <w:rPr>
          <w:rFonts w:eastAsia="仿宋_GB2312"/>
          <w:color w:val="000000"/>
          <w:sz w:val="32"/>
          <w:szCs w:val="32"/>
        </w:rPr>
        <w:t>万元。主要用于</w:t>
      </w:r>
      <w:r>
        <w:rPr>
          <w:rFonts w:eastAsia="仿宋_GB2312"/>
          <w:sz w:val="32"/>
          <w:szCs w:val="32"/>
        </w:rPr>
        <w:t>主要用于</w:t>
      </w:r>
      <w:r>
        <w:rPr>
          <w:rFonts w:eastAsia="仿宋_GB2312"/>
          <w:color w:val="000000"/>
          <w:sz w:val="32"/>
          <w:szCs w:val="32"/>
        </w:rPr>
        <w:t>办公设备、医疗设备、信息化建设等方面的采购。授予中小企业合同金额0万元，占政府采购支出总额的0%，其中：授予小微企业合同金额0万元，占政府采购支出总额的0%。</w:t>
      </w:r>
    </w:p>
    <w:p w14:paraId="40C1822B">
      <w:pPr>
        <w:autoSpaceDE w:val="0"/>
        <w:autoSpaceDN w:val="0"/>
        <w:adjustRightInd w:val="0"/>
        <w:spacing w:line="600" w:lineRule="exact"/>
        <w:ind w:firstLine="643" w:firstLineChars="200"/>
        <w:jc w:val="left"/>
        <w:outlineLvl w:val="2"/>
        <w:rPr>
          <w:rFonts w:eastAsia="楷体_GB2312"/>
          <w:b/>
          <w:color w:val="000000"/>
          <w:sz w:val="32"/>
          <w:szCs w:val="32"/>
        </w:rPr>
      </w:pPr>
      <w:bookmarkStart w:id="101" w:name="_Toc15377224"/>
      <w:bookmarkStart w:id="102" w:name="_Toc54341350"/>
      <w:r>
        <w:rPr>
          <w:rFonts w:eastAsia="楷体_GB2312"/>
          <w:b/>
          <w:color w:val="000000"/>
          <w:sz w:val="32"/>
          <w:szCs w:val="32"/>
        </w:rPr>
        <w:t>（三）国有资产占有使用情况</w:t>
      </w:r>
      <w:bookmarkEnd w:id="101"/>
      <w:bookmarkEnd w:id="102"/>
    </w:p>
    <w:p w14:paraId="07612AA1">
      <w:pPr>
        <w:autoSpaceDE w:val="0"/>
        <w:autoSpaceDN w:val="0"/>
        <w:adjustRightInd w:val="0"/>
        <w:spacing w:line="600" w:lineRule="exact"/>
        <w:ind w:firstLine="640" w:firstLineChars="200"/>
        <w:jc w:val="left"/>
        <w:rPr>
          <w:rFonts w:eastAsia="仿宋"/>
          <w:b/>
          <w:color w:val="FF0000"/>
          <w:sz w:val="32"/>
          <w:szCs w:val="32"/>
        </w:rPr>
      </w:pPr>
      <w:r>
        <w:rPr>
          <w:rFonts w:eastAsia="仿宋_GB2312"/>
          <w:color w:val="000000"/>
          <w:sz w:val="32"/>
          <w:szCs w:val="32"/>
        </w:rPr>
        <w:t>截至20</w:t>
      </w:r>
      <w:r>
        <w:rPr>
          <w:rFonts w:hint="eastAsia" w:eastAsia="仿宋_GB2312"/>
          <w:color w:val="000000"/>
          <w:sz w:val="32"/>
          <w:szCs w:val="32"/>
        </w:rPr>
        <w:t>20</w:t>
      </w:r>
      <w:r>
        <w:rPr>
          <w:rFonts w:eastAsia="仿宋_GB2312"/>
          <w:color w:val="000000"/>
          <w:sz w:val="32"/>
          <w:szCs w:val="32"/>
        </w:rPr>
        <w:t>年12月31日，共有车辆</w:t>
      </w:r>
      <w:r>
        <w:rPr>
          <w:rFonts w:hint="eastAsia" w:eastAsia="仿宋_GB2312"/>
          <w:color w:val="000000"/>
          <w:sz w:val="32"/>
          <w:szCs w:val="32"/>
        </w:rPr>
        <w:t>2</w:t>
      </w:r>
      <w:r>
        <w:rPr>
          <w:rFonts w:eastAsia="仿宋_GB2312"/>
          <w:color w:val="000000"/>
          <w:sz w:val="32"/>
          <w:szCs w:val="32"/>
        </w:rPr>
        <w:t>辆，</w:t>
      </w:r>
      <w:r>
        <w:rPr>
          <w:rFonts w:hint="eastAsia" w:eastAsia="仿宋_GB2312"/>
          <w:color w:val="000000"/>
          <w:sz w:val="32"/>
          <w:szCs w:val="32"/>
        </w:rPr>
        <w:t>全部用于医疗救护使用</w:t>
      </w:r>
      <w:r>
        <w:rPr>
          <w:rFonts w:hint="eastAsia" w:eastAsia="仿宋_GB2312"/>
          <w:sz w:val="32"/>
          <w:szCs w:val="32"/>
        </w:rPr>
        <w:t>。</w:t>
      </w:r>
      <w:r>
        <w:rPr>
          <w:rFonts w:eastAsia="仿宋_GB2312"/>
          <w:color w:val="000000" w:themeColor="text1"/>
          <w:sz w:val="32"/>
          <w:szCs w:val="32"/>
        </w:rPr>
        <w:t>单价50万元以上通用设备</w:t>
      </w:r>
      <w:r>
        <w:rPr>
          <w:rFonts w:hint="eastAsia" w:eastAsia="仿宋_GB2312"/>
          <w:color w:val="000000" w:themeColor="text1"/>
          <w:sz w:val="32"/>
          <w:szCs w:val="32"/>
        </w:rPr>
        <w:t>3</w:t>
      </w:r>
      <w:r>
        <w:rPr>
          <w:rFonts w:eastAsia="仿宋_GB2312"/>
          <w:color w:val="000000" w:themeColor="text1"/>
          <w:sz w:val="32"/>
          <w:szCs w:val="32"/>
        </w:rPr>
        <w:t>台（套），单价100</w:t>
      </w:r>
      <w:r>
        <w:rPr>
          <w:rFonts w:eastAsia="仿宋_GB2312"/>
          <w:color w:val="000000"/>
          <w:sz w:val="32"/>
          <w:szCs w:val="32"/>
        </w:rPr>
        <w:t>万元以上专用设备</w:t>
      </w:r>
      <w:r>
        <w:rPr>
          <w:rFonts w:hint="eastAsia" w:eastAsia="仿宋_GB2312"/>
          <w:color w:val="000000"/>
          <w:sz w:val="32"/>
          <w:szCs w:val="32"/>
        </w:rPr>
        <w:t>2</w:t>
      </w:r>
      <w:r>
        <w:rPr>
          <w:rFonts w:eastAsia="仿宋_GB2312"/>
          <w:color w:val="000000"/>
          <w:sz w:val="32"/>
          <w:szCs w:val="32"/>
        </w:rPr>
        <w:t>台（套）。</w:t>
      </w:r>
    </w:p>
    <w:p w14:paraId="0C4DB914">
      <w:pPr>
        <w:autoSpaceDE w:val="0"/>
        <w:autoSpaceDN w:val="0"/>
        <w:adjustRightInd w:val="0"/>
        <w:spacing w:line="600" w:lineRule="exact"/>
        <w:ind w:firstLine="643" w:firstLineChars="200"/>
        <w:jc w:val="left"/>
        <w:outlineLvl w:val="2"/>
        <w:rPr>
          <w:rFonts w:eastAsia="仿宋"/>
          <w:b/>
          <w:color w:val="000000"/>
          <w:sz w:val="32"/>
          <w:szCs w:val="32"/>
        </w:rPr>
      </w:pPr>
      <w:bookmarkStart w:id="103" w:name="_Toc54341351"/>
      <w:r>
        <w:rPr>
          <w:rFonts w:eastAsia="楷体_GB2312"/>
          <w:b/>
          <w:color w:val="000000"/>
          <w:sz w:val="32"/>
          <w:szCs w:val="32"/>
        </w:rPr>
        <w:t>（四）预算绩效管理情况</w:t>
      </w:r>
      <w:bookmarkEnd w:id="103"/>
    </w:p>
    <w:p w14:paraId="3B9D5EB5">
      <w:pPr>
        <w:spacing w:line="594" w:lineRule="exact"/>
        <w:ind w:firstLine="640" w:firstLineChars="200"/>
        <w:rPr>
          <w:rFonts w:eastAsia="仿宋_GB2312"/>
          <w:sz w:val="32"/>
          <w:szCs w:val="32"/>
        </w:rPr>
      </w:pPr>
      <w:r>
        <w:rPr>
          <w:rFonts w:eastAsia="仿宋_GB2312"/>
          <w:sz w:val="32"/>
          <w:szCs w:val="32"/>
        </w:rPr>
        <w:t>根据预算绩效管理要求，本部门在年初预算编制阶段，组织对取消药品加成</w:t>
      </w:r>
      <w:r>
        <w:rPr>
          <w:rFonts w:hint="eastAsia" w:eastAsia="仿宋_GB2312"/>
          <w:sz w:val="32"/>
          <w:szCs w:val="32"/>
        </w:rPr>
        <w:t>（县级）</w:t>
      </w:r>
      <w:r>
        <w:rPr>
          <w:rFonts w:eastAsia="仿宋_GB2312"/>
          <w:sz w:val="32"/>
          <w:szCs w:val="32"/>
        </w:rPr>
        <w:t>、</w:t>
      </w:r>
      <w:r>
        <w:rPr>
          <w:rFonts w:hint="eastAsia" w:eastAsia="仿宋_GB2312"/>
          <w:sz w:val="32"/>
          <w:szCs w:val="32"/>
        </w:rPr>
        <w:t>从业人员健康检查2</w:t>
      </w:r>
      <w:r>
        <w:rPr>
          <w:rFonts w:eastAsia="仿宋_GB2312"/>
          <w:sz w:val="32"/>
          <w:szCs w:val="32"/>
        </w:rPr>
        <w:t>个项目开展了预算事前绩效评估，对</w:t>
      </w:r>
      <w:r>
        <w:rPr>
          <w:rFonts w:hint="eastAsia" w:eastAsia="仿宋_GB2312"/>
          <w:sz w:val="32"/>
          <w:szCs w:val="32"/>
        </w:rPr>
        <w:t>5</w:t>
      </w:r>
      <w:r>
        <w:rPr>
          <w:rFonts w:eastAsia="仿宋_GB2312"/>
          <w:sz w:val="32"/>
          <w:szCs w:val="32"/>
        </w:rPr>
        <w:t>个项目编制了绩效目标，预算执行过程中，选取</w:t>
      </w:r>
      <w:r>
        <w:rPr>
          <w:rFonts w:hint="eastAsia" w:eastAsia="仿宋_GB2312"/>
          <w:sz w:val="32"/>
          <w:szCs w:val="32"/>
        </w:rPr>
        <w:t>2</w:t>
      </w:r>
      <w:r>
        <w:rPr>
          <w:rFonts w:eastAsia="仿宋_GB2312"/>
          <w:sz w:val="32"/>
          <w:szCs w:val="32"/>
        </w:rPr>
        <w:t>个项目开展绩效监控，年终执行完毕后，对5个项目开展了绩效目标完成情况自评。</w:t>
      </w:r>
    </w:p>
    <w:p w14:paraId="29ACD3D0">
      <w:pPr>
        <w:spacing w:line="594" w:lineRule="exact"/>
        <w:ind w:firstLine="640" w:firstLineChars="200"/>
        <w:rPr>
          <w:rFonts w:eastAsia="仿宋_GB2312"/>
          <w:sz w:val="32"/>
          <w:szCs w:val="32"/>
        </w:rPr>
      </w:pPr>
      <w:r>
        <w:rPr>
          <w:rFonts w:eastAsia="仿宋_GB2312"/>
          <w:sz w:val="32"/>
          <w:szCs w:val="32"/>
        </w:rPr>
        <w:t>本</w:t>
      </w:r>
      <w:r>
        <w:rPr>
          <w:rFonts w:hint="eastAsia" w:eastAsia="仿宋_GB2312"/>
          <w:sz w:val="32"/>
          <w:szCs w:val="32"/>
        </w:rPr>
        <w:t>单位</w:t>
      </w:r>
      <w:r>
        <w:rPr>
          <w:rFonts w:eastAsia="仿宋_GB2312"/>
          <w:sz w:val="32"/>
          <w:szCs w:val="32"/>
        </w:rPr>
        <w:t>按要求对20</w:t>
      </w:r>
      <w:r>
        <w:rPr>
          <w:rFonts w:hint="eastAsia" w:eastAsia="仿宋_GB2312"/>
          <w:sz w:val="32"/>
          <w:szCs w:val="32"/>
        </w:rPr>
        <w:t>20</w:t>
      </w:r>
      <w:r>
        <w:rPr>
          <w:rFonts w:eastAsia="仿宋_GB2312"/>
          <w:sz w:val="32"/>
          <w:szCs w:val="32"/>
        </w:rPr>
        <w:t>年</w:t>
      </w:r>
      <w:r>
        <w:rPr>
          <w:rFonts w:hint="eastAsia" w:eastAsia="仿宋_GB2312"/>
          <w:sz w:val="32"/>
          <w:szCs w:val="32"/>
        </w:rPr>
        <w:t>单位</w:t>
      </w:r>
      <w:r>
        <w:rPr>
          <w:rFonts w:eastAsia="仿宋_GB2312"/>
          <w:sz w:val="32"/>
          <w:szCs w:val="32"/>
        </w:rPr>
        <w:t>整体支出开展绩效自评，从评价情况来看，财政资金做到按预算执行、按进度拨付、专款专用</w:t>
      </w:r>
      <w:r>
        <w:rPr>
          <w:rFonts w:hint="eastAsia" w:eastAsia="仿宋_GB2312"/>
          <w:sz w:val="32"/>
          <w:szCs w:val="32"/>
        </w:rPr>
        <w:t>。</w:t>
      </w:r>
      <w:r>
        <w:rPr>
          <w:rFonts w:eastAsia="仿宋_GB2312"/>
          <w:sz w:val="32"/>
          <w:szCs w:val="32"/>
        </w:rPr>
        <w:t>本</w:t>
      </w:r>
      <w:r>
        <w:rPr>
          <w:rFonts w:hint="eastAsia" w:eastAsia="仿宋_GB2312"/>
          <w:sz w:val="32"/>
          <w:szCs w:val="32"/>
        </w:rPr>
        <w:t>单位</w:t>
      </w:r>
      <w:r>
        <w:rPr>
          <w:rFonts w:eastAsia="仿宋_GB2312"/>
          <w:sz w:val="32"/>
          <w:szCs w:val="32"/>
        </w:rPr>
        <w:t>还自行组织了5个项目支出绩效评价，从评价情况来看，财政项目支出做到支出有方案、资金按进度拨付，专款专用，圆满完成年初项目目标绩效任务。</w:t>
      </w:r>
    </w:p>
    <w:p w14:paraId="6CA0C8C4">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1.项目绩效目标完成情况。</w:t>
      </w:r>
    </w:p>
    <w:p w14:paraId="119749F8">
      <w:pPr>
        <w:spacing w:line="594"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取消药品加成补助（县级）专项资金</w:t>
      </w:r>
      <w:r>
        <w:rPr>
          <w:rFonts w:eastAsia="仿宋_GB2312"/>
          <w:sz w:val="32"/>
          <w:szCs w:val="32"/>
        </w:rPr>
        <w:t>。项目全年预算数</w:t>
      </w:r>
      <w:r>
        <w:rPr>
          <w:rFonts w:hint="eastAsia" w:eastAsia="仿宋_GB2312"/>
          <w:sz w:val="32"/>
          <w:szCs w:val="32"/>
        </w:rPr>
        <w:t>22.27</w:t>
      </w:r>
      <w:r>
        <w:rPr>
          <w:rFonts w:eastAsia="仿宋_GB2312"/>
          <w:sz w:val="32"/>
          <w:szCs w:val="32"/>
        </w:rPr>
        <w:t>万元，执行数为</w:t>
      </w:r>
      <w:r>
        <w:rPr>
          <w:rFonts w:hint="eastAsia" w:eastAsia="仿宋_GB2312"/>
          <w:sz w:val="32"/>
          <w:szCs w:val="32"/>
        </w:rPr>
        <w:t>22.27</w:t>
      </w:r>
      <w:r>
        <w:rPr>
          <w:rFonts w:eastAsia="仿宋_GB2312"/>
          <w:sz w:val="32"/>
          <w:szCs w:val="32"/>
        </w:rPr>
        <w:t>万元，完成预算的100%。</w:t>
      </w:r>
    </w:p>
    <w:p w14:paraId="5F5BAA33">
      <w:pPr>
        <w:spacing w:line="594"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2020年省级财政专项资金（对口支援）</w:t>
      </w:r>
      <w:r>
        <w:rPr>
          <w:rFonts w:eastAsia="仿宋_GB2312"/>
          <w:sz w:val="32"/>
          <w:szCs w:val="32"/>
        </w:rPr>
        <w:t>。项目全年预算数</w:t>
      </w:r>
      <w:r>
        <w:rPr>
          <w:rFonts w:hint="eastAsia" w:eastAsia="仿宋_GB2312"/>
          <w:sz w:val="32"/>
          <w:szCs w:val="32"/>
        </w:rPr>
        <w:t>4.8</w:t>
      </w:r>
      <w:r>
        <w:rPr>
          <w:rFonts w:eastAsia="仿宋_GB2312"/>
          <w:sz w:val="32"/>
          <w:szCs w:val="32"/>
        </w:rPr>
        <w:t>万元，执行数为</w:t>
      </w:r>
      <w:r>
        <w:rPr>
          <w:rFonts w:hint="eastAsia" w:eastAsia="仿宋_GB2312"/>
          <w:sz w:val="32"/>
          <w:szCs w:val="32"/>
        </w:rPr>
        <w:t>4.8</w:t>
      </w:r>
      <w:r>
        <w:rPr>
          <w:rFonts w:eastAsia="仿宋_GB2312"/>
          <w:sz w:val="32"/>
          <w:szCs w:val="32"/>
        </w:rPr>
        <w:t>万元，完成预算的100%。</w:t>
      </w:r>
      <w:r>
        <w:rPr>
          <w:rFonts w:hint="eastAsia" w:eastAsia="仿宋_GB2312"/>
          <w:sz w:val="32"/>
          <w:szCs w:val="32"/>
        </w:rPr>
        <w:t>分别支付给援藏人员罗颖（支援若尔盖唐克中心卫生院）2.40万元、援藏人员陈良（支援若尔盖纳木中心卫生院）2.40万元，很好的保障了援藏人员的各种福利待遇，促进了援藏任务的顺利实施。</w:t>
      </w:r>
    </w:p>
    <w:p w14:paraId="3EA8CE01">
      <w:pPr>
        <w:spacing w:line="594"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w:t>
      </w:r>
      <w:r>
        <w:rPr>
          <w:rFonts w:hint="eastAsia" w:eastAsia="仿宋_GB2312"/>
          <w:sz w:val="32"/>
          <w:szCs w:val="32"/>
        </w:rPr>
        <w:t>取消药品加成补助（省级）专项资金</w:t>
      </w:r>
      <w:r>
        <w:rPr>
          <w:rFonts w:eastAsia="仿宋_GB2312"/>
          <w:sz w:val="32"/>
          <w:szCs w:val="32"/>
        </w:rPr>
        <w:t>。项目全年预算数</w:t>
      </w:r>
      <w:r>
        <w:rPr>
          <w:rFonts w:hint="eastAsia" w:eastAsia="仿宋_GB2312"/>
          <w:sz w:val="32"/>
          <w:szCs w:val="32"/>
        </w:rPr>
        <w:t>12.00</w:t>
      </w:r>
      <w:r>
        <w:rPr>
          <w:rFonts w:eastAsia="仿宋_GB2312"/>
          <w:sz w:val="32"/>
          <w:szCs w:val="32"/>
        </w:rPr>
        <w:t>万元，执行数为</w:t>
      </w:r>
      <w:r>
        <w:rPr>
          <w:rFonts w:hint="eastAsia" w:eastAsia="仿宋_GB2312"/>
          <w:sz w:val="32"/>
          <w:szCs w:val="32"/>
        </w:rPr>
        <w:t>12.00</w:t>
      </w:r>
      <w:r>
        <w:rPr>
          <w:rFonts w:eastAsia="仿宋_GB2312"/>
          <w:sz w:val="32"/>
          <w:szCs w:val="32"/>
        </w:rPr>
        <w:t>万元，完成预算的100%。</w:t>
      </w:r>
    </w:p>
    <w:p w14:paraId="274488BB">
      <w:pPr>
        <w:spacing w:line="594" w:lineRule="exact"/>
        <w:ind w:firstLine="640" w:firstLineChars="200"/>
        <w:rPr>
          <w:rFonts w:eastAsia="仿宋_GB2312"/>
          <w:sz w:val="32"/>
          <w:szCs w:val="32"/>
        </w:rPr>
      </w:pPr>
      <w:r>
        <w:rPr>
          <w:rFonts w:hint="eastAsia" w:eastAsia="仿宋_GB2312"/>
          <w:sz w:val="32"/>
          <w:szCs w:val="32"/>
        </w:rPr>
        <w:t>（4）万名骨干人才培养（肖丽）专项资金。项目全年预算数3.00万元，执行数为3.00万元，完成预算的100%。</w:t>
      </w:r>
    </w:p>
    <w:p w14:paraId="74AED732">
      <w:pPr>
        <w:spacing w:line="594" w:lineRule="exact"/>
        <w:ind w:firstLine="640" w:firstLineChars="200"/>
        <w:rPr>
          <w:rFonts w:eastAsia="仿宋_GB2312"/>
          <w:sz w:val="32"/>
          <w:szCs w:val="32"/>
        </w:rPr>
      </w:pPr>
      <w:r>
        <w:rPr>
          <w:rFonts w:hint="eastAsia" w:eastAsia="仿宋_GB2312"/>
          <w:sz w:val="32"/>
          <w:szCs w:val="32"/>
        </w:rPr>
        <w:t>（5）中医药传承与创新平台建设（李金隆）专项资金。项目全年预算数3.30万元，执行数3.30万元，完成预算的100%。</w:t>
      </w:r>
    </w:p>
    <w:p w14:paraId="1AEEE020">
      <w:pPr>
        <w:spacing w:line="580" w:lineRule="exact"/>
        <w:ind w:firstLine="480" w:firstLineChars="150"/>
        <w:rPr>
          <w:rFonts w:eastAsia="仿宋_GB2312"/>
          <w:sz w:val="32"/>
          <w:szCs w:val="32"/>
        </w:rPr>
      </w:pPr>
    </w:p>
    <w:p w14:paraId="7ECBF44C">
      <w:pPr>
        <w:spacing w:line="580" w:lineRule="exact"/>
        <w:ind w:firstLine="480" w:firstLineChars="150"/>
        <w:rPr>
          <w:rFonts w:eastAsia="仿宋_GB2312"/>
          <w:sz w:val="32"/>
          <w:szCs w:val="32"/>
        </w:rPr>
      </w:pPr>
    </w:p>
    <w:p w14:paraId="6319E30E">
      <w:pPr>
        <w:spacing w:line="580" w:lineRule="exact"/>
        <w:ind w:firstLine="480" w:firstLineChars="150"/>
        <w:rPr>
          <w:rFonts w:eastAsia="仿宋_GB2312"/>
          <w:sz w:val="32"/>
          <w:szCs w:val="32"/>
        </w:rPr>
      </w:pPr>
    </w:p>
    <w:p w14:paraId="1F66E562">
      <w:pPr>
        <w:spacing w:line="580" w:lineRule="exact"/>
        <w:ind w:firstLine="480" w:firstLineChars="150"/>
        <w:rPr>
          <w:rFonts w:eastAsia="仿宋_GB2312"/>
          <w:sz w:val="32"/>
          <w:szCs w:val="32"/>
        </w:rPr>
      </w:pPr>
    </w:p>
    <w:p w14:paraId="322323DE">
      <w:pPr>
        <w:spacing w:line="580" w:lineRule="exact"/>
        <w:ind w:firstLine="480" w:firstLineChars="150"/>
        <w:rPr>
          <w:rFonts w:eastAsia="仿宋_GB2312"/>
          <w:sz w:val="32"/>
          <w:szCs w:val="32"/>
        </w:rPr>
      </w:pPr>
    </w:p>
    <w:p w14:paraId="720BB3E4">
      <w:pPr>
        <w:spacing w:line="580" w:lineRule="exact"/>
        <w:ind w:firstLine="480" w:firstLineChars="150"/>
        <w:rPr>
          <w:rFonts w:eastAsia="仿宋_GB2312"/>
          <w:sz w:val="32"/>
          <w:szCs w:val="32"/>
        </w:rPr>
      </w:pPr>
    </w:p>
    <w:p w14:paraId="18486E94">
      <w:pPr>
        <w:spacing w:line="240" w:lineRule="exact"/>
        <w:rPr>
          <w:rFonts w:eastAsia="仿宋_GB2312"/>
          <w:sz w:val="32"/>
          <w:szCs w:val="32"/>
        </w:rPr>
      </w:pPr>
    </w:p>
    <w:tbl>
      <w:tblPr>
        <w:tblStyle w:val="22"/>
        <w:tblW w:w="9000" w:type="dxa"/>
        <w:tblInd w:w="93" w:type="dxa"/>
        <w:tblLayout w:type="autofit"/>
        <w:tblCellMar>
          <w:top w:w="0" w:type="dxa"/>
          <w:left w:w="108" w:type="dxa"/>
          <w:bottom w:w="0" w:type="dxa"/>
          <w:right w:w="108" w:type="dxa"/>
        </w:tblCellMar>
      </w:tblPr>
      <w:tblGrid>
        <w:gridCol w:w="1060"/>
        <w:gridCol w:w="1520"/>
        <w:gridCol w:w="1800"/>
        <w:gridCol w:w="2060"/>
        <w:gridCol w:w="2560"/>
      </w:tblGrid>
      <w:tr w14:paraId="33751100">
        <w:tblPrEx>
          <w:tblCellMar>
            <w:top w:w="0" w:type="dxa"/>
            <w:left w:w="108" w:type="dxa"/>
            <w:bottom w:w="0" w:type="dxa"/>
            <w:right w:w="108" w:type="dxa"/>
          </w:tblCellMar>
        </w:tblPrEx>
        <w:trPr>
          <w:trHeight w:val="510" w:hRule="atLeast"/>
        </w:trPr>
        <w:tc>
          <w:tcPr>
            <w:tcW w:w="9000" w:type="dxa"/>
            <w:gridSpan w:val="5"/>
            <w:tcBorders>
              <w:top w:val="nil"/>
              <w:left w:val="nil"/>
              <w:bottom w:val="nil"/>
              <w:right w:val="nil"/>
            </w:tcBorders>
            <w:shd w:val="clear" w:color="auto" w:fill="auto"/>
            <w:vAlign w:val="center"/>
          </w:tcPr>
          <w:p w14:paraId="5AA22207">
            <w:pPr>
              <w:widowControl/>
              <w:jc w:val="center"/>
              <w:rPr>
                <w:rFonts w:ascii="宋体" w:hAnsi="宋体" w:cs="宋体"/>
                <w:b/>
                <w:bCs/>
                <w:kern w:val="0"/>
                <w:sz w:val="40"/>
                <w:szCs w:val="40"/>
              </w:rPr>
            </w:pPr>
            <w:r>
              <w:rPr>
                <w:rFonts w:hint="eastAsia" w:ascii="方正小标宋简体" w:hAnsi="方正小标宋简体" w:eastAsia="方正小标宋简体" w:cs="方正小标宋简体"/>
                <w:b/>
                <w:bCs/>
                <w:kern w:val="0"/>
                <w:sz w:val="44"/>
                <w:szCs w:val="44"/>
              </w:rPr>
              <w:t>2020年度项目绩效目标申报表</w:t>
            </w:r>
          </w:p>
        </w:tc>
      </w:tr>
      <w:tr w14:paraId="709B9BAF">
        <w:tblPrEx>
          <w:tblCellMar>
            <w:top w:w="0" w:type="dxa"/>
            <w:left w:w="108" w:type="dxa"/>
            <w:bottom w:w="0" w:type="dxa"/>
            <w:right w:w="108" w:type="dxa"/>
          </w:tblCellMar>
        </w:tblPrEx>
        <w:trPr>
          <w:trHeight w:val="375" w:hRule="atLeast"/>
        </w:trPr>
        <w:tc>
          <w:tcPr>
            <w:tcW w:w="9000" w:type="dxa"/>
            <w:gridSpan w:val="5"/>
            <w:tcBorders>
              <w:top w:val="nil"/>
              <w:left w:val="nil"/>
              <w:bottom w:val="nil"/>
              <w:right w:val="nil"/>
            </w:tcBorders>
            <w:shd w:val="clear" w:color="auto" w:fill="auto"/>
            <w:noWrap/>
            <w:vAlign w:val="center"/>
          </w:tcPr>
          <w:p w14:paraId="791DE6AE">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r>
      <w:tr w14:paraId="5D8355EC">
        <w:tblPrEx>
          <w:tblCellMar>
            <w:top w:w="0" w:type="dxa"/>
            <w:left w:w="108" w:type="dxa"/>
            <w:bottom w:w="0" w:type="dxa"/>
            <w:right w:w="108" w:type="dxa"/>
          </w:tblCellMar>
        </w:tblPrEx>
        <w:trPr>
          <w:trHeight w:val="420" w:hRule="atLeast"/>
        </w:trPr>
        <w:tc>
          <w:tcPr>
            <w:tcW w:w="4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6CD656">
            <w:pPr>
              <w:widowControl/>
              <w:jc w:val="center"/>
              <w:rPr>
                <w:rFonts w:ascii="宋体" w:hAnsi="宋体" w:cs="宋体"/>
                <w:kern w:val="0"/>
                <w:sz w:val="24"/>
              </w:rPr>
            </w:pPr>
            <w:r>
              <w:rPr>
                <w:rFonts w:hint="eastAsia" w:ascii="宋体" w:hAnsi="宋体" w:cs="宋体"/>
                <w:kern w:val="0"/>
                <w:sz w:val="24"/>
              </w:rPr>
              <w:t>项目名称</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7D0DAF76">
            <w:pPr>
              <w:widowControl/>
              <w:jc w:val="center"/>
              <w:rPr>
                <w:rFonts w:ascii="宋体" w:hAnsi="宋体" w:cs="宋体"/>
                <w:kern w:val="0"/>
                <w:sz w:val="24"/>
              </w:rPr>
            </w:pPr>
            <w:r>
              <w:rPr>
                <w:rFonts w:hint="eastAsia" w:ascii="宋体" w:hAnsi="宋体" w:cs="宋体"/>
                <w:kern w:val="0"/>
                <w:sz w:val="24"/>
              </w:rPr>
              <w:t>省级财政专项资金（对口支援）</w:t>
            </w:r>
          </w:p>
        </w:tc>
      </w:tr>
      <w:tr w14:paraId="496CE07A">
        <w:tblPrEx>
          <w:tblCellMar>
            <w:top w:w="0" w:type="dxa"/>
            <w:left w:w="108" w:type="dxa"/>
            <w:bottom w:w="0" w:type="dxa"/>
            <w:right w:w="108" w:type="dxa"/>
          </w:tblCellMar>
        </w:tblPrEx>
        <w:trPr>
          <w:trHeight w:val="405" w:hRule="atLeast"/>
        </w:trPr>
        <w:tc>
          <w:tcPr>
            <w:tcW w:w="4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0BC226">
            <w:pPr>
              <w:widowControl/>
              <w:jc w:val="center"/>
              <w:rPr>
                <w:rFonts w:ascii="宋体" w:hAnsi="宋体" w:cs="宋体"/>
                <w:kern w:val="0"/>
                <w:sz w:val="24"/>
              </w:rPr>
            </w:pPr>
            <w:r>
              <w:rPr>
                <w:rFonts w:hint="eastAsia" w:ascii="宋体" w:hAnsi="宋体" w:cs="宋体"/>
                <w:kern w:val="0"/>
                <w:sz w:val="24"/>
              </w:rPr>
              <w:t>预算单位</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39DFB40E">
            <w:pPr>
              <w:widowControl/>
              <w:jc w:val="center"/>
              <w:rPr>
                <w:rFonts w:ascii="宋体" w:hAnsi="宋体" w:cs="宋体"/>
                <w:kern w:val="0"/>
                <w:sz w:val="24"/>
              </w:rPr>
            </w:pPr>
            <w:r>
              <w:rPr>
                <w:rFonts w:hint="eastAsia" w:ascii="宋体" w:hAnsi="宋体" w:cs="宋体"/>
                <w:kern w:val="0"/>
                <w:sz w:val="24"/>
              </w:rPr>
              <w:t>德阳市罗江区中医医院</w:t>
            </w:r>
          </w:p>
        </w:tc>
      </w:tr>
      <w:tr w14:paraId="0B969FA6">
        <w:tblPrEx>
          <w:tblCellMar>
            <w:top w:w="0" w:type="dxa"/>
            <w:left w:w="108" w:type="dxa"/>
            <w:bottom w:w="0" w:type="dxa"/>
            <w:right w:w="108" w:type="dxa"/>
          </w:tblCellMar>
        </w:tblPrEx>
        <w:trPr>
          <w:trHeight w:val="285" w:hRule="atLeast"/>
        </w:trPr>
        <w:tc>
          <w:tcPr>
            <w:tcW w:w="43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F3E925">
            <w:pPr>
              <w:widowControl/>
              <w:jc w:val="center"/>
              <w:rPr>
                <w:rFonts w:ascii="宋体" w:hAnsi="宋体" w:cs="宋体"/>
                <w:kern w:val="0"/>
                <w:sz w:val="24"/>
              </w:rPr>
            </w:pPr>
            <w:r>
              <w:rPr>
                <w:rFonts w:hint="eastAsia" w:ascii="宋体" w:hAnsi="宋体" w:cs="宋体"/>
                <w:kern w:val="0"/>
                <w:sz w:val="24"/>
              </w:rPr>
              <w:t>项目资金</w:t>
            </w:r>
          </w:p>
          <w:p w14:paraId="401B76B0">
            <w:pPr>
              <w:widowControl/>
              <w:jc w:val="center"/>
              <w:rPr>
                <w:rFonts w:ascii="宋体" w:hAnsi="宋体" w:cs="宋体"/>
                <w:kern w:val="0"/>
                <w:sz w:val="24"/>
              </w:rPr>
            </w:pPr>
            <w:r>
              <w:rPr>
                <w:rFonts w:hint="eastAsia" w:ascii="宋体" w:hAnsi="宋体" w:cs="宋体"/>
                <w:kern w:val="0"/>
                <w:sz w:val="24"/>
              </w:rPr>
              <w:t>（万元）</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63111FB7">
            <w:pPr>
              <w:widowControl/>
              <w:jc w:val="left"/>
              <w:rPr>
                <w:rFonts w:ascii="宋体" w:hAnsi="宋体" w:cs="宋体"/>
                <w:kern w:val="0"/>
                <w:sz w:val="24"/>
              </w:rPr>
            </w:pPr>
            <w:r>
              <w:rPr>
                <w:rFonts w:hint="eastAsia" w:ascii="宋体" w:hAnsi="宋体" w:cs="宋体"/>
                <w:kern w:val="0"/>
                <w:sz w:val="24"/>
              </w:rPr>
              <w:t xml:space="preserve">   年度资金总额：4.80</w:t>
            </w:r>
          </w:p>
        </w:tc>
      </w:tr>
      <w:tr w14:paraId="7702E6CF">
        <w:tblPrEx>
          <w:tblCellMar>
            <w:top w:w="0" w:type="dxa"/>
            <w:left w:w="108" w:type="dxa"/>
            <w:bottom w:w="0" w:type="dxa"/>
            <w:right w:w="108" w:type="dxa"/>
          </w:tblCellMar>
        </w:tblPrEx>
        <w:trPr>
          <w:trHeight w:val="285" w:hRule="atLeast"/>
        </w:trPr>
        <w:tc>
          <w:tcPr>
            <w:tcW w:w="4380" w:type="dxa"/>
            <w:gridSpan w:val="3"/>
            <w:vMerge w:val="continue"/>
            <w:tcBorders>
              <w:top w:val="single" w:color="auto" w:sz="4" w:space="0"/>
              <w:left w:val="single" w:color="auto" w:sz="4" w:space="0"/>
              <w:bottom w:val="single" w:color="auto" w:sz="4" w:space="0"/>
              <w:right w:val="single" w:color="auto" w:sz="4" w:space="0"/>
            </w:tcBorders>
            <w:vAlign w:val="center"/>
          </w:tcPr>
          <w:p w14:paraId="32283D95">
            <w:pPr>
              <w:widowControl/>
              <w:jc w:val="left"/>
              <w:rPr>
                <w:rFonts w:ascii="宋体" w:hAnsi="宋体" w:cs="宋体"/>
                <w:kern w:val="0"/>
                <w:sz w:val="24"/>
              </w:rPr>
            </w:pP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0ADD9AAD">
            <w:pPr>
              <w:widowControl/>
              <w:jc w:val="left"/>
              <w:rPr>
                <w:rFonts w:ascii="宋体" w:hAnsi="宋体" w:cs="宋体"/>
                <w:kern w:val="0"/>
                <w:sz w:val="24"/>
              </w:rPr>
            </w:pPr>
            <w:r>
              <w:rPr>
                <w:rFonts w:hint="eastAsia" w:ascii="宋体" w:hAnsi="宋体" w:cs="宋体"/>
                <w:kern w:val="0"/>
                <w:sz w:val="24"/>
              </w:rPr>
              <w:t xml:space="preserve">        其中：财政拨款4.80</w:t>
            </w:r>
          </w:p>
        </w:tc>
      </w:tr>
      <w:tr w14:paraId="6F362ADD">
        <w:tblPrEx>
          <w:tblCellMar>
            <w:top w:w="0" w:type="dxa"/>
            <w:left w:w="108" w:type="dxa"/>
            <w:bottom w:w="0" w:type="dxa"/>
            <w:right w:w="108" w:type="dxa"/>
          </w:tblCellMar>
        </w:tblPrEx>
        <w:trPr>
          <w:trHeight w:val="285" w:hRule="atLeast"/>
        </w:trPr>
        <w:tc>
          <w:tcPr>
            <w:tcW w:w="4380" w:type="dxa"/>
            <w:gridSpan w:val="3"/>
            <w:vMerge w:val="continue"/>
            <w:tcBorders>
              <w:top w:val="single" w:color="auto" w:sz="4" w:space="0"/>
              <w:left w:val="single" w:color="auto" w:sz="4" w:space="0"/>
              <w:bottom w:val="single" w:color="auto" w:sz="4" w:space="0"/>
              <w:right w:val="single" w:color="auto" w:sz="4" w:space="0"/>
            </w:tcBorders>
            <w:vAlign w:val="center"/>
          </w:tcPr>
          <w:p w14:paraId="52F83E0E">
            <w:pPr>
              <w:widowControl/>
              <w:jc w:val="left"/>
              <w:rPr>
                <w:rFonts w:ascii="宋体" w:hAnsi="宋体" w:cs="宋体"/>
                <w:kern w:val="0"/>
                <w:sz w:val="24"/>
              </w:rPr>
            </w:pP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198645BE">
            <w:pPr>
              <w:widowControl/>
              <w:jc w:val="left"/>
              <w:rPr>
                <w:rFonts w:ascii="宋体" w:hAnsi="宋体" w:cs="宋体"/>
                <w:kern w:val="0"/>
                <w:sz w:val="24"/>
              </w:rPr>
            </w:pPr>
            <w:r>
              <w:rPr>
                <w:rFonts w:hint="eastAsia" w:ascii="宋体" w:hAnsi="宋体" w:cs="宋体"/>
                <w:kern w:val="0"/>
                <w:sz w:val="24"/>
              </w:rPr>
              <w:t xml:space="preserve">        其他资金：</w:t>
            </w:r>
          </w:p>
        </w:tc>
      </w:tr>
      <w:tr w14:paraId="5DBD40B7">
        <w:tblPrEx>
          <w:tblCellMar>
            <w:top w:w="0" w:type="dxa"/>
            <w:left w:w="108" w:type="dxa"/>
            <w:bottom w:w="0" w:type="dxa"/>
            <w:right w:w="108" w:type="dxa"/>
          </w:tblCellMar>
        </w:tblPrEx>
        <w:trPr>
          <w:trHeight w:val="600"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1FE851F9">
            <w:pPr>
              <w:widowControl/>
              <w:jc w:val="center"/>
              <w:rPr>
                <w:rFonts w:ascii="宋体" w:hAnsi="宋体" w:cs="宋体"/>
                <w:kern w:val="0"/>
                <w:sz w:val="24"/>
              </w:rPr>
            </w:pPr>
            <w:r>
              <w:rPr>
                <w:rFonts w:hint="eastAsia" w:ascii="宋体" w:hAnsi="宋体" w:cs="宋体"/>
                <w:kern w:val="0"/>
                <w:sz w:val="24"/>
              </w:rPr>
              <w:t>年度目标完成情况</w:t>
            </w:r>
          </w:p>
          <w:p w14:paraId="0BC80E91">
            <w:pPr>
              <w:widowControl/>
              <w:jc w:val="center"/>
              <w:rPr>
                <w:rFonts w:ascii="宋体" w:hAnsi="宋体" w:cs="宋体"/>
                <w:kern w:val="0"/>
                <w:sz w:val="24"/>
              </w:rPr>
            </w:pPr>
            <w:r>
              <w:rPr>
                <w:rFonts w:hint="eastAsia" w:ascii="宋体" w:hAnsi="宋体" w:cs="宋体"/>
                <w:kern w:val="0"/>
                <w:sz w:val="24"/>
              </w:rPr>
              <w:t>体</w:t>
            </w:r>
          </w:p>
          <w:p w14:paraId="3C7D2827">
            <w:pPr>
              <w:widowControl/>
              <w:jc w:val="center"/>
              <w:rPr>
                <w:rFonts w:ascii="宋体" w:hAnsi="宋体" w:cs="宋体"/>
                <w:kern w:val="0"/>
                <w:sz w:val="24"/>
              </w:rPr>
            </w:pPr>
            <w:r>
              <w:rPr>
                <w:rFonts w:hint="eastAsia" w:ascii="宋体" w:hAnsi="宋体" w:cs="宋体"/>
                <w:kern w:val="0"/>
                <w:sz w:val="24"/>
              </w:rPr>
              <w:t>目</w:t>
            </w:r>
          </w:p>
          <w:p w14:paraId="1FEA125F">
            <w:pPr>
              <w:widowControl/>
              <w:jc w:val="center"/>
              <w:rPr>
                <w:rFonts w:ascii="宋体" w:hAnsi="宋体" w:cs="宋体"/>
                <w:kern w:val="0"/>
                <w:sz w:val="24"/>
              </w:rPr>
            </w:pPr>
            <w:r>
              <w:rPr>
                <w:rFonts w:hint="eastAsia" w:ascii="宋体" w:hAnsi="宋体" w:cs="宋体"/>
                <w:kern w:val="0"/>
                <w:sz w:val="24"/>
              </w:rPr>
              <w:t>标</w:t>
            </w:r>
          </w:p>
        </w:tc>
        <w:tc>
          <w:tcPr>
            <w:tcW w:w="3320" w:type="dxa"/>
            <w:gridSpan w:val="2"/>
            <w:tcBorders>
              <w:top w:val="single" w:color="auto" w:sz="4" w:space="0"/>
              <w:left w:val="nil"/>
              <w:bottom w:val="single" w:color="auto" w:sz="4" w:space="0"/>
              <w:right w:val="single" w:color="auto" w:sz="4" w:space="0"/>
            </w:tcBorders>
            <w:shd w:val="clear" w:color="auto" w:fill="auto"/>
            <w:vAlign w:val="center"/>
          </w:tcPr>
          <w:p w14:paraId="3CCA447F">
            <w:pPr>
              <w:widowControl/>
              <w:jc w:val="center"/>
              <w:rPr>
                <w:rFonts w:ascii="宋体" w:hAnsi="宋体" w:cs="宋体"/>
                <w:color w:val="000000"/>
                <w:kern w:val="0"/>
                <w:sz w:val="24"/>
              </w:rPr>
            </w:pPr>
            <w:r>
              <w:rPr>
                <w:rFonts w:hint="eastAsia" w:ascii="宋体" w:hAnsi="宋体" w:cs="宋体"/>
                <w:color w:val="000000"/>
                <w:kern w:val="0"/>
                <w:sz w:val="24"/>
              </w:rPr>
              <w:t>预期目标</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27C6D436">
            <w:pPr>
              <w:widowControl/>
              <w:jc w:val="center"/>
              <w:rPr>
                <w:rFonts w:ascii="宋体" w:hAnsi="宋体" w:cs="宋体"/>
                <w:color w:val="000000"/>
                <w:kern w:val="0"/>
                <w:sz w:val="24"/>
              </w:rPr>
            </w:pPr>
            <w:r>
              <w:rPr>
                <w:rFonts w:hint="eastAsia" w:ascii="宋体" w:hAnsi="宋体" w:cs="宋体"/>
                <w:color w:val="000000"/>
                <w:kern w:val="0"/>
                <w:sz w:val="24"/>
              </w:rPr>
              <w:t>完成目标</w:t>
            </w:r>
          </w:p>
        </w:tc>
      </w:tr>
      <w:tr w14:paraId="04F470C0">
        <w:tblPrEx>
          <w:tblCellMar>
            <w:top w:w="0" w:type="dxa"/>
            <w:left w:w="108" w:type="dxa"/>
            <w:bottom w:w="0" w:type="dxa"/>
            <w:right w:w="108" w:type="dxa"/>
          </w:tblCellMar>
        </w:tblPrEx>
        <w:trPr>
          <w:trHeight w:val="870" w:hRule="atLeast"/>
        </w:trPr>
        <w:tc>
          <w:tcPr>
            <w:tcW w:w="1060" w:type="dxa"/>
            <w:vMerge w:val="continue"/>
            <w:tcBorders>
              <w:top w:val="nil"/>
              <w:left w:val="single" w:color="auto" w:sz="4" w:space="0"/>
              <w:bottom w:val="single" w:color="000000" w:sz="4" w:space="0"/>
              <w:right w:val="single" w:color="auto" w:sz="4" w:space="0"/>
            </w:tcBorders>
            <w:vAlign w:val="center"/>
          </w:tcPr>
          <w:p w14:paraId="7F49B599">
            <w:pPr>
              <w:widowControl/>
              <w:jc w:val="left"/>
              <w:rPr>
                <w:rFonts w:ascii="宋体" w:hAnsi="宋体" w:cs="宋体"/>
                <w:kern w:val="0"/>
                <w:sz w:val="24"/>
              </w:rPr>
            </w:pPr>
          </w:p>
        </w:tc>
        <w:tc>
          <w:tcPr>
            <w:tcW w:w="3320" w:type="dxa"/>
            <w:gridSpan w:val="2"/>
            <w:tcBorders>
              <w:top w:val="single" w:color="auto" w:sz="4" w:space="0"/>
              <w:left w:val="nil"/>
              <w:bottom w:val="single" w:color="auto" w:sz="4" w:space="0"/>
              <w:right w:val="single" w:color="000000" w:sz="4" w:space="0"/>
            </w:tcBorders>
            <w:shd w:val="clear" w:color="auto" w:fill="auto"/>
            <w:vAlign w:val="center"/>
          </w:tcPr>
          <w:p w14:paraId="0258329A">
            <w:pPr>
              <w:widowControl/>
              <w:jc w:val="center"/>
              <w:rPr>
                <w:rFonts w:ascii="宋体" w:hAnsi="宋体" w:cs="宋体"/>
                <w:color w:val="000000"/>
                <w:kern w:val="0"/>
                <w:sz w:val="24"/>
              </w:rPr>
            </w:pPr>
            <w:r>
              <w:rPr>
                <w:rFonts w:hint="eastAsia" w:ascii="宋体" w:hAnsi="宋体" w:cs="宋体"/>
                <w:color w:val="000000"/>
                <w:kern w:val="0"/>
                <w:sz w:val="24"/>
              </w:rPr>
              <w:t>圆满完成对口支援任务</w:t>
            </w:r>
          </w:p>
        </w:tc>
        <w:tc>
          <w:tcPr>
            <w:tcW w:w="4620" w:type="dxa"/>
            <w:gridSpan w:val="2"/>
            <w:tcBorders>
              <w:top w:val="single" w:color="auto" w:sz="4" w:space="0"/>
              <w:left w:val="nil"/>
              <w:bottom w:val="single" w:color="auto" w:sz="4" w:space="0"/>
              <w:right w:val="single" w:color="000000" w:sz="4" w:space="0"/>
            </w:tcBorders>
            <w:shd w:val="clear" w:color="auto" w:fill="auto"/>
            <w:vAlign w:val="center"/>
          </w:tcPr>
          <w:p w14:paraId="7802D9C4">
            <w:pPr>
              <w:widowControl/>
              <w:jc w:val="center"/>
              <w:rPr>
                <w:rFonts w:ascii="宋体" w:hAnsi="宋体" w:cs="宋体"/>
                <w:color w:val="000000"/>
                <w:kern w:val="0"/>
                <w:sz w:val="24"/>
              </w:rPr>
            </w:pPr>
            <w:r>
              <w:rPr>
                <w:rFonts w:hint="eastAsia" w:ascii="宋体" w:hAnsi="宋体" w:cs="宋体"/>
                <w:color w:val="000000"/>
                <w:kern w:val="0"/>
                <w:sz w:val="24"/>
              </w:rPr>
              <w:t>实圆满完成了援藏对口支援</w:t>
            </w:r>
          </w:p>
        </w:tc>
      </w:tr>
      <w:tr w14:paraId="158CE9F8">
        <w:tblPrEx>
          <w:tblCellMar>
            <w:top w:w="0" w:type="dxa"/>
            <w:left w:w="108" w:type="dxa"/>
            <w:bottom w:w="0" w:type="dxa"/>
            <w:right w:w="108" w:type="dxa"/>
          </w:tblCellMar>
        </w:tblPrEx>
        <w:trPr>
          <w:trHeight w:val="975"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48867494">
            <w:pPr>
              <w:widowControl/>
              <w:jc w:val="left"/>
              <w:rPr>
                <w:rFonts w:ascii="宋体" w:hAnsi="宋体" w:cs="宋体"/>
                <w:kern w:val="0"/>
                <w:sz w:val="24"/>
              </w:rPr>
            </w:pPr>
            <w:r>
              <w:rPr>
                <w:rFonts w:hint="eastAsia" w:ascii="宋体" w:hAnsi="宋体"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14:paraId="26A7C066">
            <w:pPr>
              <w:widowControl/>
              <w:jc w:val="center"/>
              <w:rPr>
                <w:rFonts w:ascii="宋体" w:hAnsi="宋体" w:cs="宋体"/>
                <w:kern w:val="0"/>
                <w:sz w:val="24"/>
              </w:rPr>
            </w:pPr>
            <w:r>
              <w:rPr>
                <w:rFonts w:hint="eastAsia" w:ascii="宋体" w:hAnsi="宋体" w:cs="宋体"/>
                <w:kern w:val="0"/>
                <w:sz w:val="24"/>
              </w:rPr>
              <w:t>一级指标</w:t>
            </w:r>
          </w:p>
        </w:tc>
        <w:tc>
          <w:tcPr>
            <w:tcW w:w="1800" w:type="dxa"/>
            <w:tcBorders>
              <w:top w:val="nil"/>
              <w:left w:val="nil"/>
              <w:bottom w:val="single" w:color="auto" w:sz="4" w:space="0"/>
              <w:right w:val="single" w:color="auto" w:sz="4" w:space="0"/>
            </w:tcBorders>
            <w:shd w:val="clear" w:color="auto" w:fill="auto"/>
            <w:vAlign w:val="center"/>
          </w:tcPr>
          <w:p w14:paraId="3933C9EB">
            <w:pPr>
              <w:widowControl/>
              <w:jc w:val="center"/>
              <w:rPr>
                <w:rFonts w:ascii="宋体" w:hAnsi="宋体" w:cs="宋体"/>
                <w:kern w:val="0"/>
                <w:sz w:val="24"/>
              </w:rPr>
            </w:pPr>
            <w:r>
              <w:rPr>
                <w:rFonts w:hint="eastAsia" w:ascii="宋体" w:hAnsi="宋体" w:cs="宋体"/>
                <w:kern w:val="0"/>
                <w:sz w:val="24"/>
              </w:rPr>
              <w:t>二级指标</w:t>
            </w:r>
          </w:p>
        </w:tc>
        <w:tc>
          <w:tcPr>
            <w:tcW w:w="2060" w:type="dxa"/>
            <w:tcBorders>
              <w:top w:val="nil"/>
              <w:left w:val="nil"/>
              <w:bottom w:val="single" w:color="auto" w:sz="4" w:space="0"/>
              <w:right w:val="single" w:color="auto" w:sz="4" w:space="0"/>
            </w:tcBorders>
            <w:shd w:val="clear" w:color="auto" w:fill="auto"/>
            <w:vAlign w:val="center"/>
          </w:tcPr>
          <w:p w14:paraId="034CDC7E">
            <w:pPr>
              <w:widowControl/>
              <w:jc w:val="center"/>
              <w:rPr>
                <w:rFonts w:ascii="宋体" w:hAnsi="宋体" w:cs="宋体"/>
                <w:kern w:val="0"/>
                <w:sz w:val="24"/>
              </w:rPr>
            </w:pPr>
            <w:r>
              <w:rPr>
                <w:rFonts w:hint="eastAsia" w:ascii="宋体" w:hAnsi="宋体" w:cs="宋体"/>
                <w:kern w:val="0"/>
                <w:sz w:val="24"/>
              </w:rPr>
              <w:t>三级指标</w:t>
            </w:r>
          </w:p>
        </w:tc>
        <w:tc>
          <w:tcPr>
            <w:tcW w:w="2560" w:type="dxa"/>
            <w:tcBorders>
              <w:top w:val="nil"/>
              <w:left w:val="nil"/>
              <w:bottom w:val="single" w:color="auto" w:sz="4" w:space="0"/>
              <w:right w:val="single" w:color="auto" w:sz="4" w:space="0"/>
            </w:tcBorders>
            <w:shd w:val="clear" w:color="auto" w:fill="auto"/>
            <w:vAlign w:val="center"/>
          </w:tcPr>
          <w:p w14:paraId="1E33B306">
            <w:pPr>
              <w:widowControl/>
              <w:jc w:val="center"/>
              <w:rPr>
                <w:rFonts w:ascii="宋体" w:hAnsi="宋体" w:cs="宋体"/>
                <w:kern w:val="0"/>
                <w:sz w:val="24"/>
              </w:rPr>
            </w:pPr>
            <w:r>
              <w:rPr>
                <w:rFonts w:hint="eastAsia" w:ascii="宋体" w:hAnsi="宋体" w:cs="宋体"/>
                <w:kern w:val="0"/>
                <w:sz w:val="24"/>
              </w:rPr>
              <w:t>指标值（包含数字及文字描述）</w:t>
            </w:r>
          </w:p>
        </w:tc>
      </w:tr>
      <w:tr w14:paraId="57C9952B">
        <w:tblPrEx>
          <w:tblCellMar>
            <w:top w:w="0" w:type="dxa"/>
            <w:left w:w="108" w:type="dxa"/>
            <w:bottom w:w="0" w:type="dxa"/>
            <w:right w:w="108" w:type="dxa"/>
          </w:tblCellMar>
        </w:tblPrEx>
        <w:trPr>
          <w:trHeight w:val="285"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216FAE0B">
            <w:pPr>
              <w:widowControl/>
              <w:jc w:val="center"/>
              <w:rPr>
                <w:rFonts w:ascii="宋体" w:hAnsi="宋体" w:cs="宋体"/>
                <w:kern w:val="0"/>
                <w:sz w:val="24"/>
              </w:rPr>
            </w:pPr>
            <w:r>
              <w:rPr>
                <w:rFonts w:hint="eastAsia" w:ascii="宋体" w:hAnsi="宋体" w:cs="宋体"/>
                <w:kern w:val="0"/>
                <w:sz w:val="24"/>
              </w:rPr>
              <w:t>绩效目标</w:t>
            </w:r>
          </w:p>
        </w:tc>
        <w:tc>
          <w:tcPr>
            <w:tcW w:w="1520" w:type="dxa"/>
            <w:vMerge w:val="restart"/>
            <w:tcBorders>
              <w:top w:val="nil"/>
              <w:left w:val="single" w:color="auto" w:sz="4" w:space="0"/>
              <w:bottom w:val="nil"/>
              <w:right w:val="single" w:color="auto" w:sz="4" w:space="0"/>
            </w:tcBorders>
            <w:shd w:val="clear" w:color="auto" w:fill="auto"/>
            <w:vAlign w:val="center"/>
          </w:tcPr>
          <w:p w14:paraId="2B1016B2">
            <w:pPr>
              <w:widowControl/>
              <w:jc w:val="center"/>
              <w:rPr>
                <w:rFonts w:ascii="宋体" w:hAnsi="宋体" w:cs="宋体"/>
                <w:kern w:val="0"/>
                <w:sz w:val="24"/>
              </w:rPr>
            </w:pPr>
            <w:r>
              <w:rPr>
                <w:rFonts w:hint="eastAsia" w:ascii="宋体" w:hAnsi="宋体" w:cs="宋体"/>
                <w:kern w:val="0"/>
                <w:sz w:val="24"/>
              </w:rPr>
              <w:t>产出指标</w:t>
            </w:r>
          </w:p>
        </w:tc>
        <w:tc>
          <w:tcPr>
            <w:tcW w:w="1800" w:type="dxa"/>
            <w:tcBorders>
              <w:top w:val="nil"/>
              <w:left w:val="nil"/>
              <w:bottom w:val="nil"/>
              <w:right w:val="single" w:color="auto" w:sz="4" w:space="0"/>
            </w:tcBorders>
            <w:shd w:val="clear" w:color="auto" w:fill="auto"/>
            <w:vAlign w:val="center"/>
          </w:tcPr>
          <w:p w14:paraId="5690E69C">
            <w:pPr>
              <w:widowControl/>
              <w:jc w:val="center"/>
              <w:rPr>
                <w:rFonts w:ascii="宋体" w:hAnsi="宋体" w:cs="宋体"/>
                <w:kern w:val="0"/>
                <w:sz w:val="24"/>
              </w:rPr>
            </w:pPr>
            <w:r>
              <w:rPr>
                <w:rFonts w:hint="eastAsia" w:ascii="宋体" w:hAnsi="宋体" w:cs="宋体"/>
                <w:kern w:val="0"/>
                <w:sz w:val="24"/>
              </w:rPr>
              <w:t>数量指标</w:t>
            </w:r>
          </w:p>
        </w:tc>
        <w:tc>
          <w:tcPr>
            <w:tcW w:w="2060" w:type="dxa"/>
            <w:tcBorders>
              <w:top w:val="nil"/>
              <w:left w:val="nil"/>
              <w:bottom w:val="single" w:color="auto" w:sz="4" w:space="0"/>
              <w:right w:val="single" w:color="auto" w:sz="4" w:space="0"/>
            </w:tcBorders>
            <w:shd w:val="clear" w:color="auto" w:fill="auto"/>
            <w:vAlign w:val="center"/>
          </w:tcPr>
          <w:p w14:paraId="6D19C254">
            <w:pPr>
              <w:widowControl/>
              <w:jc w:val="left"/>
              <w:rPr>
                <w:rFonts w:ascii="宋体" w:hAnsi="宋体" w:cs="宋体"/>
                <w:color w:val="000000"/>
                <w:kern w:val="0"/>
                <w:sz w:val="22"/>
                <w:szCs w:val="22"/>
              </w:rPr>
            </w:pPr>
            <w:r>
              <w:rPr>
                <w:rFonts w:hint="eastAsia" w:ascii="宋体" w:hAnsi="宋体" w:cs="宋体"/>
                <w:color w:val="000000"/>
                <w:kern w:val="0"/>
                <w:sz w:val="22"/>
                <w:szCs w:val="22"/>
              </w:rPr>
              <w:t>派出罗颖、陈良   2同志援藏</w:t>
            </w:r>
          </w:p>
        </w:tc>
        <w:tc>
          <w:tcPr>
            <w:tcW w:w="2560" w:type="dxa"/>
            <w:tcBorders>
              <w:top w:val="nil"/>
              <w:left w:val="nil"/>
              <w:bottom w:val="single" w:color="auto" w:sz="4" w:space="0"/>
              <w:right w:val="single" w:color="auto" w:sz="4" w:space="0"/>
            </w:tcBorders>
            <w:shd w:val="clear" w:color="auto" w:fill="auto"/>
            <w:vAlign w:val="center"/>
          </w:tcPr>
          <w:p w14:paraId="4C38ADF4">
            <w:pPr>
              <w:widowControl/>
              <w:jc w:val="left"/>
              <w:rPr>
                <w:rFonts w:ascii="宋体" w:hAnsi="宋体" w:cs="宋体"/>
                <w:color w:val="000000"/>
                <w:kern w:val="0"/>
                <w:sz w:val="22"/>
                <w:szCs w:val="22"/>
              </w:rPr>
            </w:pPr>
            <w:r>
              <w:rPr>
                <w:rFonts w:hint="eastAsia" w:ascii="宋体" w:hAnsi="宋体" w:cs="宋体"/>
                <w:color w:val="000000"/>
                <w:kern w:val="0"/>
                <w:sz w:val="22"/>
                <w:szCs w:val="22"/>
              </w:rPr>
              <w:t>100%完成</w:t>
            </w:r>
          </w:p>
        </w:tc>
      </w:tr>
      <w:tr w14:paraId="25A4C913">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7125AE8D">
            <w:pPr>
              <w:widowControl/>
              <w:jc w:val="left"/>
              <w:rPr>
                <w:rFonts w:ascii="宋体" w:hAnsi="宋体" w:cs="宋体"/>
                <w:kern w:val="0"/>
                <w:sz w:val="24"/>
              </w:rPr>
            </w:pPr>
          </w:p>
        </w:tc>
        <w:tc>
          <w:tcPr>
            <w:tcW w:w="1520" w:type="dxa"/>
            <w:vMerge w:val="continue"/>
            <w:tcBorders>
              <w:top w:val="nil"/>
              <w:left w:val="single" w:color="auto" w:sz="4" w:space="0"/>
              <w:bottom w:val="nil"/>
              <w:right w:val="single" w:color="auto" w:sz="4" w:space="0"/>
            </w:tcBorders>
            <w:vAlign w:val="center"/>
          </w:tcPr>
          <w:p w14:paraId="54A5F3F8">
            <w:pPr>
              <w:widowControl/>
              <w:jc w:val="left"/>
              <w:rPr>
                <w:rFonts w:ascii="宋体" w:hAnsi="宋体" w:cs="宋体"/>
                <w:kern w:val="0"/>
                <w:sz w:val="24"/>
              </w:rPr>
            </w:pPr>
          </w:p>
        </w:tc>
        <w:tc>
          <w:tcPr>
            <w:tcW w:w="1800" w:type="dxa"/>
            <w:tcBorders>
              <w:top w:val="single" w:color="auto" w:sz="4" w:space="0"/>
              <w:left w:val="nil"/>
              <w:bottom w:val="nil"/>
              <w:right w:val="single" w:color="auto" w:sz="4" w:space="0"/>
            </w:tcBorders>
            <w:shd w:val="clear" w:color="auto" w:fill="auto"/>
            <w:vAlign w:val="center"/>
          </w:tcPr>
          <w:p w14:paraId="2D677DF8">
            <w:pPr>
              <w:widowControl/>
              <w:jc w:val="center"/>
              <w:rPr>
                <w:rFonts w:ascii="宋体" w:hAnsi="宋体" w:cs="宋体"/>
                <w:kern w:val="0"/>
                <w:sz w:val="24"/>
              </w:rPr>
            </w:pPr>
            <w:r>
              <w:rPr>
                <w:rFonts w:hint="eastAsia" w:ascii="宋体" w:hAnsi="宋体" w:cs="宋体"/>
                <w:kern w:val="0"/>
                <w:sz w:val="24"/>
              </w:rPr>
              <w:t>质量指标</w:t>
            </w:r>
          </w:p>
        </w:tc>
        <w:tc>
          <w:tcPr>
            <w:tcW w:w="2060" w:type="dxa"/>
            <w:tcBorders>
              <w:top w:val="nil"/>
              <w:left w:val="nil"/>
              <w:bottom w:val="single" w:color="auto" w:sz="4" w:space="0"/>
              <w:right w:val="single" w:color="auto" w:sz="4" w:space="0"/>
            </w:tcBorders>
            <w:shd w:val="clear" w:color="auto" w:fill="auto"/>
            <w:vAlign w:val="center"/>
          </w:tcPr>
          <w:p w14:paraId="74AB9A31">
            <w:pPr>
              <w:widowControl/>
              <w:jc w:val="left"/>
              <w:rPr>
                <w:rFonts w:ascii="宋体" w:hAnsi="宋体" w:cs="宋体"/>
                <w:color w:val="000000"/>
                <w:kern w:val="0"/>
                <w:sz w:val="22"/>
                <w:szCs w:val="22"/>
              </w:rPr>
            </w:pPr>
            <w:r>
              <w:rPr>
                <w:rFonts w:hint="eastAsia" w:ascii="宋体" w:hAnsi="宋体" w:cs="宋体"/>
                <w:color w:val="000000"/>
                <w:kern w:val="0"/>
                <w:sz w:val="22"/>
                <w:szCs w:val="22"/>
              </w:rPr>
              <w:t>群众满意</w:t>
            </w:r>
          </w:p>
        </w:tc>
        <w:tc>
          <w:tcPr>
            <w:tcW w:w="2560" w:type="dxa"/>
            <w:tcBorders>
              <w:top w:val="nil"/>
              <w:left w:val="nil"/>
              <w:bottom w:val="single" w:color="auto" w:sz="4" w:space="0"/>
              <w:right w:val="single" w:color="auto" w:sz="4" w:space="0"/>
            </w:tcBorders>
            <w:shd w:val="clear" w:color="auto" w:fill="auto"/>
            <w:vAlign w:val="center"/>
          </w:tcPr>
          <w:p w14:paraId="0C3297B8">
            <w:pPr>
              <w:widowControl/>
              <w:jc w:val="left"/>
              <w:rPr>
                <w:rFonts w:ascii="宋体" w:hAnsi="宋体" w:cs="宋体"/>
                <w:color w:val="000000"/>
                <w:kern w:val="0"/>
                <w:sz w:val="22"/>
                <w:szCs w:val="22"/>
              </w:rPr>
            </w:pPr>
            <w:r>
              <w:rPr>
                <w:rFonts w:hint="eastAsia" w:ascii="宋体" w:hAnsi="宋体" w:cs="宋体"/>
                <w:color w:val="000000"/>
                <w:kern w:val="0"/>
                <w:sz w:val="22"/>
                <w:szCs w:val="22"/>
              </w:rPr>
              <w:t>100%完成</w:t>
            </w:r>
          </w:p>
        </w:tc>
      </w:tr>
      <w:tr w14:paraId="12E97B9B">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6DACDB57">
            <w:pPr>
              <w:widowControl/>
              <w:jc w:val="left"/>
              <w:rPr>
                <w:rFonts w:ascii="宋体" w:hAnsi="宋体" w:cs="宋体"/>
                <w:kern w:val="0"/>
                <w:sz w:val="24"/>
              </w:rPr>
            </w:pPr>
          </w:p>
        </w:tc>
        <w:tc>
          <w:tcPr>
            <w:tcW w:w="15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C55EC7C">
            <w:pPr>
              <w:widowControl/>
              <w:jc w:val="center"/>
              <w:rPr>
                <w:rFonts w:ascii="宋体" w:hAnsi="宋体" w:cs="宋体"/>
                <w:kern w:val="0"/>
                <w:sz w:val="24"/>
              </w:rPr>
            </w:pPr>
            <w:r>
              <w:rPr>
                <w:rFonts w:hint="eastAsia" w:ascii="宋体" w:hAnsi="宋体" w:cs="宋体"/>
                <w:kern w:val="0"/>
                <w:sz w:val="24"/>
              </w:rPr>
              <w:t>效益指标</w:t>
            </w:r>
          </w:p>
        </w:tc>
        <w:tc>
          <w:tcPr>
            <w:tcW w:w="1800" w:type="dxa"/>
            <w:tcBorders>
              <w:top w:val="nil"/>
              <w:left w:val="nil"/>
              <w:bottom w:val="nil"/>
              <w:right w:val="single" w:color="auto" w:sz="4" w:space="0"/>
            </w:tcBorders>
            <w:shd w:val="clear" w:color="auto" w:fill="auto"/>
            <w:vAlign w:val="center"/>
          </w:tcPr>
          <w:p w14:paraId="44D87BB3">
            <w:pPr>
              <w:widowControl/>
              <w:jc w:val="center"/>
              <w:rPr>
                <w:rFonts w:ascii="宋体" w:hAnsi="宋体" w:cs="宋体"/>
                <w:kern w:val="0"/>
                <w:sz w:val="24"/>
              </w:rPr>
            </w:pPr>
            <w:r>
              <w:rPr>
                <w:rFonts w:hint="eastAsia" w:ascii="宋体" w:hAnsi="宋体" w:cs="宋体"/>
                <w:kern w:val="0"/>
                <w:sz w:val="24"/>
              </w:rPr>
              <w:t>社会效益指标</w:t>
            </w:r>
          </w:p>
        </w:tc>
        <w:tc>
          <w:tcPr>
            <w:tcW w:w="2060" w:type="dxa"/>
            <w:tcBorders>
              <w:top w:val="nil"/>
              <w:left w:val="nil"/>
              <w:bottom w:val="single" w:color="auto" w:sz="4" w:space="0"/>
              <w:right w:val="single" w:color="auto" w:sz="4" w:space="0"/>
            </w:tcBorders>
            <w:shd w:val="clear" w:color="auto" w:fill="auto"/>
            <w:vAlign w:val="center"/>
          </w:tcPr>
          <w:p w14:paraId="1B69BF49">
            <w:pPr>
              <w:widowControl/>
              <w:jc w:val="left"/>
              <w:rPr>
                <w:rFonts w:ascii="宋体" w:hAnsi="宋体" w:cs="宋体"/>
                <w:color w:val="000000"/>
                <w:kern w:val="0"/>
                <w:sz w:val="22"/>
                <w:szCs w:val="22"/>
              </w:rPr>
            </w:pPr>
            <w:r>
              <w:rPr>
                <w:rFonts w:hint="eastAsia" w:ascii="宋体" w:hAnsi="宋体" w:cs="宋体"/>
                <w:color w:val="000000"/>
                <w:kern w:val="0"/>
                <w:sz w:val="22"/>
                <w:szCs w:val="22"/>
              </w:rPr>
              <w:t>群众满意</w:t>
            </w:r>
          </w:p>
        </w:tc>
        <w:tc>
          <w:tcPr>
            <w:tcW w:w="2560" w:type="dxa"/>
            <w:tcBorders>
              <w:top w:val="nil"/>
              <w:left w:val="nil"/>
              <w:bottom w:val="single" w:color="auto" w:sz="4" w:space="0"/>
              <w:right w:val="single" w:color="auto" w:sz="4" w:space="0"/>
            </w:tcBorders>
            <w:shd w:val="clear" w:color="auto" w:fill="auto"/>
            <w:vAlign w:val="center"/>
          </w:tcPr>
          <w:p w14:paraId="3071DEE9">
            <w:pPr>
              <w:widowControl/>
              <w:jc w:val="left"/>
              <w:rPr>
                <w:rFonts w:ascii="宋体" w:hAnsi="宋体" w:cs="宋体"/>
                <w:color w:val="000000"/>
                <w:kern w:val="0"/>
                <w:sz w:val="22"/>
                <w:szCs w:val="22"/>
              </w:rPr>
            </w:pPr>
            <w:r>
              <w:rPr>
                <w:rFonts w:hint="eastAsia" w:ascii="宋体" w:hAnsi="宋体" w:cs="宋体"/>
                <w:color w:val="000000"/>
                <w:kern w:val="0"/>
                <w:sz w:val="22"/>
                <w:szCs w:val="22"/>
              </w:rPr>
              <w:t>100%</w:t>
            </w:r>
          </w:p>
        </w:tc>
      </w:tr>
      <w:tr w14:paraId="5C1C304D">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265A1E2F">
            <w:pPr>
              <w:widowControl/>
              <w:jc w:val="left"/>
              <w:rPr>
                <w:rFonts w:ascii="宋体" w:hAnsi="宋体" w:cs="宋体"/>
                <w:kern w:val="0"/>
                <w:sz w:val="24"/>
              </w:rPr>
            </w:pPr>
          </w:p>
        </w:tc>
        <w:tc>
          <w:tcPr>
            <w:tcW w:w="1520" w:type="dxa"/>
            <w:vMerge w:val="continue"/>
            <w:tcBorders>
              <w:top w:val="single" w:color="auto" w:sz="4" w:space="0"/>
              <w:left w:val="single" w:color="auto" w:sz="4" w:space="0"/>
              <w:bottom w:val="single" w:color="000000" w:sz="4" w:space="0"/>
              <w:right w:val="single" w:color="auto" w:sz="4" w:space="0"/>
            </w:tcBorders>
            <w:vAlign w:val="center"/>
          </w:tcPr>
          <w:p w14:paraId="26587A1F">
            <w:pPr>
              <w:widowControl/>
              <w:jc w:val="left"/>
              <w:rPr>
                <w:rFonts w:ascii="宋体" w:hAnsi="宋体" w:cs="宋体"/>
                <w:kern w:val="0"/>
                <w:sz w:val="24"/>
              </w:rPr>
            </w:pPr>
          </w:p>
        </w:tc>
        <w:tc>
          <w:tcPr>
            <w:tcW w:w="1800" w:type="dxa"/>
            <w:tcBorders>
              <w:top w:val="single" w:color="auto" w:sz="4" w:space="0"/>
              <w:left w:val="nil"/>
              <w:bottom w:val="single" w:color="auto" w:sz="4" w:space="0"/>
              <w:right w:val="single" w:color="auto" w:sz="4" w:space="0"/>
            </w:tcBorders>
            <w:shd w:val="clear" w:color="auto" w:fill="auto"/>
            <w:vAlign w:val="center"/>
          </w:tcPr>
          <w:p w14:paraId="7D3E11FF">
            <w:pPr>
              <w:widowControl/>
              <w:jc w:val="center"/>
              <w:rPr>
                <w:rFonts w:ascii="宋体" w:hAnsi="宋体" w:cs="宋体"/>
                <w:kern w:val="0"/>
                <w:sz w:val="24"/>
              </w:rPr>
            </w:pPr>
            <w:r>
              <w:rPr>
                <w:rFonts w:hint="eastAsia" w:ascii="宋体" w:hAnsi="宋体" w:cs="宋体"/>
                <w:kern w:val="0"/>
                <w:sz w:val="24"/>
              </w:rPr>
              <w:t>可持续影响指标</w:t>
            </w:r>
          </w:p>
        </w:tc>
        <w:tc>
          <w:tcPr>
            <w:tcW w:w="2060" w:type="dxa"/>
            <w:tcBorders>
              <w:top w:val="nil"/>
              <w:left w:val="nil"/>
              <w:bottom w:val="single" w:color="auto" w:sz="4" w:space="0"/>
              <w:right w:val="single" w:color="auto" w:sz="4" w:space="0"/>
            </w:tcBorders>
            <w:shd w:val="clear" w:color="auto" w:fill="auto"/>
            <w:vAlign w:val="center"/>
          </w:tcPr>
          <w:p w14:paraId="496C1120">
            <w:pPr>
              <w:widowControl/>
              <w:jc w:val="left"/>
              <w:rPr>
                <w:rFonts w:ascii="宋体" w:hAnsi="宋体" w:cs="宋体"/>
                <w:kern w:val="0"/>
                <w:sz w:val="22"/>
                <w:szCs w:val="22"/>
              </w:rPr>
            </w:pPr>
            <w:r>
              <w:rPr>
                <w:rFonts w:hint="eastAsia" w:ascii="宋体" w:hAnsi="宋体" w:cs="宋体"/>
                <w:kern w:val="0"/>
                <w:sz w:val="22"/>
                <w:szCs w:val="22"/>
              </w:rPr>
              <w:t>群众满意</w:t>
            </w:r>
          </w:p>
        </w:tc>
        <w:tc>
          <w:tcPr>
            <w:tcW w:w="2560" w:type="dxa"/>
            <w:tcBorders>
              <w:top w:val="nil"/>
              <w:left w:val="nil"/>
              <w:bottom w:val="single" w:color="auto" w:sz="4" w:space="0"/>
              <w:right w:val="single" w:color="auto" w:sz="4" w:space="0"/>
            </w:tcBorders>
            <w:shd w:val="clear" w:color="auto" w:fill="auto"/>
            <w:vAlign w:val="center"/>
          </w:tcPr>
          <w:p w14:paraId="38694850">
            <w:pPr>
              <w:widowControl/>
              <w:jc w:val="left"/>
              <w:rPr>
                <w:rFonts w:ascii="宋体" w:hAnsi="宋体" w:cs="宋体"/>
                <w:color w:val="000000"/>
                <w:kern w:val="0"/>
                <w:sz w:val="22"/>
                <w:szCs w:val="22"/>
              </w:rPr>
            </w:pPr>
            <w:r>
              <w:rPr>
                <w:rFonts w:hint="eastAsia" w:ascii="宋体" w:hAnsi="宋体" w:cs="宋体"/>
                <w:color w:val="000000"/>
                <w:kern w:val="0"/>
                <w:sz w:val="22"/>
                <w:szCs w:val="22"/>
              </w:rPr>
              <w:t>100%</w:t>
            </w:r>
          </w:p>
        </w:tc>
      </w:tr>
      <w:tr w14:paraId="7D0FDD0C">
        <w:tblPrEx>
          <w:tblCellMar>
            <w:top w:w="0" w:type="dxa"/>
            <w:left w:w="108" w:type="dxa"/>
            <w:bottom w:w="0" w:type="dxa"/>
            <w:right w:w="108" w:type="dxa"/>
          </w:tblCellMar>
        </w:tblPrEx>
        <w:trPr>
          <w:trHeight w:val="585" w:hRule="atLeast"/>
        </w:trPr>
        <w:tc>
          <w:tcPr>
            <w:tcW w:w="1060" w:type="dxa"/>
            <w:vMerge w:val="continue"/>
            <w:tcBorders>
              <w:top w:val="nil"/>
              <w:left w:val="single" w:color="auto" w:sz="4" w:space="0"/>
              <w:bottom w:val="single" w:color="000000" w:sz="4" w:space="0"/>
              <w:right w:val="single" w:color="auto" w:sz="4" w:space="0"/>
            </w:tcBorders>
            <w:vAlign w:val="center"/>
          </w:tcPr>
          <w:p w14:paraId="1884AF0F">
            <w:pPr>
              <w:widowControl/>
              <w:jc w:val="left"/>
              <w:rPr>
                <w:rFonts w:ascii="宋体" w:hAnsi="宋体" w:cs="宋体"/>
                <w:kern w:val="0"/>
                <w:sz w:val="24"/>
              </w:rPr>
            </w:pPr>
          </w:p>
        </w:tc>
        <w:tc>
          <w:tcPr>
            <w:tcW w:w="1520" w:type="dxa"/>
            <w:tcBorders>
              <w:top w:val="nil"/>
              <w:left w:val="nil"/>
              <w:bottom w:val="single" w:color="auto" w:sz="4" w:space="0"/>
              <w:right w:val="single" w:color="auto" w:sz="4" w:space="0"/>
            </w:tcBorders>
            <w:shd w:val="clear" w:color="auto" w:fill="auto"/>
            <w:vAlign w:val="center"/>
          </w:tcPr>
          <w:p w14:paraId="43A5E269">
            <w:pPr>
              <w:widowControl/>
              <w:jc w:val="center"/>
              <w:rPr>
                <w:rFonts w:ascii="宋体" w:hAnsi="宋体" w:cs="宋体"/>
                <w:kern w:val="0"/>
                <w:sz w:val="24"/>
              </w:rPr>
            </w:pPr>
            <w:r>
              <w:rPr>
                <w:rFonts w:hint="eastAsia" w:ascii="宋体" w:hAnsi="宋体" w:cs="宋体"/>
                <w:kern w:val="0"/>
                <w:sz w:val="24"/>
              </w:rPr>
              <w:t>满意度指标</w:t>
            </w:r>
          </w:p>
        </w:tc>
        <w:tc>
          <w:tcPr>
            <w:tcW w:w="1800" w:type="dxa"/>
            <w:tcBorders>
              <w:top w:val="nil"/>
              <w:left w:val="nil"/>
              <w:bottom w:val="single" w:color="auto" w:sz="4" w:space="0"/>
              <w:right w:val="single" w:color="auto" w:sz="4" w:space="0"/>
            </w:tcBorders>
            <w:shd w:val="clear" w:color="auto" w:fill="auto"/>
            <w:vAlign w:val="center"/>
          </w:tcPr>
          <w:p w14:paraId="1AE78231">
            <w:pPr>
              <w:widowControl/>
              <w:jc w:val="center"/>
              <w:rPr>
                <w:rFonts w:ascii="宋体" w:hAnsi="宋体" w:cs="宋体"/>
                <w:kern w:val="0"/>
                <w:sz w:val="24"/>
              </w:rPr>
            </w:pPr>
            <w:r>
              <w:rPr>
                <w:rFonts w:hint="eastAsia" w:ascii="宋体" w:hAnsi="宋体" w:cs="宋体"/>
                <w:kern w:val="0"/>
                <w:sz w:val="24"/>
              </w:rPr>
              <w:t>服务对象满意度指标</w:t>
            </w:r>
          </w:p>
        </w:tc>
        <w:tc>
          <w:tcPr>
            <w:tcW w:w="2060" w:type="dxa"/>
            <w:tcBorders>
              <w:top w:val="nil"/>
              <w:left w:val="nil"/>
              <w:bottom w:val="single" w:color="auto" w:sz="4" w:space="0"/>
              <w:right w:val="single" w:color="auto" w:sz="4" w:space="0"/>
            </w:tcBorders>
            <w:shd w:val="clear" w:color="auto" w:fill="auto"/>
            <w:vAlign w:val="center"/>
          </w:tcPr>
          <w:p w14:paraId="790ADCCD">
            <w:pPr>
              <w:widowControl/>
              <w:jc w:val="left"/>
              <w:rPr>
                <w:rFonts w:ascii="宋体" w:hAnsi="宋体" w:cs="宋体"/>
                <w:color w:val="000000"/>
                <w:kern w:val="0"/>
                <w:sz w:val="22"/>
                <w:szCs w:val="22"/>
              </w:rPr>
            </w:pPr>
            <w:r>
              <w:rPr>
                <w:rFonts w:hint="eastAsia" w:ascii="宋体" w:hAnsi="宋体" w:cs="宋体"/>
                <w:color w:val="000000"/>
                <w:kern w:val="0"/>
                <w:sz w:val="22"/>
                <w:szCs w:val="22"/>
              </w:rPr>
              <w:t>群众满意</w:t>
            </w:r>
          </w:p>
        </w:tc>
        <w:tc>
          <w:tcPr>
            <w:tcW w:w="2560" w:type="dxa"/>
            <w:tcBorders>
              <w:top w:val="nil"/>
              <w:left w:val="nil"/>
              <w:bottom w:val="single" w:color="auto" w:sz="4" w:space="0"/>
              <w:right w:val="single" w:color="auto" w:sz="4" w:space="0"/>
            </w:tcBorders>
            <w:shd w:val="clear" w:color="auto" w:fill="auto"/>
            <w:vAlign w:val="center"/>
          </w:tcPr>
          <w:p w14:paraId="74A5B4A1">
            <w:pPr>
              <w:widowControl/>
              <w:jc w:val="left"/>
              <w:rPr>
                <w:rFonts w:ascii="宋体" w:hAnsi="宋体" w:cs="宋体"/>
                <w:color w:val="000000"/>
                <w:kern w:val="0"/>
                <w:sz w:val="22"/>
                <w:szCs w:val="22"/>
              </w:rPr>
            </w:pPr>
            <w:r>
              <w:rPr>
                <w:rFonts w:hint="eastAsia" w:ascii="宋体" w:hAnsi="宋体" w:cs="宋体"/>
                <w:color w:val="000000"/>
                <w:kern w:val="0"/>
                <w:sz w:val="22"/>
                <w:szCs w:val="22"/>
              </w:rPr>
              <w:t>100%</w:t>
            </w:r>
          </w:p>
        </w:tc>
      </w:tr>
    </w:tbl>
    <w:p w14:paraId="3072B7E3">
      <w:pPr>
        <w:spacing w:line="580" w:lineRule="exact"/>
        <w:rPr>
          <w:rFonts w:eastAsia="仿宋_GB2312"/>
          <w:sz w:val="32"/>
          <w:szCs w:val="32"/>
        </w:rPr>
      </w:pPr>
    </w:p>
    <w:p w14:paraId="7D6D7C21">
      <w:pPr>
        <w:spacing w:line="580" w:lineRule="exact"/>
        <w:rPr>
          <w:rFonts w:eastAsia="仿宋_GB2312"/>
          <w:sz w:val="32"/>
          <w:szCs w:val="32"/>
        </w:rPr>
      </w:pPr>
    </w:p>
    <w:p w14:paraId="30B5C4BA">
      <w:pPr>
        <w:spacing w:line="580" w:lineRule="exact"/>
        <w:rPr>
          <w:rFonts w:eastAsia="仿宋_GB2312"/>
          <w:sz w:val="32"/>
          <w:szCs w:val="32"/>
        </w:rPr>
      </w:pPr>
    </w:p>
    <w:p w14:paraId="22B5C181">
      <w:pPr>
        <w:spacing w:line="580" w:lineRule="exact"/>
        <w:rPr>
          <w:rFonts w:eastAsia="仿宋_GB2312"/>
          <w:sz w:val="32"/>
          <w:szCs w:val="32"/>
        </w:rPr>
      </w:pPr>
    </w:p>
    <w:p w14:paraId="5498AA0E">
      <w:pPr>
        <w:spacing w:line="580" w:lineRule="exact"/>
        <w:rPr>
          <w:rFonts w:eastAsia="仿宋_GB2312"/>
          <w:sz w:val="32"/>
          <w:szCs w:val="32"/>
        </w:rPr>
      </w:pPr>
    </w:p>
    <w:p w14:paraId="77588B8A">
      <w:pPr>
        <w:spacing w:line="580" w:lineRule="exact"/>
        <w:rPr>
          <w:rFonts w:eastAsia="仿宋_GB2312"/>
          <w:sz w:val="32"/>
          <w:szCs w:val="32"/>
        </w:rPr>
      </w:pPr>
    </w:p>
    <w:p w14:paraId="594970CF">
      <w:pPr>
        <w:spacing w:line="580" w:lineRule="exact"/>
        <w:rPr>
          <w:rFonts w:eastAsia="仿宋_GB2312"/>
          <w:sz w:val="32"/>
          <w:szCs w:val="32"/>
        </w:rPr>
      </w:pPr>
    </w:p>
    <w:p w14:paraId="1C47D371">
      <w:pPr>
        <w:spacing w:line="580" w:lineRule="exact"/>
        <w:rPr>
          <w:rFonts w:eastAsia="仿宋_GB2312"/>
          <w:sz w:val="32"/>
          <w:szCs w:val="32"/>
        </w:rPr>
      </w:pPr>
    </w:p>
    <w:tbl>
      <w:tblPr>
        <w:tblStyle w:val="22"/>
        <w:tblW w:w="9000" w:type="dxa"/>
        <w:tblInd w:w="93" w:type="dxa"/>
        <w:tblLayout w:type="autofit"/>
        <w:tblCellMar>
          <w:top w:w="0" w:type="dxa"/>
          <w:left w:w="108" w:type="dxa"/>
          <w:bottom w:w="0" w:type="dxa"/>
          <w:right w:w="108" w:type="dxa"/>
        </w:tblCellMar>
      </w:tblPr>
      <w:tblGrid>
        <w:gridCol w:w="1060"/>
        <w:gridCol w:w="1520"/>
        <w:gridCol w:w="1800"/>
        <w:gridCol w:w="2060"/>
        <w:gridCol w:w="2560"/>
      </w:tblGrid>
      <w:tr w14:paraId="0471E0A7">
        <w:tblPrEx>
          <w:tblCellMar>
            <w:top w:w="0" w:type="dxa"/>
            <w:left w:w="108" w:type="dxa"/>
            <w:bottom w:w="0" w:type="dxa"/>
            <w:right w:w="108" w:type="dxa"/>
          </w:tblCellMar>
        </w:tblPrEx>
        <w:trPr>
          <w:trHeight w:val="510" w:hRule="atLeast"/>
        </w:trPr>
        <w:tc>
          <w:tcPr>
            <w:tcW w:w="9000" w:type="dxa"/>
            <w:gridSpan w:val="5"/>
            <w:tcBorders>
              <w:top w:val="nil"/>
              <w:left w:val="nil"/>
              <w:bottom w:val="nil"/>
              <w:right w:val="nil"/>
            </w:tcBorders>
            <w:shd w:val="clear" w:color="auto" w:fill="auto"/>
            <w:vAlign w:val="center"/>
          </w:tcPr>
          <w:p w14:paraId="7462F366">
            <w:pPr>
              <w:widowControl/>
              <w:jc w:val="center"/>
              <w:rPr>
                <w:rFonts w:ascii="宋体" w:hAnsi="宋体" w:cs="宋体"/>
                <w:b/>
                <w:bCs/>
                <w:kern w:val="0"/>
                <w:sz w:val="40"/>
                <w:szCs w:val="40"/>
              </w:rPr>
            </w:pPr>
            <w:r>
              <w:rPr>
                <w:rFonts w:hint="eastAsia" w:ascii="方正小标宋简体" w:hAnsi="方正小标宋简体" w:eastAsia="方正小标宋简体" w:cs="方正小标宋简体"/>
                <w:b/>
                <w:bCs/>
                <w:kern w:val="0"/>
                <w:sz w:val="44"/>
                <w:szCs w:val="44"/>
              </w:rPr>
              <w:t>2020年度项目绩效目标申报表</w:t>
            </w:r>
          </w:p>
        </w:tc>
      </w:tr>
      <w:tr w14:paraId="2879FA1C">
        <w:tblPrEx>
          <w:tblCellMar>
            <w:top w:w="0" w:type="dxa"/>
            <w:left w:w="108" w:type="dxa"/>
            <w:bottom w:w="0" w:type="dxa"/>
            <w:right w:w="108" w:type="dxa"/>
          </w:tblCellMar>
        </w:tblPrEx>
        <w:trPr>
          <w:trHeight w:val="375" w:hRule="atLeast"/>
        </w:trPr>
        <w:tc>
          <w:tcPr>
            <w:tcW w:w="9000" w:type="dxa"/>
            <w:gridSpan w:val="5"/>
            <w:tcBorders>
              <w:top w:val="nil"/>
              <w:left w:val="nil"/>
              <w:bottom w:val="nil"/>
              <w:right w:val="nil"/>
            </w:tcBorders>
            <w:shd w:val="clear" w:color="auto" w:fill="auto"/>
            <w:noWrap/>
            <w:vAlign w:val="center"/>
          </w:tcPr>
          <w:p w14:paraId="7786AF79">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r>
      <w:tr w14:paraId="5DAB8C72">
        <w:tblPrEx>
          <w:tblCellMar>
            <w:top w:w="0" w:type="dxa"/>
            <w:left w:w="108" w:type="dxa"/>
            <w:bottom w:w="0" w:type="dxa"/>
            <w:right w:w="108" w:type="dxa"/>
          </w:tblCellMar>
        </w:tblPrEx>
        <w:trPr>
          <w:trHeight w:val="420" w:hRule="atLeast"/>
        </w:trPr>
        <w:tc>
          <w:tcPr>
            <w:tcW w:w="4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48D6B0">
            <w:pPr>
              <w:widowControl/>
              <w:jc w:val="center"/>
              <w:rPr>
                <w:rFonts w:ascii="宋体" w:hAnsi="宋体" w:cs="宋体"/>
                <w:kern w:val="0"/>
                <w:sz w:val="24"/>
              </w:rPr>
            </w:pPr>
            <w:r>
              <w:rPr>
                <w:rFonts w:hint="eastAsia" w:ascii="宋体" w:hAnsi="宋体" w:cs="宋体"/>
                <w:kern w:val="0"/>
                <w:sz w:val="24"/>
              </w:rPr>
              <w:t>项目名称</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745F1D9A">
            <w:pPr>
              <w:widowControl/>
              <w:jc w:val="center"/>
              <w:rPr>
                <w:rFonts w:ascii="宋体" w:hAnsi="宋体" w:cs="宋体"/>
                <w:kern w:val="0"/>
                <w:sz w:val="24"/>
              </w:rPr>
            </w:pPr>
            <w:r>
              <w:rPr>
                <w:rFonts w:hint="eastAsia" w:ascii="宋体" w:hAnsi="宋体" w:cs="宋体"/>
                <w:kern w:val="0"/>
                <w:sz w:val="24"/>
              </w:rPr>
              <w:t>取消药品加成补助（省级）</w:t>
            </w:r>
          </w:p>
        </w:tc>
      </w:tr>
      <w:tr w14:paraId="2F0F282D">
        <w:tblPrEx>
          <w:tblCellMar>
            <w:top w:w="0" w:type="dxa"/>
            <w:left w:w="108" w:type="dxa"/>
            <w:bottom w:w="0" w:type="dxa"/>
            <w:right w:w="108" w:type="dxa"/>
          </w:tblCellMar>
        </w:tblPrEx>
        <w:trPr>
          <w:trHeight w:val="405" w:hRule="atLeast"/>
        </w:trPr>
        <w:tc>
          <w:tcPr>
            <w:tcW w:w="4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94F1D8">
            <w:pPr>
              <w:widowControl/>
              <w:jc w:val="center"/>
              <w:rPr>
                <w:rFonts w:ascii="宋体" w:hAnsi="宋体" w:cs="宋体"/>
                <w:kern w:val="0"/>
                <w:sz w:val="24"/>
              </w:rPr>
            </w:pPr>
            <w:r>
              <w:rPr>
                <w:rFonts w:hint="eastAsia" w:ascii="宋体" w:hAnsi="宋体" w:cs="宋体"/>
                <w:kern w:val="0"/>
                <w:sz w:val="24"/>
              </w:rPr>
              <w:t>预算单位</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7DFEC5EC">
            <w:pPr>
              <w:widowControl/>
              <w:jc w:val="center"/>
              <w:rPr>
                <w:rFonts w:ascii="宋体" w:hAnsi="宋体" w:cs="宋体"/>
                <w:kern w:val="0"/>
                <w:sz w:val="24"/>
              </w:rPr>
            </w:pPr>
            <w:r>
              <w:rPr>
                <w:rFonts w:hint="eastAsia" w:ascii="宋体" w:hAnsi="宋体" w:cs="宋体"/>
                <w:kern w:val="0"/>
                <w:sz w:val="24"/>
              </w:rPr>
              <w:t>德阳市罗江区中医医院</w:t>
            </w:r>
          </w:p>
        </w:tc>
      </w:tr>
      <w:tr w14:paraId="4C872782">
        <w:tblPrEx>
          <w:tblCellMar>
            <w:top w:w="0" w:type="dxa"/>
            <w:left w:w="108" w:type="dxa"/>
            <w:bottom w:w="0" w:type="dxa"/>
            <w:right w:w="108" w:type="dxa"/>
          </w:tblCellMar>
        </w:tblPrEx>
        <w:trPr>
          <w:trHeight w:val="285" w:hRule="atLeast"/>
        </w:trPr>
        <w:tc>
          <w:tcPr>
            <w:tcW w:w="43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020580">
            <w:pPr>
              <w:widowControl/>
              <w:jc w:val="center"/>
              <w:rPr>
                <w:rFonts w:ascii="宋体" w:hAnsi="宋体" w:cs="宋体"/>
                <w:kern w:val="0"/>
                <w:sz w:val="24"/>
              </w:rPr>
            </w:pPr>
            <w:r>
              <w:rPr>
                <w:rFonts w:hint="eastAsia" w:ascii="宋体" w:hAnsi="宋体" w:cs="宋体"/>
                <w:kern w:val="0"/>
                <w:sz w:val="24"/>
              </w:rPr>
              <w:t>项目资金</w:t>
            </w:r>
          </w:p>
          <w:p w14:paraId="149902FA">
            <w:pPr>
              <w:widowControl/>
              <w:jc w:val="center"/>
              <w:rPr>
                <w:rFonts w:ascii="宋体" w:hAnsi="宋体" w:cs="宋体"/>
                <w:kern w:val="0"/>
                <w:sz w:val="24"/>
              </w:rPr>
            </w:pPr>
            <w:r>
              <w:rPr>
                <w:rFonts w:hint="eastAsia" w:ascii="宋体" w:hAnsi="宋体" w:cs="宋体"/>
                <w:kern w:val="0"/>
                <w:sz w:val="24"/>
              </w:rPr>
              <w:t>（万元）</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52972C80">
            <w:pPr>
              <w:widowControl/>
              <w:jc w:val="left"/>
              <w:rPr>
                <w:rFonts w:ascii="宋体" w:hAnsi="宋体" w:cs="宋体"/>
                <w:kern w:val="0"/>
                <w:sz w:val="24"/>
              </w:rPr>
            </w:pPr>
            <w:r>
              <w:rPr>
                <w:rFonts w:hint="eastAsia" w:ascii="宋体" w:hAnsi="宋体" w:cs="宋体"/>
                <w:kern w:val="0"/>
                <w:sz w:val="24"/>
              </w:rPr>
              <w:t xml:space="preserve">   年度资金总额：12.00</w:t>
            </w:r>
          </w:p>
        </w:tc>
      </w:tr>
      <w:tr w14:paraId="267424C5">
        <w:tblPrEx>
          <w:tblCellMar>
            <w:top w:w="0" w:type="dxa"/>
            <w:left w:w="108" w:type="dxa"/>
            <w:bottom w:w="0" w:type="dxa"/>
            <w:right w:w="108" w:type="dxa"/>
          </w:tblCellMar>
        </w:tblPrEx>
        <w:trPr>
          <w:trHeight w:val="285" w:hRule="atLeast"/>
        </w:trPr>
        <w:tc>
          <w:tcPr>
            <w:tcW w:w="4380" w:type="dxa"/>
            <w:gridSpan w:val="3"/>
            <w:vMerge w:val="continue"/>
            <w:tcBorders>
              <w:top w:val="single" w:color="auto" w:sz="4" w:space="0"/>
              <w:left w:val="single" w:color="auto" w:sz="4" w:space="0"/>
              <w:bottom w:val="single" w:color="auto" w:sz="4" w:space="0"/>
              <w:right w:val="single" w:color="auto" w:sz="4" w:space="0"/>
            </w:tcBorders>
            <w:vAlign w:val="center"/>
          </w:tcPr>
          <w:p w14:paraId="4CD4D531">
            <w:pPr>
              <w:widowControl/>
              <w:jc w:val="left"/>
              <w:rPr>
                <w:rFonts w:ascii="宋体" w:hAnsi="宋体" w:cs="宋体"/>
                <w:kern w:val="0"/>
                <w:sz w:val="24"/>
              </w:rPr>
            </w:pP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48A2AA88">
            <w:pPr>
              <w:widowControl/>
              <w:jc w:val="left"/>
              <w:rPr>
                <w:rFonts w:ascii="宋体" w:hAnsi="宋体" w:cs="宋体"/>
                <w:kern w:val="0"/>
                <w:sz w:val="24"/>
              </w:rPr>
            </w:pPr>
            <w:r>
              <w:rPr>
                <w:rFonts w:hint="eastAsia" w:ascii="宋体" w:hAnsi="宋体" w:cs="宋体"/>
                <w:kern w:val="0"/>
                <w:sz w:val="24"/>
              </w:rPr>
              <w:t xml:space="preserve">        其中：财政拨款 12.00</w:t>
            </w:r>
          </w:p>
        </w:tc>
      </w:tr>
      <w:tr w14:paraId="27100E4E">
        <w:tblPrEx>
          <w:tblCellMar>
            <w:top w:w="0" w:type="dxa"/>
            <w:left w:w="108" w:type="dxa"/>
            <w:bottom w:w="0" w:type="dxa"/>
            <w:right w:w="108" w:type="dxa"/>
          </w:tblCellMar>
        </w:tblPrEx>
        <w:trPr>
          <w:trHeight w:val="285" w:hRule="atLeast"/>
        </w:trPr>
        <w:tc>
          <w:tcPr>
            <w:tcW w:w="4380" w:type="dxa"/>
            <w:gridSpan w:val="3"/>
            <w:vMerge w:val="continue"/>
            <w:tcBorders>
              <w:top w:val="single" w:color="auto" w:sz="4" w:space="0"/>
              <w:left w:val="single" w:color="auto" w:sz="4" w:space="0"/>
              <w:bottom w:val="single" w:color="auto" w:sz="4" w:space="0"/>
              <w:right w:val="single" w:color="auto" w:sz="4" w:space="0"/>
            </w:tcBorders>
            <w:vAlign w:val="center"/>
          </w:tcPr>
          <w:p w14:paraId="5E2FCD57">
            <w:pPr>
              <w:widowControl/>
              <w:jc w:val="left"/>
              <w:rPr>
                <w:rFonts w:ascii="宋体" w:hAnsi="宋体" w:cs="宋体"/>
                <w:kern w:val="0"/>
                <w:sz w:val="24"/>
              </w:rPr>
            </w:pP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16C92F66">
            <w:pPr>
              <w:widowControl/>
              <w:jc w:val="left"/>
              <w:rPr>
                <w:rFonts w:ascii="宋体" w:hAnsi="宋体" w:cs="宋体"/>
                <w:kern w:val="0"/>
                <w:sz w:val="24"/>
              </w:rPr>
            </w:pPr>
            <w:r>
              <w:rPr>
                <w:rFonts w:hint="eastAsia" w:ascii="宋体" w:hAnsi="宋体" w:cs="宋体"/>
                <w:kern w:val="0"/>
                <w:sz w:val="24"/>
              </w:rPr>
              <w:t xml:space="preserve">        其他资金：</w:t>
            </w:r>
          </w:p>
        </w:tc>
      </w:tr>
      <w:tr w14:paraId="0322B5FC">
        <w:tblPrEx>
          <w:tblCellMar>
            <w:top w:w="0" w:type="dxa"/>
            <w:left w:w="108" w:type="dxa"/>
            <w:bottom w:w="0" w:type="dxa"/>
            <w:right w:w="108" w:type="dxa"/>
          </w:tblCellMar>
        </w:tblPrEx>
        <w:trPr>
          <w:trHeight w:val="600"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79F841D6">
            <w:pPr>
              <w:widowControl/>
              <w:jc w:val="center"/>
              <w:rPr>
                <w:rFonts w:ascii="宋体" w:hAnsi="宋体" w:cs="宋体"/>
                <w:kern w:val="0"/>
                <w:sz w:val="24"/>
              </w:rPr>
            </w:pPr>
            <w:r>
              <w:rPr>
                <w:rFonts w:hint="eastAsia" w:ascii="宋体" w:hAnsi="宋体" w:cs="宋体"/>
                <w:kern w:val="0"/>
                <w:sz w:val="24"/>
              </w:rPr>
              <w:t>年度目标完成情况</w:t>
            </w:r>
          </w:p>
          <w:p w14:paraId="157C9919">
            <w:pPr>
              <w:widowControl/>
              <w:jc w:val="center"/>
              <w:rPr>
                <w:rFonts w:ascii="宋体" w:hAnsi="宋体" w:cs="宋体"/>
                <w:kern w:val="0"/>
                <w:sz w:val="24"/>
              </w:rPr>
            </w:pPr>
            <w:r>
              <w:rPr>
                <w:rFonts w:hint="eastAsia" w:ascii="宋体" w:hAnsi="宋体" w:cs="宋体"/>
                <w:kern w:val="0"/>
                <w:sz w:val="24"/>
              </w:rPr>
              <w:t>体</w:t>
            </w:r>
          </w:p>
          <w:p w14:paraId="50880463">
            <w:pPr>
              <w:widowControl/>
              <w:jc w:val="center"/>
              <w:rPr>
                <w:rFonts w:ascii="宋体" w:hAnsi="宋体" w:cs="宋体"/>
                <w:kern w:val="0"/>
                <w:sz w:val="24"/>
              </w:rPr>
            </w:pPr>
            <w:r>
              <w:rPr>
                <w:rFonts w:hint="eastAsia" w:ascii="宋体" w:hAnsi="宋体" w:cs="宋体"/>
                <w:kern w:val="0"/>
                <w:sz w:val="24"/>
              </w:rPr>
              <w:t>目</w:t>
            </w:r>
          </w:p>
          <w:p w14:paraId="3C3AB446">
            <w:pPr>
              <w:widowControl/>
              <w:jc w:val="center"/>
              <w:rPr>
                <w:rFonts w:ascii="宋体" w:hAnsi="宋体" w:cs="宋体"/>
                <w:kern w:val="0"/>
                <w:sz w:val="24"/>
              </w:rPr>
            </w:pPr>
            <w:r>
              <w:rPr>
                <w:rFonts w:hint="eastAsia" w:ascii="宋体" w:hAnsi="宋体" w:cs="宋体"/>
                <w:kern w:val="0"/>
                <w:sz w:val="24"/>
              </w:rPr>
              <w:t>标</w:t>
            </w:r>
          </w:p>
        </w:tc>
        <w:tc>
          <w:tcPr>
            <w:tcW w:w="3320" w:type="dxa"/>
            <w:gridSpan w:val="2"/>
            <w:tcBorders>
              <w:top w:val="single" w:color="auto" w:sz="4" w:space="0"/>
              <w:left w:val="nil"/>
              <w:bottom w:val="single" w:color="auto" w:sz="4" w:space="0"/>
              <w:right w:val="single" w:color="auto" w:sz="4" w:space="0"/>
            </w:tcBorders>
            <w:shd w:val="clear" w:color="auto" w:fill="auto"/>
            <w:vAlign w:val="center"/>
          </w:tcPr>
          <w:p w14:paraId="20A36E5D">
            <w:pPr>
              <w:widowControl/>
              <w:jc w:val="center"/>
              <w:rPr>
                <w:rFonts w:ascii="宋体" w:hAnsi="宋体" w:cs="宋体"/>
                <w:color w:val="000000"/>
                <w:kern w:val="0"/>
                <w:sz w:val="24"/>
              </w:rPr>
            </w:pPr>
            <w:r>
              <w:rPr>
                <w:rFonts w:hint="eastAsia" w:ascii="宋体" w:hAnsi="宋体" w:cs="宋体"/>
                <w:color w:val="000000"/>
                <w:kern w:val="0"/>
                <w:sz w:val="24"/>
              </w:rPr>
              <w:t>预期目标</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20B655C1">
            <w:pPr>
              <w:widowControl/>
              <w:jc w:val="center"/>
              <w:rPr>
                <w:rFonts w:ascii="宋体" w:hAnsi="宋体" w:cs="宋体"/>
                <w:color w:val="000000"/>
                <w:kern w:val="0"/>
                <w:sz w:val="24"/>
              </w:rPr>
            </w:pPr>
            <w:r>
              <w:rPr>
                <w:rFonts w:hint="eastAsia" w:ascii="宋体" w:hAnsi="宋体" w:cs="宋体"/>
                <w:color w:val="000000"/>
                <w:kern w:val="0"/>
                <w:sz w:val="24"/>
              </w:rPr>
              <w:t>完成目标</w:t>
            </w:r>
          </w:p>
        </w:tc>
      </w:tr>
      <w:tr w14:paraId="7BF3D142">
        <w:tblPrEx>
          <w:tblCellMar>
            <w:top w:w="0" w:type="dxa"/>
            <w:left w:w="108" w:type="dxa"/>
            <w:bottom w:w="0" w:type="dxa"/>
            <w:right w:w="108" w:type="dxa"/>
          </w:tblCellMar>
        </w:tblPrEx>
        <w:trPr>
          <w:trHeight w:val="870" w:hRule="atLeast"/>
        </w:trPr>
        <w:tc>
          <w:tcPr>
            <w:tcW w:w="1060" w:type="dxa"/>
            <w:vMerge w:val="continue"/>
            <w:tcBorders>
              <w:top w:val="nil"/>
              <w:left w:val="single" w:color="auto" w:sz="4" w:space="0"/>
              <w:bottom w:val="single" w:color="000000" w:sz="4" w:space="0"/>
              <w:right w:val="single" w:color="auto" w:sz="4" w:space="0"/>
            </w:tcBorders>
            <w:vAlign w:val="center"/>
          </w:tcPr>
          <w:p w14:paraId="0BB2FB4F">
            <w:pPr>
              <w:widowControl/>
              <w:jc w:val="left"/>
              <w:rPr>
                <w:rFonts w:ascii="宋体" w:hAnsi="宋体" w:cs="宋体"/>
                <w:kern w:val="0"/>
                <w:sz w:val="24"/>
              </w:rPr>
            </w:pPr>
          </w:p>
        </w:tc>
        <w:tc>
          <w:tcPr>
            <w:tcW w:w="3320" w:type="dxa"/>
            <w:gridSpan w:val="2"/>
            <w:tcBorders>
              <w:top w:val="single" w:color="auto" w:sz="4" w:space="0"/>
              <w:left w:val="nil"/>
              <w:bottom w:val="single" w:color="auto" w:sz="4" w:space="0"/>
              <w:right w:val="single" w:color="000000" w:sz="4" w:space="0"/>
            </w:tcBorders>
            <w:shd w:val="clear" w:color="auto" w:fill="auto"/>
            <w:vAlign w:val="center"/>
          </w:tcPr>
          <w:p w14:paraId="497541D8">
            <w:pPr>
              <w:widowControl/>
              <w:jc w:val="center"/>
              <w:rPr>
                <w:rFonts w:ascii="宋体" w:hAnsi="宋体" w:cs="宋体"/>
                <w:color w:val="000000"/>
                <w:kern w:val="0"/>
                <w:sz w:val="24"/>
              </w:rPr>
            </w:pPr>
            <w:r>
              <w:rPr>
                <w:rFonts w:hint="eastAsia" w:ascii="宋体" w:hAnsi="宋体" w:cs="宋体"/>
                <w:color w:val="000000"/>
                <w:kern w:val="0"/>
                <w:sz w:val="24"/>
              </w:rPr>
              <w:t>药品（中药饮片除外）零差价销售</w:t>
            </w:r>
          </w:p>
        </w:tc>
        <w:tc>
          <w:tcPr>
            <w:tcW w:w="4620" w:type="dxa"/>
            <w:gridSpan w:val="2"/>
            <w:tcBorders>
              <w:top w:val="single" w:color="auto" w:sz="4" w:space="0"/>
              <w:left w:val="nil"/>
              <w:bottom w:val="single" w:color="auto" w:sz="4" w:space="0"/>
              <w:right w:val="single" w:color="000000" w:sz="4" w:space="0"/>
            </w:tcBorders>
            <w:shd w:val="clear" w:color="auto" w:fill="auto"/>
            <w:vAlign w:val="center"/>
          </w:tcPr>
          <w:p w14:paraId="7C3FA8E9">
            <w:pPr>
              <w:widowControl/>
              <w:jc w:val="center"/>
              <w:rPr>
                <w:rFonts w:ascii="宋体" w:hAnsi="宋体" w:cs="宋体"/>
                <w:color w:val="000000"/>
                <w:kern w:val="0"/>
                <w:sz w:val="24"/>
              </w:rPr>
            </w:pPr>
            <w:r>
              <w:rPr>
                <w:rFonts w:hint="eastAsia" w:ascii="宋体" w:hAnsi="宋体" w:cs="宋体"/>
                <w:color w:val="000000"/>
                <w:kern w:val="0"/>
                <w:sz w:val="24"/>
              </w:rPr>
              <w:t>实现了药品（中药饮片除外）零差价销售</w:t>
            </w:r>
          </w:p>
        </w:tc>
      </w:tr>
      <w:tr w14:paraId="198049AD">
        <w:tblPrEx>
          <w:tblCellMar>
            <w:top w:w="0" w:type="dxa"/>
            <w:left w:w="108" w:type="dxa"/>
            <w:bottom w:w="0" w:type="dxa"/>
            <w:right w:w="108" w:type="dxa"/>
          </w:tblCellMar>
        </w:tblPrEx>
        <w:trPr>
          <w:trHeight w:val="975"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6F7DEFD3">
            <w:pPr>
              <w:widowControl/>
              <w:jc w:val="left"/>
              <w:rPr>
                <w:rFonts w:ascii="宋体" w:hAnsi="宋体" w:cs="宋体"/>
                <w:kern w:val="0"/>
                <w:sz w:val="24"/>
              </w:rPr>
            </w:pPr>
            <w:r>
              <w:rPr>
                <w:rFonts w:hint="eastAsia" w:ascii="宋体" w:hAnsi="宋体"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14:paraId="22282655">
            <w:pPr>
              <w:widowControl/>
              <w:jc w:val="center"/>
              <w:rPr>
                <w:rFonts w:ascii="宋体" w:hAnsi="宋体" w:cs="宋体"/>
                <w:kern w:val="0"/>
                <w:sz w:val="24"/>
              </w:rPr>
            </w:pPr>
            <w:r>
              <w:rPr>
                <w:rFonts w:hint="eastAsia" w:ascii="宋体" w:hAnsi="宋体" w:cs="宋体"/>
                <w:kern w:val="0"/>
                <w:sz w:val="24"/>
              </w:rPr>
              <w:t>一级指标</w:t>
            </w:r>
          </w:p>
        </w:tc>
        <w:tc>
          <w:tcPr>
            <w:tcW w:w="1800" w:type="dxa"/>
            <w:tcBorders>
              <w:top w:val="nil"/>
              <w:left w:val="nil"/>
              <w:bottom w:val="single" w:color="auto" w:sz="4" w:space="0"/>
              <w:right w:val="single" w:color="auto" w:sz="4" w:space="0"/>
            </w:tcBorders>
            <w:shd w:val="clear" w:color="auto" w:fill="auto"/>
            <w:vAlign w:val="center"/>
          </w:tcPr>
          <w:p w14:paraId="5EC4360D">
            <w:pPr>
              <w:widowControl/>
              <w:jc w:val="center"/>
              <w:rPr>
                <w:rFonts w:ascii="宋体" w:hAnsi="宋体" w:cs="宋体"/>
                <w:kern w:val="0"/>
                <w:sz w:val="24"/>
              </w:rPr>
            </w:pPr>
            <w:r>
              <w:rPr>
                <w:rFonts w:hint="eastAsia" w:ascii="宋体" w:hAnsi="宋体" w:cs="宋体"/>
                <w:kern w:val="0"/>
                <w:sz w:val="24"/>
              </w:rPr>
              <w:t>二级指标</w:t>
            </w:r>
          </w:p>
        </w:tc>
        <w:tc>
          <w:tcPr>
            <w:tcW w:w="2060" w:type="dxa"/>
            <w:tcBorders>
              <w:top w:val="nil"/>
              <w:left w:val="nil"/>
              <w:bottom w:val="single" w:color="auto" w:sz="4" w:space="0"/>
              <w:right w:val="single" w:color="auto" w:sz="4" w:space="0"/>
            </w:tcBorders>
            <w:shd w:val="clear" w:color="auto" w:fill="auto"/>
            <w:vAlign w:val="center"/>
          </w:tcPr>
          <w:p w14:paraId="32E11EFC">
            <w:pPr>
              <w:widowControl/>
              <w:jc w:val="center"/>
              <w:rPr>
                <w:rFonts w:ascii="宋体" w:hAnsi="宋体" w:cs="宋体"/>
                <w:kern w:val="0"/>
                <w:sz w:val="24"/>
              </w:rPr>
            </w:pPr>
            <w:r>
              <w:rPr>
                <w:rFonts w:hint="eastAsia" w:ascii="宋体" w:hAnsi="宋体" w:cs="宋体"/>
                <w:kern w:val="0"/>
                <w:sz w:val="24"/>
              </w:rPr>
              <w:t>三级指标</w:t>
            </w:r>
          </w:p>
        </w:tc>
        <w:tc>
          <w:tcPr>
            <w:tcW w:w="2560" w:type="dxa"/>
            <w:tcBorders>
              <w:top w:val="nil"/>
              <w:left w:val="nil"/>
              <w:bottom w:val="single" w:color="auto" w:sz="4" w:space="0"/>
              <w:right w:val="single" w:color="auto" w:sz="4" w:space="0"/>
            </w:tcBorders>
            <w:shd w:val="clear" w:color="auto" w:fill="auto"/>
            <w:vAlign w:val="center"/>
          </w:tcPr>
          <w:p w14:paraId="52498514">
            <w:pPr>
              <w:widowControl/>
              <w:jc w:val="center"/>
              <w:rPr>
                <w:rFonts w:ascii="宋体" w:hAnsi="宋体" w:cs="宋体"/>
                <w:kern w:val="0"/>
                <w:sz w:val="24"/>
              </w:rPr>
            </w:pPr>
            <w:r>
              <w:rPr>
                <w:rFonts w:hint="eastAsia" w:ascii="宋体" w:hAnsi="宋体" w:cs="宋体"/>
                <w:kern w:val="0"/>
                <w:sz w:val="24"/>
              </w:rPr>
              <w:t>指标值（包含数字及文字描述）</w:t>
            </w:r>
          </w:p>
        </w:tc>
      </w:tr>
      <w:tr w14:paraId="692DBE6C">
        <w:tblPrEx>
          <w:tblCellMar>
            <w:top w:w="0" w:type="dxa"/>
            <w:left w:w="108" w:type="dxa"/>
            <w:bottom w:w="0" w:type="dxa"/>
            <w:right w:w="108" w:type="dxa"/>
          </w:tblCellMar>
        </w:tblPrEx>
        <w:trPr>
          <w:trHeight w:val="285"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56E87894">
            <w:pPr>
              <w:widowControl/>
              <w:jc w:val="center"/>
              <w:rPr>
                <w:rFonts w:ascii="宋体" w:hAnsi="宋体" w:cs="宋体"/>
                <w:kern w:val="0"/>
                <w:sz w:val="24"/>
              </w:rPr>
            </w:pPr>
            <w:r>
              <w:rPr>
                <w:rFonts w:hint="eastAsia" w:ascii="宋体" w:hAnsi="宋体" w:cs="宋体"/>
                <w:kern w:val="0"/>
                <w:sz w:val="24"/>
              </w:rPr>
              <w:t>绩效目标</w:t>
            </w:r>
          </w:p>
        </w:tc>
        <w:tc>
          <w:tcPr>
            <w:tcW w:w="1520" w:type="dxa"/>
            <w:vMerge w:val="restart"/>
            <w:tcBorders>
              <w:top w:val="nil"/>
              <w:left w:val="single" w:color="auto" w:sz="4" w:space="0"/>
              <w:bottom w:val="nil"/>
              <w:right w:val="single" w:color="auto" w:sz="4" w:space="0"/>
            </w:tcBorders>
            <w:shd w:val="clear" w:color="auto" w:fill="auto"/>
            <w:vAlign w:val="center"/>
          </w:tcPr>
          <w:p w14:paraId="005226B7">
            <w:pPr>
              <w:widowControl/>
              <w:jc w:val="center"/>
              <w:rPr>
                <w:rFonts w:ascii="宋体" w:hAnsi="宋体" w:cs="宋体"/>
                <w:kern w:val="0"/>
                <w:sz w:val="24"/>
              </w:rPr>
            </w:pPr>
            <w:r>
              <w:rPr>
                <w:rFonts w:hint="eastAsia" w:ascii="宋体" w:hAnsi="宋体" w:cs="宋体"/>
                <w:kern w:val="0"/>
                <w:sz w:val="24"/>
              </w:rPr>
              <w:t>产出指标</w:t>
            </w:r>
          </w:p>
        </w:tc>
        <w:tc>
          <w:tcPr>
            <w:tcW w:w="1800" w:type="dxa"/>
            <w:tcBorders>
              <w:top w:val="nil"/>
              <w:left w:val="nil"/>
              <w:bottom w:val="nil"/>
              <w:right w:val="single" w:color="auto" w:sz="4" w:space="0"/>
            </w:tcBorders>
            <w:shd w:val="clear" w:color="auto" w:fill="auto"/>
            <w:vAlign w:val="center"/>
          </w:tcPr>
          <w:p w14:paraId="5E50C7AC">
            <w:pPr>
              <w:widowControl/>
              <w:jc w:val="center"/>
              <w:rPr>
                <w:rFonts w:ascii="宋体" w:hAnsi="宋体" w:cs="宋体"/>
                <w:kern w:val="0"/>
                <w:sz w:val="24"/>
              </w:rPr>
            </w:pPr>
            <w:r>
              <w:rPr>
                <w:rFonts w:hint="eastAsia" w:ascii="宋体" w:hAnsi="宋体" w:cs="宋体"/>
                <w:kern w:val="0"/>
                <w:sz w:val="24"/>
              </w:rPr>
              <w:t>数量指标</w:t>
            </w:r>
          </w:p>
        </w:tc>
        <w:tc>
          <w:tcPr>
            <w:tcW w:w="2060" w:type="dxa"/>
            <w:tcBorders>
              <w:top w:val="nil"/>
              <w:left w:val="nil"/>
              <w:bottom w:val="single" w:color="auto" w:sz="4" w:space="0"/>
              <w:right w:val="single" w:color="auto" w:sz="4" w:space="0"/>
            </w:tcBorders>
            <w:shd w:val="clear" w:color="auto" w:fill="auto"/>
            <w:vAlign w:val="center"/>
          </w:tcPr>
          <w:p w14:paraId="52081C81">
            <w:pPr>
              <w:widowControl/>
              <w:jc w:val="left"/>
              <w:rPr>
                <w:rFonts w:ascii="宋体" w:hAnsi="宋体" w:cs="宋体"/>
                <w:color w:val="000000"/>
                <w:kern w:val="0"/>
                <w:sz w:val="22"/>
                <w:szCs w:val="22"/>
              </w:rPr>
            </w:pPr>
            <w:r>
              <w:rPr>
                <w:rFonts w:hint="eastAsia" w:ascii="宋体" w:hAnsi="宋体" w:cs="宋体"/>
                <w:color w:val="000000"/>
                <w:kern w:val="0"/>
                <w:sz w:val="22"/>
                <w:szCs w:val="22"/>
              </w:rPr>
              <w:t>全部药品（中药饮片除外）零差价销售</w:t>
            </w:r>
          </w:p>
        </w:tc>
        <w:tc>
          <w:tcPr>
            <w:tcW w:w="2560" w:type="dxa"/>
            <w:tcBorders>
              <w:top w:val="nil"/>
              <w:left w:val="nil"/>
              <w:bottom w:val="single" w:color="auto" w:sz="4" w:space="0"/>
              <w:right w:val="single" w:color="auto" w:sz="4" w:space="0"/>
            </w:tcBorders>
            <w:shd w:val="clear" w:color="auto" w:fill="auto"/>
            <w:vAlign w:val="center"/>
          </w:tcPr>
          <w:p w14:paraId="03E6B0E2">
            <w:pPr>
              <w:widowControl/>
              <w:jc w:val="left"/>
              <w:rPr>
                <w:rFonts w:ascii="宋体" w:hAnsi="宋体" w:cs="宋体"/>
                <w:color w:val="000000"/>
                <w:kern w:val="0"/>
                <w:sz w:val="22"/>
                <w:szCs w:val="22"/>
              </w:rPr>
            </w:pPr>
            <w:r>
              <w:rPr>
                <w:rFonts w:hint="eastAsia" w:ascii="宋体" w:hAnsi="宋体" w:cs="宋体"/>
                <w:color w:val="000000"/>
                <w:kern w:val="0"/>
                <w:sz w:val="22"/>
                <w:szCs w:val="22"/>
              </w:rPr>
              <w:t>100%完成</w:t>
            </w:r>
          </w:p>
        </w:tc>
      </w:tr>
      <w:tr w14:paraId="619FFA00">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5ECD49FC">
            <w:pPr>
              <w:widowControl/>
              <w:jc w:val="left"/>
              <w:rPr>
                <w:rFonts w:ascii="宋体" w:hAnsi="宋体" w:cs="宋体"/>
                <w:kern w:val="0"/>
                <w:sz w:val="24"/>
              </w:rPr>
            </w:pPr>
          </w:p>
        </w:tc>
        <w:tc>
          <w:tcPr>
            <w:tcW w:w="1520" w:type="dxa"/>
            <w:vMerge w:val="continue"/>
            <w:tcBorders>
              <w:top w:val="nil"/>
              <w:left w:val="single" w:color="auto" w:sz="4" w:space="0"/>
              <w:bottom w:val="nil"/>
              <w:right w:val="single" w:color="auto" w:sz="4" w:space="0"/>
            </w:tcBorders>
            <w:vAlign w:val="center"/>
          </w:tcPr>
          <w:p w14:paraId="116EF74E">
            <w:pPr>
              <w:widowControl/>
              <w:jc w:val="left"/>
              <w:rPr>
                <w:rFonts w:ascii="宋体" w:hAnsi="宋体" w:cs="宋体"/>
                <w:kern w:val="0"/>
                <w:sz w:val="24"/>
              </w:rPr>
            </w:pPr>
          </w:p>
        </w:tc>
        <w:tc>
          <w:tcPr>
            <w:tcW w:w="1800" w:type="dxa"/>
            <w:tcBorders>
              <w:top w:val="single" w:color="auto" w:sz="4" w:space="0"/>
              <w:left w:val="nil"/>
              <w:bottom w:val="nil"/>
              <w:right w:val="single" w:color="auto" w:sz="4" w:space="0"/>
            </w:tcBorders>
            <w:shd w:val="clear" w:color="auto" w:fill="auto"/>
            <w:vAlign w:val="center"/>
          </w:tcPr>
          <w:p w14:paraId="6ACB6663">
            <w:pPr>
              <w:widowControl/>
              <w:jc w:val="center"/>
              <w:rPr>
                <w:rFonts w:ascii="宋体" w:hAnsi="宋体" w:cs="宋体"/>
                <w:kern w:val="0"/>
                <w:sz w:val="24"/>
              </w:rPr>
            </w:pPr>
            <w:r>
              <w:rPr>
                <w:rFonts w:hint="eastAsia" w:ascii="宋体" w:hAnsi="宋体" w:cs="宋体"/>
                <w:kern w:val="0"/>
                <w:sz w:val="24"/>
              </w:rPr>
              <w:t>质量指标</w:t>
            </w:r>
          </w:p>
        </w:tc>
        <w:tc>
          <w:tcPr>
            <w:tcW w:w="2060" w:type="dxa"/>
            <w:tcBorders>
              <w:top w:val="nil"/>
              <w:left w:val="nil"/>
              <w:bottom w:val="single" w:color="auto" w:sz="4" w:space="0"/>
              <w:right w:val="single" w:color="auto" w:sz="4" w:space="0"/>
            </w:tcBorders>
            <w:shd w:val="clear" w:color="auto" w:fill="auto"/>
            <w:vAlign w:val="center"/>
          </w:tcPr>
          <w:p w14:paraId="67FCCF63">
            <w:pPr>
              <w:widowControl/>
              <w:jc w:val="left"/>
              <w:rPr>
                <w:rFonts w:ascii="宋体" w:hAnsi="宋体" w:cs="宋体"/>
                <w:color w:val="000000"/>
                <w:kern w:val="0"/>
                <w:sz w:val="22"/>
                <w:szCs w:val="22"/>
              </w:rPr>
            </w:pPr>
            <w:r>
              <w:rPr>
                <w:rFonts w:hint="eastAsia" w:ascii="宋体" w:hAnsi="宋体" w:cs="宋体"/>
                <w:color w:val="000000"/>
                <w:kern w:val="0"/>
                <w:sz w:val="22"/>
                <w:szCs w:val="22"/>
              </w:rPr>
              <w:t>全部为合格药品</w:t>
            </w:r>
          </w:p>
        </w:tc>
        <w:tc>
          <w:tcPr>
            <w:tcW w:w="2560" w:type="dxa"/>
            <w:tcBorders>
              <w:top w:val="nil"/>
              <w:left w:val="nil"/>
              <w:bottom w:val="single" w:color="auto" w:sz="4" w:space="0"/>
              <w:right w:val="single" w:color="auto" w:sz="4" w:space="0"/>
            </w:tcBorders>
            <w:shd w:val="clear" w:color="auto" w:fill="auto"/>
            <w:vAlign w:val="center"/>
          </w:tcPr>
          <w:p w14:paraId="0DA35C71">
            <w:pPr>
              <w:widowControl/>
              <w:jc w:val="left"/>
              <w:rPr>
                <w:rFonts w:ascii="宋体" w:hAnsi="宋体" w:cs="宋体"/>
                <w:color w:val="000000"/>
                <w:kern w:val="0"/>
                <w:sz w:val="22"/>
                <w:szCs w:val="22"/>
              </w:rPr>
            </w:pPr>
            <w:r>
              <w:rPr>
                <w:rFonts w:hint="eastAsia" w:ascii="宋体" w:hAnsi="宋体" w:cs="宋体"/>
                <w:color w:val="000000"/>
                <w:kern w:val="0"/>
                <w:sz w:val="22"/>
                <w:szCs w:val="22"/>
              </w:rPr>
              <w:t>100%完成</w:t>
            </w:r>
          </w:p>
        </w:tc>
      </w:tr>
      <w:tr w14:paraId="64642286">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1A9B9C4E">
            <w:pPr>
              <w:widowControl/>
              <w:jc w:val="left"/>
              <w:rPr>
                <w:rFonts w:ascii="宋体" w:hAnsi="宋体" w:cs="宋体"/>
                <w:kern w:val="0"/>
                <w:sz w:val="24"/>
              </w:rPr>
            </w:pPr>
          </w:p>
        </w:tc>
        <w:tc>
          <w:tcPr>
            <w:tcW w:w="1520" w:type="dxa"/>
            <w:vMerge w:val="continue"/>
            <w:tcBorders>
              <w:top w:val="nil"/>
              <w:left w:val="single" w:color="auto" w:sz="4" w:space="0"/>
              <w:bottom w:val="nil"/>
              <w:right w:val="single" w:color="auto" w:sz="4" w:space="0"/>
            </w:tcBorders>
            <w:vAlign w:val="center"/>
          </w:tcPr>
          <w:p w14:paraId="62CB446F">
            <w:pPr>
              <w:widowControl/>
              <w:jc w:val="left"/>
              <w:rPr>
                <w:rFonts w:ascii="宋体" w:hAnsi="宋体" w:cs="宋体"/>
                <w:kern w:val="0"/>
                <w:sz w:val="24"/>
              </w:rPr>
            </w:pPr>
          </w:p>
        </w:tc>
        <w:tc>
          <w:tcPr>
            <w:tcW w:w="1800" w:type="dxa"/>
            <w:tcBorders>
              <w:top w:val="nil"/>
              <w:left w:val="nil"/>
              <w:bottom w:val="single" w:color="auto" w:sz="4" w:space="0"/>
              <w:right w:val="single" w:color="auto" w:sz="4" w:space="0"/>
            </w:tcBorders>
            <w:shd w:val="clear" w:color="auto" w:fill="auto"/>
            <w:vAlign w:val="center"/>
          </w:tcPr>
          <w:p w14:paraId="006A541F">
            <w:pPr>
              <w:widowControl/>
              <w:jc w:val="center"/>
              <w:rPr>
                <w:rFonts w:ascii="宋体" w:hAnsi="宋体" w:cs="宋体"/>
                <w:kern w:val="0"/>
                <w:sz w:val="24"/>
              </w:rPr>
            </w:pPr>
            <w:r>
              <w:rPr>
                <w:rFonts w:hint="eastAsia" w:ascii="宋体" w:hAnsi="宋体" w:cs="宋体"/>
                <w:kern w:val="0"/>
                <w:sz w:val="24"/>
              </w:rPr>
              <w:t>成本指标</w:t>
            </w:r>
          </w:p>
        </w:tc>
        <w:tc>
          <w:tcPr>
            <w:tcW w:w="2060" w:type="dxa"/>
            <w:tcBorders>
              <w:top w:val="nil"/>
              <w:left w:val="nil"/>
              <w:bottom w:val="single" w:color="auto" w:sz="4" w:space="0"/>
              <w:right w:val="single" w:color="auto" w:sz="4" w:space="0"/>
            </w:tcBorders>
            <w:shd w:val="clear" w:color="auto" w:fill="auto"/>
            <w:vAlign w:val="center"/>
          </w:tcPr>
          <w:p w14:paraId="56C93731">
            <w:pPr>
              <w:widowControl/>
              <w:jc w:val="left"/>
              <w:rPr>
                <w:rFonts w:ascii="宋体" w:hAnsi="宋体" w:cs="宋体"/>
                <w:color w:val="000000"/>
                <w:kern w:val="0"/>
                <w:sz w:val="22"/>
                <w:szCs w:val="22"/>
              </w:rPr>
            </w:pPr>
            <w:r>
              <w:rPr>
                <w:rFonts w:hint="eastAsia" w:ascii="宋体" w:hAnsi="宋体" w:cs="宋体"/>
                <w:color w:val="000000"/>
                <w:kern w:val="0"/>
                <w:sz w:val="22"/>
                <w:szCs w:val="22"/>
              </w:rPr>
              <w:t>按购进价销售</w:t>
            </w:r>
          </w:p>
        </w:tc>
        <w:tc>
          <w:tcPr>
            <w:tcW w:w="2560" w:type="dxa"/>
            <w:tcBorders>
              <w:top w:val="nil"/>
              <w:left w:val="nil"/>
              <w:bottom w:val="single" w:color="auto" w:sz="4" w:space="0"/>
              <w:right w:val="single" w:color="auto" w:sz="4" w:space="0"/>
            </w:tcBorders>
            <w:shd w:val="clear" w:color="auto" w:fill="auto"/>
            <w:vAlign w:val="center"/>
          </w:tcPr>
          <w:p w14:paraId="62C03BE7">
            <w:pPr>
              <w:widowControl/>
              <w:jc w:val="left"/>
              <w:rPr>
                <w:rFonts w:ascii="宋体" w:hAnsi="宋体" w:cs="宋体"/>
                <w:color w:val="000000"/>
                <w:kern w:val="0"/>
                <w:sz w:val="22"/>
                <w:szCs w:val="22"/>
              </w:rPr>
            </w:pPr>
            <w:r>
              <w:rPr>
                <w:rFonts w:hint="eastAsia" w:ascii="宋体" w:hAnsi="宋体" w:cs="宋体"/>
                <w:color w:val="000000"/>
                <w:kern w:val="0"/>
                <w:sz w:val="22"/>
                <w:szCs w:val="22"/>
              </w:rPr>
              <w:t>100%</w:t>
            </w:r>
          </w:p>
        </w:tc>
      </w:tr>
      <w:tr w14:paraId="4CE8A6A5">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09812A1C">
            <w:pPr>
              <w:widowControl/>
              <w:jc w:val="left"/>
              <w:rPr>
                <w:rFonts w:ascii="宋体" w:hAnsi="宋体" w:cs="宋体"/>
                <w:kern w:val="0"/>
                <w:sz w:val="24"/>
              </w:rPr>
            </w:pPr>
          </w:p>
        </w:tc>
        <w:tc>
          <w:tcPr>
            <w:tcW w:w="15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BA2F665">
            <w:pPr>
              <w:widowControl/>
              <w:jc w:val="center"/>
              <w:rPr>
                <w:rFonts w:ascii="宋体" w:hAnsi="宋体" w:cs="宋体"/>
                <w:kern w:val="0"/>
                <w:sz w:val="24"/>
              </w:rPr>
            </w:pPr>
            <w:r>
              <w:rPr>
                <w:rFonts w:hint="eastAsia" w:ascii="宋体" w:hAnsi="宋体" w:cs="宋体"/>
                <w:kern w:val="0"/>
                <w:sz w:val="24"/>
              </w:rPr>
              <w:t>效益指标</w:t>
            </w:r>
          </w:p>
        </w:tc>
        <w:tc>
          <w:tcPr>
            <w:tcW w:w="1800" w:type="dxa"/>
            <w:tcBorders>
              <w:top w:val="nil"/>
              <w:left w:val="nil"/>
              <w:bottom w:val="nil"/>
              <w:right w:val="single" w:color="auto" w:sz="4" w:space="0"/>
            </w:tcBorders>
            <w:shd w:val="clear" w:color="auto" w:fill="auto"/>
            <w:vAlign w:val="center"/>
          </w:tcPr>
          <w:p w14:paraId="1685C9D2">
            <w:pPr>
              <w:widowControl/>
              <w:jc w:val="center"/>
              <w:rPr>
                <w:rFonts w:ascii="宋体" w:hAnsi="宋体" w:cs="宋体"/>
                <w:kern w:val="0"/>
                <w:sz w:val="24"/>
              </w:rPr>
            </w:pPr>
            <w:r>
              <w:rPr>
                <w:rFonts w:hint="eastAsia" w:ascii="宋体" w:hAnsi="宋体" w:cs="宋体"/>
                <w:kern w:val="0"/>
                <w:sz w:val="24"/>
              </w:rPr>
              <w:t>社会效益指标</w:t>
            </w:r>
          </w:p>
        </w:tc>
        <w:tc>
          <w:tcPr>
            <w:tcW w:w="2060" w:type="dxa"/>
            <w:tcBorders>
              <w:top w:val="nil"/>
              <w:left w:val="nil"/>
              <w:bottom w:val="single" w:color="auto" w:sz="4" w:space="0"/>
              <w:right w:val="single" w:color="auto" w:sz="4" w:space="0"/>
            </w:tcBorders>
            <w:shd w:val="clear" w:color="auto" w:fill="auto"/>
            <w:vAlign w:val="center"/>
          </w:tcPr>
          <w:p w14:paraId="5EF59FBF">
            <w:pPr>
              <w:widowControl/>
              <w:jc w:val="left"/>
              <w:rPr>
                <w:rFonts w:ascii="宋体" w:hAnsi="宋体" w:cs="宋体"/>
                <w:color w:val="000000"/>
                <w:kern w:val="0"/>
                <w:sz w:val="22"/>
                <w:szCs w:val="22"/>
              </w:rPr>
            </w:pPr>
            <w:r>
              <w:rPr>
                <w:rFonts w:hint="eastAsia" w:ascii="宋体" w:hAnsi="宋体" w:cs="宋体"/>
                <w:color w:val="000000"/>
                <w:kern w:val="0"/>
                <w:sz w:val="22"/>
                <w:szCs w:val="22"/>
              </w:rPr>
              <w:t>群众满意</w:t>
            </w:r>
          </w:p>
        </w:tc>
        <w:tc>
          <w:tcPr>
            <w:tcW w:w="2560" w:type="dxa"/>
            <w:tcBorders>
              <w:top w:val="nil"/>
              <w:left w:val="nil"/>
              <w:bottom w:val="single" w:color="auto" w:sz="4" w:space="0"/>
              <w:right w:val="single" w:color="auto" w:sz="4" w:space="0"/>
            </w:tcBorders>
            <w:shd w:val="clear" w:color="auto" w:fill="auto"/>
            <w:vAlign w:val="center"/>
          </w:tcPr>
          <w:p w14:paraId="5B226A7E">
            <w:pPr>
              <w:widowControl/>
              <w:jc w:val="left"/>
              <w:rPr>
                <w:rFonts w:ascii="宋体" w:hAnsi="宋体" w:cs="宋体"/>
                <w:color w:val="000000"/>
                <w:kern w:val="0"/>
                <w:sz w:val="22"/>
                <w:szCs w:val="22"/>
              </w:rPr>
            </w:pPr>
            <w:r>
              <w:rPr>
                <w:rFonts w:hint="eastAsia" w:ascii="宋体" w:hAnsi="宋体" w:cs="宋体"/>
                <w:color w:val="000000"/>
                <w:kern w:val="0"/>
                <w:sz w:val="22"/>
                <w:szCs w:val="22"/>
              </w:rPr>
              <w:t>100%</w:t>
            </w:r>
          </w:p>
        </w:tc>
      </w:tr>
      <w:tr w14:paraId="66385F5C">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439F47D8">
            <w:pPr>
              <w:widowControl/>
              <w:jc w:val="left"/>
              <w:rPr>
                <w:rFonts w:ascii="宋体" w:hAnsi="宋体" w:cs="宋体"/>
                <w:kern w:val="0"/>
                <w:sz w:val="24"/>
              </w:rPr>
            </w:pPr>
          </w:p>
        </w:tc>
        <w:tc>
          <w:tcPr>
            <w:tcW w:w="1520" w:type="dxa"/>
            <w:vMerge w:val="continue"/>
            <w:tcBorders>
              <w:top w:val="single" w:color="auto" w:sz="4" w:space="0"/>
              <w:left w:val="single" w:color="auto" w:sz="4" w:space="0"/>
              <w:bottom w:val="single" w:color="000000" w:sz="4" w:space="0"/>
              <w:right w:val="single" w:color="auto" w:sz="4" w:space="0"/>
            </w:tcBorders>
            <w:vAlign w:val="center"/>
          </w:tcPr>
          <w:p w14:paraId="36919A82">
            <w:pPr>
              <w:widowControl/>
              <w:jc w:val="left"/>
              <w:rPr>
                <w:rFonts w:ascii="宋体" w:hAnsi="宋体" w:cs="宋体"/>
                <w:kern w:val="0"/>
                <w:sz w:val="24"/>
              </w:rPr>
            </w:pPr>
          </w:p>
        </w:tc>
        <w:tc>
          <w:tcPr>
            <w:tcW w:w="1800" w:type="dxa"/>
            <w:tcBorders>
              <w:top w:val="single" w:color="auto" w:sz="4" w:space="0"/>
              <w:left w:val="nil"/>
              <w:bottom w:val="single" w:color="auto" w:sz="4" w:space="0"/>
              <w:right w:val="single" w:color="auto" w:sz="4" w:space="0"/>
            </w:tcBorders>
            <w:shd w:val="clear" w:color="auto" w:fill="auto"/>
            <w:vAlign w:val="center"/>
          </w:tcPr>
          <w:p w14:paraId="25579EE3">
            <w:pPr>
              <w:widowControl/>
              <w:jc w:val="center"/>
              <w:rPr>
                <w:rFonts w:ascii="宋体" w:hAnsi="宋体" w:cs="宋体"/>
                <w:kern w:val="0"/>
                <w:sz w:val="24"/>
              </w:rPr>
            </w:pPr>
            <w:r>
              <w:rPr>
                <w:rFonts w:hint="eastAsia" w:ascii="宋体" w:hAnsi="宋体" w:cs="宋体"/>
                <w:kern w:val="0"/>
                <w:sz w:val="24"/>
              </w:rPr>
              <w:t>可持续影响指标</w:t>
            </w:r>
          </w:p>
        </w:tc>
        <w:tc>
          <w:tcPr>
            <w:tcW w:w="2060" w:type="dxa"/>
            <w:tcBorders>
              <w:top w:val="nil"/>
              <w:left w:val="nil"/>
              <w:bottom w:val="single" w:color="auto" w:sz="4" w:space="0"/>
              <w:right w:val="single" w:color="auto" w:sz="4" w:space="0"/>
            </w:tcBorders>
            <w:shd w:val="clear" w:color="auto" w:fill="auto"/>
            <w:vAlign w:val="center"/>
          </w:tcPr>
          <w:p w14:paraId="58FADC13">
            <w:pPr>
              <w:widowControl/>
              <w:jc w:val="left"/>
              <w:rPr>
                <w:rFonts w:ascii="宋体" w:hAnsi="宋体" w:cs="宋体"/>
                <w:kern w:val="0"/>
                <w:sz w:val="22"/>
                <w:szCs w:val="22"/>
              </w:rPr>
            </w:pPr>
            <w:r>
              <w:rPr>
                <w:rFonts w:hint="eastAsia" w:ascii="宋体" w:hAnsi="宋体" w:cs="宋体"/>
                <w:kern w:val="0"/>
                <w:sz w:val="22"/>
                <w:szCs w:val="22"/>
              </w:rPr>
              <w:t>群众满意</w:t>
            </w:r>
          </w:p>
        </w:tc>
        <w:tc>
          <w:tcPr>
            <w:tcW w:w="2560" w:type="dxa"/>
            <w:tcBorders>
              <w:top w:val="nil"/>
              <w:left w:val="nil"/>
              <w:bottom w:val="single" w:color="auto" w:sz="4" w:space="0"/>
              <w:right w:val="single" w:color="auto" w:sz="4" w:space="0"/>
            </w:tcBorders>
            <w:shd w:val="clear" w:color="auto" w:fill="auto"/>
            <w:vAlign w:val="center"/>
          </w:tcPr>
          <w:p w14:paraId="7480A2BC">
            <w:pPr>
              <w:widowControl/>
              <w:jc w:val="left"/>
              <w:rPr>
                <w:rFonts w:ascii="宋体" w:hAnsi="宋体" w:cs="宋体"/>
                <w:color w:val="000000"/>
                <w:kern w:val="0"/>
                <w:sz w:val="22"/>
                <w:szCs w:val="22"/>
              </w:rPr>
            </w:pPr>
            <w:r>
              <w:rPr>
                <w:rFonts w:hint="eastAsia" w:ascii="宋体" w:hAnsi="宋体" w:cs="宋体"/>
                <w:color w:val="000000"/>
                <w:kern w:val="0"/>
                <w:sz w:val="22"/>
                <w:szCs w:val="22"/>
              </w:rPr>
              <w:t>100%</w:t>
            </w:r>
          </w:p>
        </w:tc>
      </w:tr>
      <w:tr w14:paraId="6E10613A">
        <w:tblPrEx>
          <w:tblCellMar>
            <w:top w:w="0" w:type="dxa"/>
            <w:left w:w="108" w:type="dxa"/>
            <w:bottom w:w="0" w:type="dxa"/>
            <w:right w:w="108" w:type="dxa"/>
          </w:tblCellMar>
        </w:tblPrEx>
        <w:trPr>
          <w:trHeight w:val="585" w:hRule="atLeast"/>
        </w:trPr>
        <w:tc>
          <w:tcPr>
            <w:tcW w:w="1060" w:type="dxa"/>
            <w:vMerge w:val="continue"/>
            <w:tcBorders>
              <w:top w:val="nil"/>
              <w:left w:val="single" w:color="auto" w:sz="4" w:space="0"/>
              <w:bottom w:val="single" w:color="000000" w:sz="4" w:space="0"/>
              <w:right w:val="single" w:color="auto" w:sz="4" w:space="0"/>
            </w:tcBorders>
            <w:vAlign w:val="center"/>
          </w:tcPr>
          <w:p w14:paraId="3DBDBC6F">
            <w:pPr>
              <w:widowControl/>
              <w:jc w:val="left"/>
              <w:rPr>
                <w:rFonts w:ascii="宋体" w:hAnsi="宋体" w:cs="宋体"/>
                <w:kern w:val="0"/>
                <w:sz w:val="24"/>
              </w:rPr>
            </w:pPr>
          </w:p>
        </w:tc>
        <w:tc>
          <w:tcPr>
            <w:tcW w:w="1520" w:type="dxa"/>
            <w:tcBorders>
              <w:top w:val="nil"/>
              <w:left w:val="nil"/>
              <w:bottom w:val="single" w:color="auto" w:sz="4" w:space="0"/>
              <w:right w:val="single" w:color="auto" w:sz="4" w:space="0"/>
            </w:tcBorders>
            <w:shd w:val="clear" w:color="auto" w:fill="auto"/>
            <w:vAlign w:val="center"/>
          </w:tcPr>
          <w:p w14:paraId="6E481D39">
            <w:pPr>
              <w:widowControl/>
              <w:jc w:val="center"/>
              <w:rPr>
                <w:rFonts w:ascii="宋体" w:hAnsi="宋体" w:cs="宋体"/>
                <w:kern w:val="0"/>
                <w:sz w:val="24"/>
              </w:rPr>
            </w:pPr>
            <w:r>
              <w:rPr>
                <w:rFonts w:hint="eastAsia" w:ascii="宋体" w:hAnsi="宋体" w:cs="宋体"/>
                <w:kern w:val="0"/>
                <w:sz w:val="24"/>
              </w:rPr>
              <w:t>满意度指标</w:t>
            </w:r>
          </w:p>
        </w:tc>
        <w:tc>
          <w:tcPr>
            <w:tcW w:w="1800" w:type="dxa"/>
            <w:tcBorders>
              <w:top w:val="nil"/>
              <w:left w:val="nil"/>
              <w:bottom w:val="single" w:color="auto" w:sz="4" w:space="0"/>
              <w:right w:val="single" w:color="auto" w:sz="4" w:space="0"/>
            </w:tcBorders>
            <w:shd w:val="clear" w:color="auto" w:fill="auto"/>
            <w:vAlign w:val="center"/>
          </w:tcPr>
          <w:p w14:paraId="03DC51B4">
            <w:pPr>
              <w:widowControl/>
              <w:jc w:val="center"/>
              <w:rPr>
                <w:rFonts w:ascii="宋体" w:hAnsi="宋体" w:cs="宋体"/>
                <w:kern w:val="0"/>
                <w:sz w:val="24"/>
              </w:rPr>
            </w:pPr>
            <w:r>
              <w:rPr>
                <w:rFonts w:hint="eastAsia" w:ascii="宋体" w:hAnsi="宋体" w:cs="宋体"/>
                <w:kern w:val="0"/>
                <w:sz w:val="24"/>
              </w:rPr>
              <w:t>服务对象满意度指标</w:t>
            </w:r>
          </w:p>
        </w:tc>
        <w:tc>
          <w:tcPr>
            <w:tcW w:w="2060" w:type="dxa"/>
            <w:tcBorders>
              <w:top w:val="nil"/>
              <w:left w:val="nil"/>
              <w:bottom w:val="single" w:color="auto" w:sz="4" w:space="0"/>
              <w:right w:val="single" w:color="auto" w:sz="4" w:space="0"/>
            </w:tcBorders>
            <w:shd w:val="clear" w:color="auto" w:fill="auto"/>
            <w:vAlign w:val="center"/>
          </w:tcPr>
          <w:p w14:paraId="28F24929">
            <w:pPr>
              <w:widowControl/>
              <w:jc w:val="left"/>
              <w:rPr>
                <w:rFonts w:ascii="宋体" w:hAnsi="宋体" w:cs="宋体"/>
                <w:color w:val="000000"/>
                <w:kern w:val="0"/>
                <w:sz w:val="22"/>
                <w:szCs w:val="22"/>
              </w:rPr>
            </w:pPr>
            <w:r>
              <w:rPr>
                <w:rFonts w:hint="eastAsia" w:ascii="宋体" w:hAnsi="宋体" w:cs="宋体"/>
                <w:color w:val="000000"/>
                <w:kern w:val="0"/>
                <w:sz w:val="22"/>
                <w:szCs w:val="22"/>
              </w:rPr>
              <w:t>群众满意</w:t>
            </w:r>
          </w:p>
        </w:tc>
        <w:tc>
          <w:tcPr>
            <w:tcW w:w="2560" w:type="dxa"/>
            <w:tcBorders>
              <w:top w:val="nil"/>
              <w:left w:val="nil"/>
              <w:bottom w:val="single" w:color="auto" w:sz="4" w:space="0"/>
              <w:right w:val="single" w:color="auto" w:sz="4" w:space="0"/>
            </w:tcBorders>
            <w:shd w:val="clear" w:color="auto" w:fill="auto"/>
            <w:vAlign w:val="center"/>
          </w:tcPr>
          <w:p w14:paraId="59765556">
            <w:pPr>
              <w:widowControl/>
              <w:jc w:val="left"/>
              <w:rPr>
                <w:rFonts w:ascii="宋体" w:hAnsi="宋体" w:cs="宋体"/>
                <w:color w:val="000000"/>
                <w:kern w:val="0"/>
                <w:sz w:val="22"/>
                <w:szCs w:val="22"/>
              </w:rPr>
            </w:pPr>
            <w:r>
              <w:rPr>
                <w:rFonts w:hint="eastAsia" w:ascii="宋体" w:hAnsi="宋体" w:cs="宋体"/>
                <w:color w:val="000000"/>
                <w:kern w:val="0"/>
                <w:sz w:val="22"/>
                <w:szCs w:val="22"/>
              </w:rPr>
              <w:t>100%</w:t>
            </w:r>
          </w:p>
        </w:tc>
      </w:tr>
      <w:tr w14:paraId="6649F963">
        <w:tblPrEx>
          <w:tblCellMar>
            <w:top w:w="0" w:type="dxa"/>
            <w:left w:w="108" w:type="dxa"/>
            <w:bottom w:w="0" w:type="dxa"/>
            <w:right w:w="108" w:type="dxa"/>
          </w:tblCellMar>
        </w:tblPrEx>
        <w:trPr>
          <w:trHeight w:val="510" w:hRule="atLeast"/>
        </w:trPr>
        <w:tc>
          <w:tcPr>
            <w:tcW w:w="9000" w:type="dxa"/>
            <w:gridSpan w:val="5"/>
            <w:tcBorders>
              <w:top w:val="nil"/>
              <w:left w:val="nil"/>
              <w:bottom w:val="nil"/>
              <w:right w:val="nil"/>
            </w:tcBorders>
            <w:shd w:val="clear" w:color="auto" w:fill="auto"/>
            <w:vAlign w:val="center"/>
          </w:tcPr>
          <w:p w14:paraId="404EE942">
            <w:pPr>
              <w:widowControl/>
              <w:jc w:val="center"/>
              <w:rPr>
                <w:rFonts w:ascii="宋体" w:hAnsi="宋体" w:cs="宋体"/>
                <w:b/>
                <w:bCs/>
                <w:kern w:val="0"/>
                <w:sz w:val="40"/>
                <w:szCs w:val="40"/>
              </w:rPr>
            </w:pPr>
          </w:p>
          <w:p w14:paraId="1EB1F01D">
            <w:pPr>
              <w:widowControl/>
              <w:jc w:val="center"/>
              <w:rPr>
                <w:rFonts w:ascii="宋体" w:hAnsi="宋体" w:cs="宋体"/>
                <w:b/>
                <w:bCs/>
                <w:kern w:val="0"/>
                <w:sz w:val="40"/>
                <w:szCs w:val="40"/>
              </w:rPr>
            </w:pPr>
          </w:p>
          <w:p w14:paraId="2427F6C3">
            <w:pPr>
              <w:widowControl/>
              <w:jc w:val="center"/>
              <w:rPr>
                <w:rFonts w:ascii="宋体" w:hAnsi="宋体" w:cs="宋体"/>
                <w:b/>
                <w:bCs/>
                <w:kern w:val="0"/>
                <w:sz w:val="40"/>
                <w:szCs w:val="40"/>
              </w:rPr>
            </w:pPr>
          </w:p>
          <w:p w14:paraId="1DCB5AB3">
            <w:pPr>
              <w:widowControl/>
              <w:jc w:val="center"/>
              <w:rPr>
                <w:rFonts w:ascii="宋体" w:hAnsi="宋体" w:cs="宋体"/>
                <w:b/>
                <w:bCs/>
                <w:kern w:val="0"/>
                <w:sz w:val="40"/>
                <w:szCs w:val="40"/>
              </w:rPr>
            </w:pPr>
          </w:p>
          <w:p w14:paraId="73CBF38D">
            <w:pPr>
              <w:widowControl/>
              <w:jc w:val="center"/>
              <w:rPr>
                <w:rFonts w:ascii="宋体" w:hAnsi="宋体" w:cs="宋体"/>
                <w:b/>
                <w:bCs/>
                <w:kern w:val="0"/>
                <w:sz w:val="40"/>
                <w:szCs w:val="40"/>
              </w:rPr>
            </w:pPr>
          </w:p>
          <w:p w14:paraId="3C7441B9">
            <w:pPr>
              <w:widowControl/>
              <w:jc w:val="center"/>
              <w:rPr>
                <w:rFonts w:ascii="宋体" w:hAnsi="宋体" w:cs="宋体"/>
                <w:b/>
                <w:bCs/>
                <w:kern w:val="0"/>
                <w:sz w:val="40"/>
                <w:szCs w:val="40"/>
              </w:rPr>
            </w:pPr>
          </w:p>
          <w:p w14:paraId="1C966E6B">
            <w:pPr>
              <w:widowControl/>
              <w:jc w:val="center"/>
              <w:rPr>
                <w:rFonts w:ascii="宋体" w:hAnsi="宋体" w:cs="宋体"/>
                <w:b/>
                <w:bCs/>
                <w:kern w:val="0"/>
                <w:sz w:val="40"/>
                <w:szCs w:val="40"/>
              </w:rPr>
            </w:pPr>
          </w:p>
          <w:p w14:paraId="68A8A107">
            <w:pPr>
              <w:widowControl/>
              <w:ind w:firstLine="1528" w:firstLineChars="346"/>
              <w:rPr>
                <w:rFonts w:ascii="宋体" w:hAnsi="宋体" w:cs="宋体"/>
                <w:b/>
                <w:bCs/>
                <w:kern w:val="0"/>
                <w:sz w:val="40"/>
                <w:szCs w:val="40"/>
              </w:rPr>
            </w:pPr>
            <w:r>
              <w:rPr>
                <w:rFonts w:hint="eastAsia" w:ascii="方正小标宋简体" w:hAnsi="方正小标宋简体" w:eastAsia="方正小标宋简体" w:cs="方正小标宋简体"/>
                <w:b/>
                <w:bCs/>
                <w:kern w:val="0"/>
                <w:sz w:val="44"/>
                <w:szCs w:val="44"/>
              </w:rPr>
              <w:t>2020年度项目绩效目标申报表</w:t>
            </w:r>
          </w:p>
        </w:tc>
      </w:tr>
      <w:tr w14:paraId="03B19491">
        <w:tblPrEx>
          <w:tblCellMar>
            <w:top w:w="0" w:type="dxa"/>
            <w:left w:w="108" w:type="dxa"/>
            <w:bottom w:w="0" w:type="dxa"/>
            <w:right w:w="108" w:type="dxa"/>
          </w:tblCellMar>
        </w:tblPrEx>
        <w:trPr>
          <w:trHeight w:val="375" w:hRule="atLeast"/>
        </w:trPr>
        <w:tc>
          <w:tcPr>
            <w:tcW w:w="9000" w:type="dxa"/>
            <w:gridSpan w:val="5"/>
            <w:tcBorders>
              <w:top w:val="nil"/>
              <w:left w:val="nil"/>
              <w:bottom w:val="nil"/>
              <w:right w:val="nil"/>
            </w:tcBorders>
            <w:shd w:val="clear" w:color="auto" w:fill="auto"/>
            <w:noWrap/>
            <w:vAlign w:val="center"/>
          </w:tcPr>
          <w:p w14:paraId="44F495B7">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r>
      <w:tr w14:paraId="59A2C9BF">
        <w:tblPrEx>
          <w:tblCellMar>
            <w:top w:w="0" w:type="dxa"/>
            <w:left w:w="108" w:type="dxa"/>
            <w:bottom w:w="0" w:type="dxa"/>
            <w:right w:w="108" w:type="dxa"/>
          </w:tblCellMar>
        </w:tblPrEx>
        <w:trPr>
          <w:trHeight w:val="420" w:hRule="atLeast"/>
        </w:trPr>
        <w:tc>
          <w:tcPr>
            <w:tcW w:w="4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32FEC2">
            <w:pPr>
              <w:widowControl/>
              <w:jc w:val="center"/>
              <w:rPr>
                <w:rFonts w:ascii="宋体" w:hAnsi="宋体" w:cs="宋体"/>
                <w:kern w:val="0"/>
                <w:sz w:val="24"/>
              </w:rPr>
            </w:pPr>
            <w:r>
              <w:rPr>
                <w:rFonts w:hint="eastAsia" w:ascii="宋体" w:hAnsi="宋体" w:cs="宋体"/>
                <w:kern w:val="0"/>
                <w:sz w:val="24"/>
              </w:rPr>
              <w:t>项目名称</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544B273A">
            <w:pPr>
              <w:widowControl/>
              <w:jc w:val="center"/>
              <w:rPr>
                <w:rFonts w:ascii="宋体" w:hAnsi="宋体" w:cs="宋体"/>
                <w:kern w:val="0"/>
                <w:sz w:val="24"/>
              </w:rPr>
            </w:pPr>
            <w:r>
              <w:rPr>
                <w:rFonts w:hint="eastAsia" w:ascii="宋体" w:hAnsi="宋体" w:cs="宋体"/>
                <w:kern w:val="0"/>
                <w:sz w:val="24"/>
              </w:rPr>
              <w:t>万名骨干人才培养项目（肖丽）</w:t>
            </w:r>
          </w:p>
        </w:tc>
      </w:tr>
      <w:tr w14:paraId="01112C64">
        <w:tblPrEx>
          <w:tblCellMar>
            <w:top w:w="0" w:type="dxa"/>
            <w:left w:w="108" w:type="dxa"/>
            <w:bottom w:w="0" w:type="dxa"/>
            <w:right w:w="108" w:type="dxa"/>
          </w:tblCellMar>
        </w:tblPrEx>
        <w:trPr>
          <w:trHeight w:val="405" w:hRule="atLeast"/>
        </w:trPr>
        <w:tc>
          <w:tcPr>
            <w:tcW w:w="4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CC4E7F">
            <w:pPr>
              <w:widowControl/>
              <w:jc w:val="center"/>
              <w:rPr>
                <w:rFonts w:ascii="宋体" w:hAnsi="宋体" w:cs="宋体"/>
                <w:kern w:val="0"/>
                <w:sz w:val="24"/>
              </w:rPr>
            </w:pPr>
            <w:r>
              <w:rPr>
                <w:rFonts w:hint="eastAsia" w:ascii="宋体" w:hAnsi="宋体" w:cs="宋体"/>
                <w:kern w:val="0"/>
                <w:sz w:val="24"/>
              </w:rPr>
              <w:t>预算单位</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18FCCEBC">
            <w:pPr>
              <w:widowControl/>
              <w:jc w:val="center"/>
              <w:rPr>
                <w:rFonts w:ascii="宋体" w:hAnsi="宋体" w:cs="宋体"/>
                <w:kern w:val="0"/>
                <w:sz w:val="24"/>
              </w:rPr>
            </w:pPr>
            <w:r>
              <w:rPr>
                <w:rFonts w:hint="eastAsia" w:ascii="宋体" w:hAnsi="宋体" w:cs="宋体"/>
                <w:kern w:val="0"/>
                <w:sz w:val="24"/>
              </w:rPr>
              <w:t>德阳市罗江区中医医院</w:t>
            </w:r>
          </w:p>
        </w:tc>
      </w:tr>
      <w:tr w14:paraId="5B50B2F6">
        <w:tblPrEx>
          <w:tblCellMar>
            <w:top w:w="0" w:type="dxa"/>
            <w:left w:w="108" w:type="dxa"/>
            <w:bottom w:w="0" w:type="dxa"/>
            <w:right w:w="108" w:type="dxa"/>
          </w:tblCellMar>
        </w:tblPrEx>
        <w:trPr>
          <w:trHeight w:val="285" w:hRule="atLeast"/>
        </w:trPr>
        <w:tc>
          <w:tcPr>
            <w:tcW w:w="43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B9A6D0">
            <w:pPr>
              <w:widowControl/>
              <w:jc w:val="center"/>
              <w:rPr>
                <w:rFonts w:ascii="宋体" w:hAnsi="宋体" w:cs="宋体"/>
                <w:kern w:val="0"/>
                <w:sz w:val="24"/>
              </w:rPr>
            </w:pPr>
            <w:r>
              <w:rPr>
                <w:rFonts w:hint="eastAsia" w:ascii="宋体" w:hAnsi="宋体" w:cs="宋体"/>
                <w:kern w:val="0"/>
                <w:sz w:val="24"/>
              </w:rPr>
              <w:t>项目资金</w:t>
            </w:r>
          </w:p>
          <w:p w14:paraId="0F6B39A7">
            <w:pPr>
              <w:widowControl/>
              <w:jc w:val="center"/>
              <w:rPr>
                <w:rFonts w:ascii="宋体" w:hAnsi="宋体" w:cs="宋体"/>
                <w:kern w:val="0"/>
                <w:sz w:val="24"/>
              </w:rPr>
            </w:pPr>
            <w:r>
              <w:rPr>
                <w:rFonts w:hint="eastAsia" w:ascii="宋体" w:hAnsi="宋体" w:cs="宋体"/>
                <w:kern w:val="0"/>
                <w:sz w:val="24"/>
              </w:rPr>
              <w:t>（万元）</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287C9344">
            <w:pPr>
              <w:widowControl/>
              <w:jc w:val="left"/>
              <w:rPr>
                <w:rFonts w:ascii="宋体" w:hAnsi="宋体" w:cs="宋体"/>
                <w:kern w:val="0"/>
                <w:sz w:val="24"/>
              </w:rPr>
            </w:pPr>
            <w:r>
              <w:rPr>
                <w:rFonts w:hint="eastAsia" w:ascii="宋体" w:hAnsi="宋体" w:cs="宋体"/>
                <w:kern w:val="0"/>
                <w:sz w:val="24"/>
              </w:rPr>
              <w:t xml:space="preserve">   年度资金总额：3.00</w:t>
            </w:r>
          </w:p>
        </w:tc>
      </w:tr>
      <w:tr w14:paraId="08F9CF82">
        <w:tblPrEx>
          <w:tblCellMar>
            <w:top w:w="0" w:type="dxa"/>
            <w:left w:w="108" w:type="dxa"/>
            <w:bottom w:w="0" w:type="dxa"/>
            <w:right w:w="108" w:type="dxa"/>
          </w:tblCellMar>
        </w:tblPrEx>
        <w:trPr>
          <w:trHeight w:val="285" w:hRule="atLeast"/>
        </w:trPr>
        <w:tc>
          <w:tcPr>
            <w:tcW w:w="4380" w:type="dxa"/>
            <w:gridSpan w:val="3"/>
            <w:vMerge w:val="continue"/>
            <w:tcBorders>
              <w:top w:val="single" w:color="auto" w:sz="4" w:space="0"/>
              <w:left w:val="single" w:color="auto" w:sz="4" w:space="0"/>
              <w:bottom w:val="single" w:color="auto" w:sz="4" w:space="0"/>
              <w:right w:val="single" w:color="auto" w:sz="4" w:space="0"/>
            </w:tcBorders>
            <w:vAlign w:val="center"/>
          </w:tcPr>
          <w:p w14:paraId="3959ADD9">
            <w:pPr>
              <w:widowControl/>
              <w:jc w:val="left"/>
              <w:rPr>
                <w:rFonts w:ascii="宋体" w:hAnsi="宋体" w:cs="宋体"/>
                <w:kern w:val="0"/>
                <w:sz w:val="24"/>
              </w:rPr>
            </w:pP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25454EE4">
            <w:pPr>
              <w:widowControl/>
              <w:jc w:val="left"/>
              <w:rPr>
                <w:rFonts w:ascii="宋体" w:hAnsi="宋体" w:cs="宋体"/>
                <w:kern w:val="0"/>
                <w:sz w:val="24"/>
              </w:rPr>
            </w:pPr>
            <w:r>
              <w:rPr>
                <w:rFonts w:hint="eastAsia" w:ascii="宋体" w:hAnsi="宋体" w:cs="宋体"/>
                <w:kern w:val="0"/>
                <w:sz w:val="24"/>
              </w:rPr>
              <w:t xml:space="preserve">        其中：财政拨款3.00</w:t>
            </w:r>
          </w:p>
        </w:tc>
      </w:tr>
      <w:tr w14:paraId="071A371D">
        <w:tblPrEx>
          <w:tblCellMar>
            <w:top w:w="0" w:type="dxa"/>
            <w:left w:w="108" w:type="dxa"/>
            <w:bottom w:w="0" w:type="dxa"/>
            <w:right w:w="108" w:type="dxa"/>
          </w:tblCellMar>
        </w:tblPrEx>
        <w:trPr>
          <w:trHeight w:val="285" w:hRule="atLeast"/>
        </w:trPr>
        <w:tc>
          <w:tcPr>
            <w:tcW w:w="4380" w:type="dxa"/>
            <w:gridSpan w:val="3"/>
            <w:vMerge w:val="continue"/>
            <w:tcBorders>
              <w:top w:val="single" w:color="auto" w:sz="4" w:space="0"/>
              <w:left w:val="single" w:color="auto" w:sz="4" w:space="0"/>
              <w:bottom w:val="single" w:color="auto" w:sz="4" w:space="0"/>
              <w:right w:val="single" w:color="auto" w:sz="4" w:space="0"/>
            </w:tcBorders>
            <w:vAlign w:val="center"/>
          </w:tcPr>
          <w:p w14:paraId="0B426D43">
            <w:pPr>
              <w:widowControl/>
              <w:jc w:val="left"/>
              <w:rPr>
                <w:rFonts w:ascii="宋体" w:hAnsi="宋体" w:cs="宋体"/>
                <w:kern w:val="0"/>
                <w:sz w:val="24"/>
              </w:rPr>
            </w:pP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5A4B3C50">
            <w:pPr>
              <w:widowControl/>
              <w:jc w:val="left"/>
              <w:rPr>
                <w:rFonts w:ascii="宋体" w:hAnsi="宋体" w:cs="宋体"/>
                <w:kern w:val="0"/>
                <w:sz w:val="24"/>
              </w:rPr>
            </w:pPr>
            <w:r>
              <w:rPr>
                <w:rFonts w:hint="eastAsia" w:ascii="宋体" w:hAnsi="宋体" w:cs="宋体"/>
                <w:kern w:val="0"/>
                <w:sz w:val="24"/>
              </w:rPr>
              <w:t xml:space="preserve">        其他资金：</w:t>
            </w:r>
          </w:p>
        </w:tc>
      </w:tr>
      <w:tr w14:paraId="450A045E">
        <w:tblPrEx>
          <w:tblCellMar>
            <w:top w:w="0" w:type="dxa"/>
            <w:left w:w="108" w:type="dxa"/>
            <w:bottom w:w="0" w:type="dxa"/>
            <w:right w:w="108" w:type="dxa"/>
          </w:tblCellMar>
        </w:tblPrEx>
        <w:trPr>
          <w:trHeight w:val="600"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663E8A6C">
            <w:pPr>
              <w:widowControl/>
              <w:jc w:val="center"/>
              <w:rPr>
                <w:rFonts w:ascii="宋体" w:hAnsi="宋体" w:cs="宋体"/>
                <w:kern w:val="0"/>
                <w:sz w:val="24"/>
              </w:rPr>
            </w:pPr>
            <w:r>
              <w:rPr>
                <w:rFonts w:hint="eastAsia" w:ascii="宋体" w:hAnsi="宋体" w:cs="宋体"/>
                <w:kern w:val="0"/>
                <w:sz w:val="24"/>
              </w:rPr>
              <w:t>年度目标完成情况</w:t>
            </w:r>
          </w:p>
          <w:p w14:paraId="1CE2C592">
            <w:pPr>
              <w:widowControl/>
              <w:jc w:val="center"/>
              <w:rPr>
                <w:rFonts w:ascii="宋体" w:hAnsi="宋体" w:cs="宋体"/>
                <w:kern w:val="0"/>
                <w:sz w:val="24"/>
              </w:rPr>
            </w:pPr>
            <w:r>
              <w:rPr>
                <w:rFonts w:hint="eastAsia" w:ascii="宋体" w:hAnsi="宋体" w:cs="宋体"/>
                <w:kern w:val="0"/>
                <w:sz w:val="24"/>
              </w:rPr>
              <w:t>体</w:t>
            </w:r>
          </w:p>
          <w:p w14:paraId="1FA0B823">
            <w:pPr>
              <w:widowControl/>
              <w:jc w:val="center"/>
              <w:rPr>
                <w:rFonts w:ascii="宋体" w:hAnsi="宋体" w:cs="宋体"/>
                <w:kern w:val="0"/>
                <w:sz w:val="24"/>
              </w:rPr>
            </w:pPr>
            <w:r>
              <w:rPr>
                <w:rFonts w:hint="eastAsia" w:ascii="宋体" w:hAnsi="宋体" w:cs="宋体"/>
                <w:kern w:val="0"/>
                <w:sz w:val="24"/>
              </w:rPr>
              <w:t>目</w:t>
            </w:r>
          </w:p>
          <w:p w14:paraId="1F9B84F2">
            <w:pPr>
              <w:widowControl/>
              <w:jc w:val="center"/>
              <w:rPr>
                <w:rFonts w:ascii="宋体" w:hAnsi="宋体" w:cs="宋体"/>
                <w:kern w:val="0"/>
                <w:sz w:val="24"/>
              </w:rPr>
            </w:pPr>
            <w:r>
              <w:rPr>
                <w:rFonts w:hint="eastAsia" w:ascii="宋体" w:hAnsi="宋体" w:cs="宋体"/>
                <w:kern w:val="0"/>
                <w:sz w:val="24"/>
              </w:rPr>
              <w:t>标</w:t>
            </w:r>
          </w:p>
        </w:tc>
        <w:tc>
          <w:tcPr>
            <w:tcW w:w="3320" w:type="dxa"/>
            <w:gridSpan w:val="2"/>
            <w:tcBorders>
              <w:top w:val="single" w:color="auto" w:sz="4" w:space="0"/>
              <w:left w:val="nil"/>
              <w:bottom w:val="single" w:color="auto" w:sz="4" w:space="0"/>
              <w:right w:val="single" w:color="auto" w:sz="4" w:space="0"/>
            </w:tcBorders>
            <w:shd w:val="clear" w:color="auto" w:fill="auto"/>
            <w:vAlign w:val="center"/>
          </w:tcPr>
          <w:p w14:paraId="0E52BED5">
            <w:pPr>
              <w:widowControl/>
              <w:jc w:val="center"/>
              <w:rPr>
                <w:rFonts w:ascii="宋体" w:hAnsi="宋体" w:cs="宋体"/>
                <w:color w:val="000000"/>
                <w:kern w:val="0"/>
                <w:sz w:val="24"/>
              </w:rPr>
            </w:pPr>
            <w:r>
              <w:rPr>
                <w:rFonts w:hint="eastAsia" w:ascii="宋体" w:hAnsi="宋体" w:cs="宋体"/>
                <w:color w:val="000000"/>
                <w:kern w:val="0"/>
                <w:sz w:val="24"/>
              </w:rPr>
              <w:t>预期目标</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31E76C6B">
            <w:pPr>
              <w:widowControl/>
              <w:jc w:val="center"/>
              <w:rPr>
                <w:rFonts w:ascii="宋体" w:hAnsi="宋体" w:cs="宋体"/>
                <w:color w:val="000000"/>
                <w:kern w:val="0"/>
                <w:sz w:val="24"/>
              </w:rPr>
            </w:pPr>
            <w:r>
              <w:rPr>
                <w:rFonts w:hint="eastAsia" w:ascii="宋体" w:hAnsi="宋体" w:cs="宋体"/>
                <w:color w:val="000000"/>
                <w:kern w:val="0"/>
                <w:sz w:val="24"/>
              </w:rPr>
              <w:t>完成目标</w:t>
            </w:r>
          </w:p>
        </w:tc>
      </w:tr>
      <w:tr w14:paraId="35A18A05">
        <w:tblPrEx>
          <w:tblCellMar>
            <w:top w:w="0" w:type="dxa"/>
            <w:left w:w="108" w:type="dxa"/>
            <w:bottom w:w="0" w:type="dxa"/>
            <w:right w:w="108" w:type="dxa"/>
          </w:tblCellMar>
        </w:tblPrEx>
        <w:trPr>
          <w:trHeight w:val="870" w:hRule="atLeast"/>
        </w:trPr>
        <w:tc>
          <w:tcPr>
            <w:tcW w:w="1060" w:type="dxa"/>
            <w:vMerge w:val="continue"/>
            <w:tcBorders>
              <w:top w:val="nil"/>
              <w:left w:val="single" w:color="auto" w:sz="4" w:space="0"/>
              <w:bottom w:val="single" w:color="000000" w:sz="4" w:space="0"/>
              <w:right w:val="single" w:color="auto" w:sz="4" w:space="0"/>
            </w:tcBorders>
            <w:vAlign w:val="center"/>
          </w:tcPr>
          <w:p w14:paraId="2C6869B2">
            <w:pPr>
              <w:widowControl/>
              <w:jc w:val="left"/>
              <w:rPr>
                <w:rFonts w:ascii="宋体" w:hAnsi="宋体" w:cs="宋体"/>
                <w:kern w:val="0"/>
                <w:sz w:val="24"/>
              </w:rPr>
            </w:pPr>
          </w:p>
        </w:tc>
        <w:tc>
          <w:tcPr>
            <w:tcW w:w="3320" w:type="dxa"/>
            <w:gridSpan w:val="2"/>
            <w:tcBorders>
              <w:top w:val="single" w:color="auto" w:sz="4" w:space="0"/>
              <w:left w:val="nil"/>
              <w:bottom w:val="single" w:color="auto" w:sz="4" w:space="0"/>
              <w:right w:val="single" w:color="000000" w:sz="4" w:space="0"/>
            </w:tcBorders>
            <w:shd w:val="clear" w:color="auto" w:fill="auto"/>
            <w:vAlign w:val="center"/>
          </w:tcPr>
          <w:p w14:paraId="4D7C8033">
            <w:pPr>
              <w:widowControl/>
              <w:jc w:val="center"/>
              <w:rPr>
                <w:rFonts w:ascii="宋体" w:hAnsi="宋体" w:cs="宋体"/>
                <w:color w:val="000000"/>
                <w:kern w:val="0"/>
                <w:sz w:val="24"/>
              </w:rPr>
            </w:pPr>
            <w:r>
              <w:rPr>
                <w:rFonts w:hint="eastAsia" w:ascii="宋体" w:hAnsi="宋体" w:cs="宋体"/>
                <w:color w:val="000000"/>
                <w:kern w:val="0"/>
                <w:sz w:val="24"/>
              </w:rPr>
              <w:t>培养肖丽为中药特色传承人才</w:t>
            </w:r>
          </w:p>
        </w:tc>
        <w:tc>
          <w:tcPr>
            <w:tcW w:w="4620" w:type="dxa"/>
            <w:gridSpan w:val="2"/>
            <w:tcBorders>
              <w:top w:val="single" w:color="auto" w:sz="4" w:space="0"/>
              <w:left w:val="nil"/>
              <w:bottom w:val="single" w:color="auto" w:sz="4" w:space="0"/>
              <w:right w:val="single" w:color="000000" w:sz="4" w:space="0"/>
            </w:tcBorders>
            <w:shd w:val="clear" w:color="auto" w:fill="auto"/>
            <w:vAlign w:val="center"/>
          </w:tcPr>
          <w:p w14:paraId="08D5BAC2">
            <w:pPr>
              <w:widowControl/>
              <w:jc w:val="center"/>
              <w:rPr>
                <w:rFonts w:ascii="宋体" w:hAnsi="宋体" w:cs="宋体"/>
                <w:color w:val="000000"/>
                <w:kern w:val="0"/>
                <w:sz w:val="24"/>
              </w:rPr>
            </w:pPr>
            <w:r>
              <w:rPr>
                <w:rFonts w:hint="eastAsia" w:ascii="宋体" w:hAnsi="宋体" w:cs="宋体"/>
                <w:color w:val="000000"/>
                <w:kern w:val="0"/>
                <w:sz w:val="24"/>
              </w:rPr>
              <w:t>到达预期目标</w:t>
            </w:r>
          </w:p>
        </w:tc>
      </w:tr>
      <w:tr w14:paraId="0B3518D2">
        <w:tblPrEx>
          <w:tblCellMar>
            <w:top w:w="0" w:type="dxa"/>
            <w:left w:w="108" w:type="dxa"/>
            <w:bottom w:w="0" w:type="dxa"/>
            <w:right w:w="108" w:type="dxa"/>
          </w:tblCellMar>
        </w:tblPrEx>
        <w:trPr>
          <w:trHeight w:val="975"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1DA9F4BC">
            <w:pPr>
              <w:widowControl/>
              <w:jc w:val="left"/>
              <w:rPr>
                <w:rFonts w:ascii="宋体" w:hAnsi="宋体" w:cs="宋体"/>
                <w:kern w:val="0"/>
                <w:sz w:val="24"/>
              </w:rPr>
            </w:pPr>
            <w:r>
              <w:rPr>
                <w:rFonts w:hint="eastAsia" w:ascii="宋体" w:hAnsi="宋体"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14:paraId="1B5EDA4F">
            <w:pPr>
              <w:widowControl/>
              <w:jc w:val="center"/>
              <w:rPr>
                <w:rFonts w:ascii="宋体" w:hAnsi="宋体" w:cs="宋体"/>
                <w:kern w:val="0"/>
                <w:sz w:val="24"/>
              </w:rPr>
            </w:pPr>
            <w:r>
              <w:rPr>
                <w:rFonts w:hint="eastAsia" w:ascii="宋体" w:hAnsi="宋体" w:cs="宋体"/>
                <w:kern w:val="0"/>
                <w:sz w:val="24"/>
              </w:rPr>
              <w:t>一级指标</w:t>
            </w:r>
          </w:p>
        </w:tc>
        <w:tc>
          <w:tcPr>
            <w:tcW w:w="1800" w:type="dxa"/>
            <w:tcBorders>
              <w:top w:val="nil"/>
              <w:left w:val="nil"/>
              <w:bottom w:val="single" w:color="auto" w:sz="4" w:space="0"/>
              <w:right w:val="single" w:color="auto" w:sz="4" w:space="0"/>
            </w:tcBorders>
            <w:shd w:val="clear" w:color="auto" w:fill="auto"/>
            <w:vAlign w:val="center"/>
          </w:tcPr>
          <w:p w14:paraId="215FC783">
            <w:pPr>
              <w:widowControl/>
              <w:jc w:val="center"/>
              <w:rPr>
                <w:rFonts w:ascii="宋体" w:hAnsi="宋体" w:cs="宋体"/>
                <w:kern w:val="0"/>
                <w:sz w:val="24"/>
              </w:rPr>
            </w:pPr>
            <w:r>
              <w:rPr>
                <w:rFonts w:hint="eastAsia" w:ascii="宋体" w:hAnsi="宋体" w:cs="宋体"/>
                <w:kern w:val="0"/>
                <w:sz w:val="24"/>
              </w:rPr>
              <w:t>二级指标</w:t>
            </w:r>
          </w:p>
        </w:tc>
        <w:tc>
          <w:tcPr>
            <w:tcW w:w="2060" w:type="dxa"/>
            <w:tcBorders>
              <w:top w:val="nil"/>
              <w:left w:val="nil"/>
              <w:bottom w:val="single" w:color="auto" w:sz="4" w:space="0"/>
              <w:right w:val="single" w:color="auto" w:sz="4" w:space="0"/>
            </w:tcBorders>
            <w:shd w:val="clear" w:color="auto" w:fill="auto"/>
            <w:vAlign w:val="center"/>
          </w:tcPr>
          <w:p w14:paraId="2800BB22">
            <w:pPr>
              <w:widowControl/>
              <w:jc w:val="center"/>
              <w:rPr>
                <w:rFonts w:ascii="宋体" w:hAnsi="宋体" w:cs="宋体"/>
                <w:kern w:val="0"/>
                <w:sz w:val="24"/>
              </w:rPr>
            </w:pPr>
            <w:r>
              <w:rPr>
                <w:rFonts w:hint="eastAsia" w:ascii="宋体" w:hAnsi="宋体" w:cs="宋体"/>
                <w:kern w:val="0"/>
                <w:sz w:val="24"/>
              </w:rPr>
              <w:t>三级指标</w:t>
            </w:r>
          </w:p>
        </w:tc>
        <w:tc>
          <w:tcPr>
            <w:tcW w:w="2560" w:type="dxa"/>
            <w:tcBorders>
              <w:top w:val="nil"/>
              <w:left w:val="nil"/>
              <w:bottom w:val="single" w:color="auto" w:sz="4" w:space="0"/>
              <w:right w:val="single" w:color="auto" w:sz="4" w:space="0"/>
            </w:tcBorders>
            <w:shd w:val="clear" w:color="auto" w:fill="auto"/>
            <w:vAlign w:val="center"/>
          </w:tcPr>
          <w:p w14:paraId="6BCB2BC0">
            <w:pPr>
              <w:widowControl/>
              <w:jc w:val="center"/>
              <w:rPr>
                <w:rFonts w:ascii="宋体" w:hAnsi="宋体" w:cs="宋体"/>
                <w:kern w:val="0"/>
                <w:sz w:val="24"/>
              </w:rPr>
            </w:pPr>
            <w:r>
              <w:rPr>
                <w:rFonts w:hint="eastAsia" w:ascii="宋体" w:hAnsi="宋体" w:cs="宋体"/>
                <w:kern w:val="0"/>
                <w:sz w:val="24"/>
              </w:rPr>
              <w:t>指标值（包含数字及文字描述）</w:t>
            </w:r>
          </w:p>
        </w:tc>
      </w:tr>
      <w:tr w14:paraId="3857107E">
        <w:tblPrEx>
          <w:tblCellMar>
            <w:top w:w="0" w:type="dxa"/>
            <w:left w:w="108" w:type="dxa"/>
            <w:bottom w:w="0" w:type="dxa"/>
            <w:right w:w="108" w:type="dxa"/>
          </w:tblCellMar>
        </w:tblPrEx>
        <w:trPr>
          <w:trHeight w:val="285"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4C0F3298">
            <w:pPr>
              <w:widowControl/>
              <w:jc w:val="center"/>
              <w:rPr>
                <w:rFonts w:ascii="宋体" w:hAnsi="宋体" w:cs="宋体"/>
                <w:kern w:val="0"/>
                <w:sz w:val="24"/>
              </w:rPr>
            </w:pPr>
            <w:r>
              <w:rPr>
                <w:rFonts w:hint="eastAsia" w:ascii="宋体" w:hAnsi="宋体" w:cs="宋体"/>
                <w:kern w:val="0"/>
                <w:sz w:val="24"/>
              </w:rPr>
              <w:t>绩效目标</w:t>
            </w:r>
          </w:p>
        </w:tc>
        <w:tc>
          <w:tcPr>
            <w:tcW w:w="1520" w:type="dxa"/>
            <w:vMerge w:val="restart"/>
            <w:tcBorders>
              <w:top w:val="nil"/>
              <w:left w:val="single" w:color="auto" w:sz="4" w:space="0"/>
              <w:bottom w:val="nil"/>
              <w:right w:val="single" w:color="auto" w:sz="4" w:space="0"/>
            </w:tcBorders>
            <w:shd w:val="clear" w:color="auto" w:fill="auto"/>
            <w:vAlign w:val="center"/>
          </w:tcPr>
          <w:p w14:paraId="07F9C946">
            <w:pPr>
              <w:widowControl/>
              <w:jc w:val="center"/>
              <w:rPr>
                <w:rFonts w:ascii="宋体" w:hAnsi="宋体" w:cs="宋体"/>
                <w:kern w:val="0"/>
                <w:sz w:val="24"/>
              </w:rPr>
            </w:pPr>
            <w:r>
              <w:rPr>
                <w:rFonts w:hint="eastAsia" w:ascii="宋体" w:hAnsi="宋体" w:cs="宋体"/>
                <w:kern w:val="0"/>
                <w:sz w:val="24"/>
              </w:rPr>
              <w:t>产出指标</w:t>
            </w:r>
          </w:p>
        </w:tc>
        <w:tc>
          <w:tcPr>
            <w:tcW w:w="1800" w:type="dxa"/>
            <w:tcBorders>
              <w:top w:val="nil"/>
              <w:left w:val="nil"/>
              <w:bottom w:val="nil"/>
              <w:right w:val="single" w:color="auto" w:sz="4" w:space="0"/>
            </w:tcBorders>
            <w:shd w:val="clear" w:color="auto" w:fill="auto"/>
            <w:vAlign w:val="center"/>
          </w:tcPr>
          <w:p w14:paraId="4472494A">
            <w:pPr>
              <w:widowControl/>
              <w:jc w:val="center"/>
              <w:rPr>
                <w:rFonts w:ascii="宋体" w:hAnsi="宋体" w:cs="宋体"/>
                <w:kern w:val="0"/>
                <w:sz w:val="24"/>
              </w:rPr>
            </w:pPr>
            <w:r>
              <w:rPr>
                <w:rFonts w:hint="eastAsia" w:ascii="宋体" w:hAnsi="宋体" w:cs="宋体"/>
                <w:kern w:val="0"/>
                <w:sz w:val="24"/>
              </w:rPr>
              <w:t>数量指标</w:t>
            </w:r>
          </w:p>
        </w:tc>
        <w:tc>
          <w:tcPr>
            <w:tcW w:w="2060" w:type="dxa"/>
            <w:tcBorders>
              <w:top w:val="nil"/>
              <w:left w:val="nil"/>
              <w:bottom w:val="single" w:color="auto" w:sz="4" w:space="0"/>
              <w:right w:val="single" w:color="auto" w:sz="4" w:space="0"/>
            </w:tcBorders>
            <w:shd w:val="clear" w:color="auto" w:fill="auto"/>
            <w:vAlign w:val="center"/>
          </w:tcPr>
          <w:p w14:paraId="64DFE6E3">
            <w:pPr>
              <w:widowControl/>
              <w:jc w:val="left"/>
              <w:rPr>
                <w:rFonts w:ascii="宋体" w:hAnsi="宋体" w:cs="宋体"/>
                <w:color w:val="000000"/>
                <w:kern w:val="0"/>
                <w:sz w:val="22"/>
                <w:szCs w:val="22"/>
              </w:rPr>
            </w:pPr>
            <w:r>
              <w:rPr>
                <w:rFonts w:hint="eastAsia" w:ascii="宋体" w:hAnsi="宋体" w:cs="宋体"/>
                <w:color w:val="000000"/>
                <w:kern w:val="0"/>
                <w:sz w:val="22"/>
                <w:szCs w:val="22"/>
              </w:rPr>
              <w:t>派出肖丽为中药传承培养人才</w:t>
            </w:r>
          </w:p>
        </w:tc>
        <w:tc>
          <w:tcPr>
            <w:tcW w:w="2560" w:type="dxa"/>
            <w:tcBorders>
              <w:top w:val="nil"/>
              <w:left w:val="nil"/>
              <w:bottom w:val="single" w:color="auto" w:sz="4" w:space="0"/>
              <w:right w:val="single" w:color="auto" w:sz="4" w:space="0"/>
            </w:tcBorders>
            <w:shd w:val="clear" w:color="auto" w:fill="auto"/>
            <w:vAlign w:val="center"/>
          </w:tcPr>
          <w:p w14:paraId="0A7678A3">
            <w:pPr>
              <w:widowControl/>
              <w:jc w:val="left"/>
              <w:rPr>
                <w:rFonts w:ascii="宋体" w:hAnsi="宋体" w:cs="宋体"/>
                <w:color w:val="000000"/>
                <w:kern w:val="0"/>
                <w:sz w:val="22"/>
                <w:szCs w:val="22"/>
              </w:rPr>
            </w:pPr>
            <w:r>
              <w:rPr>
                <w:rFonts w:hint="eastAsia" w:ascii="宋体" w:hAnsi="宋体" w:cs="宋体"/>
                <w:color w:val="000000"/>
                <w:kern w:val="0"/>
                <w:sz w:val="22"/>
                <w:szCs w:val="22"/>
              </w:rPr>
              <w:t>1名</w:t>
            </w:r>
          </w:p>
        </w:tc>
      </w:tr>
      <w:tr w14:paraId="74AFDFBF">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2F2A2F92">
            <w:pPr>
              <w:widowControl/>
              <w:jc w:val="left"/>
              <w:rPr>
                <w:rFonts w:ascii="宋体" w:hAnsi="宋体" w:cs="宋体"/>
                <w:kern w:val="0"/>
                <w:sz w:val="24"/>
              </w:rPr>
            </w:pPr>
          </w:p>
        </w:tc>
        <w:tc>
          <w:tcPr>
            <w:tcW w:w="1520" w:type="dxa"/>
            <w:vMerge w:val="continue"/>
            <w:tcBorders>
              <w:top w:val="nil"/>
              <w:left w:val="single" w:color="auto" w:sz="4" w:space="0"/>
              <w:bottom w:val="nil"/>
              <w:right w:val="single" w:color="auto" w:sz="4" w:space="0"/>
            </w:tcBorders>
            <w:vAlign w:val="center"/>
          </w:tcPr>
          <w:p w14:paraId="260D7F5D">
            <w:pPr>
              <w:widowControl/>
              <w:jc w:val="left"/>
              <w:rPr>
                <w:rFonts w:ascii="宋体" w:hAnsi="宋体" w:cs="宋体"/>
                <w:kern w:val="0"/>
                <w:sz w:val="24"/>
              </w:rPr>
            </w:pPr>
          </w:p>
        </w:tc>
        <w:tc>
          <w:tcPr>
            <w:tcW w:w="1800" w:type="dxa"/>
            <w:tcBorders>
              <w:top w:val="single" w:color="auto" w:sz="4" w:space="0"/>
              <w:left w:val="nil"/>
              <w:bottom w:val="nil"/>
              <w:right w:val="single" w:color="auto" w:sz="4" w:space="0"/>
            </w:tcBorders>
            <w:shd w:val="clear" w:color="auto" w:fill="auto"/>
            <w:vAlign w:val="center"/>
          </w:tcPr>
          <w:p w14:paraId="727EC6D9">
            <w:pPr>
              <w:widowControl/>
              <w:jc w:val="center"/>
              <w:rPr>
                <w:rFonts w:ascii="宋体" w:hAnsi="宋体" w:cs="宋体"/>
                <w:kern w:val="0"/>
                <w:sz w:val="24"/>
              </w:rPr>
            </w:pPr>
            <w:r>
              <w:rPr>
                <w:rFonts w:hint="eastAsia" w:ascii="宋体" w:hAnsi="宋体" w:cs="宋体"/>
                <w:kern w:val="0"/>
                <w:sz w:val="24"/>
              </w:rPr>
              <w:t>质量指标</w:t>
            </w:r>
          </w:p>
        </w:tc>
        <w:tc>
          <w:tcPr>
            <w:tcW w:w="2060" w:type="dxa"/>
            <w:tcBorders>
              <w:top w:val="nil"/>
              <w:left w:val="nil"/>
              <w:bottom w:val="single" w:color="auto" w:sz="4" w:space="0"/>
              <w:right w:val="single" w:color="auto" w:sz="4" w:space="0"/>
            </w:tcBorders>
            <w:shd w:val="clear" w:color="auto" w:fill="auto"/>
            <w:vAlign w:val="center"/>
          </w:tcPr>
          <w:p w14:paraId="4301DC77">
            <w:pPr>
              <w:widowControl/>
              <w:jc w:val="left"/>
              <w:rPr>
                <w:rFonts w:ascii="宋体" w:hAnsi="宋体" w:cs="宋体"/>
                <w:color w:val="000000"/>
                <w:kern w:val="0"/>
                <w:sz w:val="22"/>
                <w:szCs w:val="22"/>
              </w:rPr>
            </w:pPr>
            <w:r>
              <w:rPr>
                <w:rFonts w:hint="eastAsia" w:ascii="宋体" w:hAnsi="宋体" w:cs="宋体"/>
                <w:color w:val="000000"/>
                <w:kern w:val="0"/>
                <w:sz w:val="22"/>
                <w:szCs w:val="22"/>
              </w:rPr>
              <w:t>培训计划完成率</w:t>
            </w:r>
          </w:p>
        </w:tc>
        <w:tc>
          <w:tcPr>
            <w:tcW w:w="2560" w:type="dxa"/>
            <w:tcBorders>
              <w:top w:val="nil"/>
              <w:left w:val="nil"/>
              <w:bottom w:val="single" w:color="auto" w:sz="4" w:space="0"/>
              <w:right w:val="single" w:color="auto" w:sz="4" w:space="0"/>
            </w:tcBorders>
            <w:shd w:val="clear" w:color="auto" w:fill="auto"/>
            <w:vAlign w:val="center"/>
          </w:tcPr>
          <w:p w14:paraId="48B0050F">
            <w:pPr>
              <w:widowControl/>
              <w:jc w:val="left"/>
              <w:rPr>
                <w:rFonts w:ascii="宋体" w:hAnsi="宋体" w:cs="宋体"/>
                <w:color w:val="000000"/>
                <w:kern w:val="0"/>
                <w:sz w:val="22"/>
                <w:szCs w:val="22"/>
              </w:rPr>
            </w:pPr>
            <w:r>
              <w:rPr>
                <w:rFonts w:hint="eastAsia" w:ascii="宋体" w:hAnsi="宋体" w:cs="宋体"/>
                <w:color w:val="000000"/>
                <w:kern w:val="0"/>
                <w:sz w:val="22"/>
                <w:szCs w:val="22"/>
              </w:rPr>
              <w:t>100%完成</w:t>
            </w:r>
          </w:p>
        </w:tc>
      </w:tr>
      <w:tr w14:paraId="10975149">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5C475BFD">
            <w:pPr>
              <w:widowControl/>
              <w:jc w:val="left"/>
              <w:rPr>
                <w:rFonts w:ascii="宋体" w:hAnsi="宋体" w:cs="宋体"/>
                <w:kern w:val="0"/>
                <w:sz w:val="24"/>
              </w:rPr>
            </w:pPr>
          </w:p>
        </w:tc>
        <w:tc>
          <w:tcPr>
            <w:tcW w:w="15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3FB123C">
            <w:pPr>
              <w:widowControl/>
              <w:jc w:val="center"/>
              <w:rPr>
                <w:rFonts w:ascii="宋体" w:hAnsi="宋体" w:cs="宋体"/>
                <w:kern w:val="0"/>
                <w:sz w:val="24"/>
              </w:rPr>
            </w:pPr>
            <w:r>
              <w:rPr>
                <w:rFonts w:hint="eastAsia" w:ascii="宋体" w:hAnsi="宋体" w:cs="宋体"/>
                <w:kern w:val="0"/>
                <w:sz w:val="24"/>
              </w:rPr>
              <w:t>效益指标</w:t>
            </w:r>
          </w:p>
        </w:tc>
        <w:tc>
          <w:tcPr>
            <w:tcW w:w="1800" w:type="dxa"/>
            <w:tcBorders>
              <w:top w:val="nil"/>
              <w:left w:val="nil"/>
              <w:bottom w:val="nil"/>
              <w:right w:val="single" w:color="auto" w:sz="4" w:space="0"/>
            </w:tcBorders>
            <w:shd w:val="clear" w:color="auto" w:fill="auto"/>
            <w:vAlign w:val="center"/>
          </w:tcPr>
          <w:p w14:paraId="7D57C689">
            <w:pPr>
              <w:widowControl/>
              <w:jc w:val="center"/>
              <w:rPr>
                <w:rFonts w:ascii="宋体" w:hAnsi="宋体" w:cs="宋体"/>
                <w:kern w:val="0"/>
                <w:sz w:val="24"/>
              </w:rPr>
            </w:pPr>
            <w:r>
              <w:rPr>
                <w:rFonts w:hint="eastAsia" w:ascii="宋体" w:hAnsi="宋体" w:cs="宋体"/>
                <w:kern w:val="0"/>
                <w:sz w:val="24"/>
              </w:rPr>
              <w:t>社会效益指标</w:t>
            </w:r>
          </w:p>
        </w:tc>
        <w:tc>
          <w:tcPr>
            <w:tcW w:w="2060" w:type="dxa"/>
            <w:tcBorders>
              <w:top w:val="nil"/>
              <w:left w:val="nil"/>
              <w:bottom w:val="single" w:color="auto" w:sz="4" w:space="0"/>
              <w:right w:val="single" w:color="auto" w:sz="4" w:space="0"/>
            </w:tcBorders>
            <w:shd w:val="clear" w:color="auto" w:fill="auto"/>
            <w:vAlign w:val="center"/>
          </w:tcPr>
          <w:p w14:paraId="50D66BED">
            <w:pPr>
              <w:widowControl/>
              <w:jc w:val="left"/>
              <w:rPr>
                <w:rFonts w:ascii="宋体" w:hAnsi="宋体" w:cs="宋体"/>
                <w:color w:val="000000"/>
                <w:kern w:val="0"/>
                <w:sz w:val="22"/>
                <w:szCs w:val="22"/>
              </w:rPr>
            </w:pPr>
            <w:r>
              <w:rPr>
                <w:rFonts w:hint="eastAsia" w:ascii="宋体" w:hAnsi="宋体" w:cs="宋体"/>
                <w:color w:val="000000"/>
                <w:kern w:val="0"/>
                <w:sz w:val="22"/>
                <w:szCs w:val="22"/>
              </w:rPr>
              <w:t>中医医院服务能力提高</w:t>
            </w:r>
          </w:p>
        </w:tc>
        <w:tc>
          <w:tcPr>
            <w:tcW w:w="2560" w:type="dxa"/>
            <w:tcBorders>
              <w:top w:val="nil"/>
              <w:left w:val="nil"/>
              <w:bottom w:val="single" w:color="auto" w:sz="4" w:space="0"/>
              <w:right w:val="single" w:color="auto" w:sz="4" w:space="0"/>
            </w:tcBorders>
            <w:shd w:val="clear" w:color="auto" w:fill="auto"/>
            <w:vAlign w:val="center"/>
          </w:tcPr>
          <w:p w14:paraId="10D0853D">
            <w:pPr>
              <w:widowControl/>
              <w:jc w:val="left"/>
              <w:rPr>
                <w:rFonts w:ascii="宋体" w:hAnsi="宋体" w:cs="宋体"/>
                <w:color w:val="000000"/>
                <w:kern w:val="0"/>
                <w:sz w:val="22"/>
                <w:szCs w:val="22"/>
              </w:rPr>
            </w:pPr>
            <w:r>
              <w:rPr>
                <w:rFonts w:hint="eastAsia" w:ascii="宋体" w:hAnsi="宋体" w:cs="宋体"/>
                <w:color w:val="000000"/>
                <w:kern w:val="0"/>
                <w:sz w:val="22"/>
                <w:szCs w:val="22"/>
              </w:rPr>
              <w:t>明显提高</w:t>
            </w:r>
          </w:p>
        </w:tc>
      </w:tr>
      <w:tr w14:paraId="653EFA6D">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4E8E74D1">
            <w:pPr>
              <w:widowControl/>
              <w:jc w:val="left"/>
              <w:rPr>
                <w:rFonts w:ascii="宋体" w:hAnsi="宋体" w:cs="宋体"/>
                <w:kern w:val="0"/>
                <w:sz w:val="24"/>
              </w:rPr>
            </w:pPr>
          </w:p>
        </w:tc>
        <w:tc>
          <w:tcPr>
            <w:tcW w:w="1520" w:type="dxa"/>
            <w:vMerge w:val="continue"/>
            <w:tcBorders>
              <w:top w:val="single" w:color="auto" w:sz="4" w:space="0"/>
              <w:left w:val="single" w:color="auto" w:sz="4" w:space="0"/>
              <w:bottom w:val="single" w:color="000000" w:sz="4" w:space="0"/>
              <w:right w:val="single" w:color="auto" w:sz="4" w:space="0"/>
            </w:tcBorders>
            <w:vAlign w:val="center"/>
          </w:tcPr>
          <w:p w14:paraId="6B4087B6">
            <w:pPr>
              <w:widowControl/>
              <w:jc w:val="left"/>
              <w:rPr>
                <w:rFonts w:ascii="宋体" w:hAnsi="宋体" w:cs="宋体"/>
                <w:kern w:val="0"/>
                <w:sz w:val="24"/>
              </w:rPr>
            </w:pPr>
          </w:p>
        </w:tc>
        <w:tc>
          <w:tcPr>
            <w:tcW w:w="1800" w:type="dxa"/>
            <w:tcBorders>
              <w:top w:val="single" w:color="auto" w:sz="4" w:space="0"/>
              <w:left w:val="nil"/>
              <w:bottom w:val="single" w:color="auto" w:sz="4" w:space="0"/>
              <w:right w:val="single" w:color="auto" w:sz="4" w:space="0"/>
            </w:tcBorders>
            <w:shd w:val="clear" w:color="auto" w:fill="auto"/>
            <w:vAlign w:val="center"/>
          </w:tcPr>
          <w:p w14:paraId="3CE3CA51">
            <w:pPr>
              <w:widowControl/>
              <w:jc w:val="center"/>
              <w:rPr>
                <w:rFonts w:ascii="宋体" w:hAnsi="宋体" w:cs="宋体"/>
                <w:kern w:val="0"/>
                <w:sz w:val="24"/>
              </w:rPr>
            </w:pPr>
            <w:r>
              <w:rPr>
                <w:rFonts w:hint="eastAsia" w:ascii="宋体" w:hAnsi="宋体" w:cs="宋体"/>
                <w:kern w:val="0"/>
                <w:sz w:val="24"/>
              </w:rPr>
              <w:t>可持续影响指标</w:t>
            </w:r>
          </w:p>
        </w:tc>
        <w:tc>
          <w:tcPr>
            <w:tcW w:w="2060" w:type="dxa"/>
            <w:tcBorders>
              <w:top w:val="nil"/>
              <w:left w:val="nil"/>
              <w:bottom w:val="single" w:color="auto" w:sz="4" w:space="0"/>
              <w:right w:val="single" w:color="auto" w:sz="4" w:space="0"/>
            </w:tcBorders>
            <w:shd w:val="clear" w:color="auto" w:fill="auto"/>
            <w:vAlign w:val="center"/>
          </w:tcPr>
          <w:p w14:paraId="4D529304">
            <w:pPr>
              <w:widowControl/>
              <w:jc w:val="left"/>
              <w:rPr>
                <w:rFonts w:ascii="宋体" w:hAnsi="宋体" w:cs="宋体"/>
                <w:kern w:val="0"/>
                <w:sz w:val="22"/>
                <w:szCs w:val="22"/>
              </w:rPr>
            </w:pPr>
            <w:r>
              <w:rPr>
                <w:rFonts w:hint="eastAsia" w:ascii="宋体" w:hAnsi="宋体" w:cs="宋体"/>
                <w:kern w:val="0"/>
                <w:sz w:val="22"/>
                <w:szCs w:val="22"/>
              </w:rPr>
              <w:t>中医药人才技术水平</w:t>
            </w:r>
          </w:p>
        </w:tc>
        <w:tc>
          <w:tcPr>
            <w:tcW w:w="2560" w:type="dxa"/>
            <w:tcBorders>
              <w:top w:val="nil"/>
              <w:left w:val="nil"/>
              <w:bottom w:val="single" w:color="auto" w:sz="4" w:space="0"/>
              <w:right w:val="single" w:color="auto" w:sz="4" w:space="0"/>
            </w:tcBorders>
            <w:shd w:val="clear" w:color="auto" w:fill="auto"/>
            <w:vAlign w:val="center"/>
          </w:tcPr>
          <w:p w14:paraId="08BB96BD">
            <w:pPr>
              <w:widowControl/>
              <w:jc w:val="left"/>
              <w:rPr>
                <w:rFonts w:ascii="宋体" w:hAnsi="宋体" w:cs="宋体"/>
                <w:color w:val="000000"/>
                <w:kern w:val="0"/>
                <w:sz w:val="22"/>
                <w:szCs w:val="22"/>
              </w:rPr>
            </w:pPr>
            <w:r>
              <w:rPr>
                <w:rFonts w:hint="eastAsia" w:ascii="宋体" w:hAnsi="宋体" w:cs="宋体"/>
                <w:color w:val="000000"/>
                <w:kern w:val="0"/>
                <w:sz w:val="22"/>
                <w:szCs w:val="22"/>
              </w:rPr>
              <w:t>明显提高</w:t>
            </w:r>
          </w:p>
        </w:tc>
      </w:tr>
      <w:tr w14:paraId="460F0045">
        <w:tblPrEx>
          <w:tblCellMar>
            <w:top w:w="0" w:type="dxa"/>
            <w:left w:w="108" w:type="dxa"/>
            <w:bottom w:w="0" w:type="dxa"/>
            <w:right w:w="108" w:type="dxa"/>
          </w:tblCellMar>
        </w:tblPrEx>
        <w:trPr>
          <w:trHeight w:val="585" w:hRule="atLeast"/>
        </w:trPr>
        <w:tc>
          <w:tcPr>
            <w:tcW w:w="1060" w:type="dxa"/>
            <w:vMerge w:val="continue"/>
            <w:tcBorders>
              <w:top w:val="nil"/>
              <w:left w:val="single" w:color="auto" w:sz="4" w:space="0"/>
              <w:bottom w:val="single" w:color="000000" w:sz="4" w:space="0"/>
              <w:right w:val="single" w:color="auto" w:sz="4" w:space="0"/>
            </w:tcBorders>
            <w:vAlign w:val="center"/>
          </w:tcPr>
          <w:p w14:paraId="23B1F139">
            <w:pPr>
              <w:widowControl/>
              <w:jc w:val="left"/>
              <w:rPr>
                <w:rFonts w:ascii="宋体" w:hAnsi="宋体" w:cs="宋体"/>
                <w:kern w:val="0"/>
                <w:sz w:val="24"/>
              </w:rPr>
            </w:pPr>
          </w:p>
        </w:tc>
        <w:tc>
          <w:tcPr>
            <w:tcW w:w="1520" w:type="dxa"/>
            <w:tcBorders>
              <w:top w:val="nil"/>
              <w:left w:val="nil"/>
              <w:bottom w:val="single" w:color="auto" w:sz="4" w:space="0"/>
              <w:right w:val="single" w:color="auto" w:sz="4" w:space="0"/>
            </w:tcBorders>
            <w:shd w:val="clear" w:color="auto" w:fill="auto"/>
            <w:vAlign w:val="center"/>
          </w:tcPr>
          <w:p w14:paraId="41E0471A">
            <w:pPr>
              <w:widowControl/>
              <w:jc w:val="center"/>
              <w:rPr>
                <w:rFonts w:ascii="宋体" w:hAnsi="宋体" w:cs="宋体"/>
                <w:kern w:val="0"/>
                <w:sz w:val="24"/>
              </w:rPr>
            </w:pPr>
            <w:r>
              <w:rPr>
                <w:rFonts w:hint="eastAsia" w:ascii="宋体" w:hAnsi="宋体" w:cs="宋体"/>
                <w:kern w:val="0"/>
                <w:sz w:val="24"/>
              </w:rPr>
              <w:t>满意度指标</w:t>
            </w:r>
          </w:p>
        </w:tc>
        <w:tc>
          <w:tcPr>
            <w:tcW w:w="1800" w:type="dxa"/>
            <w:tcBorders>
              <w:top w:val="nil"/>
              <w:left w:val="nil"/>
              <w:bottom w:val="single" w:color="auto" w:sz="4" w:space="0"/>
              <w:right w:val="single" w:color="auto" w:sz="4" w:space="0"/>
            </w:tcBorders>
            <w:shd w:val="clear" w:color="auto" w:fill="auto"/>
            <w:vAlign w:val="center"/>
          </w:tcPr>
          <w:p w14:paraId="645AB812">
            <w:pPr>
              <w:widowControl/>
              <w:jc w:val="center"/>
              <w:rPr>
                <w:rFonts w:ascii="宋体" w:hAnsi="宋体" w:cs="宋体"/>
                <w:kern w:val="0"/>
                <w:sz w:val="24"/>
              </w:rPr>
            </w:pPr>
            <w:r>
              <w:rPr>
                <w:rFonts w:hint="eastAsia" w:ascii="宋体" w:hAnsi="宋体" w:cs="宋体"/>
                <w:kern w:val="0"/>
                <w:sz w:val="24"/>
              </w:rPr>
              <w:t>服务对象满意度指标</w:t>
            </w:r>
          </w:p>
        </w:tc>
        <w:tc>
          <w:tcPr>
            <w:tcW w:w="2060" w:type="dxa"/>
            <w:tcBorders>
              <w:top w:val="nil"/>
              <w:left w:val="nil"/>
              <w:bottom w:val="single" w:color="auto" w:sz="4" w:space="0"/>
              <w:right w:val="single" w:color="auto" w:sz="4" w:space="0"/>
            </w:tcBorders>
            <w:shd w:val="clear" w:color="auto" w:fill="auto"/>
            <w:vAlign w:val="center"/>
          </w:tcPr>
          <w:p w14:paraId="21102026">
            <w:pPr>
              <w:widowControl/>
              <w:jc w:val="left"/>
              <w:rPr>
                <w:rFonts w:ascii="宋体" w:hAnsi="宋体" w:cs="宋体"/>
                <w:color w:val="000000"/>
                <w:kern w:val="0"/>
                <w:sz w:val="22"/>
                <w:szCs w:val="22"/>
              </w:rPr>
            </w:pPr>
            <w:r>
              <w:rPr>
                <w:rFonts w:hint="eastAsia" w:ascii="宋体" w:hAnsi="宋体" w:cs="宋体"/>
                <w:color w:val="000000"/>
                <w:kern w:val="0"/>
                <w:sz w:val="22"/>
                <w:szCs w:val="22"/>
              </w:rPr>
              <w:t>患者满意度</w:t>
            </w:r>
          </w:p>
        </w:tc>
        <w:tc>
          <w:tcPr>
            <w:tcW w:w="2560" w:type="dxa"/>
            <w:tcBorders>
              <w:top w:val="nil"/>
              <w:left w:val="nil"/>
              <w:bottom w:val="single" w:color="auto" w:sz="4" w:space="0"/>
              <w:right w:val="single" w:color="auto" w:sz="4" w:space="0"/>
            </w:tcBorders>
            <w:shd w:val="clear" w:color="auto" w:fill="auto"/>
            <w:vAlign w:val="center"/>
          </w:tcPr>
          <w:p w14:paraId="53C03245">
            <w:pPr>
              <w:widowControl/>
              <w:jc w:val="left"/>
              <w:rPr>
                <w:rFonts w:ascii="宋体" w:hAnsi="宋体" w:cs="宋体"/>
                <w:color w:val="000000"/>
                <w:kern w:val="0"/>
                <w:sz w:val="22"/>
                <w:szCs w:val="22"/>
              </w:rPr>
            </w:pPr>
            <w:r>
              <w:rPr>
                <w:rFonts w:hint="eastAsia" w:ascii="宋体" w:hAnsi="宋体" w:cs="宋体"/>
                <w:color w:val="000000"/>
                <w:kern w:val="0"/>
                <w:sz w:val="22"/>
                <w:szCs w:val="22"/>
              </w:rPr>
              <w:t>≥95%</w:t>
            </w:r>
          </w:p>
        </w:tc>
      </w:tr>
    </w:tbl>
    <w:p w14:paraId="5821F236">
      <w:pPr>
        <w:spacing w:line="580" w:lineRule="exact"/>
        <w:rPr>
          <w:rFonts w:eastAsia="仿宋_GB2312"/>
          <w:sz w:val="32"/>
          <w:szCs w:val="32"/>
        </w:rPr>
      </w:pPr>
    </w:p>
    <w:p w14:paraId="0A18C5E6">
      <w:pPr>
        <w:spacing w:line="580" w:lineRule="exact"/>
        <w:rPr>
          <w:rFonts w:eastAsia="仿宋_GB2312"/>
          <w:sz w:val="32"/>
          <w:szCs w:val="32"/>
        </w:rPr>
      </w:pPr>
    </w:p>
    <w:p w14:paraId="0433CE35">
      <w:pPr>
        <w:spacing w:line="580" w:lineRule="exact"/>
        <w:rPr>
          <w:rFonts w:eastAsia="仿宋_GB2312"/>
          <w:sz w:val="32"/>
          <w:szCs w:val="32"/>
        </w:rPr>
      </w:pPr>
    </w:p>
    <w:p w14:paraId="11280799">
      <w:pPr>
        <w:spacing w:line="580" w:lineRule="exact"/>
        <w:rPr>
          <w:rFonts w:eastAsia="仿宋_GB2312"/>
          <w:sz w:val="32"/>
          <w:szCs w:val="32"/>
        </w:rPr>
      </w:pPr>
    </w:p>
    <w:p w14:paraId="3075A643">
      <w:pPr>
        <w:spacing w:line="580" w:lineRule="exact"/>
        <w:rPr>
          <w:rFonts w:eastAsia="仿宋_GB2312"/>
          <w:sz w:val="32"/>
          <w:szCs w:val="32"/>
        </w:rPr>
      </w:pPr>
    </w:p>
    <w:p w14:paraId="71A98B92">
      <w:pPr>
        <w:spacing w:line="580" w:lineRule="exact"/>
        <w:rPr>
          <w:rFonts w:eastAsia="仿宋_GB2312"/>
          <w:sz w:val="32"/>
          <w:szCs w:val="32"/>
        </w:rPr>
      </w:pPr>
    </w:p>
    <w:tbl>
      <w:tblPr>
        <w:tblStyle w:val="22"/>
        <w:tblW w:w="9000" w:type="dxa"/>
        <w:tblInd w:w="93" w:type="dxa"/>
        <w:tblLayout w:type="autofit"/>
        <w:tblCellMar>
          <w:top w:w="0" w:type="dxa"/>
          <w:left w:w="108" w:type="dxa"/>
          <w:bottom w:w="0" w:type="dxa"/>
          <w:right w:w="108" w:type="dxa"/>
        </w:tblCellMar>
      </w:tblPr>
      <w:tblGrid>
        <w:gridCol w:w="1060"/>
        <w:gridCol w:w="1520"/>
        <w:gridCol w:w="1800"/>
        <w:gridCol w:w="2060"/>
        <w:gridCol w:w="2560"/>
      </w:tblGrid>
      <w:tr w14:paraId="2B49806F">
        <w:tblPrEx>
          <w:tblCellMar>
            <w:top w:w="0" w:type="dxa"/>
            <w:left w:w="108" w:type="dxa"/>
            <w:bottom w:w="0" w:type="dxa"/>
            <w:right w:w="108" w:type="dxa"/>
          </w:tblCellMar>
        </w:tblPrEx>
        <w:trPr>
          <w:trHeight w:val="510" w:hRule="atLeast"/>
        </w:trPr>
        <w:tc>
          <w:tcPr>
            <w:tcW w:w="9000" w:type="dxa"/>
            <w:gridSpan w:val="5"/>
            <w:tcBorders>
              <w:top w:val="nil"/>
              <w:left w:val="nil"/>
              <w:bottom w:val="nil"/>
              <w:right w:val="nil"/>
            </w:tcBorders>
            <w:shd w:val="clear" w:color="auto" w:fill="auto"/>
            <w:vAlign w:val="center"/>
          </w:tcPr>
          <w:p w14:paraId="65146850">
            <w:pPr>
              <w:widowControl/>
              <w:jc w:val="center"/>
              <w:rPr>
                <w:rFonts w:ascii="宋体" w:hAnsi="宋体" w:cs="宋体"/>
                <w:b/>
                <w:bCs/>
                <w:kern w:val="0"/>
                <w:sz w:val="40"/>
                <w:szCs w:val="40"/>
              </w:rPr>
            </w:pPr>
          </w:p>
          <w:p w14:paraId="098CC340">
            <w:pPr>
              <w:widowControl/>
              <w:jc w:val="center"/>
              <w:rPr>
                <w:rFonts w:ascii="宋体" w:hAnsi="宋体" w:cs="宋体"/>
                <w:b/>
                <w:bCs/>
                <w:kern w:val="0"/>
                <w:sz w:val="40"/>
                <w:szCs w:val="40"/>
              </w:rPr>
            </w:pPr>
          </w:p>
          <w:p w14:paraId="53868F3F">
            <w:pPr>
              <w:widowControl/>
              <w:jc w:val="center"/>
              <w:rPr>
                <w:rFonts w:ascii="宋体" w:hAnsi="宋体" w:cs="宋体"/>
                <w:b/>
                <w:bCs/>
                <w:kern w:val="0"/>
                <w:sz w:val="40"/>
                <w:szCs w:val="40"/>
              </w:rPr>
            </w:pPr>
            <w:r>
              <w:rPr>
                <w:rFonts w:hint="eastAsia" w:ascii="方正小标宋简体" w:hAnsi="方正小标宋简体" w:eastAsia="方正小标宋简体" w:cs="方正小标宋简体"/>
                <w:b/>
                <w:bCs/>
                <w:kern w:val="0"/>
                <w:sz w:val="44"/>
                <w:szCs w:val="44"/>
              </w:rPr>
              <w:t>2020年度项目绩效目标申报表</w:t>
            </w:r>
          </w:p>
        </w:tc>
      </w:tr>
      <w:tr w14:paraId="2FF9673C">
        <w:tblPrEx>
          <w:tblCellMar>
            <w:top w:w="0" w:type="dxa"/>
            <w:left w:w="108" w:type="dxa"/>
            <w:bottom w:w="0" w:type="dxa"/>
            <w:right w:w="108" w:type="dxa"/>
          </w:tblCellMar>
        </w:tblPrEx>
        <w:trPr>
          <w:trHeight w:val="375" w:hRule="atLeast"/>
        </w:trPr>
        <w:tc>
          <w:tcPr>
            <w:tcW w:w="9000" w:type="dxa"/>
            <w:gridSpan w:val="5"/>
            <w:tcBorders>
              <w:top w:val="nil"/>
              <w:left w:val="nil"/>
              <w:bottom w:val="nil"/>
              <w:right w:val="nil"/>
            </w:tcBorders>
            <w:shd w:val="clear" w:color="auto" w:fill="auto"/>
            <w:noWrap/>
            <w:vAlign w:val="center"/>
          </w:tcPr>
          <w:p w14:paraId="1CAF3E6E">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r>
      <w:tr w14:paraId="0E2CB4E0">
        <w:tblPrEx>
          <w:tblCellMar>
            <w:top w:w="0" w:type="dxa"/>
            <w:left w:w="108" w:type="dxa"/>
            <w:bottom w:w="0" w:type="dxa"/>
            <w:right w:w="108" w:type="dxa"/>
          </w:tblCellMar>
        </w:tblPrEx>
        <w:trPr>
          <w:trHeight w:val="420" w:hRule="atLeast"/>
        </w:trPr>
        <w:tc>
          <w:tcPr>
            <w:tcW w:w="4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65F53D">
            <w:pPr>
              <w:widowControl/>
              <w:jc w:val="center"/>
              <w:rPr>
                <w:rFonts w:ascii="宋体" w:hAnsi="宋体" w:cs="宋体"/>
                <w:kern w:val="0"/>
                <w:sz w:val="24"/>
              </w:rPr>
            </w:pPr>
            <w:r>
              <w:rPr>
                <w:rFonts w:hint="eastAsia" w:ascii="宋体" w:hAnsi="宋体" w:cs="宋体"/>
                <w:kern w:val="0"/>
                <w:sz w:val="24"/>
              </w:rPr>
              <w:t>项目名称</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676847D6">
            <w:pPr>
              <w:widowControl/>
              <w:jc w:val="center"/>
              <w:rPr>
                <w:rFonts w:ascii="宋体" w:hAnsi="宋体" w:cs="宋体"/>
                <w:kern w:val="0"/>
                <w:sz w:val="24"/>
              </w:rPr>
            </w:pPr>
            <w:r>
              <w:rPr>
                <w:rFonts w:hint="eastAsia" w:ascii="宋体" w:hAnsi="宋体" w:cs="宋体"/>
                <w:kern w:val="0"/>
                <w:sz w:val="24"/>
              </w:rPr>
              <w:t>中医药传承与创新平台建设（李金隆）</w:t>
            </w:r>
          </w:p>
        </w:tc>
      </w:tr>
      <w:tr w14:paraId="18AB7D7A">
        <w:tblPrEx>
          <w:tblCellMar>
            <w:top w:w="0" w:type="dxa"/>
            <w:left w:w="108" w:type="dxa"/>
            <w:bottom w:w="0" w:type="dxa"/>
            <w:right w:w="108" w:type="dxa"/>
          </w:tblCellMar>
        </w:tblPrEx>
        <w:trPr>
          <w:trHeight w:val="405" w:hRule="atLeast"/>
        </w:trPr>
        <w:tc>
          <w:tcPr>
            <w:tcW w:w="4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81BB4A">
            <w:pPr>
              <w:widowControl/>
              <w:jc w:val="center"/>
              <w:rPr>
                <w:rFonts w:ascii="宋体" w:hAnsi="宋体" w:cs="宋体"/>
                <w:kern w:val="0"/>
                <w:sz w:val="24"/>
              </w:rPr>
            </w:pPr>
            <w:r>
              <w:rPr>
                <w:rFonts w:hint="eastAsia" w:ascii="宋体" w:hAnsi="宋体" w:cs="宋体"/>
                <w:kern w:val="0"/>
                <w:sz w:val="24"/>
              </w:rPr>
              <w:t>预算单位</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6F14AF48">
            <w:pPr>
              <w:widowControl/>
              <w:jc w:val="center"/>
              <w:rPr>
                <w:rFonts w:ascii="宋体" w:hAnsi="宋体" w:cs="宋体"/>
                <w:kern w:val="0"/>
                <w:sz w:val="24"/>
              </w:rPr>
            </w:pPr>
            <w:r>
              <w:rPr>
                <w:rFonts w:hint="eastAsia" w:ascii="宋体" w:hAnsi="宋体" w:cs="宋体"/>
                <w:kern w:val="0"/>
                <w:sz w:val="24"/>
              </w:rPr>
              <w:t>德阳市罗江区中医医院</w:t>
            </w:r>
          </w:p>
        </w:tc>
      </w:tr>
      <w:tr w14:paraId="7471EADD">
        <w:tblPrEx>
          <w:tblCellMar>
            <w:top w:w="0" w:type="dxa"/>
            <w:left w:w="108" w:type="dxa"/>
            <w:bottom w:w="0" w:type="dxa"/>
            <w:right w:w="108" w:type="dxa"/>
          </w:tblCellMar>
        </w:tblPrEx>
        <w:trPr>
          <w:trHeight w:val="285" w:hRule="atLeast"/>
        </w:trPr>
        <w:tc>
          <w:tcPr>
            <w:tcW w:w="43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FAAD4A">
            <w:pPr>
              <w:widowControl/>
              <w:jc w:val="center"/>
              <w:rPr>
                <w:rFonts w:ascii="宋体" w:hAnsi="宋体" w:cs="宋体"/>
                <w:kern w:val="0"/>
                <w:sz w:val="24"/>
              </w:rPr>
            </w:pPr>
            <w:r>
              <w:rPr>
                <w:rFonts w:hint="eastAsia" w:ascii="宋体" w:hAnsi="宋体" w:cs="宋体"/>
                <w:kern w:val="0"/>
                <w:sz w:val="24"/>
              </w:rPr>
              <w:t>项目资金</w:t>
            </w:r>
          </w:p>
          <w:p w14:paraId="4FAB1D3D">
            <w:pPr>
              <w:widowControl/>
              <w:jc w:val="center"/>
              <w:rPr>
                <w:rFonts w:ascii="宋体" w:hAnsi="宋体" w:cs="宋体"/>
                <w:kern w:val="0"/>
                <w:sz w:val="24"/>
              </w:rPr>
            </w:pPr>
            <w:r>
              <w:rPr>
                <w:rFonts w:hint="eastAsia" w:ascii="宋体" w:hAnsi="宋体" w:cs="宋体"/>
                <w:kern w:val="0"/>
                <w:sz w:val="24"/>
              </w:rPr>
              <w:t>（万元）</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219DDEE1">
            <w:pPr>
              <w:widowControl/>
              <w:jc w:val="left"/>
              <w:rPr>
                <w:rFonts w:ascii="宋体" w:hAnsi="宋体" w:cs="宋体"/>
                <w:kern w:val="0"/>
                <w:sz w:val="24"/>
              </w:rPr>
            </w:pPr>
            <w:r>
              <w:rPr>
                <w:rFonts w:hint="eastAsia" w:ascii="宋体" w:hAnsi="宋体" w:cs="宋体"/>
                <w:kern w:val="0"/>
                <w:sz w:val="24"/>
              </w:rPr>
              <w:t xml:space="preserve">   年度资金总额：3.30</w:t>
            </w:r>
          </w:p>
        </w:tc>
      </w:tr>
      <w:tr w14:paraId="2153FE4A">
        <w:tblPrEx>
          <w:tblCellMar>
            <w:top w:w="0" w:type="dxa"/>
            <w:left w:w="108" w:type="dxa"/>
            <w:bottom w:w="0" w:type="dxa"/>
            <w:right w:w="108" w:type="dxa"/>
          </w:tblCellMar>
        </w:tblPrEx>
        <w:trPr>
          <w:trHeight w:val="285" w:hRule="atLeast"/>
        </w:trPr>
        <w:tc>
          <w:tcPr>
            <w:tcW w:w="4380" w:type="dxa"/>
            <w:gridSpan w:val="3"/>
            <w:vMerge w:val="continue"/>
            <w:tcBorders>
              <w:top w:val="single" w:color="auto" w:sz="4" w:space="0"/>
              <w:left w:val="single" w:color="auto" w:sz="4" w:space="0"/>
              <w:bottom w:val="single" w:color="auto" w:sz="4" w:space="0"/>
              <w:right w:val="single" w:color="auto" w:sz="4" w:space="0"/>
            </w:tcBorders>
            <w:vAlign w:val="center"/>
          </w:tcPr>
          <w:p w14:paraId="05B5F000">
            <w:pPr>
              <w:widowControl/>
              <w:jc w:val="left"/>
              <w:rPr>
                <w:rFonts w:ascii="宋体" w:hAnsi="宋体" w:cs="宋体"/>
                <w:kern w:val="0"/>
                <w:sz w:val="24"/>
              </w:rPr>
            </w:pP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3AEF4172">
            <w:pPr>
              <w:widowControl/>
              <w:jc w:val="left"/>
              <w:rPr>
                <w:rFonts w:ascii="宋体" w:hAnsi="宋体" w:cs="宋体"/>
                <w:kern w:val="0"/>
                <w:sz w:val="24"/>
              </w:rPr>
            </w:pPr>
            <w:r>
              <w:rPr>
                <w:rFonts w:hint="eastAsia" w:ascii="宋体" w:hAnsi="宋体" w:cs="宋体"/>
                <w:kern w:val="0"/>
                <w:sz w:val="24"/>
              </w:rPr>
              <w:t xml:space="preserve">        其中：财政拨款3.30</w:t>
            </w:r>
          </w:p>
        </w:tc>
      </w:tr>
      <w:tr w14:paraId="2EA20FB0">
        <w:tblPrEx>
          <w:tblCellMar>
            <w:top w:w="0" w:type="dxa"/>
            <w:left w:w="108" w:type="dxa"/>
            <w:bottom w:w="0" w:type="dxa"/>
            <w:right w:w="108" w:type="dxa"/>
          </w:tblCellMar>
        </w:tblPrEx>
        <w:trPr>
          <w:trHeight w:val="285" w:hRule="atLeast"/>
        </w:trPr>
        <w:tc>
          <w:tcPr>
            <w:tcW w:w="4380" w:type="dxa"/>
            <w:gridSpan w:val="3"/>
            <w:vMerge w:val="continue"/>
            <w:tcBorders>
              <w:top w:val="single" w:color="auto" w:sz="4" w:space="0"/>
              <w:left w:val="single" w:color="auto" w:sz="4" w:space="0"/>
              <w:bottom w:val="single" w:color="auto" w:sz="4" w:space="0"/>
              <w:right w:val="single" w:color="auto" w:sz="4" w:space="0"/>
            </w:tcBorders>
            <w:vAlign w:val="center"/>
          </w:tcPr>
          <w:p w14:paraId="2D99BE5A">
            <w:pPr>
              <w:widowControl/>
              <w:jc w:val="left"/>
              <w:rPr>
                <w:rFonts w:ascii="宋体" w:hAnsi="宋体" w:cs="宋体"/>
                <w:kern w:val="0"/>
                <w:sz w:val="24"/>
              </w:rPr>
            </w:pP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434FBF2E">
            <w:pPr>
              <w:widowControl/>
              <w:jc w:val="left"/>
              <w:rPr>
                <w:rFonts w:ascii="宋体" w:hAnsi="宋体" w:cs="宋体"/>
                <w:kern w:val="0"/>
                <w:sz w:val="24"/>
              </w:rPr>
            </w:pPr>
            <w:r>
              <w:rPr>
                <w:rFonts w:hint="eastAsia" w:ascii="宋体" w:hAnsi="宋体" w:cs="宋体"/>
                <w:kern w:val="0"/>
                <w:sz w:val="24"/>
              </w:rPr>
              <w:t xml:space="preserve">        其他资金：</w:t>
            </w:r>
          </w:p>
        </w:tc>
      </w:tr>
      <w:tr w14:paraId="4F6F52B4">
        <w:tblPrEx>
          <w:tblCellMar>
            <w:top w:w="0" w:type="dxa"/>
            <w:left w:w="108" w:type="dxa"/>
            <w:bottom w:w="0" w:type="dxa"/>
            <w:right w:w="108" w:type="dxa"/>
          </w:tblCellMar>
        </w:tblPrEx>
        <w:trPr>
          <w:trHeight w:val="600"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1F90A6CD">
            <w:pPr>
              <w:widowControl/>
              <w:jc w:val="center"/>
              <w:rPr>
                <w:rFonts w:ascii="宋体" w:hAnsi="宋体" w:cs="宋体"/>
                <w:kern w:val="0"/>
                <w:sz w:val="24"/>
              </w:rPr>
            </w:pPr>
            <w:r>
              <w:rPr>
                <w:rFonts w:hint="eastAsia" w:ascii="宋体" w:hAnsi="宋体" w:cs="宋体"/>
                <w:kern w:val="0"/>
                <w:sz w:val="24"/>
              </w:rPr>
              <w:t>年度目标完成情况</w:t>
            </w:r>
          </w:p>
          <w:p w14:paraId="7CBAB25B">
            <w:pPr>
              <w:widowControl/>
              <w:jc w:val="center"/>
              <w:rPr>
                <w:rFonts w:ascii="宋体" w:hAnsi="宋体" w:cs="宋体"/>
                <w:kern w:val="0"/>
                <w:sz w:val="24"/>
              </w:rPr>
            </w:pPr>
            <w:r>
              <w:rPr>
                <w:rFonts w:hint="eastAsia" w:ascii="宋体" w:hAnsi="宋体" w:cs="宋体"/>
                <w:kern w:val="0"/>
                <w:sz w:val="24"/>
              </w:rPr>
              <w:t>体</w:t>
            </w:r>
          </w:p>
          <w:p w14:paraId="0BD39A3D">
            <w:pPr>
              <w:widowControl/>
              <w:jc w:val="center"/>
              <w:rPr>
                <w:rFonts w:ascii="宋体" w:hAnsi="宋体" w:cs="宋体"/>
                <w:kern w:val="0"/>
                <w:sz w:val="24"/>
              </w:rPr>
            </w:pPr>
            <w:r>
              <w:rPr>
                <w:rFonts w:hint="eastAsia" w:ascii="宋体" w:hAnsi="宋体" w:cs="宋体"/>
                <w:kern w:val="0"/>
                <w:sz w:val="24"/>
              </w:rPr>
              <w:t>目</w:t>
            </w:r>
          </w:p>
          <w:p w14:paraId="38F2895C">
            <w:pPr>
              <w:widowControl/>
              <w:jc w:val="center"/>
              <w:rPr>
                <w:rFonts w:ascii="宋体" w:hAnsi="宋体" w:cs="宋体"/>
                <w:kern w:val="0"/>
                <w:sz w:val="24"/>
              </w:rPr>
            </w:pPr>
            <w:r>
              <w:rPr>
                <w:rFonts w:hint="eastAsia" w:ascii="宋体" w:hAnsi="宋体" w:cs="宋体"/>
                <w:kern w:val="0"/>
                <w:sz w:val="24"/>
              </w:rPr>
              <w:t>标</w:t>
            </w:r>
          </w:p>
        </w:tc>
        <w:tc>
          <w:tcPr>
            <w:tcW w:w="3320" w:type="dxa"/>
            <w:gridSpan w:val="2"/>
            <w:tcBorders>
              <w:top w:val="single" w:color="auto" w:sz="4" w:space="0"/>
              <w:left w:val="nil"/>
              <w:bottom w:val="single" w:color="auto" w:sz="4" w:space="0"/>
              <w:right w:val="single" w:color="auto" w:sz="4" w:space="0"/>
            </w:tcBorders>
            <w:shd w:val="clear" w:color="auto" w:fill="auto"/>
            <w:vAlign w:val="center"/>
          </w:tcPr>
          <w:p w14:paraId="0833E1D4">
            <w:pPr>
              <w:widowControl/>
              <w:jc w:val="center"/>
              <w:rPr>
                <w:rFonts w:ascii="宋体" w:hAnsi="宋体" w:cs="宋体"/>
                <w:color w:val="000000"/>
                <w:kern w:val="0"/>
                <w:sz w:val="24"/>
              </w:rPr>
            </w:pPr>
            <w:r>
              <w:rPr>
                <w:rFonts w:hint="eastAsia" w:ascii="宋体" w:hAnsi="宋体" w:cs="宋体"/>
                <w:color w:val="000000"/>
                <w:kern w:val="0"/>
                <w:sz w:val="24"/>
              </w:rPr>
              <w:t>预期目标</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4D952C35">
            <w:pPr>
              <w:widowControl/>
              <w:jc w:val="center"/>
              <w:rPr>
                <w:rFonts w:ascii="宋体" w:hAnsi="宋体" w:cs="宋体"/>
                <w:color w:val="000000"/>
                <w:kern w:val="0"/>
                <w:sz w:val="24"/>
              </w:rPr>
            </w:pPr>
            <w:r>
              <w:rPr>
                <w:rFonts w:hint="eastAsia" w:ascii="宋体" w:hAnsi="宋体" w:cs="宋体"/>
                <w:color w:val="000000"/>
                <w:kern w:val="0"/>
                <w:sz w:val="24"/>
              </w:rPr>
              <w:t>完成目标</w:t>
            </w:r>
          </w:p>
        </w:tc>
      </w:tr>
      <w:tr w14:paraId="6D524D01">
        <w:tblPrEx>
          <w:tblCellMar>
            <w:top w:w="0" w:type="dxa"/>
            <w:left w:w="108" w:type="dxa"/>
            <w:bottom w:w="0" w:type="dxa"/>
            <w:right w:w="108" w:type="dxa"/>
          </w:tblCellMar>
        </w:tblPrEx>
        <w:trPr>
          <w:trHeight w:val="870" w:hRule="atLeast"/>
        </w:trPr>
        <w:tc>
          <w:tcPr>
            <w:tcW w:w="1060" w:type="dxa"/>
            <w:vMerge w:val="continue"/>
            <w:tcBorders>
              <w:top w:val="nil"/>
              <w:left w:val="single" w:color="auto" w:sz="4" w:space="0"/>
              <w:bottom w:val="single" w:color="000000" w:sz="4" w:space="0"/>
              <w:right w:val="single" w:color="auto" w:sz="4" w:space="0"/>
            </w:tcBorders>
            <w:vAlign w:val="center"/>
          </w:tcPr>
          <w:p w14:paraId="4964516F">
            <w:pPr>
              <w:widowControl/>
              <w:jc w:val="left"/>
              <w:rPr>
                <w:rFonts w:ascii="宋体" w:hAnsi="宋体" w:cs="宋体"/>
                <w:kern w:val="0"/>
                <w:sz w:val="24"/>
              </w:rPr>
            </w:pPr>
          </w:p>
        </w:tc>
        <w:tc>
          <w:tcPr>
            <w:tcW w:w="3320" w:type="dxa"/>
            <w:gridSpan w:val="2"/>
            <w:tcBorders>
              <w:top w:val="single" w:color="auto" w:sz="4" w:space="0"/>
              <w:left w:val="nil"/>
              <w:bottom w:val="single" w:color="auto" w:sz="4" w:space="0"/>
              <w:right w:val="single" w:color="000000" w:sz="4" w:space="0"/>
            </w:tcBorders>
            <w:shd w:val="clear" w:color="auto" w:fill="auto"/>
            <w:vAlign w:val="center"/>
          </w:tcPr>
          <w:p w14:paraId="70A8BBB9">
            <w:pPr>
              <w:widowControl/>
              <w:jc w:val="center"/>
              <w:rPr>
                <w:rFonts w:ascii="宋体" w:hAnsi="宋体" w:cs="宋体"/>
                <w:color w:val="000000"/>
                <w:kern w:val="0"/>
                <w:sz w:val="24"/>
              </w:rPr>
            </w:pPr>
            <w:r>
              <w:rPr>
                <w:rFonts w:hint="eastAsia" w:ascii="宋体" w:hAnsi="宋体" w:cs="宋体"/>
                <w:color w:val="000000"/>
                <w:kern w:val="0"/>
                <w:sz w:val="24"/>
              </w:rPr>
              <w:t>形成一批中医药传承与创新人才培养平台</w:t>
            </w:r>
          </w:p>
        </w:tc>
        <w:tc>
          <w:tcPr>
            <w:tcW w:w="4620" w:type="dxa"/>
            <w:gridSpan w:val="2"/>
            <w:tcBorders>
              <w:top w:val="single" w:color="auto" w:sz="4" w:space="0"/>
              <w:left w:val="nil"/>
              <w:bottom w:val="single" w:color="auto" w:sz="4" w:space="0"/>
              <w:right w:val="single" w:color="000000" w:sz="4" w:space="0"/>
            </w:tcBorders>
            <w:shd w:val="clear" w:color="auto" w:fill="auto"/>
            <w:vAlign w:val="center"/>
          </w:tcPr>
          <w:p w14:paraId="492D95B6">
            <w:pPr>
              <w:ind w:firstLine="560" w:firstLineChars="200"/>
              <w:jc w:val="left"/>
              <w:rPr>
                <w:sz w:val="28"/>
                <w:szCs w:val="28"/>
              </w:rPr>
            </w:pPr>
            <w:r>
              <w:rPr>
                <w:rFonts w:hint="eastAsia"/>
                <w:sz w:val="28"/>
                <w:szCs w:val="28"/>
              </w:rPr>
              <w:t>达到预期目标，填了中医药健康文化素养水平</w:t>
            </w:r>
          </w:p>
          <w:p w14:paraId="3A3EE378">
            <w:pPr>
              <w:widowControl/>
              <w:jc w:val="center"/>
              <w:rPr>
                <w:rFonts w:ascii="宋体" w:hAnsi="宋体" w:cs="宋体"/>
                <w:color w:val="000000"/>
                <w:kern w:val="0"/>
                <w:sz w:val="24"/>
              </w:rPr>
            </w:pPr>
          </w:p>
        </w:tc>
      </w:tr>
      <w:tr w14:paraId="74D36F66">
        <w:tblPrEx>
          <w:tblCellMar>
            <w:top w:w="0" w:type="dxa"/>
            <w:left w:w="108" w:type="dxa"/>
            <w:bottom w:w="0" w:type="dxa"/>
            <w:right w:w="108" w:type="dxa"/>
          </w:tblCellMar>
        </w:tblPrEx>
        <w:trPr>
          <w:trHeight w:val="975"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6068A782">
            <w:pPr>
              <w:widowControl/>
              <w:jc w:val="left"/>
              <w:rPr>
                <w:rFonts w:ascii="宋体" w:hAnsi="宋体" w:cs="宋体"/>
                <w:kern w:val="0"/>
                <w:sz w:val="24"/>
              </w:rPr>
            </w:pPr>
            <w:r>
              <w:rPr>
                <w:rFonts w:hint="eastAsia" w:ascii="宋体" w:hAnsi="宋体"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14:paraId="6C0DA60B">
            <w:pPr>
              <w:widowControl/>
              <w:jc w:val="center"/>
              <w:rPr>
                <w:rFonts w:ascii="宋体" w:hAnsi="宋体" w:cs="宋体"/>
                <w:kern w:val="0"/>
                <w:sz w:val="24"/>
              </w:rPr>
            </w:pPr>
            <w:r>
              <w:rPr>
                <w:rFonts w:hint="eastAsia" w:ascii="宋体" w:hAnsi="宋体" w:cs="宋体"/>
                <w:kern w:val="0"/>
                <w:sz w:val="24"/>
              </w:rPr>
              <w:t>一级指标</w:t>
            </w:r>
          </w:p>
        </w:tc>
        <w:tc>
          <w:tcPr>
            <w:tcW w:w="1800" w:type="dxa"/>
            <w:tcBorders>
              <w:top w:val="nil"/>
              <w:left w:val="nil"/>
              <w:bottom w:val="single" w:color="auto" w:sz="4" w:space="0"/>
              <w:right w:val="single" w:color="auto" w:sz="4" w:space="0"/>
            </w:tcBorders>
            <w:shd w:val="clear" w:color="auto" w:fill="auto"/>
            <w:vAlign w:val="center"/>
          </w:tcPr>
          <w:p w14:paraId="71494311">
            <w:pPr>
              <w:widowControl/>
              <w:jc w:val="center"/>
              <w:rPr>
                <w:rFonts w:ascii="宋体" w:hAnsi="宋体" w:cs="宋体"/>
                <w:kern w:val="0"/>
                <w:sz w:val="24"/>
              </w:rPr>
            </w:pPr>
            <w:r>
              <w:rPr>
                <w:rFonts w:hint="eastAsia" w:ascii="宋体" w:hAnsi="宋体" w:cs="宋体"/>
                <w:kern w:val="0"/>
                <w:sz w:val="24"/>
              </w:rPr>
              <w:t>二级指标</w:t>
            </w:r>
          </w:p>
        </w:tc>
        <w:tc>
          <w:tcPr>
            <w:tcW w:w="2060" w:type="dxa"/>
            <w:tcBorders>
              <w:top w:val="nil"/>
              <w:left w:val="nil"/>
              <w:bottom w:val="single" w:color="auto" w:sz="4" w:space="0"/>
              <w:right w:val="single" w:color="auto" w:sz="4" w:space="0"/>
            </w:tcBorders>
            <w:shd w:val="clear" w:color="auto" w:fill="auto"/>
            <w:vAlign w:val="center"/>
          </w:tcPr>
          <w:p w14:paraId="48E9BD1D">
            <w:pPr>
              <w:widowControl/>
              <w:jc w:val="center"/>
              <w:rPr>
                <w:rFonts w:ascii="宋体" w:hAnsi="宋体" w:cs="宋体"/>
                <w:kern w:val="0"/>
                <w:sz w:val="24"/>
              </w:rPr>
            </w:pPr>
            <w:r>
              <w:rPr>
                <w:rFonts w:hint="eastAsia" w:ascii="宋体" w:hAnsi="宋体" w:cs="宋体"/>
                <w:kern w:val="0"/>
                <w:sz w:val="24"/>
              </w:rPr>
              <w:t>三级指标</w:t>
            </w:r>
          </w:p>
        </w:tc>
        <w:tc>
          <w:tcPr>
            <w:tcW w:w="2560" w:type="dxa"/>
            <w:tcBorders>
              <w:top w:val="nil"/>
              <w:left w:val="nil"/>
              <w:bottom w:val="single" w:color="auto" w:sz="4" w:space="0"/>
              <w:right w:val="single" w:color="auto" w:sz="4" w:space="0"/>
            </w:tcBorders>
            <w:shd w:val="clear" w:color="auto" w:fill="auto"/>
            <w:vAlign w:val="center"/>
          </w:tcPr>
          <w:p w14:paraId="1062EB7F">
            <w:pPr>
              <w:widowControl/>
              <w:jc w:val="center"/>
              <w:rPr>
                <w:rFonts w:ascii="宋体" w:hAnsi="宋体" w:cs="宋体"/>
                <w:kern w:val="0"/>
                <w:sz w:val="24"/>
              </w:rPr>
            </w:pPr>
            <w:r>
              <w:rPr>
                <w:rFonts w:hint="eastAsia" w:ascii="宋体" w:hAnsi="宋体" w:cs="宋体"/>
                <w:kern w:val="0"/>
                <w:sz w:val="24"/>
              </w:rPr>
              <w:t>指标值（包含数字及文字描述）</w:t>
            </w:r>
          </w:p>
        </w:tc>
      </w:tr>
      <w:tr w14:paraId="47551EF7">
        <w:tblPrEx>
          <w:tblCellMar>
            <w:top w:w="0" w:type="dxa"/>
            <w:left w:w="108" w:type="dxa"/>
            <w:bottom w:w="0" w:type="dxa"/>
            <w:right w:w="108" w:type="dxa"/>
          </w:tblCellMar>
        </w:tblPrEx>
        <w:trPr>
          <w:trHeight w:val="285"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5128E746">
            <w:pPr>
              <w:widowControl/>
              <w:jc w:val="center"/>
              <w:rPr>
                <w:rFonts w:ascii="宋体" w:hAnsi="宋体" w:cs="宋体"/>
                <w:kern w:val="0"/>
                <w:sz w:val="24"/>
              </w:rPr>
            </w:pPr>
            <w:r>
              <w:rPr>
                <w:rFonts w:hint="eastAsia" w:ascii="宋体" w:hAnsi="宋体" w:cs="宋体"/>
                <w:kern w:val="0"/>
                <w:sz w:val="24"/>
              </w:rPr>
              <w:t>绩效目标</w:t>
            </w:r>
          </w:p>
        </w:tc>
        <w:tc>
          <w:tcPr>
            <w:tcW w:w="1520" w:type="dxa"/>
            <w:vMerge w:val="restart"/>
            <w:tcBorders>
              <w:top w:val="nil"/>
              <w:left w:val="single" w:color="auto" w:sz="4" w:space="0"/>
              <w:bottom w:val="nil"/>
              <w:right w:val="single" w:color="auto" w:sz="4" w:space="0"/>
            </w:tcBorders>
            <w:shd w:val="clear" w:color="auto" w:fill="auto"/>
            <w:vAlign w:val="center"/>
          </w:tcPr>
          <w:p w14:paraId="18E18C07">
            <w:pPr>
              <w:widowControl/>
              <w:jc w:val="center"/>
              <w:rPr>
                <w:rFonts w:ascii="宋体" w:hAnsi="宋体" w:cs="宋体"/>
                <w:kern w:val="0"/>
                <w:sz w:val="24"/>
              </w:rPr>
            </w:pPr>
            <w:r>
              <w:rPr>
                <w:rFonts w:hint="eastAsia" w:ascii="宋体" w:hAnsi="宋体" w:cs="宋体"/>
                <w:kern w:val="0"/>
                <w:sz w:val="24"/>
              </w:rPr>
              <w:t>产出指标</w:t>
            </w:r>
          </w:p>
        </w:tc>
        <w:tc>
          <w:tcPr>
            <w:tcW w:w="1800" w:type="dxa"/>
            <w:tcBorders>
              <w:top w:val="nil"/>
              <w:left w:val="nil"/>
              <w:bottom w:val="nil"/>
              <w:right w:val="single" w:color="auto" w:sz="4" w:space="0"/>
            </w:tcBorders>
            <w:shd w:val="clear" w:color="auto" w:fill="auto"/>
            <w:vAlign w:val="center"/>
          </w:tcPr>
          <w:p w14:paraId="23540B0F">
            <w:pPr>
              <w:widowControl/>
              <w:jc w:val="center"/>
              <w:rPr>
                <w:rFonts w:ascii="宋体" w:hAnsi="宋体" w:cs="宋体"/>
                <w:kern w:val="0"/>
                <w:sz w:val="24"/>
              </w:rPr>
            </w:pPr>
            <w:r>
              <w:rPr>
                <w:rFonts w:hint="eastAsia" w:ascii="宋体" w:hAnsi="宋体" w:cs="宋体"/>
                <w:kern w:val="0"/>
                <w:sz w:val="24"/>
              </w:rPr>
              <w:t>数量指标</w:t>
            </w:r>
          </w:p>
        </w:tc>
        <w:tc>
          <w:tcPr>
            <w:tcW w:w="2060" w:type="dxa"/>
            <w:tcBorders>
              <w:top w:val="nil"/>
              <w:left w:val="nil"/>
              <w:bottom w:val="single" w:color="auto" w:sz="4" w:space="0"/>
              <w:right w:val="single" w:color="auto" w:sz="4" w:space="0"/>
            </w:tcBorders>
            <w:shd w:val="clear" w:color="auto" w:fill="auto"/>
            <w:vAlign w:val="center"/>
          </w:tcPr>
          <w:p w14:paraId="1566D7C0">
            <w:pPr>
              <w:widowControl/>
              <w:jc w:val="left"/>
              <w:rPr>
                <w:rFonts w:ascii="宋体" w:hAnsi="宋体" w:cs="宋体"/>
                <w:color w:val="000000"/>
                <w:kern w:val="0"/>
                <w:sz w:val="22"/>
                <w:szCs w:val="22"/>
              </w:rPr>
            </w:pPr>
            <w:r>
              <w:rPr>
                <w:rFonts w:hint="eastAsia" w:ascii="宋体" w:hAnsi="宋体" w:cs="宋体"/>
                <w:color w:val="000000"/>
                <w:kern w:val="0"/>
                <w:sz w:val="22"/>
                <w:szCs w:val="22"/>
              </w:rPr>
              <w:t>在肛肠科建设基层名老中医传承工作室1个（李金隆名医工作室）</w:t>
            </w:r>
          </w:p>
        </w:tc>
        <w:tc>
          <w:tcPr>
            <w:tcW w:w="2560" w:type="dxa"/>
            <w:tcBorders>
              <w:top w:val="nil"/>
              <w:left w:val="nil"/>
              <w:bottom w:val="single" w:color="auto" w:sz="4" w:space="0"/>
              <w:right w:val="single" w:color="auto" w:sz="4" w:space="0"/>
            </w:tcBorders>
            <w:shd w:val="clear" w:color="auto" w:fill="auto"/>
            <w:vAlign w:val="center"/>
          </w:tcPr>
          <w:p w14:paraId="6CFCC32B">
            <w:pPr>
              <w:widowControl/>
              <w:jc w:val="left"/>
              <w:rPr>
                <w:rFonts w:ascii="宋体" w:hAnsi="宋体" w:cs="宋体"/>
                <w:color w:val="000000"/>
                <w:kern w:val="0"/>
                <w:sz w:val="22"/>
                <w:szCs w:val="22"/>
              </w:rPr>
            </w:pPr>
            <w:r>
              <w:rPr>
                <w:rFonts w:hint="eastAsia" w:ascii="宋体" w:hAnsi="宋体" w:cs="宋体"/>
                <w:color w:val="000000"/>
                <w:kern w:val="0"/>
                <w:sz w:val="22"/>
                <w:szCs w:val="22"/>
              </w:rPr>
              <w:t>1个</w:t>
            </w:r>
          </w:p>
        </w:tc>
      </w:tr>
      <w:tr w14:paraId="2577EA98">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3C3CCA1A">
            <w:pPr>
              <w:widowControl/>
              <w:jc w:val="left"/>
              <w:rPr>
                <w:rFonts w:ascii="宋体" w:hAnsi="宋体" w:cs="宋体"/>
                <w:kern w:val="0"/>
                <w:sz w:val="24"/>
              </w:rPr>
            </w:pPr>
          </w:p>
        </w:tc>
        <w:tc>
          <w:tcPr>
            <w:tcW w:w="1520" w:type="dxa"/>
            <w:vMerge w:val="continue"/>
            <w:tcBorders>
              <w:top w:val="nil"/>
              <w:left w:val="single" w:color="auto" w:sz="4" w:space="0"/>
              <w:bottom w:val="nil"/>
              <w:right w:val="single" w:color="auto" w:sz="4" w:space="0"/>
            </w:tcBorders>
            <w:vAlign w:val="center"/>
          </w:tcPr>
          <w:p w14:paraId="6A1C4D34">
            <w:pPr>
              <w:widowControl/>
              <w:jc w:val="left"/>
              <w:rPr>
                <w:rFonts w:ascii="宋体" w:hAnsi="宋体" w:cs="宋体"/>
                <w:kern w:val="0"/>
                <w:sz w:val="24"/>
              </w:rPr>
            </w:pPr>
          </w:p>
        </w:tc>
        <w:tc>
          <w:tcPr>
            <w:tcW w:w="1800" w:type="dxa"/>
            <w:tcBorders>
              <w:top w:val="single" w:color="auto" w:sz="4" w:space="0"/>
              <w:left w:val="nil"/>
              <w:bottom w:val="nil"/>
              <w:right w:val="single" w:color="auto" w:sz="4" w:space="0"/>
            </w:tcBorders>
            <w:shd w:val="clear" w:color="auto" w:fill="auto"/>
            <w:vAlign w:val="center"/>
          </w:tcPr>
          <w:p w14:paraId="06B7ADA9">
            <w:pPr>
              <w:widowControl/>
              <w:jc w:val="center"/>
              <w:rPr>
                <w:rFonts w:ascii="宋体" w:hAnsi="宋体" w:cs="宋体"/>
                <w:kern w:val="0"/>
                <w:sz w:val="24"/>
              </w:rPr>
            </w:pPr>
            <w:r>
              <w:rPr>
                <w:rFonts w:hint="eastAsia" w:ascii="宋体" w:hAnsi="宋体" w:cs="宋体"/>
                <w:kern w:val="0"/>
                <w:sz w:val="24"/>
              </w:rPr>
              <w:t>质量指标</w:t>
            </w:r>
          </w:p>
        </w:tc>
        <w:tc>
          <w:tcPr>
            <w:tcW w:w="2060" w:type="dxa"/>
            <w:tcBorders>
              <w:top w:val="nil"/>
              <w:left w:val="nil"/>
              <w:bottom w:val="single" w:color="auto" w:sz="4" w:space="0"/>
              <w:right w:val="single" w:color="auto" w:sz="4" w:space="0"/>
            </w:tcBorders>
            <w:shd w:val="clear" w:color="auto" w:fill="auto"/>
            <w:vAlign w:val="center"/>
          </w:tcPr>
          <w:p w14:paraId="50B2E72A">
            <w:pPr>
              <w:widowControl/>
              <w:jc w:val="left"/>
              <w:rPr>
                <w:rFonts w:ascii="宋体" w:hAnsi="宋体" w:cs="宋体"/>
                <w:color w:val="000000"/>
                <w:kern w:val="0"/>
                <w:sz w:val="22"/>
                <w:szCs w:val="22"/>
              </w:rPr>
            </w:pPr>
            <w:r>
              <w:rPr>
                <w:rFonts w:hint="eastAsia" w:ascii="宋体" w:hAnsi="宋体" w:cs="宋体"/>
                <w:color w:val="000000"/>
                <w:kern w:val="0"/>
                <w:sz w:val="22"/>
                <w:szCs w:val="22"/>
              </w:rPr>
              <w:t>按时建成并投入使用</w:t>
            </w:r>
          </w:p>
        </w:tc>
        <w:tc>
          <w:tcPr>
            <w:tcW w:w="2560" w:type="dxa"/>
            <w:tcBorders>
              <w:top w:val="nil"/>
              <w:left w:val="nil"/>
              <w:bottom w:val="single" w:color="auto" w:sz="4" w:space="0"/>
              <w:right w:val="single" w:color="auto" w:sz="4" w:space="0"/>
            </w:tcBorders>
            <w:shd w:val="clear" w:color="auto" w:fill="auto"/>
            <w:vAlign w:val="center"/>
          </w:tcPr>
          <w:p w14:paraId="60456B61">
            <w:pPr>
              <w:widowControl/>
              <w:jc w:val="left"/>
              <w:rPr>
                <w:rFonts w:ascii="宋体" w:hAnsi="宋体" w:cs="宋体"/>
                <w:color w:val="000000"/>
                <w:kern w:val="0"/>
                <w:sz w:val="22"/>
                <w:szCs w:val="22"/>
              </w:rPr>
            </w:pPr>
            <w:r>
              <w:rPr>
                <w:rFonts w:hint="eastAsia" w:ascii="宋体" w:hAnsi="宋体" w:cs="宋体"/>
                <w:color w:val="000000"/>
                <w:kern w:val="0"/>
                <w:sz w:val="22"/>
                <w:szCs w:val="22"/>
              </w:rPr>
              <w:t>100%完成</w:t>
            </w:r>
          </w:p>
        </w:tc>
      </w:tr>
      <w:tr w14:paraId="2BE72115">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690406FA">
            <w:pPr>
              <w:widowControl/>
              <w:jc w:val="left"/>
              <w:rPr>
                <w:rFonts w:ascii="宋体" w:hAnsi="宋体" w:cs="宋体"/>
                <w:kern w:val="0"/>
                <w:sz w:val="24"/>
              </w:rPr>
            </w:pPr>
          </w:p>
        </w:tc>
        <w:tc>
          <w:tcPr>
            <w:tcW w:w="15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BED2D9D">
            <w:pPr>
              <w:widowControl/>
              <w:jc w:val="center"/>
              <w:rPr>
                <w:rFonts w:ascii="宋体" w:hAnsi="宋体" w:cs="宋体"/>
                <w:kern w:val="0"/>
                <w:sz w:val="24"/>
              </w:rPr>
            </w:pPr>
            <w:r>
              <w:rPr>
                <w:rFonts w:hint="eastAsia" w:ascii="宋体" w:hAnsi="宋体" w:cs="宋体"/>
                <w:kern w:val="0"/>
                <w:sz w:val="24"/>
              </w:rPr>
              <w:t>效益指标</w:t>
            </w:r>
          </w:p>
        </w:tc>
        <w:tc>
          <w:tcPr>
            <w:tcW w:w="1800" w:type="dxa"/>
            <w:tcBorders>
              <w:top w:val="nil"/>
              <w:left w:val="nil"/>
              <w:bottom w:val="nil"/>
              <w:right w:val="single" w:color="auto" w:sz="4" w:space="0"/>
            </w:tcBorders>
            <w:shd w:val="clear" w:color="auto" w:fill="auto"/>
            <w:vAlign w:val="center"/>
          </w:tcPr>
          <w:p w14:paraId="3949D0DE">
            <w:pPr>
              <w:widowControl/>
              <w:jc w:val="center"/>
              <w:rPr>
                <w:rFonts w:ascii="宋体" w:hAnsi="宋体" w:cs="宋体"/>
                <w:kern w:val="0"/>
                <w:sz w:val="24"/>
              </w:rPr>
            </w:pPr>
            <w:r>
              <w:rPr>
                <w:rFonts w:hint="eastAsia" w:ascii="宋体" w:hAnsi="宋体" w:cs="宋体"/>
                <w:kern w:val="0"/>
                <w:sz w:val="24"/>
              </w:rPr>
              <w:t>社会效益指标</w:t>
            </w:r>
          </w:p>
        </w:tc>
        <w:tc>
          <w:tcPr>
            <w:tcW w:w="2060" w:type="dxa"/>
            <w:tcBorders>
              <w:top w:val="nil"/>
              <w:left w:val="nil"/>
              <w:bottom w:val="single" w:color="auto" w:sz="4" w:space="0"/>
              <w:right w:val="single" w:color="auto" w:sz="4" w:space="0"/>
            </w:tcBorders>
            <w:shd w:val="clear" w:color="auto" w:fill="auto"/>
            <w:vAlign w:val="center"/>
          </w:tcPr>
          <w:p w14:paraId="2CF8943D">
            <w:pPr>
              <w:widowControl/>
              <w:jc w:val="left"/>
              <w:rPr>
                <w:rFonts w:ascii="宋体" w:hAnsi="宋体" w:cs="宋体"/>
                <w:color w:val="000000"/>
                <w:kern w:val="0"/>
                <w:sz w:val="22"/>
                <w:szCs w:val="22"/>
              </w:rPr>
            </w:pPr>
            <w:r>
              <w:rPr>
                <w:rFonts w:hint="eastAsia" w:ascii="宋体" w:hAnsi="宋体" w:cs="宋体"/>
                <w:color w:val="000000"/>
                <w:kern w:val="0"/>
                <w:sz w:val="22"/>
                <w:szCs w:val="22"/>
              </w:rPr>
              <w:t>中医医院服务能力提高</w:t>
            </w:r>
          </w:p>
        </w:tc>
        <w:tc>
          <w:tcPr>
            <w:tcW w:w="2560" w:type="dxa"/>
            <w:tcBorders>
              <w:top w:val="nil"/>
              <w:left w:val="nil"/>
              <w:bottom w:val="single" w:color="auto" w:sz="4" w:space="0"/>
              <w:right w:val="single" w:color="auto" w:sz="4" w:space="0"/>
            </w:tcBorders>
            <w:shd w:val="clear" w:color="auto" w:fill="auto"/>
            <w:vAlign w:val="center"/>
          </w:tcPr>
          <w:p w14:paraId="285B3227">
            <w:pPr>
              <w:widowControl/>
              <w:jc w:val="left"/>
              <w:rPr>
                <w:rFonts w:ascii="宋体" w:hAnsi="宋体" w:cs="宋体"/>
                <w:color w:val="000000"/>
                <w:kern w:val="0"/>
                <w:sz w:val="22"/>
                <w:szCs w:val="22"/>
              </w:rPr>
            </w:pPr>
            <w:r>
              <w:rPr>
                <w:rFonts w:hint="eastAsia" w:ascii="宋体" w:hAnsi="宋体" w:cs="宋体"/>
                <w:color w:val="000000"/>
                <w:kern w:val="0"/>
                <w:sz w:val="22"/>
                <w:szCs w:val="22"/>
              </w:rPr>
              <w:t>明显提高</w:t>
            </w:r>
          </w:p>
        </w:tc>
      </w:tr>
      <w:tr w14:paraId="2DF411A3">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1B32111C">
            <w:pPr>
              <w:widowControl/>
              <w:jc w:val="left"/>
              <w:rPr>
                <w:rFonts w:ascii="宋体" w:hAnsi="宋体" w:cs="宋体"/>
                <w:kern w:val="0"/>
                <w:sz w:val="24"/>
              </w:rPr>
            </w:pPr>
          </w:p>
        </w:tc>
        <w:tc>
          <w:tcPr>
            <w:tcW w:w="1520" w:type="dxa"/>
            <w:vMerge w:val="continue"/>
            <w:tcBorders>
              <w:top w:val="single" w:color="auto" w:sz="4" w:space="0"/>
              <w:left w:val="single" w:color="auto" w:sz="4" w:space="0"/>
              <w:bottom w:val="single" w:color="000000" w:sz="4" w:space="0"/>
              <w:right w:val="single" w:color="auto" w:sz="4" w:space="0"/>
            </w:tcBorders>
            <w:vAlign w:val="center"/>
          </w:tcPr>
          <w:p w14:paraId="704BDE5D">
            <w:pPr>
              <w:widowControl/>
              <w:jc w:val="left"/>
              <w:rPr>
                <w:rFonts w:ascii="宋体" w:hAnsi="宋体" w:cs="宋体"/>
                <w:kern w:val="0"/>
                <w:sz w:val="24"/>
              </w:rPr>
            </w:pPr>
          </w:p>
        </w:tc>
        <w:tc>
          <w:tcPr>
            <w:tcW w:w="1800" w:type="dxa"/>
            <w:tcBorders>
              <w:top w:val="single" w:color="auto" w:sz="4" w:space="0"/>
              <w:left w:val="nil"/>
              <w:bottom w:val="single" w:color="auto" w:sz="4" w:space="0"/>
              <w:right w:val="single" w:color="auto" w:sz="4" w:space="0"/>
            </w:tcBorders>
            <w:shd w:val="clear" w:color="auto" w:fill="auto"/>
            <w:vAlign w:val="center"/>
          </w:tcPr>
          <w:p w14:paraId="21B00F3A">
            <w:pPr>
              <w:widowControl/>
              <w:jc w:val="center"/>
              <w:rPr>
                <w:rFonts w:ascii="宋体" w:hAnsi="宋体" w:cs="宋体"/>
                <w:kern w:val="0"/>
                <w:sz w:val="24"/>
              </w:rPr>
            </w:pPr>
            <w:r>
              <w:rPr>
                <w:rFonts w:hint="eastAsia" w:ascii="宋体" w:hAnsi="宋体" w:cs="宋体"/>
                <w:kern w:val="0"/>
                <w:sz w:val="24"/>
              </w:rPr>
              <w:t>可持续影响指标</w:t>
            </w:r>
          </w:p>
        </w:tc>
        <w:tc>
          <w:tcPr>
            <w:tcW w:w="2060" w:type="dxa"/>
            <w:tcBorders>
              <w:top w:val="nil"/>
              <w:left w:val="nil"/>
              <w:bottom w:val="single" w:color="auto" w:sz="4" w:space="0"/>
              <w:right w:val="single" w:color="auto" w:sz="4" w:space="0"/>
            </w:tcBorders>
            <w:shd w:val="clear" w:color="auto" w:fill="auto"/>
            <w:vAlign w:val="center"/>
          </w:tcPr>
          <w:p w14:paraId="4606B447">
            <w:pPr>
              <w:widowControl/>
              <w:jc w:val="left"/>
              <w:rPr>
                <w:rFonts w:ascii="宋体" w:hAnsi="宋体" w:cs="宋体"/>
                <w:kern w:val="0"/>
                <w:sz w:val="22"/>
                <w:szCs w:val="22"/>
              </w:rPr>
            </w:pPr>
            <w:r>
              <w:rPr>
                <w:rFonts w:hint="eastAsia" w:ascii="宋体" w:hAnsi="宋体" w:cs="宋体"/>
                <w:kern w:val="0"/>
                <w:sz w:val="22"/>
                <w:szCs w:val="22"/>
              </w:rPr>
              <w:t>中医肛肠人员技术水平提高</w:t>
            </w:r>
          </w:p>
        </w:tc>
        <w:tc>
          <w:tcPr>
            <w:tcW w:w="2560" w:type="dxa"/>
            <w:tcBorders>
              <w:top w:val="nil"/>
              <w:left w:val="nil"/>
              <w:bottom w:val="single" w:color="auto" w:sz="4" w:space="0"/>
              <w:right w:val="single" w:color="auto" w:sz="4" w:space="0"/>
            </w:tcBorders>
            <w:shd w:val="clear" w:color="auto" w:fill="auto"/>
            <w:vAlign w:val="center"/>
          </w:tcPr>
          <w:p w14:paraId="0A356FCB">
            <w:pPr>
              <w:widowControl/>
              <w:jc w:val="left"/>
              <w:rPr>
                <w:rFonts w:ascii="宋体" w:hAnsi="宋体" w:cs="宋体"/>
                <w:color w:val="000000"/>
                <w:kern w:val="0"/>
                <w:sz w:val="22"/>
                <w:szCs w:val="22"/>
              </w:rPr>
            </w:pPr>
            <w:r>
              <w:rPr>
                <w:rFonts w:hint="eastAsia" w:ascii="宋体" w:hAnsi="宋体" w:cs="宋体"/>
                <w:color w:val="000000"/>
                <w:kern w:val="0"/>
                <w:sz w:val="22"/>
                <w:szCs w:val="22"/>
              </w:rPr>
              <w:t>明显提高</w:t>
            </w:r>
          </w:p>
        </w:tc>
      </w:tr>
      <w:tr w14:paraId="4ACF3D75">
        <w:tblPrEx>
          <w:tblCellMar>
            <w:top w:w="0" w:type="dxa"/>
            <w:left w:w="108" w:type="dxa"/>
            <w:bottom w:w="0" w:type="dxa"/>
            <w:right w:w="108" w:type="dxa"/>
          </w:tblCellMar>
        </w:tblPrEx>
        <w:trPr>
          <w:trHeight w:val="585" w:hRule="atLeast"/>
        </w:trPr>
        <w:tc>
          <w:tcPr>
            <w:tcW w:w="1060" w:type="dxa"/>
            <w:vMerge w:val="continue"/>
            <w:tcBorders>
              <w:top w:val="nil"/>
              <w:left w:val="single" w:color="auto" w:sz="4" w:space="0"/>
              <w:bottom w:val="single" w:color="000000" w:sz="4" w:space="0"/>
              <w:right w:val="single" w:color="auto" w:sz="4" w:space="0"/>
            </w:tcBorders>
            <w:vAlign w:val="center"/>
          </w:tcPr>
          <w:p w14:paraId="045A5D4A">
            <w:pPr>
              <w:widowControl/>
              <w:jc w:val="left"/>
              <w:rPr>
                <w:rFonts w:ascii="宋体" w:hAnsi="宋体" w:cs="宋体"/>
                <w:kern w:val="0"/>
                <w:sz w:val="24"/>
              </w:rPr>
            </w:pPr>
          </w:p>
        </w:tc>
        <w:tc>
          <w:tcPr>
            <w:tcW w:w="1520" w:type="dxa"/>
            <w:tcBorders>
              <w:top w:val="nil"/>
              <w:left w:val="nil"/>
              <w:bottom w:val="single" w:color="auto" w:sz="4" w:space="0"/>
              <w:right w:val="single" w:color="auto" w:sz="4" w:space="0"/>
            </w:tcBorders>
            <w:shd w:val="clear" w:color="auto" w:fill="auto"/>
            <w:vAlign w:val="center"/>
          </w:tcPr>
          <w:p w14:paraId="3976602C">
            <w:pPr>
              <w:widowControl/>
              <w:jc w:val="center"/>
              <w:rPr>
                <w:rFonts w:ascii="宋体" w:hAnsi="宋体" w:cs="宋体"/>
                <w:kern w:val="0"/>
                <w:sz w:val="24"/>
              </w:rPr>
            </w:pPr>
            <w:r>
              <w:rPr>
                <w:rFonts w:hint="eastAsia" w:ascii="宋体" w:hAnsi="宋体" w:cs="宋体"/>
                <w:kern w:val="0"/>
                <w:sz w:val="24"/>
              </w:rPr>
              <w:t>满意度指标</w:t>
            </w:r>
          </w:p>
        </w:tc>
        <w:tc>
          <w:tcPr>
            <w:tcW w:w="1800" w:type="dxa"/>
            <w:tcBorders>
              <w:top w:val="nil"/>
              <w:left w:val="nil"/>
              <w:bottom w:val="single" w:color="auto" w:sz="4" w:space="0"/>
              <w:right w:val="single" w:color="auto" w:sz="4" w:space="0"/>
            </w:tcBorders>
            <w:shd w:val="clear" w:color="auto" w:fill="auto"/>
            <w:vAlign w:val="center"/>
          </w:tcPr>
          <w:p w14:paraId="6039287D">
            <w:pPr>
              <w:widowControl/>
              <w:jc w:val="center"/>
              <w:rPr>
                <w:rFonts w:ascii="宋体" w:hAnsi="宋体" w:cs="宋体"/>
                <w:kern w:val="0"/>
                <w:sz w:val="24"/>
              </w:rPr>
            </w:pPr>
            <w:r>
              <w:rPr>
                <w:rFonts w:hint="eastAsia" w:ascii="宋体" w:hAnsi="宋体" w:cs="宋体"/>
                <w:kern w:val="0"/>
                <w:sz w:val="24"/>
              </w:rPr>
              <w:t>服务对象满意度指标</w:t>
            </w:r>
          </w:p>
        </w:tc>
        <w:tc>
          <w:tcPr>
            <w:tcW w:w="2060" w:type="dxa"/>
            <w:tcBorders>
              <w:top w:val="nil"/>
              <w:left w:val="nil"/>
              <w:bottom w:val="single" w:color="auto" w:sz="4" w:space="0"/>
              <w:right w:val="single" w:color="auto" w:sz="4" w:space="0"/>
            </w:tcBorders>
            <w:shd w:val="clear" w:color="auto" w:fill="auto"/>
            <w:vAlign w:val="center"/>
          </w:tcPr>
          <w:p w14:paraId="095ABF83">
            <w:pPr>
              <w:widowControl/>
              <w:jc w:val="left"/>
              <w:rPr>
                <w:rFonts w:ascii="宋体" w:hAnsi="宋体" w:cs="宋体"/>
                <w:color w:val="000000"/>
                <w:kern w:val="0"/>
                <w:sz w:val="22"/>
                <w:szCs w:val="22"/>
              </w:rPr>
            </w:pPr>
            <w:r>
              <w:rPr>
                <w:rFonts w:hint="eastAsia" w:ascii="宋体" w:hAnsi="宋体" w:cs="宋体"/>
                <w:color w:val="000000"/>
                <w:kern w:val="0"/>
                <w:sz w:val="22"/>
                <w:szCs w:val="22"/>
              </w:rPr>
              <w:t>患者满意度</w:t>
            </w:r>
          </w:p>
        </w:tc>
        <w:tc>
          <w:tcPr>
            <w:tcW w:w="2560" w:type="dxa"/>
            <w:tcBorders>
              <w:top w:val="nil"/>
              <w:left w:val="nil"/>
              <w:bottom w:val="single" w:color="auto" w:sz="4" w:space="0"/>
              <w:right w:val="single" w:color="auto" w:sz="4" w:space="0"/>
            </w:tcBorders>
            <w:shd w:val="clear" w:color="auto" w:fill="auto"/>
            <w:vAlign w:val="center"/>
          </w:tcPr>
          <w:p w14:paraId="009D7322">
            <w:pPr>
              <w:widowControl/>
              <w:jc w:val="left"/>
              <w:rPr>
                <w:rFonts w:ascii="宋体" w:hAnsi="宋体" w:cs="宋体"/>
                <w:color w:val="000000"/>
                <w:kern w:val="0"/>
                <w:sz w:val="22"/>
                <w:szCs w:val="22"/>
              </w:rPr>
            </w:pPr>
            <w:r>
              <w:rPr>
                <w:rFonts w:hint="eastAsia" w:ascii="宋体" w:hAnsi="宋体" w:cs="宋体"/>
                <w:color w:val="000000"/>
                <w:kern w:val="0"/>
                <w:sz w:val="22"/>
                <w:szCs w:val="22"/>
              </w:rPr>
              <w:t>≥95%</w:t>
            </w:r>
          </w:p>
        </w:tc>
      </w:tr>
      <w:tr w14:paraId="0CDE5B1E">
        <w:tblPrEx>
          <w:tblCellMar>
            <w:top w:w="0" w:type="dxa"/>
            <w:left w:w="108" w:type="dxa"/>
            <w:bottom w:w="0" w:type="dxa"/>
            <w:right w:w="108" w:type="dxa"/>
          </w:tblCellMar>
        </w:tblPrEx>
        <w:trPr>
          <w:trHeight w:val="510" w:hRule="atLeast"/>
        </w:trPr>
        <w:tc>
          <w:tcPr>
            <w:tcW w:w="9000" w:type="dxa"/>
            <w:gridSpan w:val="5"/>
            <w:tcBorders>
              <w:top w:val="nil"/>
              <w:left w:val="nil"/>
              <w:bottom w:val="nil"/>
              <w:right w:val="nil"/>
            </w:tcBorders>
            <w:shd w:val="clear" w:color="auto" w:fill="auto"/>
            <w:vAlign w:val="center"/>
          </w:tcPr>
          <w:p w14:paraId="24E2C5A6">
            <w:pPr>
              <w:widowControl/>
              <w:jc w:val="center"/>
              <w:rPr>
                <w:rFonts w:ascii="宋体" w:hAnsi="宋体" w:cs="宋体"/>
                <w:b/>
                <w:bCs/>
                <w:kern w:val="0"/>
                <w:sz w:val="40"/>
                <w:szCs w:val="40"/>
              </w:rPr>
            </w:pPr>
          </w:p>
          <w:p w14:paraId="204117B4">
            <w:pPr>
              <w:widowControl/>
              <w:jc w:val="center"/>
              <w:rPr>
                <w:rFonts w:ascii="宋体" w:hAnsi="宋体" w:cs="宋体"/>
                <w:b/>
                <w:bCs/>
                <w:kern w:val="0"/>
                <w:sz w:val="40"/>
                <w:szCs w:val="40"/>
              </w:rPr>
            </w:pPr>
          </w:p>
          <w:p w14:paraId="6A43054A">
            <w:pPr>
              <w:widowControl/>
              <w:jc w:val="center"/>
              <w:rPr>
                <w:rFonts w:ascii="宋体" w:hAnsi="宋体" w:cs="宋体"/>
                <w:b/>
                <w:bCs/>
                <w:kern w:val="0"/>
                <w:sz w:val="40"/>
                <w:szCs w:val="40"/>
              </w:rPr>
            </w:pPr>
          </w:p>
          <w:p w14:paraId="7DB0C50E">
            <w:pPr>
              <w:widowControl/>
              <w:jc w:val="center"/>
              <w:rPr>
                <w:rFonts w:ascii="宋体" w:hAnsi="宋体" w:cs="宋体"/>
                <w:b/>
                <w:bCs/>
                <w:kern w:val="0"/>
                <w:sz w:val="40"/>
                <w:szCs w:val="40"/>
              </w:rPr>
            </w:pPr>
          </w:p>
          <w:p w14:paraId="1E0877DD">
            <w:pPr>
              <w:widowControl/>
              <w:jc w:val="center"/>
              <w:rPr>
                <w:rFonts w:ascii="宋体" w:hAnsi="宋体" w:cs="宋体"/>
                <w:b/>
                <w:bCs/>
                <w:kern w:val="0"/>
                <w:sz w:val="40"/>
                <w:szCs w:val="40"/>
              </w:rPr>
            </w:pPr>
          </w:p>
          <w:p w14:paraId="7B5FFEA5">
            <w:pPr>
              <w:widowControl/>
              <w:ind w:firstLine="1745" w:firstLineChars="395"/>
              <w:rPr>
                <w:rFonts w:ascii="宋体" w:hAnsi="宋体" w:cs="宋体"/>
                <w:b/>
                <w:bCs/>
                <w:kern w:val="0"/>
                <w:sz w:val="40"/>
                <w:szCs w:val="40"/>
              </w:rPr>
            </w:pPr>
            <w:r>
              <w:rPr>
                <w:rFonts w:hint="eastAsia" w:ascii="方正小标宋简体" w:hAnsi="方正小标宋简体" w:eastAsia="方正小标宋简体" w:cs="方正小标宋简体"/>
                <w:b/>
                <w:bCs/>
                <w:kern w:val="0"/>
                <w:sz w:val="44"/>
                <w:szCs w:val="44"/>
              </w:rPr>
              <w:t>2020年度项目绩效目标申报表</w:t>
            </w:r>
          </w:p>
        </w:tc>
      </w:tr>
      <w:tr w14:paraId="5FF5D982">
        <w:tblPrEx>
          <w:tblCellMar>
            <w:top w:w="0" w:type="dxa"/>
            <w:left w:w="108" w:type="dxa"/>
            <w:bottom w:w="0" w:type="dxa"/>
            <w:right w:w="108" w:type="dxa"/>
          </w:tblCellMar>
        </w:tblPrEx>
        <w:trPr>
          <w:trHeight w:val="375" w:hRule="atLeast"/>
        </w:trPr>
        <w:tc>
          <w:tcPr>
            <w:tcW w:w="9000" w:type="dxa"/>
            <w:gridSpan w:val="5"/>
            <w:tcBorders>
              <w:top w:val="nil"/>
              <w:left w:val="nil"/>
              <w:bottom w:val="nil"/>
              <w:right w:val="nil"/>
            </w:tcBorders>
            <w:shd w:val="clear" w:color="auto" w:fill="auto"/>
            <w:noWrap/>
            <w:vAlign w:val="center"/>
          </w:tcPr>
          <w:p w14:paraId="1716FBD7">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r>
      <w:tr w14:paraId="6C2D5F06">
        <w:tblPrEx>
          <w:tblCellMar>
            <w:top w:w="0" w:type="dxa"/>
            <w:left w:w="108" w:type="dxa"/>
            <w:bottom w:w="0" w:type="dxa"/>
            <w:right w:w="108" w:type="dxa"/>
          </w:tblCellMar>
        </w:tblPrEx>
        <w:trPr>
          <w:trHeight w:val="420" w:hRule="atLeast"/>
        </w:trPr>
        <w:tc>
          <w:tcPr>
            <w:tcW w:w="4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749F9B">
            <w:pPr>
              <w:widowControl/>
              <w:jc w:val="center"/>
              <w:rPr>
                <w:rFonts w:ascii="宋体" w:hAnsi="宋体" w:cs="宋体"/>
                <w:kern w:val="0"/>
                <w:sz w:val="24"/>
              </w:rPr>
            </w:pPr>
            <w:r>
              <w:rPr>
                <w:rFonts w:hint="eastAsia" w:ascii="宋体" w:hAnsi="宋体" w:cs="宋体"/>
                <w:kern w:val="0"/>
                <w:sz w:val="24"/>
              </w:rPr>
              <w:t>项目名称</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418E19D5">
            <w:pPr>
              <w:widowControl/>
              <w:jc w:val="center"/>
              <w:rPr>
                <w:rFonts w:ascii="宋体" w:hAnsi="宋体" w:cs="宋体"/>
                <w:kern w:val="0"/>
                <w:sz w:val="24"/>
              </w:rPr>
            </w:pPr>
            <w:r>
              <w:rPr>
                <w:rFonts w:hint="eastAsia" w:ascii="宋体" w:hAnsi="宋体" w:cs="宋体"/>
                <w:kern w:val="0"/>
                <w:sz w:val="24"/>
              </w:rPr>
              <w:t>取消药品加成补助（县级）</w:t>
            </w:r>
          </w:p>
        </w:tc>
      </w:tr>
      <w:tr w14:paraId="0B40176A">
        <w:tblPrEx>
          <w:tblCellMar>
            <w:top w:w="0" w:type="dxa"/>
            <w:left w:w="108" w:type="dxa"/>
            <w:bottom w:w="0" w:type="dxa"/>
            <w:right w:w="108" w:type="dxa"/>
          </w:tblCellMar>
        </w:tblPrEx>
        <w:trPr>
          <w:trHeight w:val="405" w:hRule="atLeast"/>
        </w:trPr>
        <w:tc>
          <w:tcPr>
            <w:tcW w:w="4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FF441B">
            <w:pPr>
              <w:widowControl/>
              <w:jc w:val="center"/>
              <w:rPr>
                <w:rFonts w:ascii="宋体" w:hAnsi="宋体" w:cs="宋体"/>
                <w:kern w:val="0"/>
                <w:sz w:val="24"/>
              </w:rPr>
            </w:pPr>
            <w:r>
              <w:rPr>
                <w:rFonts w:hint="eastAsia" w:ascii="宋体" w:hAnsi="宋体" w:cs="宋体"/>
                <w:kern w:val="0"/>
                <w:sz w:val="24"/>
              </w:rPr>
              <w:t>预算单位</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2589DE01">
            <w:pPr>
              <w:widowControl/>
              <w:jc w:val="center"/>
              <w:rPr>
                <w:rFonts w:ascii="宋体" w:hAnsi="宋体" w:cs="宋体"/>
                <w:kern w:val="0"/>
                <w:sz w:val="24"/>
              </w:rPr>
            </w:pPr>
            <w:r>
              <w:rPr>
                <w:rFonts w:hint="eastAsia" w:ascii="宋体" w:hAnsi="宋体" w:cs="宋体"/>
                <w:kern w:val="0"/>
                <w:sz w:val="24"/>
              </w:rPr>
              <w:t>德阳市罗江区中医医院</w:t>
            </w:r>
          </w:p>
        </w:tc>
      </w:tr>
      <w:tr w14:paraId="3FB3FDC8">
        <w:tblPrEx>
          <w:tblCellMar>
            <w:top w:w="0" w:type="dxa"/>
            <w:left w:w="108" w:type="dxa"/>
            <w:bottom w:w="0" w:type="dxa"/>
            <w:right w:w="108" w:type="dxa"/>
          </w:tblCellMar>
        </w:tblPrEx>
        <w:trPr>
          <w:trHeight w:val="285" w:hRule="atLeast"/>
        </w:trPr>
        <w:tc>
          <w:tcPr>
            <w:tcW w:w="43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B175B">
            <w:pPr>
              <w:widowControl/>
              <w:jc w:val="center"/>
              <w:rPr>
                <w:rFonts w:ascii="宋体" w:hAnsi="宋体" w:cs="宋体"/>
                <w:kern w:val="0"/>
                <w:sz w:val="24"/>
              </w:rPr>
            </w:pPr>
            <w:r>
              <w:rPr>
                <w:rFonts w:hint="eastAsia" w:ascii="宋体" w:hAnsi="宋体" w:cs="宋体"/>
                <w:kern w:val="0"/>
                <w:sz w:val="24"/>
              </w:rPr>
              <w:t>项目资金</w:t>
            </w:r>
          </w:p>
          <w:p w14:paraId="02670DF0">
            <w:pPr>
              <w:widowControl/>
              <w:jc w:val="center"/>
              <w:rPr>
                <w:rFonts w:ascii="宋体" w:hAnsi="宋体" w:cs="宋体"/>
                <w:kern w:val="0"/>
                <w:sz w:val="24"/>
              </w:rPr>
            </w:pPr>
            <w:r>
              <w:rPr>
                <w:rFonts w:hint="eastAsia" w:ascii="宋体" w:hAnsi="宋体" w:cs="宋体"/>
                <w:kern w:val="0"/>
                <w:sz w:val="24"/>
              </w:rPr>
              <w:t>（万元）</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46410EA5">
            <w:pPr>
              <w:widowControl/>
              <w:jc w:val="left"/>
              <w:rPr>
                <w:rFonts w:ascii="宋体" w:hAnsi="宋体" w:cs="宋体"/>
                <w:kern w:val="0"/>
                <w:sz w:val="24"/>
              </w:rPr>
            </w:pPr>
            <w:r>
              <w:rPr>
                <w:rFonts w:hint="eastAsia" w:ascii="宋体" w:hAnsi="宋体" w:cs="宋体"/>
                <w:kern w:val="0"/>
                <w:sz w:val="24"/>
              </w:rPr>
              <w:t xml:space="preserve">   年度资金总额：22.27</w:t>
            </w:r>
          </w:p>
        </w:tc>
      </w:tr>
      <w:tr w14:paraId="02BE9948">
        <w:tblPrEx>
          <w:tblCellMar>
            <w:top w:w="0" w:type="dxa"/>
            <w:left w:w="108" w:type="dxa"/>
            <w:bottom w:w="0" w:type="dxa"/>
            <w:right w:w="108" w:type="dxa"/>
          </w:tblCellMar>
        </w:tblPrEx>
        <w:trPr>
          <w:trHeight w:val="285" w:hRule="atLeast"/>
        </w:trPr>
        <w:tc>
          <w:tcPr>
            <w:tcW w:w="4380" w:type="dxa"/>
            <w:gridSpan w:val="3"/>
            <w:vMerge w:val="continue"/>
            <w:tcBorders>
              <w:top w:val="single" w:color="auto" w:sz="4" w:space="0"/>
              <w:left w:val="single" w:color="auto" w:sz="4" w:space="0"/>
              <w:bottom w:val="single" w:color="auto" w:sz="4" w:space="0"/>
              <w:right w:val="single" w:color="auto" w:sz="4" w:space="0"/>
            </w:tcBorders>
            <w:vAlign w:val="center"/>
          </w:tcPr>
          <w:p w14:paraId="167CEFE4">
            <w:pPr>
              <w:widowControl/>
              <w:jc w:val="left"/>
              <w:rPr>
                <w:rFonts w:ascii="宋体" w:hAnsi="宋体" w:cs="宋体"/>
                <w:kern w:val="0"/>
                <w:sz w:val="24"/>
              </w:rPr>
            </w:pP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25FA8516">
            <w:pPr>
              <w:widowControl/>
              <w:jc w:val="left"/>
              <w:rPr>
                <w:rFonts w:ascii="宋体" w:hAnsi="宋体" w:cs="宋体"/>
                <w:kern w:val="0"/>
                <w:sz w:val="24"/>
              </w:rPr>
            </w:pPr>
            <w:r>
              <w:rPr>
                <w:rFonts w:hint="eastAsia" w:ascii="宋体" w:hAnsi="宋体" w:cs="宋体"/>
                <w:kern w:val="0"/>
                <w:sz w:val="24"/>
              </w:rPr>
              <w:t xml:space="preserve">        其中：财政拨款22.27</w:t>
            </w:r>
          </w:p>
        </w:tc>
      </w:tr>
      <w:tr w14:paraId="7F2C5409">
        <w:tblPrEx>
          <w:tblCellMar>
            <w:top w:w="0" w:type="dxa"/>
            <w:left w:w="108" w:type="dxa"/>
            <w:bottom w:w="0" w:type="dxa"/>
            <w:right w:w="108" w:type="dxa"/>
          </w:tblCellMar>
        </w:tblPrEx>
        <w:trPr>
          <w:trHeight w:val="285" w:hRule="atLeast"/>
        </w:trPr>
        <w:tc>
          <w:tcPr>
            <w:tcW w:w="4380" w:type="dxa"/>
            <w:gridSpan w:val="3"/>
            <w:vMerge w:val="continue"/>
            <w:tcBorders>
              <w:top w:val="single" w:color="auto" w:sz="4" w:space="0"/>
              <w:left w:val="single" w:color="auto" w:sz="4" w:space="0"/>
              <w:bottom w:val="single" w:color="auto" w:sz="4" w:space="0"/>
              <w:right w:val="single" w:color="auto" w:sz="4" w:space="0"/>
            </w:tcBorders>
            <w:vAlign w:val="center"/>
          </w:tcPr>
          <w:p w14:paraId="559EC8EA">
            <w:pPr>
              <w:widowControl/>
              <w:jc w:val="left"/>
              <w:rPr>
                <w:rFonts w:ascii="宋体" w:hAnsi="宋体" w:cs="宋体"/>
                <w:kern w:val="0"/>
                <w:sz w:val="24"/>
              </w:rPr>
            </w:pP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7EE60539">
            <w:pPr>
              <w:widowControl/>
              <w:jc w:val="left"/>
              <w:rPr>
                <w:rFonts w:ascii="宋体" w:hAnsi="宋体" w:cs="宋体"/>
                <w:kern w:val="0"/>
                <w:sz w:val="24"/>
              </w:rPr>
            </w:pPr>
            <w:r>
              <w:rPr>
                <w:rFonts w:hint="eastAsia" w:ascii="宋体" w:hAnsi="宋体" w:cs="宋体"/>
                <w:kern w:val="0"/>
                <w:sz w:val="24"/>
              </w:rPr>
              <w:t xml:space="preserve">        其他资金：</w:t>
            </w:r>
          </w:p>
        </w:tc>
      </w:tr>
      <w:tr w14:paraId="40B543DA">
        <w:tblPrEx>
          <w:tblCellMar>
            <w:top w:w="0" w:type="dxa"/>
            <w:left w:w="108" w:type="dxa"/>
            <w:bottom w:w="0" w:type="dxa"/>
            <w:right w:w="108" w:type="dxa"/>
          </w:tblCellMar>
        </w:tblPrEx>
        <w:trPr>
          <w:trHeight w:val="600"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69ECC232">
            <w:pPr>
              <w:widowControl/>
              <w:jc w:val="center"/>
              <w:rPr>
                <w:rFonts w:ascii="宋体" w:hAnsi="宋体" w:cs="宋体"/>
                <w:kern w:val="0"/>
                <w:sz w:val="24"/>
              </w:rPr>
            </w:pPr>
            <w:r>
              <w:rPr>
                <w:rFonts w:hint="eastAsia" w:ascii="宋体" w:hAnsi="宋体" w:cs="宋体"/>
                <w:kern w:val="0"/>
                <w:sz w:val="24"/>
              </w:rPr>
              <w:t>年度目标完成情况</w:t>
            </w:r>
          </w:p>
          <w:p w14:paraId="2F201DBC">
            <w:pPr>
              <w:widowControl/>
              <w:jc w:val="center"/>
              <w:rPr>
                <w:rFonts w:ascii="宋体" w:hAnsi="宋体" w:cs="宋体"/>
                <w:kern w:val="0"/>
                <w:sz w:val="24"/>
              </w:rPr>
            </w:pPr>
            <w:r>
              <w:rPr>
                <w:rFonts w:hint="eastAsia" w:ascii="宋体" w:hAnsi="宋体" w:cs="宋体"/>
                <w:kern w:val="0"/>
                <w:sz w:val="24"/>
              </w:rPr>
              <w:t>体</w:t>
            </w:r>
          </w:p>
          <w:p w14:paraId="0FE33D34">
            <w:pPr>
              <w:widowControl/>
              <w:jc w:val="center"/>
              <w:rPr>
                <w:rFonts w:ascii="宋体" w:hAnsi="宋体" w:cs="宋体"/>
                <w:kern w:val="0"/>
                <w:sz w:val="24"/>
              </w:rPr>
            </w:pPr>
            <w:r>
              <w:rPr>
                <w:rFonts w:hint="eastAsia" w:ascii="宋体" w:hAnsi="宋体" w:cs="宋体"/>
                <w:kern w:val="0"/>
                <w:sz w:val="24"/>
              </w:rPr>
              <w:t>目</w:t>
            </w:r>
          </w:p>
          <w:p w14:paraId="28B5E252">
            <w:pPr>
              <w:widowControl/>
              <w:jc w:val="center"/>
              <w:rPr>
                <w:rFonts w:ascii="宋体" w:hAnsi="宋体" w:cs="宋体"/>
                <w:kern w:val="0"/>
                <w:sz w:val="24"/>
              </w:rPr>
            </w:pPr>
            <w:r>
              <w:rPr>
                <w:rFonts w:hint="eastAsia" w:ascii="宋体" w:hAnsi="宋体" w:cs="宋体"/>
                <w:kern w:val="0"/>
                <w:sz w:val="24"/>
              </w:rPr>
              <w:t>标</w:t>
            </w:r>
          </w:p>
        </w:tc>
        <w:tc>
          <w:tcPr>
            <w:tcW w:w="3320" w:type="dxa"/>
            <w:gridSpan w:val="2"/>
            <w:tcBorders>
              <w:top w:val="single" w:color="auto" w:sz="4" w:space="0"/>
              <w:left w:val="nil"/>
              <w:bottom w:val="single" w:color="auto" w:sz="4" w:space="0"/>
              <w:right w:val="single" w:color="auto" w:sz="4" w:space="0"/>
            </w:tcBorders>
            <w:shd w:val="clear" w:color="auto" w:fill="auto"/>
            <w:vAlign w:val="center"/>
          </w:tcPr>
          <w:p w14:paraId="0BFC7A53">
            <w:pPr>
              <w:widowControl/>
              <w:jc w:val="center"/>
              <w:rPr>
                <w:rFonts w:ascii="宋体" w:hAnsi="宋体" w:cs="宋体"/>
                <w:color w:val="000000"/>
                <w:kern w:val="0"/>
                <w:sz w:val="24"/>
              </w:rPr>
            </w:pPr>
            <w:r>
              <w:rPr>
                <w:rFonts w:hint="eastAsia" w:ascii="宋体" w:hAnsi="宋体" w:cs="宋体"/>
                <w:color w:val="000000"/>
                <w:kern w:val="0"/>
                <w:sz w:val="24"/>
              </w:rPr>
              <w:t>预期目标</w:t>
            </w:r>
          </w:p>
        </w:tc>
        <w:tc>
          <w:tcPr>
            <w:tcW w:w="4620" w:type="dxa"/>
            <w:gridSpan w:val="2"/>
            <w:tcBorders>
              <w:top w:val="single" w:color="auto" w:sz="4" w:space="0"/>
              <w:left w:val="nil"/>
              <w:bottom w:val="single" w:color="auto" w:sz="4" w:space="0"/>
              <w:right w:val="single" w:color="auto" w:sz="4" w:space="0"/>
            </w:tcBorders>
            <w:shd w:val="clear" w:color="auto" w:fill="auto"/>
            <w:vAlign w:val="center"/>
          </w:tcPr>
          <w:p w14:paraId="55EB8FBC">
            <w:pPr>
              <w:widowControl/>
              <w:jc w:val="center"/>
              <w:rPr>
                <w:rFonts w:ascii="宋体" w:hAnsi="宋体" w:cs="宋体"/>
                <w:color w:val="000000"/>
                <w:kern w:val="0"/>
                <w:sz w:val="24"/>
              </w:rPr>
            </w:pPr>
            <w:r>
              <w:rPr>
                <w:rFonts w:hint="eastAsia" w:ascii="宋体" w:hAnsi="宋体" w:cs="宋体"/>
                <w:color w:val="000000"/>
                <w:kern w:val="0"/>
                <w:sz w:val="24"/>
              </w:rPr>
              <w:t>完成目标</w:t>
            </w:r>
          </w:p>
        </w:tc>
      </w:tr>
      <w:tr w14:paraId="005AADA3">
        <w:tblPrEx>
          <w:tblCellMar>
            <w:top w:w="0" w:type="dxa"/>
            <w:left w:w="108" w:type="dxa"/>
            <w:bottom w:w="0" w:type="dxa"/>
            <w:right w:w="108" w:type="dxa"/>
          </w:tblCellMar>
        </w:tblPrEx>
        <w:trPr>
          <w:trHeight w:val="870" w:hRule="atLeast"/>
        </w:trPr>
        <w:tc>
          <w:tcPr>
            <w:tcW w:w="1060" w:type="dxa"/>
            <w:vMerge w:val="continue"/>
            <w:tcBorders>
              <w:top w:val="nil"/>
              <w:left w:val="single" w:color="auto" w:sz="4" w:space="0"/>
              <w:bottom w:val="single" w:color="000000" w:sz="4" w:space="0"/>
              <w:right w:val="single" w:color="auto" w:sz="4" w:space="0"/>
            </w:tcBorders>
            <w:vAlign w:val="center"/>
          </w:tcPr>
          <w:p w14:paraId="02880324">
            <w:pPr>
              <w:widowControl/>
              <w:jc w:val="left"/>
              <w:rPr>
                <w:rFonts w:ascii="宋体" w:hAnsi="宋体" w:cs="宋体"/>
                <w:kern w:val="0"/>
                <w:sz w:val="24"/>
              </w:rPr>
            </w:pPr>
          </w:p>
        </w:tc>
        <w:tc>
          <w:tcPr>
            <w:tcW w:w="3320" w:type="dxa"/>
            <w:gridSpan w:val="2"/>
            <w:tcBorders>
              <w:top w:val="single" w:color="auto" w:sz="4" w:space="0"/>
              <w:left w:val="nil"/>
              <w:bottom w:val="single" w:color="auto" w:sz="4" w:space="0"/>
              <w:right w:val="single" w:color="000000" w:sz="4" w:space="0"/>
            </w:tcBorders>
            <w:shd w:val="clear" w:color="auto" w:fill="auto"/>
            <w:vAlign w:val="center"/>
          </w:tcPr>
          <w:p w14:paraId="6386DC51">
            <w:pPr>
              <w:widowControl/>
              <w:jc w:val="center"/>
              <w:rPr>
                <w:rFonts w:ascii="宋体" w:hAnsi="宋体" w:cs="宋体"/>
                <w:color w:val="000000"/>
                <w:kern w:val="0"/>
                <w:sz w:val="24"/>
              </w:rPr>
            </w:pPr>
            <w:r>
              <w:rPr>
                <w:rFonts w:hint="eastAsia" w:ascii="宋体" w:hAnsi="宋体" w:cs="宋体"/>
                <w:color w:val="000000"/>
                <w:kern w:val="0"/>
                <w:sz w:val="24"/>
              </w:rPr>
              <w:t>药品（中药饮片除外）零差价销售,取消医药养医，优化公立医院收入结构</w:t>
            </w:r>
          </w:p>
        </w:tc>
        <w:tc>
          <w:tcPr>
            <w:tcW w:w="4620" w:type="dxa"/>
            <w:gridSpan w:val="2"/>
            <w:tcBorders>
              <w:top w:val="single" w:color="auto" w:sz="4" w:space="0"/>
              <w:left w:val="nil"/>
              <w:bottom w:val="single" w:color="auto" w:sz="4" w:space="0"/>
              <w:right w:val="single" w:color="000000" w:sz="4" w:space="0"/>
            </w:tcBorders>
            <w:shd w:val="clear" w:color="auto" w:fill="auto"/>
            <w:vAlign w:val="center"/>
          </w:tcPr>
          <w:p w14:paraId="1E405200">
            <w:pPr>
              <w:widowControl/>
              <w:jc w:val="center"/>
              <w:rPr>
                <w:rFonts w:ascii="宋体" w:hAnsi="宋体" w:cs="宋体"/>
                <w:color w:val="000000"/>
                <w:kern w:val="0"/>
                <w:sz w:val="24"/>
              </w:rPr>
            </w:pPr>
            <w:r>
              <w:rPr>
                <w:rFonts w:hint="eastAsia" w:ascii="宋体" w:hAnsi="宋体" w:cs="宋体"/>
                <w:color w:val="000000"/>
                <w:kern w:val="0"/>
                <w:sz w:val="24"/>
              </w:rPr>
              <w:t>实现了药品（中药饮片除外）零差价销售，群众得到实惠，为病人提供了更加优势廉价的服务</w:t>
            </w:r>
          </w:p>
        </w:tc>
      </w:tr>
      <w:tr w14:paraId="59CC07EB">
        <w:tblPrEx>
          <w:tblCellMar>
            <w:top w:w="0" w:type="dxa"/>
            <w:left w:w="108" w:type="dxa"/>
            <w:bottom w:w="0" w:type="dxa"/>
            <w:right w:w="108" w:type="dxa"/>
          </w:tblCellMar>
        </w:tblPrEx>
        <w:trPr>
          <w:trHeight w:val="975" w:hRule="atLeast"/>
        </w:trPr>
        <w:tc>
          <w:tcPr>
            <w:tcW w:w="1060" w:type="dxa"/>
            <w:tcBorders>
              <w:top w:val="nil"/>
              <w:left w:val="single" w:color="auto" w:sz="4" w:space="0"/>
              <w:bottom w:val="single" w:color="auto" w:sz="4" w:space="0"/>
              <w:right w:val="single" w:color="auto" w:sz="4" w:space="0"/>
            </w:tcBorders>
            <w:shd w:val="clear" w:color="auto" w:fill="auto"/>
            <w:vAlign w:val="center"/>
          </w:tcPr>
          <w:p w14:paraId="177C8B5E">
            <w:pPr>
              <w:widowControl/>
              <w:jc w:val="left"/>
              <w:rPr>
                <w:rFonts w:ascii="宋体" w:hAnsi="宋体" w:cs="宋体"/>
                <w:kern w:val="0"/>
                <w:sz w:val="24"/>
              </w:rPr>
            </w:pPr>
            <w:r>
              <w:rPr>
                <w:rFonts w:hint="eastAsia" w:ascii="宋体" w:hAnsi="宋体"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14:paraId="332E2AF7">
            <w:pPr>
              <w:widowControl/>
              <w:jc w:val="center"/>
              <w:rPr>
                <w:rFonts w:ascii="宋体" w:hAnsi="宋体" w:cs="宋体"/>
                <w:kern w:val="0"/>
                <w:sz w:val="24"/>
              </w:rPr>
            </w:pPr>
            <w:r>
              <w:rPr>
                <w:rFonts w:hint="eastAsia" w:ascii="宋体" w:hAnsi="宋体" w:cs="宋体"/>
                <w:kern w:val="0"/>
                <w:sz w:val="24"/>
              </w:rPr>
              <w:t>一级指标</w:t>
            </w:r>
          </w:p>
        </w:tc>
        <w:tc>
          <w:tcPr>
            <w:tcW w:w="1800" w:type="dxa"/>
            <w:tcBorders>
              <w:top w:val="nil"/>
              <w:left w:val="nil"/>
              <w:bottom w:val="single" w:color="auto" w:sz="4" w:space="0"/>
              <w:right w:val="single" w:color="auto" w:sz="4" w:space="0"/>
            </w:tcBorders>
            <w:shd w:val="clear" w:color="auto" w:fill="auto"/>
            <w:vAlign w:val="center"/>
          </w:tcPr>
          <w:p w14:paraId="483C3684">
            <w:pPr>
              <w:widowControl/>
              <w:jc w:val="center"/>
              <w:rPr>
                <w:rFonts w:ascii="宋体" w:hAnsi="宋体" w:cs="宋体"/>
                <w:kern w:val="0"/>
                <w:sz w:val="24"/>
              </w:rPr>
            </w:pPr>
            <w:r>
              <w:rPr>
                <w:rFonts w:hint="eastAsia" w:ascii="宋体" w:hAnsi="宋体" w:cs="宋体"/>
                <w:kern w:val="0"/>
                <w:sz w:val="24"/>
              </w:rPr>
              <w:t>二级指标</w:t>
            </w:r>
          </w:p>
        </w:tc>
        <w:tc>
          <w:tcPr>
            <w:tcW w:w="2060" w:type="dxa"/>
            <w:tcBorders>
              <w:top w:val="nil"/>
              <w:left w:val="nil"/>
              <w:bottom w:val="single" w:color="auto" w:sz="4" w:space="0"/>
              <w:right w:val="single" w:color="auto" w:sz="4" w:space="0"/>
            </w:tcBorders>
            <w:shd w:val="clear" w:color="auto" w:fill="auto"/>
            <w:vAlign w:val="center"/>
          </w:tcPr>
          <w:p w14:paraId="778ED584">
            <w:pPr>
              <w:widowControl/>
              <w:jc w:val="center"/>
              <w:rPr>
                <w:rFonts w:ascii="宋体" w:hAnsi="宋体" w:cs="宋体"/>
                <w:kern w:val="0"/>
                <w:sz w:val="24"/>
              </w:rPr>
            </w:pPr>
            <w:r>
              <w:rPr>
                <w:rFonts w:hint="eastAsia" w:ascii="宋体" w:hAnsi="宋体" w:cs="宋体"/>
                <w:kern w:val="0"/>
                <w:sz w:val="24"/>
              </w:rPr>
              <w:t>三级指标</w:t>
            </w:r>
          </w:p>
        </w:tc>
        <w:tc>
          <w:tcPr>
            <w:tcW w:w="2560" w:type="dxa"/>
            <w:tcBorders>
              <w:top w:val="nil"/>
              <w:left w:val="nil"/>
              <w:bottom w:val="single" w:color="auto" w:sz="4" w:space="0"/>
              <w:right w:val="single" w:color="auto" w:sz="4" w:space="0"/>
            </w:tcBorders>
            <w:shd w:val="clear" w:color="auto" w:fill="auto"/>
            <w:vAlign w:val="center"/>
          </w:tcPr>
          <w:p w14:paraId="67D8A01A">
            <w:pPr>
              <w:widowControl/>
              <w:jc w:val="center"/>
              <w:rPr>
                <w:rFonts w:ascii="宋体" w:hAnsi="宋体" w:cs="宋体"/>
                <w:kern w:val="0"/>
                <w:sz w:val="24"/>
              </w:rPr>
            </w:pPr>
            <w:r>
              <w:rPr>
                <w:rFonts w:hint="eastAsia" w:ascii="宋体" w:hAnsi="宋体" w:cs="宋体"/>
                <w:kern w:val="0"/>
                <w:sz w:val="24"/>
              </w:rPr>
              <w:t>指标值（包含数字及文字描述）</w:t>
            </w:r>
          </w:p>
        </w:tc>
      </w:tr>
      <w:tr w14:paraId="5F8C952C">
        <w:tblPrEx>
          <w:tblCellMar>
            <w:top w:w="0" w:type="dxa"/>
            <w:left w:w="108" w:type="dxa"/>
            <w:bottom w:w="0" w:type="dxa"/>
            <w:right w:w="108" w:type="dxa"/>
          </w:tblCellMar>
        </w:tblPrEx>
        <w:trPr>
          <w:trHeight w:val="285"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1A7B6F9B">
            <w:pPr>
              <w:widowControl/>
              <w:jc w:val="center"/>
              <w:rPr>
                <w:rFonts w:ascii="宋体" w:hAnsi="宋体" w:cs="宋体"/>
                <w:kern w:val="0"/>
                <w:sz w:val="24"/>
              </w:rPr>
            </w:pPr>
            <w:r>
              <w:rPr>
                <w:rFonts w:hint="eastAsia" w:ascii="宋体" w:hAnsi="宋体" w:cs="宋体"/>
                <w:kern w:val="0"/>
                <w:sz w:val="24"/>
              </w:rPr>
              <w:t>绩效目标</w:t>
            </w:r>
          </w:p>
        </w:tc>
        <w:tc>
          <w:tcPr>
            <w:tcW w:w="1520" w:type="dxa"/>
            <w:vMerge w:val="restart"/>
            <w:tcBorders>
              <w:top w:val="nil"/>
              <w:left w:val="single" w:color="auto" w:sz="4" w:space="0"/>
              <w:bottom w:val="nil"/>
              <w:right w:val="single" w:color="auto" w:sz="4" w:space="0"/>
            </w:tcBorders>
            <w:shd w:val="clear" w:color="auto" w:fill="auto"/>
            <w:vAlign w:val="center"/>
          </w:tcPr>
          <w:p w14:paraId="7A8B729B">
            <w:pPr>
              <w:widowControl/>
              <w:jc w:val="center"/>
              <w:rPr>
                <w:rFonts w:ascii="宋体" w:hAnsi="宋体" w:cs="宋体"/>
                <w:kern w:val="0"/>
                <w:sz w:val="24"/>
              </w:rPr>
            </w:pPr>
            <w:r>
              <w:rPr>
                <w:rFonts w:hint="eastAsia" w:ascii="宋体" w:hAnsi="宋体" w:cs="宋体"/>
                <w:kern w:val="0"/>
                <w:sz w:val="24"/>
              </w:rPr>
              <w:t>产出指标</w:t>
            </w:r>
          </w:p>
        </w:tc>
        <w:tc>
          <w:tcPr>
            <w:tcW w:w="1800" w:type="dxa"/>
            <w:tcBorders>
              <w:top w:val="nil"/>
              <w:left w:val="nil"/>
              <w:bottom w:val="nil"/>
              <w:right w:val="single" w:color="auto" w:sz="4" w:space="0"/>
            </w:tcBorders>
            <w:shd w:val="clear" w:color="auto" w:fill="auto"/>
            <w:vAlign w:val="center"/>
          </w:tcPr>
          <w:p w14:paraId="71542628">
            <w:pPr>
              <w:widowControl/>
              <w:jc w:val="center"/>
              <w:rPr>
                <w:rFonts w:ascii="宋体" w:hAnsi="宋体" w:cs="宋体"/>
                <w:kern w:val="0"/>
                <w:sz w:val="24"/>
              </w:rPr>
            </w:pPr>
            <w:r>
              <w:rPr>
                <w:rFonts w:hint="eastAsia" w:ascii="宋体" w:hAnsi="宋体" w:cs="宋体"/>
                <w:kern w:val="0"/>
                <w:sz w:val="24"/>
              </w:rPr>
              <w:t>数量指标</w:t>
            </w:r>
          </w:p>
        </w:tc>
        <w:tc>
          <w:tcPr>
            <w:tcW w:w="2060" w:type="dxa"/>
            <w:tcBorders>
              <w:top w:val="nil"/>
              <w:left w:val="nil"/>
              <w:bottom w:val="single" w:color="auto" w:sz="4" w:space="0"/>
              <w:right w:val="single" w:color="auto" w:sz="4" w:space="0"/>
            </w:tcBorders>
            <w:shd w:val="clear" w:color="auto" w:fill="auto"/>
            <w:vAlign w:val="center"/>
          </w:tcPr>
          <w:p w14:paraId="3E9FF617">
            <w:pPr>
              <w:widowControl/>
              <w:jc w:val="left"/>
              <w:rPr>
                <w:rFonts w:ascii="宋体" w:hAnsi="宋体" w:cs="宋体"/>
                <w:color w:val="000000"/>
                <w:kern w:val="0"/>
                <w:sz w:val="22"/>
                <w:szCs w:val="22"/>
              </w:rPr>
            </w:pPr>
            <w:r>
              <w:rPr>
                <w:rFonts w:hint="eastAsia" w:ascii="宋体" w:hAnsi="宋体" w:cs="宋体"/>
                <w:color w:val="000000"/>
                <w:kern w:val="0"/>
                <w:sz w:val="22"/>
                <w:szCs w:val="22"/>
              </w:rPr>
              <w:t>全部药品（中药饮片除外）零差价销售</w:t>
            </w:r>
          </w:p>
        </w:tc>
        <w:tc>
          <w:tcPr>
            <w:tcW w:w="2560" w:type="dxa"/>
            <w:tcBorders>
              <w:top w:val="nil"/>
              <w:left w:val="nil"/>
              <w:bottom w:val="single" w:color="auto" w:sz="4" w:space="0"/>
              <w:right w:val="single" w:color="auto" w:sz="4" w:space="0"/>
            </w:tcBorders>
            <w:shd w:val="clear" w:color="auto" w:fill="auto"/>
            <w:vAlign w:val="center"/>
          </w:tcPr>
          <w:p w14:paraId="55C2A70B">
            <w:pPr>
              <w:widowControl/>
              <w:jc w:val="left"/>
              <w:rPr>
                <w:rFonts w:ascii="宋体" w:hAnsi="宋体" w:cs="宋体"/>
                <w:color w:val="000000"/>
                <w:kern w:val="0"/>
                <w:sz w:val="22"/>
                <w:szCs w:val="22"/>
              </w:rPr>
            </w:pPr>
            <w:r>
              <w:rPr>
                <w:rFonts w:hint="eastAsia" w:ascii="宋体" w:hAnsi="宋体" w:cs="宋体"/>
                <w:color w:val="000000"/>
                <w:kern w:val="0"/>
                <w:sz w:val="22"/>
                <w:szCs w:val="22"/>
              </w:rPr>
              <w:t>100%完成</w:t>
            </w:r>
          </w:p>
        </w:tc>
      </w:tr>
      <w:tr w14:paraId="3B624030">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3996DB6E">
            <w:pPr>
              <w:widowControl/>
              <w:jc w:val="left"/>
              <w:rPr>
                <w:rFonts w:ascii="宋体" w:hAnsi="宋体" w:cs="宋体"/>
                <w:kern w:val="0"/>
                <w:sz w:val="24"/>
              </w:rPr>
            </w:pPr>
          </w:p>
        </w:tc>
        <w:tc>
          <w:tcPr>
            <w:tcW w:w="1520" w:type="dxa"/>
            <w:vMerge w:val="continue"/>
            <w:tcBorders>
              <w:top w:val="nil"/>
              <w:left w:val="single" w:color="auto" w:sz="4" w:space="0"/>
              <w:bottom w:val="nil"/>
              <w:right w:val="single" w:color="auto" w:sz="4" w:space="0"/>
            </w:tcBorders>
            <w:vAlign w:val="center"/>
          </w:tcPr>
          <w:p w14:paraId="18A33122">
            <w:pPr>
              <w:widowControl/>
              <w:jc w:val="left"/>
              <w:rPr>
                <w:rFonts w:ascii="宋体" w:hAnsi="宋体" w:cs="宋体"/>
                <w:kern w:val="0"/>
                <w:sz w:val="24"/>
              </w:rPr>
            </w:pPr>
          </w:p>
        </w:tc>
        <w:tc>
          <w:tcPr>
            <w:tcW w:w="1800" w:type="dxa"/>
            <w:tcBorders>
              <w:top w:val="single" w:color="auto" w:sz="4" w:space="0"/>
              <w:left w:val="nil"/>
              <w:bottom w:val="nil"/>
              <w:right w:val="single" w:color="auto" w:sz="4" w:space="0"/>
            </w:tcBorders>
            <w:shd w:val="clear" w:color="auto" w:fill="auto"/>
            <w:vAlign w:val="center"/>
          </w:tcPr>
          <w:p w14:paraId="6E974D27">
            <w:pPr>
              <w:widowControl/>
              <w:jc w:val="center"/>
              <w:rPr>
                <w:rFonts w:ascii="宋体" w:hAnsi="宋体" w:cs="宋体"/>
                <w:kern w:val="0"/>
                <w:sz w:val="24"/>
              </w:rPr>
            </w:pPr>
            <w:r>
              <w:rPr>
                <w:rFonts w:hint="eastAsia" w:ascii="宋体" w:hAnsi="宋体" w:cs="宋体"/>
                <w:kern w:val="0"/>
                <w:sz w:val="24"/>
              </w:rPr>
              <w:t>质量指标</w:t>
            </w:r>
          </w:p>
        </w:tc>
        <w:tc>
          <w:tcPr>
            <w:tcW w:w="2060" w:type="dxa"/>
            <w:tcBorders>
              <w:top w:val="nil"/>
              <w:left w:val="nil"/>
              <w:bottom w:val="single" w:color="auto" w:sz="4" w:space="0"/>
              <w:right w:val="single" w:color="auto" w:sz="4" w:space="0"/>
            </w:tcBorders>
            <w:shd w:val="clear" w:color="auto" w:fill="auto"/>
            <w:vAlign w:val="center"/>
          </w:tcPr>
          <w:p w14:paraId="709204EF">
            <w:pPr>
              <w:widowControl/>
              <w:jc w:val="left"/>
              <w:rPr>
                <w:rFonts w:ascii="宋体" w:hAnsi="宋体" w:cs="宋体"/>
                <w:color w:val="000000"/>
                <w:kern w:val="0"/>
                <w:sz w:val="22"/>
                <w:szCs w:val="22"/>
              </w:rPr>
            </w:pPr>
            <w:r>
              <w:rPr>
                <w:rFonts w:hint="eastAsia" w:ascii="宋体" w:hAnsi="宋体" w:cs="宋体"/>
                <w:color w:val="000000"/>
                <w:kern w:val="0"/>
                <w:sz w:val="22"/>
                <w:szCs w:val="22"/>
              </w:rPr>
              <w:t>全部为合格药品</w:t>
            </w:r>
          </w:p>
        </w:tc>
        <w:tc>
          <w:tcPr>
            <w:tcW w:w="2560" w:type="dxa"/>
            <w:tcBorders>
              <w:top w:val="nil"/>
              <w:left w:val="nil"/>
              <w:bottom w:val="single" w:color="auto" w:sz="4" w:space="0"/>
              <w:right w:val="single" w:color="auto" w:sz="4" w:space="0"/>
            </w:tcBorders>
            <w:shd w:val="clear" w:color="auto" w:fill="auto"/>
            <w:vAlign w:val="center"/>
          </w:tcPr>
          <w:p w14:paraId="492E76E3">
            <w:pPr>
              <w:widowControl/>
              <w:jc w:val="left"/>
              <w:rPr>
                <w:rFonts w:ascii="宋体" w:hAnsi="宋体" w:cs="宋体"/>
                <w:color w:val="000000"/>
                <w:kern w:val="0"/>
                <w:sz w:val="22"/>
                <w:szCs w:val="22"/>
              </w:rPr>
            </w:pPr>
            <w:r>
              <w:rPr>
                <w:rFonts w:hint="eastAsia" w:ascii="宋体" w:hAnsi="宋体" w:cs="宋体"/>
                <w:color w:val="000000"/>
                <w:kern w:val="0"/>
                <w:sz w:val="22"/>
                <w:szCs w:val="22"/>
              </w:rPr>
              <w:t>100%完成</w:t>
            </w:r>
          </w:p>
        </w:tc>
      </w:tr>
      <w:tr w14:paraId="7421E58C">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095D5D5E">
            <w:pPr>
              <w:widowControl/>
              <w:jc w:val="left"/>
              <w:rPr>
                <w:rFonts w:ascii="宋体" w:hAnsi="宋体" w:cs="宋体"/>
                <w:kern w:val="0"/>
                <w:sz w:val="24"/>
              </w:rPr>
            </w:pPr>
          </w:p>
        </w:tc>
        <w:tc>
          <w:tcPr>
            <w:tcW w:w="1520" w:type="dxa"/>
            <w:vMerge w:val="continue"/>
            <w:tcBorders>
              <w:top w:val="nil"/>
              <w:left w:val="single" w:color="auto" w:sz="4" w:space="0"/>
              <w:bottom w:val="nil"/>
              <w:right w:val="single" w:color="auto" w:sz="4" w:space="0"/>
            </w:tcBorders>
            <w:vAlign w:val="center"/>
          </w:tcPr>
          <w:p w14:paraId="071F6C79">
            <w:pPr>
              <w:widowControl/>
              <w:jc w:val="left"/>
              <w:rPr>
                <w:rFonts w:ascii="宋体" w:hAnsi="宋体" w:cs="宋体"/>
                <w:kern w:val="0"/>
                <w:sz w:val="24"/>
              </w:rPr>
            </w:pPr>
          </w:p>
        </w:tc>
        <w:tc>
          <w:tcPr>
            <w:tcW w:w="1800" w:type="dxa"/>
            <w:tcBorders>
              <w:top w:val="nil"/>
              <w:left w:val="nil"/>
              <w:bottom w:val="single" w:color="auto" w:sz="4" w:space="0"/>
              <w:right w:val="single" w:color="auto" w:sz="4" w:space="0"/>
            </w:tcBorders>
            <w:shd w:val="clear" w:color="auto" w:fill="auto"/>
            <w:vAlign w:val="center"/>
          </w:tcPr>
          <w:p w14:paraId="36EBC313">
            <w:pPr>
              <w:widowControl/>
              <w:jc w:val="center"/>
              <w:rPr>
                <w:rFonts w:ascii="宋体" w:hAnsi="宋体" w:cs="宋体"/>
                <w:kern w:val="0"/>
                <w:sz w:val="24"/>
              </w:rPr>
            </w:pPr>
            <w:r>
              <w:rPr>
                <w:rFonts w:hint="eastAsia" w:ascii="宋体" w:hAnsi="宋体" w:cs="宋体"/>
                <w:kern w:val="0"/>
                <w:sz w:val="24"/>
              </w:rPr>
              <w:t>成本指标</w:t>
            </w:r>
          </w:p>
        </w:tc>
        <w:tc>
          <w:tcPr>
            <w:tcW w:w="2060" w:type="dxa"/>
            <w:tcBorders>
              <w:top w:val="nil"/>
              <w:left w:val="nil"/>
              <w:bottom w:val="single" w:color="auto" w:sz="4" w:space="0"/>
              <w:right w:val="single" w:color="auto" w:sz="4" w:space="0"/>
            </w:tcBorders>
            <w:shd w:val="clear" w:color="auto" w:fill="auto"/>
            <w:vAlign w:val="center"/>
          </w:tcPr>
          <w:p w14:paraId="0F9788D4">
            <w:pPr>
              <w:widowControl/>
              <w:jc w:val="left"/>
              <w:rPr>
                <w:rFonts w:ascii="宋体" w:hAnsi="宋体" w:cs="宋体"/>
                <w:color w:val="000000"/>
                <w:kern w:val="0"/>
                <w:sz w:val="22"/>
                <w:szCs w:val="22"/>
              </w:rPr>
            </w:pPr>
            <w:r>
              <w:rPr>
                <w:rFonts w:hint="eastAsia" w:ascii="宋体" w:hAnsi="宋体" w:cs="宋体"/>
                <w:color w:val="000000"/>
                <w:kern w:val="0"/>
                <w:sz w:val="22"/>
                <w:szCs w:val="22"/>
              </w:rPr>
              <w:t>按购进价销售</w:t>
            </w:r>
          </w:p>
        </w:tc>
        <w:tc>
          <w:tcPr>
            <w:tcW w:w="2560" w:type="dxa"/>
            <w:tcBorders>
              <w:top w:val="nil"/>
              <w:left w:val="nil"/>
              <w:bottom w:val="single" w:color="auto" w:sz="4" w:space="0"/>
              <w:right w:val="single" w:color="auto" w:sz="4" w:space="0"/>
            </w:tcBorders>
            <w:shd w:val="clear" w:color="auto" w:fill="auto"/>
            <w:vAlign w:val="center"/>
          </w:tcPr>
          <w:p w14:paraId="79BDFBBE">
            <w:pPr>
              <w:widowControl/>
              <w:jc w:val="left"/>
              <w:rPr>
                <w:rFonts w:ascii="宋体" w:hAnsi="宋体" w:cs="宋体"/>
                <w:color w:val="000000"/>
                <w:kern w:val="0"/>
                <w:sz w:val="22"/>
                <w:szCs w:val="22"/>
              </w:rPr>
            </w:pPr>
            <w:r>
              <w:rPr>
                <w:rFonts w:hint="eastAsia" w:ascii="宋体" w:hAnsi="宋体" w:cs="宋体"/>
                <w:color w:val="000000"/>
                <w:kern w:val="0"/>
                <w:sz w:val="22"/>
                <w:szCs w:val="22"/>
              </w:rPr>
              <w:t>100%</w:t>
            </w:r>
          </w:p>
        </w:tc>
      </w:tr>
      <w:tr w14:paraId="77ABB7E9">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026882A5">
            <w:pPr>
              <w:widowControl/>
              <w:jc w:val="left"/>
              <w:rPr>
                <w:rFonts w:ascii="宋体" w:hAnsi="宋体" w:cs="宋体"/>
                <w:kern w:val="0"/>
                <w:sz w:val="24"/>
              </w:rPr>
            </w:pPr>
          </w:p>
        </w:tc>
        <w:tc>
          <w:tcPr>
            <w:tcW w:w="15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30CB51E">
            <w:pPr>
              <w:widowControl/>
              <w:jc w:val="center"/>
              <w:rPr>
                <w:rFonts w:ascii="宋体" w:hAnsi="宋体" w:cs="宋体"/>
                <w:kern w:val="0"/>
                <w:sz w:val="24"/>
              </w:rPr>
            </w:pPr>
            <w:r>
              <w:rPr>
                <w:rFonts w:hint="eastAsia" w:ascii="宋体" w:hAnsi="宋体" w:cs="宋体"/>
                <w:kern w:val="0"/>
                <w:sz w:val="24"/>
              </w:rPr>
              <w:t>效益指标</w:t>
            </w:r>
          </w:p>
        </w:tc>
        <w:tc>
          <w:tcPr>
            <w:tcW w:w="1800" w:type="dxa"/>
            <w:tcBorders>
              <w:top w:val="nil"/>
              <w:left w:val="nil"/>
              <w:bottom w:val="nil"/>
              <w:right w:val="single" w:color="auto" w:sz="4" w:space="0"/>
            </w:tcBorders>
            <w:shd w:val="clear" w:color="auto" w:fill="auto"/>
            <w:vAlign w:val="center"/>
          </w:tcPr>
          <w:p w14:paraId="52DAB295">
            <w:pPr>
              <w:widowControl/>
              <w:jc w:val="center"/>
              <w:rPr>
                <w:rFonts w:ascii="宋体" w:hAnsi="宋体" w:cs="宋体"/>
                <w:kern w:val="0"/>
                <w:sz w:val="24"/>
              </w:rPr>
            </w:pPr>
            <w:r>
              <w:rPr>
                <w:rFonts w:hint="eastAsia" w:ascii="宋体" w:hAnsi="宋体" w:cs="宋体"/>
                <w:kern w:val="0"/>
                <w:sz w:val="24"/>
              </w:rPr>
              <w:t>社会效益指标</w:t>
            </w:r>
          </w:p>
        </w:tc>
        <w:tc>
          <w:tcPr>
            <w:tcW w:w="2060" w:type="dxa"/>
            <w:tcBorders>
              <w:top w:val="nil"/>
              <w:left w:val="nil"/>
              <w:bottom w:val="single" w:color="auto" w:sz="4" w:space="0"/>
              <w:right w:val="single" w:color="auto" w:sz="4" w:space="0"/>
            </w:tcBorders>
            <w:shd w:val="clear" w:color="auto" w:fill="auto"/>
            <w:vAlign w:val="center"/>
          </w:tcPr>
          <w:p w14:paraId="056B7DD0">
            <w:pPr>
              <w:widowControl/>
              <w:jc w:val="left"/>
              <w:rPr>
                <w:rFonts w:ascii="宋体" w:hAnsi="宋体" w:cs="宋体"/>
                <w:color w:val="000000"/>
                <w:kern w:val="0"/>
                <w:sz w:val="22"/>
                <w:szCs w:val="22"/>
              </w:rPr>
            </w:pPr>
            <w:r>
              <w:rPr>
                <w:rFonts w:hint="eastAsia" w:ascii="宋体" w:hAnsi="宋体" w:cs="宋体"/>
                <w:color w:val="000000"/>
                <w:kern w:val="0"/>
                <w:sz w:val="22"/>
                <w:szCs w:val="22"/>
              </w:rPr>
              <w:t>群众满意</w:t>
            </w:r>
          </w:p>
        </w:tc>
        <w:tc>
          <w:tcPr>
            <w:tcW w:w="2560" w:type="dxa"/>
            <w:tcBorders>
              <w:top w:val="nil"/>
              <w:left w:val="nil"/>
              <w:bottom w:val="single" w:color="auto" w:sz="4" w:space="0"/>
              <w:right w:val="single" w:color="auto" w:sz="4" w:space="0"/>
            </w:tcBorders>
            <w:shd w:val="clear" w:color="auto" w:fill="auto"/>
            <w:vAlign w:val="center"/>
          </w:tcPr>
          <w:p w14:paraId="6937BDB0">
            <w:pPr>
              <w:widowControl/>
              <w:jc w:val="left"/>
              <w:rPr>
                <w:rFonts w:ascii="宋体" w:hAnsi="宋体" w:cs="宋体"/>
                <w:color w:val="000000"/>
                <w:kern w:val="0"/>
                <w:sz w:val="22"/>
                <w:szCs w:val="22"/>
              </w:rPr>
            </w:pPr>
            <w:r>
              <w:rPr>
                <w:rFonts w:hint="eastAsia" w:ascii="宋体" w:hAnsi="宋体" w:cs="宋体"/>
                <w:color w:val="000000"/>
                <w:kern w:val="0"/>
                <w:sz w:val="22"/>
                <w:szCs w:val="22"/>
              </w:rPr>
              <w:t>中长期</w:t>
            </w:r>
          </w:p>
        </w:tc>
      </w:tr>
      <w:tr w14:paraId="0567193D">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44B72261">
            <w:pPr>
              <w:widowControl/>
              <w:jc w:val="left"/>
              <w:rPr>
                <w:rFonts w:ascii="宋体" w:hAnsi="宋体" w:cs="宋体"/>
                <w:kern w:val="0"/>
                <w:sz w:val="24"/>
              </w:rPr>
            </w:pPr>
          </w:p>
        </w:tc>
        <w:tc>
          <w:tcPr>
            <w:tcW w:w="152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A238C11">
            <w:pPr>
              <w:widowControl/>
              <w:jc w:val="center"/>
              <w:rPr>
                <w:rFonts w:ascii="宋体" w:hAnsi="宋体" w:cs="宋体"/>
                <w:kern w:val="0"/>
                <w:sz w:val="24"/>
              </w:rPr>
            </w:pPr>
          </w:p>
        </w:tc>
        <w:tc>
          <w:tcPr>
            <w:tcW w:w="1800" w:type="dxa"/>
            <w:tcBorders>
              <w:top w:val="nil"/>
              <w:left w:val="nil"/>
              <w:bottom w:val="nil"/>
              <w:right w:val="single" w:color="auto" w:sz="4" w:space="0"/>
            </w:tcBorders>
            <w:shd w:val="clear" w:color="auto" w:fill="auto"/>
            <w:vAlign w:val="center"/>
          </w:tcPr>
          <w:p w14:paraId="5BDE7860">
            <w:pPr>
              <w:widowControl/>
              <w:jc w:val="center"/>
              <w:rPr>
                <w:rFonts w:ascii="宋体" w:hAnsi="宋体" w:cs="宋体"/>
                <w:kern w:val="0"/>
                <w:sz w:val="24"/>
              </w:rPr>
            </w:pPr>
            <w:r>
              <w:rPr>
                <w:rFonts w:hint="eastAsia" w:ascii="宋体" w:hAnsi="宋体" w:cs="宋体"/>
                <w:kern w:val="0"/>
                <w:sz w:val="24"/>
              </w:rPr>
              <w:t>经济效益指标</w:t>
            </w:r>
          </w:p>
        </w:tc>
        <w:tc>
          <w:tcPr>
            <w:tcW w:w="2060" w:type="dxa"/>
            <w:tcBorders>
              <w:top w:val="nil"/>
              <w:left w:val="nil"/>
              <w:bottom w:val="single" w:color="auto" w:sz="4" w:space="0"/>
              <w:right w:val="single" w:color="auto" w:sz="4" w:space="0"/>
            </w:tcBorders>
            <w:shd w:val="clear" w:color="auto" w:fill="auto"/>
            <w:vAlign w:val="center"/>
          </w:tcPr>
          <w:p w14:paraId="6BB77D40">
            <w:pPr>
              <w:widowControl/>
              <w:jc w:val="left"/>
              <w:rPr>
                <w:rFonts w:ascii="宋体" w:hAnsi="宋体" w:cs="宋体"/>
                <w:color w:val="000000"/>
                <w:kern w:val="0"/>
                <w:sz w:val="22"/>
                <w:szCs w:val="22"/>
              </w:rPr>
            </w:pPr>
            <w:r>
              <w:rPr>
                <w:rFonts w:hint="eastAsia" w:ascii="宋体" w:hAnsi="宋体" w:cs="宋体"/>
                <w:color w:val="000000"/>
                <w:kern w:val="0"/>
                <w:sz w:val="22"/>
                <w:szCs w:val="22"/>
              </w:rPr>
              <w:t>医院得到发展，群众得到实惠</w:t>
            </w:r>
          </w:p>
        </w:tc>
        <w:tc>
          <w:tcPr>
            <w:tcW w:w="2560" w:type="dxa"/>
            <w:tcBorders>
              <w:top w:val="nil"/>
              <w:left w:val="nil"/>
              <w:bottom w:val="single" w:color="auto" w:sz="4" w:space="0"/>
              <w:right w:val="single" w:color="auto" w:sz="4" w:space="0"/>
            </w:tcBorders>
            <w:shd w:val="clear" w:color="auto" w:fill="auto"/>
            <w:vAlign w:val="center"/>
          </w:tcPr>
          <w:p w14:paraId="1EB63EE0">
            <w:pPr>
              <w:widowControl/>
              <w:jc w:val="left"/>
              <w:rPr>
                <w:rFonts w:ascii="宋体" w:hAnsi="宋体" w:cs="宋体"/>
                <w:color w:val="000000"/>
                <w:kern w:val="0"/>
                <w:sz w:val="22"/>
                <w:szCs w:val="22"/>
              </w:rPr>
            </w:pPr>
            <w:r>
              <w:rPr>
                <w:rFonts w:hint="eastAsia" w:ascii="宋体" w:hAnsi="宋体" w:cs="宋体"/>
                <w:color w:val="000000"/>
                <w:kern w:val="0"/>
                <w:sz w:val="22"/>
                <w:szCs w:val="22"/>
              </w:rPr>
              <w:t>中长期</w:t>
            </w:r>
          </w:p>
        </w:tc>
      </w:tr>
      <w:tr w14:paraId="4BE593CD">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7010CC69">
            <w:pPr>
              <w:widowControl/>
              <w:jc w:val="left"/>
              <w:rPr>
                <w:rFonts w:ascii="宋体" w:hAnsi="宋体" w:cs="宋体"/>
                <w:kern w:val="0"/>
                <w:sz w:val="24"/>
              </w:rPr>
            </w:pPr>
          </w:p>
        </w:tc>
        <w:tc>
          <w:tcPr>
            <w:tcW w:w="1520" w:type="dxa"/>
            <w:vMerge w:val="continue"/>
            <w:tcBorders>
              <w:top w:val="single" w:color="auto" w:sz="4" w:space="0"/>
              <w:left w:val="single" w:color="auto" w:sz="4" w:space="0"/>
              <w:bottom w:val="single" w:color="000000" w:sz="4" w:space="0"/>
              <w:right w:val="single" w:color="auto" w:sz="4" w:space="0"/>
            </w:tcBorders>
            <w:vAlign w:val="center"/>
          </w:tcPr>
          <w:p w14:paraId="038FA3B4">
            <w:pPr>
              <w:widowControl/>
              <w:jc w:val="left"/>
              <w:rPr>
                <w:rFonts w:ascii="宋体" w:hAnsi="宋体" w:cs="宋体"/>
                <w:kern w:val="0"/>
                <w:sz w:val="24"/>
              </w:rPr>
            </w:pPr>
          </w:p>
        </w:tc>
        <w:tc>
          <w:tcPr>
            <w:tcW w:w="1800" w:type="dxa"/>
            <w:tcBorders>
              <w:top w:val="single" w:color="auto" w:sz="4" w:space="0"/>
              <w:left w:val="nil"/>
              <w:bottom w:val="single" w:color="auto" w:sz="4" w:space="0"/>
              <w:right w:val="single" w:color="auto" w:sz="4" w:space="0"/>
            </w:tcBorders>
            <w:shd w:val="clear" w:color="auto" w:fill="auto"/>
            <w:vAlign w:val="center"/>
          </w:tcPr>
          <w:p w14:paraId="2CC12484">
            <w:pPr>
              <w:widowControl/>
              <w:jc w:val="center"/>
              <w:rPr>
                <w:rFonts w:ascii="宋体" w:hAnsi="宋体" w:cs="宋体"/>
                <w:kern w:val="0"/>
                <w:sz w:val="24"/>
              </w:rPr>
            </w:pPr>
            <w:r>
              <w:rPr>
                <w:rFonts w:hint="eastAsia" w:ascii="宋体" w:hAnsi="宋体" w:cs="宋体"/>
                <w:kern w:val="0"/>
                <w:sz w:val="24"/>
              </w:rPr>
              <w:t>可持续影响指标</w:t>
            </w:r>
          </w:p>
        </w:tc>
        <w:tc>
          <w:tcPr>
            <w:tcW w:w="2060" w:type="dxa"/>
            <w:tcBorders>
              <w:top w:val="nil"/>
              <w:left w:val="nil"/>
              <w:bottom w:val="single" w:color="auto" w:sz="4" w:space="0"/>
              <w:right w:val="single" w:color="auto" w:sz="4" w:space="0"/>
            </w:tcBorders>
            <w:shd w:val="clear" w:color="auto" w:fill="auto"/>
            <w:vAlign w:val="center"/>
          </w:tcPr>
          <w:p w14:paraId="02B34900">
            <w:pPr>
              <w:widowControl/>
              <w:jc w:val="left"/>
              <w:rPr>
                <w:rFonts w:ascii="宋体" w:hAnsi="宋体" w:cs="宋体"/>
                <w:kern w:val="0"/>
                <w:sz w:val="22"/>
                <w:szCs w:val="22"/>
              </w:rPr>
            </w:pPr>
            <w:r>
              <w:rPr>
                <w:rFonts w:hint="eastAsia" w:ascii="宋体" w:hAnsi="宋体" w:cs="宋体"/>
                <w:kern w:val="0"/>
                <w:sz w:val="22"/>
                <w:szCs w:val="22"/>
              </w:rPr>
              <w:t>医改工作得到发展</w:t>
            </w:r>
          </w:p>
        </w:tc>
        <w:tc>
          <w:tcPr>
            <w:tcW w:w="2560" w:type="dxa"/>
            <w:tcBorders>
              <w:top w:val="nil"/>
              <w:left w:val="nil"/>
              <w:bottom w:val="single" w:color="auto" w:sz="4" w:space="0"/>
              <w:right w:val="single" w:color="auto" w:sz="4" w:space="0"/>
            </w:tcBorders>
            <w:shd w:val="clear" w:color="auto" w:fill="auto"/>
            <w:vAlign w:val="center"/>
          </w:tcPr>
          <w:p w14:paraId="7BEBAF10">
            <w:pPr>
              <w:widowControl/>
              <w:jc w:val="left"/>
              <w:rPr>
                <w:rFonts w:ascii="宋体" w:hAnsi="宋体" w:cs="宋体"/>
                <w:color w:val="000000"/>
                <w:kern w:val="0"/>
                <w:sz w:val="22"/>
                <w:szCs w:val="22"/>
              </w:rPr>
            </w:pPr>
            <w:r>
              <w:rPr>
                <w:rFonts w:hint="eastAsia" w:ascii="宋体" w:hAnsi="宋体" w:cs="宋体"/>
                <w:color w:val="000000"/>
                <w:kern w:val="0"/>
                <w:sz w:val="22"/>
                <w:szCs w:val="22"/>
              </w:rPr>
              <w:t>长效发展</w:t>
            </w:r>
          </w:p>
        </w:tc>
      </w:tr>
      <w:tr w14:paraId="104B1C0B">
        <w:tblPrEx>
          <w:tblCellMar>
            <w:top w:w="0" w:type="dxa"/>
            <w:left w:w="108" w:type="dxa"/>
            <w:bottom w:w="0" w:type="dxa"/>
            <w:right w:w="108" w:type="dxa"/>
          </w:tblCellMar>
        </w:tblPrEx>
        <w:trPr>
          <w:trHeight w:val="585" w:hRule="atLeast"/>
        </w:trPr>
        <w:tc>
          <w:tcPr>
            <w:tcW w:w="1060" w:type="dxa"/>
            <w:vMerge w:val="continue"/>
            <w:tcBorders>
              <w:top w:val="nil"/>
              <w:left w:val="single" w:color="auto" w:sz="4" w:space="0"/>
              <w:bottom w:val="single" w:color="000000" w:sz="4" w:space="0"/>
              <w:right w:val="single" w:color="auto" w:sz="4" w:space="0"/>
            </w:tcBorders>
            <w:vAlign w:val="center"/>
          </w:tcPr>
          <w:p w14:paraId="0ADD4F70">
            <w:pPr>
              <w:widowControl/>
              <w:jc w:val="left"/>
              <w:rPr>
                <w:rFonts w:ascii="宋体" w:hAnsi="宋体" w:cs="宋体"/>
                <w:kern w:val="0"/>
                <w:sz w:val="24"/>
              </w:rPr>
            </w:pPr>
          </w:p>
        </w:tc>
        <w:tc>
          <w:tcPr>
            <w:tcW w:w="1520" w:type="dxa"/>
            <w:tcBorders>
              <w:top w:val="nil"/>
              <w:left w:val="nil"/>
              <w:bottom w:val="single" w:color="auto" w:sz="4" w:space="0"/>
              <w:right w:val="single" w:color="auto" w:sz="4" w:space="0"/>
            </w:tcBorders>
            <w:shd w:val="clear" w:color="auto" w:fill="auto"/>
            <w:vAlign w:val="center"/>
          </w:tcPr>
          <w:p w14:paraId="4D1A7EE6">
            <w:pPr>
              <w:widowControl/>
              <w:jc w:val="center"/>
              <w:rPr>
                <w:rFonts w:ascii="宋体" w:hAnsi="宋体" w:cs="宋体"/>
                <w:kern w:val="0"/>
                <w:sz w:val="24"/>
              </w:rPr>
            </w:pPr>
            <w:r>
              <w:rPr>
                <w:rFonts w:hint="eastAsia" w:ascii="宋体" w:hAnsi="宋体" w:cs="宋体"/>
                <w:kern w:val="0"/>
                <w:sz w:val="24"/>
              </w:rPr>
              <w:t>满意度指标</w:t>
            </w:r>
          </w:p>
        </w:tc>
        <w:tc>
          <w:tcPr>
            <w:tcW w:w="1800" w:type="dxa"/>
            <w:tcBorders>
              <w:top w:val="nil"/>
              <w:left w:val="nil"/>
              <w:bottom w:val="single" w:color="auto" w:sz="4" w:space="0"/>
              <w:right w:val="single" w:color="auto" w:sz="4" w:space="0"/>
            </w:tcBorders>
            <w:shd w:val="clear" w:color="auto" w:fill="auto"/>
            <w:vAlign w:val="center"/>
          </w:tcPr>
          <w:p w14:paraId="57674E69">
            <w:pPr>
              <w:widowControl/>
              <w:jc w:val="center"/>
              <w:rPr>
                <w:rFonts w:ascii="宋体" w:hAnsi="宋体" w:cs="宋体"/>
                <w:kern w:val="0"/>
                <w:sz w:val="24"/>
              </w:rPr>
            </w:pPr>
            <w:r>
              <w:rPr>
                <w:rFonts w:hint="eastAsia" w:ascii="宋体" w:hAnsi="宋体" w:cs="宋体"/>
                <w:kern w:val="0"/>
                <w:sz w:val="24"/>
              </w:rPr>
              <w:t>服务对象满意度指标</w:t>
            </w:r>
          </w:p>
        </w:tc>
        <w:tc>
          <w:tcPr>
            <w:tcW w:w="2060" w:type="dxa"/>
            <w:tcBorders>
              <w:top w:val="nil"/>
              <w:left w:val="nil"/>
              <w:bottom w:val="single" w:color="auto" w:sz="4" w:space="0"/>
              <w:right w:val="single" w:color="auto" w:sz="4" w:space="0"/>
            </w:tcBorders>
            <w:shd w:val="clear" w:color="auto" w:fill="auto"/>
            <w:vAlign w:val="center"/>
          </w:tcPr>
          <w:p w14:paraId="15C4BFA5">
            <w:pPr>
              <w:widowControl/>
              <w:jc w:val="left"/>
              <w:rPr>
                <w:rFonts w:ascii="宋体" w:hAnsi="宋体" w:cs="宋体"/>
                <w:color w:val="000000"/>
                <w:kern w:val="0"/>
                <w:sz w:val="22"/>
                <w:szCs w:val="22"/>
              </w:rPr>
            </w:pPr>
            <w:r>
              <w:rPr>
                <w:rFonts w:hint="eastAsia" w:ascii="宋体" w:hAnsi="宋体" w:cs="宋体"/>
                <w:color w:val="000000"/>
                <w:kern w:val="0"/>
                <w:sz w:val="22"/>
                <w:szCs w:val="22"/>
              </w:rPr>
              <w:t>群众满意</w:t>
            </w:r>
          </w:p>
        </w:tc>
        <w:tc>
          <w:tcPr>
            <w:tcW w:w="2560" w:type="dxa"/>
            <w:tcBorders>
              <w:top w:val="nil"/>
              <w:left w:val="nil"/>
              <w:bottom w:val="single" w:color="auto" w:sz="4" w:space="0"/>
              <w:right w:val="single" w:color="auto" w:sz="4" w:space="0"/>
            </w:tcBorders>
            <w:shd w:val="clear" w:color="auto" w:fill="auto"/>
            <w:vAlign w:val="center"/>
          </w:tcPr>
          <w:p w14:paraId="7210508A">
            <w:pPr>
              <w:widowControl/>
              <w:jc w:val="left"/>
              <w:rPr>
                <w:rFonts w:ascii="宋体" w:hAnsi="宋体" w:cs="宋体"/>
                <w:color w:val="000000"/>
                <w:kern w:val="0"/>
                <w:sz w:val="22"/>
                <w:szCs w:val="22"/>
              </w:rPr>
            </w:pPr>
            <w:r>
              <w:rPr>
                <w:rFonts w:hint="eastAsia" w:ascii="宋体" w:hAnsi="宋体" w:cs="宋体"/>
                <w:color w:val="000000"/>
                <w:kern w:val="0"/>
                <w:sz w:val="22"/>
                <w:szCs w:val="22"/>
              </w:rPr>
              <w:t>100%</w:t>
            </w:r>
          </w:p>
        </w:tc>
      </w:tr>
    </w:tbl>
    <w:p w14:paraId="087C815F">
      <w:pPr>
        <w:spacing w:line="580" w:lineRule="exact"/>
        <w:rPr>
          <w:rFonts w:eastAsia="仿宋_GB2312"/>
          <w:sz w:val="32"/>
          <w:szCs w:val="32"/>
        </w:rPr>
      </w:pPr>
    </w:p>
    <w:p w14:paraId="590AF0A5">
      <w:pPr>
        <w:spacing w:line="580" w:lineRule="exact"/>
        <w:ind w:left="630"/>
        <w:rPr>
          <w:rFonts w:ascii="仿宋_GB2312" w:hAnsi="仿宋_GB2312" w:eastAsia="仿宋_GB2312" w:cs="仿宋_GB2312"/>
          <w:b/>
          <w:sz w:val="32"/>
          <w:szCs w:val="32"/>
        </w:rPr>
      </w:pPr>
      <w:r>
        <w:rPr>
          <w:rFonts w:hint="eastAsia" w:ascii="仿宋_GB2312" w:hAnsi="仿宋_GB2312" w:eastAsia="仿宋_GB2312" w:cs="仿宋_GB2312"/>
          <w:b/>
          <w:sz w:val="32"/>
          <w:szCs w:val="32"/>
        </w:rPr>
        <w:t>2.部门绩效评价结果。</w:t>
      </w:r>
    </w:p>
    <w:p w14:paraId="7C2C9D6B">
      <w:pPr>
        <w:spacing w:line="580" w:lineRule="exact"/>
        <w:ind w:firstLine="640" w:firstLineChars="200"/>
        <w:rPr>
          <w:rFonts w:eastAsia="仿宋_GB2312"/>
          <w:sz w:val="32"/>
          <w:szCs w:val="32"/>
        </w:rPr>
      </w:pPr>
      <w:r>
        <w:rPr>
          <w:rFonts w:hint="eastAsia" w:eastAsia="仿宋_GB2312"/>
          <w:sz w:val="32"/>
          <w:szCs w:val="32"/>
        </w:rPr>
        <w:t>我单位</w:t>
      </w:r>
      <w:r>
        <w:rPr>
          <w:rFonts w:eastAsia="仿宋_GB2312"/>
          <w:sz w:val="32"/>
          <w:szCs w:val="32"/>
        </w:rPr>
        <w:t>按要求对20</w:t>
      </w:r>
      <w:r>
        <w:rPr>
          <w:rFonts w:hint="eastAsia" w:eastAsia="仿宋_GB2312"/>
          <w:sz w:val="32"/>
          <w:szCs w:val="32"/>
        </w:rPr>
        <w:t>20</w:t>
      </w:r>
      <w:r>
        <w:rPr>
          <w:rFonts w:eastAsia="仿宋_GB2312"/>
          <w:sz w:val="32"/>
          <w:szCs w:val="32"/>
        </w:rPr>
        <w:t>年</w:t>
      </w:r>
      <w:r>
        <w:rPr>
          <w:rFonts w:hint="eastAsia" w:eastAsia="仿宋_GB2312"/>
          <w:sz w:val="32"/>
          <w:szCs w:val="32"/>
        </w:rPr>
        <w:t>单位</w:t>
      </w:r>
      <w:r>
        <w:rPr>
          <w:rFonts w:eastAsia="仿宋_GB2312"/>
          <w:sz w:val="32"/>
          <w:szCs w:val="32"/>
        </w:rPr>
        <w:t>整体支出绩效评价情况开展自评，《德阳市罗江区</w:t>
      </w:r>
      <w:r>
        <w:rPr>
          <w:rFonts w:hint="eastAsia" w:eastAsia="仿宋_GB2312"/>
          <w:sz w:val="32"/>
          <w:szCs w:val="32"/>
        </w:rPr>
        <w:t>中医医院</w:t>
      </w:r>
      <w:r>
        <w:rPr>
          <w:rFonts w:eastAsia="仿宋_GB2312"/>
          <w:sz w:val="32"/>
          <w:szCs w:val="32"/>
        </w:rPr>
        <w:t>关于20</w:t>
      </w:r>
      <w:r>
        <w:rPr>
          <w:rFonts w:hint="eastAsia" w:eastAsia="仿宋_GB2312"/>
          <w:sz w:val="32"/>
          <w:szCs w:val="32"/>
        </w:rPr>
        <w:t>20</w:t>
      </w:r>
      <w:r>
        <w:rPr>
          <w:rFonts w:eastAsia="仿宋_GB2312"/>
          <w:sz w:val="32"/>
          <w:szCs w:val="32"/>
        </w:rPr>
        <w:t>年部门预算支出绩效评价的自评报告》见附件1</w:t>
      </w:r>
      <w:r>
        <w:rPr>
          <w:rFonts w:hint="eastAsia" w:eastAsia="仿宋_GB2312"/>
          <w:sz w:val="32"/>
          <w:szCs w:val="32"/>
        </w:rPr>
        <w:t>，《取消药品加成补助经费（省级）的自评报告》见附件2，《省级中医药专项(对口支援)自查报告》见附件3，《取消药品检查补助经费（县级）》见附件4，《万名骨干人才培养项目》见附件5，《中医药传承与创新平台建设》见附件6</w:t>
      </w:r>
    </w:p>
    <w:p w14:paraId="3BD34455">
      <w:pPr>
        <w:spacing w:line="580" w:lineRule="exact"/>
        <w:ind w:firstLine="640" w:firstLineChars="200"/>
        <w:rPr>
          <w:rFonts w:eastAsia="仿宋_GB2312"/>
          <w:sz w:val="32"/>
          <w:szCs w:val="32"/>
        </w:rPr>
      </w:pPr>
    </w:p>
    <w:p w14:paraId="16FF5EE6">
      <w:pPr>
        <w:widowControl/>
        <w:jc w:val="left"/>
        <w:rPr>
          <w:rFonts w:eastAsia="仿宋_GB2312"/>
          <w:b/>
          <w:color w:val="000000"/>
          <w:sz w:val="32"/>
          <w:szCs w:val="32"/>
        </w:rPr>
      </w:pPr>
      <w:r>
        <w:rPr>
          <w:rFonts w:eastAsia="仿宋_GB2312"/>
          <w:b/>
          <w:color w:val="000000"/>
          <w:sz w:val="32"/>
          <w:szCs w:val="32"/>
        </w:rPr>
        <w:br w:type="page"/>
      </w:r>
    </w:p>
    <w:p w14:paraId="736CD707">
      <w:pPr>
        <w:spacing w:line="600" w:lineRule="exact"/>
        <w:jc w:val="center"/>
        <w:outlineLvl w:val="0"/>
        <w:rPr>
          <w:rStyle w:val="34"/>
          <w:rFonts w:eastAsia="黑体"/>
          <w:b w:val="0"/>
        </w:rPr>
      </w:pPr>
      <w:bookmarkStart w:id="104" w:name="_Toc15396613"/>
      <w:bookmarkStart w:id="105" w:name="_Toc54341275"/>
      <w:bookmarkStart w:id="106" w:name="_Toc15377225"/>
      <w:bookmarkStart w:id="107" w:name="_Toc54341352"/>
      <w:r>
        <w:rPr>
          <w:rFonts w:hint="eastAsia" w:ascii="方正小标宋简体" w:hAnsi="方正小标宋简体" w:eastAsia="方正小标宋简体" w:cs="方正小标宋简体"/>
          <w:b/>
          <w:bCs/>
          <w:color w:val="000000"/>
          <w:sz w:val="44"/>
          <w:szCs w:val="44"/>
        </w:rPr>
        <w:t>第三部分 名</w:t>
      </w:r>
      <w:r>
        <w:rPr>
          <w:rStyle w:val="34"/>
          <w:rFonts w:hint="eastAsia" w:ascii="方正小标宋简体" w:hAnsi="方正小标宋简体" w:eastAsia="方正小标宋简体" w:cs="方正小标宋简体"/>
        </w:rPr>
        <w:t>词解释</w:t>
      </w:r>
      <w:bookmarkEnd w:id="104"/>
      <w:bookmarkEnd w:id="105"/>
      <w:bookmarkEnd w:id="106"/>
      <w:bookmarkEnd w:id="107"/>
    </w:p>
    <w:p w14:paraId="38E820E0">
      <w:pPr>
        <w:spacing w:line="600" w:lineRule="exact"/>
        <w:jc w:val="left"/>
        <w:rPr>
          <w:b/>
          <w:color w:val="000000"/>
          <w:sz w:val="44"/>
          <w:szCs w:val="44"/>
        </w:rPr>
      </w:pPr>
    </w:p>
    <w:p w14:paraId="68B4A4DB">
      <w:pPr>
        <w:pStyle w:val="32"/>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财政拨款收入：指县级财政当年拨付的资金。 </w:t>
      </w:r>
    </w:p>
    <w:p w14:paraId="72C1ED0D">
      <w:pPr>
        <w:pStyle w:val="32"/>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Style w:val="24"/>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事业收入：指事业单位开展专业业务活动及辅助活动所取得的收入。如医疗业务收入等。</w:t>
      </w:r>
    </w:p>
    <w:p w14:paraId="24760661">
      <w:pPr>
        <w:pStyle w:val="32"/>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Style w:val="24"/>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经营收入：指事业单位在专业业务活动及其辅助活动之外开展非独立核算经营活动取得的收入。</w:t>
      </w:r>
    </w:p>
    <w:p w14:paraId="21984AD8">
      <w:pPr>
        <w:pStyle w:val="32"/>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Style w:val="24"/>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其他收入：指除上述“财政拨款收入”、“事业收入”、“经营收入”等以外的收入。主要是利息、捐赠等。 </w:t>
      </w:r>
    </w:p>
    <w:p w14:paraId="25710977">
      <w:pPr>
        <w:pStyle w:val="32"/>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Style w:val="24"/>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3319C733">
      <w:pPr>
        <w:pStyle w:val="32"/>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年初结转和结余：指以前年度尚未完成、结转到本年按有关规定继续使用的资金。 </w:t>
      </w:r>
    </w:p>
    <w:p w14:paraId="000FB908">
      <w:pPr>
        <w:spacing w:line="594" w:lineRule="exact"/>
        <w:ind w:firstLine="640" w:firstLineChars="200"/>
        <w:rPr>
          <w:rFonts w:eastAsia="仿宋_GB2312"/>
          <w:color w:val="000000"/>
          <w:sz w:val="32"/>
          <w:szCs w:val="32"/>
        </w:rPr>
      </w:pPr>
      <w:r>
        <w:rPr>
          <w:rFonts w:eastAsia="仿宋_GB2312"/>
          <w:color w:val="000000"/>
          <w:sz w:val="32"/>
          <w:szCs w:val="32"/>
        </w:rPr>
        <w:t>7</w:t>
      </w:r>
      <w:r>
        <w:rPr>
          <w:rStyle w:val="24"/>
          <w:rFonts w:hint="eastAsia" w:eastAsia="仿宋_GB2312"/>
          <w:color w:val="000000"/>
          <w:sz w:val="32"/>
          <w:szCs w:val="32"/>
        </w:rPr>
        <w:t>.</w:t>
      </w:r>
      <w:r>
        <w:rPr>
          <w:rFonts w:eastAsia="仿宋_GB2312"/>
          <w:color w:val="000000"/>
          <w:sz w:val="32"/>
          <w:szCs w:val="32"/>
        </w:rPr>
        <w:t>教育支出-进修及培训-培训支出：反映各部门安排的用于培训的支出。教育部门的师资培训，党校、行政学院等专业干部教育机构的支出，以及退役士兵、转业士官的培训支出，不在本科目反映。</w:t>
      </w:r>
    </w:p>
    <w:p w14:paraId="26442896">
      <w:pPr>
        <w:spacing w:line="594" w:lineRule="exact"/>
        <w:ind w:firstLine="640" w:firstLineChars="200"/>
        <w:rPr>
          <w:rFonts w:eastAsia="仿宋_GB2312"/>
          <w:color w:val="000000"/>
          <w:sz w:val="32"/>
          <w:szCs w:val="32"/>
        </w:rPr>
      </w:pPr>
      <w:r>
        <w:rPr>
          <w:rFonts w:eastAsia="仿宋_GB2312"/>
          <w:color w:val="000000"/>
          <w:sz w:val="32"/>
          <w:szCs w:val="32"/>
        </w:rPr>
        <w:t>8</w:t>
      </w:r>
      <w:r>
        <w:rPr>
          <w:rStyle w:val="24"/>
          <w:rFonts w:hint="eastAsia" w:eastAsia="仿宋_GB2312"/>
          <w:color w:val="000000"/>
          <w:sz w:val="32"/>
          <w:szCs w:val="32"/>
        </w:rPr>
        <w:t>.</w:t>
      </w:r>
      <w:r>
        <w:rPr>
          <w:rFonts w:eastAsia="仿宋_GB2312"/>
          <w:color w:val="000000"/>
          <w:sz w:val="32"/>
          <w:szCs w:val="32"/>
        </w:rPr>
        <w:t>社会保障和就业支出-行政事业单位离退休-事业单位离退休：反映实行归口管理的事业单位开支的离退休经费。</w:t>
      </w:r>
    </w:p>
    <w:p w14:paraId="21F3E20E">
      <w:pPr>
        <w:spacing w:line="594" w:lineRule="exact"/>
        <w:ind w:firstLine="640" w:firstLineChars="200"/>
        <w:rPr>
          <w:rFonts w:eastAsia="仿宋_GB2312"/>
          <w:color w:val="000000"/>
          <w:sz w:val="32"/>
          <w:szCs w:val="32"/>
        </w:rPr>
      </w:pPr>
      <w:r>
        <w:rPr>
          <w:rFonts w:eastAsia="仿宋_GB2312"/>
          <w:color w:val="000000"/>
          <w:sz w:val="32"/>
          <w:szCs w:val="32"/>
        </w:rPr>
        <w:t>9</w:t>
      </w:r>
      <w:r>
        <w:rPr>
          <w:rStyle w:val="24"/>
          <w:rFonts w:hint="eastAsia" w:eastAsia="仿宋_GB2312"/>
          <w:color w:val="000000"/>
          <w:sz w:val="32"/>
          <w:szCs w:val="32"/>
        </w:rPr>
        <w:t>.</w:t>
      </w:r>
      <w:r>
        <w:rPr>
          <w:rFonts w:eastAsia="仿宋_GB2312"/>
          <w:color w:val="000000"/>
          <w:sz w:val="32"/>
          <w:szCs w:val="32"/>
        </w:rPr>
        <w:t>社会保障和就业支出-行政事业单位离退休-机关事业单位基本养老保险缴费支出：反映机关事业单位实施养老保险制度由单位缴纳的基本养老保险费支出。</w:t>
      </w:r>
    </w:p>
    <w:p w14:paraId="4A68281C">
      <w:pPr>
        <w:spacing w:line="594" w:lineRule="exact"/>
        <w:ind w:firstLine="640" w:firstLineChars="200"/>
        <w:rPr>
          <w:rFonts w:eastAsia="仿宋_GB2312"/>
          <w:color w:val="000000"/>
          <w:sz w:val="32"/>
          <w:szCs w:val="32"/>
        </w:rPr>
      </w:pPr>
      <w:r>
        <w:rPr>
          <w:rFonts w:eastAsia="仿宋_GB2312"/>
          <w:color w:val="000000"/>
          <w:sz w:val="32"/>
          <w:szCs w:val="32"/>
        </w:rPr>
        <w:t>10</w:t>
      </w:r>
      <w:r>
        <w:rPr>
          <w:rStyle w:val="24"/>
          <w:rFonts w:hint="eastAsia" w:eastAsia="仿宋_GB2312"/>
          <w:color w:val="000000"/>
          <w:sz w:val="32"/>
          <w:szCs w:val="32"/>
        </w:rPr>
        <w:t>.</w:t>
      </w:r>
      <w:r>
        <w:rPr>
          <w:rFonts w:eastAsia="仿宋_GB2312"/>
          <w:color w:val="000000"/>
          <w:sz w:val="32"/>
          <w:szCs w:val="32"/>
        </w:rPr>
        <w:t>社会保障和就业支出-行政事业单位离退休-机关事业单位职业年金缴费支出：反映机关事业单位实施养老保险制度由单位缴纳的职业年金支出。</w:t>
      </w:r>
    </w:p>
    <w:p w14:paraId="7437F4D4">
      <w:pPr>
        <w:spacing w:line="594" w:lineRule="exact"/>
        <w:ind w:firstLine="640" w:firstLineChars="200"/>
        <w:rPr>
          <w:rFonts w:eastAsia="仿宋_GB2312"/>
          <w:color w:val="000000"/>
          <w:sz w:val="32"/>
          <w:szCs w:val="32"/>
        </w:rPr>
      </w:pPr>
      <w:r>
        <w:rPr>
          <w:rFonts w:eastAsia="仿宋_GB2312"/>
          <w:color w:val="000000"/>
          <w:sz w:val="32"/>
          <w:szCs w:val="32"/>
        </w:rPr>
        <w:t>11</w:t>
      </w:r>
      <w:r>
        <w:rPr>
          <w:rStyle w:val="24"/>
          <w:rFonts w:hint="eastAsia" w:eastAsia="仿宋_GB2312"/>
          <w:color w:val="000000"/>
          <w:sz w:val="32"/>
          <w:szCs w:val="32"/>
        </w:rPr>
        <w:t>.</w:t>
      </w:r>
      <w:r>
        <w:rPr>
          <w:rFonts w:eastAsia="仿宋_GB2312"/>
          <w:color w:val="000000"/>
          <w:sz w:val="32"/>
          <w:szCs w:val="32"/>
        </w:rPr>
        <w:t>社会保障和就业支出-行政事业单位离退休-其他行政事业单位离退休支出：反映上述项目以外其他用于行政事业单位离退休方面的支出。</w:t>
      </w:r>
    </w:p>
    <w:p w14:paraId="666610A1">
      <w:pPr>
        <w:spacing w:line="594" w:lineRule="exact"/>
        <w:ind w:firstLine="640" w:firstLineChars="200"/>
        <w:rPr>
          <w:rFonts w:eastAsia="仿宋_GB2312"/>
          <w:color w:val="000000"/>
          <w:sz w:val="32"/>
          <w:szCs w:val="32"/>
        </w:rPr>
      </w:pPr>
      <w:r>
        <w:rPr>
          <w:rFonts w:eastAsia="仿宋_GB2312"/>
          <w:color w:val="000000"/>
          <w:sz w:val="32"/>
          <w:szCs w:val="32"/>
        </w:rPr>
        <w:t>12</w:t>
      </w:r>
      <w:r>
        <w:rPr>
          <w:rStyle w:val="24"/>
          <w:rFonts w:hint="eastAsia" w:eastAsia="仿宋_GB2312"/>
          <w:color w:val="000000"/>
          <w:sz w:val="32"/>
          <w:szCs w:val="32"/>
        </w:rPr>
        <w:t>.</w:t>
      </w:r>
      <w:r>
        <w:rPr>
          <w:rFonts w:eastAsia="仿宋_GB2312"/>
          <w:color w:val="000000"/>
          <w:sz w:val="32"/>
          <w:szCs w:val="32"/>
        </w:rPr>
        <w:t>社会保障和就业支出-抚恤-死亡抚恤：反映按规定用于烈士和牺牲、病故人员家属的一次性和定期抚恤金以及丧葬补助费。</w:t>
      </w:r>
    </w:p>
    <w:p w14:paraId="3465C18C">
      <w:pPr>
        <w:spacing w:line="594" w:lineRule="exact"/>
        <w:ind w:firstLine="640" w:firstLineChars="200"/>
        <w:rPr>
          <w:rFonts w:eastAsia="仿宋_GB2312"/>
          <w:color w:val="000000"/>
          <w:sz w:val="32"/>
          <w:szCs w:val="32"/>
        </w:rPr>
      </w:pPr>
      <w:r>
        <w:rPr>
          <w:rFonts w:eastAsia="仿宋_GB2312"/>
          <w:color w:val="000000"/>
          <w:sz w:val="32"/>
          <w:szCs w:val="32"/>
        </w:rPr>
        <w:t>13</w:t>
      </w:r>
      <w:r>
        <w:rPr>
          <w:rStyle w:val="24"/>
          <w:rFonts w:hint="eastAsia" w:eastAsia="仿宋_GB2312"/>
          <w:color w:val="000000"/>
          <w:sz w:val="32"/>
          <w:szCs w:val="32"/>
        </w:rPr>
        <w:t>.</w:t>
      </w:r>
      <w:r>
        <w:rPr>
          <w:rFonts w:eastAsia="仿宋_GB2312"/>
          <w:color w:val="000000"/>
          <w:sz w:val="32"/>
          <w:szCs w:val="32"/>
        </w:rPr>
        <w:t>卫生健康支出-卫生健康管理事务-行政运行：指反映行政单位（包括实行公务员管理的事业单位）的基本支出。</w:t>
      </w:r>
    </w:p>
    <w:p w14:paraId="003EC0BD">
      <w:pPr>
        <w:spacing w:line="594" w:lineRule="exact"/>
        <w:ind w:firstLine="640" w:firstLineChars="200"/>
        <w:rPr>
          <w:rFonts w:eastAsia="仿宋_GB2312"/>
          <w:color w:val="000000"/>
          <w:sz w:val="32"/>
          <w:szCs w:val="32"/>
        </w:rPr>
      </w:pPr>
      <w:r>
        <w:rPr>
          <w:rFonts w:eastAsia="仿宋_GB2312"/>
          <w:color w:val="000000"/>
          <w:sz w:val="32"/>
          <w:szCs w:val="32"/>
        </w:rPr>
        <w:t>14</w:t>
      </w:r>
      <w:r>
        <w:rPr>
          <w:rStyle w:val="24"/>
          <w:rFonts w:hint="eastAsia" w:eastAsia="仿宋_GB2312"/>
          <w:color w:val="000000"/>
          <w:sz w:val="32"/>
          <w:szCs w:val="32"/>
        </w:rPr>
        <w:t>.</w:t>
      </w:r>
      <w:r>
        <w:rPr>
          <w:rFonts w:eastAsia="仿宋_GB2312"/>
          <w:color w:val="000000"/>
          <w:sz w:val="32"/>
          <w:szCs w:val="32"/>
        </w:rPr>
        <w:t>卫生健康支出-卫生健康管理事务-其他卫生健康管理事务支出：反映上述项目以外其他用于卫生健康管理事务方面的支出。</w:t>
      </w:r>
    </w:p>
    <w:p w14:paraId="7B77DCCA">
      <w:pPr>
        <w:spacing w:line="594" w:lineRule="exact"/>
        <w:ind w:firstLine="640" w:firstLineChars="200"/>
        <w:rPr>
          <w:rFonts w:eastAsia="仿宋_GB2312"/>
          <w:color w:val="000000"/>
          <w:sz w:val="32"/>
          <w:szCs w:val="32"/>
        </w:rPr>
      </w:pPr>
      <w:r>
        <w:rPr>
          <w:rFonts w:eastAsia="仿宋_GB2312"/>
          <w:color w:val="000000"/>
          <w:sz w:val="32"/>
          <w:szCs w:val="32"/>
        </w:rPr>
        <w:t>15</w:t>
      </w:r>
      <w:r>
        <w:rPr>
          <w:rStyle w:val="24"/>
          <w:rFonts w:hint="eastAsia" w:eastAsia="仿宋_GB2312"/>
          <w:color w:val="000000"/>
          <w:sz w:val="32"/>
          <w:szCs w:val="32"/>
        </w:rPr>
        <w:t>.</w:t>
      </w:r>
      <w:r>
        <w:rPr>
          <w:rFonts w:eastAsia="仿宋_GB2312"/>
          <w:color w:val="000000"/>
          <w:sz w:val="32"/>
          <w:szCs w:val="32"/>
        </w:rPr>
        <w:t>卫生健康支出-公立医院-中医（民族）医院：反映卫生和计划生育、中医部门所属的中医院、中西医结合医院、民族医院的支出。</w:t>
      </w:r>
    </w:p>
    <w:p w14:paraId="7E8C6B78">
      <w:pPr>
        <w:spacing w:line="594" w:lineRule="exact"/>
        <w:ind w:firstLine="640" w:firstLineChars="200"/>
        <w:rPr>
          <w:rFonts w:eastAsia="仿宋_GB2312"/>
          <w:color w:val="000000"/>
          <w:sz w:val="32"/>
          <w:szCs w:val="32"/>
        </w:rPr>
      </w:pPr>
      <w:r>
        <w:rPr>
          <w:rFonts w:eastAsia="仿宋_GB2312"/>
          <w:color w:val="000000"/>
          <w:sz w:val="32"/>
          <w:szCs w:val="32"/>
        </w:rPr>
        <w:t>16</w:t>
      </w:r>
      <w:r>
        <w:rPr>
          <w:rStyle w:val="24"/>
          <w:rFonts w:hint="eastAsia" w:eastAsia="仿宋_GB2312"/>
          <w:color w:val="000000"/>
          <w:sz w:val="32"/>
          <w:szCs w:val="32"/>
        </w:rPr>
        <w:t>.</w:t>
      </w:r>
      <w:r>
        <w:rPr>
          <w:rFonts w:eastAsia="仿宋_GB2312"/>
          <w:color w:val="000000"/>
          <w:sz w:val="32"/>
          <w:szCs w:val="32"/>
        </w:rPr>
        <w:t>卫生健康支出-基层医疗卫生机构-城市社区卫生机构：反映用于城市社区卫生机构的支出。</w:t>
      </w:r>
    </w:p>
    <w:p w14:paraId="50A70502">
      <w:pPr>
        <w:spacing w:line="594" w:lineRule="exact"/>
        <w:ind w:firstLine="640" w:firstLineChars="200"/>
        <w:rPr>
          <w:rFonts w:eastAsia="仿宋_GB2312"/>
          <w:color w:val="000000"/>
          <w:sz w:val="32"/>
          <w:szCs w:val="32"/>
        </w:rPr>
      </w:pPr>
      <w:r>
        <w:rPr>
          <w:rFonts w:eastAsia="仿宋_GB2312"/>
          <w:color w:val="000000"/>
          <w:sz w:val="32"/>
          <w:szCs w:val="32"/>
        </w:rPr>
        <w:t>17</w:t>
      </w:r>
      <w:r>
        <w:rPr>
          <w:rStyle w:val="24"/>
          <w:rFonts w:hint="eastAsia" w:eastAsia="仿宋_GB2312"/>
          <w:b w:val="0"/>
          <w:color w:val="000000"/>
          <w:sz w:val="32"/>
          <w:szCs w:val="32"/>
        </w:rPr>
        <w:t>.</w:t>
      </w:r>
      <w:r>
        <w:rPr>
          <w:rFonts w:eastAsia="仿宋_GB2312"/>
          <w:color w:val="000000"/>
          <w:sz w:val="32"/>
          <w:szCs w:val="32"/>
        </w:rPr>
        <w:t>卫生健康支出-基层医疗卫生机构-乡镇卫生院：反映用于乡镇卫生院的支出。</w:t>
      </w:r>
    </w:p>
    <w:p w14:paraId="116F66B4">
      <w:pPr>
        <w:spacing w:line="594" w:lineRule="exact"/>
        <w:ind w:firstLine="640" w:firstLineChars="200"/>
        <w:rPr>
          <w:rFonts w:eastAsia="仿宋_GB2312"/>
          <w:color w:val="000000"/>
          <w:sz w:val="32"/>
          <w:szCs w:val="32"/>
        </w:rPr>
      </w:pPr>
      <w:r>
        <w:rPr>
          <w:rFonts w:eastAsia="仿宋_GB2312"/>
          <w:color w:val="000000"/>
          <w:sz w:val="32"/>
          <w:szCs w:val="32"/>
        </w:rPr>
        <w:t>18</w:t>
      </w:r>
      <w:r>
        <w:rPr>
          <w:rStyle w:val="24"/>
          <w:rFonts w:hint="eastAsia" w:eastAsia="仿宋_GB2312"/>
          <w:color w:val="000000"/>
          <w:sz w:val="32"/>
          <w:szCs w:val="32"/>
        </w:rPr>
        <w:t>.</w:t>
      </w:r>
      <w:r>
        <w:rPr>
          <w:rFonts w:eastAsia="仿宋_GB2312"/>
          <w:color w:val="000000"/>
          <w:sz w:val="32"/>
          <w:szCs w:val="32"/>
        </w:rPr>
        <w:t>卫生健康支出-基层医疗卫生机构-其他基层医疗卫生机构支出：反映除上述项目以外的其他用于基层医疗卫生机构的支出。</w:t>
      </w:r>
    </w:p>
    <w:p w14:paraId="00D1A8F4">
      <w:pPr>
        <w:spacing w:line="594" w:lineRule="exact"/>
        <w:ind w:firstLine="640" w:firstLineChars="200"/>
        <w:rPr>
          <w:rFonts w:eastAsia="仿宋_GB2312"/>
          <w:color w:val="000000"/>
          <w:sz w:val="32"/>
          <w:szCs w:val="32"/>
        </w:rPr>
      </w:pPr>
      <w:r>
        <w:rPr>
          <w:rFonts w:eastAsia="仿宋_GB2312"/>
          <w:color w:val="000000"/>
          <w:sz w:val="32"/>
          <w:szCs w:val="32"/>
        </w:rPr>
        <w:t>19</w:t>
      </w:r>
      <w:r>
        <w:rPr>
          <w:rStyle w:val="24"/>
          <w:rFonts w:hint="eastAsia" w:eastAsia="仿宋_GB2312"/>
          <w:color w:val="000000"/>
          <w:sz w:val="32"/>
          <w:szCs w:val="32"/>
        </w:rPr>
        <w:t>.</w:t>
      </w:r>
      <w:r>
        <w:rPr>
          <w:rFonts w:eastAsia="仿宋_GB2312"/>
          <w:color w:val="000000"/>
          <w:sz w:val="32"/>
          <w:szCs w:val="32"/>
        </w:rPr>
        <w:t>卫生健康支出-公共卫生-疾病预防控制机构：反映卫生和计划生育部门所属疾病预防控制机构的支出。</w:t>
      </w:r>
    </w:p>
    <w:p w14:paraId="233FF0CF">
      <w:pPr>
        <w:spacing w:line="594" w:lineRule="exact"/>
        <w:ind w:firstLine="640" w:firstLineChars="200"/>
        <w:rPr>
          <w:rFonts w:eastAsia="仿宋_GB2312"/>
          <w:color w:val="000000"/>
          <w:sz w:val="32"/>
          <w:szCs w:val="32"/>
        </w:rPr>
      </w:pPr>
      <w:r>
        <w:rPr>
          <w:rFonts w:eastAsia="仿宋_GB2312"/>
          <w:color w:val="000000"/>
          <w:sz w:val="32"/>
          <w:szCs w:val="32"/>
        </w:rPr>
        <w:t>20</w:t>
      </w:r>
      <w:r>
        <w:rPr>
          <w:rStyle w:val="24"/>
          <w:rFonts w:hint="eastAsia" w:eastAsia="仿宋_GB2312"/>
          <w:color w:val="000000"/>
          <w:sz w:val="32"/>
          <w:szCs w:val="32"/>
        </w:rPr>
        <w:t>.</w:t>
      </w:r>
      <w:r>
        <w:rPr>
          <w:rFonts w:eastAsia="仿宋_GB2312"/>
          <w:color w:val="000000"/>
          <w:sz w:val="32"/>
          <w:szCs w:val="32"/>
        </w:rPr>
        <w:t>卫生健康支出-公共卫生-卫生监督机构：反映卫生和计划生育部门所属卫生监督机构的支出。</w:t>
      </w:r>
    </w:p>
    <w:p w14:paraId="60C4013A">
      <w:pPr>
        <w:spacing w:line="594" w:lineRule="exact"/>
        <w:ind w:firstLine="640" w:firstLineChars="200"/>
        <w:rPr>
          <w:rFonts w:eastAsia="仿宋_GB2312"/>
          <w:color w:val="000000"/>
          <w:sz w:val="32"/>
          <w:szCs w:val="32"/>
        </w:rPr>
      </w:pPr>
      <w:r>
        <w:rPr>
          <w:rFonts w:eastAsia="仿宋_GB2312"/>
          <w:color w:val="000000"/>
          <w:sz w:val="32"/>
          <w:szCs w:val="32"/>
        </w:rPr>
        <w:t>21</w:t>
      </w:r>
      <w:r>
        <w:rPr>
          <w:rStyle w:val="24"/>
          <w:rFonts w:hint="eastAsia" w:eastAsia="仿宋_GB2312"/>
          <w:color w:val="000000"/>
          <w:sz w:val="32"/>
          <w:szCs w:val="32"/>
        </w:rPr>
        <w:t>.</w:t>
      </w:r>
      <w:r>
        <w:rPr>
          <w:rFonts w:eastAsia="仿宋_GB2312"/>
          <w:color w:val="000000"/>
          <w:sz w:val="32"/>
          <w:szCs w:val="32"/>
        </w:rPr>
        <w:t>卫生健康支出-公共卫生-妇幼保健机构：反映卫生和计划生育部门所属妇幼保健机构的支出。</w:t>
      </w:r>
    </w:p>
    <w:p w14:paraId="54730FE9">
      <w:pPr>
        <w:spacing w:line="594" w:lineRule="exact"/>
        <w:ind w:firstLine="640" w:firstLineChars="200"/>
        <w:rPr>
          <w:rFonts w:eastAsia="仿宋_GB2312"/>
          <w:color w:val="000000"/>
          <w:sz w:val="32"/>
          <w:szCs w:val="32"/>
        </w:rPr>
      </w:pPr>
      <w:r>
        <w:rPr>
          <w:rFonts w:eastAsia="仿宋_GB2312"/>
          <w:color w:val="000000"/>
          <w:sz w:val="32"/>
          <w:szCs w:val="32"/>
        </w:rPr>
        <w:t>22</w:t>
      </w:r>
      <w:r>
        <w:rPr>
          <w:rStyle w:val="24"/>
          <w:rFonts w:hint="eastAsia" w:eastAsia="仿宋_GB2312"/>
          <w:color w:val="000000"/>
          <w:sz w:val="32"/>
          <w:szCs w:val="32"/>
        </w:rPr>
        <w:t>.</w:t>
      </w:r>
      <w:r>
        <w:rPr>
          <w:rFonts w:eastAsia="仿宋_GB2312"/>
          <w:color w:val="000000"/>
          <w:sz w:val="32"/>
          <w:szCs w:val="32"/>
        </w:rPr>
        <w:t>卫生健康支出-公共卫生-基本公共卫生服务：反映基本公共卫生服务支出。</w:t>
      </w:r>
    </w:p>
    <w:p w14:paraId="063FE61C">
      <w:pPr>
        <w:spacing w:line="594" w:lineRule="exact"/>
        <w:ind w:firstLine="640" w:firstLineChars="200"/>
        <w:rPr>
          <w:rFonts w:eastAsia="仿宋_GB2312"/>
          <w:color w:val="000000"/>
          <w:sz w:val="32"/>
          <w:szCs w:val="32"/>
        </w:rPr>
      </w:pPr>
      <w:r>
        <w:rPr>
          <w:rFonts w:eastAsia="仿宋_GB2312"/>
          <w:color w:val="000000"/>
          <w:sz w:val="32"/>
          <w:szCs w:val="32"/>
        </w:rPr>
        <w:t>23</w:t>
      </w:r>
      <w:r>
        <w:rPr>
          <w:rStyle w:val="24"/>
          <w:rFonts w:hint="eastAsia" w:eastAsia="仿宋_GB2312"/>
          <w:color w:val="000000"/>
          <w:sz w:val="32"/>
          <w:szCs w:val="32"/>
        </w:rPr>
        <w:t>.</w:t>
      </w:r>
      <w:r>
        <w:rPr>
          <w:rFonts w:eastAsia="仿宋_GB2312"/>
          <w:color w:val="000000"/>
          <w:sz w:val="32"/>
          <w:szCs w:val="32"/>
        </w:rPr>
        <w:t>卫生健康支出-公共卫生-重大公共卫生专项：反映重大疾病预防控制等重大公共卫生服务项目支出。</w:t>
      </w:r>
    </w:p>
    <w:p w14:paraId="6ECA05AB">
      <w:pPr>
        <w:spacing w:line="594" w:lineRule="exact"/>
        <w:ind w:firstLine="640" w:firstLineChars="200"/>
        <w:rPr>
          <w:rFonts w:eastAsia="仿宋_GB2312"/>
          <w:color w:val="000000"/>
          <w:sz w:val="32"/>
          <w:szCs w:val="32"/>
        </w:rPr>
      </w:pPr>
      <w:r>
        <w:rPr>
          <w:rFonts w:eastAsia="仿宋_GB2312"/>
          <w:color w:val="000000"/>
          <w:sz w:val="32"/>
          <w:szCs w:val="32"/>
        </w:rPr>
        <w:t>24</w:t>
      </w:r>
      <w:r>
        <w:rPr>
          <w:rStyle w:val="24"/>
          <w:rFonts w:hint="eastAsia" w:eastAsia="仿宋_GB2312"/>
          <w:color w:val="000000"/>
          <w:sz w:val="32"/>
          <w:szCs w:val="32"/>
        </w:rPr>
        <w:t>.</w:t>
      </w:r>
      <w:r>
        <w:rPr>
          <w:rFonts w:eastAsia="仿宋_GB2312"/>
          <w:color w:val="000000"/>
          <w:sz w:val="32"/>
          <w:szCs w:val="32"/>
        </w:rPr>
        <w:t>卫生健康支出-公共卫生- 其他公共卫生支出：反映除上述项目以外的其他用于公共卫生方面的支出。</w:t>
      </w:r>
    </w:p>
    <w:p w14:paraId="4585B318">
      <w:pPr>
        <w:spacing w:line="594" w:lineRule="exact"/>
        <w:ind w:firstLine="640" w:firstLineChars="200"/>
        <w:rPr>
          <w:rFonts w:eastAsia="仿宋_GB2312"/>
          <w:color w:val="000000"/>
          <w:sz w:val="32"/>
          <w:szCs w:val="32"/>
        </w:rPr>
      </w:pPr>
      <w:r>
        <w:rPr>
          <w:rFonts w:eastAsia="仿宋_GB2312"/>
          <w:color w:val="000000"/>
          <w:sz w:val="32"/>
          <w:szCs w:val="32"/>
        </w:rPr>
        <w:t>25</w:t>
      </w:r>
      <w:r>
        <w:rPr>
          <w:rStyle w:val="24"/>
          <w:rFonts w:hint="eastAsia" w:eastAsia="仿宋_GB2312"/>
          <w:color w:val="000000"/>
          <w:sz w:val="32"/>
          <w:szCs w:val="32"/>
        </w:rPr>
        <w:t>.</w:t>
      </w:r>
      <w:r>
        <w:rPr>
          <w:rFonts w:eastAsia="仿宋_GB2312"/>
          <w:color w:val="000000"/>
          <w:sz w:val="32"/>
          <w:szCs w:val="32"/>
        </w:rPr>
        <w:t>卫生健康支出-医疗保障-行政单位医疗：反映财政部门集中安排的行政单位基本医疗保险缴费经费，未参加医疗保险的行政单位的公费医疗经费，按国家规定享受离休人员、红军老战士待遇人员的医疗经费。</w:t>
      </w:r>
    </w:p>
    <w:p w14:paraId="0F2C6D68">
      <w:pPr>
        <w:spacing w:line="594" w:lineRule="exact"/>
        <w:ind w:firstLine="640" w:firstLineChars="200"/>
        <w:rPr>
          <w:rFonts w:eastAsia="仿宋_GB2312"/>
          <w:color w:val="000000"/>
          <w:sz w:val="32"/>
          <w:szCs w:val="32"/>
        </w:rPr>
      </w:pPr>
      <w:r>
        <w:rPr>
          <w:rFonts w:eastAsia="仿宋_GB2312"/>
          <w:color w:val="000000"/>
          <w:sz w:val="32"/>
          <w:szCs w:val="32"/>
        </w:rPr>
        <w:t>26</w:t>
      </w:r>
      <w:r>
        <w:rPr>
          <w:rStyle w:val="24"/>
          <w:rFonts w:hint="eastAsia" w:eastAsia="仿宋_GB2312"/>
          <w:color w:val="000000"/>
          <w:sz w:val="32"/>
          <w:szCs w:val="32"/>
        </w:rPr>
        <w:t>.</w:t>
      </w:r>
      <w:r>
        <w:rPr>
          <w:rFonts w:eastAsia="仿宋_GB2312"/>
          <w:color w:val="000000"/>
          <w:sz w:val="32"/>
          <w:szCs w:val="32"/>
        </w:rPr>
        <w:t>卫生健康支出-医疗保障-事业单位医疗：反映财政部门集中安排的事业单位基本医疗保险缴费经费，未参加医疗保险的事业单位的公费医疗经费，按国家规定享受离休人员待遇人员的医疗经费。</w:t>
      </w:r>
    </w:p>
    <w:p w14:paraId="0FB6687F">
      <w:pPr>
        <w:spacing w:line="594" w:lineRule="exact"/>
        <w:ind w:firstLine="640" w:firstLineChars="200"/>
        <w:rPr>
          <w:rFonts w:eastAsia="仿宋_GB2312"/>
          <w:color w:val="000000"/>
          <w:sz w:val="32"/>
          <w:szCs w:val="32"/>
        </w:rPr>
      </w:pPr>
      <w:r>
        <w:rPr>
          <w:rFonts w:eastAsia="仿宋_GB2312"/>
          <w:color w:val="000000"/>
          <w:sz w:val="32"/>
          <w:szCs w:val="32"/>
        </w:rPr>
        <w:t>27</w:t>
      </w:r>
      <w:r>
        <w:rPr>
          <w:rStyle w:val="24"/>
          <w:rFonts w:hint="eastAsia" w:eastAsia="仿宋_GB2312"/>
          <w:color w:val="000000"/>
          <w:sz w:val="32"/>
          <w:szCs w:val="32"/>
        </w:rPr>
        <w:t>.</w:t>
      </w:r>
      <w:r>
        <w:rPr>
          <w:rFonts w:eastAsia="仿宋_GB2312"/>
          <w:color w:val="000000"/>
          <w:sz w:val="32"/>
          <w:szCs w:val="32"/>
        </w:rPr>
        <w:t>卫生健康支出-中医药-中医（民族医）药专项：反映中医（民族医）药方面的专项支出。</w:t>
      </w:r>
    </w:p>
    <w:p w14:paraId="0DC3EAE0">
      <w:pPr>
        <w:spacing w:line="594" w:lineRule="exact"/>
        <w:ind w:firstLine="640" w:firstLineChars="200"/>
        <w:rPr>
          <w:rFonts w:eastAsia="仿宋_GB2312"/>
          <w:color w:val="000000"/>
          <w:sz w:val="32"/>
          <w:szCs w:val="32"/>
        </w:rPr>
      </w:pPr>
      <w:r>
        <w:rPr>
          <w:rFonts w:eastAsia="仿宋_GB2312"/>
          <w:color w:val="000000"/>
          <w:sz w:val="32"/>
          <w:szCs w:val="32"/>
        </w:rPr>
        <w:t>28</w:t>
      </w:r>
      <w:r>
        <w:rPr>
          <w:rStyle w:val="24"/>
          <w:rFonts w:hint="eastAsia" w:eastAsia="仿宋_GB2312"/>
          <w:color w:val="000000"/>
          <w:sz w:val="32"/>
          <w:szCs w:val="32"/>
        </w:rPr>
        <w:t>.</w:t>
      </w:r>
      <w:r>
        <w:rPr>
          <w:rFonts w:eastAsia="仿宋_GB2312"/>
          <w:color w:val="000000"/>
          <w:sz w:val="32"/>
          <w:szCs w:val="32"/>
        </w:rPr>
        <w:t>卫生健康支出-中医药-其他中医药支出：反映除中医（民族医）药专项支出以外的其他中医药支出。</w:t>
      </w:r>
    </w:p>
    <w:p w14:paraId="2450AEF8">
      <w:pPr>
        <w:spacing w:line="594" w:lineRule="exact"/>
        <w:ind w:firstLine="640" w:firstLineChars="200"/>
        <w:rPr>
          <w:rFonts w:eastAsia="仿宋_GB2312"/>
          <w:color w:val="000000"/>
          <w:sz w:val="32"/>
          <w:szCs w:val="32"/>
        </w:rPr>
      </w:pPr>
      <w:r>
        <w:rPr>
          <w:rFonts w:eastAsia="仿宋_GB2312"/>
          <w:color w:val="000000"/>
          <w:sz w:val="32"/>
          <w:szCs w:val="32"/>
        </w:rPr>
        <w:t>29</w:t>
      </w:r>
      <w:r>
        <w:rPr>
          <w:rStyle w:val="24"/>
          <w:rFonts w:hint="eastAsia" w:eastAsia="仿宋_GB2312"/>
          <w:color w:val="000000"/>
          <w:sz w:val="32"/>
          <w:szCs w:val="32"/>
        </w:rPr>
        <w:t>.</w:t>
      </w:r>
      <w:r>
        <w:rPr>
          <w:rFonts w:eastAsia="仿宋_GB2312"/>
          <w:color w:val="000000"/>
          <w:sz w:val="32"/>
          <w:szCs w:val="32"/>
        </w:rPr>
        <w:t>卫生健康支出-计划生育事务-计划生育服务：反映计划生育服务的支出。</w:t>
      </w:r>
    </w:p>
    <w:p w14:paraId="3222EE38">
      <w:pPr>
        <w:spacing w:line="594" w:lineRule="exact"/>
        <w:ind w:firstLine="640" w:firstLineChars="200"/>
        <w:rPr>
          <w:rFonts w:eastAsia="仿宋_GB2312"/>
          <w:color w:val="000000"/>
          <w:sz w:val="32"/>
          <w:szCs w:val="32"/>
        </w:rPr>
      </w:pPr>
      <w:r>
        <w:rPr>
          <w:rFonts w:eastAsia="仿宋_GB2312"/>
          <w:color w:val="000000"/>
          <w:sz w:val="32"/>
          <w:szCs w:val="32"/>
        </w:rPr>
        <w:t>30</w:t>
      </w:r>
      <w:r>
        <w:rPr>
          <w:rStyle w:val="24"/>
          <w:rFonts w:hint="eastAsia" w:eastAsia="仿宋_GB2312"/>
          <w:color w:val="000000"/>
          <w:sz w:val="32"/>
          <w:szCs w:val="32"/>
        </w:rPr>
        <w:t>.</w:t>
      </w:r>
      <w:r>
        <w:rPr>
          <w:rFonts w:eastAsia="仿宋_GB2312"/>
          <w:color w:val="000000"/>
          <w:sz w:val="32"/>
          <w:szCs w:val="32"/>
        </w:rPr>
        <w:t>卫生健康支出-计划生育事务-其他计划生育事务支出：反映除上述项目以外其他用于计划生育管理事务方面的支出。</w:t>
      </w:r>
    </w:p>
    <w:p w14:paraId="7E622EB0">
      <w:pPr>
        <w:spacing w:line="594" w:lineRule="exact"/>
        <w:ind w:firstLine="640" w:firstLineChars="200"/>
        <w:rPr>
          <w:rFonts w:eastAsia="仿宋_GB2312"/>
          <w:color w:val="000000"/>
          <w:sz w:val="32"/>
          <w:szCs w:val="32"/>
        </w:rPr>
      </w:pPr>
      <w:r>
        <w:rPr>
          <w:rFonts w:eastAsia="仿宋_GB2312"/>
          <w:color w:val="000000"/>
          <w:sz w:val="32"/>
          <w:szCs w:val="32"/>
        </w:rPr>
        <w:t>31</w:t>
      </w:r>
      <w:r>
        <w:rPr>
          <w:rStyle w:val="24"/>
          <w:rFonts w:hint="eastAsia" w:eastAsia="仿宋_GB2312"/>
          <w:color w:val="000000"/>
          <w:sz w:val="32"/>
          <w:szCs w:val="32"/>
        </w:rPr>
        <w:t>.</w:t>
      </w:r>
      <w:r>
        <w:rPr>
          <w:rFonts w:eastAsia="仿宋_GB2312"/>
          <w:color w:val="000000"/>
          <w:sz w:val="32"/>
          <w:szCs w:val="32"/>
        </w:rPr>
        <w:t>卫生健康支出-卫生健康管理事务-其他卫生健康管理事务支出：反映除上述项目以外其他用于卫生健康管理事务方面的支出。</w:t>
      </w:r>
    </w:p>
    <w:p w14:paraId="286B7F6C">
      <w:pPr>
        <w:spacing w:line="594" w:lineRule="exact"/>
        <w:ind w:firstLine="640" w:firstLineChars="200"/>
        <w:rPr>
          <w:rFonts w:eastAsia="仿宋_GB2312"/>
          <w:color w:val="000000"/>
          <w:sz w:val="32"/>
          <w:szCs w:val="32"/>
        </w:rPr>
      </w:pPr>
      <w:r>
        <w:rPr>
          <w:rFonts w:eastAsia="仿宋_GB2312"/>
          <w:color w:val="000000"/>
          <w:sz w:val="32"/>
          <w:szCs w:val="32"/>
        </w:rPr>
        <w:t>32</w:t>
      </w:r>
      <w:r>
        <w:rPr>
          <w:rStyle w:val="24"/>
          <w:rFonts w:hint="eastAsia" w:eastAsia="仿宋_GB2312"/>
          <w:color w:val="000000"/>
          <w:sz w:val="32"/>
          <w:szCs w:val="32"/>
        </w:rPr>
        <w:t>.</w:t>
      </w:r>
      <w:r>
        <w:rPr>
          <w:rFonts w:eastAsia="仿宋_GB2312"/>
          <w:color w:val="000000"/>
          <w:sz w:val="32"/>
          <w:szCs w:val="32"/>
        </w:rPr>
        <w:t>城乡社区支出-城乡社区环境卫生-城乡社区环境卫生：反映城乡社区道路清扫、垃圾清运与处理、公厕建设与维护、园林绿化等方面的支出。</w:t>
      </w:r>
    </w:p>
    <w:p w14:paraId="5061A847">
      <w:pPr>
        <w:spacing w:line="594" w:lineRule="exact"/>
        <w:ind w:firstLine="640" w:firstLineChars="200"/>
        <w:rPr>
          <w:rFonts w:eastAsia="仿宋_GB2312"/>
          <w:sz w:val="32"/>
          <w:szCs w:val="32"/>
        </w:rPr>
      </w:pPr>
      <w:r>
        <w:rPr>
          <w:rFonts w:eastAsia="仿宋_GB2312"/>
          <w:sz w:val="32"/>
          <w:szCs w:val="32"/>
        </w:rPr>
        <w:t>33</w:t>
      </w:r>
      <w:r>
        <w:rPr>
          <w:rStyle w:val="24"/>
          <w:rFonts w:eastAsia="仿宋_GB2312"/>
          <w:sz w:val="32"/>
          <w:szCs w:val="32"/>
        </w:rPr>
        <w:t>．</w:t>
      </w:r>
      <w:r>
        <w:rPr>
          <w:rFonts w:eastAsia="仿宋_GB2312"/>
          <w:sz w:val="32"/>
          <w:szCs w:val="32"/>
        </w:rPr>
        <w:t>城乡社区支出-国有土地使用权出让收入及对应专项债务收入安排的支出-其他国有土地使用权出让收入安排的支出：反映土地出让收入用于其他方面的支出。不包括市县级政府当年按规定用土地出让收入向中央和省级政府缴纳的新增建设用地土地有偿使用费的支出。</w:t>
      </w:r>
    </w:p>
    <w:p w14:paraId="62952724">
      <w:pPr>
        <w:spacing w:line="594" w:lineRule="exact"/>
        <w:ind w:firstLine="640" w:firstLineChars="200"/>
        <w:rPr>
          <w:rFonts w:eastAsia="仿宋_GB2312"/>
          <w:color w:val="000000"/>
          <w:sz w:val="32"/>
          <w:szCs w:val="32"/>
        </w:rPr>
      </w:pPr>
      <w:r>
        <w:rPr>
          <w:rFonts w:eastAsia="仿宋_GB2312"/>
          <w:color w:val="000000"/>
          <w:sz w:val="32"/>
          <w:szCs w:val="32"/>
        </w:rPr>
        <w:t>34</w:t>
      </w:r>
      <w:r>
        <w:rPr>
          <w:rStyle w:val="24"/>
          <w:rFonts w:hint="eastAsia" w:eastAsia="仿宋_GB2312"/>
          <w:color w:val="000000"/>
          <w:sz w:val="32"/>
          <w:szCs w:val="32"/>
        </w:rPr>
        <w:t>.</w:t>
      </w:r>
      <w:r>
        <w:rPr>
          <w:rFonts w:eastAsia="仿宋_GB2312"/>
          <w:color w:val="000000"/>
          <w:sz w:val="32"/>
          <w:szCs w:val="32"/>
        </w:rPr>
        <w:t>住房保障支出-住房改革支出-住房公积金：反映行政事业单位按人力资源和社会保障部、财政部规定的基本工资和津贴补贴以及规定比例为职工缴纳的住房公积金。</w:t>
      </w:r>
    </w:p>
    <w:p w14:paraId="30DAF5A0">
      <w:pPr>
        <w:spacing w:line="594" w:lineRule="exact"/>
        <w:ind w:firstLine="640" w:firstLineChars="200"/>
        <w:rPr>
          <w:rFonts w:eastAsia="仿宋_GB2312"/>
          <w:color w:val="000000"/>
          <w:sz w:val="32"/>
          <w:szCs w:val="32"/>
        </w:rPr>
      </w:pPr>
      <w:r>
        <w:rPr>
          <w:rFonts w:eastAsia="仿宋_GB2312"/>
          <w:color w:val="000000"/>
          <w:sz w:val="32"/>
          <w:szCs w:val="32"/>
        </w:rPr>
        <w:t>35</w:t>
      </w:r>
      <w:r>
        <w:rPr>
          <w:rStyle w:val="24"/>
          <w:rFonts w:hint="eastAsia" w:eastAsia="仿宋_GB2312"/>
          <w:color w:val="000000"/>
          <w:sz w:val="32"/>
          <w:szCs w:val="32"/>
        </w:rPr>
        <w:t>.</w:t>
      </w:r>
      <w:r>
        <w:rPr>
          <w:rFonts w:eastAsia="仿宋_GB2312"/>
          <w:color w:val="000000"/>
          <w:sz w:val="32"/>
          <w:szCs w:val="32"/>
        </w:rPr>
        <w:t>其他支出-其他支出-其他支出：反映除上述项目以外其他不能划分到具体功能科目中的支出项目。</w:t>
      </w:r>
    </w:p>
    <w:p w14:paraId="2C872EE1">
      <w:pPr>
        <w:spacing w:line="594" w:lineRule="exact"/>
        <w:ind w:firstLine="640" w:firstLineChars="200"/>
        <w:rPr>
          <w:rFonts w:eastAsia="仿宋_GB2312"/>
          <w:color w:val="000000"/>
          <w:sz w:val="32"/>
          <w:szCs w:val="32"/>
        </w:rPr>
      </w:pPr>
      <w:r>
        <w:rPr>
          <w:rFonts w:eastAsia="仿宋_GB2312"/>
          <w:color w:val="000000"/>
          <w:sz w:val="32"/>
          <w:szCs w:val="32"/>
        </w:rPr>
        <w:t>36</w:t>
      </w:r>
      <w:r>
        <w:rPr>
          <w:rStyle w:val="24"/>
          <w:rFonts w:hint="eastAsia" w:eastAsia="仿宋_GB2312"/>
          <w:color w:val="000000"/>
          <w:sz w:val="32"/>
          <w:szCs w:val="32"/>
        </w:rPr>
        <w:t>.</w:t>
      </w:r>
      <w:r>
        <w:rPr>
          <w:rFonts w:eastAsia="仿宋_GB2312"/>
          <w:color w:val="000000"/>
          <w:sz w:val="32"/>
          <w:szCs w:val="32"/>
        </w:rPr>
        <w:t>结余分配：指事业单位按规定提取的职工福利基金、事业基金和缴纳的所得税，以及建设单位按规定应交回的基本建设竣工项目结余资金。</w:t>
      </w:r>
    </w:p>
    <w:p w14:paraId="560C0151">
      <w:pPr>
        <w:spacing w:line="594" w:lineRule="exact"/>
        <w:ind w:firstLine="640" w:firstLineChars="200"/>
        <w:rPr>
          <w:rFonts w:eastAsia="仿宋_GB2312"/>
          <w:color w:val="000000"/>
          <w:sz w:val="32"/>
          <w:szCs w:val="32"/>
        </w:rPr>
      </w:pPr>
      <w:r>
        <w:rPr>
          <w:rFonts w:eastAsia="仿宋_GB2312"/>
          <w:color w:val="000000"/>
          <w:sz w:val="32"/>
          <w:szCs w:val="32"/>
        </w:rPr>
        <w:t>37</w:t>
      </w:r>
      <w:r>
        <w:rPr>
          <w:rStyle w:val="24"/>
          <w:rFonts w:hint="eastAsia" w:eastAsia="仿宋_GB2312"/>
          <w:color w:val="000000"/>
          <w:sz w:val="32"/>
          <w:szCs w:val="32"/>
        </w:rPr>
        <w:t>.</w:t>
      </w:r>
      <w:r>
        <w:rPr>
          <w:rFonts w:eastAsia="仿宋_GB2312"/>
          <w:color w:val="000000"/>
          <w:sz w:val="32"/>
          <w:szCs w:val="32"/>
        </w:rPr>
        <w:t>年末结转和结余：指本年度或以前年度预算安排、因客观条件发生变化无法按原计划实施，需延迟到以后年度按有关规定继续使用的资金。</w:t>
      </w:r>
    </w:p>
    <w:p w14:paraId="0325CB57">
      <w:pPr>
        <w:spacing w:line="594" w:lineRule="exact"/>
        <w:ind w:firstLine="640" w:firstLineChars="200"/>
        <w:rPr>
          <w:rFonts w:eastAsia="仿宋_GB2312"/>
          <w:color w:val="000000"/>
          <w:sz w:val="32"/>
          <w:szCs w:val="32"/>
        </w:rPr>
      </w:pPr>
      <w:r>
        <w:rPr>
          <w:rFonts w:eastAsia="仿宋_GB2312"/>
          <w:color w:val="000000"/>
          <w:sz w:val="32"/>
          <w:szCs w:val="32"/>
        </w:rPr>
        <w:t>38</w:t>
      </w:r>
      <w:r>
        <w:rPr>
          <w:rStyle w:val="24"/>
          <w:rFonts w:hint="eastAsia" w:eastAsia="仿宋_GB2312"/>
          <w:color w:val="000000"/>
          <w:sz w:val="32"/>
          <w:szCs w:val="32"/>
        </w:rPr>
        <w:t>.</w:t>
      </w:r>
      <w:r>
        <w:rPr>
          <w:rFonts w:eastAsia="仿宋_GB2312"/>
          <w:color w:val="000000"/>
          <w:sz w:val="32"/>
          <w:szCs w:val="32"/>
        </w:rPr>
        <w:t>基本支出：指为保障机构正常运转、完成日常工作任务而发生的人员支出和公用支出。</w:t>
      </w:r>
    </w:p>
    <w:p w14:paraId="7FFB0766">
      <w:pPr>
        <w:spacing w:line="594" w:lineRule="exact"/>
        <w:ind w:firstLine="640" w:firstLineChars="200"/>
        <w:rPr>
          <w:rFonts w:eastAsia="仿宋_GB2312"/>
          <w:color w:val="000000"/>
          <w:sz w:val="32"/>
          <w:szCs w:val="32"/>
        </w:rPr>
      </w:pPr>
      <w:r>
        <w:rPr>
          <w:rFonts w:eastAsia="仿宋_GB2312"/>
          <w:color w:val="000000"/>
          <w:sz w:val="32"/>
          <w:szCs w:val="32"/>
        </w:rPr>
        <w:t>39</w:t>
      </w:r>
      <w:r>
        <w:rPr>
          <w:rStyle w:val="24"/>
          <w:rFonts w:hint="eastAsia" w:eastAsia="仿宋_GB2312"/>
          <w:color w:val="000000"/>
          <w:sz w:val="32"/>
          <w:szCs w:val="32"/>
        </w:rPr>
        <w:t>.</w:t>
      </w:r>
      <w:r>
        <w:rPr>
          <w:rFonts w:eastAsia="仿宋_GB2312"/>
          <w:color w:val="000000"/>
          <w:sz w:val="32"/>
          <w:szCs w:val="32"/>
        </w:rPr>
        <w:t xml:space="preserve">项目支出：指在基本支出之外为完成特定行政任务和事业发展目标所发生的支出。 </w:t>
      </w:r>
    </w:p>
    <w:p w14:paraId="6A1186C1">
      <w:pPr>
        <w:spacing w:line="594" w:lineRule="exact"/>
        <w:ind w:firstLine="640" w:firstLineChars="200"/>
        <w:rPr>
          <w:rFonts w:eastAsia="仿宋_GB2312"/>
          <w:color w:val="000000"/>
          <w:sz w:val="32"/>
          <w:szCs w:val="32"/>
        </w:rPr>
      </w:pPr>
      <w:r>
        <w:rPr>
          <w:rFonts w:eastAsia="仿宋_GB2312"/>
          <w:color w:val="000000"/>
          <w:sz w:val="32"/>
          <w:szCs w:val="32"/>
        </w:rPr>
        <w:t>40</w:t>
      </w:r>
      <w:r>
        <w:rPr>
          <w:rStyle w:val="24"/>
          <w:rFonts w:hint="eastAsia" w:eastAsia="仿宋_GB2312"/>
          <w:color w:val="000000"/>
          <w:sz w:val="32"/>
          <w:szCs w:val="32"/>
        </w:rPr>
        <w:t>.</w:t>
      </w:r>
      <w:r>
        <w:rPr>
          <w:rFonts w:eastAsia="仿宋_GB2312"/>
          <w:color w:val="000000"/>
          <w:sz w:val="32"/>
          <w:szCs w:val="32"/>
        </w:rPr>
        <w:t>经营支出：指事业单位在专业业务活动及其辅助活动之外开展非独立核算经营活动发生的支出。</w:t>
      </w:r>
    </w:p>
    <w:p w14:paraId="0368405C">
      <w:pPr>
        <w:pStyle w:val="32"/>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w:t>
      </w:r>
      <w:r>
        <w:rPr>
          <w:rStyle w:val="24"/>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公”经费：纳入县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9A2CF4E">
      <w:pPr>
        <w:pStyle w:val="32"/>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w:t>
      </w:r>
      <w:r>
        <w:rPr>
          <w:rStyle w:val="24"/>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6DB360">
      <w:pPr>
        <w:pStyle w:val="32"/>
        <w:spacing w:line="320" w:lineRule="exact"/>
        <w:rPr>
          <w:rFonts w:ascii="Times New Roman" w:hAnsi="Times New Roman" w:cs="Times New Roman"/>
        </w:rPr>
      </w:pPr>
    </w:p>
    <w:p w14:paraId="04BAE215">
      <w:pPr>
        <w:spacing w:line="600" w:lineRule="exact"/>
        <w:jc w:val="center"/>
        <w:outlineLvl w:val="0"/>
        <w:rPr>
          <w:rFonts w:eastAsia="黑体"/>
          <w:color w:val="000000"/>
          <w:sz w:val="44"/>
          <w:szCs w:val="44"/>
        </w:rPr>
      </w:pPr>
      <w:bookmarkStart w:id="108" w:name="_Toc15396614"/>
      <w:bookmarkStart w:id="109" w:name="_Toc15377226"/>
    </w:p>
    <w:p w14:paraId="36B76F10">
      <w:pPr>
        <w:spacing w:line="600" w:lineRule="exact"/>
        <w:jc w:val="center"/>
        <w:outlineLvl w:val="0"/>
        <w:rPr>
          <w:rFonts w:eastAsia="黑体"/>
          <w:color w:val="000000"/>
          <w:sz w:val="44"/>
          <w:szCs w:val="44"/>
        </w:rPr>
      </w:pPr>
    </w:p>
    <w:p w14:paraId="0EC9BFB6">
      <w:pPr>
        <w:spacing w:line="600" w:lineRule="exact"/>
        <w:jc w:val="center"/>
        <w:outlineLvl w:val="0"/>
        <w:rPr>
          <w:rFonts w:eastAsia="黑体"/>
          <w:color w:val="000000"/>
          <w:sz w:val="44"/>
          <w:szCs w:val="44"/>
        </w:rPr>
      </w:pPr>
    </w:p>
    <w:p w14:paraId="280837A7">
      <w:pPr>
        <w:spacing w:line="600" w:lineRule="exact"/>
        <w:jc w:val="center"/>
        <w:outlineLvl w:val="0"/>
        <w:rPr>
          <w:rFonts w:eastAsia="黑体"/>
          <w:color w:val="000000"/>
          <w:sz w:val="44"/>
          <w:szCs w:val="44"/>
        </w:rPr>
      </w:pPr>
    </w:p>
    <w:p w14:paraId="58820E03">
      <w:pPr>
        <w:spacing w:line="600" w:lineRule="exact"/>
        <w:jc w:val="center"/>
        <w:outlineLvl w:val="0"/>
        <w:rPr>
          <w:rFonts w:eastAsia="黑体"/>
          <w:color w:val="000000"/>
          <w:sz w:val="44"/>
          <w:szCs w:val="44"/>
        </w:rPr>
      </w:pPr>
    </w:p>
    <w:p w14:paraId="1BC6DF2E">
      <w:pPr>
        <w:spacing w:line="600" w:lineRule="exact"/>
        <w:jc w:val="center"/>
        <w:outlineLvl w:val="0"/>
        <w:rPr>
          <w:rFonts w:eastAsia="黑体"/>
          <w:color w:val="000000"/>
          <w:sz w:val="44"/>
          <w:szCs w:val="44"/>
        </w:rPr>
      </w:pPr>
    </w:p>
    <w:p w14:paraId="6B8FB3A4">
      <w:pPr>
        <w:spacing w:line="600" w:lineRule="exact"/>
        <w:jc w:val="center"/>
        <w:outlineLvl w:val="0"/>
        <w:rPr>
          <w:rFonts w:eastAsia="黑体"/>
          <w:color w:val="000000"/>
          <w:sz w:val="44"/>
          <w:szCs w:val="44"/>
        </w:rPr>
      </w:pPr>
    </w:p>
    <w:p w14:paraId="319C56C2">
      <w:pPr>
        <w:spacing w:line="600" w:lineRule="exact"/>
        <w:jc w:val="center"/>
        <w:outlineLvl w:val="0"/>
        <w:rPr>
          <w:rFonts w:eastAsia="黑体"/>
          <w:color w:val="000000"/>
          <w:sz w:val="44"/>
          <w:szCs w:val="44"/>
        </w:rPr>
      </w:pPr>
    </w:p>
    <w:p w14:paraId="194582AB">
      <w:pPr>
        <w:spacing w:line="600" w:lineRule="exact"/>
        <w:jc w:val="center"/>
        <w:outlineLvl w:val="0"/>
        <w:rPr>
          <w:rFonts w:eastAsia="黑体"/>
          <w:color w:val="000000"/>
          <w:sz w:val="44"/>
          <w:szCs w:val="44"/>
        </w:rPr>
      </w:pPr>
    </w:p>
    <w:p w14:paraId="73C2B879">
      <w:pPr>
        <w:spacing w:line="600" w:lineRule="exact"/>
        <w:jc w:val="center"/>
        <w:outlineLvl w:val="0"/>
        <w:rPr>
          <w:rFonts w:eastAsia="黑体"/>
          <w:color w:val="000000"/>
          <w:sz w:val="44"/>
          <w:szCs w:val="44"/>
        </w:rPr>
      </w:pPr>
    </w:p>
    <w:p w14:paraId="79348797">
      <w:pPr>
        <w:spacing w:line="600" w:lineRule="exact"/>
        <w:jc w:val="center"/>
        <w:outlineLvl w:val="0"/>
        <w:rPr>
          <w:rFonts w:eastAsia="黑体"/>
          <w:color w:val="000000"/>
          <w:sz w:val="44"/>
          <w:szCs w:val="44"/>
        </w:rPr>
      </w:pPr>
    </w:p>
    <w:p w14:paraId="5FD84320">
      <w:pPr>
        <w:spacing w:line="600" w:lineRule="exact"/>
        <w:jc w:val="center"/>
        <w:outlineLvl w:val="0"/>
        <w:rPr>
          <w:rFonts w:eastAsia="黑体"/>
          <w:color w:val="000000"/>
          <w:sz w:val="44"/>
          <w:szCs w:val="44"/>
        </w:rPr>
      </w:pPr>
    </w:p>
    <w:p w14:paraId="06113879">
      <w:pPr>
        <w:pStyle w:val="2"/>
        <w:ind w:firstLine="880"/>
        <w:rPr>
          <w:rFonts w:eastAsia="黑体"/>
          <w:color w:val="000000"/>
          <w:sz w:val="44"/>
          <w:szCs w:val="44"/>
        </w:rPr>
      </w:pPr>
    </w:p>
    <w:p w14:paraId="3A5BD1B4">
      <w:pPr>
        <w:pStyle w:val="2"/>
        <w:ind w:firstLine="880"/>
        <w:rPr>
          <w:rFonts w:eastAsia="黑体"/>
          <w:color w:val="000000"/>
          <w:sz w:val="44"/>
          <w:szCs w:val="44"/>
        </w:rPr>
      </w:pPr>
    </w:p>
    <w:p w14:paraId="6F5C8CC7">
      <w:pPr>
        <w:pStyle w:val="2"/>
        <w:ind w:firstLine="880"/>
        <w:rPr>
          <w:rFonts w:eastAsia="黑体"/>
          <w:color w:val="000000"/>
          <w:sz w:val="44"/>
          <w:szCs w:val="44"/>
        </w:rPr>
      </w:pPr>
    </w:p>
    <w:p w14:paraId="3D81E078">
      <w:pPr>
        <w:spacing w:line="600" w:lineRule="exact"/>
        <w:jc w:val="center"/>
        <w:outlineLvl w:val="0"/>
        <w:rPr>
          <w:rFonts w:eastAsia="黑体"/>
          <w:color w:val="000000"/>
          <w:sz w:val="44"/>
          <w:szCs w:val="44"/>
        </w:rPr>
      </w:pPr>
    </w:p>
    <w:p w14:paraId="0043F548">
      <w:pPr>
        <w:spacing w:line="600" w:lineRule="exact"/>
        <w:jc w:val="center"/>
        <w:outlineLvl w:val="0"/>
        <w:rPr>
          <w:rStyle w:val="34"/>
          <w:rFonts w:ascii="方正小标宋简体" w:hAnsi="方正小标宋简体" w:eastAsia="方正小标宋简体" w:cs="方正小标宋简体"/>
        </w:rPr>
      </w:pPr>
      <w:bookmarkStart w:id="110" w:name="_Toc54341353"/>
      <w:bookmarkStart w:id="111" w:name="_Toc54341276"/>
      <w:r>
        <w:rPr>
          <w:rFonts w:hint="eastAsia" w:ascii="方正小标宋简体" w:hAnsi="方正小标宋简体" w:eastAsia="方正小标宋简体" w:cs="方正小标宋简体"/>
          <w:b/>
          <w:bCs/>
          <w:color w:val="000000"/>
          <w:sz w:val="44"/>
          <w:szCs w:val="44"/>
        </w:rPr>
        <w:t>第</w:t>
      </w:r>
      <w:r>
        <w:rPr>
          <w:rStyle w:val="34"/>
          <w:rFonts w:hint="eastAsia" w:ascii="方正小标宋简体" w:hAnsi="方正小标宋简体" w:eastAsia="方正小标宋简体" w:cs="方正小标宋简体"/>
        </w:rPr>
        <w:t>四部分 附件</w:t>
      </w:r>
      <w:bookmarkEnd w:id="108"/>
      <w:bookmarkEnd w:id="110"/>
      <w:bookmarkEnd w:id="111"/>
    </w:p>
    <w:p w14:paraId="6FBF30A4">
      <w:pPr>
        <w:pStyle w:val="5"/>
        <w:rPr>
          <w:rFonts w:eastAsia="方正小标宋简体"/>
        </w:rPr>
      </w:pPr>
      <w:bookmarkStart w:id="112" w:name="_Toc54341354"/>
      <w:bookmarkStart w:id="113" w:name="_Toc54341277"/>
      <w:r>
        <w:rPr>
          <w:rFonts w:eastAsia="黑体"/>
        </w:rPr>
        <w:t>附件1</w:t>
      </w:r>
      <w:bookmarkEnd w:id="112"/>
      <w:bookmarkEnd w:id="113"/>
    </w:p>
    <w:p w14:paraId="1159E7A4">
      <w:pPr>
        <w:spacing w:line="580" w:lineRule="exact"/>
        <w:jc w:val="center"/>
        <w:rPr>
          <w:rFonts w:eastAsia="方正小标宋简体"/>
          <w:sz w:val="44"/>
          <w:szCs w:val="44"/>
        </w:rPr>
      </w:pPr>
    </w:p>
    <w:p w14:paraId="44A389A1">
      <w:pPr>
        <w:spacing w:line="594" w:lineRule="exact"/>
        <w:jc w:val="center"/>
        <w:rPr>
          <w:rFonts w:ascii="方正小标宋简体" w:eastAsia="方正小标宋简体"/>
          <w:b/>
          <w:bCs/>
          <w:sz w:val="36"/>
          <w:szCs w:val="36"/>
        </w:rPr>
      </w:pPr>
      <w:r>
        <w:rPr>
          <w:rFonts w:hint="eastAsia" w:ascii="方正小标宋简体" w:eastAsia="方正小标宋简体"/>
          <w:b/>
          <w:bCs/>
          <w:sz w:val="36"/>
          <w:szCs w:val="36"/>
        </w:rPr>
        <w:t>德阳市罗江区中医医院</w:t>
      </w:r>
    </w:p>
    <w:p w14:paraId="3DE9F3A5">
      <w:pPr>
        <w:widowControl/>
        <w:spacing w:line="594" w:lineRule="exact"/>
        <w:jc w:val="center"/>
        <w:rPr>
          <w:rFonts w:ascii="方正小标宋简体" w:eastAsia="方正小标宋简体"/>
          <w:b/>
          <w:bCs/>
          <w:sz w:val="36"/>
          <w:szCs w:val="36"/>
        </w:rPr>
      </w:pPr>
      <w:r>
        <w:rPr>
          <w:rFonts w:hint="eastAsia" w:ascii="方正小标宋简体" w:eastAsia="方正小标宋简体"/>
          <w:b/>
          <w:bCs/>
          <w:sz w:val="36"/>
          <w:szCs w:val="36"/>
        </w:rPr>
        <w:t>关于2020年部门预算支出绩效评价的自评报告</w:t>
      </w:r>
    </w:p>
    <w:p w14:paraId="4C86694B">
      <w:pPr>
        <w:widowControl/>
        <w:spacing w:line="540" w:lineRule="exact"/>
        <w:jc w:val="center"/>
        <w:rPr>
          <w:rFonts w:eastAsia="仿宋_GB2312"/>
          <w:b/>
          <w:bCs/>
          <w:sz w:val="32"/>
          <w:szCs w:val="32"/>
        </w:rPr>
      </w:pPr>
    </w:p>
    <w:p w14:paraId="280818CB">
      <w:pPr>
        <w:widowControl/>
        <w:adjustRightInd w:val="0"/>
        <w:snapToGrid w:val="0"/>
        <w:spacing w:line="540" w:lineRule="exact"/>
        <w:jc w:val="left"/>
        <w:rPr>
          <w:rFonts w:eastAsia="仿宋_GB2312"/>
          <w:color w:val="000000"/>
          <w:kern w:val="0"/>
          <w:sz w:val="32"/>
          <w:szCs w:val="32"/>
        </w:rPr>
      </w:pPr>
      <w:r>
        <w:rPr>
          <w:rFonts w:eastAsia="仿宋_GB2312"/>
          <w:color w:val="000000"/>
          <w:kern w:val="0"/>
          <w:sz w:val="32"/>
          <w:szCs w:val="32"/>
        </w:rPr>
        <w:t>区财政局：</w:t>
      </w:r>
    </w:p>
    <w:p w14:paraId="5DCB2452">
      <w:pPr>
        <w:widowControl/>
        <w:adjustRightInd w:val="0"/>
        <w:snapToGrid w:val="0"/>
        <w:spacing w:line="540" w:lineRule="exact"/>
        <w:ind w:firstLine="720" w:firstLineChars="225"/>
        <w:jc w:val="left"/>
        <w:rPr>
          <w:rFonts w:eastAsia="仿宋_GB2312"/>
          <w:color w:val="000000"/>
          <w:kern w:val="0"/>
          <w:sz w:val="32"/>
          <w:szCs w:val="32"/>
        </w:rPr>
      </w:pPr>
      <w:r>
        <w:rPr>
          <w:rFonts w:eastAsia="仿宋_GB2312"/>
          <w:color w:val="000000"/>
          <w:kern w:val="0"/>
          <w:sz w:val="32"/>
          <w:szCs w:val="32"/>
        </w:rPr>
        <w:t>按照你局《关于开展2020年财政绩效评价工作的通知》（德市罗财预〔2020〕5号），区卫健局高度重视，充分认识到财政资金绩效评价工作的重要性，组织相关人员对20</w:t>
      </w:r>
      <w:r>
        <w:rPr>
          <w:rFonts w:hint="eastAsia" w:eastAsia="仿宋_GB2312"/>
          <w:color w:val="000000"/>
          <w:kern w:val="0"/>
          <w:sz w:val="32"/>
          <w:szCs w:val="32"/>
        </w:rPr>
        <w:t>20</w:t>
      </w:r>
      <w:r>
        <w:rPr>
          <w:rFonts w:eastAsia="仿宋_GB2312"/>
          <w:color w:val="000000"/>
          <w:kern w:val="0"/>
          <w:sz w:val="32"/>
          <w:szCs w:val="32"/>
        </w:rPr>
        <w:t>年部门预算支出绩效进行了自评，现将自评情况报告如下：</w:t>
      </w:r>
    </w:p>
    <w:p w14:paraId="63926E2B">
      <w:pPr>
        <w:widowControl/>
        <w:adjustRightInd w:val="0"/>
        <w:snapToGrid w:val="0"/>
        <w:spacing w:line="540" w:lineRule="exact"/>
        <w:ind w:firstLine="720"/>
        <w:jc w:val="left"/>
        <w:rPr>
          <w:rFonts w:eastAsia="黑体"/>
          <w:color w:val="000000"/>
          <w:kern w:val="0"/>
          <w:sz w:val="32"/>
          <w:szCs w:val="32"/>
          <w:lang w:val="zh-CN"/>
        </w:rPr>
      </w:pPr>
      <w:r>
        <w:rPr>
          <w:rFonts w:eastAsia="黑体"/>
          <w:color w:val="000000"/>
          <w:kern w:val="0"/>
          <w:sz w:val="32"/>
          <w:szCs w:val="32"/>
        </w:rPr>
        <w:t>一、</w:t>
      </w:r>
      <w:r>
        <w:rPr>
          <w:rFonts w:eastAsia="黑体"/>
          <w:color w:val="000000"/>
          <w:kern w:val="0"/>
          <w:sz w:val="32"/>
          <w:szCs w:val="32"/>
          <w:lang w:val="zh-CN"/>
        </w:rPr>
        <w:t>部门基本概况</w:t>
      </w:r>
    </w:p>
    <w:p w14:paraId="4C2974C7">
      <w:pPr>
        <w:spacing w:line="594" w:lineRule="exact"/>
        <w:ind w:firstLine="643" w:firstLineChars="200"/>
        <w:rPr>
          <w:rFonts w:ascii="仿宋_GB2312" w:hAnsi="仿宋" w:eastAsia="仿宋_GB2312" w:cs="仿宋"/>
          <w:bCs/>
          <w:sz w:val="32"/>
          <w:szCs w:val="32"/>
        </w:rPr>
      </w:pPr>
      <w:r>
        <w:rPr>
          <w:rFonts w:eastAsia="楷体_GB2312"/>
          <w:b/>
          <w:color w:val="000000"/>
          <w:kern w:val="0"/>
          <w:sz w:val="32"/>
          <w:szCs w:val="32"/>
          <w:lang w:val="zh-CN"/>
        </w:rPr>
        <w:t>（一）机构组成。</w:t>
      </w:r>
      <w:r>
        <w:rPr>
          <w:rFonts w:hint="eastAsia" w:ascii="仿宋_GB2312" w:hAnsi="仿宋" w:eastAsia="仿宋_GB2312" w:cs="仿宋"/>
          <w:bCs/>
          <w:sz w:val="32"/>
          <w:szCs w:val="32"/>
        </w:rPr>
        <w:t>本单位为德阳市罗江区卫健局所属二</w:t>
      </w:r>
      <w:r>
        <w:rPr>
          <w:rFonts w:ascii="仿宋_GB2312" w:hAnsi="仿宋" w:eastAsia="仿宋_GB2312" w:cs="仿宋"/>
          <w:bCs/>
          <w:sz w:val="32"/>
          <w:szCs w:val="32"/>
        </w:rPr>
        <w:t xml:space="preserve"> </w:t>
      </w:r>
      <w:r>
        <w:rPr>
          <w:rFonts w:hint="eastAsia" w:ascii="仿宋_GB2312" w:hAnsi="仿宋" w:eastAsia="仿宋_GB2312" w:cs="仿宋"/>
          <w:bCs/>
          <w:sz w:val="32"/>
          <w:szCs w:val="32"/>
        </w:rPr>
        <w:t>级</w:t>
      </w:r>
      <w:r>
        <w:rPr>
          <w:rFonts w:hint="eastAsia" w:ascii="仿宋_GB2312" w:hAnsi="仿宋" w:eastAsia="仿宋_GB2312" w:cs="仿宋"/>
          <w:bCs/>
          <w:spacing w:val="14"/>
          <w:sz w:val="32"/>
          <w:szCs w:val="32"/>
        </w:rPr>
        <w:t>预算单位，单位性质</w:t>
      </w:r>
      <w:r>
        <w:rPr>
          <w:rFonts w:hint="eastAsia" w:ascii="仿宋_GB2312" w:hAnsi="仿宋" w:eastAsia="仿宋_GB2312" w:cs="仿宋"/>
          <w:bCs/>
          <w:sz w:val="32"/>
          <w:szCs w:val="32"/>
        </w:rPr>
        <w:t>为财政补助差额事业单位单位，</w:t>
      </w:r>
    </w:p>
    <w:p w14:paraId="3F0A6E6F">
      <w:pPr>
        <w:snapToGrid w:val="0"/>
        <w:spacing w:line="594" w:lineRule="exact"/>
        <w:ind w:firstLine="643" w:firstLineChars="200"/>
        <w:rPr>
          <w:rFonts w:ascii="仿宋_GB2312" w:hAnsi="仿宋" w:eastAsia="仿宋_GB2312"/>
          <w:sz w:val="32"/>
          <w:szCs w:val="32"/>
        </w:rPr>
      </w:pPr>
      <w:r>
        <w:rPr>
          <w:rFonts w:eastAsia="楷体_GB2312"/>
          <w:b/>
          <w:color w:val="000000"/>
          <w:kern w:val="0"/>
          <w:sz w:val="32"/>
          <w:szCs w:val="32"/>
          <w:lang w:val="zh-CN"/>
        </w:rPr>
        <w:t>（二）机构职能。</w:t>
      </w:r>
      <w:r>
        <w:rPr>
          <w:rFonts w:hint="eastAsia" w:ascii="仿宋_GB2312" w:hAnsi="仿宋" w:eastAsia="仿宋_GB2312"/>
          <w:sz w:val="32"/>
          <w:szCs w:val="32"/>
        </w:rPr>
        <w:t>发展中医药事业，为人民身体健康提供医疗与预防保健服务。开展中西医医疗服务、中医药教学科研和地方病防治、妇幼保健工作。</w:t>
      </w:r>
    </w:p>
    <w:p w14:paraId="458BC3B7">
      <w:pPr>
        <w:snapToGrid w:val="0"/>
        <w:spacing w:line="594" w:lineRule="exact"/>
        <w:ind w:firstLine="643" w:firstLineChars="200"/>
        <w:rPr>
          <w:rFonts w:ascii="仿宋_GB2312" w:hAnsi="仿宋" w:eastAsia="仿宋_GB2312"/>
          <w:sz w:val="32"/>
          <w:szCs w:val="32"/>
        </w:rPr>
      </w:pPr>
      <w:r>
        <w:rPr>
          <w:rFonts w:eastAsia="楷体_GB2312"/>
          <w:b/>
          <w:color w:val="000000"/>
          <w:kern w:val="0"/>
          <w:sz w:val="32"/>
          <w:szCs w:val="32"/>
          <w:lang w:val="zh-CN"/>
        </w:rPr>
        <w:t>（三）人员概况</w:t>
      </w:r>
      <w:r>
        <w:rPr>
          <w:rFonts w:hint="eastAsia" w:eastAsia="楷体_GB2312"/>
          <w:b/>
          <w:color w:val="000000"/>
          <w:kern w:val="0"/>
          <w:sz w:val="32"/>
          <w:szCs w:val="32"/>
          <w:lang w:val="zh-CN"/>
        </w:rPr>
        <w:t>。</w:t>
      </w:r>
      <w:r>
        <w:rPr>
          <w:rFonts w:hint="eastAsia" w:ascii="仿宋_GB2312" w:hAnsi="仿宋" w:eastAsia="仿宋_GB2312"/>
          <w:sz w:val="32"/>
          <w:szCs w:val="32"/>
        </w:rPr>
        <w:t>本单位属差额拨款事业单位，编制人员74名，现实有在编人员61名。2020年底本单位实有172人，其中在编61，临聘111人。（其中专业技术人员145人）</w:t>
      </w:r>
    </w:p>
    <w:p w14:paraId="5177099C">
      <w:pPr>
        <w:spacing w:line="580" w:lineRule="exact"/>
        <w:ind w:firstLine="640" w:firstLineChars="200"/>
        <w:rPr>
          <w:rFonts w:eastAsia="黑体"/>
          <w:sz w:val="32"/>
          <w:szCs w:val="32"/>
        </w:rPr>
      </w:pPr>
      <w:r>
        <w:rPr>
          <w:rFonts w:eastAsia="黑体"/>
          <w:sz w:val="32"/>
          <w:szCs w:val="32"/>
        </w:rPr>
        <w:t>二、部门财政资金收支情况</w:t>
      </w:r>
    </w:p>
    <w:p w14:paraId="0238A20B">
      <w:pPr>
        <w:spacing w:line="580" w:lineRule="exact"/>
        <w:ind w:firstLine="643" w:firstLineChars="200"/>
        <w:rPr>
          <w:rFonts w:eastAsia="楷体_GB2312"/>
          <w:b/>
          <w:sz w:val="32"/>
          <w:szCs w:val="32"/>
        </w:rPr>
      </w:pPr>
      <w:r>
        <w:rPr>
          <w:rFonts w:eastAsia="楷体_GB2312"/>
          <w:b/>
          <w:sz w:val="32"/>
          <w:szCs w:val="32"/>
        </w:rPr>
        <w:t>（一）部门财政资金收入情况</w:t>
      </w:r>
    </w:p>
    <w:p w14:paraId="10D7F7EC">
      <w:pPr>
        <w:spacing w:line="594"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20</w:t>
      </w:r>
      <w:r>
        <w:rPr>
          <w:rFonts w:eastAsia="仿宋_GB2312"/>
          <w:sz w:val="32"/>
          <w:szCs w:val="32"/>
        </w:rPr>
        <w:t>年</w:t>
      </w:r>
      <w:r>
        <w:rPr>
          <w:rFonts w:hint="eastAsia" w:eastAsia="仿宋_GB2312"/>
          <w:sz w:val="32"/>
          <w:szCs w:val="32"/>
        </w:rPr>
        <w:t>单位</w:t>
      </w:r>
      <w:r>
        <w:rPr>
          <w:rFonts w:eastAsia="仿宋_GB2312"/>
          <w:sz w:val="32"/>
          <w:szCs w:val="32"/>
        </w:rPr>
        <w:t>财政预算资金收入</w:t>
      </w:r>
      <w:r>
        <w:rPr>
          <w:rFonts w:hint="eastAsia" w:eastAsia="仿宋_GB2312"/>
          <w:sz w:val="32"/>
          <w:szCs w:val="32"/>
        </w:rPr>
        <w:t>647.37</w:t>
      </w:r>
      <w:r>
        <w:rPr>
          <w:rFonts w:eastAsia="仿宋_GB2312"/>
          <w:sz w:val="32"/>
          <w:szCs w:val="32"/>
        </w:rPr>
        <w:t>万元，其中：部门预算基本收入</w:t>
      </w:r>
      <w:r>
        <w:rPr>
          <w:rFonts w:hint="eastAsia" w:eastAsia="仿宋_GB2312"/>
          <w:sz w:val="32"/>
          <w:szCs w:val="32"/>
        </w:rPr>
        <w:t>315.05</w:t>
      </w:r>
      <w:r>
        <w:rPr>
          <w:rFonts w:eastAsia="仿宋_GB2312"/>
          <w:sz w:val="32"/>
          <w:szCs w:val="32"/>
        </w:rPr>
        <w:t>万元，专项预算资金收入</w:t>
      </w:r>
      <w:r>
        <w:rPr>
          <w:rFonts w:hint="eastAsia" w:eastAsia="仿宋_GB2312"/>
          <w:sz w:val="32"/>
          <w:szCs w:val="32"/>
        </w:rPr>
        <w:t>332.32</w:t>
      </w:r>
      <w:r>
        <w:rPr>
          <w:rFonts w:eastAsia="仿宋_GB2312"/>
          <w:sz w:val="32"/>
          <w:szCs w:val="32"/>
        </w:rPr>
        <w:t>万元。年初结转</w:t>
      </w:r>
      <w:r>
        <w:rPr>
          <w:rFonts w:hint="eastAsia" w:eastAsia="仿宋_GB2312"/>
          <w:sz w:val="32"/>
          <w:szCs w:val="32"/>
        </w:rPr>
        <w:t>444.53</w:t>
      </w:r>
      <w:r>
        <w:rPr>
          <w:rFonts w:eastAsia="仿宋_GB2312"/>
          <w:sz w:val="32"/>
          <w:szCs w:val="32"/>
        </w:rPr>
        <w:t>万元，其中：项目支出结转</w:t>
      </w:r>
      <w:r>
        <w:rPr>
          <w:rFonts w:hint="eastAsia" w:eastAsia="仿宋_GB2312"/>
          <w:sz w:val="32"/>
          <w:szCs w:val="32"/>
        </w:rPr>
        <w:t>444.53</w:t>
      </w:r>
      <w:r>
        <w:rPr>
          <w:rFonts w:eastAsia="仿宋_GB2312"/>
          <w:sz w:val="32"/>
          <w:szCs w:val="32"/>
        </w:rPr>
        <w:t>万元。</w:t>
      </w:r>
    </w:p>
    <w:p w14:paraId="0515C0F6">
      <w:pPr>
        <w:spacing w:line="594" w:lineRule="exact"/>
        <w:ind w:firstLine="640" w:firstLineChars="200"/>
        <w:rPr>
          <w:rFonts w:eastAsia="仿宋_GB2312"/>
          <w:sz w:val="32"/>
          <w:szCs w:val="32"/>
        </w:rPr>
      </w:pPr>
      <w:r>
        <w:rPr>
          <w:rFonts w:eastAsia="仿宋_GB2312"/>
          <w:sz w:val="32"/>
          <w:szCs w:val="32"/>
        </w:rPr>
        <w:t>1.财政预算基本支出</w:t>
      </w:r>
      <w:r>
        <w:rPr>
          <w:rFonts w:hint="eastAsia" w:eastAsia="仿宋_GB2312"/>
          <w:sz w:val="32"/>
          <w:szCs w:val="32"/>
        </w:rPr>
        <w:t>拨款社会保障和就业支出共计62.74万元，其中包括：</w:t>
      </w:r>
      <w:r>
        <w:rPr>
          <w:rFonts w:eastAsia="仿宋_GB2312"/>
          <w:sz w:val="32"/>
          <w:szCs w:val="32"/>
        </w:rPr>
        <w:t>机关事业单位基本养老保险缴费</w:t>
      </w:r>
      <w:r>
        <w:rPr>
          <w:rFonts w:hint="eastAsia" w:eastAsia="仿宋_GB2312"/>
          <w:sz w:val="32"/>
          <w:szCs w:val="32"/>
        </w:rPr>
        <w:t>37.22</w:t>
      </w:r>
      <w:r>
        <w:rPr>
          <w:rFonts w:eastAsia="仿宋_GB2312"/>
          <w:sz w:val="32"/>
          <w:szCs w:val="32"/>
        </w:rPr>
        <w:t>万元</w:t>
      </w:r>
      <w:r>
        <w:rPr>
          <w:rFonts w:hint="eastAsia" w:eastAsia="仿宋_GB2312"/>
          <w:sz w:val="32"/>
          <w:szCs w:val="32"/>
        </w:rPr>
        <w:t>、</w:t>
      </w:r>
      <w:r>
        <w:rPr>
          <w:rFonts w:eastAsia="仿宋_GB2312"/>
          <w:sz w:val="32"/>
          <w:szCs w:val="32"/>
        </w:rPr>
        <w:t>机关事业单位职业年金缴费</w:t>
      </w:r>
      <w:r>
        <w:rPr>
          <w:rFonts w:hint="eastAsia" w:eastAsia="仿宋_GB2312"/>
          <w:sz w:val="32"/>
          <w:szCs w:val="32"/>
        </w:rPr>
        <w:t>18.75</w:t>
      </w:r>
      <w:r>
        <w:rPr>
          <w:rFonts w:eastAsia="仿宋_GB2312"/>
          <w:sz w:val="32"/>
          <w:szCs w:val="32"/>
        </w:rPr>
        <w:t>万元</w:t>
      </w:r>
      <w:r>
        <w:rPr>
          <w:rFonts w:hint="eastAsia" w:eastAsia="仿宋_GB2312"/>
          <w:sz w:val="32"/>
          <w:szCs w:val="32"/>
        </w:rPr>
        <w:t>、死亡抚恤5.00万元、</w:t>
      </w:r>
      <w:r>
        <w:rPr>
          <w:rFonts w:eastAsia="仿宋_GB2312"/>
          <w:sz w:val="32"/>
          <w:szCs w:val="32"/>
        </w:rPr>
        <w:t>其他社会保障和就业支出</w:t>
      </w:r>
      <w:r>
        <w:rPr>
          <w:rFonts w:hint="eastAsia" w:eastAsia="仿宋_GB2312"/>
          <w:sz w:val="32"/>
          <w:szCs w:val="32"/>
        </w:rPr>
        <w:t>1.77</w:t>
      </w:r>
      <w:r>
        <w:rPr>
          <w:rFonts w:eastAsia="仿宋_GB2312"/>
          <w:sz w:val="32"/>
          <w:szCs w:val="32"/>
        </w:rPr>
        <w:t>万元。</w:t>
      </w:r>
    </w:p>
    <w:p w14:paraId="3ECA74CA">
      <w:pPr>
        <w:spacing w:line="594" w:lineRule="exact"/>
        <w:ind w:firstLine="640" w:firstLineChars="200"/>
        <w:rPr>
          <w:rFonts w:eastAsia="仿宋_GB2312"/>
          <w:sz w:val="32"/>
          <w:szCs w:val="32"/>
        </w:rPr>
      </w:pPr>
      <w:r>
        <w:rPr>
          <w:rFonts w:eastAsia="仿宋_GB2312"/>
          <w:sz w:val="32"/>
          <w:szCs w:val="32"/>
        </w:rPr>
        <w:t>2.财政预算基本支出拨款卫生健康</w:t>
      </w:r>
      <w:r>
        <w:rPr>
          <w:rFonts w:hint="eastAsia" w:eastAsia="仿宋_GB2312"/>
          <w:sz w:val="32"/>
          <w:szCs w:val="32"/>
        </w:rPr>
        <w:t>支出224.33</w:t>
      </w:r>
      <w:r>
        <w:rPr>
          <w:rFonts w:eastAsia="仿宋_GB2312"/>
          <w:sz w:val="32"/>
          <w:szCs w:val="32"/>
        </w:rPr>
        <w:t>万元</w:t>
      </w:r>
      <w:r>
        <w:rPr>
          <w:rFonts w:hint="eastAsia" w:eastAsia="仿宋_GB2312"/>
          <w:sz w:val="32"/>
          <w:szCs w:val="32"/>
        </w:rPr>
        <w:t>，其中包括：公立中医医院经费169.60</w:t>
      </w:r>
      <w:r>
        <w:rPr>
          <w:rFonts w:eastAsia="仿宋_GB2312"/>
          <w:sz w:val="32"/>
          <w:szCs w:val="32"/>
        </w:rPr>
        <w:t>万元，</w:t>
      </w:r>
      <w:r>
        <w:rPr>
          <w:rFonts w:hint="eastAsia" w:eastAsia="仿宋_GB2312"/>
          <w:sz w:val="32"/>
          <w:szCs w:val="32"/>
        </w:rPr>
        <w:t>基层医疗机构支出39.58万元、事业单位医疗15.15万元，</w:t>
      </w:r>
    </w:p>
    <w:p w14:paraId="6107BEF1">
      <w:pPr>
        <w:spacing w:line="594" w:lineRule="exact"/>
        <w:ind w:firstLine="640" w:firstLineChars="200"/>
        <w:rPr>
          <w:rFonts w:eastAsia="仿宋_GB2312"/>
          <w:sz w:val="32"/>
          <w:szCs w:val="32"/>
        </w:rPr>
      </w:pPr>
      <w:r>
        <w:rPr>
          <w:rFonts w:eastAsia="仿宋_GB2312"/>
          <w:sz w:val="32"/>
          <w:szCs w:val="32"/>
        </w:rPr>
        <w:t>3.财政预算基本支出拨款</w:t>
      </w:r>
      <w:r>
        <w:rPr>
          <w:rFonts w:hint="eastAsia" w:eastAsia="仿宋_GB2312"/>
          <w:sz w:val="32"/>
          <w:szCs w:val="32"/>
        </w:rPr>
        <w:t>住房公积金27.98万元。</w:t>
      </w:r>
    </w:p>
    <w:p w14:paraId="5C904B23">
      <w:pPr>
        <w:spacing w:line="594" w:lineRule="exact"/>
        <w:ind w:firstLine="640" w:firstLineChars="200"/>
        <w:rPr>
          <w:rFonts w:eastAsia="仿宋_GB2312"/>
          <w:sz w:val="32"/>
          <w:szCs w:val="32"/>
        </w:rPr>
      </w:pPr>
      <w:r>
        <w:rPr>
          <w:rFonts w:hint="eastAsia" w:eastAsia="仿宋_GB2312"/>
          <w:sz w:val="32"/>
          <w:szCs w:val="32"/>
        </w:rPr>
        <w:t>4.财政预算项目支出拨款其他卫生健康管理事务支出4.80万元（对口支援）</w:t>
      </w:r>
    </w:p>
    <w:p w14:paraId="3CE71F97">
      <w:pPr>
        <w:spacing w:line="594" w:lineRule="exact"/>
        <w:ind w:firstLine="640" w:firstLineChars="200"/>
        <w:rPr>
          <w:rFonts w:eastAsia="仿宋_GB2312"/>
          <w:sz w:val="32"/>
          <w:szCs w:val="32"/>
        </w:rPr>
      </w:pPr>
      <w:r>
        <w:rPr>
          <w:rFonts w:hint="eastAsia" w:eastAsia="仿宋_GB2312"/>
          <w:sz w:val="32"/>
          <w:szCs w:val="32"/>
        </w:rPr>
        <w:t>5.财政预算项目支出拨款其他公立医院支出23.20万元（公立医院补助资金）</w:t>
      </w:r>
    </w:p>
    <w:p w14:paraId="0F36F92D">
      <w:pPr>
        <w:spacing w:line="594" w:lineRule="exact"/>
        <w:ind w:firstLine="640" w:firstLineChars="200"/>
        <w:rPr>
          <w:rFonts w:eastAsia="仿宋_GB2312"/>
          <w:sz w:val="32"/>
          <w:szCs w:val="32"/>
        </w:rPr>
      </w:pPr>
      <w:r>
        <w:rPr>
          <w:rFonts w:hint="eastAsia" w:eastAsia="仿宋_GB2312"/>
          <w:sz w:val="32"/>
          <w:szCs w:val="32"/>
        </w:rPr>
        <w:t>6.财政预算项目支出拨款其他基层医疗卫生机构支出58.15万元（包括村卫生室补助5.85万元，新冠疫情防控资金52.30万元）</w:t>
      </w:r>
    </w:p>
    <w:p w14:paraId="04301BB4">
      <w:pPr>
        <w:spacing w:line="594" w:lineRule="exact"/>
        <w:ind w:firstLine="640" w:firstLineChars="200"/>
        <w:rPr>
          <w:rFonts w:eastAsia="仿宋_GB2312"/>
          <w:sz w:val="32"/>
          <w:szCs w:val="32"/>
        </w:rPr>
      </w:pPr>
      <w:r>
        <w:rPr>
          <w:rFonts w:hint="eastAsia" w:eastAsia="仿宋_GB2312"/>
          <w:sz w:val="32"/>
          <w:szCs w:val="32"/>
        </w:rPr>
        <w:t>7.财政预算项目支出拨款突发公共卫生事件应急处理31.40万元（新冠疫情防控资金）</w:t>
      </w:r>
    </w:p>
    <w:p w14:paraId="07AFCB80">
      <w:pPr>
        <w:spacing w:line="594" w:lineRule="exact"/>
        <w:ind w:firstLine="640" w:firstLineChars="200"/>
        <w:rPr>
          <w:rFonts w:eastAsia="仿宋_GB2312"/>
          <w:sz w:val="32"/>
          <w:szCs w:val="32"/>
        </w:rPr>
      </w:pPr>
      <w:r>
        <w:rPr>
          <w:rFonts w:hint="eastAsia" w:eastAsia="仿宋_GB2312"/>
          <w:sz w:val="32"/>
          <w:szCs w:val="32"/>
        </w:rPr>
        <w:t>8.财政预算项目支出拨款其他公共卫生支出50.00万元（安宁疗护补助资金）</w:t>
      </w:r>
    </w:p>
    <w:p w14:paraId="6F6FC168">
      <w:pPr>
        <w:spacing w:line="594" w:lineRule="exact"/>
        <w:ind w:firstLine="640" w:firstLineChars="200"/>
        <w:rPr>
          <w:rFonts w:eastAsia="仿宋_GB2312"/>
          <w:sz w:val="32"/>
          <w:szCs w:val="32"/>
        </w:rPr>
      </w:pPr>
      <w:r>
        <w:rPr>
          <w:rFonts w:hint="eastAsia" w:eastAsia="仿宋_GB2312"/>
          <w:sz w:val="32"/>
          <w:szCs w:val="32"/>
        </w:rPr>
        <w:t>9.财政预算项目支出拨款其他中医药支出6.00万元（万名骨干人才培养项目）</w:t>
      </w:r>
    </w:p>
    <w:p w14:paraId="579E7802">
      <w:pPr>
        <w:spacing w:line="594" w:lineRule="exact"/>
        <w:ind w:firstLine="640" w:firstLineChars="200"/>
        <w:rPr>
          <w:rFonts w:eastAsia="仿宋_GB2312"/>
          <w:sz w:val="32"/>
          <w:szCs w:val="32"/>
        </w:rPr>
      </w:pPr>
      <w:r>
        <w:rPr>
          <w:rFonts w:hint="eastAsia" w:eastAsia="仿宋_GB2312"/>
          <w:sz w:val="32"/>
          <w:szCs w:val="32"/>
        </w:rPr>
        <w:t>10.财政预算支出项目拨款其他卫生健康支出1.50万元（派出援鄂人员的医院补助）</w:t>
      </w:r>
    </w:p>
    <w:p w14:paraId="65A85484">
      <w:pPr>
        <w:spacing w:line="594" w:lineRule="exact"/>
        <w:ind w:firstLine="640" w:firstLineChars="200"/>
        <w:rPr>
          <w:rFonts w:eastAsia="仿宋_GB2312"/>
          <w:sz w:val="32"/>
          <w:szCs w:val="32"/>
        </w:rPr>
      </w:pPr>
      <w:r>
        <w:rPr>
          <w:rFonts w:hint="eastAsia" w:eastAsia="仿宋_GB2312"/>
          <w:sz w:val="32"/>
          <w:szCs w:val="32"/>
        </w:rPr>
        <w:t>11.财政预算支出项目拨款中医医院支出157.27万元（包括公立医院中央补助93.00万元、取消药品加成补助（省级）12.00万元、取消药品加成补助（县级）22.27万元、从业人员健康检查30.00万元）</w:t>
      </w:r>
    </w:p>
    <w:p w14:paraId="73F8E0ED">
      <w:pPr>
        <w:spacing w:line="580" w:lineRule="exact"/>
        <w:ind w:firstLine="643" w:firstLineChars="200"/>
        <w:rPr>
          <w:rFonts w:eastAsia="楷体_GB2312"/>
          <w:b/>
          <w:sz w:val="32"/>
          <w:szCs w:val="32"/>
        </w:rPr>
      </w:pPr>
      <w:r>
        <w:rPr>
          <w:rFonts w:eastAsia="楷体_GB2312"/>
          <w:b/>
          <w:sz w:val="32"/>
          <w:szCs w:val="32"/>
        </w:rPr>
        <w:t>（二）部门财政资金支出情况</w:t>
      </w:r>
    </w:p>
    <w:p w14:paraId="56C20BCB">
      <w:pPr>
        <w:spacing w:line="594"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20</w:t>
      </w:r>
      <w:r>
        <w:rPr>
          <w:rFonts w:eastAsia="仿宋_GB2312"/>
          <w:sz w:val="32"/>
          <w:szCs w:val="32"/>
        </w:rPr>
        <w:t>年财政预算资金支出</w:t>
      </w:r>
      <w:r>
        <w:rPr>
          <w:rFonts w:hint="eastAsia" w:eastAsia="仿宋_GB2312"/>
          <w:sz w:val="32"/>
          <w:szCs w:val="32"/>
        </w:rPr>
        <w:t>941.31</w:t>
      </w:r>
      <w:r>
        <w:rPr>
          <w:rFonts w:eastAsia="仿宋_GB2312"/>
          <w:sz w:val="32"/>
          <w:szCs w:val="32"/>
        </w:rPr>
        <w:t>万元，其中：部门预算基本支出</w:t>
      </w:r>
      <w:r>
        <w:rPr>
          <w:rFonts w:hint="eastAsia" w:eastAsia="仿宋_GB2312"/>
          <w:sz w:val="32"/>
          <w:szCs w:val="32"/>
        </w:rPr>
        <w:t>315.05</w:t>
      </w:r>
      <w:r>
        <w:rPr>
          <w:rFonts w:eastAsia="仿宋_GB2312"/>
          <w:sz w:val="32"/>
          <w:szCs w:val="32"/>
        </w:rPr>
        <w:t>万元，专项预算资金支出</w:t>
      </w:r>
      <w:r>
        <w:rPr>
          <w:rFonts w:hint="eastAsia" w:eastAsia="仿宋_GB2312"/>
          <w:sz w:val="32"/>
          <w:szCs w:val="32"/>
        </w:rPr>
        <w:t>626.26</w:t>
      </w:r>
      <w:r>
        <w:rPr>
          <w:rFonts w:eastAsia="仿宋_GB2312"/>
          <w:sz w:val="32"/>
          <w:szCs w:val="32"/>
        </w:rPr>
        <w:t>万元。</w:t>
      </w:r>
    </w:p>
    <w:p w14:paraId="57D223EA">
      <w:pPr>
        <w:spacing w:line="594"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财政预算基本支出工资福利支出</w:t>
      </w:r>
      <w:r>
        <w:rPr>
          <w:rFonts w:hint="eastAsia" w:eastAsia="仿宋_GB2312"/>
          <w:sz w:val="32"/>
          <w:szCs w:val="32"/>
        </w:rPr>
        <w:t>309.26</w:t>
      </w:r>
      <w:r>
        <w:rPr>
          <w:rFonts w:eastAsia="仿宋_GB2312"/>
          <w:sz w:val="32"/>
          <w:szCs w:val="32"/>
        </w:rPr>
        <w:t>万元：基本工资</w:t>
      </w:r>
      <w:r>
        <w:rPr>
          <w:rFonts w:hint="eastAsia" w:eastAsia="仿宋_GB2312"/>
          <w:sz w:val="32"/>
          <w:szCs w:val="32"/>
        </w:rPr>
        <w:t>168.51</w:t>
      </w:r>
      <w:r>
        <w:rPr>
          <w:rFonts w:eastAsia="仿宋_GB2312"/>
          <w:sz w:val="32"/>
          <w:szCs w:val="32"/>
        </w:rPr>
        <w:t>万元，津贴补贴</w:t>
      </w:r>
      <w:r>
        <w:rPr>
          <w:rFonts w:hint="eastAsia" w:eastAsia="仿宋_GB2312"/>
          <w:sz w:val="32"/>
          <w:szCs w:val="32"/>
        </w:rPr>
        <w:t>0.11</w:t>
      </w:r>
      <w:r>
        <w:rPr>
          <w:rFonts w:eastAsia="仿宋_GB2312"/>
          <w:sz w:val="32"/>
          <w:szCs w:val="32"/>
        </w:rPr>
        <w:t>万元，奖金</w:t>
      </w:r>
      <w:r>
        <w:rPr>
          <w:rFonts w:hint="eastAsia" w:eastAsia="仿宋_GB2312"/>
          <w:sz w:val="32"/>
          <w:szCs w:val="32"/>
        </w:rPr>
        <w:t>0</w:t>
      </w:r>
      <w:r>
        <w:rPr>
          <w:rFonts w:eastAsia="仿宋_GB2312"/>
          <w:sz w:val="32"/>
          <w:szCs w:val="32"/>
        </w:rPr>
        <w:t>万元，</w:t>
      </w:r>
      <w:r>
        <w:rPr>
          <w:rFonts w:hint="eastAsia" w:eastAsia="仿宋_GB2312"/>
          <w:sz w:val="32"/>
          <w:szCs w:val="32"/>
        </w:rPr>
        <w:t>伙食补助费0万元，</w:t>
      </w:r>
      <w:r>
        <w:rPr>
          <w:rFonts w:eastAsia="仿宋_GB2312"/>
          <w:sz w:val="32"/>
          <w:szCs w:val="32"/>
        </w:rPr>
        <w:t>绩效工资</w:t>
      </w:r>
      <w:r>
        <w:rPr>
          <w:rFonts w:hint="eastAsia" w:eastAsia="仿宋_GB2312"/>
          <w:sz w:val="32"/>
          <w:szCs w:val="32"/>
        </w:rPr>
        <w:t>39.78</w:t>
      </w:r>
      <w:r>
        <w:rPr>
          <w:rFonts w:eastAsia="仿宋_GB2312"/>
          <w:sz w:val="32"/>
          <w:szCs w:val="32"/>
        </w:rPr>
        <w:t>万元，机关事业单位基本养老保险缴费</w:t>
      </w:r>
      <w:r>
        <w:rPr>
          <w:rFonts w:hint="eastAsia" w:eastAsia="仿宋_GB2312"/>
          <w:sz w:val="32"/>
          <w:szCs w:val="32"/>
        </w:rPr>
        <w:t>37.22</w:t>
      </w:r>
      <w:r>
        <w:rPr>
          <w:rFonts w:eastAsia="仿宋_GB2312"/>
          <w:sz w:val="32"/>
          <w:szCs w:val="32"/>
        </w:rPr>
        <w:t>万元，职业年金缴费</w:t>
      </w:r>
      <w:r>
        <w:rPr>
          <w:rFonts w:hint="eastAsia" w:eastAsia="仿宋_GB2312"/>
          <w:sz w:val="32"/>
          <w:szCs w:val="32"/>
        </w:rPr>
        <w:t>18.75</w:t>
      </w:r>
      <w:r>
        <w:rPr>
          <w:rFonts w:eastAsia="仿宋_GB2312"/>
          <w:sz w:val="32"/>
          <w:szCs w:val="32"/>
        </w:rPr>
        <w:t>万元，职工基本医疗保险缴费</w:t>
      </w:r>
      <w:r>
        <w:rPr>
          <w:rFonts w:hint="eastAsia" w:eastAsia="仿宋_GB2312"/>
          <w:sz w:val="32"/>
          <w:szCs w:val="32"/>
        </w:rPr>
        <w:t>13.99</w:t>
      </w:r>
      <w:r>
        <w:rPr>
          <w:rFonts w:eastAsia="仿宋_GB2312"/>
          <w:sz w:val="32"/>
          <w:szCs w:val="32"/>
        </w:rPr>
        <w:t>万元，其他社会保障缴费</w:t>
      </w:r>
      <w:r>
        <w:rPr>
          <w:rFonts w:hint="eastAsia" w:eastAsia="仿宋_GB2312"/>
          <w:sz w:val="32"/>
          <w:szCs w:val="32"/>
        </w:rPr>
        <w:t>2.93</w:t>
      </w:r>
      <w:r>
        <w:rPr>
          <w:rFonts w:eastAsia="仿宋_GB2312"/>
          <w:sz w:val="32"/>
          <w:szCs w:val="32"/>
        </w:rPr>
        <w:t>万元，住房公积金</w:t>
      </w:r>
      <w:r>
        <w:rPr>
          <w:rFonts w:hint="eastAsia" w:eastAsia="仿宋_GB2312"/>
          <w:sz w:val="32"/>
          <w:szCs w:val="32"/>
        </w:rPr>
        <w:t>27.98</w:t>
      </w:r>
      <w:r>
        <w:rPr>
          <w:rFonts w:eastAsia="仿宋_GB2312"/>
          <w:sz w:val="32"/>
          <w:szCs w:val="32"/>
        </w:rPr>
        <w:t>万元，其他工资福利支出</w:t>
      </w:r>
      <w:r>
        <w:rPr>
          <w:rFonts w:hint="eastAsia" w:eastAsia="仿宋_GB2312"/>
          <w:sz w:val="32"/>
          <w:szCs w:val="32"/>
        </w:rPr>
        <w:t>0</w:t>
      </w:r>
      <w:r>
        <w:rPr>
          <w:rFonts w:eastAsia="仿宋_GB2312"/>
          <w:sz w:val="32"/>
          <w:szCs w:val="32"/>
        </w:rPr>
        <w:t>万元。</w:t>
      </w:r>
    </w:p>
    <w:p w14:paraId="01BDC61E">
      <w:pPr>
        <w:spacing w:line="594"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财政预算基本支出商品和服务支</w:t>
      </w:r>
      <w:r>
        <w:rPr>
          <w:rFonts w:hint="eastAsia" w:eastAsia="仿宋_GB2312"/>
          <w:sz w:val="32"/>
          <w:szCs w:val="32"/>
        </w:rPr>
        <w:t>0</w:t>
      </w:r>
      <w:r>
        <w:rPr>
          <w:rFonts w:eastAsia="仿宋_GB2312"/>
          <w:sz w:val="32"/>
          <w:szCs w:val="32"/>
        </w:rPr>
        <w:t>万元：办公费</w:t>
      </w:r>
      <w:r>
        <w:rPr>
          <w:rFonts w:hint="eastAsia" w:eastAsia="仿宋_GB2312"/>
          <w:sz w:val="32"/>
          <w:szCs w:val="32"/>
        </w:rPr>
        <w:t>0</w:t>
      </w:r>
      <w:r>
        <w:rPr>
          <w:rFonts w:eastAsia="仿宋_GB2312"/>
          <w:sz w:val="32"/>
          <w:szCs w:val="32"/>
        </w:rPr>
        <w:t>万元，印刷费</w:t>
      </w:r>
      <w:r>
        <w:rPr>
          <w:rFonts w:hint="eastAsia" w:eastAsia="仿宋_GB2312"/>
          <w:sz w:val="32"/>
          <w:szCs w:val="32"/>
        </w:rPr>
        <w:t>0</w:t>
      </w:r>
      <w:r>
        <w:rPr>
          <w:rFonts w:eastAsia="仿宋_GB2312"/>
          <w:sz w:val="32"/>
          <w:szCs w:val="32"/>
        </w:rPr>
        <w:t>万元，手续费</w:t>
      </w:r>
      <w:r>
        <w:rPr>
          <w:rFonts w:hint="eastAsia" w:eastAsia="仿宋_GB2312"/>
          <w:sz w:val="32"/>
          <w:szCs w:val="32"/>
        </w:rPr>
        <w:t>0</w:t>
      </w:r>
      <w:r>
        <w:rPr>
          <w:rFonts w:eastAsia="仿宋_GB2312"/>
          <w:sz w:val="32"/>
          <w:szCs w:val="32"/>
        </w:rPr>
        <w:t>万元，水费</w:t>
      </w:r>
      <w:r>
        <w:rPr>
          <w:rFonts w:hint="eastAsia" w:eastAsia="仿宋_GB2312"/>
          <w:sz w:val="32"/>
          <w:szCs w:val="32"/>
        </w:rPr>
        <w:t>0</w:t>
      </w:r>
      <w:r>
        <w:rPr>
          <w:rFonts w:eastAsia="仿宋_GB2312"/>
          <w:sz w:val="32"/>
          <w:szCs w:val="32"/>
        </w:rPr>
        <w:t>万元，电费</w:t>
      </w:r>
      <w:r>
        <w:rPr>
          <w:rFonts w:hint="eastAsia" w:eastAsia="仿宋_GB2312"/>
          <w:sz w:val="32"/>
          <w:szCs w:val="32"/>
        </w:rPr>
        <w:t>0</w:t>
      </w:r>
      <w:r>
        <w:rPr>
          <w:rFonts w:eastAsia="仿宋_GB2312"/>
          <w:sz w:val="32"/>
          <w:szCs w:val="32"/>
        </w:rPr>
        <w:t>万元，邮电费</w:t>
      </w:r>
      <w:r>
        <w:rPr>
          <w:rFonts w:hint="eastAsia" w:eastAsia="仿宋_GB2312"/>
          <w:sz w:val="32"/>
          <w:szCs w:val="32"/>
        </w:rPr>
        <w:t>0</w:t>
      </w:r>
      <w:r>
        <w:rPr>
          <w:rFonts w:eastAsia="仿宋_GB2312"/>
          <w:sz w:val="32"/>
          <w:szCs w:val="32"/>
        </w:rPr>
        <w:t>万元，物业管理费</w:t>
      </w:r>
      <w:r>
        <w:rPr>
          <w:rFonts w:hint="eastAsia" w:eastAsia="仿宋_GB2312"/>
          <w:sz w:val="32"/>
          <w:szCs w:val="32"/>
        </w:rPr>
        <w:t>0</w:t>
      </w:r>
      <w:r>
        <w:rPr>
          <w:rFonts w:eastAsia="仿宋_GB2312"/>
          <w:sz w:val="32"/>
          <w:szCs w:val="32"/>
        </w:rPr>
        <w:t>万元，差旅费</w:t>
      </w:r>
      <w:r>
        <w:rPr>
          <w:rFonts w:hint="eastAsia" w:eastAsia="仿宋_GB2312"/>
          <w:sz w:val="32"/>
          <w:szCs w:val="32"/>
        </w:rPr>
        <w:t>0</w:t>
      </w:r>
      <w:r>
        <w:rPr>
          <w:rFonts w:eastAsia="仿宋_GB2312"/>
          <w:sz w:val="32"/>
          <w:szCs w:val="32"/>
        </w:rPr>
        <w:t>万元，维修（护）费</w:t>
      </w:r>
      <w:r>
        <w:rPr>
          <w:rFonts w:hint="eastAsia" w:eastAsia="仿宋_GB2312"/>
          <w:sz w:val="32"/>
          <w:szCs w:val="32"/>
        </w:rPr>
        <w:t>0</w:t>
      </w:r>
      <w:r>
        <w:rPr>
          <w:rFonts w:eastAsia="仿宋_GB2312"/>
          <w:sz w:val="32"/>
          <w:szCs w:val="32"/>
        </w:rPr>
        <w:t>万元，租赁费</w:t>
      </w:r>
      <w:r>
        <w:rPr>
          <w:rFonts w:hint="eastAsia" w:eastAsia="仿宋_GB2312"/>
          <w:sz w:val="32"/>
          <w:szCs w:val="32"/>
        </w:rPr>
        <w:t>0</w:t>
      </w:r>
      <w:r>
        <w:rPr>
          <w:rFonts w:eastAsia="仿宋_GB2312"/>
          <w:sz w:val="32"/>
          <w:szCs w:val="32"/>
        </w:rPr>
        <w:t>万元，会议费</w:t>
      </w:r>
      <w:r>
        <w:rPr>
          <w:rFonts w:hint="eastAsia" w:eastAsia="仿宋_GB2312"/>
          <w:sz w:val="32"/>
          <w:szCs w:val="32"/>
        </w:rPr>
        <w:t>0</w:t>
      </w:r>
      <w:r>
        <w:rPr>
          <w:rFonts w:eastAsia="仿宋_GB2312"/>
          <w:sz w:val="32"/>
          <w:szCs w:val="32"/>
        </w:rPr>
        <w:t>万元，培训费</w:t>
      </w:r>
      <w:r>
        <w:rPr>
          <w:rFonts w:hint="eastAsia" w:eastAsia="仿宋_GB2312"/>
          <w:sz w:val="32"/>
          <w:szCs w:val="32"/>
        </w:rPr>
        <w:t>0</w:t>
      </w:r>
      <w:r>
        <w:rPr>
          <w:rFonts w:eastAsia="仿宋_GB2312"/>
          <w:sz w:val="32"/>
          <w:szCs w:val="32"/>
        </w:rPr>
        <w:t>万元，公务接待费</w:t>
      </w:r>
      <w:r>
        <w:rPr>
          <w:rFonts w:hint="eastAsia" w:eastAsia="仿宋_GB2312"/>
          <w:sz w:val="32"/>
          <w:szCs w:val="32"/>
        </w:rPr>
        <w:t>0</w:t>
      </w:r>
      <w:r>
        <w:rPr>
          <w:rFonts w:eastAsia="仿宋_GB2312"/>
          <w:sz w:val="32"/>
          <w:szCs w:val="32"/>
        </w:rPr>
        <w:t>万元，专用材料费</w:t>
      </w:r>
      <w:r>
        <w:rPr>
          <w:rFonts w:hint="eastAsia" w:eastAsia="仿宋_GB2312"/>
          <w:sz w:val="32"/>
          <w:szCs w:val="32"/>
        </w:rPr>
        <w:t>0</w:t>
      </w:r>
      <w:r>
        <w:rPr>
          <w:rFonts w:eastAsia="仿宋_GB2312"/>
          <w:sz w:val="32"/>
          <w:szCs w:val="32"/>
        </w:rPr>
        <w:t>万元，劳务费</w:t>
      </w:r>
      <w:r>
        <w:rPr>
          <w:rFonts w:hint="eastAsia" w:eastAsia="仿宋_GB2312"/>
          <w:sz w:val="32"/>
          <w:szCs w:val="32"/>
        </w:rPr>
        <w:t>0</w:t>
      </w:r>
      <w:r>
        <w:rPr>
          <w:rFonts w:eastAsia="仿宋_GB2312"/>
          <w:sz w:val="32"/>
          <w:szCs w:val="32"/>
        </w:rPr>
        <w:t>万元，工会经费</w:t>
      </w:r>
      <w:r>
        <w:rPr>
          <w:rFonts w:hint="eastAsia" w:eastAsia="仿宋_GB2312"/>
          <w:sz w:val="32"/>
          <w:szCs w:val="32"/>
        </w:rPr>
        <w:t>0</w:t>
      </w:r>
      <w:r>
        <w:rPr>
          <w:rFonts w:eastAsia="仿宋_GB2312"/>
          <w:sz w:val="32"/>
          <w:szCs w:val="32"/>
        </w:rPr>
        <w:t>万元，公务用车运行维护费</w:t>
      </w:r>
      <w:r>
        <w:rPr>
          <w:rFonts w:hint="eastAsia" w:eastAsia="仿宋_GB2312"/>
          <w:sz w:val="32"/>
          <w:szCs w:val="32"/>
        </w:rPr>
        <w:t>0</w:t>
      </w:r>
      <w:r>
        <w:rPr>
          <w:rFonts w:eastAsia="仿宋_GB2312"/>
          <w:sz w:val="32"/>
          <w:szCs w:val="32"/>
        </w:rPr>
        <w:t>万元，其他交通费用</w:t>
      </w:r>
      <w:r>
        <w:rPr>
          <w:rFonts w:hint="eastAsia" w:eastAsia="仿宋_GB2312"/>
          <w:sz w:val="32"/>
          <w:szCs w:val="32"/>
        </w:rPr>
        <w:t>0</w:t>
      </w:r>
      <w:r>
        <w:rPr>
          <w:rFonts w:eastAsia="仿宋_GB2312"/>
          <w:sz w:val="32"/>
          <w:szCs w:val="32"/>
        </w:rPr>
        <w:t>万元，其他商品和服务支出</w:t>
      </w:r>
      <w:r>
        <w:rPr>
          <w:rFonts w:hint="eastAsia" w:eastAsia="仿宋_GB2312"/>
          <w:sz w:val="32"/>
          <w:szCs w:val="32"/>
        </w:rPr>
        <w:t>0</w:t>
      </w:r>
      <w:r>
        <w:rPr>
          <w:rFonts w:eastAsia="仿宋_GB2312"/>
          <w:sz w:val="32"/>
          <w:szCs w:val="32"/>
        </w:rPr>
        <w:t>万元。</w:t>
      </w:r>
    </w:p>
    <w:p w14:paraId="70B37C0D">
      <w:pPr>
        <w:spacing w:line="594"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财政预算基本支出对个人和家族的补助支出</w:t>
      </w:r>
      <w:r>
        <w:rPr>
          <w:rFonts w:hint="eastAsia" w:eastAsia="仿宋_GB2312"/>
          <w:sz w:val="32"/>
          <w:szCs w:val="32"/>
        </w:rPr>
        <w:t>5.79</w:t>
      </w:r>
      <w:r>
        <w:rPr>
          <w:rFonts w:eastAsia="仿宋_GB2312"/>
          <w:sz w:val="32"/>
          <w:szCs w:val="32"/>
        </w:rPr>
        <w:t>万元：抚恤金</w:t>
      </w:r>
      <w:r>
        <w:rPr>
          <w:rFonts w:hint="eastAsia" w:eastAsia="仿宋_GB2312"/>
          <w:sz w:val="32"/>
          <w:szCs w:val="32"/>
        </w:rPr>
        <w:t>5.00</w:t>
      </w:r>
      <w:r>
        <w:rPr>
          <w:rFonts w:eastAsia="仿宋_GB2312"/>
          <w:sz w:val="32"/>
          <w:szCs w:val="32"/>
        </w:rPr>
        <w:t>万元，生活补助</w:t>
      </w:r>
      <w:r>
        <w:rPr>
          <w:rFonts w:hint="eastAsia" w:eastAsia="仿宋_GB2312"/>
          <w:sz w:val="32"/>
          <w:szCs w:val="32"/>
        </w:rPr>
        <w:t>0.39</w:t>
      </w:r>
      <w:r>
        <w:rPr>
          <w:rFonts w:eastAsia="仿宋_GB2312"/>
          <w:sz w:val="32"/>
          <w:szCs w:val="32"/>
        </w:rPr>
        <w:t>万元，奖励金</w:t>
      </w:r>
      <w:r>
        <w:rPr>
          <w:rFonts w:hint="eastAsia" w:eastAsia="仿宋_GB2312"/>
          <w:sz w:val="32"/>
          <w:szCs w:val="32"/>
        </w:rPr>
        <w:t>0.40</w:t>
      </w:r>
      <w:r>
        <w:rPr>
          <w:rFonts w:eastAsia="仿宋_GB2312"/>
          <w:sz w:val="32"/>
          <w:szCs w:val="32"/>
        </w:rPr>
        <w:t>万元，其他对家庭和个人的补助支出</w:t>
      </w:r>
      <w:r>
        <w:rPr>
          <w:rFonts w:hint="eastAsia" w:eastAsia="仿宋_GB2312"/>
          <w:sz w:val="32"/>
          <w:szCs w:val="32"/>
        </w:rPr>
        <w:t>0</w:t>
      </w:r>
      <w:r>
        <w:rPr>
          <w:rFonts w:eastAsia="仿宋_GB2312"/>
          <w:sz w:val="32"/>
          <w:szCs w:val="32"/>
        </w:rPr>
        <w:t>万元。</w:t>
      </w:r>
    </w:p>
    <w:p w14:paraId="099FF5F2">
      <w:pPr>
        <w:spacing w:line="594"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财政预算项目支出工资福利支出</w:t>
      </w:r>
      <w:r>
        <w:rPr>
          <w:rFonts w:hint="eastAsia" w:eastAsia="仿宋_GB2312"/>
          <w:sz w:val="32"/>
          <w:szCs w:val="32"/>
        </w:rPr>
        <w:t>63.47</w:t>
      </w:r>
      <w:r>
        <w:rPr>
          <w:rFonts w:eastAsia="仿宋_GB2312"/>
          <w:sz w:val="32"/>
          <w:szCs w:val="32"/>
        </w:rPr>
        <w:t>万元：津贴补贴</w:t>
      </w:r>
      <w:r>
        <w:rPr>
          <w:rFonts w:hint="eastAsia" w:eastAsia="仿宋_GB2312"/>
          <w:sz w:val="32"/>
          <w:szCs w:val="32"/>
        </w:rPr>
        <w:t>2.57</w:t>
      </w:r>
      <w:r>
        <w:rPr>
          <w:rFonts w:eastAsia="仿宋_GB2312"/>
          <w:sz w:val="32"/>
          <w:szCs w:val="32"/>
        </w:rPr>
        <w:t>万元，绩效工资</w:t>
      </w:r>
      <w:r>
        <w:rPr>
          <w:rFonts w:hint="eastAsia" w:eastAsia="仿宋_GB2312"/>
          <w:sz w:val="32"/>
          <w:szCs w:val="32"/>
        </w:rPr>
        <w:t>56.78</w:t>
      </w:r>
      <w:r>
        <w:rPr>
          <w:rFonts w:eastAsia="仿宋_GB2312"/>
          <w:sz w:val="32"/>
          <w:szCs w:val="32"/>
        </w:rPr>
        <w:t>万元，机关事业单位养老保险</w:t>
      </w:r>
      <w:r>
        <w:rPr>
          <w:rFonts w:hint="eastAsia" w:eastAsia="仿宋_GB2312"/>
          <w:sz w:val="32"/>
          <w:szCs w:val="32"/>
        </w:rPr>
        <w:t>0</w:t>
      </w:r>
      <w:r>
        <w:rPr>
          <w:rFonts w:eastAsia="仿宋_GB2312"/>
          <w:sz w:val="32"/>
          <w:szCs w:val="32"/>
        </w:rPr>
        <w:t>万元，职业年金</w:t>
      </w:r>
      <w:r>
        <w:rPr>
          <w:rFonts w:hint="eastAsia" w:eastAsia="仿宋_GB2312"/>
          <w:sz w:val="32"/>
          <w:szCs w:val="32"/>
        </w:rPr>
        <w:t>0</w:t>
      </w:r>
      <w:r>
        <w:rPr>
          <w:rFonts w:eastAsia="仿宋_GB2312"/>
          <w:sz w:val="32"/>
          <w:szCs w:val="32"/>
        </w:rPr>
        <w:t>万元，职工基本医疗保险</w:t>
      </w:r>
      <w:r>
        <w:rPr>
          <w:rFonts w:hint="eastAsia" w:eastAsia="仿宋_GB2312"/>
          <w:sz w:val="32"/>
          <w:szCs w:val="32"/>
        </w:rPr>
        <w:t>0</w:t>
      </w:r>
      <w:r>
        <w:rPr>
          <w:rFonts w:eastAsia="仿宋_GB2312"/>
          <w:sz w:val="32"/>
          <w:szCs w:val="32"/>
        </w:rPr>
        <w:t>万元，其他社会保障缴费</w:t>
      </w:r>
      <w:r>
        <w:rPr>
          <w:rFonts w:hint="eastAsia" w:eastAsia="仿宋_GB2312"/>
          <w:sz w:val="32"/>
          <w:szCs w:val="32"/>
        </w:rPr>
        <w:t>0</w:t>
      </w:r>
      <w:r>
        <w:rPr>
          <w:rFonts w:eastAsia="仿宋_GB2312"/>
          <w:sz w:val="32"/>
          <w:szCs w:val="32"/>
        </w:rPr>
        <w:t>万元，住房公积金</w:t>
      </w:r>
      <w:r>
        <w:rPr>
          <w:rFonts w:hint="eastAsia" w:eastAsia="仿宋_GB2312"/>
          <w:sz w:val="32"/>
          <w:szCs w:val="32"/>
        </w:rPr>
        <w:t>0</w:t>
      </w:r>
      <w:r>
        <w:rPr>
          <w:rFonts w:eastAsia="仿宋_GB2312"/>
          <w:sz w:val="32"/>
          <w:szCs w:val="32"/>
        </w:rPr>
        <w:t>万元，其他工资福利支出</w:t>
      </w:r>
      <w:r>
        <w:rPr>
          <w:rFonts w:hint="eastAsia" w:eastAsia="仿宋_GB2312"/>
          <w:sz w:val="32"/>
          <w:szCs w:val="32"/>
        </w:rPr>
        <w:t>4.13</w:t>
      </w:r>
      <w:r>
        <w:rPr>
          <w:rFonts w:eastAsia="仿宋_GB2312"/>
          <w:sz w:val="32"/>
          <w:szCs w:val="32"/>
        </w:rPr>
        <w:t>万元。</w:t>
      </w:r>
    </w:p>
    <w:p w14:paraId="7BBF880A">
      <w:pPr>
        <w:spacing w:line="594" w:lineRule="exact"/>
        <w:ind w:firstLine="640" w:firstLineChars="200"/>
        <w:rPr>
          <w:rFonts w:eastAsia="仿宋_GB2312"/>
          <w:sz w:val="32"/>
          <w:szCs w:val="32"/>
        </w:rPr>
      </w:pPr>
      <w:r>
        <w:rPr>
          <w:rFonts w:eastAsia="仿宋_GB2312"/>
          <w:sz w:val="32"/>
          <w:szCs w:val="32"/>
        </w:rPr>
        <w:t>5.财政预算项目支出商品和服务支出</w:t>
      </w:r>
      <w:r>
        <w:rPr>
          <w:rFonts w:hint="eastAsia" w:eastAsia="仿宋_GB2312"/>
          <w:sz w:val="32"/>
          <w:szCs w:val="32"/>
        </w:rPr>
        <w:t>103.35</w:t>
      </w:r>
      <w:r>
        <w:rPr>
          <w:rFonts w:eastAsia="仿宋_GB2312"/>
          <w:sz w:val="32"/>
          <w:szCs w:val="32"/>
        </w:rPr>
        <w:t>万元</w:t>
      </w:r>
      <w:r>
        <w:rPr>
          <w:rFonts w:hint="eastAsia" w:eastAsia="仿宋_GB2312"/>
          <w:sz w:val="32"/>
          <w:szCs w:val="32"/>
        </w:rPr>
        <w:t>：</w:t>
      </w:r>
      <w:r>
        <w:rPr>
          <w:rFonts w:eastAsia="仿宋_GB2312"/>
          <w:sz w:val="32"/>
          <w:szCs w:val="32"/>
        </w:rPr>
        <w:t>办公费</w:t>
      </w:r>
      <w:r>
        <w:rPr>
          <w:rFonts w:hint="eastAsia" w:eastAsia="仿宋_GB2312"/>
          <w:sz w:val="32"/>
          <w:szCs w:val="32"/>
        </w:rPr>
        <w:t>0.57</w:t>
      </w:r>
      <w:r>
        <w:rPr>
          <w:rFonts w:eastAsia="仿宋_GB2312"/>
          <w:sz w:val="32"/>
          <w:szCs w:val="32"/>
        </w:rPr>
        <w:t>万元，</w:t>
      </w:r>
      <w:r>
        <w:rPr>
          <w:rFonts w:hint="eastAsia" w:eastAsia="仿宋_GB2312"/>
          <w:sz w:val="32"/>
          <w:szCs w:val="32"/>
        </w:rPr>
        <w:t>咨询费0.70万元，差旅费2.31万元，维修（护）费13.90万元，培训费5.56万元，专业材料费74.16万元，劳务费6.15万元。</w:t>
      </w:r>
    </w:p>
    <w:p w14:paraId="2E92CA22">
      <w:pPr>
        <w:spacing w:line="594" w:lineRule="exact"/>
        <w:ind w:firstLine="640" w:firstLineChars="200"/>
        <w:rPr>
          <w:rFonts w:eastAsia="仿宋_GB2312"/>
          <w:sz w:val="32"/>
          <w:szCs w:val="32"/>
        </w:rPr>
      </w:pPr>
      <w:r>
        <w:rPr>
          <w:rFonts w:eastAsia="仿宋_GB2312"/>
          <w:sz w:val="32"/>
          <w:szCs w:val="32"/>
        </w:rPr>
        <w:t>6.财政预算项目支出对个人和家庭的补助支出</w:t>
      </w:r>
      <w:r>
        <w:rPr>
          <w:rFonts w:hint="eastAsia" w:eastAsia="仿宋_GB2312"/>
          <w:sz w:val="32"/>
          <w:szCs w:val="32"/>
        </w:rPr>
        <w:t>0</w:t>
      </w:r>
      <w:r>
        <w:rPr>
          <w:rFonts w:eastAsia="仿宋_GB2312"/>
          <w:sz w:val="32"/>
          <w:szCs w:val="32"/>
        </w:rPr>
        <w:t>万元：</w:t>
      </w:r>
    </w:p>
    <w:p w14:paraId="1E73E13B">
      <w:pPr>
        <w:spacing w:line="594"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w:t>
      </w:r>
      <w:r>
        <w:rPr>
          <w:rFonts w:eastAsia="仿宋_GB2312"/>
          <w:sz w:val="32"/>
          <w:szCs w:val="32"/>
        </w:rPr>
        <w:t>财政预算项目支出资本性支出</w:t>
      </w:r>
      <w:r>
        <w:rPr>
          <w:rFonts w:hint="eastAsia" w:eastAsia="仿宋_GB2312"/>
          <w:sz w:val="32"/>
          <w:szCs w:val="32"/>
        </w:rPr>
        <w:t>459.44</w:t>
      </w:r>
      <w:r>
        <w:rPr>
          <w:rFonts w:eastAsia="仿宋_GB2312"/>
          <w:sz w:val="32"/>
          <w:szCs w:val="32"/>
        </w:rPr>
        <w:t>元：房屋建筑物购建</w:t>
      </w:r>
      <w:r>
        <w:rPr>
          <w:rFonts w:hint="eastAsia" w:eastAsia="仿宋_GB2312"/>
          <w:sz w:val="32"/>
          <w:szCs w:val="32"/>
        </w:rPr>
        <w:t>114.87</w:t>
      </w:r>
      <w:r>
        <w:rPr>
          <w:rFonts w:eastAsia="仿宋_GB2312"/>
          <w:sz w:val="32"/>
          <w:szCs w:val="32"/>
        </w:rPr>
        <w:t>万元，</w:t>
      </w:r>
      <w:r>
        <w:rPr>
          <w:rFonts w:hint="eastAsia" w:eastAsia="仿宋_GB2312"/>
          <w:sz w:val="32"/>
          <w:szCs w:val="32"/>
        </w:rPr>
        <w:t>办公设备购置费67.03万元，专用设备购置72.71万元，信息网络及软件信息更新204.84万元</w:t>
      </w:r>
    </w:p>
    <w:p w14:paraId="21288081">
      <w:pPr>
        <w:widowControl/>
        <w:adjustRightInd w:val="0"/>
        <w:snapToGrid w:val="0"/>
        <w:spacing w:line="500" w:lineRule="exact"/>
        <w:ind w:firstLine="720"/>
        <w:jc w:val="left"/>
        <w:rPr>
          <w:rFonts w:eastAsia="黑体"/>
          <w:color w:val="000000"/>
          <w:kern w:val="0"/>
          <w:sz w:val="32"/>
          <w:szCs w:val="32"/>
          <w:shd w:val="clear" w:color="auto" w:fill="FFFFFF"/>
        </w:rPr>
      </w:pPr>
      <w:r>
        <w:rPr>
          <w:rFonts w:eastAsia="黑体"/>
          <w:color w:val="000000"/>
          <w:kern w:val="0"/>
          <w:sz w:val="32"/>
          <w:szCs w:val="32"/>
          <w:shd w:val="clear" w:color="auto" w:fill="FFFFFF"/>
        </w:rPr>
        <w:t>三、部门财政支出管理情况</w:t>
      </w:r>
    </w:p>
    <w:p w14:paraId="732BC262">
      <w:pPr>
        <w:widowControl/>
        <w:adjustRightInd w:val="0"/>
        <w:snapToGrid w:val="0"/>
        <w:spacing w:line="500" w:lineRule="exact"/>
        <w:ind w:firstLine="720"/>
        <w:jc w:val="left"/>
        <w:rPr>
          <w:rFonts w:eastAsia="楷体_GB2312"/>
          <w:b/>
          <w:color w:val="000000"/>
          <w:kern w:val="0"/>
          <w:sz w:val="32"/>
          <w:szCs w:val="32"/>
          <w:shd w:val="clear" w:color="auto" w:fill="FFFFFF"/>
          <w:lang w:val="zh-CN"/>
        </w:rPr>
      </w:pPr>
      <w:r>
        <w:rPr>
          <w:rFonts w:eastAsia="楷体_GB2312"/>
          <w:b/>
          <w:color w:val="000000"/>
          <w:kern w:val="0"/>
          <w:sz w:val="32"/>
          <w:szCs w:val="32"/>
          <w:shd w:val="clear" w:color="auto" w:fill="FFFFFF"/>
          <w:lang w:val="zh-CN"/>
        </w:rPr>
        <w:t>（一）预算编制情况</w:t>
      </w:r>
    </w:p>
    <w:p w14:paraId="07229831">
      <w:pPr>
        <w:spacing w:line="594" w:lineRule="exact"/>
        <w:ind w:firstLine="640" w:firstLineChars="200"/>
        <w:rPr>
          <w:rFonts w:eastAsia="楷体"/>
          <w:color w:val="000000"/>
          <w:kern w:val="0"/>
          <w:sz w:val="32"/>
          <w:szCs w:val="32"/>
        </w:rPr>
      </w:pPr>
      <w:r>
        <w:rPr>
          <w:rFonts w:eastAsia="仿宋_GB2312"/>
          <w:color w:val="000000"/>
          <w:kern w:val="0"/>
          <w:sz w:val="32"/>
          <w:szCs w:val="32"/>
          <w:lang w:val="zh-CN"/>
        </w:rPr>
        <w:t>安排专人负责预算编制工作，将项目预算纳入单位预算项目库管理，收集相关指标，编制项目绩效目标；按照项目实施范围，</w:t>
      </w:r>
      <w:r>
        <w:rPr>
          <w:rFonts w:eastAsia="仿宋_GB2312"/>
          <w:sz w:val="32"/>
          <w:szCs w:val="32"/>
        </w:rPr>
        <w:t>将单位除上级下达的专项资金全部纳入预算编制，统筹考虑，合理安排，确保预算收支平衡；专项预算提前细化，按照项目质量、数量、效益等指标填报绩效目标，如有需结余结转按要求进行。</w:t>
      </w:r>
    </w:p>
    <w:p w14:paraId="5BA4858F">
      <w:pPr>
        <w:widowControl/>
        <w:adjustRightInd w:val="0"/>
        <w:snapToGrid w:val="0"/>
        <w:spacing w:line="594" w:lineRule="exact"/>
        <w:ind w:firstLine="643" w:firstLineChars="200"/>
        <w:jc w:val="left"/>
        <w:rPr>
          <w:rFonts w:eastAsia="楷体_GB2312"/>
          <w:b/>
          <w:color w:val="000000"/>
          <w:kern w:val="0"/>
          <w:sz w:val="32"/>
          <w:szCs w:val="32"/>
          <w:lang w:val="zh-CN"/>
        </w:rPr>
      </w:pPr>
      <w:r>
        <w:rPr>
          <w:rFonts w:eastAsia="楷体_GB2312"/>
          <w:b/>
          <w:color w:val="000000"/>
          <w:kern w:val="0"/>
          <w:sz w:val="32"/>
          <w:szCs w:val="32"/>
          <w:lang w:val="zh-CN"/>
        </w:rPr>
        <w:t>（二）执行管理情况</w:t>
      </w:r>
    </w:p>
    <w:p w14:paraId="6FCEA86C">
      <w:pPr>
        <w:widowControl/>
        <w:adjustRightInd w:val="0"/>
        <w:snapToGrid w:val="0"/>
        <w:spacing w:line="594" w:lineRule="exact"/>
        <w:ind w:firstLine="640" w:firstLineChars="200"/>
        <w:jc w:val="left"/>
        <w:rPr>
          <w:rFonts w:eastAsia="仿宋_GB2312"/>
          <w:bCs/>
          <w:sz w:val="32"/>
          <w:szCs w:val="32"/>
        </w:rPr>
      </w:pPr>
      <w:r>
        <w:rPr>
          <w:rFonts w:eastAsia="仿宋_GB2312"/>
          <w:bCs/>
          <w:sz w:val="32"/>
          <w:szCs w:val="32"/>
        </w:rPr>
        <w:t>部门预算基本支出经费按月分解，按进度申请拨付，截</w:t>
      </w:r>
      <w:r>
        <w:rPr>
          <w:rFonts w:hint="eastAsia" w:eastAsia="仿宋_GB2312"/>
          <w:bCs/>
          <w:sz w:val="32"/>
          <w:szCs w:val="32"/>
        </w:rPr>
        <w:t>至</w:t>
      </w:r>
      <w:r>
        <w:rPr>
          <w:rFonts w:eastAsia="仿宋_GB2312"/>
          <w:bCs/>
          <w:sz w:val="32"/>
          <w:szCs w:val="32"/>
        </w:rPr>
        <w:t>20</w:t>
      </w:r>
      <w:r>
        <w:rPr>
          <w:rFonts w:hint="eastAsia" w:eastAsia="仿宋_GB2312"/>
          <w:bCs/>
          <w:sz w:val="32"/>
          <w:szCs w:val="32"/>
        </w:rPr>
        <w:t>20</w:t>
      </w:r>
      <w:r>
        <w:rPr>
          <w:rFonts w:eastAsia="仿宋_GB2312"/>
          <w:bCs/>
          <w:sz w:val="32"/>
          <w:szCs w:val="32"/>
        </w:rPr>
        <w:t>年12月底资金拨付到位率达到100%；专项资金按项目实施方案进行，截</w:t>
      </w:r>
      <w:r>
        <w:rPr>
          <w:rFonts w:hint="eastAsia" w:eastAsia="仿宋_GB2312"/>
          <w:bCs/>
          <w:sz w:val="32"/>
          <w:szCs w:val="32"/>
        </w:rPr>
        <w:t>至</w:t>
      </w:r>
      <w:r>
        <w:rPr>
          <w:rFonts w:eastAsia="仿宋_GB2312"/>
          <w:bCs/>
          <w:sz w:val="32"/>
          <w:szCs w:val="32"/>
        </w:rPr>
        <w:t>20</w:t>
      </w:r>
      <w:r>
        <w:rPr>
          <w:rFonts w:hint="eastAsia" w:eastAsia="仿宋_GB2312"/>
          <w:bCs/>
          <w:sz w:val="32"/>
          <w:szCs w:val="32"/>
        </w:rPr>
        <w:t>20</w:t>
      </w:r>
      <w:r>
        <w:rPr>
          <w:rFonts w:eastAsia="仿宋_GB2312"/>
          <w:bCs/>
          <w:sz w:val="32"/>
          <w:szCs w:val="32"/>
        </w:rPr>
        <w:t>年12月底资金到位率达到100%。按照项目实施方案及时分解上级财力专项预算指标到各项目实施单位，并按照项目进度及时申报资金。</w:t>
      </w:r>
    </w:p>
    <w:p w14:paraId="7E185F16">
      <w:pPr>
        <w:widowControl/>
        <w:adjustRightInd w:val="0"/>
        <w:snapToGrid w:val="0"/>
        <w:spacing w:line="594" w:lineRule="exact"/>
        <w:ind w:firstLine="640" w:firstLineChars="200"/>
        <w:jc w:val="left"/>
        <w:rPr>
          <w:rFonts w:eastAsia="仿宋_GB2312"/>
          <w:bCs/>
          <w:sz w:val="32"/>
          <w:szCs w:val="32"/>
        </w:rPr>
      </w:pPr>
      <w:r>
        <w:rPr>
          <w:rFonts w:eastAsia="仿宋_GB2312"/>
          <w:bCs/>
          <w:sz w:val="32"/>
          <w:szCs w:val="32"/>
        </w:rPr>
        <w:t>1.年初结转结余</w:t>
      </w:r>
      <w:r>
        <w:rPr>
          <w:rFonts w:hint="eastAsia" w:eastAsia="仿宋_GB2312"/>
          <w:bCs/>
          <w:sz w:val="32"/>
          <w:szCs w:val="32"/>
        </w:rPr>
        <w:t>444.53</w:t>
      </w:r>
      <w:r>
        <w:rPr>
          <w:rFonts w:eastAsia="仿宋_GB2312"/>
          <w:bCs/>
          <w:sz w:val="32"/>
          <w:szCs w:val="32"/>
        </w:rPr>
        <w:t>万元，其中项目支出结转结余</w:t>
      </w:r>
      <w:r>
        <w:rPr>
          <w:rFonts w:hint="eastAsia" w:eastAsia="仿宋_GB2312"/>
          <w:bCs/>
          <w:sz w:val="32"/>
          <w:szCs w:val="32"/>
        </w:rPr>
        <w:t>444.53</w:t>
      </w:r>
      <w:r>
        <w:rPr>
          <w:rFonts w:eastAsia="仿宋_GB2312"/>
          <w:bCs/>
          <w:sz w:val="32"/>
          <w:szCs w:val="32"/>
        </w:rPr>
        <w:t>万元。年末结转结余</w:t>
      </w:r>
      <w:r>
        <w:rPr>
          <w:rFonts w:hint="eastAsia" w:eastAsia="仿宋_GB2312"/>
          <w:bCs/>
          <w:sz w:val="32"/>
          <w:szCs w:val="32"/>
        </w:rPr>
        <w:t>150.58</w:t>
      </w:r>
      <w:r>
        <w:rPr>
          <w:rFonts w:eastAsia="仿宋_GB2312"/>
          <w:bCs/>
          <w:sz w:val="32"/>
          <w:szCs w:val="32"/>
        </w:rPr>
        <w:t>万元，其中项目支出结转结余</w:t>
      </w:r>
      <w:r>
        <w:rPr>
          <w:rFonts w:hint="eastAsia" w:eastAsia="仿宋_GB2312"/>
          <w:bCs/>
          <w:sz w:val="32"/>
          <w:szCs w:val="32"/>
        </w:rPr>
        <w:t>150.58</w:t>
      </w:r>
      <w:r>
        <w:rPr>
          <w:rFonts w:eastAsia="仿宋_GB2312"/>
          <w:bCs/>
          <w:sz w:val="32"/>
          <w:szCs w:val="32"/>
        </w:rPr>
        <w:t>万元。20</w:t>
      </w:r>
      <w:r>
        <w:rPr>
          <w:rFonts w:hint="eastAsia" w:eastAsia="仿宋_GB2312"/>
          <w:bCs/>
          <w:sz w:val="32"/>
          <w:szCs w:val="32"/>
        </w:rPr>
        <w:t>20</w:t>
      </w:r>
      <w:r>
        <w:rPr>
          <w:rFonts w:eastAsia="仿宋_GB2312"/>
          <w:bCs/>
          <w:sz w:val="32"/>
          <w:szCs w:val="32"/>
        </w:rPr>
        <w:t>年财政预算拨款基本支出</w:t>
      </w:r>
      <w:r>
        <w:rPr>
          <w:rFonts w:hint="eastAsia" w:eastAsia="仿宋_GB2312"/>
          <w:bCs/>
          <w:sz w:val="32"/>
          <w:szCs w:val="32"/>
        </w:rPr>
        <w:t>315.05</w:t>
      </w:r>
      <w:r>
        <w:rPr>
          <w:rFonts w:eastAsia="仿宋_GB2312"/>
          <w:bCs/>
          <w:sz w:val="32"/>
          <w:szCs w:val="32"/>
        </w:rPr>
        <w:t>万元，完成预算</w:t>
      </w:r>
      <w:r>
        <w:rPr>
          <w:rFonts w:hint="eastAsia" w:eastAsia="仿宋_GB2312"/>
          <w:bCs/>
          <w:sz w:val="32"/>
          <w:szCs w:val="32"/>
        </w:rPr>
        <w:t>315.05</w:t>
      </w:r>
      <w:r>
        <w:rPr>
          <w:rFonts w:eastAsia="仿宋_GB2312"/>
          <w:bCs/>
          <w:sz w:val="32"/>
          <w:szCs w:val="32"/>
        </w:rPr>
        <w:t>万元的100 %，财政预算拨款项目支出</w:t>
      </w:r>
      <w:r>
        <w:rPr>
          <w:rFonts w:hint="eastAsia" w:eastAsia="仿宋_GB2312"/>
          <w:bCs/>
          <w:sz w:val="32"/>
          <w:szCs w:val="32"/>
        </w:rPr>
        <w:t>626.26</w:t>
      </w:r>
      <w:r>
        <w:rPr>
          <w:rFonts w:eastAsia="仿宋_GB2312"/>
          <w:bCs/>
          <w:sz w:val="32"/>
          <w:szCs w:val="32"/>
        </w:rPr>
        <w:t>万元，</w:t>
      </w:r>
      <w:r>
        <w:rPr>
          <w:rFonts w:hint="eastAsia" w:eastAsia="仿宋_GB2312"/>
          <w:bCs/>
          <w:sz w:val="32"/>
          <w:szCs w:val="32"/>
        </w:rPr>
        <w:t>本年完成项目支出626.26万元。</w:t>
      </w:r>
    </w:p>
    <w:p w14:paraId="6518A1ED">
      <w:pPr>
        <w:spacing w:line="594" w:lineRule="exact"/>
        <w:ind w:firstLine="640" w:firstLineChars="200"/>
        <w:rPr>
          <w:rFonts w:eastAsia="仿宋_GB2312"/>
          <w:sz w:val="32"/>
          <w:szCs w:val="32"/>
        </w:rPr>
      </w:pPr>
      <w:r>
        <w:rPr>
          <w:rFonts w:eastAsia="仿宋_GB2312"/>
          <w:sz w:val="32"/>
          <w:szCs w:val="32"/>
        </w:rPr>
        <w:t>2.20</w:t>
      </w:r>
      <w:r>
        <w:rPr>
          <w:rFonts w:hint="eastAsia" w:eastAsia="仿宋_GB2312"/>
          <w:sz w:val="32"/>
          <w:szCs w:val="32"/>
        </w:rPr>
        <w:t>20</w:t>
      </w:r>
      <w:r>
        <w:rPr>
          <w:rFonts w:eastAsia="仿宋_GB2312"/>
          <w:sz w:val="32"/>
          <w:szCs w:val="32"/>
        </w:rPr>
        <w:t>年度“三公”经费财政拨款支出决算为</w:t>
      </w:r>
      <w:r>
        <w:rPr>
          <w:rFonts w:hint="eastAsia" w:eastAsia="仿宋_GB2312"/>
          <w:sz w:val="32"/>
          <w:szCs w:val="32"/>
        </w:rPr>
        <w:t>0</w:t>
      </w:r>
      <w:r>
        <w:rPr>
          <w:rFonts w:eastAsia="仿宋_GB2312"/>
          <w:sz w:val="32"/>
          <w:szCs w:val="32"/>
        </w:rPr>
        <w:t>万元，</w:t>
      </w:r>
      <w:r>
        <w:rPr>
          <w:rFonts w:hint="eastAsia" w:eastAsia="仿宋_GB2312"/>
          <w:sz w:val="32"/>
          <w:szCs w:val="32"/>
        </w:rPr>
        <w:t>我单位我</w:t>
      </w:r>
      <w:r>
        <w:rPr>
          <w:rFonts w:hint="eastAsia" w:eastAsia="仿宋_GB2312"/>
          <w:sz w:val="32"/>
          <w:szCs w:val="32"/>
          <w:lang w:eastAsia="zh-CN"/>
        </w:rPr>
        <w:t>“三公”经费</w:t>
      </w:r>
      <w:r>
        <w:rPr>
          <w:rFonts w:hint="eastAsia" w:eastAsia="仿宋_GB2312"/>
          <w:sz w:val="32"/>
          <w:szCs w:val="32"/>
        </w:rPr>
        <w:t>财政拨款。</w:t>
      </w:r>
    </w:p>
    <w:p w14:paraId="1E2FC5F8">
      <w:pPr>
        <w:widowControl/>
        <w:adjustRightInd w:val="0"/>
        <w:snapToGrid w:val="0"/>
        <w:spacing w:line="594" w:lineRule="exact"/>
        <w:ind w:firstLine="643" w:firstLineChars="200"/>
        <w:jc w:val="left"/>
        <w:rPr>
          <w:rFonts w:eastAsia="楷体_GB2312"/>
          <w:b/>
          <w:color w:val="000000"/>
          <w:kern w:val="0"/>
          <w:sz w:val="32"/>
          <w:szCs w:val="32"/>
          <w:lang w:val="zh-CN"/>
        </w:rPr>
      </w:pPr>
      <w:r>
        <w:rPr>
          <w:rFonts w:eastAsia="楷体_GB2312"/>
          <w:b/>
          <w:color w:val="000000"/>
          <w:kern w:val="0"/>
          <w:sz w:val="32"/>
          <w:szCs w:val="32"/>
          <w:lang w:val="zh-CN"/>
        </w:rPr>
        <w:t>（三）综合管理情况</w:t>
      </w:r>
    </w:p>
    <w:p w14:paraId="62B00B2E">
      <w:pPr>
        <w:widowControl/>
        <w:adjustRightInd w:val="0"/>
        <w:snapToGrid w:val="0"/>
        <w:spacing w:line="594" w:lineRule="exact"/>
        <w:ind w:firstLine="640" w:firstLineChars="200"/>
        <w:jc w:val="left"/>
        <w:rPr>
          <w:rFonts w:eastAsia="仿宋_GB2312"/>
          <w:color w:val="000000"/>
          <w:kern w:val="0"/>
          <w:sz w:val="32"/>
          <w:szCs w:val="32"/>
          <w:lang w:val="zh-CN"/>
        </w:rPr>
      </w:pPr>
      <w:r>
        <w:rPr>
          <w:rFonts w:eastAsia="仿宋_GB2312"/>
          <w:color w:val="000000"/>
          <w:kern w:val="0"/>
          <w:sz w:val="32"/>
          <w:szCs w:val="32"/>
          <w:lang w:val="zh-CN"/>
        </w:rPr>
        <w:t>1.</w:t>
      </w:r>
      <w:r>
        <w:rPr>
          <w:rFonts w:hint="eastAsia" w:eastAsia="仿宋_GB2312"/>
          <w:color w:val="000000"/>
          <w:kern w:val="0"/>
          <w:sz w:val="32"/>
          <w:szCs w:val="32"/>
          <w:lang w:val="zh-CN"/>
        </w:rPr>
        <w:t>我单位无非税收入。</w:t>
      </w:r>
    </w:p>
    <w:p w14:paraId="29CB57F4">
      <w:pPr>
        <w:spacing w:line="594" w:lineRule="exact"/>
        <w:ind w:firstLine="640" w:firstLineChars="200"/>
        <w:rPr>
          <w:rFonts w:eastAsia="仿宋_GB2312"/>
          <w:color w:val="000000"/>
          <w:kern w:val="0"/>
          <w:sz w:val="32"/>
          <w:szCs w:val="32"/>
          <w:lang w:val="zh-CN"/>
        </w:rPr>
      </w:pPr>
      <w:r>
        <w:rPr>
          <w:rFonts w:eastAsia="仿宋_GB2312"/>
          <w:kern w:val="0"/>
          <w:sz w:val="32"/>
          <w:szCs w:val="32"/>
          <w:lang w:val="zh-CN"/>
        </w:rPr>
        <w:t>2.</w:t>
      </w:r>
      <w:r>
        <w:rPr>
          <w:rFonts w:eastAsia="仿宋_GB2312"/>
          <w:kern w:val="0"/>
          <w:sz w:val="32"/>
          <w:szCs w:val="32"/>
        </w:rPr>
        <w:t>严格按照四川省财政厅《关于印发四川省政府集中采购目录及标准（2020年版）的通知》（川财规〔2020〕11号）、德阳市罗江区卫生健康局《关于规范医疗卫生</w:t>
      </w:r>
      <w:bookmarkStart w:id="168" w:name="_GoBack"/>
      <w:bookmarkEnd w:id="168"/>
      <w:r>
        <w:rPr>
          <w:rFonts w:eastAsia="仿宋_GB2312"/>
          <w:kern w:val="0"/>
          <w:sz w:val="32"/>
          <w:szCs w:val="32"/>
        </w:rPr>
        <w:t>机构自行组织采购货物及服务项目的通知》（德市罗卫健发〔2020〕402号）及</w:t>
      </w:r>
      <w:r>
        <w:rPr>
          <w:rFonts w:eastAsia="仿宋_GB2312"/>
          <w:color w:val="000000"/>
          <w:kern w:val="0"/>
          <w:sz w:val="32"/>
          <w:szCs w:val="32"/>
        </w:rPr>
        <w:t>其他相关规定办理货物、设备的采购工作，履行政府采购相关手续，并做好采购过程中资料的收集归档。</w:t>
      </w:r>
    </w:p>
    <w:p w14:paraId="386DC791">
      <w:pPr>
        <w:widowControl/>
        <w:adjustRightInd w:val="0"/>
        <w:snapToGrid w:val="0"/>
        <w:spacing w:line="594" w:lineRule="exact"/>
        <w:ind w:firstLine="640" w:firstLineChars="200"/>
        <w:jc w:val="left"/>
        <w:rPr>
          <w:rFonts w:eastAsia="仿宋_GB2312"/>
          <w:color w:val="000000"/>
          <w:kern w:val="0"/>
          <w:sz w:val="32"/>
          <w:szCs w:val="32"/>
          <w:lang w:val="zh-CN"/>
        </w:rPr>
      </w:pPr>
      <w:r>
        <w:rPr>
          <w:rFonts w:eastAsia="仿宋_GB2312"/>
          <w:color w:val="000000"/>
          <w:kern w:val="0"/>
          <w:sz w:val="32"/>
          <w:szCs w:val="32"/>
          <w:lang w:val="zh-CN"/>
        </w:rPr>
        <w:t>3.严格资产管理，落实专人负责，定期对资产进行清理盘点，对盘存结果仔细核对，并按照会计制度要求及时进行账务处理；做好单位内控管理，建立相关管理制度，把责任落实到个人，支出凭证多人签字确认，做到笔笔审核、层层监督；年初将20</w:t>
      </w:r>
      <w:r>
        <w:rPr>
          <w:rFonts w:hint="eastAsia" w:eastAsia="仿宋_GB2312"/>
          <w:color w:val="000000"/>
          <w:kern w:val="0"/>
          <w:sz w:val="32"/>
          <w:szCs w:val="32"/>
          <w:lang w:val="zh-CN"/>
        </w:rPr>
        <w:t>20</w:t>
      </w:r>
      <w:r>
        <w:rPr>
          <w:rFonts w:eastAsia="仿宋_GB2312"/>
          <w:color w:val="000000"/>
          <w:kern w:val="0"/>
          <w:sz w:val="32"/>
          <w:szCs w:val="32"/>
          <w:lang w:val="zh-CN"/>
        </w:rPr>
        <w:t>年</w:t>
      </w:r>
      <w:r>
        <w:rPr>
          <w:rFonts w:eastAsia="仿宋_GB2312"/>
          <w:color w:val="000000"/>
          <w:kern w:val="0"/>
          <w:sz w:val="32"/>
          <w:szCs w:val="32"/>
        </w:rPr>
        <w:t>部门</w:t>
      </w:r>
      <w:r>
        <w:rPr>
          <w:rFonts w:eastAsia="仿宋_GB2312"/>
          <w:color w:val="000000"/>
          <w:kern w:val="0"/>
          <w:sz w:val="32"/>
          <w:szCs w:val="32"/>
          <w:lang w:val="zh-CN"/>
        </w:rPr>
        <w:t>预算情况及“三公”经费预算情况，在单位门户网站公开，接受社会监督；完成20</w:t>
      </w:r>
      <w:r>
        <w:rPr>
          <w:rFonts w:hint="eastAsia" w:eastAsia="仿宋_GB2312"/>
          <w:color w:val="000000"/>
          <w:kern w:val="0"/>
          <w:sz w:val="32"/>
          <w:szCs w:val="32"/>
          <w:lang w:val="zh-CN"/>
        </w:rPr>
        <w:t>20</w:t>
      </w:r>
      <w:r>
        <w:rPr>
          <w:rFonts w:eastAsia="仿宋_GB2312"/>
          <w:color w:val="000000"/>
          <w:kern w:val="0"/>
          <w:sz w:val="32"/>
          <w:szCs w:val="32"/>
          <w:lang w:val="zh-CN"/>
        </w:rPr>
        <w:t>年部门绩效、项目绩效的自评工作；接受区委、区政府、区级各部门的财务大检查、巡查、预算单位延伸审计等检查和监督。</w:t>
      </w:r>
    </w:p>
    <w:p w14:paraId="20564DE2">
      <w:pPr>
        <w:widowControl/>
        <w:adjustRightInd w:val="0"/>
        <w:snapToGrid w:val="0"/>
        <w:spacing w:line="594" w:lineRule="exact"/>
        <w:ind w:firstLine="643" w:firstLineChars="200"/>
        <w:jc w:val="left"/>
        <w:rPr>
          <w:rFonts w:eastAsia="楷体_GB2312"/>
          <w:b/>
          <w:color w:val="000000"/>
          <w:kern w:val="0"/>
          <w:sz w:val="32"/>
          <w:szCs w:val="32"/>
          <w:lang w:val="zh-CN"/>
        </w:rPr>
      </w:pPr>
      <w:r>
        <w:rPr>
          <w:rFonts w:eastAsia="楷体_GB2312"/>
          <w:b/>
          <w:color w:val="000000"/>
          <w:kern w:val="0"/>
          <w:sz w:val="32"/>
          <w:szCs w:val="32"/>
          <w:lang w:val="zh-CN"/>
        </w:rPr>
        <w:t>（四）整体绩效</w:t>
      </w:r>
    </w:p>
    <w:p w14:paraId="29A5C936">
      <w:pPr>
        <w:widowControl/>
        <w:adjustRightInd w:val="0"/>
        <w:snapToGrid w:val="0"/>
        <w:spacing w:line="594" w:lineRule="exact"/>
        <w:ind w:firstLine="640" w:firstLineChars="200"/>
        <w:jc w:val="left"/>
        <w:rPr>
          <w:rFonts w:eastAsia="仿宋_GB2312"/>
          <w:color w:val="000000"/>
          <w:kern w:val="0"/>
          <w:sz w:val="32"/>
          <w:szCs w:val="32"/>
          <w:lang w:val="zh-CN"/>
        </w:rPr>
      </w:pPr>
      <w:r>
        <w:rPr>
          <w:rFonts w:eastAsia="仿宋_GB2312"/>
          <w:color w:val="000000"/>
          <w:kern w:val="0"/>
          <w:sz w:val="32"/>
          <w:szCs w:val="32"/>
          <w:lang w:val="zh-CN"/>
        </w:rPr>
        <w:t>财政资金做到按预算执行、按进度拨付、专款专用，承担的基本药物制度实施、公立医院改革、重大公共卫生、卫生健康人才培养，</w:t>
      </w:r>
      <w:r>
        <w:rPr>
          <w:rFonts w:hint="eastAsia" w:eastAsia="仿宋_GB2312"/>
          <w:color w:val="000000"/>
          <w:kern w:val="0"/>
          <w:sz w:val="32"/>
          <w:szCs w:val="32"/>
          <w:lang w:val="zh-CN"/>
        </w:rPr>
        <w:t>中医适宜技术培训、对口支援等项目</w:t>
      </w:r>
      <w:r>
        <w:rPr>
          <w:rFonts w:eastAsia="仿宋_GB2312"/>
          <w:color w:val="000000"/>
          <w:kern w:val="0"/>
          <w:sz w:val="32"/>
          <w:szCs w:val="32"/>
          <w:lang w:val="zh-CN"/>
        </w:rPr>
        <w:t>均有序推进，圆满完成上级的目标考核任务，让老百姓受益于卫健的专项工作，群众满意度不断提高。</w:t>
      </w:r>
    </w:p>
    <w:p w14:paraId="5689BBA5">
      <w:pPr>
        <w:widowControl/>
        <w:adjustRightInd w:val="0"/>
        <w:snapToGrid w:val="0"/>
        <w:spacing w:line="594" w:lineRule="exact"/>
        <w:ind w:firstLine="640" w:firstLineChars="200"/>
        <w:jc w:val="left"/>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14:paraId="467F4726">
      <w:pPr>
        <w:spacing w:line="594" w:lineRule="exact"/>
        <w:ind w:firstLine="643" w:firstLineChars="200"/>
        <w:rPr>
          <w:rFonts w:eastAsia="楷体_GB2312"/>
          <w:b/>
          <w:color w:val="000000"/>
          <w:kern w:val="0"/>
          <w:sz w:val="32"/>
          <w:szCs w:val="32"/>
          <w:lang w:val="zh-CN"/>
        </w:rPr>
      </w:pPr>
      <w:r>
        <w:rPr>
          <w:rFonts w:eastAsia="楷体_GB2312"/>
          <w:b/>
          <w:color w:val="000000"/>
          <w:kern w:val="0"/>
          <w:sz w:val="32"/>
          <w:szCs w:val="32"/>
          <w:lang w:val="zh-CN"/>
        </w:rPr>
        <w:t>（一）评价结论</w:t>
      </w:r>
    </w:p>
    <w:p w14:paraId="34200267">
      <w:pPr>
        <w:spacing w:line="594" w:lineRule="exact"/>
        <w:ind w:firstLine="640" w:firstLineChars="200"/>
        <w:rPr>
          <w:rFonts w:eastAsia="仿宋_GB2312"/>
          <w:color w:val="000000"/>
          <w:kern w:val="0"/>
          <w:sz w:val="32"/>
          <w:szCs w:val="32"/>
        </w:rPr>
      </w:pPr>
      <w:r>
        <w:rPr>
          <w:rFonts w:eastAsia="仿宋_GB2312"/>
          <w:sz w:val="32"/>
          <w:szCs w:val="32"/>
        </w:rPr>
        <w:t xml:space="preserve"> 通过此次财政部门绩效自评工作，进一步对卫健系统的财政资金进行了全面的了解和清理，再次明确了项目资金使用的合规率、使用率，对加快财政资金的使用、部门预算资金的管理起到了促进作用。</w:t>
      </w:r>
    </w:p>
    <w:p w14:paraId="5EA433F1">
      <w:pPr>
        <w:spacing w:line="594" w:lineRule="exact"/>
        <w:ind w:firstLine="643" w:firstLineChars="200"/>
        <w:jc w:val="left"/>
        <w:outlineLvl w:val="1"/>
        <w:rPr>
          <w:rFonts w:eastAsia="楷体_GB2312"/>
          <w:b/>
          <w:bCs/>
          <w:color w:val="000000"/>
          <w:kern w:val="0"/>
          <w:sz w:val="32"/>
          <w:szCs w:val="32"/>
          <w:lang w:val="zh-CN"/>
        </w:rPr>
      </w:pPr>
      <w:bookmarkStart w:id="114" w:name="_Toc54341355"/>
      <w:bookmarkStart w:id="115" w:name="_Toc54341278"/>
      <w:r>
        <w:rPr>
          <w:rFonts w:eastAsia="楷体_GB2312"/>
          <w:b/>
          <w:bCs/>
          <w:color w:val="000000"/>
          <w:kern w:val="0"/>
          <w:sz w:val="32"/>
          <w:szCs w:val="32"/>
          <w:lang w:val="zh-CN"/>
        </w:rPr>
        <w:t>（二）存在问题</w:t>
      </w:r>
      <w:bookmarkEnd w:id="114"/>
      <w:bookmarkEnd w:id="115"/>
    </w:p>
    <w:p w14:paraId="510F6745">
      <w:pPr>
        <w:spacing w:line="594" w:lineRule="exact"/>
        <w:ind w:firstLine="640" w:firstLineChars="200"/>
        <w:jc w:val="left"/>
        <w:outlineLvl w:val="1"/>
        <w:rPr>
          <w:rFonts w:eastAsia="仿宋_GB2312"/>
          <w:bCs/>
          <w:color w:val="000000"/>
          <w:kern w:val="0"/>
          <w:sz w:val="32"/>
          <w:szCs w:val="32"/>
        </w:rPr>
      </w:pPr>
      <w:r>
        <w:rPr>
          <w:rFonts w:eastAsia="仿宋_GB2312"/>
          <w:bCs/>
          <w:kern w:val="28"/>
          <w:sz w:val="32"/>
          <w:szCs w:val="32"/>
        </w:rPr>
        <w:t xml:space="preserve"> </w:t>
      </w:r>
      <w:bookmarkStart w:id="116" w:name="_Toc54341279"/>
      <w:bookmarkStart w:id="117" w:name="_Toc54341356"/>
      <w:r>
        <w:rPr>
          <w:rFonts w:eastAsia="仿宋_GB2312"/>
          <w:bCs/>
          <w:kern w:val="28"/>
          <w:sz w:val="32"/>
          <w:szCs w:val="32"/>
        </w:rPr>
        <w:t>通过此次自评工作，发现了财务管理工作中的部分不足，如资金支出核算不准确，存在科目使用不正确的情况，也有超预算的情况发生，相关项目单位在专项资金使用上不规范，未及时按照项目实施进度申请专项资金，而是将项目资金结存单位基本账户。因财政资金拨付进度迟缓的问题，导致项目进度的滞后。</w:t>
      </w:r>
      <w:bookmarkEnd w:id="116"/>
      <w:bookmarkEnd w:id="117"/>
    </w:p>
    <w:p w14:paraId="72E5806C">
      <w:pPr>
        <w:spacing w:line="594" w:lineRule="exact"/>
        <w:ind w:firstLine="643" w:firstLineChars="200"/>
        <w:rPr>
          <w:rFonts w:eastAsia="楷体_GB2312"/>
          <w:b/>
          <w:color w:val="000000"/>
          <w:kern w:val="0"/>
          <w:sz w:val="32"/>
          <w:szCs w:val="32"/>
          <w:lang w:val="zh-CN"/>
        </w:rPr>
      </w:pPr>
      <w:r>
        <w:rPr>
          <w:rFonts w:eastAsia="楷体_GB2312"/>
          <w:b/>
          <w:color w:val="000000"/>
          <w:kern w:val="0"/>
          <w:sz w:val="32"/>
          <w:szCs w:val="32"/>
          <w:lang w:val="zh-CN"/>
        </w:rPr>
        <w:t>（三）改进建议</w:t>
      </w:r>
    </w:p>
    <w:p w14:paraId="792ACF0A">
      <w:pPr>
        <w:spacing w:line="594" w:lineRule="exact"/>
        <w:ind w:firstLine="640" w:firstLineChars="200"/>
        <w:rPr>
          <w:rFonts w:eastAsia="仿宋_GB2312"/>
          <w:sz w:val="32"/>
          <w:szCs w:val="32"/>
        </w:rPr>
      </w:pPr>
      <w:r>
        <w:rPr>
          <w:rFonts w:eastAsia="仿宋_GB2312"/>
          <w:sz w:val="32"/>
          <w:szCs w:val="32"/>
        </w:rPr>
        <w:t>进一步规范财政资金的预算管理，科学、准确、合理管理资金，达到量入为出，量力而行的效果。加强财政专项资金的管理，发挥专项资金的最大使用效率，专款专用，将项目工作落到实处。加强业务培训，提升单位相关责任人的财经意识和财务知识水平。</w:t>
      </w:r>
    </w:p>
    <w:p w14:paraId="7D260391">
      <w:pPr>
        <w:widowControl/>
        <w:adjustRightInd w:val="0"/>
        <w:snapToGrid w:val="0"/>
        <w:spacing w:line="594" w:lineRule="exact"/>
        <w:ind w:firstLine="640" w:firstLineChars="200"/>
        <w:jc w:val="left"/>
        <w:rPr>
          <w:rFonts w:eastAsia="仿宋_GB2312"/>
          <w:color w:val="000000"/>
          <w:kern w:val="0"/>
          <w:sz w:val="32"/>
          <w:szCs w:val="32"/>
          <w:shd w:val="clear" w:color="auto" w:fill="FFFFFF"/>
        </w:rPr>
      </w:pPr>
    </w:p>
    <w:p w14:paraId="25B335D8">
      <w:pPr>
        <w:widowControl/>
        <w:adjustRightInd w:val="0"/>
        <w:snapToGrid w:val="0"/>
        <w:spacing w:line="500" w:lineRule="exact"/>
        <w:jc w:val="left"/>
        <w:rPr>
          <w:rFonts w:eastAsia="仿宋_GB2312"/>
          <w:color w:val="000000"/>
          <w:kern w:val="0"/>
          <w:sz w:val="32"/>
          <w:szCs w:val="32"/>
          <w:shd w:val="clear" w:color="auto" w:fill="FFFFFF"/>
        </w:rPr>
      </w:pPr>
    </w:p>
    <w:p w14:paraId="2927C33A">
      <w:pPr>
        <w:widowControl/>
        <w:adjustRightInd w:val="0"/>
        <w:snapToGrid w:val="0"/>
        <w:spacing w:line="500" w:lineRule="exact"/>
        <w:jc w:val="left"/>
        <w:rPr>
          <w:rFonts w:eastAsia="仿宋_GB2312"/>
          <w:color w:val="000000"/>
          <w:kern w:val="0"/>
          <w:sz w:val="32"/>
          <w:szCs w:val="32"/>
          <w:shd w:val="clear" w:color="auto" w:fill="FFFFFF"/>
        </w:rPr>
      </w:pPr>
    </w:p>
    <w:p w14:paraId="6BA29317">
      <w:pPr>
        <w:spacing w:line="580" w:lineRule="exact"/>
        <w:ind w:firstLine="640" w:firstLineChars="200"/>
        <w:rPr>
          <w:rFonts w:eastAsia="仿宋_GB2312"/>
          <w:sz w:val="32"/>
          <w:szCs w:val="32"/>
        </w:rPr>
      </w:pPr>
      <w:r>
        <w:rPr>
          <w:rFonts w:eastAsia="仿宋_GB2312"/>
          <w:color w:val="000000"/>
          <w:kern w:val="0"/>
          <w:sz w:val="32"/>
          <w:szCs w:val="32"/>
          <w:shd w:val="clear" w:color="auto" w:fill="FFFFFF"/>
        </w:rPr>
        <w:t xml:space="preserve">                      </w:t>
      </w:r>
    </w:p>
    <w:p w14:paraId="0FC1792C">
      <w:pPr>
        <w:spacing w:line="580" w:lineRule="exact"/>
        <w:rPr>
          <w:rFonts w:eastAsia="黑体"/>
          <w:sz w:val="32"/>
          <w:szCs w:val="32"/>
        </w:rPr>
      </w:pPr>
    </w:p>
    <w:p w14:paraId="0C8DBB7D">
      <w:pPr>
        <w:spacing w:line="580" w:lineRule="exact"/>
        <w:rPr>
          <w:rFonts w:eastAsia="黑体"/>
          <w:sz w:val="32"/>
          <w:szCs w:val="32"/>
        </w:rPr>
      </w:pPr>
    </w:p>
    <w:p w14:paraId="5E587F72">
      <w:pPr>
        <w:spacing w:line="580" w:lineRule="exact"/>
        <w:rPr>
          <w:rFonts w:eastAsia="黑体"/>
          <w:sz w:val="32"/>
          <w:szCs w:val="32"/>
        </w:rPr>
      </w:pPr>
    </w:p>
    <w:p w14:paraId="6483036E">
      <w:pPr>
        <w:spacing w:line="580" w:lineRule="exact"/>
        <w:rPr>
          <w:rFonts w:eastAsia="黑体"/>
          <w:sz w:val="32"/>
          <w:szCs w:val="32"/>
        </w:rPr>
      </w:pPr>
    </w:p>
    <w:p w14:paraId="1F60C3E3">
      <w:pPr>
        <w:spacing w:line="580" w:lineRule="exact"/>
        <w:rPr>
          <w:rFonts w:eastAsia="黑体"/>
          <w:sz w:val="32"/>
          <w:szCs w:val="32"/>
        </w:rPr>
      </w:pPr>
    </w:p>
    <w:p w14:paraId="7AACDC8D">
      <w:pPr>
        <w:pStyle w:val="5"/>
        <w:rPr>
          <w:rFonts w:ascii="黑体" w:hAnsi="黑体" w:eastAsia="黑体" w:cs="黑体"/>
          <w:b w:val="0"/>
          <w:bCs w:val="0"/>
        </w:rPr>
      </w:pPr>
    </w:p>
    <w:p w14:paraId="5966DB25">
      <w:pPr>
        <w:pStyle w:val="5"/>
        <w:rPr>
          <w:rFonts w:ascii="黑体" w:hAnsi="黑体" w:eastAsia="黑体" w:cs="黑体"/>
          <w:b w:val="0"/>
          <w:bCs w:val="0"/>
        </w:rPr>
      </w:pPr>
      <w:r>
        <w:rPr>
          <w:rFonts w:hint="eastAsia" w:ascii="黑体" w:hAnsi="黑体" w:eastAsia="黑体" w:cs="黑体"/>
          <w:b w:val="0"/>
          <w:bCs w:val="0"/>
        </w:rPr>
        <w:t>附件2</w:t>
      </w:r>
    </w:p>
    <w:p w14:paraId="10E888F3">
      <w:pPr>
        <w:spacing w:line="580" w:lineRule="exact"/>
        <w:ind w:firstLine="640" w:firstLineChars="200"/>
        <w:rPr>
          <w:rFonts w:eastAsia="仿宋_GB2312"/>
          <w:sz w:val="32"/>
          <w:szCs w:val="32"/>
        </w:rPr>
      </w:pPr>
    </w:p>
    <w:p w14:paraId="02512944">
      <w:pPr>
        <w:spacing w:line="594"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德阳市罗江区中医医院</w:t>
      </w:r>
    </w:p>
    <w:p w14:paraId="6C0F3610">
      <w:pPr>
        <w:spacing w:line="594"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关于2020取消药品加成补助经费（省级）</w:t>
      </w:r>
    </w:p>
    <w:p w14:paraId="694E7B90">
      <w:pPr>
        <w:spacing w:line="594"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项目支出绩效自评报告</w:t>
      </w:r>
    </w:p>
    <w:p w14:paraId="6F57CEAE">
      <w:pPr>
        <w:spacing w:line="540" w:lineRule="exact"/>
        <w:rPr>
          <w:rFonts w:eastAsia="黑体"/>
          <w:bCs/>
          <w:sz w:val="32"/>
          <w:szCs w:val="32"/>
        </w:rPr>
      </w:pPr>
    </w:p>
    <w:p w14:paraId="74FDD31A">
      <w:pPr>
        <w:spacing w:line="594" w:lineRule="exact"/>
        <w:ind w:firstLine="640" w:firstLineChars="200"/>
        <w:rPr>
          <w:rFonts w:eastAsia="黑体"/>
          <w:bCs/>
          <w:sz w:val="32"/>
          <w:szCs w:val="32"/>
        </w:rPr>
      </w:pPr>
      <w:r>
        <w:rPr>
          <w:rFonts w:eastAsia="黑体"/>
          <w:bCs/>
          <w:sz w:val="32"/>
          <w:szCs w:val="32"/>
        </w:rPr>
        <w:t>一</w:t>
      </w:r>
      <w:r>
        <w:rPr>
          <w:rFonts w:hint="eastAsia" w:eastAsia="黑体"/>
          <w:bCs/>
          <w:sz w:val="32"/>
          <w:szCs w:val="32"/>
        </w:rPr>
        <w:t>、资金</w:t>
      </w:r>
      <w:r>
        <w:rPr>
          <w:rFonts w:eastAsia="黑体"/>
          <w:bCs/>
          <w:sz w:val="32"/>
          <w:szCs w:val="32"/>
        </w:rPr>
        <w:t>下达情况</w:t>
      </w:r>
    </w:p>
    <w:p w14:paraId="58D40745">
      <w:pPr>
        <w:spacing w:line="594" w:lineRule="exact"/>
        <w:ind w:firstLine="640" w:firstLineChars="200"/>
        <w:outlineLvl w:val="0"/>
        <w:rPr>
          <w:rFonts w:eastAsia="仿宋_GB2312"/>
          <w:sz w:val="32"/>
          <w:szCs w:val="32"/>
        </w:rPr>
      </w:pPr>
      <w:bookmarkStart w:id="118" w:name="_Toc54341360"/>
      <w:bookmarkStart w:id="119" w:name="_Toc54341283"/>
      <w:r>
        <w:rPr>
          <w:rFonts w:eastAsia="仿宋_GB2312"/>
          <w:sz w:val="32"/>
          <w:szCs w:val="32"/>
        </w:rPr>
        <w:t>20</w:t>
      </w:r>
      <w:r>
        <w:rPr>
          <w:rFonts w:hint="eastAsia" w:eastAsia="仿宋_GB2312"/>
          <w:sz w:val="32"/>
          <w:szCs w:val="32"/>
        </w:rPr>
        <w:t>20</w:t>
      </w:r>
      <w:r>
        <w:rPr>
          <w:rFonts w:eastAsia="仿宋_GB2312"/>
          <w:sz w:val="32"/>
          <w:szCs w:val="32"/>
        </w:rPr>
        <w:t>年</w:t>
      </w:r>
      <w:bookmarkEnd w:id="118"/>
      <w:bookmarkEnd w:id="119"/>
      <w:r>
        <w:rPr>
          <w:rFonts w:hint="eastAsia" w:eastAsia="仿宋_GB2312"/>
          <w:sz w:val="32"/>
          <w:szCs w:val="32"/>
        </w:rPr>
        <w:t>8月25日，德阳市罗江区财政局下达了县级公立医院取消药品加成（省级）补助资金12.00万元（德市罗财社【2020】45号）</w:t>
      </w:r>
    </w:p>
    <w:p w14:paraId="6708EEBB">
      <w:pPr>
        <w:spacing w:line="594" w:lineRule="exact"/>
        <w:ind w:firstLine="602" w:firstLineChars="200"/>
        <w:rPr>
          <w:rFonts w:eastAsia="黑体"/>
          <w:b/>
          <w:sz w:val="30"/>
          <w:szCs w:val="32"/>
        </w:rPr>
      </w:pPr>
      <w:r>
        <w:rPr>
          <w:rFonts w:eastAsia="黑体"/>
          <w:b/>
          <w:sz w:val="30"/>
          <w:szCs w:val="32"/>
        </w:rPr>
        <w:t>二、绩效目标完成情况</w:t>
      </w:r>
    </w:p>
    <w:p w14:paraId="1D4F858D">
      <w:pPr>
        <w:spacing w:line="594" w:lineRule="exact"/>
        <w:ind w:firstLine="643" w:firstLineChars="200"/>
        <w:outlineLvl w:val="0"/>
        <w:rPr>
          <w:rFonts w:eastAsia="楷体_GB2312"/>
          <w:b/>
          <w:bCs/>
          <w:sz w:val="32"/>
          <w:szCs w:val="32"/>
        </w:rPr>
      </w:pPr>
      <w:bookmarkStart w:id="120" w:name="_Toc54341284"/>
      <w:bookmarkStart w:id="121" w:name="_Toc54341361"/>
      <w:r>
        <w:rPr>
          <w:rFonts w:eastAsia="楷体_GB2312"/>
          <w:b/>
          <w:bCs/>
          <w:sz w:val="32"/>
          <w:szCs w:val="32"/>
        </w:rPr>
        <w:t>（一）资金投入情况。</w:t>
      </w:r>
      <w:bookmarkEnd w:id="120"/>
      <w:bookmarkEnd w:id="121"/>
    </w:p>
    <w:p w14:paraId="7A411B28">
      <w:pPr>
        <w:spacing w:line="594"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项目资金执行情况。按照</w:t>
      </w:r>
      <w:r>
        <w:rPr>
          <w:rFonts w:hint="eastAsia" w:eastAsia="仿宋_GB2312"/>
          <w:sz w:val="32"/>
          <w:szCs w:val="32"/>
        </w:rPr>
        <w:t>县级公立医院取消药品加成补助</w:t>
      </w:r>
      <w:r>
        <w:rPr>
          <w:rFonts w:eastAsia="仿宋_GB2312"/>
          <w:sz w:val="32"/>
          <w:szCs w:val="32"/>
        </w:rPr>
        <w:t>实施方案，区</w:t>
      </w:r>
      <w:r>
        <w:rPr>
          <w:rFonts w:hint="eastAsia" w:eastAsia="仿宋_GB2312"/>
          <w:sz w:val="32"/>
          <w:szCs w:val="32"/>
        </w:rPr>
        <w:t>财政局向我院下达了2020省级补助资金12.00万元。</w:t>
      </w:r>
    </w:p>
    <w:p w14:paraId="12F9D0F2">
      <w:pPr>
        <w:spacing w:line="594"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.项目资金管理情况。按照专项资金管理办法，补助资金实行专项核算、专项管理</w:t>
      </w:r>
      <w:r>
        <w:rPr>
          <w:rFonts w:hint="eastAsia" w:eastAsia="仿宋_GB2312"/>
          <w:sz w:val="32"/>
          <w:szCs w:val="32"/>
        </w:rPr>
        <w:t>，</w:t>
      </w:r>
      <w:r>
        <w:rPr>
          <w:rFonts w:eastAsia="仿宋_GB2312"/>
          <w:sz w:val="32"/>
          <w:szCs w:val="32"/>
        </w:rPr>
        <w:t>保证了资金的安全。</w:t>
      </w:r>
    </w:p>
    <w:p w14:paraId="20704A73">
      <w:pPr>
        <w:spacing w:line="594" w:lineRule="exact"/>
        <w:ind w:firstLine="643" w:firstLineChars="200"/>
        <w:outlineLvl w:val="0"/>
        <w:rPr>
          <w:rFonts w:eastAsia="楷体_GB2312"/>
          <w:b/>
          <w:bCs/>
          <w:sz w:val="32"/>
          <w:szCs w:val="32"/>
        </w:rPr>
      </w:pPr>
      <w:bookmarkStart w:id="122" w:name="_Toc54341285"/>
      <w:bookmarkStart w:id="123" w:name="_Toc54341362"/>
      <w:r>
        <w:rPr>
          <w:rFonts w:eastAsia="楷体_GB2312"/>
          <w:b/>
          <w:bCs/>
          <w:sz w:val="32"/>
          <w:szCs w:val="32"/>
        </w:rPr>
        <w:t>（二）总体绩效目标完成情况。</w:t>
      </w:r>
      <w:bookmarkEnd w:id="122"/>
      <w:bookmarkEnd w:id="123"/>
    </w:p>
    <w:p w14:paraId="0207B87D">
      <w:pPr>
        <w:spacing w:line="594" w:lineRule="exact"/>
        <w:ind w:firstLine="640" w:firstLineChars="200"/>
        <w:outlineLvl w:val="0"/>
        <w:rPr>
          <w:rFonts w:eastAsia="仿宋_GB2312"/>
          <w:bCs/>
          <w:sz w:val="32"/>
          <w:szCs w:val="32"/>
        </w:rPr>
      </w:pPr>
      <w:r>
        <w:rPr>
          <w:rFonts w:hint="eastAsia" w:eastAsia="仿宋_GB2312"/>
          <w:bCs/>
          <w:sz w:val="32"/>
          <w:szCs w:val="32"/>
        </w:rPr>
        <w:t>推动落实各项公立医院综合改革任务。促进县域医疗卫生服务体系进一步完善，努力让群众就地就医，巩固破除医药补医改革成果，完善公立医院运行新机制，现代管理医院制度初步建立，医疗服务体系能力明显提升，就医秩序得到改善。</w:t>
      </w:r>
    </w:p>
    <w:p w14:paraId="00DFDDC7">
      <w:pPr>
        <w:spacing w:line="594" w:lineRule="exact"/>
        <w:ind w:firstLine="643" w:firstLineChars="200"/>
        <w:outlineLvl w:val="0"/>
        <w:rPr>
          <w:rFonts w:eastAsia="仿宋_GB2312"/>
          <w:sz w:val="30"/>
          <w:szCs w:val="32"/>
        </w:rPr>
      </w:pPr>
      <w:bookmarkStart w:id="124" w:name="_Toc54341287"/>
      <w:bookmarkStart w:id="125" w:name="_Toc54341364"/>
      <w:r>
        <w:rPr>
          <w:rFonts w:eastAsia="楷体_GB2312"/>
          <w:b/>
          <w:bCs/>
          <w:sz w:val="32"/>
          <w:szCs w:val="32"/>
        </w:rPr>
        <w:t>（三）绩效指标完成情况。</w:t>
      </w:r>
      <w:bookmarkEnd w:id="124"/>
      <w:bookmarkEnd w:id="125"/>
    </w:p>
    <w:p w14:paraId="2FA7EC09">
      <w:pPr>
        <w:spacing w:line="594" w:lineRule="exact"/>
        <w:ind w:firstLine="640" w:firstLineChars="200"/>
        <w:rPr>
          <w:rFonts w:eastAsia="仿宋_GB2312"/>
          <w:sz w:val="32"/>
          <w:szCs w:val="32"/>
        </w:rPr>
      </w:pPr>
      <w:r>
        <w:rPr>
          <w:rFonts w:eastAsia="仿宋_GB2312"/>
          <w:sz w:val="32"/>
          <w:szCs w:val="32"/>
        </w:rPr>
        <w:t>1.产出指标完成情况分析。</w:t>
      </w:r>
    </w:p>
    <w:p w14:paraId="2DE826E6">
      <w:pPr>
        <w:spacing w:line="594" w:lineRule="exact"/>
        <w:ind w:firstLine="640" w:firstLineChars="200"/>
        <w:rPr>
          <w:rFonts w:eastAsia="仿宋_GB2312"/>
          <w:sz w:val="32"/>
          <w:szCs w:val="32"/>
        </w:rPr>
      </w:pPr>
      <w:r>
        <w:rPr>
          <w:rFonts w:eastAsia="仿宋_GB2312"/>
          <w:sz w:val="32"/>
          <w:szCs w:val="32"/>
        </w:rPr>
        <w:t>质量指标。</w:t>
      </w:r>
      <w:r>
        <w:rPr>
          <w:rFonts w:hint="eastAsia" w:eastAsia="仿宋_GB2312"/>
          <w:sz w:val="32"/>
          <w:szCs w:val="32"/>
        </w:rPr>
        <w:t>医疗服务能力得到提升，药占比（不含中药饮片）总体降到30%以下。</w:t>
      </w:r>
    </w:p>
    <w:p w14:paraId="3E977DC1">
      <w:pPr>
        <w:spacing w:line="594" w:lineRule="exact"/>
        <w:ind w:firstLine="640" w:firstLineChars="200"/>
        <w:rPr>
          <w:rFonts w:eastAsia="仿宋_GB2312"/>
          <w:sz w:val="32"/>
          <w:szCs w:val="32"/>
        </w:rPr>
      </w:pPr>
      <w:r>
        <w:rPr>
          <w:rFonts w:eastAsia="仿宋_GB2312"/>
          <w:sz w:val="32"/>
          <w:szCs w:val="32"/>
        </w:rPr>
        <w:t>2.效益指标完成情况。</w:t>
      </w:r>
    </w:p>
    <w:p w14:paraId="3107FFA9">
      <w:pPr>
        <w:spacing w:line="594" w:lineRule="exact"/>
        <w:ind w:firstLine="640" w:firstLineChars="200"/>
        <w:rPr>
          <w:rFonts w:eastAsia="仿宋_GB2312"/>
          <w:sz w:val="32"/>
          <w:szCs w:val="32"/>
        </w:rPr>
      </w:pPr>
      <w:r>
        <w:rPr>
          <w:rFonts w:hint="eastAsia" w:eastAsia="仿宋_GB2312"/>
          <w:sz w:val="32"/>
          <w:szCs w:val="32"/>
        </w:rPr>
        <w:t>社会</w:t>
      </w:r>
      <w:r>
        <w:rPr>
          <w:rFonts w:eastAsia="仿宋_GB2312"/>
          <w:sz w:val="32"/>
          <w:szCs w:val="32"/>
        </w:rPr>
        <w:t>效益指标。</w:t>
      </w:r>
      <w:r>
        <w:rPr>
          <w:rFonts w:hint="eastAsia" w:eastAsia="仿宋_GB2312"/>
          <w:sz w:val="32"/>
          <w:szCs w:val="32"/>
        </w:rPr>
        <w:t>医疗费用增幅稳定在合理水平，个人卫生支出占卫生总费用的比例降低</w:t>
      </w:r>
      <w:r>
        <w:rPr>
          <w:rFonts w:eastAsia="仿宋_GB2312"/>
          <w:sz w:val="32"/>
          <w:szCs w:val="32"/>
        </w:rPr>
        <w:t>。</w:t>
      </w:r>
    </w:p>
    <w:p w14:paraId="3B47C9FF">
      <w:pPr>
        <w:spacing w:line="594" w:lineRule="exact"/>
        <w:ind w:firstLine="640" w:firstLineChars="200"/>
        <w:rPr>
          <w:rFonts w:eastAsia="仿宋_GB2312"/>
          <w:sz w:val="32"/>
          <w:szCs w:val="32"/>
        </w:rPr>
      </w:pPr>
      <w:r>
        <w:rPr>
          <w:rFonts w:hint="eastAsia" w:eastAsia="仿宋_GB2312"/>
          <w:sz w:val="32"/>
          <w:szCs w:val="32"/>
        </w:rPr>
        <w:t>3.满意度指标完成情况。</w:t>
      </w:r>
    </w:p>
    <w:p w14:paraId="73118E01">
      <w:pPr>
        <w:spacing w:line="594" w:lineRule="exact"/>
        <w:ind w:firstLine="640" w:firstLineChars="200"/>
        <w:rPr>
          <w:rFonts w:eastAsia="仿宋_GB2312"/>
          <w:sz w:val="32"/>
          <w:szCs w:val="32"/>
        </w:rPr>
      </w:pPr>
      <w:r>
        <w:rPr>
          <w:rFonts w:hint="eastAsia" w:eastAsia="仿宋_GB2312"/>
          <w:sz w:val="32"/>
          <w:szCs w:val="32"/>
        </w:rPr>
        <w:t>患者满意度不断提高。</w:t>
      </w:r>
    </w:p>
    <w:p w14:paraId="2B7FB0C4">
      <w:pPr>
        <w:spacing w:line="594" w:lineRule="exact"/>
        <w:ind w:firstLine="640" w:firstLineChars="200"/>
        <w:rPr>
          <w:rFonts w:eastAsia="仿宋_GB2312"/>
          <w:bCs/>
          <w:sz w:val="32"/>
          <w:szCs w:val="32"/>
        </w:rPr>
      </w:pPr>
      <w:r>
        <w:rPr>
          <w:rFonts w:eastAsia="仿宋_GB2312"/>
          <w:bCs/>
          <w:sz w:val="32"/>
          <w:szCs w:val="32"/>
        </w:rPr>
        <w:t>通过对项目进行绩效评价工作，明确了下一步工作的方向，</w:t>
      </w:r>
      <w:r>
        <w:rPr>
          <w:rFonts w:hint="eastAsia" w:eastAsia="仿宋_GB2312"/>
          <w:bCs/>
          <w:sz w:val="32"/>
          <w:szCs w:val="32"/>
        </w:rPr>
        <w:t>现代医院管理制度初步建立，医疗服务能力体系明显提升，就医秩序道德明显改善，医疗卫生服务体系进一步完善。</w:t>
      </w:r>
    </w:p>
    <w:p w14:paraId="4D0D8144">
      <w:pPr>
        <w:spacing w:line="594" w:lineRule="exact"/>
        <w:ind w:firstLine="600" w:firstLineChars="200"/>
        <w:rPr>
          <w:rFonts w:eastAsia="仿宋_GB2312"/>
          <w:sz w:val="30"/>
        </w:rPr>
      </w:pPr>
    </w:p>
    <w:p w14:paraId="7966FEC8">
      <w:pPr>
        <w:spacing w:line="540" w:lineRule="exact"/>
        <w:rPr>
          <w:rFonts w:eastAsia="仿宋_GB2312"/>
          <w:sz w:val="30"/>
        </w:rPr>
      </w:pPr>
    </w:p>
    <w:p w14:paraId="4528C430">
      <w:pPr>
        <w:spacing w:line="600" w:lineRule="exact"/>
        <w:jc w:val="center"/>
        <w:outlineLvl w:val="0"/>
        <w:rPr>
          <w:rFonts w:eastAsia="黑体"/>
          <w:color w:val="000000"/>
          <w:sz w:val="44"/>
          <w:szCs w:val="44"/>
        </w:rPr>
      </w:pPr>
      <w:bookmarkStart w:id="126" w:name="_Toc15396618"/>
    </w:p>
    <w:p w14:paraId="124466DD">
      <w:pPr>
        <w:spacing w:line="600" w:lineRule="exact"/>
        <w:jc w:val="center"/>
        <w:outlineLvl w:val="0"/>
        <w:rPr>
          <w:rFonts w:eastAsia="黑体"/>
          <w:color w:val="000000"/>
          <w:sz w:val="44"/>
          <w:szCs w:val="44"/>
        </w:rPr>
      </w:pPr>
    </w:p>
    <w:p w14:paraId="79BB6928">
      <w:pPr>
        <w:spacing w:line="600" w:lineRule="exact"/>
        <w:jc w:val="center"/>
        <w:outlineLvl w:val="0"/>
        <w:rPr>
          <w:rFonts w:eastAsia="黑体"/>
          <w:color w:val="000000"/>
          <w:sz w:val="44"/>
          <w:szCs w:val="44"/>
        </w:rPr>
      </w:pPr>
    </w:p>
    <w:p w14:paraId="6A5F6340">
      <w:pPr>
        <w:spacing w:line="600" w:lineRule="exact"/>
        <w:jc w:val="center"/>
        <w:outlineLvl w:val="0"/>
        <w:rPr>
          <w:rFonts w:eastAsia="黑体"/>
          <w:color w:val="000000"/>
          <w:sz w:val="44"/>
          <w:szCs w:val="44"/>
        </w:rPr>
      </w:pPr>
    </w:p>
    <w:p w14:paraId="02B25164">
      <w:pPr>
        <w:pStyle w:val="5"/>
        <w:rPr>
          <w:rFonts w:eastAsia="黑体"/>
          <w:b w:val="0"/>
          <w:bCs w:val="0"/>
        </w:rPr>
      </w:pPr>
      <w:bookmarkStart w:id="127" w:name="_Toc54341294"/>
      <w:bookmarkStart w:id="128" w:name="_Toc54341371"/>
    </w:p>
    <w:p w14:paraId="7459E7E2">
      <w:pPr>
        <w:pStyle w:val="5"/>
        <w:rPr>
          <w:rFonts w:eastAsia="仿宋_GB2312"/>
          <w:b w:val="0"/>
          <w:bCs w:val="0"/>
        </w:rPr>
      </w:pPr>
      <w:r>
        <w:rPr>
          <w:rFonts w:eastAsia="黑体"/>
          <w:b w:val="0"/>
          <w:bCs w:val="0"/>
        </w:rPr>
        <w:t>附件</w:t>
      </w:r>
      <w:r>
        <w:rPr>
          <w:rFonts w:hint="eastAsia" w:eastAsia="黑体"/>
          <w:b w:val="0"/>
          <w:bCs w:val="0"/>
        </w:rPr>
        <w:t>3</w:t>
      </w:r>
    </w:p>
    <w:p w14:paraId="7EC5E0C3">
      <w:pPr>
        <w:spacing w:line="580" w:lineRule="exact"/>
        <w:ind w:firstLine="640" w:firstLineChars="200"/>
        <w:rPr>
          <w:rFonts w:eastAsia="仿宋_GB2312"/>
          <w:sz w:val="32"/>
          <w:szCs w:val="32"/>
        </w:rPr>
      </w:pPr>
    </w:p>
    <w:p w14:paraId="165DCB42">
      <w:pPr>
        <w:spacing w:line="594"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德阳市罗江区中医医院</w:t>
      </w:r>
    </w:p>
    <w:p w14:paraId="0CFEA0D0">
      <w:pPr>
        <w:spacing w:line="594"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关于2020年省级财政卫生健康专项资金</w:t>
      </w:r>
    </w:p>
    <w:p w14:paraId="5152FE9A">
      <w:pPr>
        <w:spacing w:line="594"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（对口支援）项目支出绩效自评报告</w:t>
      </w:r>
    </w:p>
    <w:p w14:paraId="4867C6DE">
      <w:pPr>
        <w:spacing w:line="540" w:lineRule="exact"/>
        <w:rPr>
          <w:rFonts w:eastAsia="黑体"/>
          <w:bCs/>
          <w:sz w:val="32"/>
          <w:szCs w:val="32"/>
        </w:rPr>
      </w:pPr>
    </w:p>
    <w:p w14:paraId="54320917">
      <w:pPr>
        <w:spacing w:line="594" w:lineRule="exact"/>
        <w:ind w:firstLine="640" w:firstLineChars="200"/>
        <w:rPr>
          <w:rFonts w:eastAsia="黑体"/>
          <w:bCs/>
          <w:sz w:val="32"/>
          <w:szCs w:val="32"/>
        </w:rPr>
      </w:pPr>
      <w:r>
        <w:rPr>
          <w:rFonts w:eastAsia="黑体"/>
          <w:bCs/>
          <w:sz w:val="32"/>
          <w:szCs w:val="32"/>
        </w:rPr>
        <w:t>一</w:t>
      </w:r>
      <w:r>
        <w:rPr>
          <w:rFonts w:hint="eastAsia" w:eastAsia="黑体"/>
          <w:bCs/>
          <w:sz w:val="32"/>
          <w:szCs w:val="32"/>
        </w:rPr>
        <w:t>、资金</w:t>
      </w:r>
      <w:r>
        <w:rPr>
          <w:rFonts w:eastAsia="黑体"/>
          <w:bCs/>
          <w:sz w:val="32"/>
          <w:szCs w:val="32"/>
        </w:rPr>
        <w:t>下达情况</w:t>
      </w:r>
    </w:p>
    <w:p w14:paraId="149F87F1">
      <w:pPr>
        <w:spacing w:line="594" w:lineRule="exact"/>
        <w:ind w:firstLine="640" w:firstLineChars="200"/>
        <w:outlineLvl w:val="0"/>
        <w:rPr>
          <w:rFonts w:eastAsia="仿宋_GB2312"/>
          <w:sz w:val="32"/>
          <w:szCs w:val="32"/>
        </w:rPr>
      </w:pPr>
      <w:r>
        <w:rPr>
          <w:rFonts w:eastAsia="仿宋_GB2312"/>
          <w:sz w:val="32"/>
          <w:szCs w:val="32"/>
        </w:rPr>
        <w:t>20</w:t>
      </w:r>
      <w:r>
        <w:rPr>
          <w:rFonts w:hint="eastAsia" w:eastAsia="仿宋_GB2312"/>
          <w:sz w:val="32"/>
          <w:szCs w:val="32"/>
        </w:rPr>
        <w:t>20</w:t>
      </w:r>
      <w:r>
        <w:rPr>
          <w:rFonts w:eastAsia="仿宋_GB2312"/>
          <w:sz w:val="32"/>
          <w:szCs w:val="32"/>
        </w:rPr>
        <w:t>年</w:t>
      </w:r>
      <w:r>
        <w:rPr>
          <w:rFonts w:hint="eastAsia" w:eastAsia="仿宋_GB2312"/>
          <w:sz w:val="32"/>
          <w:szCs w:val="32"/>
        </w:rPr>
        <w:t>12月23日，德阳市罗江区财政局下达了2020年省级财政卫生健康专项资金（对口支援）4.80万元（德市罗财社【2020】79号）。</w:t>
      </w:r>
    </w:p>
    <w:p w14:paraId="3E1335B4">
      <w:pPr>
        <w:spacing w:line="594" w:lineRule="exact"/>
        <w:ind w:firstLine="643" w:firstLineChars="200"/>
        <w:rPr>
          <w:rFonts w:eastAsia="黑体"/>
          <w:b/>
          <w:sz w:val="32"/>
          <w:szCs w:val="32"/>
        </w:rPr>
      </w:pPr>
      <w:r>
        <w:rPr>
          <w:rFonts w:eastAsia="黑体"/>
          <w:b/>
          <w:sz w:val="32"/>
          <w:szCs w:val="32"/>
        </w:rPr>
        <w:t>二、绩效目标完成情况</w:t>
      </w:r>
    </w:p>
    <w:p w14:paraId="0707597B">
      <w:pPr>
        <w:spacing w:line="594" w:lineRule="exact"/>
        <w:ind w:firstLine="643" w:firstLineChars="200"/>
        <w:outlineLvl w:val="0"/>
        <w:rPr>
          <w:rFonts w:eastAsia="楷体_GB2312"/>
          <w:b/>
          <w:bCs/>
          <w:sz w:val="32"/>
          <w:szCs w:val="32"/>
        </w:rPr>
      </w:pPr>
      <w:r>
        <w:rPr>
          <w:rFonts w:eastAsia="楷体_GB2312"/>
          <w:b/>
          <w:bCs/>
          <w:sz w:val="32"/>
          <w:szCs w:val="32"/>
        </w:rPr>
        <w:t>（一）资金投入情况。</w:t>
      </w:r>
    </w:p>
    <w:p w14:paraId="5B0893C0">
      <w:pPr>
        <w:spacing w:line="594"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项目资金执行情况。按照</w:t>
      </w:r>
      <w:r>
        <w:rPr>
          <w:rFonts w:hint="eastAsia" w:eastAsia="仿宋_GB2312"/>
          <w:sz w:val="32"/>
          <w:szCs w:val="32"/>
        </w:rPr>
        <w:t>2020年省级财政卫生健康专项资金</w:t>
      </w:r>
      <w:r>
        <w:rPr>
          <w:rFonts w:eastAsia="仿宋_GB2312"/>
          <w:sz w:val="32"/>
          <w:szCs w:val="32"/>
        </w:rPr>
        <w:t>实施方案，区</w:t>
      </w:r>
      <w:r>
        <w:rPr>
          <w:rFonts w:hint="eastAsia" w:eastAsia="仿宋_GB2312"/>
          <w:sz w:val="32"/>
          <w:szCs w:val="32"/>
        </w:rPr>
        <w:t>财政局向我院下达了2020省级补助资金（对口支援）4.80万元。</w:t>
      </w:r>
    </w:p>
    <w:p w14:paraId="647C2DD0">
      <w:pPr>
        <w:spacing w:line="594"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.项目资金管理情况。按照专项资金管理办法，补助资金实行专项核算、专项管理</w:t>
      </w:r>
      <w:r>
        <w:rPr>
          <w:rFonts w:hint="eastAsia" w:eastAsia="仿宋_GB2312"/>
          <w:sz w:val="32"/>
          <w:szCs w:val="32"/>
        </w:rPr>
        <w:t>，</w:t>
      </w:r>
      <w:r>
        <w:rPr>
          <w:rFonts w:eastAsia="仿宋_GB2312"/>
          <w:sz w:val="32"/>
          <w:szCs w:val="32"/>
        </w:rPr>
        <w:t>保证了资金的安全。</w:t>
      </w:r>
    </w:p>
    <w:p w14:paraId="37C38903">
      <w:pPr>
        <w:spacing w:line="594" w:lineRule="exact"/>
        <w:ind w:firstLine="643" w:firstLineChars="200"/>
        <w:outlineLvl w:val="0"/>
        <w:rPr>
          <w:rFonts w:eastAsia="楷体_GB2312"/>
          <w:b/>
          <w:bCs/>
          <w:sz w:val="32"/>
          <w:szCs w:val="32"/>
        </w:rPr>
      </w:pPr>
      <w:r>
        <w:rPr>
          <w:rFonts w:eastAsia="楷体_GB2312"/>
          <w:b/>
          <w:bCs/>
          <w:sz w:val="32"/>
          <w:szCs w:val="32"/>
        </w:rPr>
        <w:t>（二）总体绩效目标完成情</w:t>
      </w:r>
      <w:r>
        <w:rPr>
          <w:rFonts w:hint="eastAsia" w:eastAsia="楷体_GB2312"/>
          <w:b/>
          <w:bCs/>
          <w:sz w:val="32"/>
          <w:szCs w:val="32"/>
        </w:rPr>
        <w:t>况。</w:t>
      </w:r>
    </w:p>
    <w:p w14:paraId="3D51FA0D">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2020年我院共派出2名医务人员对口支援。1名内科主治医师罗颖派到若尔盖县唐克中心卫生院支援；1名主管检验室陈良派到若尔盖县纳木中心卫生院支援。</w:t>
      </w:r>
    </w:p>
    <w:p w14:paraId="34ADFA86">
      <w:pPr>
        <w:spacing w:line="594"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（三）对口支援的成绩</w:t>
      </w:r>
    </w:p>
    <w:p w14:paraId="3D28E4D8">
      <w:pPr>
        <w:spacing w:line="594"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若尔盖唐克中心卫生院对口支援工作取得的成绩</w:t>
      </w:r>
    </w:p>
    <w:p w14:paraId="4BCC0FA0">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通过当地医生和来医院就诊的病人，深入了解当地医疗情况。有针对性的与所带医生和其他同事交流，共同探讨有关医学方面的知识。有针对性的指导所带医生学习理论知识，并通过平时给患者看病，结合实际指导他们如何医治当地常见病。发现他们如果处理不当，及时给予指导。</w:t>
      </w:r>
    </w:p>
    <w:p w14:paraId="2F72E4FF">
      <w:pPr>
        <w:spacing w:line="594"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毫无保留的把先进经验和在进修时学到的一些先进经验传授给所带医生，不断提高他们的业务水平和能力。特别是在正规体格检查、基本操作（胸腔穿刺术，腹腔穿刺术，心肺复苏）等方面加以指导，在实际工作中加以应用。使他们了解和掌握了更多疾病的诊断与治疗。</w:t>
      </w:r>
    </w:p>
    <w:p w14:paraId="66411615">
      <w:pPr>
        <w:spacing w:line="594"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若尔盖纳木中心卫生院对口支援工作取得的成绩：</w:t>
      </w:r>
    </w:p>
    <w:p w14:paraId="51946EE3">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西药房全部药品进行了清理，建立了药品清单，并清理了所有近效期药品。对药房工作人员进行了药品管理培训，以及药房规范工作制度的培训，在日常工作中，帮助他们建立良好的工作习惯。帮助卫生院在电脑系统里录入了全部药品信息，为将来进行电脑系统管理打下了基础。</w:t>
      </w:r>
    </w:p>
    <w:p w14:paraId="6B3B8400">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2.通过对当地医院公卫工作的了解，对所带人员进行相关公卫知识的讲解，结合实际指导，使公卫工作逐步走入正轨。</w:t>
      </w:r>
    </w:p>
    <w:p w14:paraId="2A0044C4">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3.帮助卫生院梳理了全乡的慢性病（糖尿病，高血压，重症精神病）的患者名单，建立了名册，方便患者前来检查时记录。通过共同努力，提高了当地医院的公卫工作。</w:t>
      </w:r>
    </w:p>
    <w:p w14:paraId="28F45BD2">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近一年与授援单位的对口支援帮扶，总体来说，我院对口支援派出的医务人员按照医院年初制定的工作计划，逐步克服各种困难开展工作，提高了受援卫生院的服务能力和水平，改善和加强了医疗质量管理，满足了当地的部分卫生需要，使授援医院的医疗技术、医疗服务能力等得到提升，但是，由于我院人员不足等客观条件限制，致使参与对口支援的人员有限，参与度不够，不能满足对口支援老百姓的需求，对口支援与上级主管部门的要求还存在一定的差距，在今后的工作中我院将确保对口支援项目取得实效，尽最大努力帮扶、指导受援单位的医疗技术，逐步提高其医疗水平，为藏区人民服好务。</w:t>
      </w:r>
    </w:p>
    <w:p w14:paraId="6515B882">
      <w:pPr>
        <w:spacing w:line="594"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A6022AC">
      <w:pPr>
        <w:spacing w:line="594" w:lineRule="exact"/>
        <w:rPr>
          <w:rFonts w:ascii="仿宋_GB2312" w:hAnsi="仿宋_GB2312" w:eastAsia="仿宋_GB2312" w:cs="仿宋_GB2312"/>
          <w:sz w:val="32"/>
          <w:szCs w:val="32"/>
        </w:rPr>
      </w:pPr>
    </w:p>
    <w:p w14:paraId="7F614CCE">
      <w:pPr>
        <w:spacing w:line="540" w:lineRule="exact"/>
        <w:ind w:firstLine="5920" w:firstLineChars="1850"/>
        <w:rPr>
          <w:rFonts w:eastAsia="仿宋_GB2312"/>
          <w:sz w:val="32"/>
          <w:szCs w:val="32"/>
        </w:rPr>
      </w:pPr>
    </w:p>
    <w:p w14:paraId="7F4F0364">
      <w:pPr>
        <w:spacing w:line="600" w:lineRule="exact"/>
        <w:jc w:val="center"/>
        <w:outlineLvl w:val="0"/>
        <w:rPr>
          <w:rFonts w:eastAsia="黑体"/>
          <w:color w:val="000000"/>
          <w:sz w:val="44"/>
          <w:szCs w:val="44"/>
        </w:rPr>
      </w:pPr>
    </w:p>
    <w:p w14:paraId="561A28AA">
      <w:pPr>
        <w:spacing w:line="600" w:lineRule="exact"/>
        <w:jc w:val="center"/>
        <w:outlineLvl w:val="0"/>
        <w:rPr>
          <w:rFonts w:eastAsia="黑体"/>
          <w:color w:val="000000"/>
          <w:sz w:val="44"/>
          <w:szCs w:val="44"/>
        </w:rPr>
      </w:pPr>
    </w:p>
    <w:p w14:paraId="772BB155">
      <w:pPr>
        <w:spacing w:line="600" w:lineRule="exact"/>
        <w:jc w:val="center"/>
        <w:outlineLvl w:val="0"/>
        <w:rPr>
          <w:rFonts w:eastAsia="黑体"/>
          <w:color w:val="000000"/>
          <w:sz w:val="44"/>
          <w:szCs w:val="44"/>
        </w:rPr>
      </w:pPr>
    </w:p>
    <w:p w14:paraId="1278BF56">
      <w:pPr>
        <w:spacing w:line="600" w:lineRule="exact"/>
        <w:jc w:val="center"/>
        <w:outlineLvl w:val="0"/>
        <w:rPr>
          <w:rFonts w:eastAsia="黑体"/>
          <w:color w:val="000000"/>
          <w:sz w:val="44"/>
          <w:szCs w:val="44"/>
        </w:rPr>
      </w:pPr>
    </w:p>
    <w:p w14:paraId="1AD53C59">
      <w:pPr>
        <w:spacing w:line="600" w:lineRule="exact"/>
        <w:jc w:val="center"/>
        <w:outlineLvl w:val="0"/>
        <w:rPr>
          <w:rFonts w:eastAsia="黑体"/>
          <w:color w:val="000000"/>
          <w:sz w:val="44"/>
          <w:szCs w:val="44"/>
        </w:rPr>
      </w:pPr>
    </w:p>
    <w:p w14:paraId="6F3AADEC">
      <w:pPr>
        <w:spacing w:line="600" w:lineRule="exact"/>
        <w:jc w:val="center"/>
        <w:outlineLvl w:val="0"/>
        <w:rPr>
          <w:rFonts w:eastAsia="黑体"/>
          <w:color w:val="000000"/>
          <w:sz w:val="44"/>
          <w:szCs w:val="44"/>
        </w:rPr>
      </w:pPr>
    </w:p>
    <w:p w14:paraId="27E1922C">
      <w:pPr>
        <w:spacing w:line="600" w:lineRule="exact"/>
        <w:jc w:val="center"/>
        <w:outlineLvl w:val="0"/>
        <w:rPr>
          <w:rFonts w:eastAsia="黑体"/>
          <w:color w:val="000000"/>
          <w:sz w:val="44"/>
          <w:szCs w:val="44"/>
        </w:rPr>
      </w:pPr>
    </w:p>
    <w:p w14:paraId="1D6A2C41">
      <w:pPr>
        <w:spacing w:line="600" w:lineRule="exact"/>
        <w:jc w:val="center"/>
        <w:outlineLvl w:val="0"/>
        <w:rPr>
          <w:rFonts w:eastAsia="黑体"/>
          <w:color w:val="000000"/>
          <w:sz w:val="44"/>
          <w:szCs w:val="44"/>
        </w:rPr>
      </w:pPr>
    </w:p>
    <w:p w14:paraId="3ADC581A">
      <w:pPr>
        <w:spacing w:line="580" w:lineRule="exact"/>
        <w:rPr>
          <w:rFonts w:eastAsia="仿宋_GB2312"/>
          <w:sz w:val="32"/>
          <w:szCs w:val="32"/>
        </w:rPr>
      </w:pPr>
      <w:r>
        <w:rPr>
          <w:rFonts w:eastAsia="黑体"/>
          <w:sz w:val="32"/>
          <w:szCs w:val="32"/>
        </w:rPr>
        <w:t>附件</w:t>
      </w:r>
      <w:r>
        <w:rPr>
          <w:rFonts w:hint="eastAsia" w:eastAsia="黑体"/>
          <w:sz w:val="32"/>
          <w:szCs w:val="32"/>
        </w:rPr>
        <w:t>4</w:t>
      </w:r>
    </w:p>
    <w:p w14:paraId="651A54D9">
      <w:pPr>
        <w:spacing w:line="580" w:lineRule="exact"/>
        <w:ind w:firstLine="640" w:firstLineChars="200"/>
        <w:rPr>
          <w:rFonts w:eastAsia="仿宋_GB2312"/>
          <w:sz w:val="32"/>
          <w:szCs w:val="32"/>
        </w:rPr>
      </w:pPr>
    </w:p>
    <w:p w14:paraId="7B822E07">
      <w:pPr>
        <w:spacing w:line="594"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德阳市罗江区中医医院</w:t>
      </w:r>
    </w:p>
    <w:p w14:paraId="45AEE542">
      <w:pPr>
        <w:spacing w:line="594"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关于2020取消药品加成补助经费（县级）</w:t>
      </w:r>
    </w:p>
    <w:p w14:paraId="3229BA4F">
      <w:pPr>
        <w:spacing w:line="594"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项目支出绩效自评报告</w:t>
      </w:r>
    </w:p>
    <w:p w14:paraId="272FE15F">
      <w:pPr>
        <w:spacing w:line="540" w:lineRule="exact"/>
        <w:ind w:firstLine="640" w:firstLineChars="200"/>
        <w:rPr>
          <w:rFonts w:eastAsia="黑体"/>
          <w:bCs/>
          <w:sz w:val="32"/>
          <w:szCs w:val="32"/>
        </w:rPr>
      </w:pPr>
      <w:r>
        <w:rPr>
          <w:rFonts w:eastAsia="黑体"/>
          <w:bCs/>
          <w:sz w:val="32"/>
          <w:szCs w:val="32"/>
        </w:rPr>
        <w:t>一</w:t>
      </w:r>
      <w:r>
        <w:rPr>
          <w:rFonts w:hint="eastAsia" w:eastAsia="黑体"/>
          <w:bCs/>
          <w:sz w:val="32"/>
          <w:szCs w:val="32"/>
        </w:rPr>
        <w:t>、资金</w:t>
      </w:r>
      <w:r>
        <w:rPr>
          <w:rFonts w:eastAsia="黑体"/>
          <w:bCs/>
          <w:sz w:val="32"/>
          <w:szCs w:val="32"/>
        </w:rPr>
        <w:t>下达情况</w:t>
      </w:r>
    </w:p>
    <w:p w14:paraId="6B509CE0">
      <w:pPr>
        <w:spacing w:line="540" w:lineRule="exact"/>
        <w:ind w:firstLine="640" w:firstLineChars="200"/>
        <w:outlineLvl w:val="0"/>
        <w:rPr>
          <w:rFonts w:eastAsia="仿宋_GB2312"/>
          <w:sz w:val="32"/>
          <w:szCs w:val="32"/>
        </w:rPr>
      </w:pPr>
      <w:r>
        <w:rPr>
          <w:rFonts w:eastAsia="仿宋_GB2312"/>
          <w:sz w:val="32"/>
          <w:szCs w:val="32"/>
        </w:rPr>
        <w:t>20</w:t>
      </w:r>
      <w:r>
        <w:rPr>
          <w:rFonts w:hint="eastAsia" w:eastAsia="仿宋_GB2312"/>
          <w:sz w:val="32"/>
          <w:szCs w:val="32"/>
        </w:rPr>
        <w:t>20</w:t>
      </w:r>
      <w:r>
        <w:rPr>
          <w:rFonts w:eastAsia="仿宋_GB2312"/>
          <w:sz w:val="32"/>
          <w:szCs w:val="32"/>
        </w:rPr>
        <w:t>年</w:t>
      </w:r>
      <w:r>
        <w:rPr>
          <w:rFonts w:hint="eastAsia" w:eastAsia="仿宋_GB2312"/>
          <w:sz w:val="32"/>
          <w:szCs w:val="32"/>
        </w:rPr>
        <w:t>6月3日，德阳市罗江区财政局下达了县级公立医院取消药品加成（县级）补助资金22.27万元（2020年部门预算批复表）</w:t>
      </w:r>
    </w:p>
    <w:p w14:paraId="2235E644">
      <w:pPr>
        <w:spacing w:line="540" w:lineRule="exact"/>
        <w:ind w:firstLine="600" w:firstLineChars="200"/>
        <w:rPr>
          <w:rFonts w:eastAsia="黑体"/>
          <w:bCs/>
          <w:sz w:val="30"/>
          <w:szCs w:val="32"/>
        </w:rPr>
      </w:pPr>
      <w:r>
        <w:rPr>
          <w:rFonts w:eastAsia="黑体"/>
          <w:bCs/>
          <w:sz w:val="30"/>
          <w:szCs w:val="32"/>
        </w:rPr>
        <w:t>二、绩效目标完成情况</w:t>
      </w:r>
    </w:p>
    <w:p w14:paraId="535107FE">
      <w:pPr>
        <w:spacing w:line="540" w:lineRule="exact"/>
        <w:ind w:firstLine="643" w:firstLineChars="200"/>
        <w:outlineLvl w:val="0"/>
        <w:rPr>
          <w:rFonts w:eastAsia="楷体_GB2312"/>
          <w:b/>
          <w:bCs/>
          <w:sz w:val="32"/>
          <w:szCs w:val="32"/>
        </w:rPr>
      </w:pPr>
      <w:r>
        <w:rPr>
          <w:rFonts w:eastAsia="楷体_GB2312"/>
          <w:b/>
          <w:bCs/>
          <w:sz w:val="32"/>
          <w:szCs w:val="32"/>
        </w:rPr>
        <w:t>（一）资金投入情况。</w:t>
      </w:r>
    </w:p>
    <w:p w14:paraId="50A5EB5C">
      <w:pPr>
        <w:spacing w:line="54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项目资金执行情况。按照</w:t>
      </w:r>
      <w:r>
        <w:rPr>
          <w:rFonts w:hint="eastAsia" w:eastAsia="仿宋_GB2312"/>
          <w:sz w:val="32"/>
          <w:szCs w:val="32"/>
        </w:rPr>
        <w:t>县级公立医院取消药品加成补助</w:t>
      </w:r>
      <w:r>
        <w:rPr>
          <w:rFonts w:eastAsia="仿宋_GB2312"/>
          <w:sz w:val="32"/>
          <w:szCs w:val="32"/>
        </w:rPr>
        <w:t>实施方案，区</w:t>
      </w:r>
      <w:r>
        <w:rPr>
          <w:rFonts w:hint="eastAsia" w:eastAsia="仿宋_GB2312"/>
          <w:sz w:val="32"/>
          <w:szCs w:val="32"/>
        </w:rPr>
        <w:t>财政局向我院下达了2020县级取消药品加成补助资金22.27万元。</w:t>
      </w:r>
    </w:p>
    <w:p w14:paraId="49B62335">
      <w:pPr>
        <w:spacing w:line="54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项目资金管理情况。按照专项资金管理办法，补助资金实行专项核算、专项管理</w:t>
      </w:r>
      <w:r>
        <w:rPr>
          <w:rFonts w:hint="eastAsia" w:eastAsia="仿宋_GB2312"/>
          <w:sz w:val="32"/>
          <w:szCs w:val="32"/>
        </w:rPr>
        <w:t>，</w:t>
      </w:r>
      <w:r>
        <w:rPr>
          <w:rFonts w:eastAsia="仿宋_GB2312"/>
          <w:sz w:val="32"/>
          <w:szCs w:val="32"/>
        </w:rPr>
        <w:t>保证了资金的安全。</w:t>
      </w:r>
    </w:p>
    <w:p w14:paraId="1561F578">
      <w:pPr>
        <w:spacing w:line="540" w:lineRule="exact"/>
        <w:ind w:firstLine="643" w:firstLineChars="200"/>
        <w:outlineLvl w:val="0"/>
        <w:rPr>
          <w:rFonts w:eastAsia="楷体_GB2312"/>
          <w:b/>
          <w:bCs/>
          <w:sz w:val="32"/>
          <w:szCs w:val="32"/>
        </w:rPr>
      </w:pPr>
      <w:r>
        <w:rPr>
          <w:rFonts w:eastAsia="楷体_GB2312"/>
          <w:b/>
          <w:bCs/>
          <w:sz w:val="32"/>
          <w:szCs w:val="32"/>
        </w:rPr>
        <w:t>（二）总体绩效目标完成情况。</w:t>
      </w:r>
    </w:p>
    <w:p w14:paraId="1ECA6208">
      <w:pPr>
        <w:spacing w:line="540" w:lineRule="exact"/>
        <w:ind w:firstLine="640" w:firstLineChars="200"/>
        <w:outlineLvl w:val="0"/>
        <w:rPr>
          <w:rFonts w:eastAsia="仿宋_GB2312"/>
          <w:bCs/>
          <w:sz w:val="32"/>
          <w:szCs w:val="32"/>
        </w:rPr>
      </w:pPr>
      <w:r>
        <w:rPr>
          <w:rFonts w:hint="eastAsia" w:eastAsia="仿宋_GB2312"/>
          <w:bCs/>
          <w:sz w:val="32"/>
          <w:szCs w:val="32"/>
        </w:rPr>
        <w:t>推动落实各项公立医院综合改革任务。促进县域医疗卫生服务体系进一步完善，努力让群众就地就医，巩固破除医药补医改革成果，完善公立医院运行新机制，现代管理医院制度初步建立，医疗服务体系能力明显提升，就医秩序得到改善。</w:t>
      </w:r>
    </w:p>
    <w:p w14:paraId="193A9855">
      <w:pPr>
        <w:spacing w:line="540" w:lineRule="exact"/>
        <w:ind w:firstLine="643" w:firstLineChars="200"/>
        <w:outlineLvl w:val="0"/>
        <w:rPr>
          <w:rFonts w:eastAsia="仿宋_GB2312"/>
          <w:sz w:val="30"/>
          <w:szCs w:val="32"/>
        </w:rPr>
      </w:pPr>
      <w:r>
        <w:rPr>
          <w:rFonts w:eastAsia="楷体_GB2312"/>
          <w:b/>
          <w:bCs/>
          <w:sz w:val="32"/>
          <w:szCs w:val="32"/>
        </w:rPr>
        <w:t>（三）绩效指标完成情况。</w:t>
      </w:r>
    </w:p>
    <w:p w14:paraId="037CA38D">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1.产出指标完成情况分析。</w:t>
      </w:r>
    </w:p>
    <w:p w14:paraId="35DA21CA">
      <w:pPr>
        <w:spacing w:line="594"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w:t>
      </w:r>
      <w:r>
        <w:rPr>
          <w:rFonts w:eastAsia="仿宋_GB2312"/>
          <w:sz w:val="32"/>
          <w:szCs w:val="32"/>
        </w:rPr>
        <w:t>）质量指标。</w:t>
      </w:r>
      <w:r>
        <w:rPr>
          <w:rFonts w:hint="eastAsia" w:eastAsia="仿宋_GB2312"/>
          <w:sz w:val="32"/>
          <w:szCs w:val="32"/>
        </w:rPr>
        <w:t>医疗服务能力得到提升，药占比（不含中药饮片）总体降到30%以下。</w:t>
      </w:r>
    </w:p>
    <w:p w14:paraId="0D0640EA">
      <w:pPr>
        <w:spacing w:line="594"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2.效益指标完成情况。</w:t>
      </w:r>
    </w:p>
    <w:p w14:paraId="6467D530">
      <w:pPr>
        <w:spacing w:line="594"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社会</w:t>
      </w:r>
      <w:r>
        <w:rPr>
          <w:rFonts w:eastAsia="仿宋_GB2312"/>
          <w:sz w:val="32"/>
          <w:szCs w:val="32"/>
        </w:rPr>
        <w:t>效益指标。</w:t>
      </w:r>
      <w:r>
        <w:rPr>
          <w:rFonts w:hint="eastAsia" w:eastAsia="仿宋_GB2312"/>
          <w:sz w:val="32"/>
          <w:szCs w:val="32"/>
        </w:rPr>
        <w:t>医疗费用增幅稳定在合理水平，个人卫生支出占卫生总费用的比例降低</w:t>
      </w:r>
      <w:r>
        <w:rPr>
          <w:rFonts w:eastAsia="仿宋_GB2312"/>
          <w:sz w:val="32"/>
          <w:szCs w:val="32"/>
        </w:rPr>
        <w:t>。</w:t>
      </w:r>
    </w:p>
    <w:p w14:paraId="5DF161ED">
      <w:pPr>
        <w:spacing w:line="594" w:lineRule="exact"/>
        <w:ind w:firstLine="640" w:firstLineChars="200"/>
        <w:rPr>
          <w:rFonts w:eastAsia="仿宋_GB2312"/>
          <w:sz w:val="32"/>
          <w:szCs w:val="32"/>
        </w:rPr>
      </w:pPr>
      <w:r>
        <w:rPr>
          <w:rFonts w:hint="eastAsia" w:eastAsia="仿宋_GB2312"/>
          <w:sz w:val="32"/>
          <w:szCs w:val="32"/>
        </w:rPr>
        <w:t>（2）经济效益指标。医院得到发展，群众得到实惠。</w:t>
      </w:r>
    </w:p>
    <w:p w14:paraId="4282BD82">
      <w:pPr>
        <w:spacing w:line="594" w:lineRule="exact"/>
        <w:ind w:firstLine="640" w:firstLineChars="200"/>
        <w:rPr>
          <w:rFonts w:eastAsia="仿宋_GB2312"/>
          <w:sz w:val="32"/>
          <w:szCs w:val="32"/>
        </w:rPr>
      </w:pPr>
      <w:r>
        <w:rPr>
          <w:rFonts w:hint="eastAsia" w:eastAsia="仿宋_GB2312"/>
          <w:sz w:val="32"/>
          <w:szCs w:val="32"/>
        </w:rPr>
        <w:t>（3）满意度指标完成情况。</w:t>
      </w:r>
    </w:p>
    <w:p w14:paraId="4FFF157B">
      <w:pPr>
        <w:spacing w:line="594" w:lineRule="exact"/>
        <w:ind w:firstLine="640" w:firstLineChars="200"/>
        <w:rPr>
          <w:rFonts w:eastAsia="仿宋_GB2312"/>
          <w:sz w:val="32"/>
          <w:szCs w:val="32"/>
        </w:rPr>
      </w:pPr>
      <w:r>
        <w:rPr>
          <w:rFonts w:hint="eastAsia" w:eastAsia="仿宋_GB2312"/>
          <w:sz w:val="32"/>
          <w:szCs w:val="32"/>
        </w:rPr>
        <w:t>患者满意度不断提高。</w:t>
      </w:r>
    </w:p>
    <w:p w14:paraId="49114E1E">
      <w:pPr>
        <w:spacing w:line="594" w:lineRule="exact"/>
        <w:ind w:firstLine="640" w:firstLineChars="200"/>
        <w:rPr>
          <w:rFonts w:eastAsia="仿宋_GB2312"/>
          <w:sz w:val="32"/>
          <w:szCs w:val="32"/>
        </w:rPr>
      </w:pPr>
      <w:r>
        <w:rPr>
          <w:rFonts w:hint="eastAsia" w:eastAsia="仿宋_GB2312"/>
          <w:sz w:val="32"/>
          <w:szCs w:val="32"/>
        </w:rPr>
        <w:t>（4）可持续影响指标。</w:t>
      </w:r>
    </w:p>
    <w:p w14:paraId="1ECFF9ED">
      <w:pPr>
        <w:spacing w:line="594" w:lineRule="exact"/>
        <w:ind w:firstLine="640" w:firstLineChars="200"/>
        <w:rPr>
          <w:rFonts w:eastAsia="仿宋_GB2312"/>
          <w:sz w:val="32"/>
          <w:szCs w:val="32"/>
        </w:rPr>
      </w:pPr>
      <w:r>
        <w:rPr>
          <w:rFonts w:hint="eastAsia" w:eastAsia="仿宋_GB2312"/>
          <w:sz w:val="32"/>
          <w:szCs w:val="32"/>
        </w:rPr>
        <w:t>医改工作得到发展。</w:t>
      </w:r>
    </w:p>
    <w:p w14:paraId="4C358313">
      <w:pPr>
        <w:spacing w:line="594" w:lineRule="exact"/>
        <w:ind w:firstLine="640" w:firstLineChars="200"/>
        <w:rPr>
          <w:rFonts w:eastAsia="仿宋_GB2312"/>
          <w:bCs/>
          <w:sz w:val="32"/>
          <w:szCs w:val="32"/>
        </w:rPr>
      </w:pPr>
      <w:r>
        <w:rPr>
          <w:rFonts w:eastAsia="仿宋_GB2312"/>
          <w:bCs/>
          <w:sz w:val="32"/>
          <w:szCs w:val="32"/>
        </w:rPr>
        <w:t>通过对项目进行绩效评价工作，明确了下一步工作的方向，</w:t>
      </w:r>
      <w:r>
        <w:rPr>
          <w:rFonts w:hint="eastAsia" w:eastAsia="仿宋_GB2312"/>
          <w:bCs/>
          <w:sz w:val="32"/>
          <w:szCs w:val="32"/>
        </w:rPr>
        <w:t>现代医院管理制度初步建立，医疗服务能力体系明显提升，就医秩序道德明显改善，医疗卫生服务体系进一步完善。</w:t>
      </w:r>
    </w:p>
    <w:p w14:paraId="64E71CDB">
      <w:pPr>
        <w:spacing w:line="594" w:lineRule="exact"/>
        <w:ind w:firstLine="600" w:firstLineChars="200"/>
        <w:rPr>
          <w:rFonts w:eastAsia="仿宋_GB2312"/>
          <w:sz w:val="30"/>
        </w:rPr>
      </w:pPr>
    </w:p>
    <w:p w14:paraId="76F611A1">
      <w:pPr>
        <w:spacing w:line="540" w:lineRule="exact"/>
        <w:rPr>
          <w:rFonts w:eastAsia="仿宋_GB2312"/>
          <w:sz w:val="30"/>
        </w:rPr>
      </w:pPr>
    </w:p>
    <w:p w14:paraId="261C43DA">
      <w:pPr>
        <w:spacing w:line="600" w:lineRule="exact"/>
        <w:jc w:val="center"/>
        <w:outlineLvl w:val="0"/>
        <w:rPr>
          <w:rFonts w:eastAsia="黑体"/>
          <w:color w:val="000000"/>
          <w:sz w:val="44"/>
          <w:szCs w:val="44"/>
        </w:rPr>
      </w:pPr>
    </w:p>
    <w:p w14:paraId="4FE319B9">
      <w:pPr>
        <w:spacing w:line="600" w:lineRule="exact"/>
        <w:jc w:val="center"/>
        <w:outlineLvl w:val="0"/>
        <w:rPr>
          <w:rFonts w:eastAsia="黑体"/>
          <w:color w:val="000000"/>
          <w:sz w:val="44"/>
          <w:szCs w:val="44"/>
        </w:rPr>
      </w:pPr>
    </w:p>
    <w:p w14:paraId="72CA93BA">
      <w:pPr>
        <w:spacing w:line="600" w:lineRule="exact"/>
        <w:jc w:val="center"/>
        <w:outlineLvl w:val="0"/>
        <w:rPr>
          <w:rFonts w:eastAsia="黑体"/>
          <w:color w:val="000000"/>
          <w:sz w:val="44"/>
          <w:szCs w:val="44"/>
        </w:rPr>
      </w:pPr>
    </w:p>
    <w:p w14:paraId="308076BB">
      <w:pPr>
        <w:spacing w:line="600" w:lineRule="exact"/>
        <w:jc w:val="center"/>
        <w:outlineLvl w:val="0"/>
        <w:rPr>
          <w:rFonts w:eastAsia="黑体"/>
          <w:color w:val="000000"/>
          <w:sz w:val="44"/>
          <w:szCs w:val="44"/>
        </w:rPr>
      </w:pPr>
    </w:p>
    <w:p w14:paraId="47E6E297">
      <w:pPr>
        <w:spacing w:line="600" w:lineRule="exact"/>
        <w:jc w:val="center"/>
        <w:outlineLvl w:val="0"/>
        <w:rPr>
          <w:rFonts w:eastAsia="黑体"/>
          <w:color w:val="000000"/>
          <w:sz w:val="44"/>
          <w:szCs w:val="44"/>
        </w:rPr>
      </w:pPr>
    </w:p>
    <w:p w14:paraId="44FE768F">
      <w:pPr>
        <w:spacing w:line="600" w:lineRule="exact"/>
        <w:jc w:val="center"/>
        <w:outlineLvl w:val="0"/>
        <w:rPr>
          <w:rFonts w:eastAsia="黑体"/>
          <w:color w:val="000000"/>
          <w:sz w:val="44"/>
          <w:szCs w:val="44"/>
        </w:rPr>
      </w:pPr>
    </w:p>
    <w:p w14:paraId="3A500494">
      <w:pPr>
        <w:spacing w:line="580" w:lineRule="exact"/>
        <w:rPr>
          <w:rFonts w:eastAsia="黑体"/>
          <w:sz w:val="32"/>
          <w:szCs w:val="32"/>
        </w:rPr>
      </w:pPr>
    </w:p>
    <w:p w14:paraId="0A6647BA">
      <w:pPr>
        <w:spacing w:line="580" w:lineRule="exact"/>
        <w:rPr>
          <w:rFonts w:eastAsia="仿宋_GB2312"/>
          <w:sz w:val="32"/>
          <w:szCs w:val="32"/>
        </w:rPr>
      </w:pPr>
      <w:r>
        <w:rPr>
          <w:rFonts w:eastAsia="黑体"/>
          <w:sz w:val="32"/>
          <w:szCs w:val="32"/>
        </w:rPr>
        <w:t>附件</w:t>
      </w:r>
      <w:r>
        <w:rPr>
          <w:rFonts w:hint="eastAsia" w:eastAsia="黑体"/>
          <w:sz w:val="32"/>
          <w:szCs w:val="32"/>
        </w:rPr>
        <w:t>5</w:t>
      </w:r>
    </w:p>
    <w:p w14:paraId="5C6A0985">
      <w:pPr>
        <w:spacing w:line="580" w:lineRule="exact"/>
        <w:ind w:firstLine="640" w:firstLineChars="200"/>
        <w:rPr>
          <w:rFonts w:eastAsia="仿宋_GB2312"/>
          <w:sz w:val="32"/>
          <w:szCs w:val="32"/>
        </w:rPr>
      </w:pPr>
    </w:p>
    <w:p w14:paraId="561C2BF4">
      <w:pPr>
        <w:spacing w:line="594" w:lineRule="exact"/>
        <w:jc w:val="center"/>
        <w:rPr>
          <w:rFonts w:eastAsia="方正小标宋简体"/>
          <w:b/>
          <w:bCs/>
          <w:sz w:val="36"/>
          <w:szCs w:val="36"/>
        </w:rPr>
      </w:pPr>
      <w:r>
        <w:rPr>
          <w:rFonts w:eastAsia="方正小标宋简体"/>
          <w:b/>
          <w:bCs/>
          <w:sz w:val="36"/>
          <w:szCs w:val="36"/>
        </w:rPr>
        <w:t>德阳市罗江区</w:t>
      </w:r>
      <w:r>
        <w:rPr>
          <w:rFonts w:hint="eastAsia" w:eastAsia="方正小标宋简体"/>
          <w:b/>
          <w:bCs/>
          <w:sz w:val="36"/>
          <w:szCs w:val="36"/>
        </w:rPr>
        <w:t>中医医院</w:t>
      </w:r>
    </w:p>
    <w:p w14:paraId="340EF44C">
      <w:pPr>
        <w:spacing w:line="594" w:lineRule="exact"/>
        <w:jc w:val="center"/>
        <w:rPr>
          <w:rFonts w:eastAsia="方正小标宋简体"/>
          <w:b/>
          <w:bCs/>
          <w:sz w:val="36"/>
          <w:szCs w:val="36"/>
        </w:rPr>
      </w:pPr>
      <w:r>
        <w:rPr>
          <w:rFonts w:eastAsia="方正小标宋简体"/>
          <w:b/>
          <w:bCs/>
          <w:sz w:val="36"/>
          <w:szCs w:val="36"/>
        </w:rPr>
        <w:t>关于</w:t>
      </w:r>
      <w:r>
        <w:rPr>
          <w:rFonts w:hint="eastAsia" w:eastAsia="方正小标宋简体"/>
          <w:b/>
          <w:bCs/>
          <w:sz w:val="36"/>
          <w:szCs w:val="36"/>
        </w:rPr>
        <w:t>万名骨干人才（肖丽）培养</w:t>
      </w:r>
    </w:p>
    <w:p w14:paraId="76E4EDE7">
      <w:pPr>
        <w:spacing w:line="594" w:lineRule="exact"/>
        <w:jc w:val="center"/>
        <w:rPr>
          <w:rFonts w:eastAsia="方正小标宋简体"/>
          <w:b/>
          <w:bCs/>
          <w:sz w:val="36"/>
          <w:szCs w:val="36"/>
        </w:rPr>
      </w:pPr>
      <w:r>
        <w:rPr>
          <w:rFonts w:eastAsia="方正小标宋简体"/>
          <w:b/>
          <w:bCs/>
          <w:sz w:val="36"/>
          <w:szCs w:val="36"/>
        </w:rPr>
        <w:t>项目支出绩效自评报告</w:t>
      </w:r>
    </w:p>
    <w:p w14:paraId="57DD5DEA">
      <w:pPr>
        <w:spacing w:line="540" w:lineRule="exact"/>
        <w:rPr>
          <w:rFonts w:eastAsia="黑体"/>
          <w:b/>
          <w:bCs/>
          <w:sz w:val="32"/>
          <w:szCs w:val="32"/>
        </w:rPr>
      </w:pPr>
    </w:p>
    <w:p w14:paraId="7174E827">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8月19日，德阳市罗江区财政局下达了2019年医疗服务与保障能力提升（中医药事业传承与发展部分）中央财政补助资金的通知（德市罗财社〔2019〕52号）文件，资金共计6.3万元，其中：万名骨干人才培养3万元，为加强预算绩效管理，切实提高财政资金使用效率，我单位与2020年2月16日制定了该项目实施方案，现将该项目实施情况汇报如下：</w:t>
      </w:r>
    </w:p>
    <w:p w14:paraId="3BBACF1B">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传承精华，守正创新，进一步做好我区中医药事业传承与发展工作，经国家中管局批准，我区肛肠科批准为全国基层名老中医药专家传承工作室建设单位，德阳市名中医、主任中医师李金隆为指导老师；根据《四川省财政厅、四川省中医药管理局关于下达2019年医疗服务与保障能力提升（中医药事业传承与发展部分）中央补助资金的通知》、《德阳市卫生健康委2020年中央财政中医药传承与发展资金项目管理方案》的精神，下达我院中医药传承与创新万名骨干人才培养经费3万元，培养高层次的中医药人才。</w:t>
      </w:r>
    </w:p>
    <w:p w14:paraId="2976F3D0">
      <w:pPr>
        <w:pStyle w:val="33"/>
        <w:ind w:firstLine="640"/>
        <w:rPr>
          <w:rFonts w:ascii="黑体" w:hAnsi="黑体" w:eastAsia="黑体" w:cs="黑体"/>
          <w:sz w:val="32"/>
          <w:szCs w:val="32"/>
        </w:rPr>
      </w:pPr>
    </w:p>
    <w:p w14:paraId="663E9A61">
      <w:pPr>
        <w:pStyle w:val="33"/>
        <w:ind w:firstLine="640"/>
        <w:rPr>
          <w:rFonts w:ascii="黑体" w:hAnsi="黑体" w:eastAsia="黑体" w:cs="黑体"/>
          <w:sz w:val="32"/>
          <w:szCs w:val="32"/>
        </w:rPr>
      </w:pPr>
      <w:r>
        <w:rPr>
          <w:rFonts w:hint="eastAsia" w:ascii="黑体" w:hAnsi="黑体" w:eastAsia="黑体" w:cs="黑体"/>
          <w:sz w:val="32"/>
          <w:szCs w:val="32"/>
        </w:rPr>
        <w:t>一、项目资金安排情况</w:t>
      </w:r>
    </w:p>
    <w:p w14:paraId="656A84E2">
      <w:pPr>
        <w:spacing w:line="594"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（一）全国中医药特色技术传承人才培训项目</w:t>
      </w:r>
    </w:p>
    <w:p w14:paraId="6718F42E">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开展2019年全国中药特色技术传承人才培训项目培养对象选拔工作的通知》精神，我院副主任中药师肖丽经考试遴选为全国中医药特色技术传承人才培训项目培养对象，我院十分珍惜这一难得的机遇，将大力支持该员积极参加岐黄工程项目培训。</w:t>
      </w:r>
    </w:p>
    <w:p w14:paraId="38ACA8E8">
      <w:pPr>
        <w:pStyle w:val="33"/>
        <w:spacing w:line="594" w:lineRule="exact"/>
        <w:ind w:left="420" w:leftChars="200" w:firstLine="321" w:firstLineChars="100"/>
        <w:rPr>
          <w:rFonts w:ascii="仿宋_GB2312" w:hAnsi="仿宋_GB2312" w:eastAsia="仿宋_GB2312" w:cs="仿宋_GB2312"/>
          <w:b/>
          <w:bCs/>
          <w:color w:val="333333"/>
          <w:kern w:val="0"/>
          <w:sz w:val="32"/>
          <w:szCs w:val="32"/>
          <w:shd w:val="clear" w:color="auto" w:fill="FFFFFF"/>
        </w:rPr>
      </w:pPr>
      <w:r>
        <w:rPr>
          <w:rFonts w:hint="eastAsia" w:ascii="仿宋_GB2312" w:hAnsi="仿宋_GB2312" w:eastAsia="仿宋_GB2312" w:cs="仿宋_GB2312"/>
          <w:b/>
          <w:bCs/>
          <w:color w:val="333333"/>
          <w:kern w:val="0"/>
          <w:sz w:val="32"/>
          <w:szCs w:val="32"/>
          <w:shd w:val="clear" w:color="auto" w:fill="FFFFFF"/>
        </w:rPr>
        <w:t>1.积极参加全国中药特色技术项目培训。</w:t>
      </w:r>
    </w:p>
    <w:p w14:paraId="7CB3399C">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排参加全国中药特色技术项目培训项目、北京培训基地新疆培训基地、云南培训基地、广东培训基地、黑龙江培训基地，学习中药制剂特色治疗技术、中药鲜药辨识及临床运用，中药炮制、饮片质量标准，2020版《中国药典》饮片标准修订工作进展、中医药经典解读、信息化技术在中药、成药、中药煎煮中的应用，每年安排六期，每期安排培训费3300元左右（含食宿费、资料费、培训费）、往返交通费2200元，全年经费3.3万元左右，实施年限为三年。</w:t>
      </w:r>
    </w:p>
    <w:p w14:paraId="6FD79D7E">
      <w:pPr>
        <w:pStyle w:val="9"/>
        <w:spacing w:before="93" w:line="594" w:lineRule="exact"/>
        <w:ind w:firstLine="643" w:firstLineChars="200"/>
        <w:rPr>
          <w:rFonts w:hAnsi="仿宋_GB2312" w:cs="仿宋_GB2312"/>
          <w:b/>
          <w:bCs/>
          <w:color w:val="333333"/>
          <w:sz w:val="32"/>
          <w:szCs w:val="32"/>
          <w:shd w:val="clear" w:color="auto" w:fill="FFFFFF"/>
        </w:rPr>
      </w:pPr>
      <w:r>
        <w:rPr>
          <w:rFonts w:hint="eastAsia" w:hAnsi="仿宋_GB2312" w:cs="仿宋_GB2312"/>
          <w:b/>
          <w:bCs/>
          <w:color w:val="333333"/>
          <w:sz w:val="32"/>
          <w:szCs w:val="32"/>
          <w:shd w:val="clear" w:color="auto" w:fill="FFFFFF"/>
        </w:rPr>
        <w:t>2.购买中医药经典著作及学习用具。</w:t>
      </w:r>
    </w:p>
    <w:p w14:paraId="1F3BC58B">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购买《神龙本草经》、《本草纲目》、《黄帝内经》及《伤寒杂病论》全套书籍，安排经费3000元。</w:t>
      </w:r>
    </w:p>
    <w:p w14:paraId="0F435FAE">
      <w:pPr>
        <w:pStyle w:val="9"/>
        <w:spacing w:beforeLines="0"/>
        <w:ind w:firstLine="640" w:firstLineChars="200"/>
        <w:jc w:val="left"/>
        <w:rPr>
          <w:rFonts w:ascii="黑体" w:hAnsi="黑体" w:eastAsia="黑体" w:cs="黑体"/>
          <w:sz w:val="32"/>
          <w:szCs w:val="32"/>
        </w:rPr>
      </w:pPr>
      <w:r>
        <w:rPr>
          <w:rFonts w:hint="eastAsia" w:ascii="黑体" w:hAnsi="黑体" w:eastAsia="黑体" w:cs="黑体"/>
          <w:sz w:val="32"/>
          <w:szCs w:val="32"/>
        </w:rPr>
        <w:t>二、项目资金使用情况</w:t>
      </w:r>
    </w:p>
    <w:p w14:paraId="70D32BB5">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全国中医药特色技术传承人才培训项目</w:t>
      </w:r>
    </w:p>
    <w:p w14:paraId="61D1B099">
      <w:pPr>
        <w:spacing w:line="59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5月20日-5月26日，副主任中药师参加了北京基地培训，经费开支4802元；2019年6月21日-6月27日参加了乌鲁木齐基地培训，经费开支5882元；2019年7月27日-8月2日参加了云南基地培训，开支经费5139元；2019年11月参加了广州基地培训，开支经费4662元，2020年1月，参加了黑龙江基地培训，使用资金5398元，2020年8月24日-8月29日参加了广西南宁基地培训，使用资金4292.00元合计已使用经费30175.00元（多余175.00元继续使用2020年专项资金）。该资金已全部使用完毕，资金执行率为100%。</w:t>
      </w:r>
    </w:p>
    <w:p w14:paraId="4EA7C460">
      <w:pPr>
        <w:spacing w:line="594" w:lineRule="exact"/>
        <w:ind w:firstLine="960" w:firstLineChars="300"/>
        <w:jc w:val="left"/>
        <w:rPr>
          <w:rFonts w:cs="仿宋_GB2312" w:asciiTheme="majorEastAsia" w:hAnsiTheme="majorEastAsia" w:eastAsiaTheme="majorEastAsia"/>
          <w:sz w:val="32"/>
          <w:szCs w:val="32"/>
        </w:rPr>
      </w:pPr>
    </w:p>
    <w:p w14:paraId="2E5670C8">
      <w:pPr>
        <w:pStyle w:val="2"/>
      </w:pPr>
    </w:p>
    <w:p w14:paraId="17EBDDCA">
      <w:pPr>
        <w:pStyle w:val="2"/>
      </w:pPr>
    </w:p>
    <w:p w14:paraId="52DB23D9">
      <w:pPr>
        <w:pStyle w:val="9"/>
        <w:spacing w:before="93"/>
        <w:ind w:left="1800"/>
        <w:jc w:val="left"/>
        <w:rPr>
          <w:rFonts w:cs="黑体" w:asciiTheme="majorEastAsia" w:hAnsiTheme="majorEastAsia" w:eastAsiaTheme="majorEastAsia"/>
          <w:color w:val="333333"/>
          <w:sz w:val="32"/>
          <w:szCs w:val="32"/>
          <w:shd w:val="clear" w:color="auto" w:fill="FFFFFF"/>
        </w:rPr>
      </w:pPr>
    </w:p>
    <w:p w14:paraId="56BF2866">
      <w:pPr>
        <w:pStyle w:val="9"/>
        <w:spacing w:before="93"/>
        <w:ind w:left="1800"/>
        <w:jc w:val="left"/>
        <w:rPr>
          <w:rFonts w:cs="黑体" w:asciiTheme="majorEastAsia" w:hAnsiTheme="majorEastAsia" w:eastAsiaTheme="majorEastAsia"/>
          <w:color w:val="333333"/>
          <w:sz w:val="32"/>
          <w:szCs w:val="32"/>
          <w:shd w:val="clear" w:color="auto" w:fill="FFFFFF"/>
        </w:rPr>
      </w:pPr>
    </w:p>
    <w:p w14:paraId="3206AC90">
      <w:pPr>
        <w:pStyle w:val="9"/>
        <w:spacing w:before="93"/>
        <w:ind w:left="1800"/>
        <w:jc w:val="left"/>
        <w:rPr>
          <w:rFonts w:cs="黑体" w:asciiTheme="majorEastAsia" w:hAnsiTheme="majorEastAsia" w:eastAsiaTheme="majorEastAsia"/>
          <w:color w:val="333333"/>
          <w:sz w:val="32"/>
          <w:szCs w:val="32"/>
          <w:shd w:val="clear" w:color="auto" w:fill="FFFFFF"/>
        </w:rPr>
      </w:pPr>
    </w:p>
    <w:p w14:paraId="26252760">
      <w:pPr>
        <w:pStyle w:val="9"/>
        <w:spacing w:before="93"/>
        <w:ind w:left="1800"/>
        <w:jc w:val="left"/>
        <w:rPr>
          <w:rFonts w:cs="黑体" w:asciiTheme="majorEastAsia" w:hAnsiTheme="majorEastAsia" w:eastAsiaTheme="majorEastAsia"/>
          <w:color w:val="333333"/>
          <w:sz w:val="32"/>
          <w:szCs w:val="32"/>
          <w:shd w:val="clear" w:color="auto" w:fill="FFFFFF"/>
        </w:rPr>
      </w:pPr>
    </w:p>
    <w:p w14:paraId="41C206D2">
      <w:pPr>
        <w:pStyle w:val="9"/>
        <w:spacing w:before="93"/>
        <w:ind w:left="1800"/>
        <w:jc w:val="left"/>
        <w:rPr>
          <w:rFonts w:cs="黑体" w:asciiTheme="majorEastAsia" w:hAnsiTheme="majorEastAsia" w:eastAsiaTheme="majorEastAsia"/>
          <w:color w:val="333333"/>
          <w:sz w:val="32"/>
          <w:szCs w:val="32"/>
          <w:shd w:val="clear" w:color="auto" w:fill="FFFFFF"/>
        </w:rPr>
      </w:pPr>
    </w:p>
    <w:p w14:paraId="23EB7DDA">
      <w:pPr>
        <w:pStyle w:val="9"/>
        <w:spacing w:before="93"/>
        <w:ind w:left="1800"/>
        <w:jc w:val="left"/>
        <w:rPr>
          <w:rFonts w:cs="黑体" w:asciiTheme="majorEastAsia" w:hAnsiTheme="majorEastAsia" w:eastAsiaTheme="majorEastAsia"/>
          <w:color w:val="333333"/>
          <w:sz w:val="32"/>
          <w:szCs w:val="32"/>
          <w:shd w:val="clear" w:color="auto" w:fill="FFFFFF"/>
        </w:rPr>
      </w:pPr>
    </w:p>
    <w:p w14:paraId="6ACBF05C">
      <w:pPr>
        <w:pStyle w:val="9"/>
        <w:spacing w:before="93"/>
        <w:ind w:left="1800"/>
        <w:jc w:val="left"/>
        <w:rPr>
          <w:rFonts w:cs="黑体" w:asciiTheme="majorEastAsia" w:hAnsiTheme="majorEastAsia" w:eastAsiaTheme="majorEastAsia"/>
          <w:color w:val="333333"/>
          <w:sz w:val="32"/>
          <w:szCs w:val="32"/>
          <w:shd w:val="clear" w:color="auto" w:fill="FFFFFF"/>
        </w:rPr>
      </w:pPr>
    </w:p>
    <w:p w14:paraId="3A8F43AC">
      <w:pPr>
        <w:pStyle w:val="9"/>
        <w:spacing w:before="93"/>
        <w:ind w:left="1800"/>
        <w:jc w:val="left"/>
        <w:rPr>
          <w:rFonts w:cs="黑体" w:asciiTheme="majorEastAsia" w:hAnsiTheme="majorEastAsia" w:eastAsiaTheme="majorEastAsia"/>
          <w:color w:val="333333"/>
          <w:sz w:val="32"/>
          <w:szCs w:val="32"/>
          <w:shd w:val="clear" w:color="auto" w:fill="FFFFFF"/>
        </w:rPr>
      </w:pPr>
    </w:p>
    <w:p w14:paraId="3C85FB68">
      <w:pPr>
        <w:pStyle w:val="9"/>
        <w:spacing w:before="93"/>
        <w:ind w:left="1800"/>
        <w:jc w:val="left"/>
        <w:rPr>
          <w:rFonts w:cs="黑体" w:asciiTheme="majorEastAsia" w:hAnsiTheme="majorEastAsia" w:eastAsiaTheme="majorEastAsia"/>
          <w:color w:val="333333"/>
          <w:sz w:val="32"/>
          <w:szCs w:val="32"/>
          <w:shd w:val="clear" w:color="auto" w:fill="FFFFFF"/>
        </w:rPr>
      </w:pPr>
    </w:p>
    <w:p w14:paraId="515E684B">
      <w:pPr>
        <w:spacing w:line="580" w:lineRule="exact"/>
        <w:rPr>
          <w:rFonts w:eastAsia="黑体"/>
          <w:sz w:val="32"/>
          <w:szCs w:val="32"/>
        </w:rPr>
      </w:pPr>
    </w:p>
    <w:p w14:paraId="3D3A8E3F">
      <w:pPr>
        <w:spacing w:line="580" w:lineRule="exact"/>
        <w:rPr>
          <w:rFonts w:eastAsia="黑体"/>
          <w:sz w:val="32"/>
          <w:szCs w:val="32"/>
        </w:rPr>
      </w:pPr>
    </w:p>
    <w:p w14:paraId="60A63EE6">
      <w:pPr>
        <w:spacing w:line="580" w:lineRule="exact"/>
        <w:rPr>
          <w:rFonts w:eastAsia="仿宋_GB2312"/>
          <w:sz w:val="32"/>
          <w:szCs w:val="32"/>
        </w:rPr>
      </w:pPr>
      <w:r>
        <w:rPr>
          <w:rFonts w:eastAsia="黑体"/>
          <w:sz w:val="32"/>
          <w:szCs w:val="32"/>
        </w:rPr>
        <w:t>附件</w:t>
      </w:r>
      <w:r>
        <w:rPr>
          <w:rFonts w:hint="eastAsia" w:eastAsia="黑体"/>
          <w:sz w:val="32"/>
          <w:szCs w:val="32"/>
        </w:rPr>
        <w:t>6</w:t>
      </w:r>
    </w:p>
    <w:p w14:paraId="2C417B4D">
      <w:pPr>
        <w:spacing w:line="580" w:lineRule="exact"/>
        <w:ind w:firstLine="723" w:firstLineChars="200"/>
        <w:rPr>
          <w:rFonts w:eastAsia="仿宋_GB2312"/>
          <w:b/>
          <w:bCs/>
          <w:sz w:val="36"/>
          <w:szCs w:val="36"/>
        </w:rPr>
      </w:pPr>
    </w:p>
    <w:p w14:paraId="12E92241">
      <w:pPr>
        <w:spacing w:line="594" w:lineRule="exact"/>
        <w:jc w:val="center"/>
        <w:rPr>
          <w:rFonts w:eastAsia="方正小标宋简体"/>
          <w:sz w:val="36"/>
          <w:szCs w:val="36"/>
        </w:rPr>
      </w:pPr>
      <w:r>
        <w:rPr>
          <w:rFonts w:eastAsia="方正小标宋简体"/>
          <w:sz w:val="36"/>
          <w:szCs w:val="36"/>
        </w:rPr>
        <w:t>德阳市罗江区</w:t>
      </w:r>
      <w:r>
        <w:rPr>
          <w:rFonts w:hint="eastAsia" w:eastAsia="方正小标宋简体"/>
          <w:sz w:val="36"/>
          <w:szCs w:val="36"/>
        </w:rPr>
        <w:t>中医医院</w:t>
      </w:r>
    </w:p>
    <w:p w14:paraId="6B5C87A0">
      <w:pPr>
        <w:spacing w:line="594" w:lineRule="exact"/>
        <w:jc w:val="center"/>
        <w:rPr>
          <w:rFonts w:eastAsia="方正小标宋简体"/>
          <w:sz w:val="36"/>
          <w:szCs w:val="36"/>
        </w:rPr>
      </w:pPr>
      <w:r>
        <w:rPr>
          <w:rFonts w:eastAsia="方正小标宋简体"/>
          <w:sz w:val="36"/>
          <w:szCs w:val="36"/>
        </w:rPr>
        <w:t>关于</w:t>
      </w:r>
      <w:r>
        <w:rPr>
          <w:rFonts w:hint="eastAsia" w:eastAsia="方正小标宋简体"/>
          <w:sz w:val="36"/>
          <w:szCs w:val="36"/>
        </w:rPr>
        <w:t>中医药传承与创新平台建设</w:t>
      </w:r>
    </w:p>
    <w:p w14:paraId="1E4150E5">
      <w:pPr>
        <w:spacing w:line="594" w:lineRule="exact"/>
        <w:jc w:val="center"/>
        <w:rPr>
          <w:rFonts w:eastAsia="方正小标宋简体"/>
          <w:sz w:val="36"/>
          <w:szCs w:val="36"/>
        </w:rPr>
      </w:pPr>
      <w:r>
        <w:rPr>
          <w:rFonts w:hint="eastAsia" w:eastAsia="方正小标宋简体"/>
          <w:sz w:val="36"/>
          <w:szCs w:val="36"/>
        </w:rPr>
        <w:t>（李金隆名医工作室）</w:t>
      </w:r>
    </w:p>
    <w:p w14:paraId="75E32838">
      <w:pPr>
        <w:spacing w:line="594" w:lineRule="exact"/>
        <w:jc w:val="center"/>
        <w:rPr>
          <w:rFonts w:eastAsia="方正小标宋简体"/>
          <w:sz w:val="36"/>
          <w:szCs w:val="36"/>
        </w:rPr>
      </w:pPr>
      <w:r>
        <w:rPr>
          <w:rFonts w:eastAsia="方正小标宋简体"/>
          <w:sz w:val="36"/>
          <w:szCs w:val="36"/>
        </w:rPr>
        <w:t>项目支出绩效自评报告</w:t>
      </w:r>
    </w:p>
    <w:p w14:paraId="53D8120F">
      <w:pPr>
        <w:pStyle w:val="9"/>
        <w:spacing w:before="93"/>
        <w:ind w:left="1800"/>
        <w:jc w:val="left"/>
        <w:rPr>
          <w:rFonts w:cs="黑体" w:asciiTheme="majorEastAsia" w:hAnsiTheme="majorEastAsia" w:eastAsiaTheme="majorEastAsia"/>
          <w:color w:val="333333"/>
          <w:sz w:val="32"/>
          <w:szCs w:val="32"/>
          <w:shd w:val="clear" w:color="auto" w:fill="FFFFFF"/>
        </w:rPr>
      </w:pPr>
    </w:p>
    <w:p w14:paraId="1F6AB9CF">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8月19日，德阳市罗江区财政局下达了2019年医疗服务与保障能力提升（中医药事业传承与发展部分）中央财政补助资金的通知（德市罗财社〔2019〕52号）文件，资金共计6.3万元，其中：中医药传承与创新培养平台建设3.3万元。为加强预算绩效管理，切实提高财政资金使用效率，我单位与2020年2月16日制定了该项目实施方案，现将该项目实施情况汇报如下：</w:t>
      </w:r>
    </w:p>
    <w:p w14:paraId="303E4560">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传承精华，守正创新，进一步做好我区中医药事业传承与发展工作，经国家中管局批准，我区肛肠科批准为全国基层名老中医药专家传承工作室建设单位，德阳市名中医、主任中医师李金隆为指导老师；2019年，我院副主任中药师肖丽被批准为全国中医药特色技术传承人才培养对象。根据《四川省财政厅、四川省中医药管理局关于下达2019年医疗服务与保障能力提升（中医药事业传承与发展部分）中央补助资金的通知》、《德阳市卫生健康委2020年中央财政中医药传承与发展资金项目管理方案》的精神，下达了中医药传承与创新培养平台建设3.3万元，培养高层次的中医药人才，建设特色重点中医专科。</w:t>
      </w:r>
    </w:p>
    <w:p w14:paraId="1F80DA55">
      <w:pPr>
        <w:pStyle w:val="33"/>
        <w:spacing w:line="594" w:lineRule="exact"/>
        <w:ind w:firstLine="640"/>
        <w:rPr>
          <w:rFonts w:ascii="黑体" w:hAnsi="黑体" w:eastAsia="黑体" w:cs="黑体"/>
          <w:sz w:val="32"/>
          <w:szCs w:val="32"/>
        </w:rPr>
      </w:pPr>
      <w:r>
        <w:rPr>
          <w:rFonts w:hint="eastAsia" w:ascii="黑体" w:hAnsi="黑体" w:eastAsia="黑体" w:cs="黑体"/>
          <w:sz w:val="32"/>
          <w:szCs w:val="32"/>
        </w:rPr>
        <w:t>一、项目资金安排情况</w:t>
      </w:r>
    </w:p>
    <w:p w14:paraId="0B6750DD">
      <w:pPr>
        <w:widowControl/>
        <w:shd w:val="clear" w:color="auto" w:fill="FFFFFF"/>
        <w:spacing w:line="594" w:lineRule="exact"/>
        <w:ind w:firstLine="643" w:firstLineChars="200"/>
        <w:jc w:val="left"/>
        <w:rPr>
          <w:rFonts w:cs="黑体" w:asciiTheme="majorEastAsia" w:hAnsiTheme="majorEastAsia" w:eastAsiaTheme="majorEastAsia"/>
          <w:color w:val="333333"/>
          <w:sz w:val="32"/>
          <w:szCs w:val="32"/>
        </w:rPr>
      </w:pPr>
      <w:r>
        <w:rPr>
          <w:rFonts w:hint="eastAsia" w:ascii="楷体_GB2312" w:hAnsi="楷体_GB2312" w:eastAsia="楷体_GB2312" w:cs="楷体_GB2312"/>
          <w:b/>
          <w:bCs/>
          <w:color w:val="333333"/>
          <w:kern w:val="0"/>
          <w:sz w:val="32"/>
          <w:szCs w:val="32"/>
          <w:shd w:val="clear" w:color="auto" w:fill="FFFFFF"/>
        </w:rPr>
        <w:t>（一）全国基层名老中医药专家传承工作室建设</w:t>
      </w:r>
    </w:p>
    <w:p w14:paraId="79528877">
      <w:pPr>
        <w:widowControl/>
        <w:shd w:val="clear" w:color="auto" w:fill="FFFFFF"/>
        <w:spacing w:line="594" w:lineRule="exact"/>
        <w:ind w:firstLine="643" w:firstLineChars="200"/>
        <w:jc w:val="left"/>
        <w:rPr>
          <w:rFonts w:ascii="仿宋_GB2312" w:hAnsi="仿宋_GB2312" w:eastAsia="仿宋_GB2312" w:cs="仿宋_GB2312"/>
          <w:b/>
          <w:bCs/>
          <w:color w:val="333333"/>
          <w:kern w:val="0"/>
          <w:sz w:val="32"/>
          <w:szCs w:val="32"/>
          <w:shd w:val="clear" w:color="auto" w:fill="FFFFFF"/>
        </w:rPr>
      </w:pPr>
      <w:r>
        <w:rPr>
          <w:rFonts w:hint="eastAsia" w:ascii="仿宋_GB2312" w:hAnsi="仿宋_GB2312" w:eastAsia="仿宋_GB2312" w:cs="仿宋_GB2312"/>
          <w:b/>
          <w:bCs/>
          <w:color w:val="333333"/>
          <w:kern w:val="0"/>
          <w:sz w:val="32"/>
          <w:szCs w:val="32"/>
          <w:shd w:val="clear" w:color="auto" w:fill="FFFFFF"/>
        </w:rPr>
        <w:t>1.加强学术传承，培养中医肛肠骨干人才。</w:t>
      </w:r>
    </w:p>
    <w:p w14:paraId="771EE856">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采取跟师学习方式，培养副主任医师1名、主治医师两名、执业医师两名、村医生两名，安排误餐补助2000元，下乡指导差旅补助2000元，派出学术继承人进修学习安排差旅补助1000元。</w:t>
      </w:r>
    </w:p>
    <w:p w14:paraId="7694C5EF">
      <w:pPr>
        <w:pStyle w:val="9"/>
        <w:spacing w:beforeLines="0" w:line="594" w:lineRule="exact"/>
        <w:ind w:firstLine="643" w:firstLineChars="200"/>
        <w:jc w:val="left"/>
        <w:rPr>
          <w:rFonts w:hAnsi="仿宋_GB2312" w:cs="仿宋_GB2312"/>
          <w:b/>
          <w:bCs/>
          <w:color w:val="333333"/>
          <w:sz w:val="32"/>
          <w:szCs w:val="32"/>
          <w:shd w:val="clear" w:color="auto" w:fill="FFFFFF"/>
        </w:rPr>
      </w:pPr>
      <w:r>
        <w:rPr>
          <w:rFonts w:hint="eastAsia" w:hAnsi="仿宋_GB2312" w:cs="仿宋_GB2312"/>
          <w:b/>
          <w:bCs/>
          <w:color w:val="333333"/>
          <w:sz w:val="32"/>
          <w:szCs w:val="32"/>
          <w:shd w:val="clear" w:color="auto" w:fill="FFFFFF"/>
        </w:rPr>
        <w:t>2.传承经典，提高中医理论水平。</w:t>
      </w:r>
    </w:p>
    <w:p w14:paraId="1E87EB93">
      <w:pPr>
        <w:pStyle w:val="9"/>
        <w:spacing w:before="93" w:line="594" w:lineRule="exact"/>
        <w:ind w:firstLine="640" w:firstLineChars="200"/>
        <w:jc w:val="left"/>
        <w:rPr>
          <w:rFonts w:hAnsi="仿宋_GB2312" w:cs="仿宋_GB2312"/>
          <w:sz w:val="32"/>
          <w:szCs w:val="32"/>
        </w:rPr>
      </w:pPr>
      <w:r>
        <w:rPr>
          <w:rFonts w:hint="eastAsia" w:hAnsi="仿宋_GB2312" w:cs="仿宋_GB2312"/>
          <w:sz w:val="32"/>
          <w:szCs w:val="32"/>
        </w:rPr>
        <w:t>购买中医四部经典著作以及中医肛肠专业书籍，供继承人学习提高，安排经费3000元，指导老师讲解四部经典著作授课补助费3000元。</w:t>
      </w:r>
    </w:p>
    <w:p w14:paraId="6A5D9BDB">
      <w:pPr>
        <w:pStyle w:val="9"/>
        <w:spacing w:before="93" w:line="594" w:lineRule="exact"/>
        <w:ind w:firstLine="643" w:firstLineChars="200"/>
        <w:jc w:val="left"/>
        <w:rPr>
          <w:rFonts w:cs="楷体_GB2312" w:asciiTheme="majorEastAsia" w:hAnsiTheme="majorEastAsia"/>
          <w:color w:val="333333"/>
          <w:sz w:val="32"/>
          <w:szCs w:val="32"/>
          <w:shd w:val="clear" w:color="auto" w:fill="FFFFFF"/>
        </w:rPr>
      </w:pPr>
      <w:r>
        <w:rPr>
          <w:rFonts w:hint="eastAsia" w:hAnsi="仿宋_GB2312" w:cs="仿宋_GB2312"/>
          <w:b/>
          <w:bCs/>
          <w:color w:val="333333"/>
          <w:sz w:val="32"/>
          <w:szCs w:val="32"/>
          <w:shd w:val="clear" w:color="auto" w:fill="FFFFFF"/>
        </w:rPr>
        <w:t>3.选送中医专业学员参加以肛肠专业为主的规培学习。</w:t>
      </w:r>
    </w:p>
    <w:p w14:paraId="4CB023D2">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为培养中医基础理论功底扎实，临床经验丰富，操作技能熟练的中医肛肠专业人才，医院选送1名中医专业本科毕业生到三甲中医医院参加规培，安排培训费1.5万元。</w:t>
      </w:r>
    </w:p>
    <w:p w14:paraId="10749A23">
      <w:pPr>
        <w:pStyle w:val="9"/>
        <w:spacing w:before="93" w:line="594" w:lineRule="exact"/>
        <w:ind w:firstLine="643" w:firstLineChars="200"/>
        <w:jc w:val="left"/>
        <w:rPr>
          <w:rFonts w:hAnsi="仿宋_GB2312" w:cs="仿宋_GB2312"/>
          <w:b/>
          <w:bCs/>
          <w:color w:val="333333"/>
          <w:sz w:val="32"/>
          <w:szCs w:val="32"/>
          <w:shd w:val="clear" w:color="auto" w:fill="FFFFFF"/>
        </w:rPr>
      </w:pPr>
      <w:r>
        <w:rPr>
          <w:rFonts w:hint="eastAsia" w:hAnsi="仿宋_GB2312" w:cs="仿宋_GB2312"/>
          <w:b/>
          <w:bCs/>
          <w:color w:val="333333"/>
          <w:sz w:val="32"/>
          <w:szCs w:val="32"/>
          <w:shd w:val="clear" w:color="auto" w:fill="FFFFFF"/>
        </w:rPr>
        <w:t>4.突出中医特色，装饰名医工作室。</w:t>
      </w:r>
    </w:p>
    <w:p w14:paraId="3C599676">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装饰名老中医药专家传承工作室，安排装饰经费7000元。</w:t>
      </w:r>
    </w:p>
    <w:p w14:paraId="60DB2919">
      <w:pPr>
        <w:pStyle w:val="9"/>
        <w:spacing w:beforeLines="0" w:line="594"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二、项目资金使用情况</w:t>
      </w:r>
    </w:p>
    <w:p w14:paraId="4C084E9D">
      <w:pPr>
        <w:pStyle w:val="9"/>
        <w:spacing w:before="93" w:line="594" w:lineRule="exact"/>
        <w:ind w:firstLine="640" w:firstLineChars="200"/>
        <w:rPr>
          <w:rFonts w:hAnsi="仿宋_GB2312" w:cs="仿宋_GB2312"/>
          <w:color w:val="333333"/>
          <w:sz w:val="32"/>
          <w:szCs w:val="32"/>
          <w:shd w:val="clear" w:color="auto" w:fill="FFFFFF"/>
        </w:rPr>
      </w:pPr>
      <w:r>
        <w:rPr>
          <w:rFonts w:hint="eastAsia" w:hAnsi="仿宋_GB2312" w:cs="仿宋_GB2312"/>
          <w:color w:val="333333"/>
          <w:sz w:val="32"/>
          <w:szCs w:val="32"/>
          <w:shd w:val="clear" w:color="auto" w:fill="FFFFFF"/>
        </w:rPr>
        <w:t>全国基层名老中医药专家传承工作室建设资金使用情况。购买了《伤寒论》、《金匮要略》、《黄帝内经-素问》《黄帝内经-灵枢》、《温病学说传承与创新》等</w:t>
      </w:r>
      <w:r>
        <w:rPr>
          <w:rFonts w:hint="eastAsia" w:hAnsi="仿宋_GB2312" w:cs="仿宋_GB2312"/>
          <w:sz w:val="32"/>
          <w:szCs w:val="32"/>
        </w:rPr>
        <w:t>四部经典著作以及中医肛肠专业书籍使用资金5746元，下乡义诊差旅费3700.00元，专家授课劳务费3000.00元，李金隆弟子肛肠科医师冯玉到成都参加肛肠学术研讨会开支会务费等1180.00元，下乡带习带教指导老师劳务及交通补助10900.00元，参加授课学员伙食补助费1464.00元，李金隆带领弟子到射洪县中医医院学习考察差旅费700.00元，肛肠科规培人员补助6310.00元。共计开支33000.00元，该项目已全部实施完毕。</w:t>
      </w:r>
    </w:p>
    <w:p w14:paraId="15C380FE">
      <w:pPr>
        <w:pStyle w:val="9"/>
        <w:spacing w:beforeLines="0" w:line="594" w:lineRule="exact"/>
        <w:ind w:left="1800" w:firstLine="640" w:firstLineChars="200"/>
        <w:jc w:val="left"/>
        <w:rPr>
          <w:rFonts w:hAnsi="仿宋_GB2312" w:cs="仿宋_GB2312"/>
          <w:color w:val="333333"/>
          <w:sz w:val="32"/>
          <w:szCs w:val="32"/>
          <w:shd w:val="clear" w:color="auto" w:fill="FFFFFF"/>
        </w:rPr>
      </w:pPr>
    </w:p>
    <w:p w14:paraId="7C3EA587">
      <w:pPr>
        <w:spacing w:line="594" w:lineRule="exact"/>
        <w:ind w:firstLine="960" w:firstLineChars="300"/>
        <w:jc w:val="left"/>
        <w:rPr>
          <w:rFonts w:cs="仿宋_GB2312" w:asciiTheme="majorEastAsia" w:hAnsiTheme="majorEastAsia" w:eastAsiaTheme="majorEastAsia"/>
          <w:sz w:val="32"/>
          <w:szCs w:val="32"/>
        </w:rPr>
      </w:pPr>
    </w:p>
    <w:p w14:paraId="32F94CBD">
      <w:pPr>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德阳市罗江区中医医院</w:t>
      </w:r>
    </w:p>
    <w:p w14:paraId="2CD398C8">
      <w:pPr>
        <w:ind w:firstLine="5760" w:firstLineChars="1800"/>
        <w:rPr>
          <w:rFonts w:ascii="仿宋_GB2312" w:hAnsi="仿宋_GB2312" w:eastAsia="仿宋_GB2312" w:cs="仿宋_GB2312"/>
          <w:sz w:val="32"/>
          <w:szCs w:val="32"/>
        </w:rPr>
      </w:pPr>
      <w:r>
        <w:rPr>
          <w:rFonts w:eastAsia="仿宋_GB2312"/>
          <w:sz w:val="32"/>
          <w:szCs w:val="32"/>
        </w:rPr>
        <w:t>2021</w:t>
      </w:r>
      <w:r>
        <w:rPr>
          <w:rFonts w:hint="eastAsia" w:ascii="仿宋_GB2312" w:hAnsi="仿宋_GB2312" w:eastAsia="仿宋_GB2312" w:cs="仿宋_GB2312"/>
          <w:sz w:val="32"/>
          <w:szCs w:val="32"/>
        </w:rPr>
        <w:t>年</w:t>
      </w:r>
      <w:r>
        <w:rPr>
          <w:rFonts w:eastAsia="仿宋_GB2312"/>
          <w:sz w:val="32"/>
          <w:szCs w:val="32"/>
        </w:rPr>
        <w:t>10</w:t>
      </w:r>
      <w:r>
        <w:rPr>
          <w:rFonts w:hint="eastAsia" w:ascii="仿宋_GB2312" w:hAnsi="仿宋_GB2312" w:eastAsia="仿宋_GB2312" w:cs="仿宋_GB2312"/>
          <w:sz w:val="32"/>
          <w:szCs w:val="32"/>
        </w:rPr>
        <w:t>月</w:t>
      </w:r>
      <w:r>
        <w:rPr>
          <w:rFonts w:eastAsia="仿宋_GB2312"/>
          <w:sz w:val="32"/>
          <w:szCs w:val="32"/>
        </w:rPr>
        <w:t>22</w:t>
      </w:r>
      <w:r>
        <w:rPr>
          <w:rFonts w:hint="eastAsia" w:ascii="仿宋_GB2312" w:hAnsi="仿宋_GB2312" w:eastAsia="仿宋_GB2312" w:cs="仿宋_GB2312"/>
          <w:sz w:val="32"/>
          <w:szCs w:val="32"/>
        </w:rPr>
        <w:t>日</w:t>
      </w:r>
    </w:p>
    <w:p w14:paraId="45E125CA">
      <w:pPr>
        <w:widowControl/>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14:paraId="283492F1">
      <w:pPr>
        <w:spacing w:line="600" w:lineRule="exact"/>
        <w:jc w:val="center"/>
        <w:outlineLvl w:val="0"/>
        <w:rPr>
          <w:rStyle w:val="34"/>
          <w:rFonts w:eastAsia="黑体"/>
          <w:b w:val="0"/>
        </w:rPr>
      </w:pPr>
      <w:r>
        <w:rPr>
          <w:rFonts w:hint="eastAsia" w:ascii="方正小标宋简体" w:hAnsi="方正小标宋简体" w:eastAsia="方正小标宋简体" w:cs="方正小标宋简体"/>
          <w:color w:val="000000"/>
          <w:sz w:val="44"/>
          <w:szCs w:val="44"/>
        </w:rPr>
        <w:t>第</w:t>
      </w:r>
      <w:r>
        <w:rPr>
          <w:rStyle w:val="34"/>
          <w:rFonts w:hint="eastAsia" w:ascii="方正小标宋简体" w:hAnsi="方正小标宋简体" w:eastAsia="方正小标宋简体" w:cs="方正小标宋简体"/>
          <w:b w:val="0"/>
        </w:rPr>
        <w:t>五部分 附表</w:t>
      </w:r>
    </w:p>
    <w:p w14:paraId="2F719564">
      <w:pPr>
        <w:spacing w:line="600" w:lineRule="exact"/>
        <w:jc w:val="center"/>
        <w:outlineLvl w:val="0"/>
        <w:rPr>
          <w:rFonts w:eastAsia="黑体"/>
          <w:color w:val="000000"/>
          <w:sz w:val="44"/>
          <w:szCs w:val="44"/>
        </w:rPr>
      </w:pPr>
    </w:p>
    <w:bookmarkEnd w:id="109"/>
    <w:bookmarkEnd w:id="126"/>
    <w:bookmarkEnd w:id="127"/>
    <w:bookmarkEnd w:id="128"/>
    <w:p w14:paraId="1320ED3B">
      <w:pPr>
        <w:spacing w:line="600" w:lineRule="exact"/>
        <w:jc w:val="center"/>
        <w:outlineLvl w:val="0"/>
        <w:rPr>
          <w:rFonts w:eastAsia="仿宋"/>
          <w:b/>
          <w:color w:val="000000"/>
          <w:sz w:val="44"/>
          <w:szCs w:val="44"/>
        </w:rPr>
      </w:pPr>
    </w:p>
    <w:p w14:paraId="03A11943">
      <w:pPr>
        <w:pStyle w:val="5"/>
        <w:spacing w:before="0" w:after="0" w:line="594" w:lineRule="exact"/>
        <w:rPr>
          <w:rFonts w:ascii="仿宋_GB2312" w:hAnsi="Times New Roman" w:eastAsia="仿宋_GB2312" w:cs="Times New Roman"/>
          <w:color w:val="000000"/>
        </w:rPr>
      </w:pPr>
      <w:bookmarkStart w:id="129" w:name="_Toc54341295"/>
      <w:bookmarkStart w:id="130" w:name="_Toc15396619"/>
      <w:bookmarkStart w:id="131" w:name="_Toc54341372"/>
      <w:r>
        <w:rPr>
          <w:rFonts w:hint="eastAsia" w:ascii="仿宋_GB2312" w:hAnsi="Times New Roman" w:eastAsia="仿宋_GB2312" w:cs="Times New Roman"/>
          <w:b w:val="0"/>
          <w:color w:val="000000"/>
        </w:rPr>
        <w:t>一、收</w:t>
      </w:r>
      <w:r>
        <w:rPr>
          <w:rStyle w:val="35"/>
          <w:rFonts w:hint="eastAsia" w:ascii="仿宋_GB2312" w:hAnsi="Times New Roman" w:eastAsia="仿宋_GB2312" w:cs="Times New Roman"/>
          <w:b w:val="0"/>
          <w:bCs w:val="0"/>
        </w:rPr>
        <w:t>入支出决算总表</w:t>
      </w:r>
      <w:bookmarkEnd w:id="129"/>
      <w:bookmarkEnd w:id="130"/>
      <w:bookmarkEnd w:id="131"/>
    </w:p>
    <w:p w14:paraId="665A5150">
      <w:pPr>
        <w:pStyle w:val="5"/>
        <w:spacing w:before="0" w:after="0" w:line="594" w:lineRule="exact"/>
        <w:rPr>
          <w:rFonts w:ascii="仿宋_GB2312" w:hAnsi="Times New Roman" w:eastAsia="仿宋_GB2312" w:cs="Times New Roman"/>
          <w:color w:val="000000"/>
        </w:rPr>
      </w:pPr>
      <w:bookmarkStart w:id="132" w:name="_Toc54341373"/>
      <w:bookmarkStart w:id="133" w:name="_Toc54341296"/>
      <w:bookmarkStart w:id="134" w:name="_Toc15396620"/>
      <w:r>
        <w:rPr>
          <w:rFonts w:hint="eastAsia" w:ascii="仿宋_GB2312" w:hAnsi="Times New Roman" w:eastAsia="仿宋_GB2312" w:cs="Times New Roman"/>
          <w:b w:val="0"/>
          <w:color w:val="000000"/>
        </w:rPr>
        <w:t>二、收</w:t>
      </w:r>
      <w:r>
        <w:rPr>
          <w:rStyle w:val="35"/>
          <w:rFonts w:hint="eastAsia" w:ascii="仿宋_GB2312" w:hAnsi="Times New Roman" w:eastAsia="仿宋_GB2312" w:cs="Times New Roman"/>
          <w:b w:val="0"/>
          <w:bCs w:val="0"/>
        </w:rPr>
        <w:t>入决算表</w:t>
      </w:r>
      <w:bookmarkEnd w:id="132"/>
      <w:bookmarkEnd w:id="133"/>
      <w:bookmarkEnd w:id="134"/>
    </w:p>
    <w:p w14:paraId="02CAD304">
      <w:pPr>
        <w:pStyle w:val="5"/>
        <w:spacing w:before="0" w:after="0" w:line="594" w:lineRule="exact"/>
        <w:rPr>
          <w:rFonts w:ascii="仿宋_GB2312" w:hAnsi="Times New Roman" w:eastAsia="仿宋_GB2312" w:cs="Times New Roman"/>
          <w:color w:val="000000"/>
        </w:rPr>
      </w:pPr>
      <w:bookmarkStart w:id="135" w:name="_Toc54341297"/>
      <w:bookmarkStart w:id="136" w:name="_Toc15396621"/>
      <w:bookmarkStart w:id="137" w:name="_Toc54341374"/>
      <w:r>
        <w:rPr>
          <w:rStyle w:val="35"/>
          <w:rFonts w:hint="eastAsia" w:ascii="仿宋_GB2312" w:hAnsi="Times New Roman" w:eastAsia="仿宋_GB2312" w:cs="Times New Roman"/>
          <w:b w:val="0"/>
          <w:bCs w:val="0"/>
        </w:rPr>
        <w:t>三、</w:t>
      </w:r>
      <w:r>
        <w:rPr>
          <w:rFonts w:hint="eastAsia" w:ascii="仿宋_GB2312" w:hAnsi="Times New Roman" w:eastAsia="仿宋_GB2312" w:cs="Times New Roman"/>
          <w:b w:val="0"/>
          <w:color w:val="000000"/>
        </w:rPr>
        <w:t>支</w:t>
      </w:r>
      <w:r>
        <w:rPr>
          <w:rStyle w:val="35"/>
          <w:rFonts w:hint="eastAsia" w:ascii="仿宋_GB2312" w:hAnsi="Times New Roman" w:eastAsia="仿宋_GB2312" w:cs="Times New Roman"/>
          <w:b w:val="0"/>
          <w:bCs w:val="0"/>
        </w:rPr>
        <w:t>出决算表</w:t>
      </w:r>
      <w:bookmarkEnd w:id="135"/>
      <w:bookmarkEnd w:id="136"/>
      <w:bookmarkEnd w:id="137"/>
    </w:p>
    <w:p w14:paraId="1A2EA422">
      <w:pPr>
        <w:pStyle w:val="5"/>
        <w:spacing w:before="0" w:after="0" w:line="594" w:lineRule="exact"/>
        <w:rPr>
          <w:rFonts w:ascii="仿宋_GB2312" w:hAnsi="Times New Roman" w:eastAsia="仿宋_GB2312" w:cs="Times New Roman"/>
          <w:b w:val="0"/>
          <w:color w:val="000000"/>
        </w:rPr>
      </w:pPr>
      <w:bookmarkStart w:id="138" w:name="_Toc54341375"/>
      <w:bookmarkStart w:id="139" w:name="_Toc54341298"/>
      <w:bookmarkStart w:id="140" w:name="_Toc15396622"/>
      <w:r>
        <w:rPr>
          <w:rStyle w:val="35"/>
          <w:rFonts w:hint="eastAsia" w:ascii="仿宋_GB2312" w:hAnsi="Times New Roman" w:eastAsia="仿宋_GB2312" w:cs="Times New Roman"/>
          <w:b w:val="0"/>
          <w:bCs w:val="0"/>
        </w:rPr>
        <w:t>四、</w:t>
      </w:r>
      <w:r>
        <w:rPr>
          <w:rFonts w:hint="eastAsia" w:ascii="仿宋_GB2312" w:hAnsi="Times New Roman" w:eastAsia="仿宋_GB2312" w:cs="Times New Roman"/>
          <w:b w:val="0"/>
          <w:color w:val="000000"/>
        </w:rPr>
        <w:t>财</w:t>
      </w:r>
      <w:r>
        <w:rPr>
          <w:rStyle w:val="35"/>
          <w:rFonts w:hint="eastAsia" w:ascii="仿宋_GB2312" w:hAnsi="Times New Roman" w:eastAsia="仿宋_GB2312" w:cs="Times New Roman"/>
          <w:b w:val="0"/>
          <w:bCs w:val="0"/>
        </w:rPr>
        <w:t>政拨款收入支出决算总表</w:t>
      </w:r>
      <w:bookmarkEnd w:id="138"/>
      <w:bookmarkEnd w:id="139"/>
      <w:bookmarkEnd w:id="140"/>
    </w:p>
    <w:p w14:paraId="4684A4EB">
      <w:pPr>
        <w:pStyle w:val="5"/>
        <w:spacing w:before="0" w:after="0" w:line="594" w:lineRule="exact"/>
        <w:rPr>
          <w:rStyle w:val="35"/>
          <w:rFonts w:ascii="仿宋_GB2312" w:hAnsi="Times New Roman" w:eastAsia="仿宋_GB2312" w:cs="Times New Roman"/>
          <w:b w:val="0"/>
          <w:bCs w:val="0"/>
        </w:rPr>
      </w:pPr>
      <w:bookmarkStart w:id="141" w:name="_Toc54341376"/>
      <w:bookmarkStart w:id="142" w:name="_Toc15396623"/>
      <w:bookmarkStart w:id="143" w:name="_Toc54341299"/>
      <w:r>
        <w:rPr>
          <w:rStyle w:val="35"/>
          <w:rFonts w:hint="eastAsia" w:ascii="仿宋_GB2312" w:hAnsi="Times New Roman" w:eastAsia="仿宋_GB2312" w:cs="Times New Roman"/>
          <w:b w:val="0"/>
          <w:bCs w:val="0"/>
        </w:rPr>
        <w:t>五、</w:t>
      </w:r>
      <w:r>
        <w:rPr>
          <w:rFonts w:hint="eastAsia" w:ascii="仿宋_GB2312" w:hAnsi="Times New Roman" w:eastAsia="仿宋_GB2312" w:cs="Times New Roman"/>
          <w:b w:val="0"/>
          <w:color w:val="000000"/>
        </w:rPr>
        <w:t>财</w:t>
      </w:r>
      <w:r>
        <w:rPr>
          <w:rStyle w:val="35"/>
          <w:rFonts w:hint="eastAsia" w:ascii="仿宋_GB2312" w:hAnsi="Times New Roman" w:eastAsia="仿宋_GB2312" w:cs="Times New Roman"/>
          <w:b w:val="0"/>
          <w:bCs w:val="0"/>
        </w:rPr>
        <w:t>政拨款支出决算明细表</w:t>
      </w:r>
      <w:bookmarkEnd w:id="141"/>
      <w:bookmarkEnd w:id="142"/>
      <w:bookmarkEnd w:id="143"/>
      <w:bookmarkStart w:id="144" w:name="_Toc15396624"/>
    </w:p>
    <w:p w14:paraId="1C431CC0">
      <w:pPr>
        <w:pStyle w:val="5"/>
        <w:spacing w:before="0" w:after="0" w:line="594" w:lineRule="exact"/>
        <w:rPr>
          <w:rFonts w:ascii="仿宋_GB2312" w:hAnsi="Times New Roman" w:eastAsia="仿宋_GB2312" w:cs="Times New Roman"/>
          <w:color w:val="000000"/>
        </w:rPr>
      </w:pPr>
      <w:bookmarkStart w:id="145" w:name="_Toc54341377"/>
      <w:bookmarkStart w:id="146" w:name="_Toc54341300"/>
      <w:r>
        <w:rPr>
          <w:rStyle w:val="35"/>
          <w:rFonts w:hint="eastAsia" w:ascii="仿宋_GB2312" w:hAnsi="Times New Roman" w:eastAsia="仿宋_GB2312" w:cs="Times New Roman"/>
          <w:b w:val="0"/>
          <w:bCs w:val="0"/>
        </w:rPr>
        <w:t>六、</w:t>
      </w:r>
      <w:r>
        <w:rPr>
          <w:rFonts w:hint="eastAsia" w:ascii="仿宋_GB2312" w:hAnsi="Times New Roman" w:eastAsia="仿宋_GB2312" w:cs="Times New Roman"/>
          <w:b w:val="0"/>
          <w:color w:val="000000"/>
        </w:rPr>
        <w:t>一</w:t>
      </w:r>
      <w:r>
        <w:rPr>
          <w:rStyle w:val="35"/>
          <w:rFonts w:hint="eastAsia" w:ascii="仿宋_GB2312" w:hAnsi="Times New Roman" w:eastAsia="仿宋_GB2312" w:cs="Times New Roman"/>
          <w:b w:val="0"/>
          <w:bCs w:val="0"/>
        </w:rPr>
        <w:t>般公共预算财政拨款支出决算表</w:t>
      </w:r>
      <w:bookmarkEnd w:id="144"/>
      <w:bookmarkEnd w:id="145"/>
      <w:bookmarkEnd w:id="146"/>
    </w:p>
    <w:p w14:paraId="363D5C77">
      <w:pPr>
        <w:pStyle w:val="5"/>
        <w:spacing w:before="0" w:after="0" w:line="594" w:lineRule="exact"/>
        <w:rPr>
          <w:rFonts w:ascii="仿宋_GB2312" w:hAnsi="Times New Roman" w:eastAsia="仿宋_GB2312" w:cs="Times New Roman"/>
          <w:color w:val="000000"/>
        </w:rPr>
      </w:pPr>
      <w:bookmarkStart w:id="147" w:name="_Toc54341301"/>
      <w:bookmarkStart w:id="148" w:name="_Toc54341378"/>
      <w:bookmarkStart w:id="149" w:name="_Toc15396625"/>
      <w:r>
        <w:rPr>
          <w:rStyle w:val="35"/>
          <w:rFonts w:hint="eastAsia" w:ascii="仿宋_GB2312" w:hAnsi="Times New Roman" w:eastAsia="仿宋_GB2312" w:cs="Times New Roman"/>
          <w:b w:val="0"/>
          <w:bCs w:val="0"/>
        </w:rPr>
        <w:t>七、</w:t>
      </w:r>
      <w:r>
        <w:rPr>
          <w:rFonts w:hint="eastAsia" w:ascii="仿宋_GB2312" w:hAnsi="Times New Roman" w:eastAsia="仿宋_GB2312" w:cs="Times New Roman"/>
          <w:b w:val="0"/>
          <w:color w:val="000000"/>
        </w:rPr>
        <w:t>一</w:t>
      </w:r>
      <w:r>
        <w:rPr>
          <w:rStyle w:val="35"/>
          <w:rFonts w:hint="eastAsia" w:ascii="仿宋_GB2312" w:hAnsi="Times New Roman" w:eastAsia="仿宋_GB2312" w:cs="Times New Roman"/>
          <w:b w:val="0"/>
          <w:bCs w:val="0"/>
        </w:rPr>
        <w:t>般公共预算财政拨款支出决算明细表</w:t>
      </w:r>
      <w:bookmarkEnd w:id="147"/>
      <w:bookmarkEnd w:id="148"/>
      <w:bookmarkEnd w:id="149"/>
    </w:p>
    <w:p w14:paraId="594ABE27">
      <w:pPr>
        <w:pStyle w:val="5"/>
        <w:spacing w:before="0" w:after="0" w:line="594" w:lineRule="exact"/>
        <w:rPr>
          <w:rFonts w:ascii="仿宋_GB2312" w:hAnsi="Times New Roman" w:eastAsia="仿宋_GB2312" w:cs="Times New Roman"/>
          <w:color w:val="000000"/>
        </w:rPr>
      </w:pPr>
      <w:bookmarkStart w:id="150" w:name="_Toc54341379"/>
      <w:bookmarkStart w:id="151" w:name="_Toc15396626"/>
      <w:bookmarkStart w:id="152" w:name="_Toc54341302"/>
      <w:r>
        <w:rPr>
          <w:rStyle w:val="35"/>
          <w:rFonts w:hint="eastAsia" w:ascii="仿宋_GB2312" w:hAnsi="Times New Roman" w:eastAsia="仿宋_GB2312" w:cs="Times New Roman"/>
          <w:b w:val="0"/>
          <w:bCs w:val="0"/>
        </w:rPr>
        <w:t>八、</w:t>
      </w:r>
      <w:r>
        <w:rPr>
          <w:rFonts w:hint="eastAsia" w:ascii="仿宋_GB2312" w:hAnsi="Times New Roman" w:eastAsia="仿宋_GB2312" w:cs="Times New Roman"/>
          <w:b w:val="0"/>
          <w:color w:val="000000"/>
        </w:rPr>
        <w:t>一</w:t>
      </w:r>
      <w:r>
        <w:rPr>
          <w:rStyle w:val="35"/>
          <w:rFonts w:hint="eastAsia" w:ascii="仿宋_GB2312" w:hAnsi="Times New Roman" w:eastAsia="仿宋_GB2312" w:cs="Times New Roman"/>
          <w:b w:val="0"/>
          <w:bCs w:val="0"/>
        </w:rPr>
        <w:t>般公共预算财政拨款基本支出决算表</w:t>
      </w:r>
      <w:bookmarkEnd w:id="150"/>
      <w:bookmarkEnd w:id="151"/>
      <w:bookmarkEnd w:id="152"/>
    </w:p>
    <w:p w14:paraId="1FE8D679">
      <w:pPr>
        <w:pStyle w:val="5"/>
        <w:spacing w:before="0" w:after="0" w:line="594" w:lineRule="exact"/>
        <w:rPr>
          <w:rFonts w:ascii="仿宋_GB2312" w:hAnsi="Times New Roman" w:eastAsia="仿宋_GB2312" w:cs="Times New Roman"/>
          <w:color w:val="000000"/>
        </w:rPr>
      </w:pPr>
      <w:bookmarkStart w:id="153" w:name="_Toc54341380"/>
      <w:bookmarkStart w:id="154" w:name="_Toc15396627"/>
      <w:bookmarkStart w:id="155" w:name="_Toc54341303"/>
      <w:r>
        <w:rPr>
          <w:rStyle w:val="35"/>
          <w:rFonts w:hint="eastAsia" w:ascii="仿宋_GB2312" w:hAnsi="Times New Roman" w:eastAsia="仿宋_GB2312" w:cs="Times New Roman"/>
          <w:b w:val="0"/>
          <w:bCs w:val="0"/>
        </w:rPr>
        <w:t>九、</w:t>
      </w:r>
      <w:r>
        <w:rPr>
          <w:rFonts w:hint="eastAsia" w:ascii="仿宋_GB2312" w:hAnsi="Times New Roman" w:eastAsia="仿宋_GB2312" w:cs="Times New Roman"/>
          <w:b w:val="0"/>
          <w:color w:val="000000"/>
        </w:rPr>
        <w:t>一</w:t>
      </w:r>
      <w:r>
        <w:rPr>
          <w:rStyle w:val="35"/>
          <w:rFonts w:hint="eastAsia" w:ascii="仿宋_GB2312" w:hAnsi="Times New Roman" w:eastAsia="仿宋_GB2312" w:cs="Times New Roman"/>
          <w:b w:val="0"/>
          <w:bCs w:val="0"/>
        </w:rPr>
        <w:t>般公共预算财政拨款项目支出决算表</w:t>
      </w:r>
      <w:bookmarkEnd w:id="153"/>
      <w:bookmarkEnd w:id="154"/>
      <w:bookmarkEnd w:id="155"/>
    </w:p>
    <w:p w14:paraId="67DB55EB">
      <w:pPr>
        <w:pStyle w:val="5"/>
        <w:spacing w:before="0" w:after="0" w:line="594" w:lineRule="exact"/>
        <w:rPr>
          <w:rFonts w:ascii="仿宋_GB2312" w:hAnsi="Times New Roman" w:eastAsia="仿宋_GB2312" w:cs="Times New Roman"/>
          <w:color w:val="000000"/>
        </w:rPr>
      </w:pPr>
      <w:bookmarkStart w:id="156" w:name="_Toc54341304"/>
      <w:bookmarkStart w:id="157" w:name="_Toc15396628"/>
      <w:bookmarkStart w:id="158" w:name="_Toc54341381"/>
      <w:r>
        <w:rPr>
          <w:rStyle w:val="35"/>
          <w:rFonts w:hint="eastAsia" w:ascii="仿宋_GB2312" w:hAnsi="Times New Roman" w:eastAsia="仿宋_GB2312" w:cs="Times New Roman"/>
          <w:b w:val="0"/>
          <w:bCs w:val="0"/>
        </w:rPr>
        <w:t>十、</w:t>
      </w:r>
      <w:r>
        <w:rPr>
          <w:rFonts w:hint="eastAsia" w:ascii="仿宋_GB2312" w:hAnsi="Times New Roman" w:eastAsia="仿宋_GB2312" w:cs="Times New Roman"/>
          <w:b w:val="0"/>
          <w:color w:val="000000"/>
        </w:rPr>
        <w:t>一</w:t>
      </w:r>
      <w:r>
        <w:rPr>
          <w:rStyle w:val="35"/>
          <w:rFonts w:hint="eastAsia" w:ascii="仿宋_GB2312" w:hAnsi="Times New Roman" w:eastAsia="仿宋_GB2312" w:cs="Times New Roman"/>
          <w:b w:val="0"/>
          <w:bCs w:val="0"/>
        </w:rPr>
        <w:t>般公共预算财政拨款“三公”经费支出决算表</w:t>
      </w:r>
      <w:bookmarkEnd w:id="156"/>
      <w:bookmarkEnd w:id="157"/>
      <w:bookmarkEnd w:id="158"/>
    </w:p>
    <w:p w14:paraId="1AAE229B">
      <w:pPr>
        <w:pStyle w:val="5"/>
        <w:spacing w:before="0" w:after="0" w:line="594" w:lineRule="exact"/>
        <w:rPr>
          <w:rFonts w:ascii="仿宋_GB2312" w:hAnsi="Times New Roman" w:eastAsia="仿宋_GB2312" w:cs="Times New Roman"/>
          <w:color w:val="000000"/>
        </w:rPr>
      </w:pPr>
      <w:bookmarkStart w:id="159" w:name="_Toc54341305"/>
      <w:bookmarkStart w:id="160" w:name="_Toc15396629"/>
      <w:bookmarkStart w:id="161" w:name="_Toc54341382"/>
      <w:r>
        <w:rPr>
          <w:rStyle w:val="35"/>
          <w:rFonts w:hint="eastAsia" w:ascii="仿宋_GB2312" w:hAnsi="Times New Roman" w:eastAsia="仿宋_GB2312" w:cs="Times New Roman"/>
          <w:b w:val="0"/>
          <w:bCs w:val="0"/>
        </w:rPr>
        <w:t>十一、</w:t>
      </w:r>
      <w:r>
        <w:rPr>
          <w:rFonts w:hint="eastAsia" w:ascii="仿宋_GB2312" w:hAnsi="Times New Roman" w:eastAsia="仿宋_GB2312" w:cs="Times New Roman"/>
          <w:b w:val="0"/>
          <w:color w:val="000000"/>
        </w:rPr>
        <w:t>政</w:t>
      </w:r>
      <w:r>
        <w:rPr>
          <w:rStyle w:val="35"/>
          <w:rFonts w:hint="eastAsia" w:ascii="仿宋_GB2312" w:hAnsi="Times New Roman" w:eastAsia="仿宋_GB2312" w:cs="Times New Roman"/>
          <w:b w:val="0"/>
          <w:bCs w:val="0"/>
        </w:rPr>
        <w:t>府性基金预算财政拨款收入支出决算表</w:t>
      </w:r>
      <w:bookmarkEnd w:id="159"/>
      <w:bookmarkEnd w:id="160"/>
      <w:bookmarkEnd w:id="161"/>
    </w:p>
    <w:p w14:paraId="5996ACA4">
      <w:pPr>
        <w:pStyle w:val="5"/>
        <w:spacing w:before="0" w:after="0" w:line="594" w:lineRule="exact"/>
        <w:rPr>
          <w:rStyle w:val="35"/>
          <w:rFonts w:ascii="仿宋_GB2312" w:hAnsi="Times New Roman" w:eastAsia="仿宋_GB2312" w:cs="Times New Roman"/>
          <w:b w:val="0"/>
          <w:bCs w:val="0"/>
        </w:rPr>
      </w:pPr>
      <w:bookmarkStart w:id="162" w:name="_Toc54341306"/>
      <w:bookmarkStart w:id="163" w:name="_Toc54341383"/>
      <w:bookmarkStart w:id="164" w:name="_Toc15396630"/>
      <w:r>
        <w:rPr>
          <w:rStyle w:val="35"/>
          <w:rFonts w:hint="eastAsia" w:ascii="仿宋_GB2312" w:hAnsi="Times New Roman" w:eastAsia="仿宋_GB2312" w:cs="Times New Roman"/>
          <w:b w:val="0"/>
          <w:bCs w:val="0"/>
        </w:rPr>
        <w:t>十二、政府性基金预算财政拨款“三公”经费支出决算表</w:t>
      </w:r>
      <w:bookmarkEnd w:id="162"/>
      <w:bookmarkEnd w:id="163"/>
      <w:bookmarkEnd w:id="164"/>
    </w:p>
    <w:p w14:paraId="45A56E9C">
      <w:pPr>
        <w:pStyle w:val="5"/>
        <w:spacing w:before="0" w:after="0" w:line="594" w:lineRule="exact"/>
        <w:rPr>
          <w:rStyle w:val="35"/>
          <w:rFonts w:ascii="仿宋_GB2312" w:hAnsi="Times New Roman" w:eastAsia="仿宋_GB2312" w:cs="Times New Roman"/>
          <w:b w:val="0"/>
          <w:bCs w:val="0"/>
        </w:rPr>
      </w:pPr>
      <w:r>
        <w:rPr>
          <w:rStyle w:val="35"/>
          <w:rFonts w:hint="eastAsia" w:ascii="仿宋_GB2312" w:hAnsi="Times New Roman" w:eastAsia="仿宋_GB2312" w:cs="Times New Roman"/>
          <w:b w:val="0"/>
          <w:bCs w:val="0"/>
        </w:rPr>
        <w:t>十三、国有资本经营预算财政拨款收入支出决算表</w:t>
      </w:r>
    </w:p>
    <w:p w14:paraId="34102937">
      <w:pPr>
        <w:pStyle w:val="5"/>
        <w:spacing w:before="0" w:after="0" w:line="594" w:lineRule="exact"/>
        <w:rPr>
          <w:rStyle w:val="35"/>
          <w:rFonts w:ascii="仿宋_GB2312" w:hAnsi="Times New Roman" w:eastAsia="仿宋_GB2312" w:cs="Times New Roman"/>
          <w:b w:val="0"/>
          <w:bCs w:val="0"/>
        </w:rPr>
      </w:pPr>
      <w:bookmarkStart w:id="165" w:name="_Toc15396631"/>
      <w:bookmarkStart w:id="166" w:name="_Toc54341307"/>
      <w:bookmarkStart w:id="167" w:name="_Toc54341384"/>
      <w:r>
        <w:rPr>
          <w:rStyle w:val="35"/>
          <w:rFonts w:hint="eastAsia" w:ascii="仿宋_GB2312" w:hAnsi="Times New Roman" w:eastAsia="仿宋_GB2312" w:cs="Times New Roman"/>
          <w:b w:val="0"/>
          <w:bCs w:val="0"/>
        </w:rPr>
        <w:t>十四、国有资本经营预算支出决算表</w:t>
      </w:r>
      <w:bookmarkEnd w:id="165"/>
      <w:bookmarkEnd w:id="166"/>
      <w:bookmarkEnd w:id="167"/>
    </w:p>
    <w:sectPr>
      <w:headerReference r:id="rId7" w:type="first"/>
      <w:footerReference r:id="rId10" w:type="first"/>
      <w:footerReference r:id="rId8" w:type="default"/>
      <w:headerReference r:id="rId6" w:type="even"/>
      <w:footerReference r:id="rId9" w:type="even"/>
      <w:pgSz w:w="11906" w:h="16838"/>
      <w:pgMar w:top="2098" w:right="1361" w:bottom="1361"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21FFC">
    <w:pPr>
      <w:pStyle w:val="15"/>
      <w:ind w:firstLine="7800" w:firstLineChars="3250"/>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ED58C">
    <w:pPr>
      <w:pStyle w:val="15"/>
      <w:ind w:firstLine="7800" w:firstLineChars="325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w:t>
    </w:r>
    <w:r>
      <w:rPr>
        <w:rFonts w:ascii="Times New Roman" w:hAnsi="Times New Roman"/>
        <w:sz w:val="24"/>
        <w:szCs w:val="24"/>
      </w:rPr>
      <w:fldChar w:fldCharType="end"/>
    </w:r>
    <w:r>
      <w:rPr>
        <w:rFonts w:ascii="Times New Roman" w:hAnsi="Times New Roman"/>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44ECA">
    <w:pPr>
      <w:pStyle w:val="1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r>
      <w:rPr>
        <w:rFonts w:ascii="Times New Roman" w:hAnsi="Times New Roman"/>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B394">
    <w:pPr>
      <w:pStyle w:val="15"/>
      <w:rPr>
        <w:rFonts w:ascii="Times New Roman" w:hAnsi="Times New Roman" w:eastAsia="华文仿宋"/>
        <w:sz w:val="24"/>
        <w:szCs w:val="24"/>
      </w:rPr>
    </w:pPr>
    <w:r>
      <w:rPr>
        <w:rFonts w:ascii="Times New Roman" w:hAnsi="Times New Roman" w:eastAsia="华文仿宋"/>
        <w:sz w:val="24"/>
        <w:szCs w:val="24"/>
      </w:rPr>
      <w:t xml:space="preserve">— </w:t>
    </w:r>
    <w:r>
      <w:rPr>
        <w:rFonts w:ascii="Times New Roman" w:hAnsi="Times New Roman" w:eastAsia="华文仿宋"/>
        <w:sz w:val="24"/>
        <w:szCs w:val="24"/>
      </w:rPr>
      <w:fldChar w:fldCharType="begin"/>
    </w:r>
    <w:r>
      <w:rPr>
        <w:rFonts w:ascii="Times New Roman" w:hAnsi="Times New Roman" w:eastAsia="华文仿宋"/>
        <w:sz w:val="24"/>
        <w:szCs w:val="24"/>
      </w:rPr>
      <w:instrText xml:space="preserve"> PAGE   \* MERGEFORMAT </w:instrText>
    </w:r>
    <w:r>
      <w:rPr>
        <w:rFonts w:ascii="Times New Roman" w:hAnsi="Times New Roman" w:eastAsia="华文仿宋"/>
        <w:sz w:val="24"/>
        <w:szCs w:val="24"/>
      </w:rPr>
      <w:fldChar w:fldCharType="separate"/>
    </w:r>
    <w:r>
      <w:rPr>
        <w:rFonts w:ascii="Times New Roman" w:hAnsi="Times New Roman" w:eastAsia="华文仿宋"/>
        <w:sz w:val="24"/>
        <w:szCs w:val="24"/>
        <w:lang w:val="zh-CN"/>
      </w:rPr>
      <w:t>1</w:t>
    </w:r>
    <w:r>
      <w:rPr>
        <w:rFonts w:ascii="Times New Roman" w:hAnsi="Times New Roman" w:eastAsia="华文仿宋"/>
        <w:sz w:val="24"/>
        <w:szCs w:val="24"/>
      </w:rPr>
      <w:fldChar w:fldCharType="end"/>
    </w:r>
    <w:r>
      <w:rPr>
        <w:rFonts w:ascii="Times New Roman" w:hAnsi="Times New Roman" w:eastAsia="华文仿宋"/>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4A222">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2420">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05FD8">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C6265">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83AAB"/>
    <w:multiLevelType w:val="singleLevel"/>
    <w:tmpl w:val="90283AAB"/>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166FD31"/>
    <w:multiLevelType w:val="singleLevel"/>
    <w:tmpl w:val="1166FD31"/>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429"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41B33FA"/>
    <w:multiLevelType w:val="multilevel"/>
    <w:tmpl w:val="341B33FA"/>
    <w:lvl w:ilvl="0" w:tentative="0">
      <w:start w:val="3"/>
      <w:numFmt w:val="japaneseCounting"/>
      <w:lvlText w:val="%1、"/>
      <w:lvlJc w:val="left"/>
      <w:pPr>
        <w:ind w:left="1429" w:hanging="720"/>
      </w:pPr>
      <w:rPr>
        <w:rFonts w:hint="default" w:hAnsi="黑体"/>
        <w:color w:val="00000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iM2I3MzNkMDJhYzQ4NTRhOGNmMjM3ZGM4YzViZGYifQ=="/>
  </w:docVars>
  <w:rsids>
    <w:rsidRoot w:val="00F1361C"/>
    <w:rsid w:val="0000201C"/>
    <w:rsid w:val="00002BFC"/>
    <w:rsid w:val="00014972"/>
    <w:rsid w:val="000222C6"/>
    <w:rsid w:val="0002549F"/>
    <w:rsid w:val="000468DB"/>
    <w:rsid w:val="0006347A"/>
    <w:rsid w:val="000638FD"/>
    <w:rsid w:val="0006487A"/>
    <w:rsid w:val="00065F8F"/>
    <w:rsid w:val="00070A43"/>
    <w:rsid w:val="000768F2"/>
    <w:rsid w:val="0007710F"/>
    <w:rsid w:val="00085387"/>
    <w:rsid w:val="00090C4B"/>
    <w:rsid w:val="000917CD"/>
    <w:rsid w:val="0009184B"/>
    <w:rsid w:val="00092A28"/>
    <w:rsid w:val="00094236"/>
    <w:rsid w:val="0009593C"/>
    <w:rsid w:val="00097322"/>
    <w:rsid w:val="000A6A92"/>
    <w:rsid w:val="000B047F"/>
    <w:rsid w:val="000B5923"/>
    <w:rsid w:val="000B5A48"/>
    <w:rsid w:val="000B6FF3"/>
    <w:rsid w:val="000C3467"/>
    <w:rsid w:val="000C3CA6"/>
    <w:rsid w:val="000C3FDF"/>
    <w:rsid w:val="000C4854"/>
    <w:rsid w:val="000C572A"/>
    <w:rsid w:val="000D1267"/>
    <w:rsid w:val="000D1393"/>
    <w:rsid w:val="000D1D50"/>
    <w:rsid w:val="000D3643"/>
    <w:rsid w:val="000D3ABB"/>
    <w:rsid w:val="000D5782"/>
    <w:rsid w:val="000D74DA"/>
    <w:rsid w:val="000E6613"/>
    <w:rsid w:val="000E7119"/>
    <w:rsid w:val="000F3030"/>
    <w:rsid w:val="000F3041"/>
    <w:rsid w:val="00103288"/>
    <w:rsid w:val="00103319"/>
    <w:rsid w:val="00114E9B"/>
    <w:rsid w:val="0012452C"/>
    <w:rsid w:val="001301B7"/>
    <w:rsid w:val="001378CE"/>
    <w:rsid w:val="00142216"/>
    <w:rsid w:val="00144D6A"/>
    <w:rsid w:val="00146922"/>
    <w:rsid w:val="0014729F"/>
    <w:rsid w:val="00152285"/>
    <w:rsid w:val="00154338"/>
    <w:rsid w:val="00157BAB"/>
    <w:rsid w:val="001654D1"/>
    <w:rsid w:val="00166701"/>
    <w:rsid w:val="001709C6"/>
    <w:rsid w:val="00174518"/>
    <w:rsid w:val="00174780"/>
    <w:rsid w:val="00176529"/>
    <w:rsid w:val="0018106D"/>
    <w:rsid w:val="00186CE7"/>
    <w:rsid w:val="001877A7"/>
    <w:rsid w:val="00191536"/>
    <w:rsid w:val="00196687"/>
    <w:rsid w:val="00196BE7"/>
    <w:rsid w:val="001B0C07"/>
    <w:rsid w:val="001B522A"/>
    <w:rsid w:val="001C0047"/>
    <w:rsid w:val="001C08FA"/>
    <w:rsid w:val="001C0962"/>
    <w:rsid w:val="001C124D"/>
    <w:rsid w:val="001C6A80"/>
    <w:rsid w:val="001C7DC9"/>
    <w:rsid w:val="001D7531"/>
    <w:rsid w:val="001E737D"/>
    <w:rsid w:val="001F0592"/>
    <w:rsid w:val="001F7506"/>
    <w:rsid w:val="002006CD"/>
    <w:rsid w:val="00202B36"/>
    <w:rsid w:val="00204B7A"/>
    <w:rsid w:val="00204CDE"/>
    <w:rsid w:val="0021101A"/>
    <w:rsid w:val="00220536"/>
    <w:rsid w:val="00232A34"/>
    <w:rsid w:val="002355FB"/>
    <w:rsid w:val="00235629"/>
    <w:rsid w:val="00243D54"/>
    <w:rsid w:val="00251EB5"/>
    <w:rsid w:val="00254DA1"/>
    <w:rsid w:val="00260C38"/>
    <w:rsid w:val="002616C0"/>
    <w:rsid w:val="00265372"/>
    <w:rsid w:val="002662AA"/>
    <w:rsid w:val="002722D6"/>
    <w:rsid w:val="00280496"/>
    <w:rsid w:val="00280E07"/>
    <w:rsid w:val="00281065"/>
    <w:rsid w:val="002818DF"/>
    <w:rsid w:val="0028255A"/>
    <w:rsid w:val="00282931"/>
    <w:rsid w:val="002874F7"/>
    <w:rsid w:val="002929D0"/>
    <w:rsid w:val="00294DC9"/>
    <w:rsid w:val="00295495"/>
    <w:rsid w:val="002A31DE"/>
    <w:rsid w:val="002A7BA0"/>
    <w:rsid w:val="002B0532"/>
    <w:rsid w:val="002B2613"/>
    <w:rsid w:val="002C1B8E"/>
    <w:rsid w:val="002D19B0"/>
    <w:rsid w:val="002D333A"/>
    <w:rsid w:val="002D6D05"/>
    <w:rsid w:val="002F0665"/>
    <w:rsid w:val="002F1818"/>
    <w:rsid w:val="002F2047"/>
    <w:rsid w:val="002F567B"/>
    <w:rsid w:val="00301C0A"/>
    <w:rsid w:val="00310D3C"/>
    <w:rsid w:val="00311444"/>
    <w:rsid w:val="003140F0"/>
    <w:rsid w:val="00315A1B"/>
    <w:rsid w:val="00317D98"/>
    <w:rsid w:val="003216A9"/>
    <w:rsid w:val="00335A74"/>
    <w:rsid w:val="00353044"/>
    <w:rsid w:val="003534E7"/>
    <w:rsid w:val="00355E3D"/>
    <w:rsid w:val="00356301"/>
    <w:rsid w:val="00357BC5"/>
    <w:rsid w:val="00362778"/>
    <w:rsid w:val="00364024"/>
    <w:rsid w:val="0036561B"/>
    <w:rsid w:val="0036626D"/>
    <w:rsid w:val="0037013F"/>
    <w:rsid w:val="0037050B"/>
    <w:rsid w:val="003713F2"/>
    <w:rsid w:val="00373149"/>
    <w:rsid w:val="00380C92"/>
    <w:rsid w:val="00381566"/>
    <w:rsid w:val="00385A4C"/>
    <w:rsid w:val="00394E4D"/>
    <w:rsid w:val="003A484F"/>
    <w:rsid w:val="003A4883"/>
    <w:rsid w:val="003B0BE0"/>
    <w:rsid w:val="003B0C1B"/>
    <w:rsid w:val="003B30DB"/>
    <w:rsid w:val="003B688C"/>
    <w:rsid w:val="003C0291"/>
    <w:rsid w:val="003C2EAD"/>
    <w:rsid w:val="003C39AE"/>
    <w:rsid w:val="003C6B9D"/>
    <w:rsid w:val="003C7B60"/>
    <w:rsid w:val="003D0C0F"/>
    <w:rsid w:val="003D1EFD"/>
    <w:rsid w:val="003D1FB2"/>
    <w:rsid w:val="003D215A"/>
    <w:rsid w:val="003D2821"/>
    <w:rsid w:val="003D66DA"/>
    <w:rsid w:val="003E1310"/>
    <w:rsid w:val="003E1547"/>
    <w:rsid w:val="003E204B"/>
    <w:rsid w:val="003E311D"/>
    <w:rsid w:val="003E6F55"/>
    <w:rsid w:val="003E7F98"/>
    <w:rsid w:val="003F71C5"/>
    <w:rsid w:val="00406254"/>
    <w:rsid w:val="00413620"/>
    <w:rsid w:val="00416CD4"/>
    <w:rsid w:val="004223DE"/>
    <w:rsid w:val="00422732"/>
    <w:rsid w:val="00423158"/>
    <w:rsid w:val="00434489"/>
    <w:rsid w:val="004369A2"/>
    <w:rsid w:val="00437085"/>
    <w:rsid w:val="0044147E"/>
    <w:rsid w:val="00443880"/>
    <w:rsid w:val="004464F4"/>
    <w:rsid w:val="0045090C"/>
    <w:rsid w:val="00452210"/>
    <w:rsid w:val="00453CD8"/>
    <w:rsid w:val="00464176"/>
    <w:rsid w:val="004666BE"/>
    <w:rsid w:val="00471401"/>
    <w:rsid w:val="00473F31"/>
    <w:rsid w:val="004741AA"/>
    <w:rsid w:val="00477F6A"/>
    <w:rsid w:val="0048263A"/>
    <w:rsid w:val="00483F8A"/>
    <w:rsid w:val="00487E5D"/>
    <w:rsid w:val="00493140"/>
    <w:rsid w:val="004A00DD"/>
    <w:rsid w:val="004A711F"/>
    <w:rsid w:val="004B0628"/>
    <w:rsid w:val="004B199D"/>
    <w:rsid w:val="004B4690"/>
    <w:rsid w:val="004C083A"/>
    <w:rsid w:val="004C1219"/>
    <w:rsid w:val="004C1A65"/>
    <w:rsid w:val="004C625D"/>
    <w:rsid w:val="004D67EF"/>
    <w:rsid w:val="004D73B3"/>
    <w:rsid w:val="004E0A2D"/>
    <w:rsid w:val="004E206B"/>
    <w:rsid w:val="004E6DF7"/>
    <w:rsid w:val="004F0FBD"/>
    <w:rsid w:val="004F403E"/>
    <w:rsid w:val="004F4CAA"/>
    <w:rsid w:val="004F5165"/>
    <w:rsid w:val="004F56EC"/>
    <w:rsid w:val="00502131"/>
    <w:rsid w:val="00505A47"/>
    <w:rsid w:val="0051069A"/>
    <w:rsid w:val="00512FDA"/>
    <w:rsid w:val="00520DA0"/>
    <w:rsid w:val="005253AE"/>
    <w:rsid w:val="00534495"/>
    <w:rsid w:val="005363F9"/>
    <w:rsid w:val="00541399"/>
    <w:rsid w:val="00555E48"/>
    <w:rsid w:val="00556A5C"/>
    <w:rsid w:val="00562A60"/>
    <w:rsid w:val="005664BB"/>
    <w:rsid w:val="00566839"/>
    <w:rsid w:val="00566FFA"/>
    <w:rsid w:val="005725BC"/>
    <w:rsid w:val="0057481D"/>
    <w:rsid w:val="00575F0B"/>
    <w:rsid w:val="00581983"/>
    <w:rsid w:val="005835A7"/>
    <w:rsid w:val="00583719"/>
    <w:rsid w:val="0058486E"/>
    <w:rsid w:val="00584E81"/>
    <w:rsid w:val="00585B33"/>
    <w:rsid w:val="0059014D"/>
    <w:rsid w:val="005927DF"/>
    <w:rsid w:val="00595716"/>
    <w:rsid w:val="00595769"/>
    <w:rsid w:val="005A0666"/>
    <w:rsid w:val="005A1A04"/>
    <w:rsid w:val="005A1A64"/>
    <w:rsid w:val="005A1C46"/>
    <w:rsid w:val="005A2976"/>
    <w:rsid w:val="005B5C64"/>
    <w:rsid w:val="005C2840"/>
    <w:rsid w:val="005C2A4A"/>
    <w:rsid w:val="005C6BD0"/>
    <w:rsid w:val="005C6C4C"/>
    <w:rsid w:val="005D1C8B"/>
    <w:rsid w:val="005D468D"/>
    <w:rsid w:val="005D4E3D"/>
    <w:rsid w:val="005D5CED"/>
    <w:rsid w:val="005E26E8"/>
    <w:rsid w:val="005F1A4C"/>
    <w:rsid w:val="005F205A"/>
    <w:rsid w:val="005F271D"/>
    <w:rsid w:val="005F651B"/>
    <w:rsid w:val="005F6F64"/>
    <w:rsid w:val="00604F95"/>
    <w:rsid w:val="00605688"/>
    <w:rsid w:val="006070AF"/>
    <w:rsid w:val="00607E6C"/>
    <w:rsid w:val="006101B1"/>
    <w:rsid w:val="00613D2D"/>
    <w:rsid w:val="00614E44"/>
    <w:rsid w:val="006200F0"/>
    <w:rsid w:val="0062270A"/>
    <w:rsid w:val="00622830"/>
    <w:rsid w:val="00623DA0"/>
    <w:rsid w:val="00626292"/>
    <w:rsid w:val="00630AEF"/>
    <w:rsid w:val="00631B5C"/>
    <w:rsid w:val="00632346"/>
    <w:rsid w:val="006325F8"/>
    <w:rsid w:val="00633463"/>
    <w:rsid w:val="00634C9A"/>
    <w:rsid w:val="006440E4"/>
    <w:rsid w:val="00656030"/>
    <w:rsid w:val="00660E4D"/>
    <w:rsid w:val="0066343B"/>
    <w:rsid w:val="00664777"/>
    <w:rsid w:val="00664910"/>
    <w:rsid w:val="00670232"/>
    <w:rsid w:val="006748A4"/>
    <w:rsid w:val="006801DB"/>
    <w:rsid w:val="006808AC"/>
    <w:rsid w:val="00681A31"/>
    <w:rsid w:val="00683E73"/>
    <w:rsid w:val="006863A9"/>
    <w:rsid w:val="0069428F"/>
    <w:rsid w:val="006A3141"/>
    <w:rsid w:val="006A5E34"/>
    <w:rsid w:val="006B2422"/>
    <w:rsid w:val="006B2B9A"/>
    <w:rsid w:val="006B6180"/>
    <w:rsid w:val="006C1937"/>
    <w:rsid w:val="006E0DF2"/>
    <w:rsid w:val="006F020C"/>
    <w:rsid w:val="007024A9"/>
    <w:rsid w:val="007038E2"/>
    <w:rsid w:val="007127B7"/>
    <w:rsid w:val="00713898"/>
    <w:rsid w:val="00713CC6"/>
    <w:rsid w:val="00715152"/>
    <w:rsid w:val="0071798E"/>
    <w:rsid w:val="00722439"/>
    <w:rsid w:val="0072599D"/>
    <w:rsid w:val="00727533"/>
    <w:rsid w:val="0073377B"/>
    <w:rsid w:val="007416B6"/>
    <w:rsid w:val="0074462F"/>
    <w:rsid w:val="00744C59"/>
    <w:rsid w:val="00746F48"/>
    <w:rsid w:val="00753430"/>
    <w:rsid w:val="00753969"/>
    <w:rsid w:val="0075404D"/>
    <w:rsid w:val="007577BA"/>
    <w:rsid w:val="0076182A"/>
    <w:rsid w:val="00766D9A"/>
    <w:rsid w:val="00767B7E"/>
    <w:rsid w:val="007770C3"/>
    <w:rsid w:val="00781FAD"/>
    <w:rsid w:val="007833CD"/>
    <w:rsid w:val="00784D24"/>
    <w:rsid w:val="00785FBA"/>
    <w:rsid w:val="0078626A"/>
    <w:rsid w:val="00786E4A"/>
    <w:rsid w:val="007875EB"/>
    <w:rsid w:val="0079426B"/>
    <w:rsid w:val="00797D45"/>
    <w:rsid w:val="007A4501"/>
    <w:rsid w:val="007A6A57"/>
    <w:rsid w:val="007B1E72"/>
    <w:rsid w:val="007C3D20"/>
    <w:rsid w:val="007C3F0D"/>
    <w:rsid w:val="007C4157"/>
    <w:rsid w:val="007D1682"/>
    <w:rsid w:val="007D2B75"/>
    <w:rsid w:val="007D312A"/>
    <w:rsid w:val="007D3F19"/>
    <w:rsid w:val="007E23B0"/>
    <w:rsid w:val="007F18FD"/>
    <w:rsid w:val="007F1991"/>
    <w:rsid w:val="007F2C2F"/>
    <w:rsid w:val="007F55FC"/>
    <w:rsid w:val="007F5665"/>
    <w:rsid w:val="00800112"/>
    <w:rsid w:val="008021CA"/>
    <w:rsid w:val="00803362"/>
    <w:rsid w:val="00810A2F"/>
    <w:rsid w:val="00813348"/>
    <w:rsid w:val="00824A8A"/>
    <w:rsid w:val="008253BB"/>
    <w:rsid w:val="00830F55"/>
    <w:rsid w:val="00833962"/>
    <w:rsid w:val="0083706E"/>
    <w:rsid w:val="008408F6"/>
    <w:rsid w:val="008423A5"/>
    <w:rsid w:val="00850625"/>
    <w:rsid w:val="00851743"/>
    <w:rsid w:val="008524F2"/>
    <w:rsid w:val="00853718"/>
    <w:rsid w:val="00855221"/>
    <w:rsid w:val="00860645"/>
    <w:rsid w:val="00870F63"/>
    <w:rsid w:val="00871F71"/>
    <w:rsid w:val="00872FD8"/>
    <w:rsid w:val="00873C58"/>
    <w:rsid w:val="00873D44"/>
    <w:rsid w:val="0088319B"/>
    <w:rsid w:val="00884295"/>
    <w:rsid w:val="008843CE"/>
    <w:rsid w:val="00885AF4"/>
    <w:rsid w:val="008939CD"/>
    <w:rsid w:val="008B059A"/>
    <w:rsid w:val="008B768C"/>
    <w:rsid w:val="008C4DB1"/>
    <w:rsid w:val="008C4EAF"/>
    <w:rsid w:val="008C5176"/>
    <w:rsid w:val="008C51B3"/>
    <w:rsid w:val="008C7FD0"/>
    <w:rsid w:val="008D3825"/>
    <w:rsid w:val="008D59D4"/>
    <w:rsid w:val="008D7EA1"/>
    <w:rsid w:val="008E1DE7"/>
    <w:rsid w:val="008E707C"/>
    <w:rsid w:val="008F166F"/>
    <w:rsid w:val="00900B08"/>
    <w:rsid w:val="00902155"/>
    <w:rsid w:val="00902FA3"/>
    <w:rsid w:val="00903977"/>
    <w:rsid w:val="00923564"/>
    <w:rsid w:val="0092392E"/>
    <w:rsid w:val="00926349"/>
    <w:rsid w:val="009315F9"/>
    <w:rsid w:val="00933499"/>
    <w:rsid w:val="00935C98"/>
    <w:rsid w:val="00946945"/>
    <w:rsid w:val="00951248"/>
    <w:rsid w:val="0095152F"/>
    <w:rsid w:val="00954C49"/>
    <w:rsid w:val="00955E37"/>
    <w:rsid w:val="00960898"/>
    <w:rsid w:val="009642F3"/>
    <w:rsid w:val="009652AE"/>
    <w:rsid w:val="0097099F"/>
    <w:rsid w:val="00971997"/>
    <w:rsid w:val="00971FFC"/>
    <w:rsid w:val="0097452F"/>
    <w:rsid w:val="00977805"/>
    <w:rsid w:val="00980CED"/>
    <w:rsid w:val="0098660A"/>
    <w:rsid w:val="009876A2"/>
    <w:rsid w:val="00987BD5"/>
    <w:rsid w:val="00991004"/>
    <w:rsid w:val="009931C3"/>
    <w:rsid w:val="009A3F95"/>
    <w:rsid w:val="009A4ACE"/>
    <w:rsid w:val="009A4FF4"/>
    <w:rsid w:val="009B1A75"/>
    <w:rsid w:val="009B25EA"/>
    <w:rsid w:val="009B2C43"/>
    <w:rsid w:val="009B2F7C"/>
    <w:rsid w:val="009B4EAE"/>
    <w:rsid w:val="009B4F5D"/>
    <w:rsid w:val="009B5E42"/>
    <w:rsid w:val="009B7573"/>
    <w:rsid w:val="009C22F4"/>
    <w:rsid w:val="009C2E98"/>
    <w:rsid w:val="009C37FB"/>
    <w:rsid w:val="009D0FC6"/>
    <w:rsid w:val="009D3447"/>
    <w:rsid w:val="009D4711"/>
    <w:rsid w:val="009E0806"/>
    <w:rsid w:val="009F1185"/>
    <w:rsid w:val="009F18CD"/>
    <w:rsid w:val="009F2A13"/>
    <w:rsid w:val="009F7527"/>
    <w:rsid w:val="009F7C1D"/>
    <w:rsid w:val="00A039ED"/>
    <w:rsid w:val="00A04EB0"/>
    <w:rsid w:val="00A127FC"/>
    <w:rsid w:val="00A13CC1"/>
    <w:rsid w:val="00A16847"/>
    <w:rsid w:val="00A17A06"/>
    <w:rsid w:val="00A22839"/>
    <w:rsid w:val="00A237D8"/>
    <w:rsid w:val="00A268C4"/>
    <w:rsid w:val="00A307CD"/>
    <w:rsid w:val="00A331C8"/>
    <w:rsid w:val="00A35117"/>
    <w:rsid w:val="00A36FAD"/>
    <w:rsid w:val="00A40A00"/>
    <w:rsid w:val="00A4142F"/>
    <w:rsid w:val="00A422EB"/>
    <w:rsid w:val="00A452E9"/>
    <w:rsid w:val="00A45BB7"/>
    <w:rsid w:val="00A52099"/>
    <w:rsid w:val="00A54DE3"/>
    <w:rsid w:val="00A56DF2"/>
    <w:rsid w:val="00A56E6E"/>
    <w:rsid w:val="00A57197"/>
    <w:rsid w:val="00A63735"/>
    <w:rsid w:val="00A64057"/>
    <w:rsid w:val="00A64C17"/>
    <w:rsid w:val="00A67AB5"/>
    <w:rsid w:val="00A733B2"/>
    <w:rsid w:val="00A741C2"/>
    <w:rsid w:val="00A76E56"/>
    <w:rsid w:val="00A81516"/>
    <w:rsid w:val="00A82BE0"/>
    <w:rsid w:val="00A83300"/>
    <w:rsid w:val="00A8541F"/>
    <w:rsid w:val="00A91760"/>
    <w:rsid w:val="00A93B00"/>
    <w:rsid w:val="00A93C21"/>
    <w:rsid w:val="00AA12C1"/>
    <w:rsid w:val="00AA3942"/>
    <w:rsid w:val="00AA77C5"/>
    <w:rsid w:val="00AB3052"/>
    <w:rsid w:val="00AB64C9"/>
    <w:rsid w:val="00AC36D2"/>
    <w:rsid w:val="00AC3C6A"/>
    <w:rsid w:val="00AC4187"/>
    <w:rsid w:val="00AC450F"/>
    <w:rsid w:val="00AD0F83"/>
    <w:rsid w:val="00AD5620"/>
    <w:rsid w:val="00AD656B"/>
    <w:rsid w:val="00AD7C1B"/>
    <w:rsid w:val="00AE16BA"/>
    <w:rsid w:val="00AE1EBE"/>
    <w:rsid w:val="00AF3AEC"/>
    <w:rsid w:val="00B01D87"/>
    <w:rsid w:val="00B03C9D"/>
    <w:rsid w:val="00B048F1"/>
    <w:rsid w:val="00B060AE"/>
    <w:rsid w:val="00B10517"/>
    <w:rsid w:val="00B1323C"/>
    <w:rsid w:val="00B14E76"/>
    <w:rsid w:val="00B161B8"/>
    <w:rsid w:val="00B2048C"/>
    <w:rsid w:val="00B310B9"/>
    <w:rsid w:val="00B33CCF"/>
    <w:rsid w:val="00B3580D"/>
    <w:rsid w:val="00B35D12"/>
    <w:rsid w:val="00B35F3F"/>
    <w:rsid w:val="00B36CBB"/>
    <w:rsid w:val="00B425E0"/>
    <w:rsid w:val="00B440AA"/>
    <w:rsid w:val="00B44B70"/>
    <w:rsid w:val="00B4542E"/>
    <w:rsid w:val="00B47650"/>
    <w:rsid w:val="00B47CE7"/>
    <w:rsid w:val="00B530BC"/>
    <w:rsid w:val="00B53C56"/>
    <w:rsid w:val="00B57DAF"/>
    <w:rsid w:val="00B7268F"/>
    <w:rsid w:val="00B73A36"/>
    <w:rsid w:val="00B769AD"/>
    <w:rsid w:val="00B77EA6"/>
    <w:rsid w:val="00B81598"/>
    <w:rsid w:val="00B81D69"/>
    <w:rsid w:val="00B82951"/>
    <w:rsid w:val="00B841F1"/>
    <w:rsid w:val="00B931F8"/>
    <w:rsid w:val="00B944D6"/>
    <w:rsid w:val="00BA42E6"/>
    <w:rsid w:val="00BA445C"/>
    <w:rsid w:val="00BB0EBF"/>
    <w:rsid w:val="00BB4DF0"/>
    <w:rsid w:val="00BC289F"/>
    <w:rsid w:val="00BC2D50"/>
    <w:rsid w:val="00BC3176"/>
    <w:rsid w:val="00BC5361"/>
    <w:rsid w:val="00BC5460"/>
    <w:rsid w:val="00BC5E5E"/>
    <w:rsid w:val="00BC6B50"/>
    <w:rsid w:val="00BD0E25"/>
    <w:rsid w:val="00BD5842"/>
    <w:rsid w:val="00BD5BA8"/>
    <w:rsid w:val="00BE4976"/>
    <w:rsid w:val="00BF5BD6"/>
    <w:rsid w:val="00C03E31"/>
    <w:rsid w:val="00C06332"/>
    <w:rsid w:val="00C21163"/>
    <w:rsid w:val="00C2622F"/>
    <w:rsid w:val="00C30E69"/>
    <w:rsid w:val="00C33E72"/>
    <w:rsid w:val="00C354B2"/>
    <w:rsid w:val="00C35554"/>
    <w:rsid w:val="00C42709"/>
    <w:rsid w:val="00C52CDA"/>
    <w:rsid w:val="00C533CC"/>
    <w:rsid w:val="00C5751C"/>
    <w:rsid w:val="00C60202"/>
    <w:rsid w:val="00C61BFC"/>
    <w:rsid w:val="00C62B85"/>
    <w:rsid w:val="00C65069"/>
    <w:rsid w:val="00C65438"/>
    <w:rsid w:val="00C91CBB"/>
    <w:rsid w:val="00C93BFA"/>
    <w:rsid w:val="00C96E21"/>
    <w:rsid w:val="00CB0246"/>
    <w:rsid w:val="00CB4E70"/>
    <w:rsid w:val="00CC09B6"/>
    <w:rsid w:val="00CC56AF"/>
    <w:rsid w:val="00CC666F"/>
    <w:rsid w:val="00CD1E3F"/>
    <w:rsid w:val="00CD4BE8"/>
    <w:rsid w:val="00CE290B"/>
    <w:rsid w:val="00CE44F6"/>
    <w:rsid w:val="00CE49DA"/>
    <w:rsid w:val="00CE7B61"/>
    <w:rsid w:val="00CF52AA"/>
    <w:rsid w:val="00D00095"/>
    <w:rsid w:val="00D0045F"/>
    <w:rsid w:val="00D114F0"/>
    <w:rsid w:val="00D1540A"/>
    <w:rsid w:val="00D20620"/>
    <w:rsid w:val="00D21ABF"/>
    <w:rsid w:val="00D254F7"/>
    <w:rsid w:val="00D26091"/>
    <w:rsid w:val="00D2685C"/>
    <w:rsid w:val="00D2778A"/>
    <w:rsid w:val="00D31683"/>
    <w:rsid w:val="00D31901"/>
    <w:rsid w:val="00D34E7C"/>
    <w:rsid w:val="00D35489"/>
    <w:rsid w:val="00D36AFE"/>
    <w:rsid w:val="00D379B2"/>
    <w:rsid w:val="00D417D4"/>
    <w:rsid w:val="00D41E6D"/>
    <w:rsid w:val="00D4690D"/>
    <w:rsid w:val="00D51276"/>
    <w:rsid w:val="00D7035F"/>
    <w:rsid w:val="00D83003"/>
    <w:rsid w:val="00D8513A"/>
    <w:rsid w:val="00D87027"/>
    <w:rsid w:val="00D93DDF"/>
    <w:rsid w:val="00DA634F"/>
    <w:rsid w:val="00DA65AC"/>
    <w:rsid w:val="00DA66D6"/>
    <w:rsid w:val="00DB1913"/>
    <w:rsid w:val="00DC3C0B"/>
    <w:rsid w:val="00DC410D"/>
    <w:rsid w:val="00DC5A81"/>
    <w:rsid w:val="00DC68CA"/>
    <w:rsid w:val="00DC7CBA"/>
    <w:rsid w:val="00DD5802"/>
    <w:rsid w:val="00DD73B7"/>
    <w:rsid w:val="00DD7EF2"/>
    <w:rsid w:val="00DF0783"/>
    <w:rsid w:val="00DF28BC"/>
    <w:rsid w:val="00DF34B9"/>
    <w:rsid w:val="00DF42E2"/>
    <w:rsid w:val="00DF790D"/>
    <w:rsid w:val="00E01053"/>
    <w:rsid w:val="00E07ACF"/>
    <w:rsid w:val="00E25447"/>
    <w:rsid w:val="00E31A76"/>
    <w:rsid w:val="00E331A1"/>
    <w:rsid w:val="00E33202"/>
    <w:rsid w:val="00E336A9"/>
    <w:rsid w:val="00E4063C"/>
    <w:rsid w:val="00E472B1"/>
    <w:rsid w:val="00E50624"/>
    <w:rsid w:val="00E568DF"/>
    <w:rsid w:val="00E631C8"/>
    <w:rsid w:val="00E64269"/>
    <w:rsid w:val="00E66797"/>
    <w:rsid w:val="00E70005"/>
    <w:rsid w:val="00E82267"/>
    <w:rsid w:val="00E853CE"/>
    <w:rsid w:val="00E861B0"/>
    <w:rsid w:val="00E867B6"/>
    <w:rsid w:val="00E87F08"/>
    <w:rsid w:val="00E906FD"/>
    <w:rsid w:val="00EA010F"/>
    <w:rsid w:val="00EA44BF"/>
    <w:rsid w:val="00EB06BA"/>
    <w:rsid w:val="00EB4A20"/>
    <w:rsid w:val="00EB4B00"/>
    <w:rsid w:val="00EC222A"/>
    <w:rsid w:val="00EC7979"/>
    <w:rsid w:val="00ED1B63"/>
    <w:rsid w:val="00ED2F59"/>
    <w:rsid w:val="00ED3C1F"/>
    <w:rsid w:val="00ED4085"/>
    <w:rsid w:val="00ED420E"/>
    <w:rsid w:val="00ED6FBE"/>
    <w:rsid w:val="00EE21EB"/>
    <w:rsid w:val="00EE2F57"/>
    <w:rsid w:val="00EF19FD"/>
    <w:rsid w:val="00EF34B5"/>
    <w:rsid w:val="00EF4C34"/>
    <w:rsid w:val="00EF6318"/>
    <w:rsid w:val="00EF77C6"/>
    <w:rsid w:val="00F05438"/>
    <w:rsid w:val="00F07249"/>
    <w:rsid w:val="00F1361C"/>
    <w:rsid w:val="00F156F0"/>
    <w:rsid w:val="00F160C7"/>
    <w:rsid w:val="00F2408F"/>
    <w:rsid w:val="00F240E9"/>
    <w:rsid w:val="00F24C9B"/>
    <w:rsid w:val="00F35AFD"/>
    <w:rsid w:val="00F36D8F"/>
    <w:rsid w:val="00F417B1"/>
    <w:rsid w:val="00F4207C"/>
    <w:rsid w:val="00F45853"/>
    <w:rsid w:val="00F45D18"/>
    <w:rsid w:val="00F5365E"/>
    <w:rsid w:val="00F602DF"/>
    <w:rsid w:val="00F66EFA"/>
    <w:rsid w:val="00F754A1"/>
    <w:rsid w:val="00F81FD9"/>
    <w:rsid w:val="00F841AA"/>
    <w:rsid w:val="00F84A94"/>
    <w:rsid w:val="00F85C9F"/>
    <w:rsid w:val="00F87C01"/>
    <w:rsid w:val="00F87E96"/>
    <w:rsid w:val="00F917AE"/>
    <w:rsid w:val="00F94386"/>
    <w:rsid w:val="00F95274"/>
    <w:rsid w:val="00F97418"/>
    <w:rsid w:val="00FA23E8"/>
    <w:rsid w:val="00FA65B0"/>
    <w:rsid w:val="00FB0288"/>
    <w:rsid w:val="00FC7570"/>
    <w:rsid w:val="00FC7FA2"/>
    <w:rsid w:val="00FD1582"/>
    <w:rsid w:val="00FD3CC1"/>
    <w:rsid w:val="00FD4FB8"/>
    <w:rsid w:val="00FE3B38"/>
    <w:rsid w:val="00FF0A7B"/>
    <w:rsid w:val="00FF1E02"/>
    <w:rsid w:val="00FF30B4"/>
    <w:rsid w:val="012612DB"/>
    <w:rsid w:val="01E219C6"/>
    <w:rsid w:val="029C257D"/>
    <w:rsid w:val="02E47586"/>
    <w:rsid w:val="037B0526"/>
    <w:rsid w:val="038A13C9"/>
    <w:rsid w:val="03910A70"/>
    <w:rsid w:val="03C92E85"/>
    <w:rsid w:val="03EA6EE4"/>
    <w:rsid w:val="044E0107"/>
    <w:rsid w:val="04A3360C"/>
    <w:rsid w:val="04C23FB6"/>
    <w:rsid w:val="04CA0076"/>
    <w:rsid w:val="054348A3"/>
    <w:rsid w:val="062E2F22"/>
    <w:rsid w:val="064F3B81"/>
    <w:rsid w:val="065F08A8"/>
    <w:rsid w:val="06833D32"/>
    <w:rsid w:val="068812C9"/>
    <w:rsid w:val="06D11626"/>
    <w:rsid w:val="06EA517D"/>
    <w:rsid w:val="071E4FE1"/>
    <w:rsid w:val="078D5223"/>
    <w:rsid w:val="07CE7716"/>
    <w:rsid w:val="07DC769B"/>
    <w:rsid w:val="0819526B"/>
    <w:rsid w:val="08741266"/>
    <w:rsid w:val="08FF3668"/>
    <w:rsid w:val="09774233"/>
    <w:rsid w:val="0985210D"/>
    <w:rsid w:val="09B254FE"/>
    <w:rsid w:val="0A21178A"/>
    <w:rsid w:val="0A32350A"/>
    <w:rsid w:val="0AC9086D"/>
    <w:rsid w:val="0AD91FDC"/>
    <w:rsid w:val="0AF63B97"/>
    <w:rsid w:val="0AFE7272"/>
    <w:rsid w:val="0B39456F"/>
    <w:rsid w:val="0BF504A9"/>
    <w:rsid w:val="0C1B6D54"/>
    <w:rsid w:val="0CAD5081"/>
    <w:rsid w:val="0CF602E0"/>
    <w:rsid w:val="0D8D55D9"/>
    <w:rsid w:val="0DDE5645"/>
    <w:rsid w:val="0DF8404C"/>
    <w:rsid w:val="0E5C560E"/>
    <w:rsid w:val="0E7D0A71"/>
    <w:rsid w:val="0EB83202"/>
    <w:rsid w:val="0EB923D3"/>
    <w:rsid w:val="0F156E50"/>
    <w:rsid w:val="0F811A5C"/>
    <w:rsid w:val="0FED3F4D"/>
    <w:rsid w:val="100F0DA6"/>
    <w:rsid w:val="1014662A"/>
    <w:rsid w:val="102F0B71"/>
    <w:rsid w:val="109D3645"/>
    <w:rsid w:val="10C055FF"/>
    <w:rsid w:val="10E06EF9"/>
    <w:rsid w:val="10E66E2D"/>
    <w:rsid w:val="11624CC0"/>
    <w:rsid w:val="119F4EF9"/>
    <w:rsid w:val="11C04FEB"/>
    <w:rsid w:val="13B91C96"/>
    <w:rsid w:val="14217E80"/>
    <w:rsid w:val="147779E5"/>
    <w:rsid w:val="15CC520E"/>
    <w:rsid w:val="161B3522"/>
    <w:rsid w:val="165A543D"/>
    <w:rsid w:val="167F311F"/>
    <w:rsid w:val="16AA0D80"/>
    <w:rsid w:val="16BB723D"/>
    <w:rsid w:val="16E010CC"/>
    <w:rsid w:val="18CE0FE3"/>
    <w:rsid w:val="190902A9"/>
    <w:rsid w:val="197429C6"/>
    <w:rsid w:val="19B41410"/>
    <w:rsid w:val="19C46A20"/>
    <w:rsid w:val="19D330D7"/>
    <w:rsid w:val="19E10B3D"/>
    <w:rsid w:val="1AB419C8"/>
    <w:rsid w:val="1BC75C05"/>
    <w:rsid w:val="1BE26B0C"/>
    <w:rsid w:val="1C44576F"/>
    <w:rsid w:val="1CAA0035"/>
    <w:rsid w:val="1CD02728"/>
    <w:rsid w:val="1D760A64"/>
    <w:rsid w:val="1E24739F"/>
    <w:rsid w:val="1E49286A"/>
    <w:rsid w:val="1E8B272C"/>
    <w:rsid w:val="1EEC6837"/>
    <w:rsid w:val="1F5E7BE7"/>
    <w:rsid w:val="1F601FC4"/>
    <w:rsid w:val="1FBD5172"/>
    <w:rsid w:val="1FFA0F4E"/>
    <w:rsid w:val="210361A6"/>
    <w:rsid w:val="215D45D9"/>
    <w:rsid w:val="21761EA6"/>
    <w:rsid w:val="218E3F37"/>
    <w:rsid w:val="219C558F"/>
    <w:rsid w:val="22063FAC"/>
    <w:rsid w:val="22271F5F"/>
    <w:rsid w:val="22563B95"/>
    <w:rsid w:val="22DD1D2C"/>
    <w:rsid w:val="234D2F26"/>
    <w:rsid w:val="23F044BD"/>
    <w:rsid w:val="240371BF"/>
    <w:rsid w:val="245D377D"/>
    <w:rsid w:val="24610E99"/>
    <w:rsid w:val="24790FB3"/>
    <w:rsid w:val="25E56909"/>
    <w:rsid w:val="2662238A"/>
    <w:rsid w:val="276F3A06"/>
    <w:rsid w:val="27C326AD"/>
    <w:rsid w:val="2828412C"/>
    <w:rsid w:val="28392155"/>
    <w:rsid w:val="2849400A"/>
    <w:rsid w:val="2899001E"/>
    <w:rsid w:val="298C089E"/>
    <w:rsid w:val="29D75CC8"/>
    <w:rsid w:val="29E80991"/>
    <w:rsid w:val="29FD04D3"/>
    <w:rsid w:val="2A360751"/>
    <w:rsid w:val="2A4D55CF"/>
    <w:rsid w:val="2A7B68F9"/>
    <w:rsid w:val="2AA41917"/>
    <w:rsid w:val="2B6D49FF"/>
    <w:rsid w:val="2BE646F0"/>
    <w:rsid w:val="2C373E91"/>
    <w:rsid w:val="2C6E7580"/>
    <w:rsid w:val="2CAC5BDF"/>
    <w:rsid w:val="2CB70EDF"/>
    <w:rsid w:val="2CD4355C"/>
    <w:rsid w:val="2D551C10"/>
    <w:rsid w:val="2D804673"/>
    <w:rsid w:val="2D82252C"/>
    <w:rsid w:val="2DDC03D9"/>
    <w:rsid w:val="2E1B7FF3"/>
    <w:rsid w:val="2E480A8F"/>
    <w:rsid w:val="2F120423"/>
    <w:rsid w:val="2FD03E9C"/>
    <w:rsid w:val="3027005E"/>
    <w:rsid w:val="304154B5"/>
    <w:rsid w:val="31661B7A"/>
    <w:rsid w:val="319F7F4E"/>
    <w:rsid w:val="31D45126"/>
    <w:rsid w:val="3251297B"/>
    <w:rsid w:val="33C356D5"/>
    <w:rsid w:val="33C46937"/>
    <w:rsid w:val="341209A3"/>
    <w:rsid w:val="342C0F00"/>
    <w:rsid w:val="34515D05"/>
    <w:rsid w:val="348738C3"/>
    <w:rsid w:val="34BB5BDC"/>
    <w:rsid w:val="351242D5"/>
    <w:rsid w:val="35321851"/>
    <w:rsid w:val="35B031B8"/>
    <w:rsid w:val="35D2381D"/>
    <w:rsid w:val="36844F67"/>
    <w:rsid w:val="36E536D6"/>
    <w:rsid w:val="37185B75"/>
    <w:rsid w:val="37D90437"/>
    <w:rsid w:val="37FE27F7"/>
    <w:rsid w:val="38941596"/>
    <w:rsid w:val="39245F47"/>
    <w:rsid w:val="397401D1"/>
    <w:rsid w:val="398D2071"/>
    <w:rsid w:val="39DE30E7"/>
    <w:rsid w:val="3A67008B"/>
    <w:rsid w:val="3A780808"/>
    <w:rsid w:val="3AF314A2"/>
    <w:rsid w:val="3AFD6043"/>
    <w:rsid w:val="3B3258C8"/>
    <w:rsid w:val="3BA8156A"/>
    <w:rsid w:val="3BBD284B"/>
    <w:rsid w:val="3BF65329"/>
    <w:rsid w:val="3C0E4D51"/>
    <w:rsid w:val="3C905439"/>
    <w:rsid w:val="3C97798F"/>
    <w:rsid w:val="3CD962FF"/>
    <w:rsid w:val="3D79045D"/>
    <w:rsid w:val="3DBA75FB"/>
    <w:rsid w:val="3DD623CE"/>
    <w:rsid w:val="3DDB3AFE"/>
    <w:rsid w:val="3E044C4D"/>
    <w:rsid w:val="3EDA3926"/>
    <w:rsid w:val="3F0032F9"/>
    <w:rsid w:val="3F2941D9"/>
    <w:rsid w:val="3FB30ED2"/>
    <w:rsid w:val="400B1810"/>
    <w:rsid w:val="408D752F"/>
    <w:rsid w:val="408E0705"/>
    <w:rsid w:val="40B05659"/>
    <w:rsid w:val="41044F24"/>
    <w:rsid w:val="41B02108"/>
    <w:rsid w:val="41E64294"/>
    <w:rsid w:val="41F25323"/>
    <w:rsid w:val="41FA1567"/>
    <w:rsid w:val="421C5055"/>
    <w:rsid w:val="423C739F"/>
    <w:rsid w:val="42E547DC"/>
    <w:rsid w:val="43396197"/>
    <w:rsid w:val="43927DE4"/>
    <w:rsid w:val="43CF46F7"/>
    <w:rsid w:val="43D27904"/>
    <w:rsid w:val="43F96C42"/>
    <w:rsid w:val="443B7C3A"/>
    <w:rsid w:val="4478473C"/>
    <w:rsid w:val="45054409"/>
    <w:rsid w:val="45F905C7"/>
    <w:rsid w:val="465A7E19"/>
    <w:rsid w:val="469D5C35"/>
    <w:rsid w:val="470B69BE"/>
    <w:rsid w:val="475D680F"/>
    <w:rsid w:val="47C54E2E"/>
    <w:rsid w:val="482813B3"/>
    <w:rsid w:val="482D2022"/>
    <w:rsid w:val="485365E5"/>
    <w:rsid w:val="48660509"/>
    <w:rsid w:val="48EA1C08"/>
    <w:rsid w:val="49653F41"/>
    <w:rsid w:val="4A6C0D86"/>
    <w:rsid w:val="4A6F30D0"/>
    <w:rsid w:val="4A9052F1"/>
    <w:rsid w:val="4A9C07AC"/>
    <w:rsid w:val="4AA11D54"/>
    <w:rsid w:val="4AF81C32"/>
    <w:rsid w:val="4B141E46"/>
    <w:rsid w:val="4B452E0E"/>
    <w:rsid w:val="4BAE2568"/>
    <w:rsid w:val="4BBB0B9A"/>
    <w:rsid w:val="4BC12DA8"/>
    <w:rsid w:val="4BFA5257"/>
    <w:rsid w:val="4C3D2F09"/>
    <w:rsid w:val="4CAF70CD"/>
    <w:rsid w:val="4CDE0893"/>
    <w:rsid w:val="4D041895"/>
    <w:rsid w:val="4D1C5A02"/>
    <w:rsid w:val="4D242A9B"/>
    <w:rsid w:val="4D386439"/>
    <w:rsid w:val="4D7041B6"/>
    <w:rsid w:val="4D7165A7"/>
    <w:rsid w:val="4D85160E"/>
    <w:rsid w:val="4ECE2238"/>
    <w:rsid w:val="4EF042E5"/>
    <w:rsid w:val="4FED6BB8"/>
    <w:rsid w:val="4FFC1DC8"/>
    <w:rsid w:val="50EE410C"/>
    <w:rsid w:val="51476F7F"/>
    <w:rsid w:val="51605154"/>
    <w:rsid w:val="518201E9"/>
    <w:rsid w:val="521C45CA"/>
    <w:rsid w:val="523B4350"/>
    <w:rsid w:val="524302E8"/>
    <w:rsid w:val="52890AAF"/>
    <w:rsid w:val="528E500C"/>
    <w:rsid w:val="52C92E05"/>
    <w:rsid w:val="52E639F2"/>
    <w:rsid w:val="5323472A"/>
    <w:rsid w:val="5351513C"/>
    <w:rsid w:val="53EA6641"/>
    <w:rsid w:val="54267D21"/>
    <w:rsid w:val="553B073E"/>
    <w:rsid w:val="55AB0FB6"/>
    <w:rsid w:val="55D50808"/>
    <w:rsid w:val="55F63D5F"/>
    <w:rsid w:val="566340C9"/>
    <w:rsid w:val="566E0A10"/>
    <w:rsid w:val="5684100C"/>
    <w:rsid w:val="56973B0D"/>
    <w:rsid w:val="57215525"/>
    <w:rsid w:val="57495AE2"/>
    <w:rsid w:val="578435D2"/>
    <w:rsid w:val="57B670F3"/>
    <w:rsid w:val="590A7772"/>
    <w:rsid w:val="592E43EB"/>
    <w:rsid w:val="595A0E5D"/>
    <w:rsid w:val="595E0DBF"/>
    <w:rsid w:val="59B46485"/>
    <w:rsid w:val="5A7D2EEC"/>
    <w:rsid w:val="5A9813F5"/>
    <w:rsid w:val="5ABC3FE0"/>
    <w:rsid w:val="5B0264F1"/>
    <w:rsid w:val="5B114ED4"/>
    <w:rsid w:val="5BAB11CB"/>
    <w:rsid w:val="5BBE4B9E"/>
    <w:rsid w:val="5C4B23AA"/>
    <w:rsid w:val="5C7E6FB7"/>
    <w:rsid w:val="5CDF6D50"/>
    <w:rsid w:val="5D1E2F47"/>
    <w:rsid w:val="5D816677"/>
    <w:rsid w:val="5E0455B6"/>
    <w:rsid w:val="5E3C17C9"/>
    <w:rsid w:val="5EE57135"/>
    <w:rsid w:val="5EF8247B"/>
    <w:rsid w:val="5F0C7463"/>
    <w:rsid w:val="60527759"/>
    <w:rsid w:val="616302D6"/>
    <w:rsid w:val="61B50D0D"/>
    <w:rsid w:val="61B55EB8"/>
    <w:rsid w:val="627D1E73"/>
    <w:rsid w:val="62AB745F"/>
    <w:rsid w:val="62AF57BC"/>
    <w:rsid w:val="6319442C"/>
    <w:rsid w:val="631B72A6"/>
    <w:rsid w:val="632936B5"/>
    <w:rsid w:val="643160B6"/>
    <w:rsid w:val="64510AA3"/>
    <w:rsid w:val="64AD59BA"/>
    <w:rsid w:val="64CC7658"/>
    <w:rsid w:val="64DE3E13"/>
    <w:rsid w:val="64FF66D8"/>
    <w:rsid w:val="657B199B"/>
    <w:rsid w:val="65C04C47"/>
    <w:rsid w:val="65F06546"/>
    <w:rsid w:val="66974B1C"/>
    <w:rsid w:val="66FA3F1F"/>
    <w:rsid w:val="671A4F75"/>
    <w:rsid w:val="6747354E"/>
    <w:rsid w:val="67520F09"/>
    <w:rsid w:val="67C05263"/>
    <w:rsid w:val="680B2A41"/>
    <w:rsid w:val="68101E32"/>
    <w:rsid w:val="68346839"/>
    <w:rsid w:val="68BB0BB5"/>
    <w:rsid w:val="68D70636"/>
    <w:rsid w:val="68E85E86"/>
    <w:rsid w:val="69D171F7"/>
    <w:rsid w:val="6A7B4FFB"/>
    <w:rsid w:val="6A7D240D"/>
    <w:rsid w:val="6B1A42C4"/>
    <w:rsid w:val="6B233244"/>
    <w:rsid w:val="6BCF1682"/>
    <w:rsid w:val="6BE44297"/>
    <w:rsid w:val="6C190095"/>
    <w:rsid w:val="6D07236A"/>
    <w:rsid w:val="6D0A6C5F"/>
    <w:rsid w:val="6DB04D88"/>
    <w:rsid w:val="6DC06F52"/>
    <w:rsid w:val="6DF30905"/>
    <w:rsid w:val="6EE15A03"/>
    <w:rsid w:val="6EFE7DD8"/>
    <w:rsid w:val="70B76556"/>
    <w:rsid w:val="70D33518"/>
    <w:rsid w:val="70E33F37"/>
    <w:rsid w:val="7202218F"/>
    <w:rsid w:val="72276854"/>
    <w:rsid w:val="72734D90"/>
    <w:rsid w:val="72883E36"/>
    <w:rsid w:val="72BD2147"/>
    <w:rsid w:val="734F0117"/>
    <w:rsid w:val="743B7D71"/>
    <w:rsid w:val="74975A74"/>
    <w:rsid w:val="74E94B6E"/>
    <w:rsid w:val="75031B1B"/>
    <w:rsid w:val="75861E2D"/>
    <w:rsid w:val="75EC5454"/>
    <w:rsid w:val="77101FB8"/>
    <w:rsid w:val="77D6468F"/>
    <w:rsid w:val="78536598"/>
    <w:rsid w:val="78EF109A"/>
    <w:rsid w:val="79640BBA"/>
    <w:rsid w:val="79777084"/>
    <w:rsid w:val="79D30CF9"/>
    <w:rsid w:val="79FA007F"/>
    <w:rsid w:val="7A0F7CFA"/>
    <w:rsid w:val="7AEF63CB"/>
    <w:rsid w:val="7B142707"/>
    <w:rsid w:val="7B7108BF"/>
    <w:rsid w:val="7BBD0C92"/>
    <w:rsid w:val="7BC941DF"/>
    <w:rsid w:val="7C0D0C28"/>
    <w:rsid w:val="7C275E79"/>
    <w:rsid w:val="7CCB0590"/>
    <w:rsid w:val="7D3A01CF"/>
    <w:rsid w:val="7D6B489B"/>
    <w:rsid w:val="7D766DEF"/>
    <w:rsid w:val="7DDE4A51"/>
    <w:rsid w:val="7DF85A61"/>
    <w:rsid w:val="7E33203C"/>
    <w:rsid w:val="7E4D6A08"/>
    <w:rsid w:val="7E533C59"/>
    <w:rsid w:val="7F645D76"/>
    <w:rsid w:val="7F7D485C"/>
    <w:rsid w:val="7F9E0BDC"/>
    <w:rsid w:val="7FA65BD6"/>
    <w:rsid w:val="7FC67B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ind w:left="420" w:leftChars="200"/>
    </w:p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Body Text"/>
    <w:basedOn w:val="1"/>
    <w:link w:val="31"/>
    <w:qFormat/>
    <w:uiPriority w:val="99"/>
    <w:pPr>
      <w:spacing w:beforeLines="30"/>
    </w:pPr>
    <w:rPr>
      <w:rFonts w:ascii="仿宋_GB2312" w:eastAsia="仿宋_GB2312"/>
      <w:kern w:val="0"/>
      <w:sz w:val="30"/>
    </w:rPr>
  </w:style>
  <w:style w:type="paragraph" w:styleId="10">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1">
    <w:name w:val="toc 3"/>
    <w:basedOn w:val="1"/>
    <w:next w:val="1"/>
    <w:unhideWhenUsed/>
    <w:qFormat/>
    <w:uiPriority w:val="39"/>
    <w:pPr>
      <w:tabs>
        <w:tab w:val="right" w:leader="dot" w:pos="8296"/>
      </w:tabs>
      <w:ind w:left="840" w:leftChars="400"/>
    </w:pPr>
  </w:style>
  <w:style w:type="paragraph" w:styleId="1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3">
    <w:name w:val="Date"/>
    <w:basedOn w:val="1"/>
    <w:next w:val="1"/>
    <w:link w:val="43"/>
    <w:semiHidden/>
    <w:unhideWhenUsed/>
    <w:qFormat/>
    <w:uiPriority w:val="99"/>
    <w:pPr>
      <w:ind w:left="100" w:leftChars="2500"/>
    </w:pPr>
  </w:style>
  <w:style w:type="paragraph" w:styleId="14">
    <w:name w:val="Balloon Text"/>
    <w:basedOn w:val="1"/>
    <w:link w:val="37"/>
    <w:semiHidden/>
    <w:unhideWhenUsed/>
    <w:qFormat/>
    <w:uiPriority w:val="99"/>
    <w:rPr>
      <w:sz w:val="18"/>
      <w:szCs w:val="18"/>
    </w:rPr>
  </w:style>
  <w:style w:type="paragraph" w:styleId="15">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8">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9">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0">
    <w:name w:val="toc 2"/>
    <w:basedOn w:val="1"/>
    <w:next w:val="1"/>
    <w:unhideWhenUsed/>
    <w:qFormat/>
    <w:uiPriority w:val="39"/>
    <w:pPr>
      <w:tabs>
        <w:tab w:val="right" w:leader="dot" w:pos="8296"/>
      </w:tabs>
      <w:ind w:left="420" w:leftChars="200"/>
    </w:pPr>
  </w:style>
  <w:style w:type="paragraph" w:styleId="21">
    <w:name w:val="toc 9"/>
    <w:basedOn w:val="1"/>
    <w:next w:val="1"/>
    <w:unhideWhenUsed/>
    <w:qFormat/>
    <w:uiPriority w:val="39"/>
    <w:pPr>
      <w:ind w:left="3360" w:leftChars="1600"/>
    </w:pPr>
    <w:rPr>
      <w:rFonts w:asciiTheme="minorHAnsi" w:hAnsiTheme="minorHAnsi" w:eastAsiaTheme="minorEastAsia" w:cstheme="minorBidi"/>
      <w:szCs w:val="22"/>
    </w:rPr>
  </w:style>
  <w:style w:type="character" w:styleId="24">
    <w:name w:val="Strong"/>
    <w:basedOn w:val="23"/>
    <w:qFormat/>
    <w:uiPriority w:val="99"/>
    <w:rPr>
      <w:b/>
    </w:rPr>
  </w:style>
  <w:style w:type="character" w:styleId="25">
    <w:name w:val="Hyperlink"/>
    <w:basedOn w:val="23"/>
    <w:unhideWhenUsed/>
    <w:qFormat/>
    <w:uiPriority w:val="99"/>
    <w:rPr>
      <w:color w:val="0000FF" w:themeColor="hyperlink"/>
      <w:u w:val="single"/>
    </w:rPr>
  </w:style>
  <w:style w:type="character" w:customStyle="1" w:styleId="26">
    <w:name w:val="Header Char"/>
    <w:basedOn w:val="23"/>
    <w:semiHidden/>
    <w:qFormat/>
    <w:uiPriority w:val="99"/>
    <w:rPr>
      <w:rFonts w:ascii="Times New Roman" w:hAnsi="Times New Roman"/>
      <w:sz w:val="18"/>
      <w:szCs w:val="18"/>
    </w:rPr>
  </w:style>
  <w:style w:type="character" w:customStyle="1" w:styleId="27">
    <w:name w:val="页眉 Char"/>
    <w:link w:val="16"/>
    <w:semiHidden/>
    <w:qFormat/>
    <w:locked/>
    <w:uiPriority w:val="99"/>
    <w:rPr>
      <w:sz w:val="18"/>
    </w:rPr>
  </w:style>
  <w:style w:type="character" w:customStyle="1" w:styleId="28">
    <w:name w:val="Footer Char"/>
    <w:basedOn w:val="23"/>
    <w:semiHidden/>
    <w:qFormat/>
    <w:uiPriority w:val="99"/>
    <w:rPr>
      <w:rFonts w:ascii="Times New Roman" w:hAnsi="Times New Roman"/>
      <w:sz w:val="18"/>
      <w:szCs w:val="18"/>
    </w:rPr>
  </w:style>
  <w:style w:type="character" w:customStyle="1" w:styleId="29">
    <w:name w:val="页脚 Char"/>
    <w:link w:val="15"/>
    <w:qFormat/>
    <w:locked/>
    <w:uiPriority w:val="99"/>
    <w:rPr>
      <w:sz w:val="18"/>
    </w:rPr>
  </w:style>
  <w:style w:type="character" w:customStyle="1" w:styleId="30">
    <w:name w:val="Body Text Char"/>
    <w:basedOn w:val="23"/>
    <w:semiHidden/>
    <w:qFormat/>
    <w:uiPriority w:val="99"/>
    <w:rPr>
      <w:rFonts w:ascii="Times New Roman" w:hAnsi="Times New Roman"/>
      <w:szCs w:val="24"/>
    </w:rPr>
  </w:style>
  <w:style w:type="character" w:customStyle="1" w:styleId="31">
    <w:name w:val="正文文本 Char"/>
    <w:link w:val="9"/>
    <w:qFormat/>
    <w:locked/>
    <w:uiPriority w:val="99"/>
    <w:rPr>
      <w:rFonts w:ascii="仿宋_GB2312" w:hAnsi="Times New Roman" w:eastAsia="仿宋_GB2312"/>
      <w:sz w:val="24"/>
    </w:rPr>
  </w:style>
  <w:style w:type="paragraph" w:customStyle="1" w:styleId="3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3">
    <w:name w:val="List Paragraph"/>
    <w:basedOn w:val="1"/>
    <w:qFormat/>
    <w:uiPriority w:val="34"/>
    <w:pPr>
      <w:ind w:firstLine="420" w:firstLineChars="200"/>
    </w:pPr>
  </w:style>
  <w:style w:type="character" w:customStyle="1" w:styleId="34">
    <w:name w:val="标题 1 Char"/>
    <w:basedOn w:val="23"/>
    <w:link w:val="4"/>
    <w:qFormat/>
    <w:uiPriority w:val="9"/>
    <w:rPr>
      <w:rFonts w:ascii="Times New Roman" w:hAnsi="Times New Roman"/>
      <w:b/>
      <w:bCs/>
      <w:kern w:val="44"/>
      <w:sz w:val="44"/>
      <w:szCs w:val="44"/>
    </w:rPr>
  </w:style>
  <w:style w:type="character" w:customStyle="1" w:styleId="35">
    <w:name w:val="标题 2 Char"/>
    <w:basedOn w:val="23"/>
    <w:link w:val="5"/>
    <w:qFormat/>
    <w:uiPriority w:val="9"/>
    <w:rPr>
      <w:rFonts w:asciiTheme="majorHAnsi" w:hAnsiTheme="majorHAnsi" w:eastAsiaTheme="majorEastAsia" w:cstheme="majorBidi"/>
      <w:b/>
      <w:bCs/>
      <w:kern w:val="2"/>
      <w:sz w:val="32"/>
      <w:szCs w:val="32"/>
    </w:rPr>
  </w:style>
  <w:style w:type="paragraph" w:customStyle="1" w:styleId="36">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批注框文本 Char"/>
    <w:basedOn w:val="23"/>
    <w:link w:val="14"/>
    <w:semiHidden/>
    <w:qFormat/>
    <w:uiPriority w:val="99"/>
    <w:rPr>
      <w:rFonts w:ascii="Times New Roman" w:hAnsi="Times New Roman"/>
      <w:kern w:val="2"/>
      <w:sz w:val="18"/>
      <w:szCs w:val="18"/>
    </w:rPr>
  </w:style>
  <w:style w:type="character" w:customStyle="1" w:styleId="38">
    <w:name w:val="标题 3 Char"/>
    <w:basedOn w:val="23"/>
    <w:link w:val="6"/>
    <w:qFormat/>
    <w:uiPriority w:val="9"/>
    <w:rPr>
      <w:rFonts w:ascii="Times New Roman" w:hAnsi="Times New Roman"/>
      <w:b/>
      <w:bCs/>
      <w:kern w:val="2"/>
      <w:sz w:val="32"/>
      <w:szCs w:val="32"/>
    </w:rPr>
  </w:style>
  <w:style w:type="paragraph" w:customStyle="1" w:styleId="39">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40">
    <w:name w:val="TOC 标题3"/>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1">
    <w:name w:val="标题 4 Char"/>
    <w:basedOn w:val="23"/>
    <w:link w:val="7"/>
    <w:qFormat/>
    <w:uiPriority w:val="9"/>
    <w:rPr>
      <w:rFonts w:asciiTheme="majorHAnsi" w:hAnsiTheme="majorHAnsi" w:eastAsiaTheme="majorEastAsia" w:cstheme="majorBidi"/>
      <w:b/>
      <w:bCs/>
      <w:kern w:val="2"/>
      <w:sz w:val="28"/>
      <w:szCs w:val="28"/>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3">
    <w:name w:val="日期 Char"/>
    <w:basedOn w:val="23"/>
    <w:link w:val="13"/>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38451;&#36816;&#36890;\&#20013;&#21307;&#38498;\&#21508;&#31181;&#22791;&#20221;&#25968;&#25454;&#12289;&#20915;&#31639;&#21450;&#19978;&#25253;&#25968;&#25454;\2020&#24180;&#20915;&#31639;\2020&#24180;&#37096;&#38376;&#20915;&#31639;&#20844;&#24320;&#36164;&#26009;\2018&#20915;&#31639;&#20844;&#24320;-&#21046;&#22270;&#27604;&#2036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38451;&#36816;&#36890;\&#20013;&#21307;&#38498;\&#21508;&#31181;&#22791;&#20221;&#25968;&#25454;&#12289;&#20915;&#31639;&#21450;&#19978;&#25253;&#25968;&#25454;\2020&#24180;&#20915;&#31639;\2020&#24180;&#37096;&#38376;&#20915;&#31639;&#20844;&#24320;&#36164;&#26009;\2018&#20915;&#31639;&#20844;&#24320;-&#21046;&#22270;&#27604;&#2036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38451;&#36816;&#36890;\&#20013;&#21307;&#38498;\&#21508;&#31181;&#22791;&#20221;&#25968;&#25454;&#12289;&#20915;&#31639;&#21450;&#19978;&#25253;&#25968;&#25454;\2020&#24180;&#20915;&#31639;\2020&#24180;&#37096;&#38376;&#20915;&#31639;&#20844;&#24320;&#36164;&#26009;\2018&#20915;&#31639;&#20844;&#24320;-&#21046;&#22270;&#27604;&#2036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38451;&#36816;&#36890;\&#20013;&#21307;&#38498;\&#21508;&#31181;&#22791;&#20221;&#25968;&#25454;&#12289;&#20915;&#31639;&#21450;&#19978;&#25253;&#25968;&#25454;\2020&#24180;&#20915;&#31639;\2020&#24180;&#37096;&#38376;&#20915;&#31639;&#20844;&#24320;&#36164;&#26009;\2018&#20915;&#31639;&#20844;&#24320;-&#21046;&#22270;&#27604;&#20363;.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38451;&#36816;&#36890;\&#20013;&#21307;&#38498;\&#21508;&#31181;&#22791;&#20221;&#25968;&#25454;&#12289;&#20915;&#31639;&#21450;&#19978;&#25253;&#25968;&#25454;\2020&#24180;&#20915;&#31639;\2020&#24180;&#37096;&#38376;&#20915;&#31639;&#20844;&#24320;&#36164;&#26009;\2018&#20915;&#31639;&#20844;&#24320;-&#21046;&#22270;&#27604;&#2036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38451;&#36816;&#36890;\&#20013;&#21307;&#38498;\&#21508;&#31181;&#22791;&#20221;&#25968;&#25454;&#12289;&#20915;&#31639;&#21450;&#19978;&#25253;&#25968;&#25454;\2020&#24180;&#20915;&#31639;\2020&#24180;&#37096;&#38376;&#20915;&#31639;&#20844;&#24320;&#36164;&#26009;\2018&#20915;&#31639;&#20844;&#24320;-&#21046;&#22270;&#27604;&#2036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4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defRPr>
            </a:pPr>
            <a:r>
              <a:rPr lang="en-US"/>
              <a:t>2019</a:t>
            </a:r>
            <a:r>
              <a:rPr lang="zh-CN"/>
              <a:t>、</a:t>
            </a:r>
            <a:r>
              <a:rPr lang="en-US"/>
              <a:t>2020</a:t>
            </a:r>
            <a:r>
              <a:rPr lang="zh-CN"/>
              <a:t>年收、支决算总计（万元）</a:t>
            </a:r>
            <a:endParaRPr lang="zh-CN"/>
          </a:p>
        </c:rich>
      </c:tx>
      <c:layout/>
      <c:overlay val="0"/>
      <c:spPr>
        <a:noFill/>
        <a:ln w="3175">
          <a:noFill/>
        </a:ln>
      </c:spPr>
    </c:title>
    <c:autoTitleDeleted val="0"/>
    <c:plotArea>
      <c:layout/>
      <c:barChart>
        <c:barDir val="col"/>
        <c:grouping val="stacked"/>
        <c:varyColors val="0"/>
        <c:ser>
          <c:idx val="0"/>
          <c:order val="0"/>
          <c:spPr>
            <a:solidFill>
              <a:srgbClr val="9999FF">
                <a:alpha val="100000"/>
              </a:srgbClr>
            </a:solidFill>
            <a:ln w="12700">
              <a:solidFill>
                <a:srgbClr val="000000">
                  <a:alpha val="100000"/>
                </a:srgbClr>
              </a:solidFill>
              <a:prstDash val="solid"/>
            </a:ln>
          </c:spPr>
          <c:invertIfNegative val="0"/>
          <c:dLbls>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'[2018决算公开-制图比例.xls]图一、2017、2018年收支总计对比 (2)'!$A$4:$A$5</c:f>
              <c:strCache>
                <c:ptCount val="2"/>
                <c:pt idx="0">
                  <c:v>2019年</c:v>
                </c:pt>
                <c:pt idx="1">
                  <c:v>2020年</c:v>
                </c:pt>
              </c:strCache>
            </c:strRef>
          </c:cat>
          <c:val>
            <c:numRef>
              <c:f>'[2018决算公开-制图比例.xls]图一、2017、2018年收支总计对比 (2)'!$B$4:$B$5</c:f>
              <c:numCache>
                <c:formatCode>General</c:formatCode>
                <c:ptCount val="2"/>
                <c:pt idx="0">
                  <c:v>6199.47</c:v>
                </c:pt>
                <c:pt idx="1">
                  <c:v>5627.4</c:v>
                </c:pt>
              </c:numCache>
            </c:numRef>
          </c:val>
        </c:ser>
        <c:dLbls>
          <c:showLegendKey val="0"/>
          <c:showVal val="1"/>
          <c:showCatName val="0"/>
          <c:showSerName val="0"/>
          <c:showPercent val="0"/>
          <c:showBubbleSize val="0"/>
        </c:dLbls>
        <c:gapWidth val="150"/>
        <c:overlap val="100"/>
        <c:axId val="157682688"/>
        <c:axId val="157740416"/>
      </c:barChart>
      <c:catAx>
        <c:axId val="157682688"/>
        <c:scaling>
          <c:orientation val="minMax"/>
        </c:scaling>
        <c:delete val="0"/>
        <c:axPos val="b"/>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defRPr>
            </a:pPr>
          </a:p>
        </c:txPr>
        <c:crossAx val="157740416"/>
        <c:crosses val="autoZero"/>
        <c:auto val="0"/>
        <c:lblAlgn val="ctr"/>
        <c:lblOffset val="100"/>
        <c:noMultiLvlLbl val="0"/>
      </c:catAx>
      <c:valAx>
        <c:axId val="157740416"/>
        <c:scaling>
          <c:orientation val="minMax"/>
          <c:min val="0"/>
        </c:scaling>
        <c:delete val="0"/>
        <c:axPos val="l"/>
        <c:majorGridlines>
          <c:spPr>
            <a:ln w="3175" cap="flat" cmpd="sng" algn="ctr">
              <a:solidFill>
                <a:srgbClr val="000000">
                  <a:alpha val="100000"/>
                </a:srgbClr>
              </a:solidFill>
              <a:prstDash val="solid"/>
              <a:round/>
            </a:ln>
          </c:spPr>
        </c:majorGridlines>
        <c:numFmt formatCode="#,##0.00"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defRPr>
            </a:pPr>
          </a:p>
        </c:txPr>
        <c:crossAx val="157682688"/>
        <c:crosses val="autoZero"/>
        <c:crossBetween val="between"/>
      </c:valAx>
      <c:spPr>
        <a:noFill/>
        <a:ln w="12700">
          <a:solidFill>
            <a:srgbClr val="808080">
              <a:alpha val="100000"/>
            </a:srgbClr>
          </a:solidFill>
          <a:prstDash val="solid"/>
        </a:ln>
      </c:spPr>
    </c:plotArea>
    <c:plotVisOnly val="1"/>
    <c:dispBlanksAs val="gap"/>
    <c:showDLblsOverMax val="0"/>
    <c:extLst>
      <c:ext uri="{0b15fc19-7d7d-44ad-8c2d-2c3a37ce22c3}">
        <chartProps xmlns="https://web.wps.cn/et/2018/main" chartId="{1b26e89c-4756-4320-a27e-36186c80f5e7}"/>
      </c:ext>
    </c:extLst>
  </c:chart>
  <c:spPr>
    <a:solidFill>
      <a:srgbClr val="FFFFFF">
        <a:alpha val="100000"/>
      </a:srgbClr>
    </a:solidFill>
    <a:ln w="3175" cap="flat" cmpd="sng" algn="ctr">
      <a:noFill/>
      <a:prstDash val="solid"/>
      <a:round/>
    </a:ln>
  </c:spPr>
  <c:txPr>
    <a:bodyPr/>
    <a:lstStyle/>
    <a:p>
      <a:pPr>
        <a:defRPr lang="zh-CN" sz="1200" b="0" i="0" u="none" strike="noStrike" baseline="0">
          <a:solidFill>
            <a:sysClr val="windowText" lastClr="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1200" b="0" i="0" strike="noStrike">
                <a:solidFill>
                  <a:srgbClr val="000000"/>
                </a:solidFill>
                <a:latin typeface="宋体" panose="02010600030101010101" charset="-122"/>
                <a:ea typeface="宋体" panose="02010600030101010101" charset="-122"/>
              </a:rPr>
              <a:t>2020</a:t>
            </a:r>
            <a:r>
              <a:rPr lang="zh-CN" altLang="en-US" sz="1200" b="0" i="0" strike="noStrike">
                <a:solidFill>
                  <a:srgbClr val="000000"/>
                </a:solidFill>
                <a:latin typeface="宋体" panose="02010600030101010101" charset="-122"/>
                <a:ea typeface="宋体" panose="02010600030101010101" charset="-122"/>
              </a:rPr>
              <a:t>年收入决算</a:t>
            </a:r>
            <a:endParaRPr lang="zh-CN" altLang="en-US" sz="1200" b="0" i="0" strike="noStrike">
              <a:solidFill>
                <a:srgbClr val="000000"/>
              </a:solidFill>
              <a:latin typeface="宋体" panose="02010600030101010101" charset="-122"/>
              <a:ea typeface="宋体" panose="02010600030101010101" charset="-122"/>
            </a:endParaRPr>
          </a:p>
        </c:rich>
      </c:tx>
      <c:layout>
        <c:manualLayout>
          <c:xMode val="edge"/>
          <c:yMode val="edge"/>
          <c:x val="0.588741372265356"/>
          <c:y val="0.0156016529265435"/>
        </c:manualLayout>
      </c:layout>
      <c:overlay val="0"/>
      <c:spPr>
        <a:noFill/>
        <a:ln w="3175">
          <a:noFill/>
        </a:ln>
      </c:spPr>
    </c:title>
    <c:autoTitleDeleted val="0"/>
    <c:plotArea>
      <c:layout/>
      <c:pieChart>
        <c:varyColors val="1"/>
        <c:ser>
          <c:idx val="0"/>
          <c:order val="0"/>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numFmt formatCode="0.00%" sourceLinked="0"/>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图二、2018年收入决算!$A$4:$A$6</c:f>
              <c:strCache>
                <c:ptCount val="3"/>
                <c:pt idx="0">
                  <c:v>财政拨款收入</c:v>
                </c:pt>
                <c:pt idx="1">
                  <c:v>事业收入</c:v>
                </c:pt>
                <c:pt idx="2">
                  <c:v>其他收入</c:v>
                </c:pt>
              </c:strCache>
            </c:strRef>
          </c:cat>
          <c:val>
            <c:numRef>
              <c:f>图二、2018年收入决算!$B$4:$B$6</c:f>
              <c:numCache>
                <c:formatCode>General</c:formatCode>
                <c:ptCount val="3"/>
                <c:pt idx="0">
                  <c:v>647.37</c:v>
                </c:pt>
                <c:pt idx="1">
                  <c:v>4512.22</c:v>
                </c:pt>
                <c:pt idx="2">
                  <c:v>11.39</c:v>
                </c:pt>
              </c:numCache>
            </c:numRef>
          </c:val>
        </c:ser>
        <c:ser>
          <c:idx val="1"/>
          <c:order val="1"/>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图二、2018年收入决算!$A$4:$A$6</c:f>
              <c:strCache>
                <c:ptCount val="3"/>
                <c:pt idx="0">
                  <c:v>财政拨款收入</c:v>
                </c:pt>
                <c:pt idx="1">
                  <c:v>事业收入</c:v>
                </c:pt>
                <c:pt idx="2">
                  <c:v>其他收入</c:v>
                </c:pt>
              </c:strCache>
            </c:strRef>
          </c:cat>
          <c:val>
            <c:numRef>
              <c:f>图二、2018年收入决算!$C$4:$C$6</c:f>
              <c:numCache>
                <c:formatCode>General</c:formatCode>
                <c:ptCount val="3"/>
                <c:pt idx="0">
                  <c:v>12.52</c:v>
                </c:pt>
                <c:pt idx="1">
                  <c:v>87.26</c:v>
                </c:pt>
                <c:pt idx="2">
                  <c:v>0.22</c:v>
                </c:pt>
              </c:numCache>
            </c:numRef>
          </c:val>
        </c:ser>
        <c:dLbls>
          <c:showLegendKey val="0"/>
          <c:showVal val="0"/>
          <c:showCatName val="1"/>
          <c:showSerName val="0"/>
          <c:showPercent val="1"/>
          <c:showBubbleSize val="0"/>
          <c:showLeaderLines val="1"/>
        </c:dLbls>
        <c:firstSliceAng val="0"/>
      </c:pieChart>
      <c:spPr>
        <a:noFill/>
        <a:ln w="25400">
          <a:noFill/>
        </a:ln>
      </c:spPr>
    </c:plotArea>
    <c:legend>
      <c:legendPos val="r"/>
      <c:layout>
        <c:manualLayout>
          <c:xMode val="edge"/>
          <c:yMode val="edge"/>
          <c:x val="0.750811954957243"/>
          <c:y val="0.464615996107536"/>
          <c:w val="0.170500012884084"/>
          <c:h val="0.185250029124949"/>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78d0b565-19b7-45b1-b975-ddcf8aaa115c}"/>
      </c:ext>
    </c:extLst>
  </c:chart>
  <c:spPr>
    <a:solidFill>
      <a:srgbClr val="FFFFFF"/>
    </a:solidFill>
    <a:ln w="6350"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1200" b="0" i="0" strike="noStrike">
                <a:solidFill>
                  <a:srgbClr val="000000"/>
                </a:solidFill>
                <a:latin typeface="宋体" panose="02010600030101010101" charset="-122"/>
                <a:ea typeface="宋体" panose="02010600030101010101" charset="-122"/>
              </a:rPr>
              <a:t>2020</a:t>
            </a:r>
            <a:r>
              <a:rPr lang="zh-CN" altLang="en-US" sz="1200" b="0" i="0" strike="noStrike">
                <a:solidFill>
                  <a:srgbClr val="000000"/>
                </a:solidFill>
                <a:latin typeface="宋体" panose="02010600030101010101" charset="-122"/>
                <a:ea typeface="宋体" panose="02010600030101010101" charset="-122"/>
              </a:rPr>
              <a:t>年支出决算</a:t>
            </a:r>
            <a:endParaRPr lang="zh-CN" altLang="en-US" sz="1200" b="0" i="0" strike="noStrike">
              <a:solidFill>
                <a:srgbClr val="000000"/>
              </a:solidFill>
              <a:latin typeface="宋体" panose="02010600030101010101" charset="-122"/>
              <a:ea typeface="宋体" panose="02010600030101010101" charset="-122"/>
            </a:endParaRPr>
          </a:p>
        </c:rich>
      </c:tx>
      <c:layout>
        <c:manualLayout>
          <c:xMode val="edge"/>
          <c:yMode val="edge"/>
          <c:x val="0.60266123238661"/>
          <c:y val="0.0299460954477465"/>
        </c:manualLayout>
      </c:layout>
      <c:overlay val="0"/>
      <c:spPr>
        <a:noFill/>
        <a:ln w="3175">
          <a:noFill/>
        </a:ln>
      </c:spPr>
    </c:title>
    <c:autoTitleDeleted val="0"/>
    <c:plotArea>
      <c:layout/>
      <c:pieChart>
        <c:varyColors val="1"/>
        <c:ser>
          <c:idx val="0"/>
          <c:order val="0"/>
          <c:spPr>
            <a:solidFill>
              <a:schemeClr val="accent1">
                <a:alpha val="100000"/>
              </a:schemeClr>
            </a:solidFill>
            <a:ln w="12700">
              <a:solidFill>
                <a:srgbClr val="000000">
                  <a:alpha val="100000"/>
                </a:srgbClr>
              </a:solidFill>
              <a:prstDash val="solid"/>
            </a:ln>
          </c:spPr>
          <c:explosion val="0"/>
          <c:dPt>
            <c:idx val="0"/>
            <c:bubble3D val="0"/>
            <c:spPr>
              <a:solidFill>
                <a:schemeClr val="accent1">
                  <a:alpha val="100000"/>
                </a:schemeClr>
              </a:solidFill>
              <a:ln w="12700">
                <a:solidFill>
                  <a:srgbClr val="000000">
                    <a:alpha val="100000"/>
                  </a:srgbClr>
                </a:solidFill>
                <a:prstDash val="solid"/>
              </a:ln>
            </c:spPr>
          </c:dPt>
          <c:dPt>
            <c:idx val="1"/>
            <c:bubble3D val="0"/>
            <c:spPr>
              <a:solidFill>
                <a:schemeClr val="accent4">
                  <a:lumMod val="60000"/>
                  <a:lumOff val="40000"/>
                  <a:alpha val="100000"/>
                </a:schemeClr>
              </a:solidFill>
              <a:ln w="12700">
                <a:solidFill>
                  <a:srgbClr val="000000">
                    <a:alpha val="100000"/>
                  </a:srgbClr>
                </a:solidFill>
                <a:prstDash val="solid"/>
              </a:ln>
            </c:spPr>
          </c:dPt>
          <c:dLbls>
            <c:numFmt formatCode="0.00%" sourceLinked="0"/>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图三、2018年支出情况!$A$4:$A$5</c:f>
              <c:strCache>
                <c:ptCount val="2"/>
                <c:pt idx="0">
                  <c:v>基本支出</c:v>
                </c:pt>
                <c:pt idx="1">
                  <c:v>项目支出</c:v>
                </c:pt>
              </c:strCache>
            </c:strRef>
          </c:cat>
          <c:val>
            <c:numRef>
              <c:f>图三、2018年支出情况!$B$4:$B$5</c:f>
              <c:numCache>
                <c:formatCode>General</c:formatCode>
                <c:ptCount val="2"/>
                <c:pt idx="0">
                  <c:v>4837.29</c:v>
                </c:pt>
                <c:pt idx="1">
                  <c:v>635.429999999998</c:v>
                </c:pt>
              </c:numCache>
            </c:numRef>
          </c:val>
        </c:ser>
        <c:ser>
          <c:idx val="1"/>
          <c:order val="1"/>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图三、2018年支出情况!$A$4:$A$5</c:f>
              <c:strCache>
                <c:ptCount val="2"/>
                <c:pt idx="0">
                  <c:v>基本支出</c:v>
                </c:pt>
                <c:pt idx="1">
                  <c:v>项目支出</c:v>
                </c:pt>
              </c:strCache>
            </c:strRef>
          </c:cat>
          <c:val>
            <c:numRef>
              <c:f>图三、2018年支出情况!$C$4:$C$5</c:f>
              <c:numCache>
                <c:formatCode>General</c:formatCode>
                <c:ptCount val="2"/>
                <c:pt idx="0">
                  <c:v>88.39</c:v>
                </c:pt>
                <c:pt idx="1">
                  <c:v>11.61</c:v>
                </c:pt>
              </c:numCache>
            </c:numRef>
          </c:val>
        </c:ser>
        <c:dLbls>
          <c:showLegendKey val="0"/>
          <c:showVal val="0"/>
          <c:showCatName val="1"/>
          <c:showSerName val="0"/>
          <c:showPercent val="1"/>
          <c:showBubbleSize val="0"/>
          <c:showLeaderLines val="1"/>
        </c:dLbls>
        <c:firstSliceAng val="0"/>
      </c:pieChart>
      <c:spPr>
        <a:noFill/>
        <a:ln w="25400">
          <a:noFill/>
        </a:ln>
      </c:spPr>
    </c:plotArea>
    <c:legend>
      <c:legendPos val="r"/>
      <c:layout>
        <c:manualLayout>
          <c:xMode val="edge"/>
          <c:yMode val="edge"/>
          <c:x val="0.803823485478949"/>
          <c:y val="0.48326080207716"/>
          <c:w val="0.126499939540079"/>
          <c:h val="0.129250134055824"/>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ca972a7c-5e17-4b59-8656-a001229d655e}"/>
      </c:ext>
    </c:extLst>
  </c:chart>
  <c:spPr>
    <a:solidFill>
      <a:srgbClr val="FFFFFF"/>
    </a:solidFill>
    <a:ln w="6350"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1200" b="0" i="0" strike="noStrike">
                <a:solidFill>
                  <a:srgbClr val="000000"/>
                </a:solidFill>
                <a:latin typeface="宋体" panose="02010600030101010101" charset="-122"/>
                <a:ea typeface="宋体" panose="02010600030101010101" charset="-122"/>
              </a:rPr>
              <a:t>2019</a:t>
            </a:r>
            <a:r>
              <a:rPr lang="zh-CN" altLang="en-US" sz="1200" b="0" i="0" strike="noStrike">
                <a:solidFill>
                  <a:srgbClr val="000000"/>
                </a:solidFill>
                <a:latin typeface="宋体" panose="02010600030101010101" charset="-122"/>
                <a:ea typeface="宋体" panose="02010600030101010101" charset="-122"/>
              </a:rPr>
              <a:t>、</a:t>
            </a:r>
            <a:r>
              <a:rPr lang="en-US" altLang="zh-CN" sz="1200" b="0" i="0" strike="noStrike">
                <a:solidFill>
                  <a:srgbClr val="000000"/>
                </a:solidFill>
                <a:latin typeface="宋体" panose="02010600030101010101" charset="-122"/>
                <a:ea typeface="宋体" panose="02010600030101010101" charset="-122"/>
              </a:rPr>
              <a:t>2020</a:t>
            </a:r>
            <a:r>
              <a:rPr lang="zh-CN" altLang="en-US" sz="1200" b="0" i="0" strike="noStrike">
                <a:solidFill>
                  <a:srgbClr val="000000"/>
                </a:solidFill>
                <a:latin typeface="宋体" panose="02010600030101010101" charset="-122"/>
                <a:ea typeface="宋体" panose="02010600030101010101" charset="-122"/>
              </a:rPr>
              <a:t>年财政拨款收支总计对比图（万元）</a:t>
            </a:r>
            <a:endParaRPr lang="zh-CN" altLang="en-US" sz="1200" b="0" i="0" strike="noStrike">
              <a:solidFill>
                <a:srgbClr val="000000"/>
              </a:solidFill>
              <a:latin typeface="宋体" panose="02010600030101010101" charset="-122"/>
              <a:ea typeface="宋体" panose="02010600030101010101" charset="-122"/>
            </a:endParaRPr>
          </a:p>
        </c:rich>
      </c:tx>
      <c:layout>
        <c:manualLayout>
          <c:xMode val="edge"/>
          <c:yMode val="edge"/>
          <c:x val="0.273931820929516"/>
          <c:y val="0.0207255201412166"/>
        </c:manualLayout>
      </c:layout>
      <c:overlay val="0"/>
      <c:spPr>
        <a:noFill/>
        <a:ln w="3175">
          <a:noFill/>
        </a:ln>
      </c:spPr>
    </c:title>
    <c:autoTitleDeleted val="0"/>
    <c:plotArea>
      <c:layout/>
      <c:barChart>
        <c:barDir val="col"/>
        <c:grouping val="stacked"/>
        <c:varyColors val="0"/>
        <c:ser>
          <c:idx val="1"/>
          <c:order val="1"/>
          <c:spPr>
            <a:solidFill>
              <a:schemeClr val="accent6">
                <a:lumMod val="60000"/>
                <a:lumOff val="40000"/>
                <a:alpha val="100000"/>
              </a:schemeClr>
            </a:solidFill>
            <a:ln w="12700">
              <a:solidFill>
                <a:srgbClr val="000000">
                  <a:alpha val="100000"/>
                </a:srgbClr>
              </a:solidFill>
              <a:prstDash val="solid"/>
            </a:ln>
          </c:spPr>
          <c:invertIfNegative val="0"/>
          <c:dLbls>
            <c:delete val="1"/>
          </c:dLbls>
          <c:cat>
            <c:strRef>
              <c:f>图四、2017、2018年财政拨款收支总计对比!$A$4:$A$5</c:f>
              <c:strCache>
                <c:ptCount val="2"/>
                <c:pt idx="0">
                  <c:v>2019年财政拨款收支总计</c:v>
                </c:pt>
                <c:pt idx="1">
                  <c:v>2020年财政拨款收支总计</c:v>
                </c:pt>
              </c:strCache>
            </c:strRef>
          </c:cat>
          <c:val>
            <c:numRef>
              <c:f>图四、2017、2018年财政拨款收支总计对比!$B$4:$B$5</c:f>
            </c:numRef>
          </c:val>
        </c:ser>
        <c:ser>
          <c:idx val="0"/>
          <c:order val="0"/>
          <c:spPr>
            <a:solidFill>
              <a:schemeClr val="accent6">
                <a:lumMod val="60000"/>
                <a:lumOff val="40000"/>
                <a:alpha val="100000"/>
              </a:schemeClr>
            </a:solidFill>
            <a:ln w="12700">
              <a:solidFill>
                <a:srgbClr val="000000">
                  <a:alpha val="100000"/>
                </a:srgbClr>
              </a:solidFill>
              <a:prstDash val="solid"/>
            </a:ln>
          </c:spPr>
          <c:invertIfNegative val="0"/>
          <c:dLbls>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'[2018决算公开-制图比例.xls]图四、2017、2018年财政拨款收支总计对比'!$A$4:$A$5</c:f>
              <c:strCache>
                <c:ptCount val="2"/>
                <c:pt idx="0">
                  <c:v>2019年财政拨款收支总计</c:v>
                </c:pt>
                <c:pt idx="1">
                  <c:v>2020年财政拨款收支总计</c:v>
                </c:pt>
              </c:strCache>
            </c:strRef>
          </c:cat>
          <c:val>
            <c:numRef>
              <c:f>'[2018决算公开-制图比例.xls]图四、2017、2018年财政拨款收支总计对比'!$B$4:$B$5</c:f>
              <c:numCache>
                <c:formatCode>General</c:formatCode>
                <c:ptCount val="2"/>
                <c:pt idx="0">
                  <c:v>1208.16</c:v>
                </c:pt>
                <c:pt idx="1">
                  <c:v>1091.9</c:v>
                </c:pt>
              </c:numCache>
            </c:numRef>
          </c:val>
        </c:ser>
        <c:dLbls>
          <c:showLegendKey val="0"/>
          <c:showVal val="0"/>
          <c:showCatName val="0"/>
          <c:showSerName val="0"/>
          <c:showPercent val="0"/>
          <c:showBubbleSize val="0"/>
        </c:dLbls>
        <c:gapWidth val="150"/>
        <c:overlap val="100"/>
        <c:axId val="114694400"/>
        <c:axId val="114700288"/>
      </c:barChart>
      <c:catAx>
        <c:axId val="114694400"/>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4700288"/>
        <c:crosses val="autoZero"/>
        <c:auto val="0"/>
        <c:lblAlgn val="ctr"/>
        <c:lblOffset val="100"/>
        <c:noMultiLvlLbl val="0"/>
      </c:catAx>
      <c:valAx>
        <c:axId val="114700288"/>
        <c:scaling>
          <c:orientation val="minMax"/>
          <c:min val="0"/>
        </c:scaling>
        <c:delete val="0"/>
        <c:axPos val="l"/>
        <c:majorGridlines>
          <c:spPr>
            <a:ln w="3175" cap="flat" cmpd="sng" algn="ctr">
              <a:solidFill>
                <a:srgbClr val="000000"/>
              </a:solidFill>
              <a:prstDash val="solid"/>
              <a:round/>
            </a:ln>
          </c:spPr>
        </c:majorGridlines>
        <c:numFmt formatCode="#,##0.00"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4694400"/>
        <c:crosses val="autoZero"/>
        <c:crossBetween val="between"/>
      </c:valAx>
      <c:spPr>
        <a:noFill/>
        <a:ln w="12700">
          <a:solidFill>
            <a:srgbClr val="808080"/>
          </a:solidFill>
          <a:prstDash val="solid"/>
        </a:ln>
      </c:spPr>
    </c:plotArea>
    <c:plotVisOnly val="1"/>
    <c:dispBlanksAs val="gap"/>
    <c:showDLblsOverMax val="0"/>
    <c:extLst>
      <c:ext uri="{0b15fc19-7d7d-44ad-8c2d-2c3a37ce22c3}">
        <chartProps xmlns="https://web.wps.cn/et/2018/main" chartId="{d0b3b56e-6068-44a9-bb59-20e2653c32e8}"/>
      </c:ext>
    </c:extLst>
  </c:chart>
  <c:spPr>
    <a:solidFill>
      <a:srgbClr val="FFFFFF"/>
    </a:solidFill>
    <a:ln w="6350"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1200" b="0" i="0" strike="noStrike">
                <a:solidFill>
                  <a:srgbClr val="000000"/>
                </a:solidFill>
                <a:latin typeface="宋体" panose="02010600030101010101" charset="-122"/>
                <a:ea typeface="宋体" panose="02010600030101010101" charset="-122"/>
              </a:rPr>
              <a:t>2019</a:t>
            </a:r>
            <a:r>
              <a:rPr lang="zh-CN" altLang="en-US" sz="1200" b="0" i="0" strike="noStrike">
                <a:solidFill>
                  <a:srgbClr val="000000"/>
                </a:solidFill>
                <a:latin typeface="宋体" panose="02010600030101010101" charset="-122"/>
                <a:ea typeface="宋体" panose="02010600030101010101" charset="-122"/>
              </a:rPr>
              <a:t>、</a:t>
            </a:r>
            <a:r>
              <a:rPr lang="en-US" altLang="zh-CN" sz="1200" b="0" i="0" strike="noStrike">
                <a:solidFill>
                  <a:srgbClr val="000000"/>
                </a:solidFill>
                <a:latin typeface="宋体" panose="02010600030101010101" charset="-122"/>
                <a:ea typeface="宋体" panose="02010600030101010101" charset="-122"/>
              </a:rPr>
              <a:t>2020</a:t>
            </a:r>
            <a:r>
              <a:rPr lang="zh-CN" altLang="en-US" sz="1200" b="0" i="0" strike="noStrike">
                <a:solidFill>
                  <a:srgbClr val="000000"/>
                </a:solidFill>
                <a:latin typeface="宋体" panose="02010600030101010101" charset="-122"/>
                <a:ea typeface="宋体" panose="02010600030101010101" charset="-122"/>
              </a:rPr>
              <a:t>年一般公共预算财政拨款支出决算变动情况（万元）</a:t>
            </a:r>
            <a:endParaRPr lang="zh-CN" altLang="en-US" sz="1200" b="0" i="0" strike="noStrike">
              <a:solidFill>
                <a:srgbClr val="000000"/>
              </a:solidFill>
              <a:latin typeface="宋体" panose="02010600030101010101" charset="-122"/>
              <a:ea typeface="宋体" panose="02010600030101010101" charset="-122"/>
            </a:endParaRPr>
          </a:p>
        </c:rich>
      </c:tx>
      <c:layout/>
      <c:overlay val="0"/>
    </c:title>
    <c:autoTitleDeleted val="0"/>
    <c:plotArea>
      <c:layout>
        <c:manualLayout>
          <c:layoutTarget val="inner"/>
          <c:xMode val="edge"/>
          <c:yMode val="edge"/>
          <c:x val="0.195794692330126"/>
          <c:y val="0.135235916195681"/>
          <c:w val="0.448117344706911"/>
          <c:h val="0.700512049149283"/>
        </c:manualLayout>
      </c:layout>
      <c:barChart>
        <c:barDir val="col"/>
        <c:grouping val="clustered"/>
        <c:varyColors val="0"/>
        <c:ser>
          <c:idx val="0"/>
          <c:order val="0"/>
          <c:tx>
            <c:strRef>
              <c:f>图五、2017、2018年一般公共预算财政拨款占比图!$A$5</c:f>
              <c:strCache>
                <c:ptCount val="1"/>
                <c:pt idx="0">
                  <c:v>本年支出</c:v>
                </c:pt>
              </c:strCache>
            </c:strRef>
          </c:tx>
          <c:spPr>
            <a:solidFill>
              <a:schemeClr val="accent6">
                <a:lumMod val="60000"/>
                <a:lumOff val="40000"/>
                <a:alpha val="100000"/>
              </a:schemeClr>
            </a:solidFill>
            <a:ln w="12700">
              <a:solidFill>
                <a:srgbClr val="000000">
                  <a:alpha val="100000"/>
                </a:srgbClr>
              </a:solidFill>
              <a:prstDash val="solid"/>
            </a:ln>
          </c:spPr>
          <c:invertIfNegative val="0"/>
          <c:dLbls>
            <c:delete val="1"/>
          </c:dLbls>
          <c:cat>
            <c:strRef>
              <c:f>图五、2017、2018年一般公共预算财政拨款占比图!$B$3:$C$4</c:f>
              <c:strCache>
                <c:ptCount val="2"/>
                <c:pt idx="0">
                  <c:v>2019年</c:v>
                </c:pt>
                <c:pt idx="1">
                  <c:v>2020年</c:v>
                </c:pt>
              </c:strCache>
            </c:strRef>
          </c:cat>
          <c:val>
            <c:numRef>
              <c:f>图五、2017、2018年一般公共预算财政拨款占比图!$B$5:$C$5</c:f>
              <c:numCache>
                <c:formatCode>General</c:formatCode>
                <c:ptCount val="2"/>
                <c:pt idx="0">
                  <c:v>5609.05</c:v>
                </c:pt>
                <c:pt idx="1">
                  <c:v>5472.72</c:v>
                </c:pt>
              </c:numCache>
            </c:numRef>
          </c:val>
        </c:ser>
        <c:ser>
          <c:idx val="1"/>
          <c:order val="1"/>
          <c:tx>
            <c:strRef>
              <c:f>图五、2017、2018年一般公共预算财政拨款占比图!$A$6</c:f>
              <c:strCache>
                <c:ptCount val="1"/>
                <c:pt idx="0">
                  <c:v>一般公共预算财政拨款支出</c:v>
                </c:pt>
              </c:strCache>
            </c:strRef>
          </c:tx>
          <c:spPr>
            <a:solidFill>
              <a:schemeClr val="accent5">
                <a:lumMod val="60000"/>
                <a:lumOff val="40000"/>
                <a:alpha val="100000"/>
              </a:schemeClr>
            </a:solidFill>
            <a:ln w="12700">
              <a:solidFill>
                <a:srgbClr val="000000">
                  <a:alpha val="100000"/>
                </a:srgbClr>
              </a:solidFill>
              <a:prstDash val="solid"/>
            </a:ln>
          </c:spPr>
          <c:invertIfNegative val="0"/>
          <c:dLbls>
            <c:delete val="1"/>
          </c:dLbls>
          <c:cat>
            <c:strRef>
              <c:f>图五、2017、2018年一般公共预算财政拨款占比图!$B$3:$C$4</c:f>
              <c:strCache>
                <c:ptCount val="2"/>
                <c:pt idx="0">
                  <c:v>2019年</c:v>
                </c:pt>
                <c:pt idx="1">
                  <c:v>2020年</c:v>
                </c:pt>
              </c:strCache>
            </c:strRef>
          </c:cat>
          <c:val>
            <c:numRef>
              <c:f>图五、2017、2018年一般公共预算财政拨款占比图!$B$6:$C$6</c:f>
              <c:numCache>
                <c:formatCode>General</c:formatCode>
                <c:ptCount val="2"/>
                <c:pt idx="0">
                  <c:v>763.63</c:v>
                </c:pt>
                <c:pt idx="1">
                  <c:v>941.319999999999</c:v>
                </c:pt>
              </c:numCache>
            </c:numRef>
          </c:val>
        </c:ser>
        <c:dLbls>
          <c:showLegendKey val="0"/>
          <c:showVal val="0"/>
          <c:showCatName val="0"/>
          <c:showSerName val="0"/>
          <c:showPercent val="0"/>
          <c:showBubbleSize val="0"/>
        </c:dLbls>
        <c:gapWidth val="150"/>
        <c:axId val="114749440"/>
        <c:axId val="114750976"/>
      </c:barChart>
      <c:catAx>
        <c:axId val="114749440"/>
        <c:scaling>
          <c:orientation val="minMax"/>
        </c:scaling>
        <c:delete val="0"/>
        <c:axPos val="b"/>
        <c:numFmt formatCode="General"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6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4750976"/>
        <c:crosses val="autoZero"/>
        <c:auto val="1"/>
        <c:lblAlgn val="ctr"/>
        <c:lblOffset val="100"/>
        <c:noMultiLvlLbl val="0"/>
      </c:catAx>
      <c:valAx>
        <c:axId val="114750976"/>
        <c:scaling>
          <c:orientation val="minMax"/>
        </c:scaling>
        <c:delete val="0"/>
        <c:axPos val="l"/>
        <c:majorGridlines>
          <c:spPr>
            <a:ln w="3175" cap="flat" cmpd="sng" algn="ctr">
              <a:solidFill>
                <a:srgbClr val="000000">
                  <a:alpha val="100000"/>
                </a:srgbClr>
              </a:solidFill>
              <a:prstDash val="solid"/>
              <a:round/>
            </a:ln>
          </c:spPr>
        </c:majorGridlines>
        <c:numFmt formatCode="#,##0.00" sourceLinked="0"/>
        <c:majorTickMark val="in"/>
        <c:minorTickMark val="none"/>
        <c:tickLblPos val="nextTo"/>
        <c:spPr>
          <a:ln w="3175" cap="flat" cmpd="sng" algn="ctr">
            <a:noFill/>
            <a:prstDash val="solid"/>
            <a:round/>
          </a:ln>
        </c:spPr>
        <c:txPr>
          <a:bodyPr rot="0" spcFirstLastPara="0" vertOverflow="ellipsis" vert="horz" wrap="square" anchor="ctr" anchorCtr="1"/>
          <a:lstStyle/>
          <a:p>
            <a:pPr>
              <a:defRPr lang="zh-CN" sz="16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4749440"/>
        <c:crosses val="autoZero"/>
        <c:crossBetween val="between"/>
      </c:valAx>
      <c:spPr>
        <a:solidFill>
          <a:srgbClr val="FFFFFF"/>
        </a:solidFill>
        <a:ln w="12700">
          <a:solidFill>
            <a:srgbClr val="808080"/>
          </a:solidFill>
          <a:prstDash val="solid"/>
        </a:ln>
      </c:spPr>
    </c:plotArea>
    <c:legend>
      <c:legendPos val="r"/>
      <c:legendEntry>
        <c:idx val="0"/>
        <c:txPr>
          <a:bodyPr rot="0" spcFirstLastPara="0" vertOverflow="ellipsis" vert="horz" wrap="square" anchor="ctr" anchorCtr="1"/>
          <a:lstStyle/>
          <a:p>
            <a:pPr>
              <a:defRPr lang="zh-CN" sz="14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egendEntry>
        <c:idx val="1"/>
        <c:txPr>
          <a:bodyPr rot="0" spcFirstLastPara="0" vertOverflow="ellipsis" vert="horz" wrap="square" anchor="ctr" anchorCtr="1"/>
          <a:lstStyle/>
          <a:p>
            <a:pPr>
              <a:defRPr lang="zh-CN" sz="14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4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67e315ef-cd6d-4e96-a544-cf926139f8e3}"/>
      </c:ext>
    </c:extLst>
  </c:chart>
  <c:spPr>
    <a:noFill/>
    <a:ln w="6350" cap="flat" cmpd="sng" algn="ctr">
      <a:noFill/>
      <a:prstDash val="solid"/>
      <a:round/>
    </a:ln>
  </c:spPr>
  <c:txPr>
    <a:bodyPr/>
    <a:lstStyle/>
    <a:p>
      <a:pPr>
        <a:defRPr lang="zh-CN" sz="16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700449253659"/>
          <c:y val="0.11698717948718"/>
          <c:w val="0.513292433537833"/>
          <c:h val="0.80448717948718"/>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dLbl>
              <c:idx val="2"/>
              <c:layout>
                <c:manualLayout>
                  <c:x val="-0.00267468169895789"/>
                  <c:y val="0.0749231949256809"/>
                </c:manualLayout>
              </c:layout>
              <c:numFmt formatCode="0.00%" sourceLinked="0"/>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图六、2018年一般公共预算财政拨款支出结构图!$A$4:$A$6</c:f>
              <c:strCache>
                <c:ptCount val="3"/>
                <c:pt idx="0">
                  <c:v>社会保障和就业支出</c:v>
                </c:pt>
                <c:pt idx="1">
                  <c:v>医疗卫生与计划生育支出</c:v>
                </c:pt>
                <c:pt idx="2">
                  <c:v>住房保障支出</c:v>
                </c:pt>
              </c:strCache>
            </c:strRef>
          </c:cat>
          <c:val>
            <c:numRef>
              <c:f>图六、2018年一般公共预算财政拨款支出结构图!$B$4:$B$6</c:f>
              <c:numCache>
                <c:formatCode>#,##0.00</c:formatCode>
                <c:ptCount val="3"/>
                <c:pt idx="0">
                  <c:v>62.74</c:v>
                </c:pt>
                <c:pt idx="1">
                  <c:v>850.6</c:v>
                </c:pt>
                <c:pt idx="2">
                  <c:v>27.98</c:v>
                </c:pt>
              </c:numCache>
            </c:numRef>
          </c:val>
        </c:ser>
        <c:ser>
          <c:idx val="1"/>
          <c:order val="1"/>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图六、2018年一般公共预算财政拨款支出结构图!$A$4:$A$6</c:f>
              <c:strCache>
                <c:ptCount val="3"/>
                <c:pt idx="0">
                  <c:v>社会保障和就业支出</c:v>
                </c:pt>
                <c:pt idx="1">
                  <c:v>医疗卫生与计划生育支出</c:v>
                </c:pt>
                <c:pt idx="2">
                  <c:v>住房保障支出</c:v>
                </c:pt>
              </c:strCache>
            </c:strRef>
          </c:cat>
          <c:val>
            <c:numRef>
              <c:f>图六、2018年一般公共预算财政拨款支出结构图!$C$4:$C$6</c:f>
              <c:numCache>
                <c:formatCode>General</c:formatCode>
                <c:ptCount val="3"/>
                <c:pt idx="0">
                  <c:v>6.67</c:v>
                </c:pt>
                <c:pt idx="1" c:formatCode="0.00_ ">
                  <c:v>90.36</c:v>
                </c:pt>
                <c:pt idx="2" c:formatCode="0.00_ ">
                  <c:v>2.97</c:v>
                </c:pt>
              </c:numCache>
            </c:numRef>
          </c:val>
        </c:ser>
        <c:dLbls>
          <c:showLegendKey val="0"/>
          <c:showVal val="0"/>
          <c:showCatName val="1"/>
          <c:showSerName val="0"/>
          <c:showPercent val="1"/>
          <c:showBubbleSize val="0"/>
          <c:showLeaderLines val="1"/>
        </c:dLbls>
        <c:firstSliceAng val="0"/>
      </c:pieChart>
      <c:spPr>
        <a:noFill/>
        <a:ln w="25400">
          <a:noFill/>
        </a:ln>
      </c:spPr>
    </c:plotArea>
    <c:legend>
      <c:legendPos val="r"/>
      <c:layout>
        <c:manualLayout>
          <c:xMode val="edge"/>
          <c:yMode val="edge"/>
          <c:x val="0.807250052332418"/>
          <c:y val="0.25349989905108"/>
          <c:w val="0.187999935590877"/>
          <c:h val="0.49125"/>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288f8dd3-c59d-42ab-9d1f-8c4dc7772c5c}"/>
      </c:ext>
    </c:extLst>
  </c:chart>
  <c:spPr>
    <a:noFill/>
    <a:ln w="6350"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0.36041</cdr:x>
      <cdr:y>0.54052</cdr:y>
    </cdr:from>
    <cdr:to>
      <cdr:x>0.41245</cdr:x>
      <cdr:y>0.57591</cdr:y>
    </cdr:to>
    <cdr:sp>
      <cdr:nvSpPr>
        <cdr:cNvPr id="2" name="矩形 1"/>
        <cdr:cNvSpPr/>
      </cdr:nvSpPr>
      <cdr:spPr xmlns:a="http://schemas.openxmlformats.org/drawingml/2006/main">
        <a:xfrm xmlns:a="http://schemas.openxmlformats.org/drawingml/2006/main">
          <a:off x="2546955" y="2175808"/>
          <a:ext cx="367286" cy="142256"/>
        </a:xfrm>
        <a:prstGeom xmlns:a="http://schemas.openxmlformats.org/drawingml/2006/main" prst="rect">
          <a:avLst/>
        </a:prstGeom>
        <a:noFill/>
        <a:ln w="9525">
          <a:noFill/>
          <a:miter lim="800000"/>
        </a:ln>
      </cdr:spPr>
    </cdr:sp>
  </cdr:relSizeAnchor>
  <cdr:relSizeAnchor xmlns:cdr="http://schemas.openxmlformats.org/drawingml/2006/chartDrawing">
    <cdr:from>
      <cdr:x>0.50651</cdr:x>
      <cdr:y>0.26112</cdr:y>
    </cdr:from>
    <cdr:to>
      <cdr:x>0.57446</cdr:x>
      <cdr:y>0.29778</cdr:y>
    </cdr:to>
    <cdr:sp>
      <cdr:nvSpPr>
        <cdr:cNvPr id="3" name="矩形 2"/>
        <cdr:cNvSpPr/>
      </cdr:nvSpPr>
      <cdr:spPr xmlns:a="http://schemas.openxmlformats.org/drawingml/2006/main">
        <a:xfrm xmlns:a="http://schemas.openxmlformats.org/drawingml/2006/main">
          <a:off x="3096260" y="581025"/>
          <a:ext cx="72390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endParaRPr lang="en-US" altLang="zh-CN"/>
        </a:p>
      </cdr:txBody>
    </cdr:sp>
  </cdr:relSizeAnchor>
  <cdr:relSizeAnchor xmlns:cdr="http://schemas.openxmlformats.org/drawingml/2006/chartDrawing">
    <cdr:from>
      <cdr:x>0.55459</cdr:x>
      <cdr:y>0.57689</cdr:y>
    </cdr:from>
    <cdr:to>
      <cdr:x>0.62306</cdr:x>
      <cdr:y>0.61824</cdr:y>
    </cdr:to>
    <cdr:sp>
      <cdr:nvSpPr>
        <cdr:cNvPr id="4" name="矩形 3"/>
        <cdr:cNvSpPr/>
      </cdr:nvSpPr>
      <cdr:spPr xmlns:a="http://schemas.openxmlformats.org/drawingml/2006/main">
        <a:xfrm xmlns:a="http://schemas.openxmlformats.org/drawingml/2006/main">
          <a:off x="3610610" y="2400300"/>
          <a:ext cx="732790"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endParaRPr lang="en-US" altLang="zh-CN"/>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50</Pages>
  <Words>5522</Words>
  <Characters>6226</Characters>
  <Lines>141</Lines>
  <Paragraphs>39</Paragraphs>
  <TotalTime>44</TotalTime>
  <ScaleCrop>false</ScaleCrop>
  <LinksUpToDate>false</LinksUpToDate>
  <CharactersWithSpaces>6407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2023-04-13T07:42:00Z</cp:lastPrinted>
  <dcterms:modified xsi:type="dcterms:W3CDTF">2025-01-06T10:59:05Z</dcterms:modified>
  <dc:title>四川省***</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C3338FA1E4E941D6B61807BA50FB4EF4</vt:lpwstr>
  </property>
  <property fmtid="{D5CDD505-2E9C-101B-9397-08002B2CF9AE}" pid="4" name="KSOTemplateDocerSaveRecord">
    <vt:lpwstr>eyJoZGlkIjoiYzE1N2NjNWY5MjYyYTQzZmU5MmQ0MWEwYTQ5MWQ3ZDEifQ==</vt:lpwstr>
  </property>
</Properties>
</file>