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A5E2C">
      <w:pPr>
        <w:ind w:firstLine="412" w:firstLineChars="100"/>
        <w:jc w:val="center"/>
        <w:rPr>
          <w:rStyle w:val="8"/>
          <w:rFonts w:hint="eastAsia" w:ascii="ˎ̥" w:hAnsi="ˎ̥"/>
          <w:b/>
          <w:bCs/>
          <w:color w:val="000000"/>
          <w:sz w:val="41"/>
          <w:szCs w:val="41"/>
        </w:rPr>
      </w:pPr>
    </w:p>
    <w:p w14:paraId="66DF26BC">
      <w:pPr>
        <w:ind w:firstLine="412" w:firstLineChars="100"/>
        <w:jc w:val="center"/>
        <w:rPr>
          <w:rStyle w:val="8"/>
          <w:rFonts w:hint="eastAsia" w:ascii="ˎ̥" w:hAnsi="ˎ̥"/>
          <w:b/>
          <w:color w:val="000000"/>
          <w:sz w:val="41"/>
          <w:szCs w:val="41"/>
        </w:rPr>
      </w:pPr>
      <w:bookmarkStart w:id="0" w:name="_Toc15396475"/>
      <w:bookmarkStart w:id="1" w:name="_Toc15377425"/>
      <w:bookmarkStart w:id="2" w:name="_Toc15377193"/>
      <w:bookmarkStart w:id="3" w:name="_Toc15396597"/>
      <w:bookmarkStart w:id="4" w:name="_Toc15378441"/>
      <w:r>
        <w:rPr>
          <w:rStyle w:val="8"/>
          <w:rFonts w:hint="eastAsia" w:ascii="ˎ̥" w:hAnsi="ˎ̥"/>
          <w:b/>
          <w:color w:val="000000"/>
          <w:sz w:val="41"/>
          <w:szCs w:val="41"/>
        </w:rPr>
        <w:t>德阳市罗江区科学技术协会</w:t>
      </w:r>
    </w:p>
    <w:p w14:paraId="669C73B0">
      <w:pPr>
        <w:ind w:firstLine="412" w:firstLineChars="100"/>
        <w:jc w:val="center"/>
        <w:rPr>
          <w:rStyle w:val="8"/>
          <w:rFonts w:hint="eastAsia" w:ascii="ˎ̥" w:hAnsi="ˎ̥"/>
          <w:b/>
          <w:bCs/>
          <w:color w:val="000000"/>
          <w:sz w:val="41"/>
          <w:szCs w:val="41"/>
        </w:rPr>
      </w:pPr>
      <w:r>
        <w:rPr>
          <w:rStyle w:val="8"/>
          <w:rFonts w:ascii="ˎ̥" w:hAnsi="ˎ̥"/>
          <w:b/>
          <w:color w:val="000000"/>
          <w:sz w:val="41"/>
          <w:szCs w:val="41"/>
        </w:rPr>
        <w:t>20</w:t>
      </w:r>
      <w:r>
        <w:rPr>
          <w:rStyle w:val="8"/>
          <w:rFonts w:hint="eastAsia" w:ascii="ˎ̥" w:hAnsi="ˎ̥"/>
          <w:b/>
          <w:color w:val="000000"/>
          <w:sz w:val="41"/>
          <w:szCs w:val="41"/>
        </w:rPr>
        <w:t>23</w:t>
      </w:r>
      <w:r>
        <w:rPr>
          <w:rStyle w:val="8"/>
          <w:rFonts w:ascii="ˎ̥" w:hAnsi="ˎ̥"/>
          <w:b/>
          <w:color w:val="000000"/>
          <w:sz w:val="41"/>
          <w:szCs w:val="41"/>
        </w:rPr>
        <w:t>年部门预算编制说明</w:t>
      </w:r>
    </w:p>
    <w:bookmarkEnd w:id="0"/>
    <w:bookmarkEnd w:id="1"/>
    <w:bookmarkEnd w:id="2"/>
    <w:bookmarkEnd w:id="3"/>
    <w:bookmarkEnd w:id="4"/>
    <w:p w14:paraId="7F76BAA9">
      <w:pPr>
        <w:widowControl/>
        <w:jc w:val="center"/>
        <w:rPr>
          <w:rStyle w:val="8"/>
          <w:rFonts w:hint="eastAsia" w:ascii="ˎ̥" w:hAnsi="ˎ̥"/>
          <w:sz w:val="41"/>
          <w:szCs w:val="41"/>
        </w:rPr>
      </w:pPr>
      <w:r>
        <w:rPr>
          <w:rStyle w:val="8"/>
          <w:rFonts w:hint="eastAsia" w:ascii="ˎ̥" w:hAnsi="ˎ̥"/>
          <w:sz w:val="41"/>
          <w:szCs w:val="41"/>
        </w:rPr>
        <w:t>目录</w:t>
      </w:r>
    </w:p>
    <w:p w14:paraId="3E6DCB5F">
      <w:pPr>
        <w:widowControl/>
        <w:jc w:val="center"/>
        <w:rPr>
          <w:rStyle w:val="8"/>
          <w:rFonts w:hint="eastAsia" w:ascii="ˎ̥" w:hAnsi="ˎ̥"/>
          <w:sz w:val="41"/>
          <w:szCs w:val="41"/>
        </w:rPr>
      </w:pPr>
    </w:p>
    <w:p w14:paraId="2A7EE8B5">
      <w:pPr>
        <w:pStyle w:val="15"/>
        <w:tabs>
          <w:tab w:val="right" w:leader="dot" w:pos="8845"/>
        </w:tabs>
        <w:spacing w:line="400" w:lineRule="exact"/>
        <w:rPr>
          <w:rFonts w:ascii="仿宋_GB2312" w:hAnsi="仿宋_GB2312" w:eastAsia="仿宋_GB2312" w:cstheme="minorBidi"/>
          <w:kern w:val="2"/>
          <w:sz w:val="24"/>
          <w:szCs w:val="24"/>
        </w:rPr>
      </w:pPr>
      <w:r>
        <w:rPr>
          <w:rStyle w:val="8"/>
          <w:rFonts w:hint="eastAsia"/>
        </w:rPr>
        <w:fldChar w:fldCharType="begin"/>
      </w:r>
      <w:r>
        <w:rPr>
          <w:rStyle w:val="8"/>
          <w:rFonts w:hint="eastAsia" w:ascii="ˎ̥" w:hAnsi="ˎ̥"/>
          <w:b/>
          <w:bCs/>
          <w:color w:val="000000"/>
          <w:sz w:val="24"/>
          <w:szCs w:val="24"/>
        </w:rPr>
        <w:instrText xml:space="preserve">TOC \o "1-2" \h \u </w:instrText>
      </w:r>
      <w:r>
        <w:rPr>
          <w:rStyle w:val="8"/>
          <w:rFonts w:hint="eastAsia"/>
        </w:rPr>
        <w:fldChar w:fldCharType="separate"/>
      </w:r>
      <w:r>
        <w:fldChar w:fldCharType="begin"/>
      </w:r>
      <w:r>
        <w:instrText xml:space="preserve"> HYPERLINK \l "_Toc28770" </w:instrText>
      </w:r>
      <w:r>
        <w:fldChar w:fldCharType="separate"/>
      </w:r>
      <w:r>
        <w:rPr>
          <w:rFonts w:hint="eastAsia" w:ascii="仿宋_GB2312" w:hAnsi="仿宋_GB2312" w:eastAsia="仿宋_GB2312" w:cstheme="minorBidi"/>
          <w:kern w:val="2"/>
          <w:sz w:val="24"/>
          <w:szCs w:val="24"/>
        </w:rPr>
        <w:t>一、基本职能及主要工作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14:paraId="7CF3B7B5">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"_Toc21884" </w:instrText>
      </w:r>
      <w:r>
        <w:fldChar w:fldCharType="separate"/>
      </w:r>
      <w:r>
        <w:rPr>
          <w:rFonts w:hint="eastAsia" w:ascii="仿宋_GB2312" w:hAnsi="仿宋_GB2312" w:eastAsia="仿宋_GB2312" w:cstheme="minorBidi"/>
          <w:kern w:val="2"/>
          <w:sz w:val="24"/>
          <w:szCs w:val="24"/>
        </w:rPr>
        <w:t>（一）机构设置及主要职责</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1</w:t>
      </w:r>
    </w:p>
    <w:p w14:paraId="424FFE7F">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"_Toc818" </w:instrText>
      </w:r>
      <w:r>
        <w:fldChar w:fldCharType="separate"/>
      </w:r>
      <w:r>
        <w:rPr>
          <w:rFonts w:hint="eastAsia" w:ascii="仿宋_GB2312" w:hAnsi="仿宋_GB2312" w:eastAsia="仿宋_GB2312" w:cstheme="minorBidi"/>
          <w:kern w:val="2"/>
          <w:sz w:val="24"/>
          <w:szCs w:val="24"/>
        </w:rPr>
        <w:t>（二）2023年重点工作</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3</w:t>
      </w:r>
    </w:p>
    <w:p w14:paraId="3A7EA906">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"_Toc27442" </w:instrText>
      </w:r>
      <w:r>
        <w:fldChar w:fldCharType="separate"/>
      </w:r>
      <w:r>
        <w:rPr>
          <w:rFonts w:hint="eastAsia" w:ascii="仿宋_GB2312" w:hAnsi="仿宋_GB2312" w:eastAsia="仿宋_GB2312" w:cstheme="minorBidi"/>
          <w:kern w:val="2"/>
          <w:sz w:val="24"/>
          <w:szCs w:val="24"/>
        </w:rPr>
        <w:t>二、部门预算单位构成</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4</w:t>
      </w:r>
    </w:p>
    <w:p w14:paraId="243B0160">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"_Toc1848" </w:instrText>
      </w:r>
      <w:r>
        <w:fldChar w:fldCharType="separate"/>
      </w:r>
      <w:r>
        <w:rPr>
          <w:rFonts w:hint="eastAsia" w:ascii="仿宋_GB2312" w:hAnsi="仿宋_GB2312" w:eastAsia="仿宋_GB2312" w:cstheme="minorBidi"/>
          <w:kern w:val="2"/>
          <w:sz w:val="24"/>
          <w:szCs w:val="24"/>
        </w:rPr>
        <w:t>三、收支预算增减变化情况说明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4</w:t>
      </w:r>
    </w:p>
    <w:p w14:paraId="1C157BCF">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"_Toc193" </w:instrText>
      </w:r>
      <w:r>
        <w:fldChar w:fldCharType="separate"/>
      </w:r>
      <w:r>
        <w:rPr>
          <w:rFonts w:hint="eastAsia" w:ascii="仿宋_GB2312" w:hAnsi="仿宋_GB2312" w:eastAsia="仿宋_GB2312" w:cstheme="minorBidi"/>
          <w:kern w:val="2"/>
          <w:sz w:val="24"/>
          <w:szCs w:val="24"/>
        </w:rPr>
        <w:t>（一）收入预算情况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5</w:t>
      </w:r>
    </w:p>
    <w:p w14:paraId="7BA4A42A">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"_Toc3651" </w:instrText>
      </w:r>
      <w:r>
        <w:fldChar w:fldCharType="separate"/>
      </w:r>
      <w:r>
        <w:rPr>
          <w:rFonts w:hint="eastAsia" w:ascii="仿宋_GB2312" w:hAnsi="仿宋_GB2312" w:eastAsia="仿宋_GB2312" w:cstheme="minorBidi"/>
          <w:kern w:val="2"/>
          <w:sz w:val="24"/>
          <w:szCs w:val="24"/>
        </w:rPr>
        <w:t>（二）支出预算情况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5</w:t>
      </w:r>
    </w:p>
    <w:p w14:paraId="73A2D25C">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"_Toc3738" </w:instrText>
      </w:r>
      <w:r>
        <w:fldChar w:fldCharType="separate"/>
      </w:r>
      <w:r>
        <w:rPr>
          <w:rFonts w:hint="eastAsia" w:ascii="仿宋_GB2312" w:hAnsi="仿宋_GB2312" w:eastAsia="仿宋_GB2312" w:cstheme="minorBidi"/>
          <w:kern w:val="2"/>
          <w:sz w:val="24"/>
          <w:szCs w:val="24"/>
        </w:rPr>
        <w:t>四、财政拨款收支预算情况说明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5</w:t>
      </w:r>
      <w:r>
        <w:rPr>
          <w:rFonts w:hint="eastAsia" w:ascii="仿宋_GB2312" w:hAnsi="仿宋_GB2312" w:eastAsia="仿宋_GB2312" w:cstheme="minorBidi"/>
          <w:kern w:val="2"/>
          <w:sz w:val="24"/>
          <w:szCs w:val="24"/>
        </w:rPr>
        <w:fldChar w:fldCharType="end"/>
      </w:r>
    </w:p>
    <w:p w14:paraId="78E1D71D">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"_Toc3440" </w:instrText>
      </w:r>
      <w:r>
        <w:fldChar w:fldCharType="separate"/>
      </w:r>
      <w:r>
        <w:rPr>
          <w:rFonts w:hint="eastAsia" w:ascii="仿宋_GB2312" w:hAnsi="仿宋_GB2312" w:eastAsia="仿宋_GB2312" w:cstheme="minorBidi"/>
          <w:kern w:val="2"/>
          <w:sz w:val="24"/>
          <w:szCs w:val="24"/>
        </w:rPr>
        <w:t>五、一般公共预算当年拨款情况说明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5</w:t>
      </w:r>
      <w:r>
        <w:rPr>
          <w:rFonts w:hint="eastAsia" w:ascii="仿宋_GB2312" w:hAnsi="仿宋_GB2312" w:eastAsia="仿宋_GB2312" w:cstheme="minorBidi"/>
          <w:kern w:val="2"/>
          <w:sz w:val="24"/>
          <w:szCs w:val="24"/>
        </w:rPr>
        <w:fldChar w:fldCharType="end"/>
      </w:r>
    </w:p>
    <w:p w14:paraId="2614A01C">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"_Toc25098" </w:instrText>
      </w:r>
      <w:r>
        <w:fldChar w:fldCharType="separate"/>
      </w:r>
      <w:r>
        <w:rPr>
          <w:rFonts w:hint="eastAsia" w:ascii="仿宋_GB2312" w:hAnsi="仿宋_GB2312" w:eastAsia="仿宋_GB2312" w:cstheme="minorBidi"/>
          <w:kern w:val="2"/>
          <w:sz w:val="24"/>
          <w:szCs w:val="24"/>
        </w:rPr>
        <w:t>（一）一般公共预算当年拨款规模变化情况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5</w:t>
      </w:r>
      <w:r>
        <w:rPr>
          <w:rFonts w:hint="eastAsia" w:ascii="仿宋_GB2312" w:hAnsi="仿宋_GB2312" w:eastAsia="仿宋_GB2312" w:cstheme="minorBidi"/>
          <w:kern w:val="2"/>
          <w:sz w:val="24"/>
          <w:szCs w:val="24"/>
        </w:rPr>
        <w:fldChar w:fldCharType="end"/>
      </w:r>
    </w:p>
    <w:p w14:paraId="266E172E">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"_Toc16092" </w:instrText>
      </w:r>
      <w:r>
        <w:fldChar w:fldCharType="separate"/>
      </w:r>
      <w:r>
        <w:rPr>
          <w:rFonts w:hint="eastAsia" w:ascii="仿宋_GB2312" w:hAnsi="仿宋_GB2312" w:eastAsia="仿宋_GB2312" w:cstheme="minorBidi"/>
          <w:kern w:val="2"/>
          <w:sz w:val="24"/>
          <w:szCs w:val="24"/>
        </w:rPr>
        <w:t>（二）一般公共预算当年拨款结构情况(按照功能科目类写)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14:paraId="3ECAB63A">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"_Toc28341" </w:instrText>
      </w:r>
      <w:r>
        <w:fldChar w:fldCharType="separate"/>
      </w:r>
      <w:r>
        <w:rPr>
          <w:rFonts w:hint="eastAsia" w:ascii="仿宋_GB2312" w:hAnsi="仿宋_GB2312" w:eastAsia="仿宋_GB2312" w:cstheme="minorBidi"/>
          <w:kern w:val="2"/>
          <w:sz w:val="24"/>
          <w:szCs w:val="24"/>
        </w:rPr>
        <w:t>（三）一般公共预算当年拨款具体使用情况（按功能科目类款项写）</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6</w:t>
      </w:r>
      <w:r>
        <w:rPr>
          <w:rFonts w:hint="eastAsia" w:ascii="仿宋_GB2312" w:hAnsi="仿宋_GB2312" w:eastAsia="仿宋_GB2312" w:cstheme="minorBidi"/>
          <w:kern w:val="2"/>
          <w:sz w:val="24"/>
          <w:szCs w:val="24"/>
        </w:rPr>
        <w:fldChar w:fldCharType="end"/>
      </w:r>
    </w:p>
    <w:p w14:paraId="25F5A892">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"_Toc18858" </w:instrText>
      </w:r>
      <w:r>
        <w:fldChar w:fldCharType="separate"/>
      </w:r>
      <w:r>
        <w:rPr>
          <w:rFonts w:hint="eastAsia" w:ascii="仿宋_GB2312" w:hAnsi="仿宋_GB2312" w:eastAsia="仿宋_GB2312" w:cstheme="minorBidi"/>
          <w:kern w:val="2"/>
          <w:sz w:val="24"/>
          <w:szCs w:val="24"/>
        </w:rPr>
        <w:t>六、一般公共预算基本支出情况说明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7</w:t>
      </w:r>
      <w:r>
        <w:rPr>
          <w:rFonts w:hint="eastAsia" w:ascii="仿宋_GB2312" w:hAnsi="仿宋_GB2312" w:eastAsia="仿宋_GB2312" w:cstheme="minorBidi"/>
          <w:kern w:val="2"/>
          <w:sz w:val="24"/>
          <w:szCs w:val="24"/>
        </w:rPr>
        <w:fldChar w:fldCharType="end"/>
      </w:r>
    </w:p>
    <w:p w14:paraId="3A34C626">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"_Toc256" </w:instrText>
      </w:r>
      <w:r>
        <w:fldChar w:fldCharType="separate"/>
      </w:r>
      <w:r>
        <w:rPr>
          <w:rFonts w:hint="eastAsia" w:ascii="仿宋_GB2312" w:hAnsi="仿宋_GB2312" w:eastAsia="仿宋_GB2312" w:cstheme="minorBidi"/>
          <w:kern w:val="2"/>
          <w:sz w:val="24"/>
          <w:szCs w:val="24"/>
        </w:rPr>
        <w:t>七、“三公”经费财政拨款预算安排情况说明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7</w:t>
      </w:r>
      <w:r>
        <w:rPr>
          <w:rFonts w:hint="eastAsia" w:ascii="仿宋_GB2312" w:hAnsi="仿宋_GB2312" w:eastAsia="仿宋_GB2312" w:cstheme="minorBidi"/>
          <w:kern w:val="2"/>
          <w:sz w:val="24"/>
          <w:szCs w:val="24"/>
        </w:rPr>
        <w:fldChar w:fldCharType="end"/>
      </w:r>
    </w:p>
    <w:p w14:paraId="6A12AADB">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"_Toc11086" </w:instrText>
      </w:r>
      <w:r>
        <w:fldChar w:fldCharType="separate"/>
      </w:r>
      <w:r>
        <w:rPr>
          <w:rFonts w:hint="eastAsia" w:ascii="仿宋_GB2312" w:hAnsi="仿宋_GB2312" w:eastAsia="仿宋_GB2312" w:cstheme="minorBidi"/>
          <w:kern w:val="2"/>
          <w:sz w:val="24"/>
          <w:szCs w:val="24"/>
        </w:rPr>
        <w:t>八、政府性基金预算收支情况说明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7</w:t>
      </w:r>
      <w:r>
        <w:rPr>
          <w:rFonts w:hint="eastAsia" w:ascii="仿宋_GB2312" w:hAnsi="仿宋_GB2312" w:eastAsia="仿宋_GB2312" w:cstheme="minorBidi"/>
          <w:kern w:val="2"/>
          <w:sz w:val="24"/>
          <w:szCs w:val="24"/>
        </w:rPr>
        <w:fldChar w:fldCharType="end"/>
      </w:r>
    </w:p>
    <w:p w14:paraId="47204996">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"_Toc165" </w:instrText>
      </w:r>
      <w:r>
        <w:fldChar w:fldCharType="separate"/>
      </w:r>
      <w:r>
        <w:rPr>
          <w:rFonts w:hint="eastAsia" w:ascii="仿宋_GB2312" w:hAnsi="仿宋_GB2312" w:eastAsia="仿宋_GB2312" w:cstheme="minorBidi"/>
          <w:kern w:val="2"/>
          <w:sz w:val="24"/>
          <w:szCs w:val="24"/>
        </w:rPr>
        <w:t>九、国有资本经营预算支出情况说明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8</w:t>
      </w:r>
      <w:r>
        <w:rPr>
          <w:rFonts w:hint="eastAsia" w:ascii="仿宋_GB2312" w:hAnsi="仿宋_GB2312" w:eastAsia="仿宋_GB2312" w:cstheme="minorBidi"/>
          <w:kern w:val="2"/>
          <w:sz w:val="24"/>
          <w:szCs w:val="24"/>
        </w:rPr>
        <w:fldChar w:fldCharType="end"/>
      </w:r>
    </w:p>
    <w:p w14:paraId="329070D5">
      <w:pPr>
        <w:pStyle w:val="15"/>
        <w:tabs>
          <w:tab w:val="right" w:leader="dot" w:pos="8845"/>
        </w:tabs>
        <w:spacing w:line="400" w:lineRule="exact"/>
        <w:rPr>
          <w:rFonts w:ascii="仿宋_GB2312" w:hAnsi="仿宋_GB2312" w:eastAsia="仿宋_GB2312" w:cstheme="minorBidi"/>
          <w:kern w:val="2"/>
          <w:sz w:val="24"/>
          <w:szCs w:val="24"/>
        </w:rPr>
      </w:pPr>
      <w:r>
        <w:fldChar w:fldCharType="begin"/>
      </w:r>
      <w:r>
        <w:instrText xml:space="preserve"> HYPERLINK \l "_Toc29771" </w:instrText>
      </w:r>
      <w:r>
        <w:fldChar w:fldCharType="separate"/>
      </w:r>
      <w:r>
        <w:rPr>
          <w:rFonts w:hint="eastAsia" w:ascii="仿宋_GB2312" w:hAnsi="仿宋_GB2312" w:eastAsia="仿宋_GB2312" w:cstheme="minorBidi"/>
          <w:kern w:val="2"/>
          <w:sz w:val="24"/>
          <w:szCs w:val="24"/>
        </w:rPr>
        <w:t>十、其他重要事项的情况说明</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8</w:t>
      </w:r>
      <w:r>
        <w:rPr>
          <w:rFonts w:hint="eastAsia" w:ascii="仿宋_GB2312" w:hAnsi="仿宋_GB2312" w:eastAsia="仿宋_GB2312" w:cstheme="minorBidi"/>
          <w:kern w:val="2"/>
          <w:sz w:val="24"/>
          <w:szCs w:val="24"/>
        </w:rPr>
        <w:fldChar w:fldCharType="end"/>
      </w:r>
    </w:p>
    <w:p w14:paraId="41DD3CC1">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"_Toc11525" </w:instrText>
      </w:r>
      <w:r>
        <w:fldChar w:fldCharType="separate"/>
      </w:r>
      <w:r>
        <w:rPr>
          <w:rFonts w:hint="eastAsia" w:ascii="仿宋_GB2312" w:hAnsi="仿宋_GB2312" w:eastAsia="仿宋_GB2312" w:cstheme="minorBidi"/>
          <w:kern w:val="2"/>
          <w:sz w:val="24"/>
          <w:szCs w:val="24"/>
        </w:rPr>
        <w:t>（一）机关运行经费</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8</w:t>
      </w:r>
      <w:r>
        <w:rPr>
          <w:rFonts w:hint="eastAsia" w:ascii="仿宋_GB2312" w:hAnsi="仿宋_GB2312" w:eastAsia="仿宋_GB2312" w:cstheme="minorBidi"/>
          <w:kern w:val="2"/>
          <w:sz w:val="24"/>
          <w:szCs w:val="24"/>
        </w:rPr>
        <w:fldChar w:fldCharType="end"/>
      </w:r>
    </w:p>
    <w:p w14:paraId="29941B81">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"_Toc15299" </w:instrText>
      </w:r>
      <w:r>
        <w:fldChar w:fldCharType="separate"/>
      </w:r>
      <w:r>
        <w:rPr>
          <w:rFonts w:hint="eastAsia" w:ascii="仿宋_GB2312" w:hAnsi="仿宋_GB2312" w:eastAsia="仿宋_GB2312" w:cstheme="minorBidi"/>
          <w:kern w:val="2"/>
          <w:sz w:val="24"/>
          <w:szCs w:val="24"/>
        </w:rPr>
        <w:t>（二）政府采购情况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8</w:t>
      </w:r>
      <w:r>
        <w:rPr>
          <w:rFonts w:hint="eastAsia" w:ascii="仿宋_GB2312" w:hAnsi="仿宋_GB2312" w:eastAsia="仿宋_GB2312" w:cstheme="minorBidi"/>
          <w:kern w:val="2"/>
          <w:sz w:val="24"/>
          <w:szCs w:val="24"/>
        </w:rPr>
        <w:fldChar w:fldCharType="end"/>
      </w:r>
    </w:p>
    <w:p w14:paraId="507215C3">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"_Toc18679" </w:instrText>
      </w:r>
      <w:r>
        <w:fldChar w:fldCharType="separate"/>
      </w:r>
      <w:r>
        <w:rPr>
          <w:rFonts w:hint="eastAsia" w:ascii="仿宋_GB2312" w:hAnsi="仿宋_GB2312" w:eastAsia="仿宋_GB2312" w:cstheme="minorBidi"/>
          <w:kern w:val="2"/>
          <w:sz w:val="24"/>
          <w:szCs w:val="24"/>
        </w:rPr>
        <w:t>（三）国有资产占有使用情况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8</w:t>
      </w:r>
      <w:r>
        <w:rPr>
          <w:rFonts w:hint="eastAsia" w:ascii="仿宋_GB2312" w:hAnsi="仿宋_GB2312" w:eastAsia="仿宋_GB2312" w:cstheme="minorBidi"/>
          <w:kern w:val="2"/>
          <w:sz w:val="24"/>
          <w:szCs w:val="24"/>
        </w:rPr>
        <w:fldChar w:fldCharType="end"/>
      </w:r>
    </w:p>
    <w:p w14:paraId="123D16A0">
      <w:pPr>
        <w:pStyle w:val="16"/>
        <w:tabs>
          <w:tab w:val="right" w:leader="dot" w:pos="8845"/>
        </w:tabs>
        <w:spacing w:line="400" w:lineRule="exact"/>
        <w:ind w:left="0" w:leftChars="0" w:firstLine="400" w:firstLineChars="200"/>
        <w:rPr>
          <w:rFonts w:ascii="仿宋_GB2312" w:hAnsi="仿宋_GB2312" w:eastAsia="仿宋_GB2312" w:cstheme="minorBidi"/>
          <w:kern w:val="2"/>
          <w:sz w:val="24"/>
          <w:szCs w:val="24"/>
        </w:rPr>
      </w:pPr>
      <w:r>
        <w:fldChar w:fldCharType="begin"/>
      </w:r>
      <w:r>
        <w:instrText xml:space="preserve"> HYPERLINK \l "_Toc2176" </w:instrText>
      </w:r>
      <w:r>
        <w:fldChar w:fldCharType="separate"/>
      </w:r>
      <w:r>
        <w:rPr>
          <w:rFonts w:hint="eastAsia" w:ascii="仿宋_GB2312" w:hAnsi="仿宋_GB2312" w:eastAsia="仿宋_GB2312" w:cstheme="minorBidi"/>
          <w:kern w:val="2"/>
          <w:sz w:val="24"/>
          <w:szCs w:val="24"/>
        </w:rPr>
        <w:t>（四）绩效目标设置情况</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t>8</w:t>
      </w:r>
      <w:r>
        <w:rPr>
          <w:rFonts w:hint="eastAsia" w:ascii="仿宋_GB2312" w:hAnsi="仿宋_GB2312" w:eastAsia="仿宋_GB2312" w:cstheme="minorBidi"/>
          <w:kern w:val="2"/>
          <w:sz w:val="24"/>
          <w:szCs w:val="24"/>
        </w:rPr>
        <w:fldChar w:fldCharType="end"/>
      </w:r>
    </w:p>
    <w:p w14:paraId="305533BA">
      <w:pPr>
        <w:pStyle w:val="15"/>
        <w:tabs>
          <w:tab w:val="right" w:leader="dot" w:pos="8845"/>
        </w:tabs>
        <w:spacing w:line="400" w:lineRule="exact"/>
        <w:rPr>
          <w:b/>
          <w:sz w:val="24"/>
          <w:szCs w:val="24"/>
        </w:rPr>
      </w:pPr>
      <w:r>
        <w:fldChar w:fldCharType="begin"/>
      </w:r>
      <w:r>
        <w:instrText xml:space="preserve"> HYPERLINK \l "_Toc6693" </w:instrText>
      </w:r>
      <w:r>
        <w:fldChar w:fldCharType="separate"/>
      </w:r>
      <w:r>
        <w:rPr>
          <w:rFonts w:hint="eastAsia" w:ascii="仿宋_GB2312" w:hAnsi="仿宋_GB2312" w:eastAsia="仿宋_GB2312" w:cstheme="minorBidi"/>
          <w:kern w:val="2"/>
          <w:sz w:val="24"/>
          <w:szCs w:val="24"/>
        </w:rPr>
        <w:t>十一、名词解释</w:t>
      </w:r>
      <w:r>
        <w:rPr>
          <w:rFonts w:hint="eastAsia" w:ascii="仿宋_GB2312" w:hAnsi="仿宋_GB2312" w:eastAsia="仿宋_GB2312" w:cstheme="minorBidi"/>
          <w:kern w:val="2"/>
          <w:sz w:val="24"/>
          <w:szCs w:val="24"/>
        </w:rPr>
        <w:tab/>
      </w:r>
      <w:r>
        <w:rPr>
          <w:rFonts w:hint="eastAsia" w:ascii="仿宋_GB2312" w:hAnsi="仿宋_GB2312" w:eastAsia="仿宋_GB2312" w:cstheme="minorBidi"/>
          <w:kern w:val="2"/>
          <w:sz w:val="24"/>
          <w:szCs w:val="24"/>
        </w:rPr>
        <w:fldChar w:fldCharType="end"/>
      </w:r>
      <w:r>
        <w:rPr>
          <w:rFonts w:hint="eastAsia" w:ascii="仿宋_GB2312" w:hAnsi="仿宋_GB2312" w:eastAsia="仿宋_GB2312" w:cstheme="minorBidi"/>
          <w:kern w:val="2"/>
          <w:sz w:val="24"/>
          <w:szCs w:val="24"/>
        </w:rPr>
        <w:t>8</w:t>
      </w:r>
    </w:p>
    <w:p w14:paraId="455031F7">
      <w:pPr>
        <w:spacing w:line="400" w:lineRule="exact"/>
        <w:ind w:left="1598" w:leftChars="132" w:hanging="964" w:hangingChars="400"/>
        <w:rPr>
          <w:rFonts w:hint="eastAsia" w:ascii="ˎ̥" w:hAnsi="ˎ̥"/>
          <w:b/>
          <w:bCs/>
          <w:color w:val="000000"/>
          <w:sz w:val="24"/>
        </w:rPr>
      </w:pPr>
      <w:r>
        <w:rPr>
          <w:rFonts w:hint="eastAsia" w:ascii="ˎ̥" w:hAnsi="ˎ̥"/>
          <w:b/>
          <w:bCs/>
          <w:color w:val="000000"/>
          <w:sz w:val="24"/>
        </w:rPr>
        <w:fldChar w:fldCharType="end"/>
      </w:r>
    </w:p>
    <w:p w14:paraId="5645028D">
      <w:pPr>
        <w:spacing w:line="560" w:lineRule="exact"/>
        <w:rPr>
          <w:rFonts w:ascii="仿宋_GB2312" w:hAnsi="仿宋_GB2312" w:eastAsia="仿宋_GB2312"/>
          <w:sz w:val="32"/>
          <w:szCs w:val="32"/>
        </w:rPr>
      </w:pPr>
    </w:p>
    <w:p w14:paraId="770A2F6A">
      <w:pPr>
        <w:spacing w:line="560" w:lineRule="exact"/>
        <w:rPr>
          <w:rFonts w:ascii="仿宋_GB2312" w:hAnsi="仿宋_GB2312" w:eastAsia="仿宋_GB2312"/>
          <w:sz w:val="32"/>
          <w:szCs w:val="32"/>
        </w:rPr>
      </w:pPr>
    </w:p>
    <w:p w14:paraId="01D7CB74">
      <w:pPr>
        <w:spacing w:line="560" w:lineRule="exact"/>
        <w:ind w:firstLine="643" w:firstLineChars="200"/>
        <w:rPr>
          <w:rFonts w:ascii="仿宋_GB2312" w:hAnsi="仿宋_GB2312" w:eastAsia="仿宋_GB2312"/>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14:paraId="3E68C37C">
      <w:pPr>
        <w:spacing w:line="560" w:lineRule="exact"/>
        <w:ind w:firstLine="643" w:firstLineChars="200"/>
        <w:rPr>
          <w:rFonts w:ascii="仿宋_GB2312" w:hAnsi="仿宋_GB2312" w:eastAsia="仿宋_GB2312"/>
          <w:b/>
          <w:sz w:val="32"/>
          <w:szCs w:val="32"/>
        </w:rPr>
      </w:pPr>
    </w:p>
    <w:p w14:paraId="4583072C">
      <w:pPr>
        <w:spacing w:line="540" w:lineRule="exact"/>
        <w:ind w:firstLine="643" w:firstLineChars="200"/>
        <w:rPr>
          <w:rFonts w:ascii="仿宋_GB2312" w:hAnsi="仿宋_GB2312" w:eastAsia="仿宋_GB2312"/>
          <w:b/>
          <w:sz w:val="32"/>
          <w:szCs w:val="32"/>
        </w:rPr>
      </w:pPr>
      <w:r>
        <w:rPr>
          <w:rFonts w:hint="eastAsia" w:ascii="仿宋_GB2312" w:hAnsi="仿宋_GB2312" w:eastAsia="仿宋_GB2312"/>
          <w:b/>
          <w:sz w:val="32"/>
          <w:szCs w:val="32"/>
        </w:rPr>
        <w:t>一、基本职能及主要工作</w:t>
      </w:r>
    </w:p>
    <w:p w14:paraId="0F4A0E38">
      <w:pPr>
        <w:spacing w:line="540" w:lineRule="exact"/>
        <w:rPr>
          <w:rFonts w:ascii="仿宋_GB2312" w:hAnsi="仿宋_GB2312" w:eastAsia="仿宋_GB2312"/>
          <w:sz w:val="32"/>
          <w:szCs w:val="32"/>
        </w:rPr>
      </w:pPr>
      <w:r>
        <w:rPr>
          <w:rFonts w:hint="eastAsia" w:ascii="仿宋_GB2312" w:hAnsi="仿宋_GB2312" w:eastAsia="仿宋_GB2312"/>
          <w:sz w:val="32"/>
          <w:szCs w:val="32"/>
        </w:rPr>
        <w:t>　（一）机构设置及主要职责。</w:t>
      </w:r>
    </w:p>
    <w:p w14:paraId="56E1452B">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1、开展学术交流，活跃学术思想，促进学科发展和技术创新。</w:t>
      </w:r>
    </w:p>
    <w:p w14:paraId="152E4625">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2、负责全区科学技术普及工作。开展科普宣传，在全区人民中传播科学思想和科学方法，普及科学知识，弘扬科学精神，捍卫科学尊严；开展科技服务，推广先进实用技术，在农村、企业、学校、社会中开展科学技术教育和普及活动，提高全民族科学文化素质。</w:t>
      </w:r>
    </w:p>
    <w:p w14:paraId="3DF6A595">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3、反映科学技术工作者的意见和要求，维护科学技术工作者的合法权益，为科技团体和科学技术工作者服务。组织科学技术工作者参与全区科学技术政策、规划、贯彻法规制定和区内重大事项的政治协商、科学决策、民主监督工作。</w:t>
      </w:r>
    </w:p>
    <w:p w14:paraId="4FB24F57">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4、表彰奖励优秀学术论文、优秀科学技术工作者、优秀科技团体，举荐人才。</w:t>
      </w:r>
    </w:p>
    <w:p w14:paraId="21938716">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5、开展科学论证、咨询服务、农民技术职称评定，提出政策建议，实施“金桥工程”，开展“讲比”活动，促进科学技术成果的转化，接受委托承担项目评估、成果鉴定、专业技术职务资格评审等任务。负责科技咨询行业的管理。</w:t>
      </w:r>
    </w:p>
    <w:p w14:paraId="4001AE3B">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6、开展地区间的民间科学技术交流与合作，发展同区外的科学技术团体和科学技术工作者的友好交往。</w:t>
      </w:r>
    </w:p>
    <w:p w14:paraId="56543D68">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7、开展继续教育和培训工作，参与组织科学技术工作者进行科技开发、科技攻关、科技服务。</w:t>
      </w:r>
    </w:p>
    <w:p w14:paraId="191FDBE7">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8、兴办符合区科协宗旨的社会公益性事业。</w:t>
      </w:r>
    </w:p>
    <w:p w14:paraId="25C6350A">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9、对直属学（协、研究）会等的管理和所属科协组织进行业务指导，加强所属团体之间的联系与合作。</w:t>
      </w:r>
    </w:p>
    <w:p w14:paraId="4A0E5F58">
      <w:pPr>
        <w:pStyle w:val="2"/>
        <w:adjustRightInd w:val="0"/>
        <w:snapToGrid w:val="0"/>
        <w:spacing w:before="93" w:line="540" w:lineRule="exact"/>
        <w:ind w:firstLine="672" w:firstLineChars="210"/>
        <w:rPr>
          <w:rFonts w:ascii="仿宋" w:hAnsi="仿宋" w:eastAsia="仿宋"/>
          <w:sz w:val="32"/>
          <w:szCs w:val="32"/>
        </w:rPr>
      </w:pPr>
      <w:r>
        <w:rPr>
          <w:rFonts w:hint="eastAsia" w:ascii="仿宋" w:hAnsi="仿宋" w:eastAsia="仿宋"/>
          <w:sz w:val="32"/>
          <w:szCs w:val="32"/>
        </w:rPr>
        <w:t>10、承办区委、区政府和上级科协交办的其他事项。</w:t>
      </w:r>
    </w:p>
    <w:p w14:paraId="0372E9CB">
      <w:pPr>
        <w:pStyle w:val="2"/>
        <w:adjustRightInd w:val="0"/>
        <w:snapToGrid w:val="0"/>
        <w:spacing w:before="93" w:line="540" w:lineRule="exact"/>
        <w:ind w:firstLine="672" w:firstLineChars="210"/>
        <w:rPr>
          <w:bCs/>
          <w:sz w:val="32"/>
          <w:szCs w:val="32"/>
        </w:rPr>
      </w:pPr>
    </w:p>
    <w:p w14:paraId="084E1434">
      <w:pPr>
        <w:rPr>
          <w:rFonts w:ascii="仿宋" w:hAnsi="仿宋" w:eastAsia="仿宋"/>
          <w:b/>
          <w:bCs/>
          <w:sz w:val="32"/>
          <w:szCs w:val="32"/>
        </w:rPr>
      </w:pPr>
      <w:r>
        <w:rPr>
          <w:rFonts w:hint="eastAsia" w:ascii="仿宋" w:hAnsi="仿宋" w:eastAsia="仿宋"/>
          <w:b/>
          <w:bCs/>
          <w:sz w:val="32"/>
          <w:szCs w:val="32"/>
        </w:rPr>
        <w:t>机构设置：</w:t>
      </w:r>
    </w:p>
    <w:p w14:paraId="0FBB5F44">
      <w:pPr>
        <w:ind w:firstLine="640" w:firstLineChars="200"/>
        <w:rPr>
          <w:rFonts w:ascii="仿宋_GB2312" w:eastAsia="仿宋_GB2312"/>
          <w:bCs/>
          <w:sz w:val="32"/>
          <w:szCs w:val="32"/>
        </w:rPr>
      </w:pPr>
      <w:r>
        <w:rPr>
          <w:rFonts w:hint="eastAsia" w:ascii="仿宋_GB2312" w:eastAsia="仿宋_GB2312"/>
          <w:bCs/>
          <w:sz w:val="32"/>
          <w:szCs w:val="32"/>
        </w:rPr>
        <w:t>区科协下设内设机构：</w:t>
      </w:r>
    </w:p>
    <w:p w14:paraId="36A31A34">
      <w:pPr>
        <w:pStyle w:val="9"/>
        <w:numPr>
          <w:ilvl w:val="0"/>
          <w:numId w:val="1"/>
        </w:numPr>
        <w:ind w:left="0" w:firstLine="640" w:firstLineChars="0"/>
        <w:rPr>
          <w:rFonts w:ascii="仿宋" w:hAnsi="仿宋" w:eastAsia="仿宋"/>
          <w:sz w:val="32"/>
          <w:szCs w:val="32"/>
        </w:rPr>
      </w:pPr>
      <w:r>
        <w:rPr>
          <w:rFonts w:ascii="仿宋" w:hAnsi="仿宋" w:eastAsia="仿宋"/>
          <w:sz w:val="32"/>
          <w:szCs w:val="32"/>
        </w:rPr>
        <w:t>办公室。负责文电、会务、机要、档案、安全等机关日常运转工作；承担信息、保密、信访、绩效管理、政务公开、督查督办、文稿起草及后勤保障等工作。负责财务、资产管理工作。负责党务、党风廉政、纪检监察、机构编制、人事管理、群团、职工教育培训等工作</w:t>
      </w:r>
      <w:r>
        <w:rPr>
          <w:rFonts w:hint="eastAsia" w:ascii="仿宋" w:hAnsi="仿宋" w:eastAsia="仿宋"/>
          <w:sz w:val="32"/>
          <w:szCs w:val="32"/>
        </w:rPr>
        <w:t>，</w:t>
      </w:r>
      <w:r>
        <w:rPr>
          <w:rFonts w:ascii="仿宋" w:hAnsi="仿宋" w:eastAsia="仿宋"/>
          <w:sz w:val="32"/>
          <w:szCs w:val="32"/>
        </w:rPr>
        <w:t>完成领导交办的其他工作。</w:t>
      </w:r>
    </w:p>
    <w:p w14:paraId="4C6A787B">
      <w:pPr>
        <w:spacing w:line="590" w:lineRule="exact"/>
        <w:ind w:firstLine="640" w:firstLineChars="200"/>
        <w:rPr>
          <w:bCs/>
          <w:sz w:val="32"/>
          <w:szCs w:val="32"/>
        </w:rPr>
      </w:pPr>
      <w:r>
        <w:rPr>
          <w:rFonts w:hint="eastAsia" w:ascii="仿宋" w:hAnsi="仿宋" w:eastAsia="仿宋"/>
          <w:sz w:val="32"/>
          <w:szCs w:val="32"/>
        </w:rPr>
        <w:t>2、天府科技云服务部：</w:t>
      </w:r>
      <w:r>
        <w:rPr>
          <w:rFonts w:ascii="仿宋" w:hAnsi="仿宋" w:eastAsia="仿宋"/>
          <w:sz w:val="32"/>
          <w:szCs w:val="32"/>
        </w:rPr>
        <w:t>面向全</w:t>
      </w:r>
      <w:r>
        <w:rPr>
          <w:rFonts w:hint="eastAsia" w:ascii="仿宋" w:hAnsi="仿宋" w:eastAsia="仿宋"/>
          <w:sz w:val="32"/>
          <w:szCs w:val="32"/>
        </w:rPr>
        <w:t>区</w:t>
      </w:r>
      <w:r>
        <w:rPr>
          <w:rFonts w:ascii="仿宋" w:hAnsi="仿宋" w:eastAsia="仿宋"/>
          <w:sz w:val="32"/>
          <w:szCs w:val="32"/>
        </w:rPr>
        <w:t>广大科技工作者</w:t>
      </w:r>
      <w:r>
        <w:rPr>
          <w:rFonts w:hint="eastAsia" w:ascii="仿宋" w:hAnsi="仿宋" w:eastAsia="仿宋"/>
          <w:sz w:val="32"/>
          <w:szCs w:val="32"/>
        </w:rPr>
        <w:t>、企事业单位、城乡群众、高校师生</w:t>
      </w:r>
      <w:r>
        <w:rPr>
          <w:rFonts w:ascii="仿宋" w:hAnsi="仿宋" w:eastAsia="仿宋"/>
          <w:sz w:val="32"/>
          <w:szCs w:val="32"/>
        </w:rPr>
        <w:t>和各类科技人才宣传推广“天府科技云服务”，动员全</w:t>
      </w:r>
      <w:r>
        <w:rPr>
          <w:rFonts w:hint="eastAsia" w:ascii="仿宋" w:hAnsi="仿宋" w:eastAsia="仿宋"/>
          <w:sz w:val="32"/>
          <w:szCs w:val="32"/>
        </w:rPr>
        <w:t>区</w:t>
      </w:r>
      <w:r>
        <w:rPr>
          <w:rFonts w:ascii="仿宋" w:hAnsi="仿宋" w:eastAsia="仿宋"/>
          <w:sz w:val="32"/>
          <w:szCs w:val="32"/>
        </w:rPr>
        <w:t>广大</w:t>
      </w:r>
      <w:r>
        <w:rPr>
          <w:rFonts w:hint="eastAsia" w:ascii="仿宋" w:hAnsi="仿宋" w:eastAsia="仿宋"/>
          <w:sz w:val="32"/>
          <w:szCs w:val="32"/>
        </w:rPr>
        <w:t>群众及</w:t>
      </w:r>
      <w:r>
        <w:rPr>
          <w:rFonts w:ascii="仿宋" w:hAnsi="仿宋" w:eastAsia="仿宋"/>
          <w:sz w:val="32"/>
          <w:szCs w:val="32"/>
        </w:rPr>
        <w:t>科技工作者（团队）注册使用云平台，帮助全面准确理解“天府科技云服务”的优势；负责精准联系</w:t>
      </w:r>
      <w:r>
        <w:rPr>
          <w:rFonts w:hint="eastAsia" w:ascii="仿宋" w:hAnsi="仿宋" w:eastAsia="仿宋"/>
          <w:sz w:val="32"/>
          <w:szCs w:val="32"/>
        </w:rPr>
        <w:t>、</w:t>
      </w:r>
      <w:r>
        <w:rPr>
          <w:rFonts w:ascii="仿宋" w:hAnsi="仿宋" w:eastAsia="仿宋"/>
          <w:sz w:val="32"/>
          <w:szCs w:val="32"/>
        </w:rPr>
        <w:t>组织科技工作者（团队）上传科技服务所能、发布科技成果，引导科技工作者开设“科创工作室”，指导科技工作者（团队）承接科研项目；帮助企事业单位全面准确理解“天府科技云服务”对于企事业单位便捷获取科技人才和科技服务、破解创新发展难题的优势；针对科技供给开展“一单一策”服务；组织动员学会服务科技工作者；定期对科技服务供给侧数据分析。</w:t>
      </w:r>
    </w:p>
    <w:p w14:paraId="7FFE3232">
      <w:pPr>
        <w:spacing w:line="540" w:lineRule="exact"/>
        <w:ind w:firstLine="320" w:firstLineChars="100"/>
        <w:rPr>
          <w:rFonts w:ascii="仿宋_GB2312" w:hAnsi="仿宋_GB2312" w:eastAsia="仿宋_GB2312"/>
          <w:sz w:val="32"/>
          <w:szCs w:val="32"/>
        </w:rPr>
      </w:pPr>
      <w:r>
        <w:rPr>
          <w:rFonts w:hint="eastAsia" w:ascii="仿宋_GB2312" w:hAnsi="仿宋_GB2312" w:eastAsia="仿宋_GB2312"/>
          <w:sz w:val="32"/>
          <w:szCs w:val="32"/>
        </w:rPr>
        <w:t>（二）2023年重点工作。</w:t>
      </w:r>
    </w:p>
    <w:p w14:paraId="0B9A17CE">
      <w:pPr>
        <w:pStyle w:val="9"/>
        <w:numPr>
          <w:ilvl w:val="0"/>
          <w:numId w:val="2"/>
        </w:numPr>
        <w:spacing w:line="560" w:lineRule="exact"/>
        <w:ind w:firstLine="567" w:firstLineChars="0"/>
        <w:rPr>
          <w:rFonts w:ascii="仿宋" w:hAnsi="仿宋" w:eastAsia="仿宋"/>
          <w:sz w:val="32"/>
          <w:szCs w:val="32"/>
        </w:rPr>
      </w:pPr>
      <w:r>
        <w:rPr>
          <w:rFonts w:hint="eastAsia" w:ascii="仿宋" w:hAnsi="仿宋" w:eastAsia="仿宋"/>
          <w:sz w:val="32"/>
          <w:szCs w:val="32"/>
        </w:rPr>
        <w:t>推进天府科技云服务工作。按照省、市科协部署和要求，抓好</w:t>
      </w:r>
      <w:r>
        <w:rPr>
          <w:rFonts w:ascii="仿宋" w:hAnsi="仿宋" w:eastAsia="仿宋"/>
          <w:sz w:val="32"/>
          <w:szCs w:val="32"/>
        </w:rPr>
        <w:t>保姆式服务</w:t>
      </w:r>
      <w:r>
        <w:rPr>
          <w:rFonts w:hint="eastAsia" w:ascii="仿宋" w:hAnsi="仿宋" w:eastAsia="仿宋"/>
          <w:sz w:val="32"/>
          <w:szCs w:val="32"/>
        </w:rPr>
        <w:t>工作</w:t>
      </w:r>
      <w:r>
        <w:rPr>
          <w:rFonts w:ascii="仿宋" w:hAnsi="仿宋" w:eastAsia="仿宋"/>
          <w:sz w:val="32"/>
          <w:szCs w:val="32"/>
        </w:rPr>
        <w:t>。</w:t>
      </w:r>
      <w:r>
        <w:rPr>
          <w:rFonts w:hint="eastAsia" w:ascii="仿宋" w:hAnsi="仿宋" w:eastAsia="仿宋"/>
          <w:sz w:val="32"/>
          <w:szCs w:val="32"/>
        </w:rPr>
        <w:t>一是继续做好全员常态化保姆工作，充分发挥天府科技云服务的平台作用，组织企业、协会、科技工作者等在天府科技云APP上发布科技所能、科技所需，并全程安排一单一策保姆式服务。二是结合罗江实际，积极探索“专职保姆”服务模式，竭诚为企业、协会</w:t>
      </w:r>
      <w:r>
        <w:rPr>
          <w:rFonts w:hint="eastAsia" w:ascii="仿宋" w:hAnsi="仿宋" w:eastAsia="仿宋"/>
          <w:sz w:val="32"/>
          <w:szCs w:val="32"/>
          <w:lang w:eastAsia="zh-CN"/>
        </w:rPr>
        <w:t>及</w:t>
      </w:r>
      <w:r>
        <w:rPr>
          <w:rFonts w:hint="eastAsia" w:ascii="仿宋" w:hAnsi="仿宋" w:eastAsia="仿宋"/>
          <w:sz w:val="32"/>
          <w:szCs w:val="32"/>
        </w:rPr>
        <w:t>科技工作者提供科技攻关、成果转化、技术咨询等专业化服务。三是积极走访调研中小型科技企业、孵化园区，充分挖掘现有资源优势，搭建起科技工作者与科技企业的沟通服务桥梁。四是依托“天府科技云”平台，开展“三下乡”、科技之春等科普活动。五是根据省、市科协统一部署，积极组织企业、协会等参加省级科创会。</w:t>
      </w:r>
    </w:p>
    <w:p w14:paraId="6BDDF8B2">
      <w:pPr>
        <w:widowControl/>
        <w:numPr>
          <w:ilvl w:val="0"/>
          <w:numId w:val="2"/>
        </w:numPr>
        <w:spacing w:line="560" w:lineRule="exact"/>
        <w:ind w:firstLine="640" w:firstLineChars="200"/>
        <w:rPr>
          <w:rFonts w:ascii="仿宋" w:hAnsi="仿宋" w:eastAsia="仿宋"/>
          <w:sz w:val="32"/>
          <w:szCs w:val="32"/>
        </w:rPr>
      </w:pPr>
      <w:r>
        <w:rPr>
          <w:rFonts w:hint="eastAsia" w:ascii="仿宋" w:hAnsi="仿宋" w:eastAsia="仿宋"/>
          <w:sz w:val="32"/>
          <w:szCs w:val="32"/>
        </w:rPr>
        <w:t>切实推进</w:t>
      </w:r>
      <w:r>
        <w:rPr>
          <w:rFonts w:ascii="仿宋" w:hAnsi="仿宋" w:eastAsia="仿宋"/>
          <w:sz w:val="32"/>
          <w:szCs w:val="32"/>
        </w:rPr>
        <w:t>“科创中国”</w:t>
      </w:r>
      <w:r>
        <w:rPr>
          <w:rFonts w:hint="eastAsia" w:ascii="仿宋" w:hAnsi="仿宋" w:eastAsia="仿宋"/>
          <w:sz w:val="32"/>
          <w:szCs w:val="32"/>
        </w:rPr>
        <w:t>各项工作。</w:t>
      </w:r>
      <w:r>
        <w:rPr>
          <w:rFonts w:ascii="仿宋" w:hAnsi="仿宋" w:eastAsia="仿宋"/>
          <w:sz w:val="32"/>
          <w:szCs w:val="32"/>
        </w:rPr>
        <w:t>大力</w:t>
      </w:r>
      <w:r>
        <w:rPr>
          <w:rFonts w:hint="eastAsia" w:ascii="仿宋" w:hAnsi="仿宋" w:eastAsia="仿宋"/>
          <w:sz w:val="32"/>
          <w:szCs w:val="32"/>
        </w:rPr>
        <w:t>推进</w:t>
      </w:r>
      <w:r>
        <w:rPr>
          <w:rFonts w:ascii="仿宋" w:hAnsi="仿宋" w:eastAsia="仿宋"/>
          <w:sz w:val="32"/>
          <w:szCs w:val="32"/>
        </w:rPr>
        <w:t>“科创中国”各项工作。围绕德阳国家科技成果转移转化示范区建设，聚焦先进材料、电子信息、装备制造</w:t>
      </w:r>
      <w:bookmarkStart w:id="5" w:name="_GoBack"/>
      <w:bookmarkEnd w:id="5"/>
      <w:r>
        <w:rPr>
          <w:rFonts w:ascii="仿宋" w:hAnsi="仿宋" w:eastAsia="仿宋"/>
          <w:sz w:val="32"/>
          <w:szCs w:val="32"/>
        </w:rPr>
        <w:t>等主导产业，统筹“科创中国”全链条创新生态体系建设和布局。推动罗江经开区与成都、绵阳、德阳产业功能区有效衔接并建立合作关系，推进</w:t>
      </w:r>
      <w:r>
        <w:rPr>
          <w:rFonts w:hint="eastAsia" w:ascii="仿宋" w:hAnsi="仿宋" w:eastAsia="仿宋"/>
          <w:sz w:val="32"/>
          <w:szCs w:val="32"/>
        </w:rPr>
        <w:t>会</w:t>
      </w:r>
      <w:r>
        <w:rPr>
          <w:rFonts w:ascii="仿宋" w:hAnsi="仿宋" w:eastAsia="仿宋"/>
          <w:sz w:val="32"/>
          <w:szCs w:val="32"/>
        </w:rPr>
        <w:t>地研发机构建设，在中国科协和省、市科协的指导下，促进会地联合创新体系发展，推进先进材料产业发展，促进科技经济深度融合，科技攻关着力点主动匹配主导产业需求，提高全民科学素质。通过科技赋能，提升区域高质量发展能级</w:t>
      </w:r>
      <w:r>
        <w:rPr>
          <w:rFonts w:hint="eastAsia" w:ascii="仿宋" w:hAnsi="仿宋" w:eastAsia="仿宋"/>
          <w:sz w:val="32"/>
          <w:szCs w:val="32"/>
        </w:rPr>
        <w:t>。</w:t>
      </w:r>
    </w:p>
    <w:p w14:paraId="286F85D5">
      <w:pPr>
        <w:spacing w:line="560" w:lineRule="exact"/>
        <w:ind w:firstLine="640" w:firstLineChars="200"/>
        <w:rPr>
          <w:rFonts w:ascii="仿宋" w:hAnsi="仿宋" w:eastAsia="仿宋"/>
          <w:sz w:val="32"/>
          <w:szCs w:val="32"/>
        </w:rPr>
      </w:pPr>
      <w:r>
        <w:rPr>
          <w:rFonts w:hint="eastAsia" w:ascii="仿宋" w:hAnsi="仿宋" w:eastAsia="仿宋"/>
          <w:sz w:val="32"/>
          <w:szCs w:val="32"/>
        </w:rPr>
        <w:t>3、积极推进省、市项目申报工作。按照省、市科协工作安排，及时跟进各类项目推荐申报工作，助力罗江产业发展。开展第三十批市级金桥工程验收第三十一批市级金桥工程的培育、申报推荐等工作。</w:t>
      </w:r>
    </w:p>
    <w:p w14:paraId="50E844E2">
      <w:pPr>
        <w:spacing w:line="560" w:lineRule="exact"/>
        <w:ind w:firstLine="640" w:firstLineChars="200"/>
        <w:rPr>
          <w:rFonts w:ascii="仿宋" w:hAnsi="仿宋" w:eastAsia="仿宋"/>
          <w:sz w:val="32"/>
          <w:szCs w:val="32"/>
        </w:rPr>
      </w:pPr>
      <w:r>
        <w:rPr>
          <w:rFonts w:hint="eastAsia" w:ascii="仿宋" w:hAnsi="仿宋" w:eastAsia="仿宋"/>
          <w:sz w:val="32"/>
          <w:szCs w:val="32"/>
        </w:rPr>
        <w:t>4、助力农技协转型升级与发展工作。引导发挥农技协在助力乡村振兴中的引领作用，积极对接市科协科普讲师讲座活动和农民专家科技服务团成员服务活动，为农技开展针对性讲座，促进农技协转型升级。</w:t>
      </w:r>
    </w:p>
    <w:p w14:paraId="71EB5B61">
      <w:pPr>
        <w:spacing w:line="560" w:lineRule="exact"/>
        <w:ind w:firstLine="640" w:firstLineChars="200"/>
        <w:rPr>
          <w:rFonts w:ascii="仿宋" w:hAnsi="仿宋" w:eastAsia="仿宋"/>
          <w:sz w:val="32"/>
          <w:szCs w:val="32"/>
        </w:rPr>
      </w:pPr>
      <w:r>
        <w:rPr>
          <w:rFonts w:hint="eastAsia" w:ascii="仿宋" w:hAnsi="仿宋" w:eastAsia="仿宋"/>
          <w:sz w:val="32"/>
          <w:szCs w:val="32"/>
        </w:rPr>
        <w:t>5、狠抓青少年科技创新教育工作。扎实开展青少年科技创新和科技创新教育发展培训、指导工作。组织罗江区第三届青少年科技创新大赛展评暨区长奖评选活动。</w:t>
      </w:r>
    </w:p>
    <w:p w14:paraId="4C47DF57">
      <w:pPr>
        <w:spacing w:line="560" w:lineRule="exact"/>
        <w:ind w:firstLine="640" w:firstLineChars="200"/>
        <w:rPr>
          <w:rFonts w:ascii="仿宋" w:hAnsi="仿宋" w:eastAsia="仿宋"/>
          <w:sz w:val="32"/>
          <w:szCs w:val="32"/>
        </w:rPr>
      </w:pPr>
      <w:r>
        <w:rPr>
          <w:rFonts w:hint="eastAsia" w:ascii="仿宋" w:hAnsi="仿宋" w:eastAsia="仿宋"/>
          <w:sz w:val="32"/>
          <w:szCs w:val="32"/>
        </w:rPr>
        <w:t>6、认真落实区委区政府安排的其他相关工作。</w:t>
      </w:r>
    </w:p>
    <w:p w14:paraId="3743EF7A">
      <w:pPr>
        <w:spacing w:line="560" w:lineRule="exact"/>
        <w:ind w:firstLine="645"/>
        <w:rPr>
          <w:rFonts w:ascii="仿宋_GB2312" w:hAnsi="仿宋_GB2312" w:eastAsia="仿宋_GB2312"/>
          <w:b/>
          <w:sz w:val="32"/>
          <w:szCs w:val="32"/>
        </w:rPr>
      </w:pPr>
      <w:r>
        <w:rPr>
          <w:rFonts w:hint="eastAsia" w:ascii="仿宋_GB2312" w:hAnsi="仿宋_GB2312" w:eastAsia="仿宋_GB2312"/>
          <w:b/>
          <w:sz w:val="32"/>
          <w:szCs w:val="32"/>
        </w:rPr>
        <w:t>二、部门预算单位构成</w:t>
      </w:r>
    </w:p>
    <w:p w14:paraId="3B698E46">
      <w:pPr>
        <w:spacing w:line="560" w:lineRule="exact"/>
        <w:ind w:firstLine="640" w:firstLineChars="200"/>
        <w:rPr>
          <w:rFonts w:ascii="仿宋" w:hAnsi="仿宋" w:eastAsia="仿宋"/>
          <w:sz w:val="32"/>
          <w:szCs w:val="32"/>
        </w:rPr>
      </w:pPr>
      <w:r>
        <w:rPr>
          <w:rFonts w:hint="eastAsia" w:ascii="仿宋" w:hAnsi="仿宋" w:eastAsia="仿宋"/>
          <w:sz w:val="32"/>
          <w:szCs w:val="32"/>
        </w:rPr>
        <w:t>本单位独立编制机构共1个，其中一级预算单位1个（单位性质为行政），无下属二级预算单位。</w:t>
      </w:r>
    </w:p>
    <w:p w14:paraId="60274F9D">
      <w:pPr>
        <w:pStyle w:val="2"/>
        <w:adjustRightInd w:val="0"/>
        <w:snapToGrid w:val="0"/>
        <w:spacing w:before="93" w:line="560" w:lineRule="exact"/>
        <w:ind w:firstLine="672" w:firstLineChars="210"/>
        <w:rPr>
          <w:rFonts w:ascii="仿宋" w:hAnsi="仿宋" w:eastAsia="仿宋"/>
          <w:sz w:val="32"/>
          <w:szCs w:val="32"/>
        </w:rPr>
      </w:pPr>
      <w:r>
        <w:rPr>
          <w:rFonts w:hint="eastAsia" w:ascii="仿宋" w:hAnsi="仿宋" w:eastAsia="仿宋"/>
          <w:sz w:val="32"/>
          <w:szCs w:val="32"/>
        </w:rPr>
        <w:t>区科协总编制3名，其中行政编制3名，事业编制0名，工勤编制0名。在编在岗人员总数4人，其中：行政人员4人，事业人员0人，工勤人员0人；退休人员4人；临聘人员1人。</w:t>
      </w:r>
    </w:p>
    <w:p w14:paraId="1FB2962B">
      <w:pPr>
        <w:spacing w:line="54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三、收支预算增减变化情况说明</w:t>
      </w:r>
    </w:p>
    <w:p w14:paraId="473D927C">
      <w:pPr>
        <w:spacing w:line="560" w:lineRule="exact"/>
        <w:ind w:firstLine="641"/>
        <w:rPr>
          <w:rFonts w:ascii="仿宋" w:hAnsi="仿宋" w:eastAsia="仿宋"/>
          <w:sz w:val="32"/>
          <w:szCs w:val="32"/>
        </w:rPr>
      </w:pPr>
      <w:r>
        <w:rPr>
          <w:rFonts w:hint="eastAsia" w:ascii="仿宋" w:hAnsi="仿宋" w:eastAsia="仿宋"/>
          <w:sz w:val="32"/>
          <w:szCs w:val="32"/>
        </w:rPr>
        <w:t>按照综合预算的原则，区科协所有收支均全部纳入部门预算管理。收入包括：一般公共预算收入124.78万元，比2022年预算数增加了20.42万元，主要是2023年人员工资晋级晋档变动及工资调资等增加了17.36万元，公用经费及社保基数统一调增等增加了3.06万元等共计20.42万元。项目经费与2022年持平；支出包括：工资福利支出、商品和服务支出、对个人和家庭的补助支出、项目支出。区科协2023年收支总预算124.78万元。</w:t>
      </w:r>
    </w:p>
    <w:p w14:paraId="6A114268">
      <w:pPr>
        <w:spacing w:line="560" w:lineRule="exact"/>
        <w:rPr>
          <w:rFonts w:ascii="仿宋_GB2312" w:hAnsi="仿宋_GB2312" w:eastAsia="仿宋_GB2312"/>
          <w:sz w:val="32"/>
          <w:szCs w:val="32"/>
        </w:rPr>
      </w:pPr>
      <w:r>
        <w:rPr>
          <w:rFonts w:hint="eastAsia" w:ascii="仿宋_GB2312" w:hAnsi="仿宋_GB2312" w:eastAsia="仿宋_GB2312"/>
          <w:sz w:val="32"/>
          <w:szCs w:val="32"/>
        </w:rPr>
        <w:t>　　（一）收入预算情况</w:t>
      </w:r>
    </w:p>
    <w:p w14:paraId="03A2AB2E">
      <w:pPr>
        <w:spacing w:line="540" w:lineRule="exact"/>
        <w:ind w:firstLine="640" w:firstLineChars="200"/>
        <w:rPr>
          <w:rFonts w:ascii="仿宋" w:hAnsi="仿宋" w:eastAsia="仿宋"/>
          <w:sz w:val="32"/>
          <w:szCs w:val="32"/>
        </w:rPr>
      </w:pPr>
      <w:r>
        <w:rPr>
          <w:rFonts w:hint="eastAsia" w:ascii="仿宋_GB2312" w:hAnsi="仿宋_GB2312" w:eastAsia="仿宋_GB2312"/>
          <w:sz w:val="32"/>
          <w:szCs w:val="32"/>
        </w:rPr>
        <w:t xml:space="preserve">   </w:t>
      </w: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23</w:t>
      </w:r>
      <w:r>
        <w:rPr>
          <w:rFonts w:ascii="仿宋" w:hAnsi="仿宋" w:eastAsia="仿宋"/>
          <w:sz w:val="32"/>
          <w:szCs w:val="32"/>
        </w:rPr>
        <w:t>年收入预算</w:t>
      </w:r>
      <w:r>
        <w:rPr>
          <w:rFonts w:hint="eastAsia" w:ascii="仿宋" w:hAnsi="仿宋" w:eastAsia="仿宋"/>
          <w:sz w:val="32"/>
          <w:szCs w:val="32"/>
        </w:rPr>
        <w:t>124.78</w:t>
      </w:r>
      <w:r>
        <w:rPr>
          <w:rFonts w:ascii="仿宋" w:hAnsi="仿宋" w:eastAsia="仿宋"/>
          <w:sz w:val="32"/>
          <w:szCs w:val="32"/>
        </w:rPr>
        <w:t>万元，其中：上年结转</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%；一般公共预算拨款收入</w:t>
      </w:r>
      <w:r>
        <w:rPr>
          <w:rFonts w:hint="eastAsia" w:ascii="仿宋" w:hAnsi="仿宋" w:eastAsia="仿宋"/>
          <w:sz w:val="32"/>
          <w:szCs w:val="32"/>
        </w:rPr>
        <w:t>124.78</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%；事业收入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%；事业单位经营收</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%；其他收入</w:t>
      </w:r>
      <w:r>
        <w:rPr>
          <w:rFonts w:hint="eastAsia" w:ascii="仿宋" w:hAnsi="仿宋" w:eastAsia="仿宋"/>
          <w:sz w:val="32"/>
          <w:szCs w:val="32"/>
        </w:rPr>
        <w:t>0</w:t>
      </w:r>
      <w:r>
        <w:rPr>
          <w:rFonts w:ascii="仿宋" w:hAnsi="仿宋" w:eastAsia="仿宋"/>
          <w:sz w:val="32"/>
          <w:szCs w:val="32"/>
        </w:rPr>
        <w:t>万元，占</w:t>
      </w:r>
      <w:r>
        <w:rPr>
          <w:rFonts w:hint="eastAsia" w:ascii="仿宋" w:hAnsi="仿宋" w:eastAsia="仿宋"/>
          <w:sz w:val="32"/>
          <w:szCs w:val="32"/>
        </w:rPr>
        <w:t>100</w:t>
      </w:r>
      <w:r>
        <w:rPr>
          <w:rFonts w:ascii="仿宋" w:hAnsi="仿宋" w:eastAsia="仿宋"/>
          <w:sz w:val="32"/>
          <w:szCs w:val="32"/>
        </w:rPr>
        <w:t>%。</w:t>
      </w:r>
    </w:p>
    <w:p w14:paraId="6B7134A3">
      <w:pPr>
        <w:spacing w:line="560" w:lineRule="exact"/>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14:paraId="156D3C7F">
      <w:pPr>
        <w:spacing w:line="54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w:t>
      </w:r>
      <w:r>
        <w:rPr>
          <w:rFonts w:ascii="仿宋" w:hAnsi="仿宋" w:eastAsia="仿宋"/>
          <w:sz w:val="32"/>
          <w:szCs w:val="32"/>
        </w:rPr>
        <w:t>年支出预算</w:t>
      </w:r>
      <w:r>
        <w:rPr>
          <w:rFonts w:hint="eastAsia" w:ascii="仿宋" w:hAnsi="仿宋" w:eastAsia="仿宋"/>
          <w:sz w:val="32"/>
          <w:szCs w:val="32"/>
        </w:rPr>
        <w:t>124.78</w:t>
      </w:r>
      <w:r>
        <w:rPr>
          <w:rFonts w:ascii="仿宋" w:hAnsi="仿宋" w:eastAsia="仿宋"/>
          <w:sz w:val="32"/>
          <w:szCs w:val="32"/>
        </w:rPr>
        <w:t>万元，其中：基本支出</w:t>
      </w:r>
      <w:r>
        <w:rPr>
          <w:rFonts w:hint="eastAsia" w:ascii="仿宋" w:hAnsi="仿宋" w:eastAsia="仿宋"/>
          <w:sz w:val="32"/>
          <w:szCs w:val="32"/>
        </w:rPr>
        <w:t>108.78</w:t>
      </w:r>
      <w:r>
        <w:rPr>
          <w:rFonts w:ascii="仿宋" w:hAnsi="仿宋" w:eastAsia="仿宋"/>
          <w:sz w:val="32"/>
          <w:szCs w:val="32"/>
        </w:rPr>
        <w:t>万元，占</w:t>
      </w:r>
      <w:r>
        <w:rPr>
          <w:rFonts w:hint="eastAsia" w:ascii="仿宋" w:hAnsi="仿宋" w:eastAsia="仿宋"/>
          <w:sz w:val="32"/>
          <w:szCs w:val="32"/>
        </w:rPr>
        <w:t>87.18</w:t>
      </w:r>
      <w:r>
        <w:rPr>
          <w:rFonts w:ascii="仿宋" w:hAnsi="仿宋" w:eastAsia="仿宋"/>
          <w:sz w:val="32"/>
          <w:szCs w:val="32"/>
        </w:rPr>
        <w:t>%；项目支出</w:t>
      </w:r>
      <w:r>
        <w:rPr>
          <w:rFonts w:hint="eastAsia" w:ascii="仿宋" w:hAnsi="仿宋" w:eastAsia="仿宋"/>
          <w:sz w:val="32"/>
          <w:szCs w:val="32"/>
        </w:rPr>
        <w:t>16</w:t>
      </w:r>
      <w:r>
        <w:rPr>
          <w:rFonts w:ascii="仿宋" w:hAnsi="仿宋" w:eastAsia="仿宋"/>
          <w:sz w:val="32"/>
          <w:szCs w:val="32"/>
        </w:rPr>
        <w:t>万元，占</w:t>
      </w:r>
      <w:r>
        <w:rPr>
          <w:rFonts w:hint="eastAsia" w:ascii="仿宋" w:hAnsi="仿宋" w:eastAsia="仿宋"/>
          <w:sz w:val="32"/>
          <w:szCs w:val="32"/>
        </w:rPr>
        <w:t>12.82</w:t>
      </w:r>
      <w:r>
        <w:rPr>
          <w:rFonts w:ascii="仿宋" w:hAnsi="仿宋" w:eastAsia="仿宋"/>
          <w:sz w:val="32"/>
          <w:szCs w:val="32"/>
        </w:rPr>
        <w:t>%。</w:t>
      </w:r>
    </w:p>
    <w:p w14:paraId="6EAAE3A7">
      <w:pPr>
        <w:spacing w:line="54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四、财政拨款收支预算情况说明</w:t>
      </w:r>
    </w:p>
    <w:p w14:paraId="4B293ABA">
      <w:pPr>
        <w:spacing w:line="540" w:lineRule="exact"/>
        <w:ind w:firstLine="640" w:firstLineChars="200"/>
        <w:rPr>
          <w:rFonts w:ascii="仿宋" w:hAnsi="仿宋" w:eastAsia="仿宋"/>
          <w:sz w:val="32"/>
          <w:szCs w:val="32"/>
        </w:rPr>
      </w:pPr>
      <w:r>
        <w:rPr>
          <w:rFonts w:hint="eastAsia" w:ascii="仿宋" w:hAnsi="仿宋" w:eastAsia="仿宋"/>
          <w:sz w:val="32"/>
          <w:szCs w:val="32"/>
        </w:rPr>
        <w:t>区科协2023年财政拨款收支总预算124.78万元。比2022年财政拨款收支总预算增加20.42万元，主要是因为人员经费及公用经费有所增加。</w:t>
      </w:r>
    </w:p>
    <w:p w14:paraId="288F65FA">
      <w:pPr>
        <w:spacing w:line="540" w:lineRule="exact"/>
        <w:ind w:firstLine="640" w:firstLineChars="200"/>
        <w:rPr>
          <w:rFonts w:ascii="仿宋" w:hAnsi="仿宋" w:eastAsia="仿宋"/>
          <w:sz w:val="32"/>
          <w:szCs w:val="32"/>
        </w:rPr>
      </w:pPr>
      <w:r>
        <w:rPr>
          <w:rFonts w:ascii="仿宋" w:hAnsi="仿宋" w:eastAsia="仿宋"/>
          <w:sz w:val="32"/>
          <w:szCs w:val="32"/>
        </w:rPr>
        <w:t>收入包括：本年一般公共预算拨款收入</w:t>
      </w:r>
      <w:r>
        <w:rPr>
          <w:rFonts w:hint="eastAsia" w:ascii="仿宋" w:hAnsi="仿宋" w:eastAsia="仿宋"/>
          <w:sz w:val="32"/>
          <w:szCs w:val="32"/>
        </w:rPr>
        <w:t>124.78</w:t>
      </w:r>
      <w:r>
        <w:rPr>
          <w:rFonts w:ascii="仿宋" w:hAnsi="仿宋" w:eastAsia="仿宋"/>
          <w:sz w:val="32"/>
          <w:szCs w:val="32"/>
        </w:rPr>
        <w:t>万元、上年结转一般公共预算拨款收入</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支出包括：科学技术支出92.82万元，社会保障和就业支出21.14万元，卫生健康支出3.68万元，住房保障支出7.14万元。</w:t>
      </w:r>
    </w:p>
    <w:p w14:paraId="7B01918D">
      <w:pPr>
        <w:spacing w:line="54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五、一般公共预算当年拨款情况说明</w:t>
      </w:r>
    </w:p>
    <w:p w14:paraId="2338EEA1">
      <w:pPr>
        <w:spacing w:line="540" w:lineRule="exact"/>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14:paraId="3A9951D6">
      <w:pPr>
        <w:spacing w:line="540" w:lineRule="exact"/>
        <w:rPr>
          <w:rFonts w:ascii="仿宋" w:hAnsi="仿宋" w:eastAsia="仿宋"/>
          <w:sz w:val="32"/>
          <w:szCs w:val="32"/>
        </w:rPr>
      </w:pPr>
      <w:r>
        <w:rPr>
          <w:rFonts w:hint="eastAsia" w:ascii="仿宋" w:hAnsi="仿宋" w:eastAsia="仿宋"/>
          <w:sz w:val="32"/>
          <w:szCs w:val="32"/>
        </w:rPr>
        <w:t>　　区科协2023年一般公共预算当年拨款124.78万元，比2022年预算数增加20.42万元，主要是人员经费及公用经费有所增加。</w:t>
      </w:r>
    </w:p>
    <w:p w14:paraId="41CF246F">
      <w:pPr>
        <w:spacing w:line="540" w:lineRule="exact"/>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14:paraId="1D9AD75C">
      <w:pPr>
        <w:spacing w:line="540" w:lineRule="exact"/>
        <w:ind w:firstLine="645"/>
        <w:rPr>
          <w:rFonts w:ascii="仿宋" w:hAnsi="仿宋" w:eastAsia="仿宋"/>
          <w:sz w:val="32"/>
          <w:szCs w:val="32"/>
        </w:rPr>
      </w:pPr>
      <w:r>
        <w:rPr>
          <w:rFonts w:hint="eastAsia" w:ascii="仿宋" w:hAnsi="仿宋" w:eastAsia="仿宋"/>
          <w:sz w:val="32"/>
          <w:szCs w:val="32"/>
        </w:rPr>
        <w:t>科学技术支出92.82万元，占74.39%；社会保障和就业支出21.14，占16.94%、卫生健康支出3.68万元，占2.95%，住房保障支出7.14万元，占5.72%。</w:t>
      </w:r>
    </w:p>
    <w:p w14:paraId="121354AC">
      <w:pPr>
        <w:spacing w:line="540" w:lineRule="exact"/>
        <w:rPr>
          <w:rFonts w:ascii="仿宋_GB2312" w:hAnsi="仿宋_GB2312" w:eastAsia="仿宋_GB2312"/>
          <w:sz w:val="32"/>
          <w:szCs w:val="32"/>
        </w:rPr>
      </w:pPr>
      <w:r>
        <w:rPr>
          <w:rFonts w:hint="eastAsia" w:ascii="仿宋_GB2312" w:hAnsi="仿宋_GB2312" w:eastAsia="仿宋_GB2312"/>
          <w:sz w:val="32"/>
          <w:szCs w:val="32"/>
        </w:rPr>
        <w:t>　　（三）一般公共预算当年拨款具体使用情况（按功能科目类款项写）</w:t>
      </w:r>
    </w:p>
    <w:p w14:paraId="5C3EFEC1">
      <w:pPr>
        <w:spacing w:line="540" w:lineRule="exact"/>
        <w:ind w:firstLine="643" w:firstLineChars="200"/>
        <w:rPr>
          <w:rFonts w:ascii="仿宋" w:hAnsi="仿宋" w:eastAsia="仿宋"/>
          <w:sz w:val="32"/>
          <w:szCs w:val="32"/>
        </w:rPr>
      </w:pPr>
      <w:r>
        <w:rPr>
          <w:rStyle w:val="7"/>
          <w:rFonts w:hint="eastAsia" w:ascii="仿宋" w:hAnsi="仿宋" w:eastAsia="仿宋"/>
          <w:color w:val="000000"/>
          <w:sz w:val="32"/>
          <w:szCs w:val="32"/>
        </w:rPr>
        <w:t>1.</w:t>
      </w:r>
      <w:r>
        <w:rPr>
          <w:rFonts w:hint="eastAsia" w:ascii="仿宋" w:hAnsi="仿宋" w:eastAsia="仿宋"/>
        </w:rPr>
        <w:t xml:space="preserve"> </w:t>
      </w:r>
      <w:r>
        <w:rPr>
          <w:rStyle w:val="7"/>
          <w:rFonts w:hint="eastAsia" w:ascii="仿宋" w:hAnsi="仿宋" w:eastAsia="仿宋"/>
          <w:color w:val="000000" w:themeColor="text1"/>
          <w:sz w:val="32"/>
          <w:szCs w:val="32"/>
        </w:rPr>
        <w:t>科学技术支出-科学技术普及-机构运行:</w:t>
      </w:r>
      <w:r>
        <w:rPr>
          <w:rFonts w:hint="eastAsia" w:ascii="仿宋" w:hAnsi="仿宋" w:eastAsia="仿宋"/>
          <w:color w:val="000000" w:themeColor="text1"/>
          <w:sz w:val="32"/>
          <w:szCs w:val="32"/>
        </w:rPr>
        <w:t xml:space="preserve"> </w:t>
      </w:r>
      <w:r>
        <w:rPr>
          <w:rFonts w:hint="eastAsia" w:ascii="仿宋" w:hAnsi="仿宋" w:eastAsia="仿宋"/>
          <w:sz w:val="32"/>
          <w:szCs w:val="32"/>
        </w:rPr>
        <w:t>2023年预算数为76.82万元，主要用于人员经费及办公费、劳务费、培训费等公用经费。</w:t>
      </w:r>
    </w:p>
    <w:p w14:paraId="47473994">
      <w:pPr>
        <w:spacing w:line="540" w:lineRule="exact"/>
        <w:ind w:firstLine="643" w:firstLineChars="200"/>
        <w:rPr>
          <w:rFonts w:ascii="仿宋" w:hAnsi="仿宋" w:eastAsia="仿宋"/>
          <w:sz w:val="32"/>
          <w:szCs w:val="32"/>
        </w:rPr>
      </w:pPr>
      <w:r>
        <w:rPr>
          <w:rStyle w:val="7"/>
          <w:rFonts w:hint="eastAsia" w:ascii="仿宋" w:hAnsi="仿宋" w:eastAsia="仿宋"/>
          <w:color w:val="000000"/>
          <w:sz w:val="32"/>
          <w:szCs w:val="32"/>
        </w:rPr>
        <w:t>2.</w:t>
      </w:r>
      <w:r>
        <w:rPr>
          <w:rFonts w:hint="eastAsia" w:ascii="仿宋" w:hAnsi="仿宋" w:eastAsia="仿宋"/>
        </w:rPr>
        <w:t xml:space="preserve"> </w:t>
      </w:r>
      <w:r>
        <w:rPr>
          <w:rStyle w:val="7"/>
          <w:rFonts w:hint="eastAsia" w:ascii="仿宋" w:hAnsi="仿宋" w:eastAsia="仿宋"/>
          <w:color w:val="000000" w:themeColor="text1"/>
          <w:sz w:val="32"/>
          <w:szCs w:val="32"/>
        </w:rPr>
        <w:t>科学技术支出-科学技术普及-</w:t>
      </w:r>
      <w:r>
        <w:rPr>
          <w:rStyle w:val="7"/>
          <w:rFonts w:hint="eastAsia" w:ascii="仿宋" w:hAnsi="仿宋" w:eastAsia="仿宋"/>
          <w:color w:val="000000"/>
          <w:sz w:val="32"/>
          <w:szCs w:val="32"/>
        </w:rPr>
        <w:t>科普活动:</w:t>
      </w:r>
      <w:r>
        <w:rPr>
          <w:rFonts w:hint="eastAsia" w:ascii="仿宋" w:hAnsi="仿宋" w:eastAsia="仿宋"/>
          <w:sz w:val="32"/>
          <w:szCs w:val="32"/>
        </w:rPr>
        <w:t xml:space="preserve"> 2023年预算数为16万元，主要用于科创项目、科普活动、老科协、农技协等项目活动经费。</w:t>
      </w:r>
    </w:p>
    <w:p w14:paraId="4A92E286">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3.</w:t>
      </w:r>
      <w:r>
        <w:rPr>
          <w:rStyle w:val="7"/>
          <w:rFonts w:hint="eastAsia" w:ascii="仿宋" w:hAnsi="仿宋" w:eastAsia="仿宋"/>
          <w:color w:val="000000"/>
          <w:sz w:val="32"/>
          <w:szCs w:val="32"/>
        </w:rPr>
        <w:t>社会保障和就业支出-机关事业单位基本养老保险缴费支出：</w:t>
      </w:r>
      <w:r>
        <w:rPr>
          <w:rFonts w:hint="eastAsia" w:ascii="仿宋" w:hAnsi="仿宋" w:eastAsia="仿宋"/>
          <w:sz w:val="32"/>
          <w:szCs w:val="32"/>
        </w:rPr>
        <w:t>2023年预算数为8.68万元，主要用于科协职工的养老保险缴费。</w:t>
      </w:r>
    </w:p>
    <w:p w14:paraId="7530BB6D">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4.</w:t>
      </w:r>
      <w:r>
        <w:rPr>
          <w:rStyle w:val="7"/>
          <w:rFonts w:hint="eastAsia" w:ascii="仿宋" w:hAnsi="仿宋" w:eastAsia="仿宋"/>
          <w:color w:val="000000"/>
          <w:sz w:val="32"/>
          <w:szCs w:val="32"/>
        </w:rPr>
        <w:t>社会保障和就业支出-机关事业单位职业年金缴费支出：</w:t>
      </w:r>
      <w:r>
        <w:rPr>
          <w:rFonts w:hint="eastAsia" w:ascii="仿宋" w:hAnsi="仿宋" w:eastAsia="仿宋"/>
          <w:sz w:val="32"/>
          <w:szCs w:val="32"/>
        </w:rPr>
        <w:t>2023年预算数为4.34万元，主要用于科协职工的职业年金缴费。</w:t>
      </w:r>
    </w:p>
    <w:p w14:paraId="66A352CE">
      <w:pPr>
        <w:spacing w:line="540" w:lineRule="exact"/>
        <w:ind w:firstLine="643" w:firstLineChars="200"/>
        <w:rPr>
          <w:rFonts w:ascii="仿宋" w:hAnsi="仿宋" w:eastAsia="仿宋"/>
          <w:sz w:val="32"/>
          <w:szCs w:val="32"/>
        </w:rPr>
      </w:pPr>
      <w:r>
        <w:rPr>
          <w:rStyle w:val="7"/>
          <w:rFonts w:hint="eastAsia" w:ascii="仿宋" w:hAnsi="仿宋" w:eastAsia="仿宋"/>
          <w:color w:val="000000"/>
          <w:sz w:val="32"/>
          <w:szCs w:val="32"/>
        </w:rPr>
        <w:t>5.社会保障和就业支出-其他行政事业单位离退休：</w:t>
      </w:r>
      <w:r>
        <w:rPr>
          <w:rFonts w:hint="eastAsia" w:ascii="仿宋" w:hAnsi="仿宋" w:eastAsia="仿宋"/>
          <w:sz w:val="32"/>
          <w:szCs w:val="32"/>
        </w:rPr>
        <w:t>2023年预算数为8万元，主要用于科协退休人员费用。</w:t>
      </w:r>
    </w:p>
    <w:p w14:paraId="3B2F4055">
      <w:pPr>
        <w:spacing w:line="540" w:lineRule="exact"/>
        <w:ind w:firstLine="643" w:firstLineChars="200"/>
        <w:rPr>
          <w:rFonts w:ascii="仿宋_GB2312" w:eastAsia="仿宋_GB2312"/>
          <w:color w:val="000000"/>
          <w:sz w:val="32"/>
          <w:szCs w:val="32"/>
        </w:rPr>
      </w:pPr>
      <w:r>
        <w:rPr>
          <w:rStyle w:val="7"/>
          <w:rFonts w:hint="eastAsia" w:ascii="仿宋" w:hAnsi="仿宋" w:eastAsia="仿宋"/>
          <w:color w:val="000000"/>
          <w:sz w:val="32"/>
          <w:szCs w:val="32"/>
        </w:rPr>
        <w:t>6.</w:t>
      </w:r>
      <w:r>
        <w:rPr>
          <w:rFonts w:hint="eastAsia" w:ascii="仿宋" w:hAnsi="仿宋" w:eastAsia="仿宋"/>
        </w:rPr>
        <w:t xml:space="preserve"> </w:t>
      </w:r>
      <w:r>
        <w:rPr>
          <w:rStyle w:val="7"/>
          <w:rFonts w:hint="eastAsia" w:ascii="仿宋" w:hAnsi="仿宋" w:eastAsia="仿宋"/>
          <w:color w:val="000000"/>
          <w:sz w:val="32"/>
          <w:szCs w:val="32"/>
        </w:rPr>
        <w:t>医疗卫生与计划生育支出-行政单位医疗:</w:t>
      </w:r>
      <w:r>
        <w:rPr>
          <w:rFonts w:hint="eastAsia" w:ascii="仿宋" w:hAnsi="仿宋" w:eastAsia="仿宋"/>
          <w:sz w:val="32"/>
          <w:szCs w:val="32"/>
        </w:rPr>
        <w:t xml:space="preserve"> 2023年预算数为3.68万元，主要用于科协职工医疗保险缴费。</w:t>
      </w:r>
    </w:p>
    <w:p w14:paraId="615060C8">
      <w:pPr>
        <w:spacing w:line="540" w:lineRule="exact"/>
        <w:ind w:firstLine="643" w:firstLineChars="200"/>
        <w:rPr>
          <w:rFonts w:ascii="仿宋_GB2312" w:eastAsia="仿宋_GB2312"/>
          <w:color w:val="000000"/>
          <w:sz w:val="32"/>
          <w:szCs w:val="32"/>
        </w:rPr>
      </w:pPr>
      <w:r>
        <w:rPr>
          <w:rStyle w:val="7"/>
          <w:rFonts w:hint="eastAsia" w:ascii="仿宋" w:hAnsi="仿宋" w:eastAsia="仿宋"/>
          <w:color w:val="000000"/>
          <w:sz w:val="32"/>
          <w:szCs w:val="32"/>
        </w:rPr>
        <w:t>7. 住房保障支出-住房公积金:</w:t>
      </w:r>
      <w:r>
        <w:rPr>
          <w:rFonts w:hint="eastAsia" w:ascii="仿宋" w:hAnsi="仿宋" w:eastAsia="仿宋"/>
          <w:sz w:val="32"/>
          <w:szCs w:val="32"/>
        </w:rPr>
        <w:t xml:space="preserve"> 2023年预算数为7.14万元，主要用于科协职工住房公积金缴费。</w:t>
      </w:r>
    </w:p>
    <w:p w14:paraId="49ADFAEE">
      <w:pPr>
        <w:spacing w:line="540" w:lineRule="exact"/>
        <w:rPr>
          <w:rFonts w:ascii="仿宋_GB2312" w:hAnsi="仿宋_GB2312" w:eastAsia="仿宋_GB2312"/>
          <w:b/>
          <w:sz w:val="32"/>
          <w:szCs w:val="32"/>
        </w:rPr>
      </w:pPr>
      <w:r>
        <w:rPr>
          <w:rFonts w:hint="eastAsia" w:ascii="仿宋_GB2312" w:hAnsi="仿宋_GB2312" w:eastAsia="仿宋_GB2312"/>
          <w:b/>
          <w:sz w:val="32"/>
          <w:szCs w:val="32"/>
        </w:rPr>
        <w:t>　　六、一般公共预算基本支出情况说明</w:t>
      </w:r>
    </w:p>
    <w:p w14:paraId="32A39E82">
      <w:pPr>
        <w:spacing w:line="54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区科协2023年一般公共预算基本支出124.78万元，其中：</w:t>
      </w:r>
    </w:p>
    <w:p w14:paraId="364808B6">
      <w:pPr>
        <w:spacing w:line="540" w:lineRule="exact"/>
        <w:rPr>
          <w:rFonts w:ascii="仿宋" w:hAnsi="仿宋" w:eastAsia="仿宋"/>
          <w:sz w:val="32"/>
          <w:szCs w:val="32"/>
        </w:rPr>
      </w:pPr>
      <w:r>
        <w:rPr>
          <w:rFonts w:hint="eastAsia" w:ascii="仿宋" w:hAnsi="仿宋" w:eastAsia="仿宋"/>
          <w:sz w:val="32"/>
          <w:szCs w:val="32"/>
        </w:rPr>
        <w:t>　　人员经费99.09万元，主要包括：基本工资、津贴补贴、奖金、社会保险缴费、绩效工资、机关事业单位基本养老保险缴费、职业年金缴费、其他工资福利支出。</w:t>
      </w:r>
    </w:p>
    <w:p w14:paraId="26E8953E">
      <w:pPr>
        <w:spacing w:line="540" w:lineRule="exact"/>
        <w:rPr>
          <w:rFonts w:ascii="仿宋" w:hAnsi="仿宋" w:eastAsia="仿宋"/>
          <w:sz w:val="32"/>
          <w:szCs w:val="32"/>
        </w:rPr>
      </w:pPr>
      <w:r>
        <w:rPr>
          <w:rFonts w:hint="eastAsia" w:ascii="仿宋" w:hAnsi="仿宋" w:eastAsia="仿宋"/>
          <w:sz w:val="32"/>
          <w:szCs w:val="32"/>
        </w:rPr>
        <w:t>　　公用经费9.68万元，主要包括：办公费、印刷费、咨询费、手续费、水电费、邮电费、差旅费、维修（护）费、租赁费、会议费、培训费、劳务费、工会经费、福利费、其他交通工具运行维护费、其他商品和服务支出。</w:t>
      </w:r>
    </w:p>
    <w:p w14:paraId="4B1A239E">
      <w:pPr>
        <w:spacing w:line="540" w:lineRule="exact"/>
        <w:ind w:firstLine="482" w:firstLineChars="150"/>
        <w:rPr>
          <w:rFonts w:ascii="仿宋_GB2312" w:hAnsi="仿宋_GB2312" w:eastAsia="仿宋_GB2312"/>
          <w:b/>
          <w:sz w:val="32"/>
          <w:szCs w:val="32"/>
        </w:rPr>
      </w:pPr>
      <w:r>
        <w:rPr>
          <w:rFonts w:hint="eastAsia" w:ascii="仿宋_GB2312" w:hAnsi="仿宋_GB2312" w:eastAsia="仿宋_GB2312"/>
          <w:b/>
          <w:sz w:val="32"/>
          <w:szCs w:val="32"/>
        </w:rPr>
        <w:t>七、“三公”经费财政拨款预算安排情况说明</w:t>
      </w:r>
    </w:p>
    <w:p w14:paraId="5E8F889F">
      <w:pPr>
        <w:spacing w:line="54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区科协2023年“三公”经费财政拨款预算数1万元，其中：因公出国（境）经费0万元，公务接待费1万元，公务用车购置0万元，公务用车运行维护费0万元。</w:t>
      </w:r>
    </w:p>
    <w:p w14:paraId="223481EC">
      <w:pPr>
        <w:spacing w:line="540" w:lineRule="exact"/>
        <w:rPr>
          <w:rFonts w:ascii="仿宋" w:hAnsi="仿宋" w:eastAsia="仿宋"/>
          <w:sz w:val="32"/>
          <w:szCs w:val="32"/>
        </w:rPr>
      </w:pPr>
      <w:r>
        <w:rPr>
          <w:rFonts w:hint="eastAsia" w:ascii="仿宋" w:hAnsi="仿宋" w:eastAsia="仿宋"/>
          <w:sz w:val="32"/>
          <w:szCs w:val="32"/>
        </w:rPr>
        <w:t>　　（一）因公出国（境）经费较2023年预算与2022年预算基本持平。主要原因是未安排出国出境。</w:t>
      </w:r>
    </w:p>
    <w:p w14:paraId="12D794E3">
      <w:pPr>
        <w:spacing w:line="540" w:lineRule="exact"/>
        <w:ind w:firstLine="640" w:firstLineChars="200"/>
        <w:rPr>
          <w:rFonts w:ascii="仿宋" w:hAnsi="仿宋" w:eastAsia="仿宋"/>
          <w:sz w:val="32"/>
          <w:szCs w:val="32"/>
        </w:rPr>
      </w:pPr>
      <w:r>
        <w:rPr>
          <w:rFonts w:hint="eastAsia" w:ascii="仿宋" w:hAnsi="仿宋" w:eastAsia="仿宋"/>
          <w:sz w:val="32"/>
          <w:szCs w:val="32"/>
        </w:rPr>
        <w:t>根据科协安排的出国计划，拟安排出国（境）团组0次，出国（境）0人次。</w:t>
      </w:r>
    </w:p>
    <w:p w14:paraId="314079F6">
      <w:pPr>
        <w:spacing w:line="540" w:lineRule="exact"/>
        <w:ind w:firstLine="640" w:firstLineChars="200"/>
        <w:rPr>
          <w:rFonts w:ascii="仿宋" w:hAnsi="仿宋" w:eastAsia="仿宋"/>
          <w:sz w:val="32"/>
          <w:szCs w:val="32"/>
        </w:rPr>
      </w:pPr>
      <w:r>
        <w:rPr>
          <w:rFonts w:hint="eastAsia" w:ascii="仿宋" w:hAnsi="仿宋" w:eastAsia="仿宋"/>
          <w:sz w:val="32"/>
          <w:szCs w:val="32"/>
        </w:rPr>
        <w:t>（二）公务接待费2023年预算与2022年预算基本持平。</w:t>
      </w:r>
    </w:p>
    <w:p w14:paraId="0C6CEC33">
      <w:pPr>
        <w:spacing w:line="540" w:lineRule="exact"/>
        <w:ind w:firstLine="640" w:firstLineChars="200"/>
        <w:rPr>
          <w:rFonts w:ascii="仿宋" w:hAnsi="仿宋" w:eastAsia="仿宋"/>
          <w:sz w:val="32"/>
          <w:szCs w:val="32"/>
        </w:rPr>
      </w:pPr>
      <w:r>
        <w:rPr>
          <w:rFonts w:hint="eastAsia" w:ascii="仿宋" w:hAnsi="仿宋" w:eastAsia="仿宋"/>
          <w:sz w:val="32"/>
          <w:szCs w:val="32"/>
        </w:rPr>
        <w:t>（三）公务用车购置及运行维护费较2023年预算与2022年预算基本持平。主要原因是没有公务车。</w:t>
      </w:r>
    </w:p>
    <w:p w14:paraId="702D28F9">
      <w:pPr>
        <w:spacing w:line="540" w:lineRule="exact"/>
        <w:rPr>
          <w:rFonts w:ascii="仿宋" w:hAnsi="仿宋" w:eastAsia="仿宋"/>
          <w:sz w:val="32"/>
          <w:szCs w:val="32"/>
        </w:rPr>
      </w:pPr>
      <w:r>
        <w:rPr>
          <w:rFonts w:hint="eastAsia" w:ascii="仿宋" w:hAnsi="仿宋" w:eastAsia="仿宋"/>
          <w:sz w:val="32"/>
          <w:szCs w:val="32"/>
        </w:rPr>
        <w:t>　　单位现有公务用车0辆。其中：轿车0辆。</w:t>
      </w:r>
    </w:p>
    <w:p w14:paraId="46034931">
      <w:pPr>
        <w:spacing w:line="540" w:lineRule="exact"/>
        <w:rPr>
          <w:rFonts w:ascii="仿宋" w:hAnsi="仿宋" w:eastAsia="仿宋"/>
          <w:sz w:val="32"/>
          <w:szCs w:val="32"/>
        </w:rPr>
      </w:pPr>
      <w:r>
        <w:rPr>
          <w:rFonts w:hint="eastAsia" w:ascii="仿宋" w:hAnsi="仿宋" w:eastAsia="仿宋"/>
          <w:sz w:val="32"/>
          <w:szCs w:val="32"/>
        </w:rPr>
        <w:t>　　2023年安排公务用车运行维护费0万元，用于0辆公务用车燃油、维修、保险等方面支出。</w:t>
      </w:r>
    </w:p>
    <w:p w14:paraId="679695A4">
      <w:pPr>
        <w:spacing w:line="540" w:lineRule="exact"/>
        <w:ind w:firstLine="482" w:firstLineChars="150"/>
        <w:rPr>
          <w:rFonts w:ascii="仿宋_GB2312" w:hAnsi="仿宋_GB2312" w:eastAsia="仿宋_GB2312"/>
          <w:b/>
          <w:sz w:val="32"/>
          <w:szCs w:val="32"/>
        </w:rPr>
      </w:pPr>
      <w:r>
        <w:rPr>
          <w:rFonts w:hint="eastAsia" w:ascii="仿宋_GB2312" w:hAnsi="仿宋_GB2312" w:eastAsia="仿宋_GB2312"/>
          <w:b/>
          <w:sz w:val="32"/>
          <w:szCs w:val="32"/>
        </w:rPr>
        <w:t>八、政府性基金预算收支情况说明</w:t>
      </w:r>
    </w:p>
    <w:p w14:paraId="7DBC50F5">
      <w:pPr>
        <w:spacing w:line="540" w:lineRule="exact"/>
        <w:rPr>
          <w:rFonts w:ascii="仿宋" w:hAnsi="仿宋" w:eastAsia="仿宋"/>
          <w:sz w:val="32"/>
          <w:szCs w:val="32"/>
        </w:rPr>
      </w:pPr>
      <w:r>
        <w:rPr>
          <w:rFonts w:hint="eastAsia" w:ascii="仿宋" w:hAnsi="仿宋" w:eastAsia="仿宋"/>
          <w:sz w:val="32"/>
          <w:szCs w:val="32"/>
        </w:rPr>
        <w:t>　  无政府性基金预算收支情况</w:t>
      </w:r>
    </w:p>
    <w:p w14:paraId="6B951549">
      <w:pPr>
        <w:spacing w:line="540" w:lineRule="exact"/>
        <w:ind w:firstLine="645"/>
        <w:rPr>
          <w:rFonts w:ascii="仿宋_GB2312" w:hAnsi="仿宋_GB2312" w:eastAsia="仿宋_GB2312"/>
          <w:b/>
          <w:sz w:val="32"/>
          <w:szCs w:val="32"/>
        </w:rPr>
      </w:pPr>
      <w:r>
        <w:rPr>
          <w:rFonts w:hint="eastAsia" w:ascii="仿宋_GB2312" w:hAnsi="仿宋_GB2312" w:eastAsia="仿宋_GB2312"/>
          <w:b/>
          <w:sz w:val="32"/>
          <w:szCs w:val="32"/>
        </w:rPr>
        <w:t>九、国有资本经营预算支出情况说明</w:t>
      </w:r>
    </w:p>
    <w:p w14:paraId="0FA4A2B1">
      <w:pPr>
        <w:spacing w:line="540" w:lineRule="exact"/>
        <w:ind w:firstLine="566" w:firstLineChars="177"/>
        <w:rPr>
          <w:rFonts w:ascii="仿宋" w:hAnsi="仿宋" w:eastAsia="仿宋"/>
          <w:sz w:val="32"/>
          <w:szCs w:val="32"/>
        </w:rPr>
      </w:pPr>
      <w:r>
        <w:rPr>
          <w:rFonts w:hint="eastAsia" w:ascii="仿宋" w:hAnsi="仿宋" w:eastAsia="仿宋"/>
          <w:sz w:val="32"/>
          <w:szCs w:val="32"/>
        </w:rPr>
        <w:t>科协2023年使用国有资本经营预算拨款安排0万元，其中：基本支出0万元，项目支出0万元。</w:t>
      </w:r>
    </w:p>
    <w:p w14:paraId="36F7C93E">
      <w:pPr>
        <w:spacing w:line="54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十、其他重要事项的情况说明</w:t>
      </w:r>
    </w:p>
    <w:p w14:paraId="4E0DC6EA">
      <w:pPr>
        <w:spacing w:line="540" w:lineRule="exact"/>
        <w:rPr>
          <w:rFonts w:ascii="仿宋_GB2312" w:hAnsi="仿宋_GB2312" w:eastAsia="仿宋_GB2312"/>
          <w:sz w:val="32"/>
          <w:szCs w:val="32"/>
        </w:rPr>
      </w:pPr>
      <w:r>
        <w:rPr>
          <w:rFonts w:hint="eastAsia" w:ascii="仿宋_GB2312" w:hAnsi="仿宋_GB2312" w:eastAsia="仿宋_GB2312"/>
          <w:sz w:val="32"/>
          <w:szCs w:val="32"/>
        </w:rPr>
        <w:t>　　（一）机关运行经费</w:t>
      </w:r>
    </w:p>
    <w:p w14:paraId="4D0413FB">
      <w:pPr>
        <w:spacing w:line="54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2023年，区科协下机关运行经费财政拨款预算为9.68万元，比2022年预算增加0.05万元，增加0.52 %。</w:t>
      </w:r>
    </w:p>
    <w:p w14:paraId="40AD83D7">
      <w:pPr>
        <w:spacing w:line="540" w:lineRule="exact"/>
        <w:rPr>
          <w:rFonts w:ascii="仿宋_GB2312" w:hAnsi="仿宋_GB2312" w:eastAsia="仿宋_GB2312"/>
          <w:sz w:val="32"/>
          <w:szCs w:val="32"/>
        </w:rPr>
      </w:pPr>
      <w:r>
        <w:rPr>
          <w:rFonts w:hint="eastAsia" w:ascii="仿宋_GB2312" w:hAnsi="仿宋_GB2312" w:eastAsia="仿宋_GB2312"/>
          <w:sz w:val="32"/>
          <w:szCs w:val="32"/>
        </w:rPr>
        <w:t>　　（二）政府采购情况</w:t>
      </w:r>
    </w:p>
    <w:p w14:paraId="7E1E05DD">
      <w:pPr>
        <w:spacing w:line="54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sz w:val="32"/>
          <w:szCs w:val="32"/>
        </w:rPr>
        <w:t>2023年，区科协安排政府采购预算0万元。主要是厉行节约，本年度未作政府采购计划。</w:t>
      </w:r>
    </w:p>
    <w:p w14:paraId="39C31136">
      <w:pPr>
        <w:spacing w:line="540" w:lineRule="exact"/>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14:paraId="7E4C43D4">
      <w:pPr>
        <w:spacing w:line="54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截至2023年底，区科协所属各预算单位共有固定资产总额4.31万元，其中公务用车0辆。</w:t>
      </w:r>
    </w:p>
    <w:p w14:paraId="134676A0">
      <w:pPr>
        <w:spacing w:line="540" w:lineRule="exact"/>
        <w:rPr>
          <w:rFonts w:ascii="仿宋" w:hAnsi="仿宋" w:eastAsia="仿宋"/>
          <w:sz w:val="32"/>
          <w:szCs w:val="32"/>
        </w:rPr>
      </w:pPr>
      <w:r>
        <w:rPr>
          <w:rFonts w:hint="eastAsia" w:ascii="仿宋" w:hAnsi="仿宋" w:eastAsia="仿宋"/>
          <w:sz w:val="32"/>
          <w:szCs w:val="32"/>
        </w:rPr>
        <w:t>　　2023年部门预算未安排购置车辆及单位价值200万元以上大型设备。</w:t>
      </w:r>
    </w:p>
    <w:p w14:paraId="370132D3">
      <w:pPr>
        <w:spacing w:line="540" w:lineRule="exact"/>
        <w:rPr>
          <w:rFonts w:ascii="仿宋_GB2312" w:hAnsi="仿宋_GB2312" w:eastAsia="仿宋_GB2312"/>
          <w:sz w:val="32"/>
          <w:szCs w:val="32"/>
        </w:rPr>
      </w:pPr>
      <w:r>
        <w:rPr>
          <w:rFonts w:hint="eastAsia" w:ascii="仿宋_GB2312" w:hAnsi="仿宋_GB2312" w:eastAsia="仿宋_GB2312"/>
          <w:color w:val="0070C0"/>
          <w:sz w:val="32"/>
          <w:szCs w:val="32"/>
        </w:rPr>
        <w:t>　　</w:t>
      </w:r>
      <w:r>
        <w:rPr>
          <w:rFonts w:hint="eastAsia" w:ascii="仿宋_GB2312" w:hAnsi="仿宋_GB2312" w:eastAsia="仿宋_GB2312"/>
          <w:sz w:val="32"/>
          <w:szCs w:val="32"/>
        </w:rPr>
        <w:t>（四）绩效目标设置情况</w:t>
      </w:r>
    </w:p>
    <w:p w14:paraId="7240F768">
      <w:pPr>
        <w:spacing w:line="54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2023年区科协部门通用项目和专用项目均按要求实行绩效目标管理，涉及一般公共预算当年拨款16万元。</w:t>
      </w:r>
    </w:p>
    <w:p w14:paraId="0626031E">
      <w:pPr>
        <w:spacing w:line="540" w:lineRule="exact"/>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十一、名词解释</w:t>
      </w:r>
    </w:p>
    <w:p w14:paraId="53D3ADC4">
      <w:pPr>
        <w:spacing w:line="54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b/>
          <w:sz w:val="32"/>
          <w:szCs w:val="32"/>
        </w:rPr>
        <w:t>（一）一般公共预算拨款收入：</w:t>
      </w:r>
      <w:r>
        <w:rPr>
          <w:rFonts w:hint="eastAsia" w:ascii="仿宋" w:hAnsi="仿宋" w:eastAsia="仿宋"/>
          <w:sz w:val="32"/>
          <w:szCs w:val="32"/>
        </w:rPr>
        <w:t>指区级财政当年拨付的资金。</w:t>
      </w:r>
    </w:p>
    <w:p w14:paraId="1774C650">
      <w:pPr>
        <w:spacing w:line="54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（二）上年结转：</w:t>
      </w:r>
      <w:r>
        <w:rPr>
          <w:rFonts w:hint="eastAsia" w:ascii="仿宋" w:hAnsi="仿宋" w:eastAsia="仿宋"/>
          <w:sz w:val="32"/>
          <w:szCs w:val="32"/>
        </w:rPr>
        <w:t>指以前年度尚未完成、结转到本年仍按原规定用途继续使用的资金。</w:t>
      </w:r>
    </w:p>
    <w:p w14:paraId="63527552">
      <w:pPr>
        <w:spacing w:line="54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（三）基本支出：</w:t>
      </w:r>
      <w:r>
        <w:rPr>
          <w:rFonts w:hint="eastAsia" w:ascii="仿宋" w:hAnsi="仿宋" w:eastAsia="仿宋"/>
          <w:sz w:val="32"/>
          <w:szCs w:val="32"/>
        </w:rPr>
        <w:t>指为保障机构正常运转、完成日常工作任务所必需的人员经费和日常公用经费。</w:t>
      </w:r>
    </w:p>
    <w:p w14:paraId="3F2A1F3F">
      <w:pPr>
        <w:spacing w:line="54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 w:hAnsi="仿宋" w:eastAsia="仿宋"/>
          <w:b/>
          <w:sz w:val="32"/>
          <w:szCs w:val="32"/>
        </w:rPr>
        <w:t>（四）项目支出：</w:t>
      </w:r>
      <w:r>
        <w:rPr>
          <w:rFonts w:hint="eastAsia" w:ascii="仿宋" w:hAnsi="仿宋" w:eastAsia="仿宋"/>
          <w:sz w:val="32"/>
          <w:szCs w:val="32"/>
        </w:rPr>
        <w:t>指在基本支出之外，为完成特定的行政工作任务或事业发展目标所发生的支出。</w:t>
      </w:r>
    </w:p>
    <w:p w14:paraId="443A276F">
      <w:pPr>
        <w:spacing w:line="540" w:lineRule="exact"/>
        <w:ind w:firstLine="645"/>
        <w:rPr>
          <w:rFonts w:ascii="仿宋" w:hAnsi="仿宋" w:eastAsia="仿宋"/>
          <w:sz w:val="32"/>
          <w:szCs w:val="32"/>
        </w:rPr>
      </w:pPr>
      <w:r>
        <w:rPr>
          <w:rFonts w:hint="eastAsia" w:ascii="仿宋" w:hAnsi="仿宋" w:eastAsia="仿宋"/>
          <w:b/>
          <w:sz w:val="32"/>
          <w:szCs w:val="32"/>
        </w:rPr>
        <w:t>（五）“三公”经费：</w:t>
      </w:r>
      <w:r>
        <w:rPr>
          <w:rFonts w:hint="eastAsia" w:ascii="仿宋" w:hAnsi="仿宋" w:eastAsia="仿宋"/>
          <w:sz w:val="32"/>
          <w:szCs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BFC9811">
      <w:pPr>
        <w:shd w:val="clear" w:color="auto" w:fill="FFFFFF"/>
        <w:spacing w:line="540" w:lineRule="exact"/>
        <w:ind w:firstLine="643"/>
        <w:rPr>
          <w:rFonts w:ascii="仿宋" w:hAnsi="仿宋" w:eastAsia="仿宋"/>
          <w:sz w:val="32"/>
          <w:szCs w:val="32"/>
        </w:rPr>
      </w:pPr>
      <w:r>
        <w:rPr>
          <w:rFonts w:hint="eastAsia" w:ascii="仿宋" w:hAnsi="仿宋" w:eastAsia="仿宋"/>
          <w:b/>
          <w:sz w:val="32"/>
          <w:szCs w:val="32"/>
        </w:rPr>
        <w:t>（六）社会保障和就业（类）其他社会保障和就业支出（款）其他社会保障和就业支出（项）:</w:t>
      </w:r>
      <w:r>
        <w:rPr>
          <w:rFonts w:hint="eastAsia" w:ascii="仿宋" w:hAnsi="仿宋" w:eastAsia="仿宋"/>
          <w:sz w:val="32"/>
          <w:szCs w:val="32"/>
        </w:rPr>
        <w:t>反映其他用于社会保障和就业方面的支出。</w:t>
      </w:r>
    </w:p>
    <w:p w14:paraId="21CBB3E4">
      <w:pPr>
        <w:shd w:val="clear" w:color="auto" w:fill="FFFFFF"/>
        <w:spacing w:line="540" w:lineRule="exact"/>
        <w:ind w:firstLine="640"/>
        <w:rPr>
          <w:rFonts w:ascii="仿宋_GB2312" w:hAnsi="仿宋_GB2312" w:eastAsia="仿宋_GB2312"/>
          <w:sz w:val="32"/>
          <w:szCs w:val="32"/>
        </w:rPr>
      </w:pPr>
      <w:r>
        <w:rPr>
          <w:rFonts w:hint="eastAsia" w:ascii="仿宋" w:hAnsi="仿宋" w:eastAsia="仿宋"/>
          <w:b/>
          <w:sz w:val="32"/>
          <w:szCs w:val="32"/>
        </w:rPr>
        <w:t>（七）社会保障和就业（类）行政事业单位离退休（款）机关事业单位基本养老保险缴费支出（项）:</w:t>
      </w:r>
      <w:r>
        <w:rPr>
          <w:rFonts w:hint="eastAsia" w:ascii="仿宋" w:hAnsi="仿宋" w:eastAsia="仿宋"/>
          <w:sz w:val="32"/>
          <w:szCs w:val="32"/>
        </w:rPr>
        <w:t>反映机关事业单位实施养老保险支付由单位缴纳的基本养老保险费支出。</w:t>
      </w:r>
    </w:p>
    <w:p w14:paraId="529D9CA7">
      <w:pPr>
        <w:shd w:val="clear" w:color="auto" w:fill="FFFFFF"/>
        <w:spacing w:line="540" w:lineRule="exact"/>
        <w:ind w:firstLine="640"/>
        <w:rPr>
          <w:rFonts w:ascii="仿宋" w:hAnsi="仿宋" w:eastAsia="仿宋"/>
          <w:sz w:val="32"/>
          <w:szCs w:val="32"/>
        </w:rPr>
      </w:pPr>
      <w:r>
        <w:rPr>
          <w:rFonts w:hint="eastAsia" w:ascii="仿宋" w:hAnsi="仿宋" w:eastAsia="仿宋"/>
          <w:b/>
          <w:sz w:val="32"/>
          <w:szCs w:val="32"/>
        </w:rPr>
        <w:t>（八）社会保障和就业（类）行政事业单位离退休（款）机关事业单位职业年金缴费支出（项）:</w:t>
      </w:r>
      <w:r>
        <w:rPr>
          <w:rFonts w:hint="eastAsia" w:ascii="仿宋" w:hAnsi="仿宋" w:eastAsia="仿宋"/>
          <w:sz w:val="32"/>
          <w:szCs w:val="32"/>
        </w:rPr>
        <w:t>反映机关事业单位实施养老保险制度由单位实际缴纳的职业年金支出。</w:t>
      </w:r>
    </w:p>
    <w:p w14:paraId="6755D69D">
      <w:pPr>
        <w:shd w:val="clear" w:color="auto" w:fill="FFFFFF"/>
        <w:spacing w:line="540" w:lineRule="exact"/>
        <w:ind w:firstLine="640"/>
        <w:rPr>
          <w:rFonts w:ascii="仿宋" w:hAnsi="仿宋" w:eastAsia="仿宋"/>
          <w:sz w:val="32"/>
          <w:szCs w:val="32"/>
        </w:rPr>
      </w:pPr>
      <w:r>
        <w:rPr>
          <w:rFonts w:hint="eastAsia" w:ascii="仿宋" w:hAnsi="仿宋" w:eastAsia="仿宋"/>
          <w:b/>
          <w:sz w:val="32"/>
          <w:szCs w:val="32"/>
        </w:rPr>
        <w:t>（九）医疗卫生与计划生育（类）医疗保障（款）行政单位医疗（项）: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105F4503">
      <w:pPr>
        <w:shd w:val="clear" w:color="auto" w:fill="FFFFFF"/>
        <w:spacing w:line="540" w:lineRule="exact"/>
        <w:ind w:firstLine="640"/>
        <w:rPr>
          <w:rFonts w:ascii="仿宋" w:hAnsi="仿宋" w:eastAsia="仿宋"/>
          <w:sz w:val="32"/>
          <w:szCs w:val="32"/>
        </w:rPr>
      </w:pPr>
      <w:r>
        <w:rPr>
          <w:rFonts w:hint="eastAsia" w:ascii="仿宋" w:hAnsi="仿宋" w:eastAsia="仿宋"/>
          <w:b/>
          <w:sz w:val="32"/>
          <w:szCs w:val="32"/>
        </w:rPr>
        <w:t>（十）医疗卫生与计划生育（类）医疗保障（款）事业单位医疗（项）: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反映财政部门集中安排的事业单位基本医疗保险缴费经费，未参加医疗保险的事业单位的公费医疗经费，按国家规定享受离休人员、红军老战士待遇人员的医疗经费。</w:t>
      </w:r>
    </w:p>
    <w:p w14:paraId="45936E78">
      <w:pPr>
        <w:shd w:val="clear" w:color="auto" w:fill="FFFFFF"/>
        <w:spacing w:line="540" w:lineRule="exact"/>
        <w:ind w:firstLine="640"/>
        <w:rPr>
          <w:rFonts w:ascii="仿宋" w:hAnsi="仿宋" w:eastAsia="仿宋"/>
          <w:sz w:val="32"/>
          <w:szCs w:val="32"/>
        </w:rPr>
      </w:pPr>
      <w:r>
        <w:rPr>
          <w:rFonts w:hint="eastAsia" w:ascii="仿宋" w:hAnsi="仿宋" w:eastAsia="仿宋"/>
          <w:b/>
          <w:sz w:val="32"/>
          <w:szCs w:val="32"/>
        </w:rPr>
        <w:t>（十一）医疗卫生与计划生育（类）行政事业单位医疗（款）其他行政事业单位医疗支出（项）:</w:t>
      </w:r>
      <w:r>
        <w:rPr>
          <w:rFonts w:hint="eastAsia" w:ascii="仿宋" w:hAnsi="仿宋" w:eastAsia="仿宋"/>
          <w:sz w:val="32"/>
          <w:szCs w:val="32"/>
        </w:rPr>
        <w:t>反映其他用于行政事业单位医疗方面的支出。</w:t>
      </w:r>
    </w:p>
    <w:p w14:paraId="15A6F6C9">
      <w:pPr>
        <w:shd w:val="clear" w:color="auto" w:fill="FFFFFF"/>
        <w:spacing w:line="540" w:lineRule="exact"/>
        <w:ind w:firstLine="640"/>
        <w:rPr>
          <w:rFonts w:ascii="仿宋" w:hAnsi="仿宋" w:eastAsia="仿宋"/>
          <w:sz w:val="32"/>
          <w:szCs w:val="32"/>
        </w:rPr>
      </w:pPr>
      <w:r>
        <w:rPr>
          <w:rFonts w:hint="eastAsia" w:ascii="仿宋" w:hAnsi="仿宋" w:eastAsia="仿宋"/>
          <w:b/>
          <w:sz w:val="32"/>
          <w:szCs w:val="32"/>
        </w:rPr>
        <w:t>（十二）住房保障支出（类）住房改革支出（款）住房公积金（项）: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反映行政事业单位按人力资源和社会保障部、财政部规定的基本工资和津贴补贴以及规定比例向职工缴纳住房公积金。</w:t>
      </w:r>
    </w:p>
    <w:p w14:paraId="63BBB80A">
      <w:pPr>
        <w:shd w:val="clear" w:color="auto" w:fill="FFFFFF"/>
        <w:spacing w:line="540" w:lineRule="exact"/>
        <w:ind w:firstLine="640"/>
        <w:rPr>
          <w:rFonts w:ascii="仿宋" w:hAnsi="仿宋" w:eastAsia="仿宋"/>
          <w:sz w:val="32"/>
          <w:szCs w:val="32"/>
        </w:rPr>
      </w:pPr>
      <w:r>
        <w:rPr>
          <w:rFonts w:hint="eastAsia" w:ascii="仿宋" w:hAnsi="仿宋" w:eastAsia="仿宋"/>
          <w:b/>
          <w:sz w:val="32"/>
          <w:szCs w:val="32"/>
        </w:rPr>
        <w:t>（十三）机构运行经费：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EC80D8">
      <w:pPr>
        <w:spacing w:line="540" w:lineRule="exact"/>
        <w:ind w:firstLine="645"/>
        <w:rPr>
          <w:rFonts w:ascii="仿宋_GB2312" w:hAnsi="仿宋_GB2312" w:eastAsia="仿宋_GB2312"/>
          <w:sz w:val="32"/>
          <w:szCs w:val="32"/>
        </w:rPr>
      </w:pPr>
    </w:p>
    <w:p w14:paraId="2D9F10B5">
      <w:pPr>
        <w:spacing w:line="560" w:lineRule="exact"/>
        <w:ind w:firstLine="643" w:firstLineChars="200"/>
        <w:rPr>
          <w:rFonts w:ascii="仿宋" w:hAnsi="仿宋" w:eastAsia="仿宋"/>
          <w:b/>
          <w:sz w:val="32"/>
          <w:szCs w:val="32"/>
        </w:rPr>
      </w:pPr>
      <w:r>
        <w:rPr>
          <w:rFonts w:hint="eastAsia" w:ascii="仿宋" w:hAnsi="仿宋" w:eastAsia="仿宋"/>
          <w:b/>
          <w:sz w:val="32"/>
          <w:szCs w:val="32"/>
        </w:rPr>
        <w:t>附件：</w:t>
      </w:r>
    </w:p>
    <w:p w14:paraId="1DAA416E">
      <w:pPr>
        <w:spacing w:line="560" w:lineRule="exact"/>
        <w:ind w:firstLine="643" w:firstLineChars="200"/>
        <w:rPr>
          <w:rFonts w:ascii="仿宋" w:hAnsi="仿宋" w:eastAsia="仿宋"/>
          <w:b/>
          <w:sz w:val="32"/>
          <w:szCs w:val="32"/>
        </w:rPr>
      </w:pPr>
      <w:r>
        <w:rPr>
          <w:rFonts w:hint="eastAsia" w:ascii="仿宋" w:hAnsi="仿宋" w:eastAsia="仿宋"/>
          <w:b/>
          <w:sz w:val="32"/>
          <w:szCs w:val="32"/>
        </w:rPr>
        <w:t xml:space="preserve">1. 罗江区科协2023年部门预算公开表（见附件目录） </w:t>
      </w:r>
    </w:p>
    <w:p w14:paraId="2050C124">
      <w:pPr>
        <w:spacing w:line="560" w:lineRule="exact"/>
        <w:ind w:firstLine="643" w:firstLineChars="200"/>
        <w:rPr>
          <w:rFonts w:ascii="仿宋" w:hAnsi="仿宋" w:eastAsia="仿宋"/>
          <w:b/>
          <w:sz w:val="32"/>
          <w:szCs w:val="32"/>
        </w:rPr>
      </w:pPr>
      <w:r>
        <w:rPr>
          <w:rFonts w:hint="eastAsia" w:ascii="仿宋" w:hAnsi="仿宋" w:eastAsia="仿宋"/>
          <w:b/>
          <w:sz w:val="32"/>
          <w:szCs w:val="32"/>
        </w:rPr>
        <w:t>2. 部门整体支出绩效目标公开表</w:t>
      </w:r>
    </w:p>
    <w:p w14:paraId="3662B3B6">
      <w:pPr>
        <w:spacing w:line="560" w:lineRule="exact"/>
        <w:ind w:firstLine="643" w:firstLineChars="200"/>
        <w:rPr>
          <w:rFonts w:ascii="仿宋" w:hAnsi="仿宋" w:eastAsia="仿宋"/>
          <w:b/>
          <w:sz w:val="32"/>
          <w:szCs w:val="32"/>
        </w:rPr>
      </w:pPr>
      <w:r>
        <w:rPr>
          <w:rFonts w:hint="eastAsia" w:ascii="仿宋" w:hAnsi="仿宋" w:eastAsia="仿宋"/>
          <w:b/>
          <w:sz w:val="32"/>
          <w:szCs w:val="32"/>
        </w:rPr>
        <w:t>3. 部门预算项目支出绩效目标公开表</w:t>
      </w:r>
    </w:p>
    <w:p w14:paraId="4DD48416">
      <w:pPr>
        <w:spacing w:line="540" w:lineRule="exact"/>
        <w:rPr>
          <w:rFonts w:ascii="仿宋" w:hAnsi="仿宋" w:eastAsia="仿宋"/>
          <w:b/>
        </w:rPr>
      </w:pPr>
    </w:p>
    <w:p w14:paraId="59B36B78">
      <w:pPr>
        <w:spacing w:line="540" w:lineRule="exact"/>
      </w:pPr>
    </w:p>
    <w:p w14:paraId="72C5E1F4">
      <w:pPr>
        <w:spacing w:line="560" w:lineRule="exact"/>
        <w:jc w:val="center"/>
        <w:rPr>
          <w:rFonts w:ascii="黑体" w:hAnsi="黑体" w:eastAsia="黑体" w:cs="黑体"/>
          <w:sz w:val="32"/>
          <w:szCs w:val="32"/>
        </w:rPr>
      </w:pPr>
    </w:p>
    <w:p w14:paraId="0FB17DA9">
      <w:pPr>
        <w:spacing w:line="560" w:lineRule="exact"/>
        <w:jc w:val="center"/>
        <w:rPr>
          <w:rFonts w:ascii="黑体" w:hAnsi="黑体" w:eastAsia="黑体" w:cs="黑体"/>
          <w:b/>
          <w:sz w:val="36"/>
          <w:szCs w:val="36"/>
        </w:rPr>
      </w:pPr>
      <w:r>
        <w:rPr>
          <w:rFonts w:hint="eastAsia" w:ascii="黑体" w:hAnsi="黑体" w:eastAsia="黑体" w:cs="黑体"/>
          <w:b/>
          <w:sz w:val="36"/>
          <w:szCs w:val="36"/>
        </w:rPr>
        <w:t>2023年部门预算公开表目录</w:t>
      </w:r>
    </w:p>
    <w:p w14:paraId="2CE777D9">
      <w:pPr>
        <w:pStyle w:val="14"/>
      </w:pPr>
    </w:p>
    <w:p w14:paraId="1ECA7909">
      <w:pPr>
        <w:numPr>
          <w:ilvl w:val="0"/>
          <w:numId w:val="3"/>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部门收支总表</w:t>
      </w:r>
    </w:p>
    <w:p w14:paraId="1BCBB3D0">
      <w:pPr>
        <w:numPr>
          <w:ilvl w:val="1"/>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部门收入总表</w:t>
      </w:r>
    </w:p>
    <w:p w14:paraId="2B176AF3">
      <w:pPr>
        <w:numPr>
          <w:ilvl w:val="1"/>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部门支出总表</w:t>
      </w:r>
    </w:p>
    <w:p w14:paraId="24C63FD6">
      <w:pPr>
        <w:numPr>
          <w:ilvl w:val="0"/>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财政拨款收支预算总表</w:t>
      </w:r>
    </w:p>
    <w:p w14:paraId="7047188C">
      <w:pPr>
        <w:numPr>
          <w:ilvl w:val="1"/>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财政拨款支出预算表（政府经济分类科目）</w:t>
      </w:r>
    </w:p>
    <w:p w14:paraId="3EC6D187">
      <w:pPr>
        <w:numPr>
          <w:ilvl w:val="0"/>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一般公共预算支出预算表</w:t>
      </w:r>
    </w:p>
    <w:p w14:paraId="3DDE76F5">
      <w:pPr>
        <w:numPr>
          <w:ilvl w:val="1"/>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一般公共预算基本支出预算表</w:t>
      </w:r>
    </w:p>
    <w:p w14:paraId="0464AC4E">
      <w:pPr>
        <w:numPr>
          <w:ilvl w:val="1"/>
          <w:numId w:val="4"/>
        </w:numPr>
        <w:spacing w:line="560" w:lineRule="exact"/>
        <w:ind w:firstLine="643" w:firstLineChars="200"/>
        <w:jc w:val="left"/>
        <w:rPr>
          <w:rFonts w:ascii="仿宋" w:hAnsi="仿宋" w:eastAsia="仿宋"/>
          <w:b/>
          <w:sz w:val="32"/>
          <w:szCs w:val="32"/>
        </w:rPr>
      </w:pPr>
      <w:r>
        <w:rPr>
          <w:rFonts w:ascii="仿宋" w:hAnsi="仿宋" w:eastAsia="仿宋"/>
          <w:b/>
          <w:sz w:val="32"/>
          <w:szCs w:val="32"/>
        </w:rPr>
        <w:t>一般公共预算项目支出预算表</w:t>
      </w:r>
    </w:p>
    <w:p w14:paraId="04C8E986">
      <w:pPr>
        <w:numPr>
          <w:ilvl w:val="1"/>
          <w:numId w:val="4"/>
        </w:numPr>
        <w:spacing w:line="560" w:lineRule="exact"/>
        <w:ind w:firstLine="643" w:firstLineChars="200"/>
        <w:jc w:val="left"/>
        <w:rPr>
          <w:rFonts w:ascii="仿宋" w:hAnsi="仿宋" w:eastAsia="仿宋"/>
          <w:b/>
          <w:sz w:val="32"/>
          <w:szCs w:val="32"/>
        </w:rPr>
      </w:pPr>
      <w:r>
        <w:rPr>
          <w:rFonts w:ascii="仿宋" w:hAnsi="仿宋" w:eastAsia="仿宋"/>
          <w:b/>
          <w:sz w:val="32"/>
          <w:szCs w:val="32"/>
        </w:rPr>
        <w:t>一般公共预算“三公”经费支出预算表</w:t>
      </w:r>
    </w:p>
    <w:p w14:paraId="476E1245">
      <w:pPr>
        <w:numPr>
          <w:ilvl w:val="0"/>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政府性基金支出预算表</w:t>
      </w:r>
    </w:p>
    <w:p w14:paraId="4EFF6F27">
      <w:pPr>
        <w:numPr>
          <w:ilvl w:val="1"/>
          <w:numId w:val="4"/>
        </w:numPr>
        <w:spacing w:line="560" w:lineRule="exact"/>
        <w:ind w:firstLine="643" w:firstLineChars="200"/>
        <w:jc w:val="left"/>
        <w:rPr>
          <w:rFonts w:ascii="仿宋" w:hAnsi="仿宋" w:eastAsia="仿宋"/>
          <w:b/>
          <w:sz w:val="32"/>
          <w:szCs w:val="32"/>
        </w:rPr>
      </w:pPr>
      <w:r>
        <w:rPr>
          <w:rFonts w:ascii="仿宋" w:hAnsi="仿宋" w:eastAsia="仿宋"/>
          <w:b/>
          <w:sz w:val="32"/>
          <w:szCs w:val="32"/>
        </w:rPr>
        <w:t>政府性基金预算“三公”经费支出预算表</w:t>
      </w:r>
    </w:p>
    <w:p w14:paraId="5C08FE43">
      <w:pPr>
        <w:numPr>
          <w:ilvl w:val="0"/>
          <w:numId w:val="4"/>
        </w:numPr>
        <w:spacing w:line="560" w:lineRule="exact"/>
        <w:ind w:firstLine="643" w:firstLineChars="200"/>
        <w:jc w:val="left"/>
        <w:rPr>
          <w:rFonts w:ascii="仿宋" w:hAnsi="仿宋" w:eastAsia="仿宋"/>
          <w:b/>
          <w:sz w:val="32"/>
          <w:szCs w:val="32"/>
        </w:rPr>
      </w:pPr>
      <w:r>
        <w:rPr>
          <w:rFonts w:hint="eastAsia" w:ascii="仿宋" w:hAnsi="仿宋" w:eastAsia="仿宋"/>
          <w:b/>
          <w:sz w:val="32"/>
          <w:szCs w:val="32"/>
        </w:rPr>
        <w:t>国有资本经营预算支出预算表</w:t>
      </w:r>
    </w:p>
    <w:p w14:paraId="20199933">
      <w:pPr>
        <w:numPr>
          <w:ilvl w:val="0"/>
          <w:numId w:val="4"/>
        </w:numPr>
        <w:spacing w:line="560" w:lineRule="exact"/>
        <w:ind w:firstLine="569" w:firstLineChars="177"/>
        <w:jc w:val="left"/>
        <w:rPr>
          <w:rFonts w:ascii="仿宋" w:hAnsi="仿宋" w:eastAsia="仿宋"/>
          <w:b/>
          <w:sz w:val="32"/>
          <w:szCs w:val="32"/>
        </w:rPr>
      </w:pPr>
      <w:r>
        <w:rPr>
          <w:rFonts w:ascii="仿宋" w:hAnsi="仿宋" w:eastAsia="仿宋"/>
          <w:b/>
          <w:sz w:val="32"/>
          <w:szCs w:val="32"/>
        </w:rPr>
        <w:t>202</w:t>
      </w:r>
      <w:r>
        <w:rPr>
          <w:rFonts w:hint="eastAsia" w:ascii="仿宋" w:hAnsi="仿宋" w:eastAsia="仿宋"/>
          <w:b/>
          <w:sz w:val="32"/>
          <w:szCs w:val="32"/>
        </w:rPr>
        <w:t>3</w:t>
      </w:r>
      <w:r>
        <w:rPr>
          <w:rFonts w:ascii="仿宋" w:hAnsi="仿宋" w:eastAsia="仿宋"/>
          <w:b/>
          <w:sz w:val="32"/>
          <w:szCs w:val="32"/>
        </w:rPr>
        <w:t>年部门预算项目绩效目标（部门预算）</w:t>
      </w:r>
    </w:p>
    <w:p w14:paraId="4BA3AA23">
      <w:pPr>
        <w:numPr>
          <w:ilvl w:val="1"/>
          <w:numId w:val="4"/>
        </w:numPr>
        <w:spacing w:line="560" w:lineRule="exact"/>
        <w:ind w:firstLine="569" w:firstLineChars="177"/>
        <w:jc w:val="left"/>
        <w:rPr>
          <w:rFonts w:ascii="仿宋" w:hAnsi="仿宋" w:eastAsia="仿宋"/>
          <w:b/>
          <w:sz w:val="32"/>
          <w:szCs w:val="32"/>
        </w:rPr>
      </w:pPr>
      <w:r>
        <w:rPr>
          <w:rFonts w:hint="eastAsia" w:ascii="仿宋" w:hAnsi="仿宋" w:eastAsia="仿宋"/>
          <w:b/>
          <w:sz w:val="32"/>
          <w:szCs w:val="32"/>
        </w:rPr>
        <w:t>政府预算基本支出表</w:t>
      </w:r>
    </w:p>
    <w:p w14:paraId="00FBE4A2">
      <w:pPr>
        <w:numPr>
          <w:ilvl w:val="1"/>
          <w:numId w:val="4"/>
        </w:numPr>
        <w:spacing w:line="560" w:lineRule="exact"/>
        <w:ind w:firstLine="569" w:firstLineChars="177"/>
        <w:jc w:val="left"/>
        <w:rPr>
          <w:rFonts w:ascii="仿宋" w:hAnsi="仿宋" w:eastAsia="仿宋"/>
          <w:b/>
          <w:sz w:val="32"/>
          <w:szCs w:val="32"/>
        </w:rPr>
      </w:pPr>
      <w:r>
        <w:rPr>
          <w:rFonts w:ascii="仿宋" w:hAnsi="仿宋" w:eastAsia="仿宋"/>
          <w:b/>
          <w:sz w:val="32"/>
          <w:szCs w:val="32"/>
        </w:rPr>
        <w:t>政府预算项目支出表</w:t>
      </w:r>
    </w:p>
    <w:p w14:paraId="62EC2C3A">
      <w:pPr>
        <w:widowControl/>
        <w:jc w:val="center"/>
        <w:rPr>
          <w:rFonts w:ascii="黑体" w:hAnsi="黑体" w:eastAsia="黑体" w:cstheme="minorBidi"/>
          <w:sz w:val="28"/>
          <w:szCs w:val="28"/>
        </w:rPr>
      </w:pPr>
    </w:p>
    <w:p w14:paraId="711DC49D">
      <w:pPr>
        <w:ind w:firstLine="412" w:firstLineChars="100"/>
        <w:jc w:val="center"/>
        <w:rPr>
          <w:rStyle w:val="8"/>
          <w:rFonts w:hint="eastAsia" w:ascii="ˎ̥" w:hAnsi="ˎ̥"/>
          <w:b/>
          <w:bCs/>
          <w:color w:val="000000"/>
          <w:sz w:val="41"/>
          <w:szCs w:val="41"/>
        </w:rPr>
      </w:pPr>
    </w:p>
    <w:p w14:paraId="16941092">
      <w:pPr>
        <w:ind w:firstLine="412" w:firstLineChars="100"/>
        <w:jc w:val="center"/>
        <w:rPr>
          <w:rStyle w:val="8"/>
          <w:rFonts w:hint="eastAsia" w:ascii="ˎ̥" w:hAnsi="ˎ̥"/>
          <w:b/>
          <w:bCs/>
          <w:color w:val="000000"/>
          <w:sz w:val="41"/>
          <w:szCs w:val="41"/>
        </w:rPr>
      </w:pPr>
    </w:p>
    <w:p w14:paraId="7FE5E22E">
      <w:pPr>
        <w:spacing w:line="540" w:lineRule="exact"/>
      </w:pPr>
    </w:p>
    <w:p w14:paraId="091B2C5C">
      <w:pPr>
        <w:spacing w:line="540" w:lineRule="exact"/>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3C6C">
    <w:pPr>
      <w:pStyle w:val="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DE81F5A"/>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C7127">
    <w:pPr>
      <w:pStyle w:val="3"/>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A669FB5">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B6E26"/>
    <w:multiLevelType w:val="multilevel"/>
    <w:tmpl w:val="0A6B6E26"/>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43F876D8"/>
    <w:multiLevelType w:val="singleLevel"/>
    <w:tmpl w:val="43F876D8"/>
    <w:lvl w:ilvl="0" w:tentative="0">
      <w:start w:val="1"/>
      <w:numFmt w:val="decimal"/>
      <w:suff w:val="nothing"/>
      <w:lvlText w:val="%1、"/>
      <w:lvlJc w:val="left"/>
      <w:rPr>
        <w:rFonts w:ascii="楷体_GB2312" w:hAnsi="楷体_GB2312" w:eastAsia="楷体_GB2312" w:cs="楷体_GB2312"/>
        <w:color w:val="auto"/>
      </w:rPr>
    </w:lvl>
  </w:abstractNum>
  <w:abstractNum w:abstractNumId="3">
    <w:nsid w:val="44197BEA"/>
    <w:multiLevelType w:val="singleLevel"/>
    <w:tmpl w:val="44197BEA"/>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4A63"/>
    <w:rsid w:val="0001797E"/>
    <w:rsid w:val="0002464B"/>
    <w:rsid w:val="000332B9"/>
    <w:rsid w:val="000456DC"/>
    <w:rsid w:val="00045B92"/>
    <w:rsid w:val="0009401F"/>
    <w:rsid w:val="00096360"/>
    <w:rsid w:val="000A2E34"/>
    <w:rsid w:val="000B392A"/>
    <w:rsid w:val="000B716B"/>
    <w:rsid w:val="000B7786"/>
    <w:rsid w:val="000C160D"/>
    <w:rsid w:val="000E4E13"/>
    <w:rsid w:val="000E7281"/>
    <w:rsid w:val="000F416F"/>
    <w:rsid w:val="000F500E"/>
    <w:rsid w:val="00107748"/>
    <w:rsid w:val="00107AF7"/>
    <w:rsid w:val="00110A59"/>
    <w:rsid w:val="00140364"/>
    <w:rsid w:val="00142C25"/>
    <w:rsid w:val="00145BC4"/>
    <w:rsid w:val="00145F87"/>
    <w:rsid w:val="00162CB0"/>
    <w:rsid w:val="00183422"/>
    <w:rsid w:val="00185C9D"/>
    <w:rsid w:val="001A5E61"/>
    <w:rsid w:val="001E2778"/>
    <w:rsid w:val="001F59C4"/>
    <w:rsid w:val="00202A4E"/>
    <w:rsid w:val="00232ADE"/>
    <w:rsid w:val="0024323B"/>
    <w:rsid w:val="00245794"/>
    <w:rsid w:val="002912FE"/>
    <w:rsid w:val="002926FE"/>
    <w:rsid w:val="002B266F"/>
    <w:rsid w:val="002B7F14"/>
    <w:rsid w:val="002D17ED"/>
    <w:rsid w:val="002D38FD"/>
    <w:rsid w:val="002E0A67"/>
    <w:rsid w:val="002F17D2"/>
    <w:rsid w:val="002F6687"/>
    <w:rsid w:val="00301D7E"/>
    <w:rsid w:val="00312354"/>
    <w:rsid w:val="00325291"/>
    <w:rsid w:val="00325A17"/>
    <w:rsid w:val="00333843"/>
    <w:rsid w:val="00336B03"/>
    <w:rsid w:val="003558AC"/>
    <w:rsid w:val="00363AC0"/>
    <w:rsid w:val="003726AB"/>
    <w:rsid w:val="00380368"/>
    <w:rsid w:val="00382FE6"/>
    <w:rsid w:val="0039365C"/>
    <w:rsid w:val="003959C9"/>
    <w:rsid w:val="003B021E"/>
    <w:rsid w:val="003B5626"/>
    <w:rsid w:val="003C7D06"/>
    <w:rsid w:val="003D6BCC"/>
    <w:rsid w:val="00414757"/>
    <w:rsid w:val="00424BC8"/>
    <w:rsid w:val="00431D0B"/>
    <w:rsid w:val="004705E2"/>
    <w:rsid w:val="00486106"/>
    <w:rsid w:val="00496583"/>
    <w:rsid w:val="004A7A0B"/>
    <w:rsid w:val="004B52FA"/>
    <w:rsid w:val="004C4D5E"/>
    <w:rsid w:val="004D53A9"/>
    <w:rsid w:val="004D6D26"/>
    <w:rsid w:val="004D7716"/>
    <w:rsid w:val="004E4A63"/>
    <w:rsid w:val="004F1E8C"/>
    <w:rsid w:val="00504316"/>
    <w:rsid w:val="00506C5E"/>
    <w:rsid w:val="0051133A"/>
    <w:rsid w:val="00522BF6"/>
    <w:rsid w:val="0052352B"/>
    <w:rsid w:val="005259C6"/>
    <w:rsid w:val="005275D4"/>
    <w:rsid w:val="00533649"/>
    <w:rsid w:val="00550C45"/>
    <w:rsid w:val="00552EF7"/>
    <w:rsid w:val="00553968"/>
    <w:rsid w:val="00562665"/>
    <w:rsid w:val="00563314"/>
    <w:rsid w:val="00567259"/>
    <w:rsid w:val="00597632"/>
    <w:rsid w:val="005A0F05"/>
    <w:rsid w:val="005B45A6"/>
    <w:rsid w:val="005B78D3"/>
    <w:rsid w:val="005C456F"/>
    <w:rsid w:val="005E5300"/>
    <w:rsid w:val="00603D03"/>
    <w:rsid w:val="006108E3"/>
    <w:rsid w:val="00621072"/>
    <w:rsid w:val="00621BAC"/>
    <w:rsid w:val="00640CC1"/>
    <w:rsid w:val="0064720A"/>
    <w:rsid w:val="00674D31"/>
    <w:rsid w:val="00691266"/>
    <w:rsid w:val="006958C4"/>
    <w:rsid w:val="006E2E61"/>
    <w:rsid w:val="006F1A3B"/>
    <w:rsid w:val="006F2DFB"/>
    <w:rsid w:val="006F4CB6"/>
    <w:rsid w:val="00715FBE"/>
    <w:rsid w:val="007225E2"/>
    <w:rsid w:val="00722885"/>
    <w:rsid w:val="007365C4"/>
    <w:rsid w:val="00745FEA"/>
    <w:rsid w:val="007607B4"/>
    <w:rsid w:val="00783115"/>
    <w:rsid w:val="00792473"/>
    <w:rsid w:val="007A4645"/>
    <w:rsid w:val="007C0BB5"/>
    <w:rsid w:val="007E345F"/>
    <w:rsid w:val="0080120E"/>
    <w:rsid w:val="008364B3"/>
    <w:rsid w:val="00837CD8"/>
    <w:rsid w:val="00846F0A"/>
    <w:rsid w:val="00870C1F"/>
    <w:rsid w:val="008A2801"/>
    <w:rsid w:val="008A538F"/>
    <w:rsid w:val="008B1E02"/>
    <w:rsid w:val="008F6F65"/>
    <w:rsid w:val="008F70DC"/>
    <w:rsid w:val="009049CB"/>
    <w:rsid w:val="00914ED4"/>
    <w:rsid w:val="0092624D"/>
    <w:rsid w:val="00933755"/>
    <w:rsid w:val="009439CE"/>
    <w:rsid w:val="00957862"/>
    <w:rsid w:val="0098576C"/>
    <w:rsid w:val="00985AC8"/>
    <w:rsid w:val="009A00FA"/>
    <w:rsid w:val="009A6CB0"/>
    <w:rsid w:val="009B48E0"/>
    <w:rsid w:val="009B76D5"/>
    <w:rsid w:val="009D554C"/>
    <w:rsid w:val="009D7684"/>
    <w:rsid w:val="00A0001C"/>
    <w:rsid w:val="00A04AF2"/>
    <w:rsid w:val="00A05276"/>
    <w:rsid w:val="00A107BA"/>
    <w:rsid w:val="00A13682"/>
    <w:rsid w:val="00A35376"/>
    <w:rsid w:val="00A35F1B"/>
    <w:rsid w:val="00A40DF8"/>
    <w:rsid w:val="00A42783"/>
    <w:rsid w:val="00A46B69"/>
    <w:rsid w:val="00A472AA"/>
    <w:rsid w:val="00A5551E"/>
    <w:rsid w:val="00A60A56"/>
    <w:rsid w:val="00AA0482"/>
    <w:rsid w:val="00AC00BF"/>
    <w:rsid w:val="00AE473D"/>
    <w:rsid w:val="00AF5DAC"/>
    <w:rsid w:val="00B10247"/>
    <w:rsid w:val="00B102B3"/>
    <w:rsid w:val="00B161EF"/>
    <w:rsid w:val="00B31AC0"/>
    <w:rsid w:val="00B32882"/>
    <w:rsid w:val="00B34EE9"/>
    <w:rsid w:val="00B376D6"/>
    <w:rsid w:val="00B4107D"/>
    <w:rsid w:val="00B511F6"/>
    <w:rsid w:val="00B543D8"/>
    <w:rsid w:val="00B54A6F"/>
    <w:rsid w:val="00B61D6E"/>
    <w:rsid w:val="00B6622E"/>
    <w:rsid w:val="00B667FF"/>
    <w:rsid w:val="00B712EF"/>
    <w:rsid w:val="00B74FE8"/>
    <w:rsid w:val="00B8017A"/>
    <w:rsid w:val="00B900FA"/>
    <w:rsid w:val="00BA3CC6"/>
    <w:rsid w:val="00BA485C"/>
    <w:rsid w:val="00BB2031"/>
    <w:rsid w:val="00BB3812"/>
    <w:rsid w:val="00BD5D28"/>
    <w:rsid w:val="00BD7C8D"/>
    <w:rsid w:val="00BF7F1A"/>
    <w:rsid w:val="00C06799"/>
    <w:rsid w:val="00C067C1"/>
    <w:rsid w:val="00C07888"/>
    <w:rsid w:val="00C12E51"/>
    <w:rsid w:val="00C320F6"/>
    <w:rsid w:val="00C71ADD"/>
    <w:rsid w:val="00C817A8"/>
    <w:rsid w:val="00C96FDA"/>
    <w:rsid w:val="00CA6FA7"/>
    <w:rsid w:val="00CC3B2A"/>
    <w:rsid w:val="00CC70A9"/>
    <w:rsid w:val="00CE3313"/>
    <w:rsid w:val="00CF55FB"/>
    <w:rsid w:val="00CF7F84"/>
    <w:rsid w:val="00D04473"/>
    <w:rsid w:val="00D14665"/>
    <w:rsid w:val="00D16713"/>
    <w:rsid w:val="00D50F62"/>
    <w:rsid w:val="00D576C0"/>
    <w:rsid w:val="00D77F8E"/>
    <w:rsid w:val="00D90FF4"/>
    <w:rsid w:val="00DB1735"/>
    <w:rsid w:val="00DC34F5"/>
    <w:rsid w:val="00DD62CD"/>
    <w:rsid w:val="00DE3856"/>
    <w:rsid w:val="00DF1243"/>
    <w:rsid w:val="00E10C2D"/>
    <w:rsid w:val="00E132C9"/>
    <w:rsid w:val="00E169FC"/>
    <w:rsid w:val="00E977B6"/>
    <w:rsid w:val="00EB36FE"/>
    <w:rsid w:val="00ED5C89"/>
    <w:rsid w:val="00EE23D3"/>
    <w:rsid w:val="00F000F9"/>
    <w:rsid w:val="00F20141"/>
    <w:rsid w:val="00F473EF"/>
    <w:rsid w:val="00F82785"/>
    <w:rsid w:val="00FD2791"/>
    <w:rsid w:val="00FD2F29"/>
    <w:rsid w:val="01931A7A"/>
    <w:rsid w:val="02964E10"/>
    <w:rsid w:val="04F24718"/>
    <w:rsid w:val="05D17E3D"/>
    <w:rsid w:val="08F86B1F"/>
    <w:rsid w:val="0B3317CD"/>
    <w:rsid w:val="0CBC3A4D"/>
    <w:rsid w:val="0E4A44F6"/>
    <w:rsid w:val="0FEF3091"/>
    <w:rsid w:val="102751B9"/>
    <w:rsid w:val="13522181"/>
    <w:rsid w:val="139C732D"/>
    <w:rsid w:val="16632821"/>
    <w:rsid w:val="177443E1"/>
    <w:rsid w:val="18C0569A"/>
    <w:rsid w:val="1A126BA5"/>
    <w:rsid w:val="1A8B57AF"/>
    <w:rsid w:val="1CD73FEB"/>
    <w:rsid w:val="1E671D39"/>
    <w:rsid w:val="1FCE268A"/>
    <w:rsid w:val="272C65E4"/>
    <w:rsid w:val="27392FFB"/>
    <w:rsid w:val="27665AE0"/>
    <w:rsid w:val="27F45F34"/>
    <w:rsid w:val="29C634DB"/>
    <w:rsid w:val="2AF01D5C"/>
    <w:rsid w:val="2C2977BD"/>
    <w:rsid w:val="2CBD72B2"/>
    <w:rsid w:val="2D852A7C"/>
    <w:rsid w:val="2DA03008"/>
    <w:rsid w:val="2E822D79"/>
    <w:rsid w:val="2FA66CD5"/>
    <w:rsid w:val="31D31FAF"/>
    <w:rsid w:val="33322907"/>
    <w:rsid w:val="3A1419BC"/>
    <w:rsid w:val="3B2E716D"/>
    <w:rsid w:val="3DDE5B6B"/>
    <w:rsid w:val="3E006951"/>
    <w:rsid w:val="3E9258B0"/>
    <w:rsid w:val="3EBB5721"/>
    <w:rsid w:val="3F63335F"/>
    <w:rsid w:val="405655A4"/>
    <w:rsid w:val="407D54F4"/>
    <w:rsid w:val="42991D01"/>
    <w:rsid w:val="44703228"/>
    <w:rsid w:val="44E1584B"/>
    <w:rsid w:val="450F0328"/>
    <w:rsid w:val="456C7D60"/>
    <w:rsid w:val="45C8265F"/>
    <w:rsid w:val="4AE20DC4"/>
    <w:rsid w:val="4AF26BFF"/>
    <w:rsid w:val="4C9D4CE3"/>
    <w:rsid w:val="4E311390"/>
    <w:rsid w:val="5020457D"/>
    <w:rsid w:val="51E01673"/>
    <w:rsid w:val="542B792A"/>
    <w:rsid w:val="54A24134"/>
    <w:rsid w:val="55586ED4"/>
    <w:rsid w:val="55830BDE"/>
    <w:rsid w:val="570C3D4E"/>
    <w:rsid w:val="5A7C782C"/>
    <w:rsid w:val="5ADB18B3"/>
    <w:rsid w:val="5D3E50CC"/>
    <w:rsid w:val="5F5A7A74"/>
    <w:rsid w:val="60312ACE"/>
    <w:rsid w:val="607626F7"/>
    <w:rsid w:val="6094681F"/>
    <w:rsid w:val="614C6A47"/>
    <w:rsid w:val="622F6BEA"/>
    <w:rsid w:val="62CA754C"/>
    <w:rsid w:val="631577BF"/>
    <w:rsid w:val="636E22C5"/>
    <w:rsid w:val="64CB51E9"/>
    <w:rsid w:val="64EF1AB6"/>
    <w:rsid w:val="65475206"/>
    <w:rsid w:val="65543B3B"/>
    <w:rsid w:val="667E0D3E"/>
    <w:rsid w:val="66DA2F7E"/>
    <w:rsid w:val="670646D3"/>
    <w:rsid w:val="676B4BF4"/>
    <w:rsid w:val="6ABA10B8"/>
    <w:rsid w:val="6C486000"/>
    <w:rsid w:val="6CD9556E"/>
    <w:rsid w:val="6F9D54EF"/>
    <w:rsid w:val="6FDF5568"/>
    <w:rsid w:val="710C1C35"/>
    <w:rsid w:val="72514E94"/>
    <w:rsid w:val="74495541"/>
    <w:rsid w:val="74855128"/>
    <w:rsid w:val="75485793"/>
    <w:rsid w:val="757E1C20"/>
    <w:rsid w:val="75EF505F"/>
    <w:rsid w:val="77103EEA"/>
    <w:rsid w:val="77210C15"/>
    <w:rsid w:val="78906189"/>
    <w:rsid w:val="7A025C39"/>
    <w:rsid w:val="7B3570A6"/>
    <w:rsid w:val="7BB61945"/>
    <w:rsid w:val="7C797C68"/>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beforeLines="30"/>
    </w:pPr>
    <w:rPr>
      <w:rFonts w:ascii="仿宋_GB2312" w:eastAsia="仿宋_GB2312"/>
      <w:sz w:val="30"/>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Emphasis"/>
    <w:basedOn w:val="6"/>
    <w:qFormat/>
    <w:uiPriority w:val="20"/>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rFonts w:ascii="宋体" w:hAnsi="Times New Roman" w:eastAsia="宋体" w:cs="Times New Roman"/>
      <w:sz w:val="18"/>
      <w:szCs w:val="18"/>
    </w:rPr>
  </w:style>
  <w:style w:type="character" w:customStyle="1" w:styleId="11">
    <w:name w:val="页脚 Char"/>
    <w:basedOn w:val="6"/>
    <w:link w:val="3"/>
    <w:qFormat/>
    <w:uiPriority w:val="0"/>
    <w:rPr>
      <w:rFonts w:ascii="宋体" w:hAnsi="Times New Roman" w:eastAsia="宋体" w:cs="Times New Roman"/>
      <w:sz w:val="18"/>
      <w:szCs w:val="18"/>
    </w:rPr>
  </w:style>
  <w:style w:type="character" w:customStyle="1" w:styleId="12">
    <w:name w:val="正文文本 Char"/>
    <w:basedOn w:val="6"/>
    <w:link w:val="2"/>
    <w:qFormat/>
    <w:uiPriority w:val="0"/>
    <w:rPr>
      <w:rFonts w:ascii="仿宋_GB2312" w:hAnsi="Times New Roman" w:eastAsia="仿宋_GB2312" w:cs="Times New Roman"/>
      <w:kern w:val="2"/>
      <w:sz w:val="30"/>
      <w:szCs w:val="24"/>
    </w:rPr>
  </w:style>
  <w:style w:type="character" w:customStyle="1" w:styleId="13">
    <w:name w:val="NormalCharacter"/>
    <w:qFormat/>
    <w:uiPriority w:val="0"/>
  </w:style>
  <w:style w:type="paragraph" w:customStyle="1" w:styleId="14">
    <w:name w:val="正文2"/>
    <w:basedOn w:val="1"/>
    <w:next w:val="1"/>
    <w:qFormat/>
    <w:uiPriority w:val="0"/>
    <w:rPr>
      <w:rFonts w:asciiTheme="minorHAnsi" w:hAnsiTheme="minorHAnsi" w:eastAsiaTheme="minorEastAsia" w:cstheme="minorBidi"/>
      <w:sz w:val="21"/>
      <w:szCs w:val="22"/>
    </w:rPr>
  </w:style>
  <w:style w:type="paragraph" w:customStyle="1" w:styleId="15">
    <w:name w:val="WPSOffice手动目录 1"/>
    <w:uiPriority w:val="0"/>
    <w:rPr>
      <w:rFonts w:ascii="Calibri" w:hAnsi="Calibri" w:eastAsia="宋体" w:cs="Times New Roman"/>
      <w:lang w:val="en-US" w:eastAsia="zh-CN" w:bidi="ar-SA"/>
    </w:rPr>
  </w:style>
  <w:style w:type="paragraph" w:customStyle="1" w:styleId="16">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5442</Words>
  <Characters>5756</Characters>
  <Lines>46</Lines>
  <Paragraphs>13</Paragraphs>
  <TotalTime>684</TotalTime>
  <ScaleCrop>false</ScaleCrop>
  <LinksUpToDate>false</LinksUpToDate>
  <CharactersWithSpaces>5861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cp:lastPrinted>2022-06-10T01:33:00Z</cp:lastPrinted>
  <dcterms:modified xsi:type="dcterms:W3CDTF">2025-01-06T10:40:41Z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eyJoZGlkIjoiYzE1N2NjNWY5MjYyYTQzZmU5MmQ0MWEwYTQ5MWQ3ZDEifQ==</vt:lpwstr>
  </property>
  <property fmtid="{D5CDD505-2E9C-101B-9397-08002B2CF9AE}" pid="4" name="ICV">
    <vt:lpwstr>8913D5791D524311BD64A5339970C63F_12</vt:lpwstr>
  </property>
</Properties>
</file>