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04366">
      <w:pPr>
        <w:spacing w:line="600" w:lineRule="exact"/>
        <w:jc w:val="center"/>
        <w:outlineLvl w:val="0"/>
        <w:rPr>
          <w:rFonts w:ascii="方正小标宋简体" w:hAnsi="宋体" w:eastAsia="方正小标宋简体"/>
          <w:color w:val="000000"/>
          <w:sz w:val="72"/>
          <w:szCs w:val="72"/>
        </w:rPr>
      </w:pPr>
      <w:bookmarkStart w:id="0" w:name="_Toc15306267"/>
    </w:p>
    <w:p w14:paraId="5A2CE0D7">
      <w:pPr>
        <w:spacing w:line="600" w:lineRule="exact"/>
        <w:jc w:val="center"/>
        <w:outlineLvl w:val="0"/>
        <w:rPr>
          <w:rFonts w:ascii="方正小标宋简体" w:hAnsi="宋体" w:eastAsia="方正小标宋简体"/>
          <w:color w:val="000000"/>
          <w:sz w:val="72"/>
          <w:szCs w:val="72"/>
        </w:rPr>
      </w:pPr>
    </w:p>
    <w:p w14:paraId="6C43CBDF">
      <w:pPr>
        <w:spacing w:line="600" w:lineRule="exact"/>
        <w:jc w:val="center"/>
        <w:outlineLvl w:val="0"/>
        <w:rPr>
          <w:rFonts w:ascii="方正小标宋简体" w:hAnsi="宋体" w:eastAsia="方正小标宋简体"/>
          <w:color w:val="000000"/>
          <w:sz w:val="72"/>
          <w:szCs w:val="72"/>
        </w:rPr>
      </w:pPr>
    </w:p>
    <w:p w14:paraId="2536851C">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96597"/>
      <w:bookmarkStart w:id="4" w:name="_Toc15377425"/>
      <w:bookmarkStart w:id="5" w:name="_Toc15377193"/>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14:paraId="3DB8634B">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77426"/>
      <w:bookmarkStart w:id="9" w:name="_Toc15396476"/>
      <w:bookmarkStart w:id="10" w:name="_Toc15377194"/>
      <w:r>
        <w:rPr>
          <w:rFonts w:hint="eastAsia" w:ascii="方正小标宋简体" w:hAnsi="宋体" w:eastAsia="方正小标宋简体"/>
          <w:color w:val="000000"/>
          <w:sz w:val="72"/>
          <w:szCs w:val="72"/>
        </w:rPr>
        <w:t>四川省德阳市罗江区</w:t>
      </w:r>
      <w:bookmarkEnd w:id="0"/>
      <w:bookmarkStart w:id="11" w:name="_Toc15306268"/>
      <w:r>
        <w:rPr>
          <w:rFonts w:hint="eastAsia" w:ascii="方正小标宋简体" w:hAnsi="宋体" w:eastAsia="方正小标宋简体"/>
          <w:color w:val="000000"/>
          <w:sz w:val="72"/>
          <w:szCs w:val="72"/>
        </w:rPr>
        <w:t>文化体育广播电视和旅游局</w:t>
      </w:r>
    </w:p>
    <w:p w14:paraId="59A4B654">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w:t>
      </w:r>
    </w:p>
    <w:p w14:paraId="270C106E">
      <w:pPr>
        <w:widowControl/>
        <w:jc w:val="center"/>
        <w:rPr>
          <w:rFonts w:ascii="方正小标宋简体" w:hAnsi="宋体" w:eastAsia="方正小标宋简体"/>
          <w:color w:val="000000"/>
          <w:sz w:val="36"/>
          <w:szCs w:val="36"/>
        </w:rPr>
      </w:pPr>
    </w:p>
    <w:p w14:paraId="6568DA0A">
      <w:pPr>
        <w:widowControl/>
        <w:jc w:val="center"/>
        <w:rPr>
          <w:rFonts w:ascii="方正小标宋简体" w:hAnsi="宋体" w:eastAsia="方正小标宋简体"/>
          <w:color w:val="000000"/>
          <w:sz w:val="36"/>
          <w:szCs w:val="36"/>
        </w:rPr>
      </w:pPr>
    </w:p>
    <w:p w14:paraId="142AD850">
      <w:pPr>
        <w:widowControl/>
        <w:jc w:val="center"/>
        <w:rPr>
          <w:rFonts w:ascii="方正小标宋简体" w:hAnsi="宋体" w:eastAsia="方正小标宋简体"/>
          <w:color w:val="000000"/>
          <w:sz w:val="36"/>
          <w:szCs w:val="36"/>
        </w:rPr>
      </w:pPr>
    </w:p>
    <w:p w14:paraId="4512921B">
      <w:pPr>
        <w:widowControl/>
        <w:jc w:val="center"/>
        <w:rPr>
          <w:rFonts w:ascii="方正小标宋简体" w:hAnsi="宋体" w:eastAsia="方正小标宋简体"/>
          <w:color w:val="000000"/>
          <w:sz w:val="36"/>
          <w:szCs w:val="36"/>
        </w:rPr>
      </w:pPr>
    </w:p>
    <w:p w14:paraId="74A2B905">
      <w:pPr>
        <w:widowControl/>
        <w:jc w:val="center"/>
        <w:rPr>
          <w:rFonts w:ascii="方正小标宋简体" w:hAnsi="宋体" w:eastAsia="方正小标宋简体"/>
          <w:color w:val="000000"/>
          <w:sz w:val="36"/>
          <w:szCs w:val="36"/>
        </w:rPr>
      </w:pPr>
    </w:p>
    <w:p w14:paraId="56AF1039">
      <w:pPr>
        <w:widowControl/>
        <w:jc w:val="center"/>
        <w:rPr>
          <w:rFonts w:ascii="方正小标宋简体" w:hAnsi="宋体" w:eastAsia="方正小标宋简体"/>
          <w:color w:val="000000"/>
          <w:sz w:val="36"/>
          <w:szCs w:val="36"/>
        </w:rPr>
      </w:pPr>
    </w:p>
    <w:p w14:paraId="77F60B55">
      <w:pPr>
        <w:widowControl/>
        <w:jc w:val="center"/>
        <w:rPr>
          <w:rFonts w:ascii="方正小标宋简体" w:hAnsi="宋体" w:eastAsia="方正小标宋简体"/>
          <w:color w:val="000000"/>
          <w:sz w:val="36"/>
          <w:szCs w:val="36"/>
        </w:rPr>
      </w:pPr>
    </w:p>
    <w:p w14:paraId="34176186">
      <w:pPr>
        <w:widowControl/>
        <w:jc w:val="center"/>
        <w:rPr>
          <w:rFonts w:ascii="方正小标宋简体" w:hAnsi="宋体" w:eastAsia="方正小标宋简体"/>
          <w:color w:val="000000"/>
          <w:sz w:val="36"/>
          <w:szCs w:val="36"/>
        </w:rPr>
      </w:pPr>
    </w:p>
    <w:p w14:paraId="791DEE7A">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14:paraId="22587AD8">
      <w:pPr>
        <w:widowControl/>
        <w:jc w:val="center"/>
        <w:rPr>
          <w:rFonts w:ascii="黑体" w:hAnsi="黑体" w:eastAsia="黑体" w:cstheme="minorBidi"/>
          <w:sz w:val="28"/>
          <w:szCs w:val="28"/>
        </w:rPr>
      </w:pPr>
    </w:p>
    <w:p w14:paraId="39AF1C5A">
      <w:pPr>
        <w:pStyle w:val="13"/>
      </w:pPr>
    </w:p>
    <w:p w14:paraId="031E4EF0"/>
    <w:p w14:paraId="4E2EABED">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第一部分 部门概况…………………………………………………………………4</w:t>
      </w:r>
    </w:p>
    <w:p w14:paraId="25C4442B">
      <w:pPr>
        <w:pStyle w:val="14"/>
        <w:adjustRightInd w:val="0"/>
        <w:snapToGrid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一、基本职能及主要工作………………………………………………………4</w:t>
      </w:r>
    </w:p>
    <w:p w14:paraId="4EAE2F91">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二、机构设置……………………………………………………………………10</w:t>
      </w:r>
    </w:p>
    <w:p w14:paraId="43CF5A34">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第二部分2020年度部门决算情况说明……………………………………………12</w:t>
      </w:r>
    </w:p>
    <w:p w14:paraId="592D5E86">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一、收入支出决算总体情况说明………………………………………………12</w:t>
      </w:r>
    </w:p>
    <w:p w14:paraId="2000899F">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二、收入决算情况说明…………………………………………………………12</w:t>
      </w:r>
    </w:p>
    <w:p w14:paraId="77075D81">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三、支出决算情况说明…………………………………………………………13</w:t>
      </w:r>
    </w:p>
    <w:p w14:paraId="543E9BA6">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四、财政拨款收入支出决算总体情况说明……………………………………14</w:t>
      </w:r>
    </w:p>
    <w:p w14:paraId="37047568">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五、一般公共预算财政拨款支出决算情况说明………………………………14</w:t>
      </w:r>
    </w:p>
    <w:p w14:paraId="39312371">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六、一般公共预算财政拨款基本支出决算情况说明…………………………18</w:t>
      </w:r>
    </w:p>
    <w:p w14:paraId="400A25D6">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七、“三公”经费财政拨款支出决算情况说明…………………</w:t>
      </w:r>
      <w:r>
        <w:rPr>
          <w:rFonts w:hint="eastAsia" w:ascii="仿宋_GB2312" w:hAnsi="仿宋_GB2312" w:eastAsia="仿宋_GB2312" w:cs="仿宋_GB2312"/>
          <w:spacing w:val="11"/>
          <w:sz w:val="24"/>
        </w:rPr>
        <w:t>…………</w:t>
      </w:r>
      <w:r>
        <w:rPr>
          <w:rFonts w:hint="eastAsia" w:ascii="仿宋_GB2312" w:hAnsi="仿宋_GB2312" w:eastAsia="仿宋_GB2312" w:cs="仿宋_GB2312"/>
          <w:sz w:val="24"/>
        </w:rPr>
        <w:t>…19</w:t>
      </w:r>
    </w:p>
    <w:p w14:paraId="0C69F438">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八、政府性基金预算支出决算情况说明………………………………………21</w:t>
      </w:r>
    </w:p>
    <w:p w14:paraId="65F325C1">
      <w:pPr>
        <w:pStyle w:val="14"/>
        <w:adjustRightInd w:val="0"/>
        <w:snapToGrid w:val="0"/>
        <w:spacing w:line="440" w:lineRule="exact"/>
        <w:ind w:leftChars="0"/>
        <w:jc w:val="left"/>
        <w:rPr>
          <w:rFonts w:ascii="仿宋_GB2312" w:hAnsi="仿宋_GB2312" w:eastAsia="仿宋_GB2312" w:cs="仿宋_GB2312"/>
          <w:sz w:val="24"/>
        </w:rPr>
      </w:pPr>
      <w:r>
        <w:rPr>
          <w:rFonts w:hint="eastAsia" w:ascii="仿宋_GB2312" w:hAnsi="仿宋_GB2312" w:eastAsia="仿宋_GB2312" w:cs="仿宋_GB2312"/>
          <w:sz w:val="24"/>
        </w:rPr>
        <w:t>九、 国有资本经营预算支出决算情况说明……………………………</w:t>
      </w:r>
      <w:r>
        <w:rPr>
          <w:rFonts w:hint="eastAsia" w:ascii="仿宋_GB2312" w:hAnsi="仿宋_GB2312" w:eastAsia="仿宋_GB2312" w:cs="仿宋_GB2312"/>
          <w:spacing w:val="20"/>
          <w:sz w:val="24"/>
        </w:rPr>
        <w:t>……</w:t>
      </w:r>
      <w:r>
        <w:rPr>
          <w:rFonts w:hint="eastAsia" w:ascii="仿宋_GB2312" w:hAnsi="仿宋_GB2312" w:eastAsia="仿宋_GB2312" w:cs="仿宋_GB2312"/>
          <w:sz w:val="24"/>
        </w:rPr>
        <w:t>21</w:t>
      </w:r>
    </w:p>
    <w:p w14:paraId="46E5ED53">
      <w:pPr>
        <w:adjustRightInd w:val="0"/>
        <w:snapToGrid w:val="0"/>
        <w:spacing w:line="440" w:lineRule="exact"/>
        <w:ind w:firstLine="480" w:firstLineChars="200"/>
        <w:jc w:val="left"/>
        <w:rPr>
          <w:rFonts w:ascii="仿宋_GB2312" w:hAnsi="仿宋_GB2312" w:eastAsia="仿宋_GB2312" w:cs="仿宋_GB2312"/>
          <w:sz w:val="24"/>
        </w:rPr>
      </w:pPr>
      <w:r>
        <w:rPr>
          <w:rStyle w:val="18"/>
          <w:rFonts w:hint="eastAsia" w:ascii="仿宋_GB2312" w:hAnsi="仿宋_GB2312" w:eastAsia="仿宋_GB2312" w:cs="仿宋_GB2312"/>
          <w:color w:val="000000" w:themeColor="text1"/>
          <w:sz w:val="24"/>
          <w:u w:val="none"/>
          <w14:textFill>
            <w14:solidFill>
              <w14:schemeClr w14:val="tx1"/>
            </w14:solidFill>
          </w14:textFill>
        </w:rPr>
        <w:t>十、</w:t>
      </w:r>
      <w:r>
        <w:rPr>
          <w:rFonts w:hint="eastAsia" w:ascii="仿宋_GB2312" w:hAnsi="仿宋_GB2312" w:eastAsia="仿宋_GB2312" w:cs="仿宋_GB2312"/>
          <w:sz w:val="24"/>
        </w:rPr>
        <w:t>其他重要事项的情况说明…………………………………………………21</w:t>
      </w:r>
    </w:p>
    <w:p w14:paraId="78D94424">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第三部分 名词解释…………………………………………………………………31</w:t>
      </w:r>
    </w:p>
    <w:p w14:paraId="04FCD29A">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第四部分 附件………………………………………………………………………37</w:t>
      </w:r>
    </w:p>
    <w:p w14:paraId="5A4BC730">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附件1 </w:t>
      </w:r>
      <w:r>
        <w:rPr>
          <w:rFonts w:hint="eastAsia" w:ascii="仿宋_GB2312" w:hAnsi="仿宋_GB2312" w:eastAsia="仿宋_GB2312" w:cs="仿宋_GB2312"/>
          <w:color w:val="000000" w:themeColor="text1"/>
          <w:kern w:val="0"/>
          <w:sz w:val="24"/>
          <w14:textFill>
            <w14:solidFill>
              <w14:schemeClr w14:val="tx1"/>
            </w14:solidFill>
          </w14:textFill>
        </w:rPr>
        <w:t>2020年部门</w:t>
      </w:r>
      <w:r>
        <w:rPr>
          <w:rFonts w:hint="eastAsia" w:ascii="仿宋_GB2312" w:hAnsi="仿宋_GB2312" w:eastAsia="仿宋_GB2312" w:cs="仿宋_GB2312"/>
          <w:color w:val="000000" w:themeColor="text1"/>
          <w:kern w:val="0"/>
          <w:sz w:val="24"/>
          <w:lang w:val="zh-CN"/>
          <w14:textFill>
            <w14:solidFill>
              <w14:schemeClr w14:val="tx1"/>
            </w14:solidFill>
          </w14:textFill>
        </w:rPr>
        <w:t>整体支出绩效评价报告</w:t>
      </w:r>
      <w:r>
        <w:rPr>
          <w:rFonts w:hint="eastAsia" w:ascii="仿宋_GB2312" w:hAnsi="仿宋_GB2312" w:eastAsia="仿宋_GB2312" w:cs="仿宋_GB2312"/>
          <w:sz w:val="24"/>
        </w:rPr>
        <w:t>…………………………………37</w:t>
      </w:r>
    </w:p>
    <w:p w14:paraId="301D9A26">
      <w:pPr>
        <w:spacing w:line="5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附件2“三馆一站”免费开放项目支出绩效评价报告 ……………………42</w:t>
      </w:r>
    </w:p>
    <w:p w14:paraId="1EF5EC24">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第五部分 附表………………………………………………………………………46</w:t>
      </w:r>
    </w:p>
    <w:p w14:paraId="40257D93">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一、收入支出决算总表 ………………………………………………………47</w:t>
      </w:r>
    </w:p>
    <w:p w14:paraId="22A01DB7">
      <w:pPr>
        <w:pStyle w:val="14"/>
        <w:adjustRightInd w:val="0"/>
        <w:snapToGrid w:val="0"/>
        <w:spacing w:line="440" w:lineRule="exact"/>
        <w:ind w:firstLine="60" w:firstLineChars="25"/>
        <w:jc w:val="left"/>
        <w:rPr>
          <w:rFonts w:ascii="仿宋_GB2312" w:hAnsi="仿宋_GB2312" w:eastAsia="仿宋_GB2312" w:cs="仿宋_GB2312"/>
          <w:sz w:val="24"/>
        </w:rPr>
      </w:pPr>
      <w:r>
        <w:rPr>
          <w:rFonts w:hint="eastAsia" w:ascii="仿宋_GB2312" w:hAnsi="仿宋_GB2312" w:eastAsia="仿宋_GB2312" w:cs="仿宋_GB2312"/>
          <w:sz w:val="24"/>
        </w:rPr>
        <w:t>二、收入决算表 ………………………………………………………………48                  三、支出决算表 ………………………………………………………………49</w:t>
      </w:r>
    </w:p>
    <w:p w14:paraId="5B0CADF1">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四、财政拨款收入支出决算总表 ……………………………………………50</w:t>
      </w:r>
    </w:p>
    <w:p w14:paraId="42190EC1">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五、财政拨款支出决算明细表 ………………………………………………51</w:t>
      </w:r>
    </w:p>
    <w:p w14:paraId="5C1FE1A1">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六、一般公共预算财政拨款支出决算表 ……………………………………52</w:t>
      </w:r>
    </w:p>
    <w:p w14:paraId="5272F870">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七、一般公共预算财政拨款支出决算明细表 ………………………………53</w:t>
      </w:r>
    </w:p>
    <w:p w14:paraId="1A6F35EC">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八、一般公共预算财政拨款基本支出决算表………………………………54</w:t>
      </w:r>
    </w:p>
    <w:p w14:paraId="78D2260C">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九、一般公共预算财政拨款项目支出决算表………………………………55</w:t>
      </w:r>
    </w:p>
    <w:p w14:paraId="08CFE276">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十、一般公共预算财政拨款“三公”经费支出决算表 ……………………56</w:t>
      </w:r>
    </w:p>
    <w:p w14:paraId="414620D0">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十一、政府性基金预算财政拨款收入支出决算表 …………………………57</w:t>
      </w:r>
    </w:p>
    <w:p w14:paraId="0AC29D22">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十二、政府性基金预算财政拨款“三公”经费支出决算表 ………………58</w:t>
      </w:r>
    </w:p>
    <w:p w14:paraId="1D5D3C2A">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十三、国有资本经营预算财政拨款收入支出决算表 ………………………59</w:t>
      </w:r>
    </w:p>
    <w:p w14:paraId="6FD84F0D">
      <w:pPr>
        <w:pStyle w:val="14"/>
        <w:adjustRightInd w:val="0"/>
        <w:snapToGrid w:val="0"/>
        <w:spacing w:line="440" w:lineRule="exact"/>
        <w:jc w:val="left"/>
        <w:rPr>
          <w:rFonts w:ascii="仿宋" w:hAnsi="仿宋" w:eastAsia="仿宋"/>
          <w:bCs/>
          <w:kern w:val="44"/>
          <w:sz w:val="24"/>
        </w:rPr>
      </w:pPr>
      <w:r>
        <w:rPr>
          <w:rFonts w:hint="eastAsia" w:ascii="仿宋_GB2312" w:hAnsi="仿宋_GB2312" w:eastAsia="仿宋_GB2312" w:cs="仿宋_GB2312"/>
          <w:sz w:val="24"/>
        </w:rPr>
        <w:t xml:space="preserve"> 十四、国有资本经营预算支出决算表 ………………………………………</w:t>
      </w:r>
      <w:bookmarkStart w:id="12" w:name="_Toc15396599"/>
      <w:bookmarkStart w:id="13" w:name="_Toc15377196"/>
      <w:r>
        <w:rPr>
          <w:rFonts w:hint="eastAsia" w:ascii="仿宋_GB2312" w:hAnsi="仿宋_GB2312" w:eastAsia="仿宋_GB2312" w:cs="仿宋_GB2312"/>
          <w:sz w:val="24"/>
        </w:rPr>
        <w:t>60</w:t>
      </w:r>
      <w:r>
        <w:rPr>
          <w:rFonts w:ascii="仿宋" w:hAnsi="仿宋" w:eastAsia="仿宋"/>
          <w:b/>
          <w:sz w:val="24"/>
        </w:rPr>
        <w:br w:type="page"/>
      </w:r>
    </w:p>
    <w:p w14:paraId="63EA714B">
      <w:pPr>
        <w:pStyle w:val="4"/>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14:paraId="4B75E62D">
      <w:pPr>
        <w:widowControl/>
        <w:jc w:val="left"/>
        <w:rPr>
          <w:rFonts w:ascii="黑体" w:eastAsia="黑体"/>
          <w:color w:val="000000"/>
          <w:sz w:val="32"/>
          <w:szCs w:val="32"/>
        </w:rPr>
      </w:pPr>
    </w:p>
    <w:p w14:paraId="06B4CBCD">
      <w:pPr>
        <w:pStyle w:val="5"/>
        <w:spacing w:before="0" w:after="0" w:line="600" w:lineRule="exact"/>
        <w:rPr>
          <w:rStyle w:val="2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bookmarkStart w:id="16" w:name="_Toc15377198"/>
      <w:bookmarkStart w:id="17" w:name="_Toc15378445"/>
    </w:p>
    <w:p w14:paraId="437F7247">
      <w:pPr>
        <w:pStyle w:val="5"/>
        <w:spacing w:before="0" w:after="0" w:line="600" w:lineRule="exact"/>
        <w:rPr>
          <w:rFonts w:ascii="仿宋" w:hAnsi="仿宋" w:eastAsia="仿宋"/>
          <w:b w:val="0"/>
          <w:bCs w:val="0"/>
        </w:rPr>
      </w:pPr>
      <w:r>
        <w:rPr>
          <w:rFonts w:hint="eastAsia" w:ascii="楷体" w:hAnsi="楷体" w:eastAsia="楷体" w:cs="楷体"/>
        </w:rPr>
        <w:t>（一）主要职能</w:t>
      </w:r>
    </w:p>
    <w:p w14:paraId="1FAF248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1.起草文化、体育、广播电视和旅游地方性法规、规章草案，拟订文化、体育、广播电视和旅游政策措施，负责本部门依法行政工作。</w:t>
      </w:r>
    </w:p>
    <w:p w14:paraId="521254E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2.组织推动全区文化事业、文化产业、体育事业、体育产业、广播电视产业和旅游业发展，拟订发展规划并组织实施，推进文化、体育、广播电视和旅游体制机制改革，推进文化、体育和旅游融合发展。</w:t>
      </w:r>
    </w:p>
    <w:p w14:paraId="2602D37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全区性重大文化、体育、广播电视和旅游活动，指导全区重点文化、体育、广播电视和旅游整体形象推广，促进文化产业、体育产业、广播电视产业和旅游产业对外合作和市场推广，制定旅游市场开发战略并组织实施，推进全域旅游。</w:t>
      </w:r>
    </w:p>
    <w:p w14:paraId="4C51B9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4.指导管理文艺事业，推动艺术创作生产，扶持体现社会主义核心价值观、具有导向性代表性示范性的文艺作品，推动各门类艺术、各艺术品种发展，推动中华优秀传统文化和巴蜀文化传承发展。</w:t>
      </w:r>
    </w:p>
    <w:p w14:paraId="31068A9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5.负责公共文化事业发展，推进全区公共文化服务体系建设和旅游公共服务建设，深入实施文化惠民工程，统筹推进文化体育广播电视基本公共服务标准化、均等化。组织实施公共服务重大公益工程和活动。</w:t>
      </w:r>
    </w:p>
    <w:p w14:paraId="628A02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6.推进文化体育广播电视和旅游科技创新发展，推进文化、体育和旅游行业信息化、标准化建设。</w:t>
      </w:r>
    </w:p>
    <w:p w14:paraId="3C6B71A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7.负责非物质文化遗产保护，推动非物质文化遗产的保护、传承、普及、弘扬和振兴。</w:t>
      </w:r>
    </w:p>
    <w:p w14:paraId="0DD4FB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8.组织实施文化、体育和旅游资源普查、挖掘、保护与利用工作，促进文化产业、体育产业和旅游产业发展。</w:t>
      </w:r>
    </w:p>
    <w:p w14:paraId="41972B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9.指导文化、体育</w:t>
      </w:r>
      <w:r>
        <w:rPr>
          <w:rFonts w:hint="eastAsia" w:ascii="仿宋_GB2312" w:hAnsi="仿宋_GB2312" w:cs="仿宋_GB2312"/>
          <w:sz w:val="32"/>
          <w:szCs w:val="32"/>
        </w:rPr>
        <w:t>、</w:t>
      </w:r>
      <w:r>
        <w:rPr>
          <w:rFonts w:hint="eastAsia" w:ascii="仿宋_GB2312" w:hAnsi="仿宋_GB2312" w:eastAsia="仿宋_GB2312" w:cs="仿宋_GB2312"/>
          <w:sz w:val="32"/>
          <w:szCs w:val="32"/>
        </w:rPr>
        <w:t>广播电视和旅游市场发展，对文化、体育</w:t>
      </w:r>
      <w:r>
        <w:rPr>
          <w:rFonts w:hint="eastAsia" w:ascii="仿宋_GB2312" w:hAnsi="仿宋_GB2312" w:cs="仿宋_GB2312"/>
          <w:sz w:val="32"/>
          <w:szCs w:val="32"/>
        </w:rPr>
        <w:t>、</w:t>
      </w:r>
      <w:r>
        <w:rPr>
          <w:rFonts w:hint="eastAsia" w:ascii="仿宋_GB2312" w:hAnsi="仿宋_GB2312" w:eastAsia="仿宋_GB2312" w:cs="仿宋_GB2312"/>
          <w:sz w:val="32"/>
          <w:szCs w:val="32"/>
        </w:rPr>
        <w:t>广播电视和旅游市场经营进行行业监管，推进文化、体育</w:t>
      </w:r>
      <w:r>
        <w:rPr>
          <w:rFonts w:hint="eastAsia" w:ascii="仿宋_GB2312" w:hAnsi="仿宋_GB2312" w:cs="仿宋_GB2312"/>
          <w:sz w:val="32"/>
          <w:szCs w:val="32"/>
        </w:rPr>
        <w:t>、</w:t>
      </w:r>
      <w:r>
        <w:rPr>
          <w:rFonts w:hint="eastAsia" w:ascii="仿宋_GB2312" w:hAnsi="仿宋_GB2312" w:eastAsia="仿宋_GB2312" w:cs="仿宋_GB2312"/>
          <w:sz w:val="32"/>
          <w:szCs w:val="32"/>
        </w:rPr>
        <w:t>广播电视和旅游行业信用体系建设，依法规范文化、体育</w:t>
      </w:r>
      <w:r>
        <w:rPr>
          <w:rFonts w:hint="eastAsia" w:ascii="仿宋_GB2312" w:hAnsi="仿宋_GB2312" w:cs="仿宋_GB2312"/>
          <w:sz w:val="32"/>
          <w:szCs w:val="32"/>
        </w:rPr>
        <w:t>、</w:t>
      </w:r>
      <w:r>
        <w:rPr>
          <w:rFonts w:hint="eastAsia" w:ascii="仿宋_GB2312" w:hAnsi="仿宋_GB2312" w:eastAsia="仿宋_GB2312" w:cs="仿宋_GB2312"/>
          <w:sz w:val="32"/>
          <w:szCs w:val="32"/>
        </w:rPr>
        <w:t>广播电视和旅游市场。</w:t>
      </w:r>
    </w:p>
    <w:p w14:paraId="00A644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对广播电视播出传输机构、网络视听节目服务机构的业务指导和行业监管。监督管理、审查广播电视和网络视听节目的内容及质量。监督管理广播电视节目传输覆盖、监测和安全播出。指导、监管广播电视广告播放。负责推进广播电视与新媒体新技术新业态融合发展，推进广电网与电信网、互联网三网融合。组织实施广播电视节目评价工作。指导、推进应急广播体系建设。指导、推进广播电视、网络视听行业人才队伍建设。</w:t>
      </w:r>
    </w:p>
    <w:p w14:paraId="4D4900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管理、指导全区文物保护利用和博物馆工作，协调、指导和监管全区文物安全。履行文物行政监督职责。组织文物资源调查。负责组织遴选、申报区级以上文物保护单位。组织协调重大文物保护、考古项目的实施。组织管理基本建设涉及文物保护相关工作。组织指导文物保护宣传工作。负责世界文化遗产保护和管理的监督工作，组织开展世界文化遗产申报。协同相关部门负责世界文化和自然遗产、历史文化名城（镇、村）申报和监督管理工作。</w:t>
      </w:r>
    </w:p>
    <w:p w14:paraId="3DAB84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12.统筹全区文化市场综合执法，组织查处全区性文化、体育、</w:t>
      </w:r>
      <w:r>
        <w:rPr>
          <w:rFonts w:hint="eastAsia" w:ascii="仿宋_GB2312" w:hAnsi="仿宋_GB2312" w:cs="仿宋_GB2312"/>
          <w:sz w:val="32"/>
          <w:szCs w:val="32"/>
        </w:rPr>
        <w:t>广电、</w:t>
      </w:r>
      <w:r>
        <w:rPr>
          <w:rFonts w:hint="eastAsia" w:ascii="仿宋_GB2312" w:hAnsi="仿宋_GB2312" w:eastAsia="仿宋_GB2312" w:cs="仿宋_GB2312"/>
          <w:sz w:val="32"/>
          <w:szCs w:val="32"/>
        </w:rPr>
        <w:t>文物、旅游等市场的违法行为，督查督办大案要案，维护市场秩序。</w:t>
      </w:r>
    </w:p>
    <w:p w14:paraId="339273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13.负责管理文化、体育、广播电视和旅游对外交流合作与宣传推广工作，代表罗江区签订对外文化、体育、广播电视和旅游合作协定，组织大型文化、体育、广播电视和旅游对外交流活动，推动罗江文化走出去。</w:t>
      </w:r>
    </w:p>
    <w:p w14:paraId="5B68D2B8">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14.负责文化、广播电视和旅游系统及市场安全生产工作的综合协调与监督管理，对文化旅游园区的安全生产和职业健康工作实施行业监督管理。制定职责范围内的安全生产年度监督检查计划并组织实施。</w:t>
      </w:r>
    </w:p>
    <w:p w14:paraId="7FC2EDFA">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15.负责职责范围内的安全生产和职业健康</w:t>
      </w:r>
      <w:r>
        <w:rPr>
          <w:rFonts w:hint="eastAsia" w:ascii="仿宋_GB2312" w:hAnsi="仿宋_GB2312" w:cs="仿宋_GB2312"/>
          <w:sz w:val="32"/>
          <w:szCs w:val="32"/>
        </w:rPr>
        <w:t>、</w:t>
      </w:r>
      <w:r>
        <w:rPr>
          <w:rFonts w:hint="eastAsia" w:ascii="仿宋_GB2312" w:hAnsi="仿宋_GB2312" w:eastAsia="仿宋_GB2312" w:cs="仿宋_GB2312"/>
          <w:sz w:val="32"/>
          <w:szCs w:val="32"/>
        </w:rPr>
        <w:t>生态环境保护等工作。</w:t>
      </w:r>
    </w:p>
    <w:p w14:paraId="51368C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16.按照本部门权责清单履行相关职责。</w:t>
      </w:r>
    </w:p>
    <w:p w14:paraId="40BE66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17.完成区委、区政府交办的其他任务。</w:t>
      </w:r>
    </w:p>
    <w:p w14:paraId="6255684F">
      <w:pPr>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18.职能转变。以人民美好生活为引导，统筹推进文化、体育、广播电视、旅游事业快速发展。用好文化创意、科技创新和社会投资等新动能，促进文化、体育和旅游与相关产业融合发展。提升罗江文化软实力、旅游竞争力。</w:t>
      </w:r>
    </w:p>
    <w:p w14:paraId="14620759">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（二）机构情况</w:t>
      </w:r>
    </w:p>
    <w:p w14:paraId="5EEBDF4F">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罗江区文化体育广播电视和旅游局下属二级预算单位6个，其中参照公务员法管理的事业单位2个（罗江区文化市场综合执法大队、罗江区文化体育和旅游产业发展服务中心），其他事业单位4个（文化馆、图书馆、文物保护管理所、博物馆）。</w:t>
      </w:r>
    </w:p>
    <w:bookmarkEnd w:id="16"/>
    <w:bookmarkEnd w:id="17"/>
    <w:p w14:paraId="4C91A066">
      <w:pPr>
        <w:snapToGrid w:val="0"/>
        <w:spacing w:line="560" w:lineRule="exact"/>
        <w:ind w:firstLine="643" w:firstLineChars="200"/>
        <w:rPr>
          <w:rFonts w:ascii="楷体" w:hAnsi="楷体" w:eastAsia="楷体" w:cs="楷体"/>
          <w:b/>
          <w:bCs/>
          <w:sz w:val="32"/>
          <w:szCs w:val="32"/>
        </w:rPr>
      </w:pPr>
      <w:bookmarkStart w:id="18" w:name="_Toc15377199"/>
      <w:bookmarkStart w:id="19" w:name="_Toc15378446"/>
      <w:r>
        <w:rPr>
          <w:rFonts w:hint="eastAsia" w:ascii="楷体" w:hAnsi="楷体" w:eastAsia="楷体" w:cs="楷体"/>
          <w:b/>
          <w:bCs/>
          <w:sz w:val="32"/>
          <w:szCs w:val="32"/>
        </w:rPr>
        <w:t>（三）2020年重点工作完成情况。</w:t>
      </w:r>
      <w:bookmarkEnd w:id="18"/>
      <w:bookmarkEnd w:id="19"/>
    </w:p>
    <w:p w14:paraId="2315178E">
      <w:pPr>
        <w:spacing w:line="520" w:lineRule="exact"/>
        <w:ind w:firstLine="640" w:firstLineChars="200"/>
        <w:rPr>
          <w:rFonts w:eastAsia="仿宋_GB2312"/>
          <w:sz w:val="32"/>
          <w:szCs w:val="32"/>
        </w:rPr>
      </w:pPr>
      <w:r>
        <w:rPr>
          <w:rFonts w:hint="eastAsia" w:ascii="仿宋_GB2312" w:hAnsi="仿宋_GB2312" w:eastAsia="仿宋_GB2312" w:cs="仿宋_GB2312"/>
          <w:sz w:val="32"/>
          <w:szCs w:val="32"/>
        </w:rPr>
        <w:t>2020年以来，区文体广旅局始终坚持以习近平新时代中国特色社会主义思想为指导，围绕工作要点和区政府工作报告，</w:t>
      </w:r>
      <w:r>
        <w:rPr>
          <w:rFonts w:hint="eastAsia" w:ascii="仿宋_GB2312" w:hAnsi="仿宋_GB2312" w:eastAsia="仿宋_GB2312" w:cs="仿宋_GB2312"/>
          <w:color w:val="000000"/>
          <w:sz w:val="32"/>
          <w:szCs w:val="32"/>
        </w:rPr>
        <w:t>全面贯彻党的十九大和十九届二中、三中、四中全会精神，坚持新发展理念，牢牢把握满足人民群众对文化和旅游美好生活需要的目标要求，以创建天府旅游名县候选县为抓手，大力推进文化和旅游融合高质量发展，</w:t>
      </w:r>
      <w:r>
        <w:rPr>
          <w:rFonts w:hint="eastAsia" w:ascii="仿宋_GB2312" w:hAnsi="仿宋_GB2312" w:eastAsia="仿宋_GB2312" w:cs="仿宋_GB2312"/>
          <w:sz w:val="32"/>
          <w:szCs w:val="32"/>
        </w:rPr>
        <w:t>极大的提升了罗江的知名度和美誉度。</w:t>
      </w:r>
      <w:r>
        <w:rPr>
          <w:rFonts w:hint="eastAsia" w:eastAsia="仿宋_GB2312"/>
          <w:sz w:val="32"/>
          <w:szCs w:val="32"/>
        </w:rPr>
        <w:t>具体如下：</w:t>
      </w:r>
    </w:p>
    <w:p w14:paraId="14A6AB85">
      <w:pPr>
        <w:spacing w:line="520" w:lineRule="exact"/>
        <w:ind w:firstLine="640" w:firstLineChars="200"/>
        <w:rPr>
          <w:rFonts w:ascii="楷体_GB2312" w:hAnsi="楷体_GB2312" w:eastAsia="楷体_GB2312" w:cs="楷体_GB2312"/>
          <w:b/>
          <w:bCs/>
          <w:sz w:val="32"/>
          <w:szCs w:val="32"/>
        </w:rPr>
      </w:pPr>
      <w:r>
        <w:rPr>
          <w:rFonts w:hint="eastAsia" w:eastAsia="仿宋_GB2312"/>
          <w:sz w:val="32"/>
          <w:szCs w:val="32"/>
        </w:rPr>
        <w:t>1、</w:t>
      </w:r>
      <w:r>
        <w:rPr>
          <w:rFonts w:hint="eastAsia" w:ascii="楷体_GB2312" w:hAnsi="楷体_GB2312" w:eastAsia="楷体_GB2312" w:cs="楷体_GB2312"/>
          <w:b/>
          <w:bCs/>
          <w:sz w:val="32"/>
          <w:szCs w:val="32"/>
        </w:rPr>
        <w:t>疫情防控与复工复产两不误</w:t>
      </w:r>
    </w:p>
    <w:p w14:paraId="5C3A72F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一是抓好疫情防控，</w:t>
      </w:r>
      <w:r>
        <w:rPr>
          <w:rFonts w:hint="eastAsia" w:ascii="仿宋_GB2312" w:hAnsi="仿宋_GB2312" w:eastAsia="仿宋_GB2312" w:cs="仿宋_GB2312"/>
          <w:sz w:val="32"/>
          <w:szCs w:val="32"/>
        </w:rPr>
        <w:t>及时关停文旅市场经营单位，出动党员志愿者3000余人次，检查文旅市场经营单位900余家次，有效确保了疫情期间文旅市场安全稳定。</w:t>
      </w:r>
      <w:r>
        <w:rPr>
          <w:rFonts w:hint="eastAsia" w:ascii="仿宋_GB2312" w:hAnsi="仿宋_GB2312" w:eastAsia="仿宋_GB2312" w:cs="仿宋_GB2312"/>
          <w:b/>
          <w:bCs/>
          <w:sz w:val="32"/>
          <w:szCs w:val="32"/>
        </w:rPr>
        <w:t>二是有序推进行业复产，</w:t>
      </w:r>
      <w:r>
        <w:rPr>
          <w:rFonts w:hint="eastAsia" w:ascii="仿宋_GB2312" w:hAnsi="仿宋_GB2312" w:eastAsia="仿宋_GB2312" w:cs="仿宋_GB2312"/>
          <w:sz w:val="32"/>
          <w:szCs w:val="32"/>
        </w:rPr>
        <w:t>召集行业复工复产工作推进会，主动对接企业需求，积极沟通，形成《关于文旅企业恢复生产经营的实施意见》，主动解读省市有关部门文件，收集省市奖励支持政策，帮助文旅企业共度时艰。</w:t>
      </w:r>
      <w:r>
        <w:rPr>
          <w:rFonts w:hint="eastAsia" w:ascii="仿宋_GB2312" w:hAnsi="仿宋_GB2312" w:eastAsia="仿宋_GB2312" w:cs="仿宋_GB2312"/>
          <w:b/>
          <w:bCs/>
          <w:sz w:val="32"/>
          <w:szCs w:val="32"/>
        </w:rPr>
        <w:t>三是丰富疫情期间文艺创作，</w:t>
      </w:r>
      <w:r>
        <w:rPr>
          <w:rFonts w:hint="eastAsia" w:ascii="仿宋_GB2312" w:hAnsi="仿宋_GB2312" w:eastAsia="仿宋_GB2312" w:cs="仿宋_GB2312"/>
          <w:sz w:val="32"/>
          <w:szCs w:val="32"/>
        </w:rPr>
        <w:t>广泛开展文艺战役、线上文体活动和指导服务，收集和创作抗疫文艺作品100余件；充分发挥广电网络“最后一公里”作用，“村村响”大喇叭不停歇，</w:t>
      </w:r>
      <w:r>
        <w:rPr>
          <w:rFonts w:hint="eastAsia" w:ascii="仿宋_GB2312" w:eastAsia="仿宋_GB2312"/>
          <w:sz w:val="32"/>
          <w:szCs w:val="32"/>
        </w:rPr>
        <w:t>覆盖服务全区25万群众，“成为宣传入户的“最强音”，丰富疫情期间群众精神文化生活。</w:t>
      </w:r>
    </w:p>
    <w:p w14:paraId="0706E6C9">
      <w:pPr>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2、加快项目建设，推动基础提档升级</w:t>
      </w:r>
    </w:p>
    <w:p w14:paraId="2C96E456">
      <w:pPr>
        <w:spacing w:line="520" w:lineRule="exact"/>
        <w:ind w:firstLine="642"/>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一是加快文体项目建设。</w:t>
      </w:r>
      <w:r>
        <w:rPr>
          <w:rFonts w:hint="eastAsia" w:ascii="仿宋_GB2312" w:hAnsi="仿宋_GB2312" w:eastAsia="仿宋_GB2312" w:cs="仿宋_GB2312"/>
          <w:sz w:val="32"/>
          <w:szCs w:val="32"/>
        </w:rPr>
        <w:t>结合乡村振兴和文明城市创建工作，投入150余万元，完成万安镇､金山镇､白马关镇综合文化站示范引领建设、4个标准5人制足球场建设、文化馆公共区域维护、天台湖健身路径维护等工作；积极推进罗江区公共体育田径跑道和足球场建设项目、恒温游泳健身场馆项目建设，进一步完善了全区公共文体基础设施。</w:t>
      </w:r>
      <w:r>
        <w:rPr>
          <w:rFonts w:hint="eastAsia" w:ascii="仿宋_GB2312" w:hAnsi="仿宋_GB2312" w:eastAsia="仿宋_GB2312" w:cs="仿宋_GB2312"/>
          <w:b/>
          <w:bCs/>
          <w:sz w:val="32"/>
          <w:szCs w:val="32"/>
        </w:rPr>
        <w:t>二是加快旅游项目建设。</w:t>
      </w:r>
      <w:r>
        <w:rPr>
          <w:rFonts w:hint="eastAsia" w:ascii="仿宋_GB2312" w:hAnsi="仿宋_GB2312" w:eastAsia="仿宋_GB2312" w:cs="仿宋_GB2312"/>
          <w:sz w:val="32"/>
          <w:szCs w:val="32"/>
        </w:rPr>
        <w:t>完成白马关景区户外运动营地、罗江区白马关汽摩运动基地提升等4个项目共计</w:t>
      </w:r>
      <w:r>
        <w:rPr>
          <w:rFonts w:hint="eastAsia" w:ascii="仿宋_GB2312" w:hAnsi="Segoe UI" w:eastAsia="仿宋_GB2312" w:cs="Segoe UI"/>
          <w:color w:val="222222"/>
          <w:sz w:val="32"/>
          <w:szCs w:val="32"/>
        </w:rPr>
        <w:t>53730万元的项目申报工作；完成</w:t>
      </w:r>
      <w:r>
        <w:rPr>
          <w:rFonts w:hint="eastAsia" w:ascii="仿宋_GB2312" w:hAnsi="仿宋_GB2312" w:eastAsia="仿宋_GB2312" w:cs="仿宋_GB2312"/>
          <w:sz w:val="32"/>
          <w:szCs w:val="32"/>
        </w:rPr>
        <w:t>白马关镇传统村落保护项目和观音岩景区旅游厕所建设，稳步推进后乐园项目、白龙谷旅游基础配套设施项目、嘉禾庄园、水晶艺术小镇建设项目建设，进一步提升全区旅游基础设施建设和接待能力。</w:t>
      </w:r>
    </w:p>
    <w:p w14:paraId="2ECD9669">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3、用好用活文旅资源，全面推进文旅融合</w:t>
      </w:r>
    </w:p>
    <w:p w14:paraId="6FF5803A">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（1）培育文旅产业示范品牌。</w:t>
      </w:r>
      <w:r>
        <w:rPr>
          <w:rFonts w:hint="eastAsia" w:ascii="楷体_GB2312" w:hAnsi="楷体_GB2312" w:eastAsia="楷体_GB2312" w:cs="楷体_GB2312"/>
          <w:b/>
          <w:bCs/>
          <w:color w:val="000000"/>
          <w:sz w:val="32"/>
          <w:szCs w:val="32"/>
        </w:rPr>
        <w:t>一是</w:t>
      </w:r>
      <w:r>
        <w:rPr>
          <w:rFonts w:hint="eastAsia" w:ascii="仿宋_GB2312" w:hAnsi="仿宋_GB2312" w:eastAsia="仿宋_GB2312" w:cs="仿宋_GB2312"/>
          <w:color w:val="000000"/>
          <w:sz w:val="32"/>
          <w:szCs w:val="32"/>
        </w:rPr>
        <w:t>结合白马关景区提档升级工作，积极推进白马关镇传统村落保护项目、天台山片区农文旅融合产业项目、万佛片区风貌改造及景观提升项目和水晶艺术小镇项目，着力打造白马关休闲运动小镇示范品牌。</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在严格做好疫情防控工作的情况下，争取中省市主管部门的支持，承办、协办了川菜川剧文化周、枣子节等大型文化活动，打造节会活动示范品牌</w:t>
      </w:r>
      <w:r>
        <w:rPr>
          <w:rFonts w:hint="eastAsia" w:eastAsia="仿宋_GB2312"/>
          <w:color w:val="000000"/>
          <w:sz w:val="32"/>
        </w:rPr>
        <w:t>。</w:t>
      </w:r>
      <w:r>
        <w:rPr>
          <w:rFonts w:hint="eastAsia" w:ascii="仿宋_GB2312" w:hAnsi="仿宋_GB2312" w:eastAsia="仿宋_GB2312" w:cs="仿宋_GB2312"/>
          <w:color w:val="000000"/>
          <w:sz w:val="32"/>
          <w:szCs w:val="32"/>
        </w:rPr>
        <w:t>本届川菜川剧文化周期间，罗江区共吸引游客32万人次，带动旅游、餐饮等消费4100余万元。</w:t>
      </w:r>
      <w:r>
        <w:rPr>
          <w:rFonts w:hint="eastAsia" w:eastAsia="仿宋_GB2312"/>
          <w:b/>
          <w:bCs/>
          <w:color w:val="000000"/>
          <w:sz w:val="32"/>
        </w:rPr>
        <w:t>三是</w:t>
      </w:r>
      <w:r>
        <w:rPr>
          <w:rFonts w:hint="eastAsia" w:eastAsia="仿宋_GB2312"/>
          <w:color w:val="000000"/>
          <w:sz w:val="32"/>
        </w:rPr>
        <w:t>结合川菜川剧之乡建设，探索丰富的夜间民俗文化活动，开展潺亭夜市实景演出、川剧惠民演出、川剧坐唱等传统文化活动，拉动文旅消费，打造夜间经济增长示范品牌。</w:t>
      </w:r>
      <w:r>
        <w:rPr>
          <w:rFonts w:hint="eastAsia" w:eastAsia="仿宋_GB2312"/>
          <w:b/>
          <w:bCs/>
          <w:color w:val="000000"/>
          <w:sz w:val="32"/>
        </w:rPr>
        <w:t>四是</w:t>
      </w:r>
      <w:r>
        <w:rPr>
          <w:rFonts w:hint="eastAsia" w:eastAsia="仿宋_GB2312"/>
          <w:color w:val="000000"/>
          <w:sz w:val="32"/>
        </w:rPr>
        <w:t>持续搞好体教结合，积极招收水上项目队员，持续为省、市输入后备体育力量，打造竞技体育示范品牌</w:t>
      </w:r>
      <w:r>
        <w:rPr>
          <w:rFonts w:hint="eastAsia" w:ascii="仿宋_GB2312" w:hAnsi="仿宋_GB2312" w:eastAsia="仿宋_GB2312" w:cs="仿宋_GB2312"/>
          <w:color w:val="000000"/>
          <w:sz w:val="32"/>
          <w:szCs w:val="32"/>
        </w:rPr>
        <w:t>。截至目前，共向省水上项目运动队输送后备人才7人。</w:t>
      </w:r>
    </w:p>
    <w:p w14:paraId="2C5466F1">
      <w:pPr>
        <w:spacing w:line="560" w:lineRule="exact"/>
        <w:ind w:firstLine="640"/>
        <w:rPr>
          <w:rFonts w:ascii="楷体_GB2312" w:hAnsi="楷体_GB2312" w:eastAsia="楷体_GB2312" w:cs="楷体_GB2312"/>
          <w:b/>
          <w:bCs/>
          <w:color w:val="000000"/>
          <w:sz w:val="32"/>
          <w:szCs w:val="32"/>
        </w:rPr>
      </w:pPr>
      <w:r>
        <w:rPr>
          <w:rFonts w:hint="eastAsia" w:ascii="仿宋_GB2312" w:hAnsi="仿宋_GB2312" w:eastAsia="仿宋_GB2312" w:cs="仿宋_GB2312"/>
          <w:b/>
          <w:bCs/>
          <w:sz w:val="32"/>
          <w:szCs w:val="32"/>
        </w:rPr>
        <w:t>（2）打造罗江非遗文化品牌。</w:t>
      </w:r>
      <w:r>
        <w:rPr>
          <w:rFonts w:hint="eastAsia" w:ascii="楷体_GB2312" w:hAnsi="楷体_GB2312" w:eastAsia="楷体_GB2312" w:cs="楷体_GB2312"/>
          <w:b/>
          <w:bCs/>
          <w:color w:val="000000"/>
          <w:sz w:val="32"/>
          <w:szCs w:val="32"/>
        </w:rPr>
        <w:t>一是</w:t>
      </w:r>
      <w:r>
        <w:rPr>
          <w:rFonts w:hint="eastAsia" w:ascii="仿宋_GB2312" w:hAnsi="仿宋_GB2312" w:eastAsia="仿宋_GB2312" w:cs="仿宋_GB2312"/>
          <w:color w:val="000000"/>
          <w:sz w:val="32"/>
          <w:szCs w:val="32"/>
        </w:rPr>
        <w:t>打造非遗美食品牌，开展非遗美食体验，直播带货等系列活动，根据市场发展需要，罗江区正在筹划非遗生态园建设，支持糯米鹅蛋、倒灌菜、罗江豆鸡等有代表性的罗江非遗项目产业化发展，推动相关项目及传承人“走出去”。</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打造非遗经典线路，积极推进非遗元素与旅游线路景区融合，以手工体验、非遗产品伴手礼等形式呈现非遗魅力，打造“非遗之旅”线路品牌。做好特色小镇、传统村落、历史街区非遗的整体性保护。</w:t>
      </w:r>
    </w:p>
    <w:p w14:paraId="4EC62813">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（3）启动全域旅游建设，助推乡村振兴。</w:t>
      </w:r>
      <w:r>
        <w:rPr>
          <w:rFonts w:hint="eastAsia" w:eastAsia="仿宋_GB2312"/>
          <w:color w:val="000000"/>
          <w:sz w:val="32"/>
        </w:rPr>
        <w:t>全域旅游编制规划工作完成全域旅游规划和“十四五”文体广旅板块规划，启动全域旅游</w:t>
      </w:r>
      <w:r>
        <w:rPr>
          <w:rFonts w:hint="eastAsia" w:ascii="仿宋_GB2312" w:hAnsi="仿宋_GB2312" w:eastAsia="仿宋_GB2312" w:cs="仿宋_GB2312"/>
          <w:color w:val="000000"/>
          <w:sz w:val="32"/>
          <w:szCs w:val="32"/>
        </w:rPr>
        <w:t>罗江乡村旅游大环线建设。配合推动万安镇后乐园4A景区建设项目、金山镇嘉禾庄园（原香山鹭岛）建设项目、白马关镇摄影小镇建设项目。结合乡村振兴示范区建设，集中在金山镇明月村、调元镇顺河村、新盛镇老君村、鄢家壁山村打造乡村文化振兴、文旅融合示范点。</w:t>
      </w:r>
      <w:r>
        <w:rPr>
          <w:rFonts w:ascii="仿宋_GB2312" w:hAnsi="仿宋_GB2312" w:eastAsia="仿宋_GB2312" w:cs="仿宋_GB2312"/>
          <w:color w:val="000000"/>
          <w:sz w:val="32"/>
          <w:szCs w:val="32"/>
        </w:rPr>
        <w:t>深度挖掘古蜀文化、三国文化、调元文化、诗歌文化</w:t>
      </w:r>
      <w:r>
        <w:rPr>
          <w:rFonts w:hint="eastAsia" w:ascii="仿宋_GB2312" w:hAnsi="仿宋_GB2312" w:eastAsia="仿宋_GB2312" w:cs="仿宋_GB2312"/>
          <w:color w:val="000000"/>
          <w:sz w:val="32"/>
          <w:szCs w:val="32"/>
        </w:rPr>
        <w:t>等，</w:t>
      </w:r>
      <w:r>
        <w:rPr>
          <w:rFonts w:ascii="仿宋_GB2312" w:hAnsi="仿宋_GB2312" w:eastAsia="仿宋_GB2312" w:cs="仿宋_GB2312"/>
          <w:color w:val="000000"/>
          <w:sz w:val="32"/>
          <w:szCs w:val="32"/>
        </w:rPr>
        <w:t>与旅游产业有机结合</w:t>
      </w:r>
      <w:r>
        <w:rPr>
          <w:rFonts w:hint="eastAsia" w:ascii="仿宋_GB2312" w:hAnsi="仿宋_GB2312" w:eastAsia="仿宋_GB2312" w:cs="仿宋_GB2312"/>
          <w:color w:val="000000"/>
          <w:sz w:val="32"/>
          <w:szCs w:val="32"/>
        </w:rPr>
        <w:t>，配合川菜川剧“戏窝子”“菜园子”打造，以三国文化为主题开展研学旅游，以诗歌文化、民俗体验文化为主题打造乡村旅游目的地。</w:t>
      </w:r>
    </w:p>
    <w:p w14:paraId="4F8E414F">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（4）线上线下齐发力，做好文旅宣传营销。</w:t>
      </w:r>
      <w:r>
        <w:rPr>
          <w:rFonts w:hint="eastAsia" w:ascii="仿宋_GB2312" w:hAnsi="仿宋_GB2312" w:eastAsia="仿宋_GB2312" w:cs="仿宋_GB2312"/>
          <w:sz w:val="32"/>
          <w:szCs w:val="32"/>
        </w:rPr>
        <w:t>一是在疫情防控期间，利用“罗江文旅”微信公众平台推出《调元趣对传奇》、《李调元川菜佳话》、罗江原创音乐季、居家运动教学视频、“云赏春”等系列推文，在缓解群众情绪的同时，推介罗江文化旅游资源，引起强烈社会反响。二是抓住疫情后井喷式旅游需求，结合“5.1”“10.1”等小长假，以“户外、生态、运动”为主题，推出赏花、采摘、运动休闲、诗意乡村等旅游线路攻略，吸引了大量游客到罗江参观游玩。三是利用“幸福罗江”APP、全省“智游天府”平台，对全区各类文旅资源、资讯、美食、民宿等进行推介，并结合成渝双城经济圈建设，组织辖区内涉旅企业对成渝地区游客推出多项优惠政策，扩宽旅游市场。四是成功举办罗江第十五届贵妃枣生态旅游节、德阳市2020川菜川剧文化周等特色文旅活动，推动农文旅、商文旅融合，有效刺激文旅市场经济复苏。</w:t>
      </w:r>
    </w:p>
    <w:p w14:paraId="024CCCAE">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2020年度，全区接待游客379.8万人次，实现旅游收入28.49亿元。</w:t>
      </w:r>
    </w:p>
    <w:p w14:paraId="33391919">
      <w:pPr>
        <w:pStyle w:val="5"/>
        <w:spacing w:before="0" w:after="0" w:line="600" w:lineRule="exact"/>
        <w:rPr>
          <w:rStyle w:val="28"/>
          <w:rFonts w:ascii="黑体" w:hAnsi="黑体" w:eastAsia="黑体"/>
          <w:b w:val="0"/>
          <w:bCs w:val="0"/>
        </w:rPr>
      </w:pPr>
      <w:bookmarkStart w:id="20" w:name="_Toc15377200"/>
      <w:bookmarkStart w:id="21" w:name="_Toc15396601"/>
      <w:r>
        <w:rPr>
          <w:rStyle w:val="28"/>
          <w:rFonts w:hint="eastAsia" w:ascii="黑体" w:hAnsi="黑体" w:eastAsia="黑体"/>
          <w:b w:val="0"/>
          <w:bCs w:val="0"/>
        </w:rPr>
        <w:t>二、机构设置</w:t>
      </w:r>
      <w:bookmarkEnd w:id="20"/>
      <w:bookmarkEnd w:id="21"/>
    </w:p>
    <w:p w14:paraId="15880899">
      <w:pPr>
        <w:pStyle w:val="5"/>
        <w:spacing w:before="0" w:after="0" w:line="600" w:lineRule="exact"/>
        <w:rPr>
          <w:rFonts w:ascii="仿宋" w:hAnsi="仿宋" w:eastAsia="仿宋" w:cs="仿宋"/>
          <w:b w:val="0"/>
          <w:bCs w:val="0"/>
          <w:color w:val="000000"/>
        </w:rPr>
      </w:pPr>
      <w:r>
        <w:rPr>
          <w:rFonts w:hint="eastAsia" w:ascii="仿宋" w:hAnsi="仿宋" w:eastAsia="仿宋" w:cs="仿宋"/>
          <w:color w:val="000000"/>
        </w:rPr>
        <w:t xml:space="preserve">    </w:t>
      </w:r>
      <w:r>
        <w:rPr>
          <w:rFonts w:hint="eastAsia" w:ascii="仿宋" w:hAnsi="仿宋" w:eastAsia="仿宋" w:cs="仿宋"/>
          <w:b w:val="0"/>
          <w:bCs w:val="0"/>
          <w:color w:val="000000"/>
        </w:rPr>
        <w:t>德阳市罗江区文化体育广播电视和旅游局下属二级单位6个，其中参照公务员法管理的事业单位2个，其他事业单位4个。</w:t>
      </w:r>
    </w:p>
    <w:p w14:paraId="00485A56">
      <w:pPr>
        <w:pStyle w:val="8"/>
        <w:adjustRightInd w:val="0"/>
        <w:snapToGrid w:val="0"/>
        <w:spacing w:beforeLines="0"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纳入德阳市罗江区文化体育广播电视和旅游局2020年度部门决算编制范围的二级预算单位包括：</w:t>
      </w:r>
    </w:p>
    <w:p w14:paraId="51F8E398">
      <w:pPr>
        <w:pStyle w:val="8"/>
        <w:adjustRightInd w:val="0"/>
        <w:snapToGrid w:val="0"/>
        <w:spacing w:beforeLines="0"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1.德阳市罗江区文化体育和旅游产业发展服务中心</w:t>
      </w:r>
    </w:p>
    <w:p w14:paraId="2F4DCBD5">
      <w:pPr>
        <w:pStyle w:val="8"/>
        <w:adjustRightInd w:val="0"/>
        <w:snapToGrid w:val="0"/>
        <w:spacing w:beforeLines="0"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2.罗江县文化市场综合执法大队</w:t>
      </w:r>
    </w:p>
    <w:p w14:paraId="39D9C6AA">
      <w:pPr>
        <w:widowControl/>
        <w:spacing w:line="600" w:lineRule="exact"/>
        <w:ind w:firstLine="640"/>
        <w:jc w:val="left"/>
        <w:rPr>
          <w:rFonts w:ascii="仿宋" w:hAnsi="仿宋" w:eastAsia="仿宋"/>
          <w:color w:val="000000"/>
          <w:sz w:val="32"/>
          <w:szCs w:val="32"/>
        </w:rPr>
      </w:pPr>
      <w:r>
        <w:rPr>
          <w:rFonts w:hint="eastAsia" w:ascii="仿宋" w:hAnsi="仿宋" w:eastAsia="仿宋"/>
          <w:color w:val="000000"/>
          <w:sz w:val="32"/>
          <w:szCs w:val="32"/>
        </w:rPr>
        <w:t>3.德阳市罗江区文化馆</w:t>
      </w:r>
    </w:p>
    <w:p w14:paraId="0EA3F220">
      <w:pPr>
        <w:widowControl/>
        <w:spacing w:line="600" w:lineRule="exact"/>
        <w:ind w:firstLine="640"/>
        <w:jc w:val="left"/>
        <w:rPr>
          <w:rFonts w:ascii="仿宋" w:hAnsi="仿宋" w:eastAsia="仿宋"/>
          <w:color w:val="000000"/>
          <w:sz w:val="32"/>
          <w:szCs w:val="32"/>
        </w:rPr>
      </w:pPr>
      <w:r>
        <w:rPr>
          <w:rFonts w:hint="eastAsia" w:ascii="仿宋" w:hAnsi="仿宋" w:eastAsia="仿宋"/>
          <w:color w:val="000000"/>
          <w:sz w:val="32"/>
          <w:szCs w:val="32"/>
        </w:rPr>
        <w:t>4.德阳市罗江区图书馆</w:t>
      </w:r>
    </w:p>
    <w:p w14:paraId="1FB1C894">
      <w:pPr>
        <w:widowControl/>
        <w:spacing w:line="600" w:lineRule="exact"/>
        <w:ind w:firstLine="640"/>
        <w:jc w:val="left"/>
        <w:rPr>
          <w:rFonts w:ascii="仿宋" w:hAnsi="仿宋" w:eastAsia="仿宋"/>
          <w:color w:val="000000"/>
          <w:sz w:val="32"/>
          <w:szCs w:val="32"/>
        </w:rPr>
      </w:pPr>
      <w:r>
        <w:rPr>
          <w:rFonts w:hint="eastAsia" w:ascii="仿宋" w:hAnsi="仿宋" w:eastAsia="仿宋"/>
          <w:color w:val="000000"/>
          <w:sz w:val="32"/>
          <w:szCs w:val="32"/>
        </w:rPr>
        <w:t>5.德阳市罗江区文物保护管理所</w:t>
      </w:r>
    </w:p>
    <w:p w14:paraId="563B3554">
      <w:pPr>
        <w:spacing w:line="600" w:lineRule="exact"/>
        <w:ind w:firstLine="640" w:firstLineChars="200"/>
        <w:rPr>
          <w:rFonts w:ascii="仿宋" w:hAnsi="仿宋" w:eastAsia="仿宋"/>
          <w:sz w:val="32"/>
          <w:szCs w:val="32"/>
        </w:rPr>
      </w:pPr>
      <w:r>
        <w:rPr>
          <w:rFonts w:hint="eastAsia" w:ascii="仿宋" w:hAnsi="仿宋" w:eastAsia="仿宋"/>
          <w:color w:val="000000"/>
          <w:sz w:val="32"/>
          <w:szCs w:val="32"/>
        </w:rPr>
        <w:t>6.德阳市罗江区博物馆</w:t>
      </w:r>
      <w:r>
        <w:rPr>
          <w:rFonts w:ascii="仿宋" w:hAnsi="仿宋" w:eastAsia="仿宋"/>
          <w:color w:val="000000"/>
          <w:sz w:val="32"/>
          <w:szCs w:val="32"/>
        </w:rPr>
        <w:br w:type="page"/>
      </w:r>
    </w:p>
    <w:p w14:paraId="2BB5BD43">
      <w:pPr>
        <w:pStyle w:val="4"/>
        <w:ind w:right="440"/>
        <w:jc w:val="right"/>
        <w:rPr>
          <w:rStyle w:val="27"/>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7"/>
          <w:rFonts w:hint="eastAsia" w:ascii="黑体" w:hAnsi="黑体" w:eastAsia="黑体"/>
          <w:b w:val="0"/>
          <w:bCs w:val="0"/>
        </w:rPr>
        <w:t>2020年度部门决算情况说明</w:t>
      </w:r>
      <w:bookmarkEnd w:id="22"/>
      <w:bookmarkEnd w:id="23"/>
    </w:p>
    <w:p w14:paraId="73203646"/>
    <w:p w14:paraId="1E61C5D7">
      <w:pPr>
        <w:pStyle w:val="26"/>
        <w:numPr>
          <w:ilvl w:val="0"/>
          <w:numId w:val="1"/>
        </w:numPr>
        <w:spacing w:line="600" w:lineRule="exact"/>
        <w:ind w:firstLineChars="0"/>
        <w:outlineLvl w:val="1"/>
        <w:rPr>
          <w:rStyle w:val="28"/>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14:paraId="66847510">
      <w:pPr>
        <w:spacing w:line="600" w:lineRule="exact"/>
        <w:ind w:firstLine="640" w:firstLineChars="200"/>
        <w:rPr>
          <w:rFonts w:ascii="仿宋" w:hAnsi="仿宋" w:eastAsia="仿宋"/>
          <w:b/>
          <w:color w:val="FF0000"/>
          <w:sz w:val="32"/>
          <w:szCs w:val="32"/>
        </w:rPr>
      </w:pPr>
      <w:r>
        <w:rPr>
          <w:rFonts w:hint="eastAsia" w:ascii="仿宋" w:hAnsi="仿宋" w:eastAsia="仿宋"/>
          <w:color w:val="000000"/>
          <w:sz w:val="32"/>
          <w:szCs w:val="32"/>
        </w:rPr>
        <w:t>2020年度收入总计1521.06万元，支出总计1010.47万元。与2019年相比，收入减少19816.63万元，下降92.87%，支出减少20236.53万元，下降95.24%。主要变动原因是项目经费减少。</w:t>
      </w:r>
    </w:p>
    <w:p w14:paraId="38AE7F6F">
      <w:pPr>
        <w:pStyle w:val="2"/>
        <w:ind w:firstLine="643"/>
        <w:rPr>
          <w:rFonts w:ascii="仿宋" w:hAnsi="仿宋" w:eastAsia="仿宋"/>
          <w:b/>
          <w:color w:val="FF0000"/>
          <w:sz w:val="32"/>
          <w:szCs w:val="32"/>
        </w:rPr>
      </w:pPr>
      <w:r>
        <w:rPr>
          <w:rFonts w:ascii="仿宋" w:hAnsi="仿宋" w:eastAsia="仿宋"/>
          <w:b/>
          <w:color w:val="FF0000"/>
          <w:sz w:val="32"/>
          <w:szCs w:val="32"/>
        </w:rPr>
        <w:drawing>
          <wp:inline distT="0" distB="0" distL="0" distR="0">
            <wp:extent cx="4953000" cy="307657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EA1A704">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3DB14E0B">
      <w:pPr>
        <w:spacing w:line="600" w:lineRule="exact"/>
        <w:ind w:firstLine="640" w:firstLineChars="200"/>
        <w:jc w:val="left"/>
        <w:rPr>
          <w:rFonts w:ascii="仿宋_GB2312" w:eastAsia="仿宋_GB2312"/>
          <w:color w:val="000000"/>
          <w:sz w:val="32"/>
          <w:szCs w:val="32"/>
        </w:rPr>
      </w:pPr>
    </w:p>
    <w:p w14:paraId="17A6137B">
      <w:pPr>
        <w:pStyle w:val="26"/>
        <w:numPr>
          <w:ilvl w:val="0"/>
          <w:numId w:val="1"/>
        </w:numPr>
        <w:spacing w:line="600" w:lineRule="exact"/>
        <w:ind w:firstLineChars="0"/>
        <w:outlineLvl w:val="1"/>
        <w:rPr>
          <w:rStyle w:val="2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14:paraId="0821F61A">
      <w:pPr>
        <w:spacing w:line="600" w:lineRule="exact"/>
        <w:ind w:firstLine="640" w:firstLineChars="200"/>
        <w:outlineLvl w:val="1"/>
        <w:rPr>
          <w:rFonts w:ascii="仿宋" w:hAnsi="仿宋" w:eastAsia="仿宋"/>
          <w:color w:val="FF0000"/>
          <w:sz w:val="32"/>
          <w:szCs w:val="32"/>
        </w:rPr>
      </w:pPr>
      <w:r>
        <w:rPr>
          <w:rFonts w:hint="eastAsia" w:ascii="仿宋" w:hAnsi="仿宋" w:eastAsia="仿宋"/>
          <w:color w:val="000000"/>
          <w:sz w:val="32"/>
          <w:szCs w:val="32"/>
        </w:rPr>
        <w:t>2020年本年收入合计1521.06万元，其中：一般公共预算财政拨款收入1417.73万元，占93.21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；政府性基金预算财政拨款收入103.33万元，占6.79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4F9730CF">
      <w:pPr>
        <w:pStyle w:val="2"/>
        <w:ind w:left="0" w:leftChars="0" w:firstLine="0" w:firstLineChars="0"/>
      </w:pPr>
    </w:p>
    <w:p w14:paraId="1C122BEC">
      <w:pPr>
        <w:pStyle w:val="2"/>
      </w:pPr>
      <w:r>
        <w:drawing>
          <wp:inline distT="0" distB="0" distL="0" distR="0">
            <wp:extent cx="5029200" cy="2200275"/>
            <wp:effectExtent l="0" t="0" r="1905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D6120F">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14:paraId="7C5F514F">
      <w:pPr>
        <w:spacing w:line="600" w:lineRule="exact"/>
        <w:ind w:firstLine="640" w:firstLineChars="200"/>
        <w:rPr>
          <w:rFonts w:ascii="仿宋_GB2312" w:eastAsia="仿宋_GB2312"/>
          <w:color w:val="FF0000"/>
          <w:sz w:val="32"/>
          <w:szCs w:val="32"/>
        </w:rPr>
      </w:pPr>
    </w:p>
    <w:p w14:paraId="30F8D541">
      <w:pPr>
        <w:pStyle w:val="26"/>
        <w:numPr>
          <w:ilvl w:val="0"/>
          <w:numId w:val="1"/>
        </w:numPr>
        <w:spacing w:line="600" w:lineRule="exact"/>
        <w:ind w:firstLineChars="0"/>
        <w:outlineLvl w:val="1"/>
        <w:rPr>
          <w:rStyle w:val="2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14:paraId="44D35B40">
      <w:pPr>
        <w:spacing w:line="600"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2020年本年支出合计1010.47万元，其中：基本支出429.05万元，占42.46</w:t>
      </w:r>
      <w:r>
        <w:rPr>
          <w:rFonts w:ascii="仿宋" w:hAnsi="仿宋" w:eastAsia="仿宋"/>
          <w:color w:val="000000"/>
          <w:sz w:val="32"/>
          <w:szCs w:val="32"/>
        </w:rPr>
        <w:t>%</w:t>
      </w:r>
      <w:r>
        <w:rPr>
          <w:rFonts w:hint="eastAsia" w:ascii="仿宋" w:hAnsi="仿宋" w:eastAsia="仿宋"/>
          <w:color w:val="000000"/>
          <w:sz w:val="32"/>
          <w:szCs w:val="32"/>
        </w:rPr>
        <w:t>；项目支出581.42万元，占57.54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704AAC73">
      <w:pPr>
        <w:pStyle w:val="2"/>
        <w:ind w:left="0" w:leftChars="0" w:firstLine="0" w:firstLineChars="0"/>
      </w:pPr>
    </w:p>
    <w:p w14:paraId="6D1D369F">
      <w:pPr>
        <w:pStyle w:val="2"/>
      </w:pPr>
      <w:r>
        <w:rPr>
          <w:rFonts w:hint="eastAsia"/>
        </w:rPr>
        <w:drawing>
          <wp:inline distT="0" distB="0" distL="0" distR="0">
            <wp:extent cx="4362450" cy="238125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8511D2">
      <w:pPr>
        <w:spacing w:line="600" w:lineRule="exact"/>
        <w:ind w:firstLine="640" w:firstLineChars="200"/>
        <w:jc w:val="center"/>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（图3：支出决算结构图）（饼状图）</w:t>
      </w:r>
    </w:p>
    <w:p w14:paraId="2B10265B">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14:paraId="4F6159E3">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2020年财政拨款收入决算总计1521.06万元，财政拨款支出决算总计1010.47万元， 与2019年相比，财政拨款收入总计收入减少19816.63万元，下降92.87%，财政拨款支出减少20236.53万元，下降95.24%。主要变动原因是项目经费减少。</w:t>
      </w:r>
    </w:p>
    <w:p w14:paraId="57EF2935">
      <w:pPr>
        <w:pStyle w:val="2"/>
      </w:pPr>
      <w:r>
        <w:drawing>
          <wp:inline distT="0" distB="0" distL="0" distR="0">
            <wp:extent cx="4705350" cy="2733675"/>
            <wp:effectExtent l="0" t="0" r="1905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BEFBF8">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14:paraId="4DAE43FA">
      <w:pPr>
        <w:spacing w:line="600" w:lineRule="exact"/>
        <w:ind w:firstLine="640"/>
        <w:rPr>
          <w:rFonts w:ascii="仿宋" w:hAnsi="仿宋" w:eastAsia="仿宋"/>
          <w:b/>
          <w:color w:val="00B050"/>
          <w:sz w:val="32"/>
          <w:szCs w:val="32"/>
        </w:rPr>
      </w:pPr>
    </w:p>
    <w:p w14:paraId="30E23F1B">
      <w:pPr>
        <w:spacing w:line="600" w:lineRule="exact"/>
        <w:ind w:firstLine="640" w:firstLineChars="200"/>
        <w:outlineLvl w:val="1"/>
        <w:rPr>
          <w:rStyle w:val="28"/>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14:paraId="70185148">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13DD3D08">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2020年一般公共预算财政拨款支出890.61万元，占本年支出合计的88.14</w:t>
      </w:r>
      <w:r>
        <w:rPr>
          <w:rFonts w:ascii="仿宋" w:hAnsi="仿宋" w:eastAsia="仿宋"/>
          <w:color w:val="000000"/>
          <w:sz w:val="32"/>
          <w:szCs w:val="32"/>
        </w:rPr>
        <w:t>%</w:t>
      </w:r>
      <w:r>
        <w:rPr>
          <w:rFonts w:hint="eastAsia" w:ascii="仿宋" w:hAnsi="仿宋" w:eastAsia="仿宋"/>
          <w:color w:val="000000"/>
          <w:sz w:val="32"/>
          <w:szCs w:val="32"/>
        </w:rPr>
        <w:t>。与2019年相比，一般公共预算财政拨款减少156.34万元，下降14.93</w:t>
      </w:r>
      <w:r>
        <w:rPr>
          <w:rFonts w:ascii="仿宋" w:hAnsi="仿宋" w:eastAsia="仿宋"/>
          <w:color w:val="000000"/>
          <w:sz w:val="32"/>
          <w:szCs w:val="32"/>
        </w:rPr>
        <w:t>%</w:t>
      </w:r>
      <w:r>
        <w:rPr>
          <w:rFonts w:hint="eastAsia" w:ascii="仿宋" w:hAnsi="仿宋" w:eastAsia="仿宋"/>
          <w:color w:val="000000"/>
          <w:sz w:val="32"/>
          <w:szCs w:val="32"/>
        </w:rPr>
        <w:t xml:space="preserve">。主要变动原因是项目经费减少。                          </w:t>
      </w:r>
    </w:p>
    <w:p w14:paraId="333EFE3B">
      <w:pPr>
        <w:pStyle w:val="2"/>
        <w:ind w:left="0" w:leftChars="0" w:firstLine="0" w:firstLineChars="0"/>
      </w:pPr>
    </w:p>
    <w:p w14:paraId="5C3C3A4E">
      <w:pPr>
        <w:pStyle w:val="2"/>
      </w:pPr>
      <w:r>
        <w:drawing>
          <wp:inline distT="0" distB="0" distL="0" distR="0">
            <wp:extent cx="4286250" cy="3028950"/>
            <wp:effectExtent l="0" t="0" r="1905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63152D">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14:paraId="2ACA6713">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4618BC87">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162F5DD8">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rPr>
        <w:t>2020年一般公共预算财</w:t>
      </w:r>
      <w:r>
        <w:rPr>
          <w:rFonts w:hint="eastAsia" w:ascii="仿宋" w:hAnsi="仿宋" w:eastAsia="仿宋"/>
          <w:color w:val="000000" w:themeColor="text1"/>
          <w:sz w:val="32"/>
          <w:szCs w:val="32"/>
          <w14:textFill>
            <w14:solidFill>
              <w14:schemeClr w14:val="tx1"/>
            </w14:solidFill>
          </w14:textFill>
        </w:rPr>
        <w:t>政拨款支出890.61万元，主要用于以下方面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文化旅游体育与传媒（类）支出751.10万元，占84.34</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支出61.10万元，占 6.86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10.68万元，占1.20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；城乡社区支出41.05万元，占4.61%；住房保障支出 26.68万元，占2.99%。</w:t>
      </w:r>
    </w:p>
    <w:p w14:paraId="29380411">
      <w:pPr>
        <w:pStyle w:val="2"/>
      </w:pPr>
    </w:p>
    <w:p w14:paraId="5283A92B">
      <w:pPr>
        <w:pStyle w:val="2"/>
      </w:pPr>
      <w:r>
        <w:drawing>
          <wp:inline distT="0" distB="0" distL="0" distR="0">
            <wp:extent cx="4838700" cy="291465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36B19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6059B986">
      <w:pPr>
        <w:spacing w:line="600" w:lineRule="exact"/>
        <w:ind w:firstLine="640" w:firstLineChars="200"/>
        <w:rPr>
          <w:rFonts w:ascii="仿宋" w:hAnsi="仿宋" w:eastAsia="仿宋"/>
          <w:color w:val="000000"/>
          <w:sz w:val="32"/>
          <w:szCs w:val="32"/>
        </w:rPr>
      </w:pPr>
    </w:p>
    <w:p w14:paraId="4327978D">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5925498B">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2020年般公共预算支出决算数为890.61</w:t>
      </w:r>
      <w:r>
        <w:rPr>
          <w:rFonts w:hint="eastAsia" w:ascii="仿宋" w:hAnsi="仿宋" w:eastAsia="仿宋"/>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完成</w:t>
      </w:r>
      <w:r>
        <w:rPr>
          <w:rStyle w:val="17"/>
          <w:rFonts w:hint="eastAsia" w:ascii="仿宋" w:hAnsi="仿宋" w:eastAsia="仿宋"/>
          <w:bCs/>
          <w:color w:val="000000"/>
          <w:sz w:val="32"/>
          <w:szCs w:val="32"/>
        </w:rPr>
        <w:t>预算55.46</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7"/>
      <w:bookmarkEnd w:id="38"/>
      <w:bookmarkEnd w:id="39"/>
    </w:p>
    <w:p w14:paraId="5EC5F97A">
      <w:pPr>
        <w:numPr>
          <w:ilvl w:val="0"/>
          <w:numId w:val="2"/>
        </w:num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一般公共服务支出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14:paraId="048AB391">
      <w:pPr>
        <w:spacing w:line="600" w:lineRule="exact"/>
        <w:rPr>
          <w:rFonts w:ascii="仿宋" w:hAnsi="仿宋" w:eastAsia="仿宋"/>
          <w:b/>
          <w:color w:val="000000"/>
          <w:sz w:val="32"/>
          <w:szCs w:val="32"/>
        </w:rPr>
      </w:pPr>
      <w:r>
        <w:rPr>
          <w:rStyle w:val="17"/>
          <w:rFonts w:hint="eastAsia" w:ascii="仿宋" w:hAnsi="仿宋" w:eastAsia="仿宋"/>
          <w:bCs/>
          <w:color w:val="000000"/>
          <w:sz w:val="32"/>
          <w:szCs w:val="32"/>
        </w:rPr>
        <w:t xml:space="preserve">    </w:t>
      </w:r>
      <w:r>
        <w:rPr>
          <w:rStyle w:val="17"/>
          <w:rFonts w:ascii="仿宋" w:hAnsi="仿宋" w:eastAsia="仿宋"/>
          <w:bCs/>
          <w:color w:val="000000"/>
          <w:sz w:val="32"/>
          <w:szCs w:val="32"/>
        </w:rPr>
        <w:t>2.</w:t>
      </w:r>
      <w:r>
        <w:rPr>
          <w:rStyle w:val="17"/>
          <w:rFonts w:hint="eastAsia" w:ascii="仿宋" w:hAnsi="仿宋" w:eastAsia="仿宋"/>
          <w:bCs/>
          <w:color w:val="000000"/>
          <w:sz w:val="32"/>
          <w:szCs w:val="32"/>
        </w:rPr>
        <w:t>教育支出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14:paraId="2AE49A94">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3.</w:t>
      </w:r>
      <w:r>
        <w:rPr>
          <w:rStyle w:val="17"/>
          <w:rFonts w:hint="eastAsia" w:ascii="仿宋" w:hAnsi="仿宋" w:eastAsia="仿宋"/>
          <w:bCs/>
          <w:color w:val="000000"/>
          <w:sz w:val="32"/>
          <w:szCs w:val="32"/>
        </w:rPr>
        <w:t>科学技术支出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14:paraId="3376BD0F">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4.</w:t>
      </w:r>
      <w:r>
        <w:rPr>
          <w:rStyle w:val="17"/>
          <w:rFonts w:hint="eastAsia" w:ascii="仿宋" w:hAnsi="仿宋" w:eastAsia="仿宋"/>
          <w:bCs/>
          <w:color w:val="000000"/>
          <w:sz w:val="32"/>
          <w:szCs w:val="32"/>
        </w:rPr>
        <w:t>文化旅游体育与传媒支出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支出决算为751.10万元，完成预算54.37</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，决算数小于预算数的主要原因是项目未实施完成 ，资金未列支。</w:t>
      </w:r>
    </w:p>
    <w:p w14:paraId="03441A5F">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文化和旅游427.40万元，完成预算 96.78%；</w:t>
      </w:r>
    </w:p>
    <w:p w14:paraId="3F39F0B5">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行政运行242.63万元，完成预算100%；</w:t>
      </w:r>
    </w:p>
    <w:p w14:paraId="30F13F61">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一般行政管理事务11.9万元，完成预算100%；</w:t>
      </w:r>
    </w:p>
    <w:p w14:paraId="4FF73319">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图书馆16.71万元，完成预算100%</w:t>
      </w:r>
    </w:p>
    <w:p w14:paraId="5CCA00B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群众文化28.78万元，完成预算100%；</w:t>
      </w:r>
    </w:p>
    <w:p w14:paraId="25B031F1">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文化和旅游市场管理5万元，完成预算100%；</w:t>
      </w:r>
    </w:p>
    <w:p w14:paraId="69C15331">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其他文化和旅游支出122.38万元，完成预算89.96%；</w:t>
      </w:r>
    </w:p>
    <w:p w14:paraId="35F34CEF">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文物88.47元，完成预算85.50%；</w:t>
      </w:r>
    </w:p>
    <w:p w14:paraId="348E5CC3">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文物保护57.47万元，完成预算100%；</w:t>
      </w:r>
    </w:p>
    <w:p w14:paraId="7EB1D4A4">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博物馆6万元，完成预算28.57%；</w:t>
      </w:r>
    </w:p>
    <w:p w14:paraId="1F92B446">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其他文物支出25万元，完成预算100%；</w:t>
      </w:r>
    </w:p>
    <w:p w14:paraId="005EA064">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体育39.25万元，完成预算7.55%；</w:t>
      </w:r>
    </w:p>
    <w:p w14:paraId="1C27684D">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体育竞赛4.55万元，完成预算100%；</w:t>
      </w:r>
    </w:p>
    <w:p w14:paraId="595F430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体育场馆0万元；</w:t>
      </w:r>
    </w:p>
    <w:p w14:paraId="166F01C6">
      <w:pPr>
        <w:spacing w:line="600" w:lineRule="exact"/>
        <w:ind w:firstLine="640"/>
      </w:pPr>
      <w:r>
        <w:rPr>
          <w:rFonts w:hint="eastAsia" w:ascii="仿宋_GB2312" w:eastAsia="仿宋_GB2312"/>
          <w:color w:val="000000"/>
          <w:sz w:val="32"/>
          <w:szCs w:val="32"/>
        </w:rPr>
        <w:t>其他体育支出34.7万元，完成预算 100%；</w:t>
      </w:r>
    </w:p>
    <w:p w14:paraId="30F2EE24">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广播电视47.27万元，完成预算100% ；</w:t>
      </w:r>
    </w:p>
    <w:p w14:paraId="40648872">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广播20.4万元，完成预算100%；</w:t>
      </w:r>
    </w:p>
    <w:p w14:paraId="136F0B66">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电视2万元，完成预算100%；</w:t>
      </w:r>
    </w:p>
    <w:p w14:paraId="5CC02C01">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其他广播电视支出24.88万元，完成预算100%</w:t>
      </w:r>
    </w:p>
    <w:p w14:paraId="08E62A3A">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其他文化旅游体育与传媒支出148.70万元，完成预算59.52%；</w:t>
      </w:r>
    </w:p>
    <w:p w14:paraId="7B89ABBF">
      <w:pPr>
        <w:pStyle w:val="2"/>
        <w:ind w:left="0" w:leftChars="0" w:firstLine="0" w:firstLineChars="0"/>
      </w:pPr>
    </w:p>
    <w:p w14:paraId="656F2526">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5.</w:t>
      </w:r>
      <w:r>
        <w:rPr>
          <w:rStyle w:val="17"/>
          <w:rFonts w:hint="eastAsia" w:ascii="仿宋" w:hAnsi="仿宋" w:eastAsia="仿宋"/>
          <w:bCs/>
          <w:color w:val="000000"/>
          <w:sz w:val="32"/>
          <w:szCs w:val="32"/>
        </w:rPr>
        <w:t>社会保障和就业支出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支出决算为61.10万元，完成预算100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4EF2DF2E">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行政事业单位养老支出60.66万元，</w:t>
      </w:r>
      <w:r>
        <w:rPr>
          <w:rFonts w:hint="eastAsia" w:ascii="仿宋_GB2312" w:eastAsia="仿宋_GB2312"/>
          <w:color w:val="000000"/>
          <w:sz w:val="32"/>
          <w:szCs w:val="32"/>
        </w:rPr>
        <w:t>完成预算100%；</w:t>
      </w:r>
    </w:p>
    <w:p w14:paraId="2B90EF68">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机关事业单位基本养老保险缴费支出26.36万元，</w:t>
      </w:r>
      <w:r>
        <w:rPr>
          <w:rFonts w:hint="eastAsia" w:ascii="仿宋_GB2312" w:eastAsia="仿宋_GB2312"/>
          <w:color w:val="000000"/>
          <w:sz w:val="32"/>
          <w:szCs w:val="32"/>
        </w:rPr>
        <w:t>完成预算100%；</w:t>
      </w:r>
    </w:p>
    <w:p w14:paraId="3940C920">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机关事业单位职业年金缴费支出13.18万元，</w:t>
      </w:r>
      <w:r>
        <w:rPr>
          <w:rFonts w:hint="eastAsia" w:ascii="仿宋_GB2312" w:eastAsia="仿宋_GB2312"/>
          <w:color w:val="000000"/>
          <w:sz w:val="32"/>
          <w:szCs w:val="32"/>
        </w:rPr>
        <w:t>完成预算100%；</w:t>
      </w:r>
    </w:p>
    <w:p w14:paraId="4D5C878C">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其他行政事业单位养老支出21.12万元，</w:t>
      </w:r>
      <w:r>
        <w:rPr>
          <w:rFonts w:hint="eastAsia" w:ascii="仿宋_GB2312" w:eastAsia="仿宋_GB2312"/>
          <w:color w:val="000000"/>
          <w:sz w:val="32"/>
          <w:szCs w:val="32"/>
        </w:rPr>
        <w:t>完成预算100%；</w:t>
      </w:r>
    </w:p>
    <w:p w14:paraId="63A4132E">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其他社会保障和就业支出0.44万元，</w:t>
      </w:r>
      <w:r>
        <w:rPr>
          <w:rFonts w:hint="eastAsia" w:ascii="仿宋_GB2312" w:eastAsia="仿宋_GB2312"/>
          <w:color w:val="000000"/>
          <w:sz w:val="32"/>
          <w:szCs w:val="32"/>
        </w:rPr>
        <w:t>完成预算100%；</w:t>
      </w:r>
    </w:p>
    <w:p w14:paraId="5B914FFB">
      <w:pPr>
        <w:spacing w:line="600" w:lineRule="exact"/>
        <w:rPr>
          <w:rStyle w:val="17"/>
          <w:rFonts w:ascii="仿宋" w:hAnsi="仿宋" w:eastAsia="仿宋"/>
          <w:b w:val="0"/>
          <w:bCs/>
          <w:color w:val="000000"/>
          <w:sz w:val="32"/>
          <w:szCs w:val="32"/>
        </w:rPr>
      </w:pPr>
      <w:r>
        <w:rPr>
          <w:rStyle w:val="17"/>
          <w:rFonts w:hint="eastAsia" w:ascii="仿宋" w:hAnsi="仿宋" w:eastAsia="仿宋"/>
          <w:bCs/>
          <w:color w:val="000000"/>
          <w:sz w:val="32"/>
          <w:szCs w:val="32"/>
        </w:rPr>
        <w:t xml:space="preserve">    </w:t>
      </w:r>
      <w:r>
        <w:rPr>
          <w:rStyle w:val="17"/>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支出决算为10.68万元，完成预算100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0E01DD83">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行政事业单位医疗10.69万元，完成预算100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631665C3">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行政单位医疗6.90万元，完成预算100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7684CB1C">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事业单位医疗2.96万元，完成预算100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02B1D820">
      <w:pPr>
        <w:spacing w:line="600" w:lineRule="exact"/>
      </w:pPr>
      <w:r>
        <w:rPr>
          <w:rStyle w:val="17"/>
          <w:rFonts w:hint="eastAsia" w:ascii="仿宋" w:hAnsi="仿宋" w:eastAsia="仿宋"/>
          <w:b w:val="0"/>
          <w:bCs/>
          <w:color w:val="000000"/>
          <w:sz w:val="32"/>
          <w:szCs w:val="32"/>
        </w:rPr>
        <w:t xml:space="preserve">    其他行政事业单位医疗支出0.82万元，完成预算100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EB2C31C">
      <w:pPr>
        <w:spacing w:line="600" w:lineRule="exact"/>
        <w:ind w:firstLine="640" w:firstLineChars="200"/>
      </w:pPr>
      <w:r>
        <w:rPr>
          <w:rFonts w:hint="eastAsia" w:ascii="仿宋" w:hAnsi="仿宋" w:eastAsia="仿宋"/>
          <w:color w:val="000000"/>
          <w:sz w:val="32"/>
          <w:szCs w:val="32"/>
        </w:rPr>
        <w:t>7.城乡社区支出：支出决算为41.05万元，完成预算41.05%。</w:t>
      </w:r>
    </w:p>
    <w:p w14:paraId="5C483DEB">
      <w:pPr>
        <w:pStyle w:val="2"/>
        <w:ind w:left="0" w:leftChars="0" w:firstLine="645" w:firstLineChars="0"/>
        <w:rPr>
          <w:rFonts w:ascii="仿宋" w:hAnsi="仿宋" w:eastAsia="仿宋"/>
          <w:color w:val="000000"/>
          <w:sz w:val="32"/>
          <w:szCs w:val="32"/>
        </w:rPr>
      </w:pPr>
      <w:r>
        <w:rPr>
          <w:rFonts w:hint="eastAsia" w:ascii="仿宋" w:hAnsi="仿宋" w:eastAsia="仿宋"/>
          <w:color w:val="000000"/>
          <w:sz w:val="32"/>
          <w:szCs w:val="32"/>
        </w:rPr>
        <w:t>8.住房保障支出：支出决算为26.68万元，完成预算100%。</w:t>
      </w:r>
    </w:p>
    <w:p w14:paraId="004C27B7">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住房改革支出26.68万元，完成预算100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6029D729">
      <w:pPr>
        <w:spacing w:line="600" w:lineRule="exact"/>
        <w:rPr>
          <w:rFonts w:ascii="仿宋" w:hAnsi="仿宋" w:eastAsia="仿宋"/>
          <w:b/>
          <w:color w:val="000000"/>
          <w:sz w:val="32"/>
          <w:szCs w:val="32"/>
        </w:rPr>
      </w:pPr>
      <w:r>
        <w:rPr>
          <w:rStyle w:val="17"/>
          <w:rFonts w:hint="eastAsia" w:ascii="仿宋" w:hAnsi="仿宋" w:eastAsia="仿宋"/>
          <w:b w:val="0"/>
          <w:bCs/>
          <w:color w:val="000000"/>
          <w:sz w:val="32"/>
          <w:szCs w:val="32"/>
        </w:rPr>
        <w:t xml:space="preserve">      住房公积金26.68万元，完成预算100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5DBC4AD2">
      <w:pPr>
        <w:tabs>
          <w:tab w:val="right" w:pos="8306"/>
        </w:tabs>
        <w:spacing w:line="600" w:lineRule="exact"/>
        <w:ind w:firstLine="640"/>
        <w:outlineLvl w:val="1"/>
        <w:rPr>
          <w:rStyle w:val="2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14:paraId="2D3EC181">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2020年一般公共预算财政拨款基本支出429.05万元，其中：</w:t>
      </w:r>
    </w:p>
    <w:p w14:paraId="62B9BAA8">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367.17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61.88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C080C62">
      <w:pPr>
        <w:spacing w:line="600" w:lineRule="exact"/>
        <w:ind w:firstLine="640"/>
        <w:outlineLvl w:val="1"/>
        <w:rPr>
          <w:rStyle w:val="2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14:paraId="45E90AEC">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28AB6C80">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2020年“三公”经费财政拨款支出决算为0.9万元，完成预算22.5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，决算数小于预算数的主要原因是新冠疫情防控特殊时期，减少公务接待。</w:t>
      </w:r>
    </w:p>
    <w:p w14:paraId="58F1F6FB">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7B48217E">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；公务接待费支出决算0.9万元，占100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60DC2A30">
      <w:pPr>
        <w:pStyle w:val="2"/>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104775</wp:posOffset>
            </wp:positionH>
            <wp:positionV relativeFrom="paragraph">
              <wp:posOffset>51435</wp:posOffset>
            </wp:positionV>
            <wp:extent cx="4642485" cy="2049780"/>
            <wp:effectExtent l="4445" t="4445" r="20320" b="2222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373A82D">
      <w:pPr>
        <w:pStyle w:val="2"/>
        <w:ind w:firstLine="640"/>
        <w:rPr>
          <w:rFonts w:ascii="仿宋" w:hAnsi="仿宋" w:eastAsia="仿宋"/>
          <w:color w:val="000000"/>
          <w:sz w:val="32"/>
          <w:szCs w:val="32"/>
        </w:rPr>
      </w:pPr>
    </w:p>
    <w:p w14:paraId="60D7727A">
      <w:pPr>
        <w:pStyle w:val="2"/>
        <w:ind w:firstLine="640"/>
        <w:rPr>
          <w:rFonts w:ascii="仿宋" w:hAnsi="仿宋" w:eastAsia="仿宋"/>
          <w:color w:val="000000"/>
          <w:sz w:val="32"/>
          <w:szCs w:val="32"/>
        </w:rPr>
      </w:pPr>
    </w:p>
    <w:p w14:paraId="488BAE11">
      <w:pPr>
        <w:pStyle w:val="2"/>
        <w:ind w:firstLine="640"/>
        <w:rPr>
          <w:rFonts w:ascii="仿宋" w:hAnsi="仿宋" w:eastAsia="仿宋"/>
          <w:color w:val="000000"/>
          <w:sz w:val="32"/>
          <w:szCs w:val="32"/>
        </w:rPr>
      </w:pPr>
    </w:p>
    <w:p w14:paraId="5F272AF2">
      <w:pPr>
        <w:pStyle w:val="2"/>
        <w:ind w:firstLine="640"/>
        <w:rPr>
          <w:rFonts w:ascii="仿宋" w:hAnsi="仿宋" w:eastAsia="仿宋"/>
          <w:color w:val="000000"/>
          <w:sz w:val="32"/>
          <w:szCs w:val="32"/>
        </w:rPr>
      </w:pPr>
    </w:p>
    <w:p w14:paraId="183580CF">
      <w:pPr>
        <w:spacing w:line="600" w:lineRule="exact"/>
        <w:rPr>
          <w:rFonts w:ascii="仿宋" w:hAnsi="仿宋" w:eastAsia="仿宋"/>
          <w:color w:val="000000"/>
          <w:sz w:val="32"/>
          <w:szCs w:val="32"/>
        </w:rPr>
      </w:pPr>
      <w:r>
        <w:rPr>
          <w:rFonts w:hint="eastAsia" w:ascii="仿宋" w:hAnsi="仿宋" w:eastAsia="仿宋"/>
          <w:color w:val="000000"/>
          <w:sz w:val="32"/>
          <w:szCs w:val="32"/>
        </w:rPr>
        <w:t xml:space="preserve">   （图7：“三公”经费财政拨款支出结构）（饼状图）</w:t>
      </w:r>
    </w:p>
    <w:p w14:paraId="1F46FDA3">
      <w:pPr>
        <w:numPr>
          <w:ilvl w:val="0"/>
          <w:numId w:val="3"/>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全年安排因公出国（境）团组0次，出国（境）0人。因公出国（境）支出决算与2019年相同，主要原因是未安排因公出国（境）。</w:t>
      </w:r>
    </w:p>
    <w:p w14:paraId="09A01804">
      <w:pPr>
        <w:numPr>
          <w:ilvl w:val="0"/>
          <w:numId w:val="3"/>
        </w:num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公务用车购置及运行维护费支出决算与2019年相同，主要公车改革后，我单位无公务用车。</w:t>
      </w:r>
    </w:p>
    <w:p w14:paraId="0DEDB661">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14:paraId="3542B032">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0.9万元，</w:t>
      </w:r>
      <w:r>
        <w:rPr>
          <w:rStyle w:val="17"/>
          <w:rFonts w:hint="eastAsia" w:ascii="仿宋" w:hAnsi="仿宋" w:eastAsia="仿宋"/>
          <w:b w:val="0"/>
          <w:bCs/>
          <w:color w:val="000000"/>
          <w:sz w:val="32"/>
          <w:szCs w:val="32"/>
        </w:rPr>
        <w:t>完成预算22.5</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公务接待费支出决算比2019年减少2.1万元，下降70</w:t>
      </w:r>
      <w:r>
        <w:rPr>
          <w:rFonts w:ascii="仿宋_GB2312" w:eastAsia="仿宋_GB2312"/>
          <w:color w:val="000000"/>
          <w:sz w:val="32"/>
          <w:szCs w:val="32"/>
        </w:rPr>
        <w:t>%</w:t>
      </w:r>
      <w:r>
        <w:rPr>
          <w:rFonts w:hint="eastAsia" w:ascii="仿宋_GB2312" w:eastAsia="仿宋_GB2312"/>
          <w:color w:val="000000"/>
          <w:sz w:val="32"/>
          <w:szCs w:val="32"/>
        </w:rPr>
        <w:t>。主要原因是新冠疫情防控特殊时期，减少公务接待。其中：</w:t>
      </w:r>
    </w:p>
    <w:p w14:paraId="22EC606D">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0.9</w:t>
      </w:r>
      <w:r>
        <w:rPr>
          <w:rFonts w:hint="eastAsia" w:ascii="仿宋_GB2312" w:eastAsia="仿宋_GB2312"/>
          <w:color w:val="000000"/>
          <w:sz w:val="32"/>
          <w:szCs w:val="32"/>
        </w:rPr>
        <w:t>万元，主要用于执行公务、开展业务活动开支的用餐费等。国内公务接待11批次，66人次（不包括陪同人员），共计支出0.9万元，具体内容包括：</w:t>
      </w:r>
    </w:p>
    <w:p w14:paraId="603F4216">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（1）市文化市场对罗江区文化市场综合执法督查800.00元；</w:t>
      </w:r>
    </w:p>
    <w:p w14:paraId="537E431E">
      <w:pPr>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    （2）市文旅局到罗江区文化市场检查工作780.00元；</w:t>
      </w:r>
    </w:p>
    <w:p w14:paraId="78D19FFA">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（3）德阳市人民政府、市文旅局督导罗江区A级旅游景区、文化场所疫情防控安全生产检查1036.00元；</w:t>
      </w:r>
    </w:p>
    <w:p w14:paraId="1A55E745">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（4）接待北京巅峰智业旅游文化创意股份公司沟通全域旅游方案事宜940.00元；</w:t>
      </w:r>
    </w:p>
    <w:p w14:paraId="00A7589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（5）接待深圳众成产业发展有限公司到罗江考察1516.00元</w:t>
      </w:r>
    </w:p>
    <w:p w14:paraId="73509981">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（6）接待市体育局检查白马关体育小镇建设工作328.00元；</w:t>
      </w:r>
    </w:p>
    <w:p w14:paraId="533F240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（7）接待四川公共频道拍摄组到罗江拍摄美丽乡村节目260.00元；</w:t>
      </w:r>
    </w:p>
    <w:p w14:paraId="4F591CB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（8）接待四川省社体中心到罗江调研白马关社会体育事业发展情况1282.00元；</w:t>
      </w:r>
    </w:p>
    <w:p w14:paraId="4543DBCD">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（9）接待市体育局对罗江体育产业调研620.00元；</w:t>
      </w:r>
    </w:p>
    <w:p w14:paraId="37CB1F6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（10）接待中体健康集团到罗江考察体育运动赛事及产业800.00元；</w:t>
      </w:r>
    </w:p>
    <w:p w14:paraId="7233BFC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（11）接待绵阳市安州区文化馆调研罗江文化保护与传承640.00元；</w:t>
      </w:r>
    </w:p>
    <w:p w14:paraId="268BE0B7">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14:paraId="43BC0D86">
      <w:pPr>
        <w:spacing w:line="600" w:lineRule="exact"/>
        <w:ind w:firstLine="640"/>
        <w:outlineLvl w:val="1"/>
        <w:rPr>
          <w:rStyle w:val="28"/>
          <w:rFonts w:ascii="黑体" w:hAnsi="黑体" w:eastAsia="黑体"/>
        </w:rPr>
      </w:pPr>
      <w:bookmarkStart w:id="46" w:name="_Toc15377218"/>
      <w:bookmarkStart w:id="47"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14:paraId="6EB82E7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2020年政府性基金预算拨款支出119.86万元。</w:t>
      </w:r>
    </w:p>
    <w:p w14:paraId="04D9A472">
      <w:pPr>
        <w:spacing w:line="600" w:lineRule="exact"/>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 xml:space="preserve">    九、国有资本经营预算支出决算情况说明</w:t>
      </w:r>
      <w:bookmarkEnd w:id="48"/>
      <w:bookmarkEnd w:id="49"/>
    </w:p>
    <w:p w14:paraId="2D208C32">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2020年国有资本经营预算拨款支出0万元。</w:t>
      </w:r>
    </w:p>
    <w:p w14:paraId="1DDCC5C9">
      <w:pPr>
        <w:spacing w:line="600" w:lineRule="exact"/>
        <w:ind w:firstLine="800" w:firstLineChars="250"/>
        <w:outlineLvl w:val="1"/>
        <w:rPr>
          <w:rStyle w:val="2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14:paraId="3CA97E1A">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0984B134">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2020年，德阳市罗江区文化体育广播电视和旅游局机关运行经费支出56.24万元，比2019年增加17.44万元，增长44.95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主要原因是疫情防控期间，增加购物资经费。</w:t>
      </w:r>
    </w:p>
    <w:p w14:paraId="400E3DA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1808C983">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德阳市罗江区文化体育广播电视和旅游局政府采购支出总额40.34万元，其中：政府采购货物支出40.34万元、政府采购工程支出0万元、政府采购服务支出0万元。主要用于农家书屋图书采购、户户通设备采购、区图书馆购置借阅机及图书。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19036ED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4FF835E4">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日，公车改革，无车辆。</w:t>
      </w:r>
    </w:p>
    <w:p w14:paraId="24D3C00E">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368F476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zh-CN"/>
        </w:rPr>
        <w:t>聘用人员经费、旅游营销运行经费、老体协补助经费、书画院补助经费、群众体育经费、水上项目训练经费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文化市场综合执法经费、“三馆一站”免费开放经费、文物保护经费、文物库房电费、“村村响”运行维护经费、白马关发射台运行维护费、庞统祠博物馆补助经费</w:t>
      </w:r>
      <w:r>
        <w:rPr>
          <w:rFonts w:hint="eastAsia" w:ascii="仿宋_GB2312" w:hAnsi="仿宋_GB2312" w:eastAsia="仿宋_GB2312" w:cs="仿宋_GB2312"/>
          <w:sz w:val="32"/>
          <w:szCs w:val="32"/>
        </w:rPr>
        <w:t>13个项目开展了预算事前绩效评估，对13个项目编制了绩效目标，预算执行过程中，选取5个项目开展绩效监控，年终执行完毕后，对5个项目开展了绩效目标完成情况自评。</w:t>
      </w:r>
    </w:p>
    <w:p w14:paraId="5E6A738F">
      <w:pPr>
        <w:spacing w:line="600" w:lineRule="atLeast"/>
        <w:ind w:firstLine="640" w:firstLineChars="200"/>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开展绩效自评，从评价情况来看13个项目整体绩效能够基本完成，但是时效性不高，质量有待进一步提高。本部门还自行组织了5个项目绩效评价，从评价情况来看各个项目的数量指标能够基本完成，但完成质量不高。</w:t>
      </w:r>
    </w:p>
    <w:p w14:paraId="0D7CC4CF">
      <w:pPr>
        <w:numPr>
          <w:ilvl w:val="0"/>
          <w:numId w:val="4"/>
        </w:numPr>
        <w:spacing w:line="580" w:lineRule="exact"/>
        <w:ind w:firstLine="642"/>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年度部门决算中反映“三馆一站免费开放经费”“水上皮伐艇训练项目经费”“农村广播运行维护经费”等13个项目绩效目标实际完成情况。</w:t>
      </w:r>
    </w:p>
    <w:p w14:paraId="2056EF72">
      <w:pPr>
        <w:spacing w:line="560" w:lineRule="exact"/>
        <w:ind w:firstLine="640" w:firstLineChars="200"/>
      </w:pPr>
      <w:r>
        <w:rPr>
          <w:rFonts w:hint="eastAsia" w:ascii="仿宋_GB2312" w:hAnsi="仿宋_GB2312" w:eastAsia="仿宋_GB2312" w:cs="仿宋_GB2312"/>
          <w:sz w:val="32"/>
          <w:szCs w:val="32"/>
        </w:rPr>
        <w:t>“三馆一站免费开放经费”项目绩效目标完成情况综述。项目全年预算数13.2万元，执行数为13.2万元，完成预算的100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。通过项目实施，保障公益性文艺培训工作及美术、书法、摄影展等公益性活动，开展全民阅读推广活动28次，送书下乡、送书惠民等。</w:t>
      </w:r>
    </w:p>
    <w:p w14:paraId="2C2DA4AD">
      <w:pPr>
        <w:numPr>
          <w:ilvl w:val="0"/>
          <w:numId w:val="5"/>
        </w:numPr>
        <w:spacing w:line="58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农村广播运行维护费”项目绩效目标完成情况综述。项目全年预算20.4万元，执行数为20.4万元，完成预算的100%。通过项目实施，保障对全区“村村响”广播前端设备、终端设备及时维修维护，保障广播设施设备的正常运转。</w:t>
      </w:r>
    </w:p>
    <w:p w14:paraId="6DF8FE1C">
      <w:pPr>
        <w:numPr>
          <w:ilvl w:val="0"/>
          <w:numId w:val="5"/>
        </w:numPr>
        <w:tabs>
          <w:tab w:val="left" w:pos="312"/>
        </w:tabs>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“书画院补助经费”项目绩效目标完成情况综述。项目全年预算5万元，执行数为5万元，完成预算的100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。通过项目实施，保障了书画院正常开展写生、美术展览等工作。</w:t>
      </w:r>
    </w:p>
    <w:p w14:paraId="231A4EF4">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（4）“文化和旅游市场执法经费”项目绩效目标完成情况综述。项目全年预算5万元，执行数为5万元，完成预算的100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全区文化和旅游市场组织出动执法检查人员2500余人次，检查经营单位1200余家次，与各相关部门开展联合执法检查已成为常态化。参与市文旅局、市新闻出版局组织的双随机检查3次，独立组织开展双随机检查2次，承担“扫黄打非”相关执法任务。全年立案查处6家次，办结6家次，其中停业整顿1家次，罚款3家次，不予处罚1家次，撤销立案1家次。责令改正3家次，打掉“黑广播”发射站1个，查获信号发射器1台。受疫情影响，全年组织文化市场经营单位负责人开展集中业务培训2次，参与市级文旅执法部门组织的业务培训4次。</w:t>
      </w:r>
    </w:p>
    <w:p w14:paraId="467F0CE9">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sz w:val="32"/>
          <w:szCs w:val="32"/>
        </w:rPr>
        <w:t>“群众体育活动经费”</w:t>
      </w:r>
      <w:r>
        <w:rPr>
          <w:rFonts w:hint="eastAsia" w:ascii="仿宋_GB2312" w:hAnsi="仿宋_GB2312" w:eastAsia="仿宋_GB2312" w:cs="仿宋_GB2312"/>
          <w:sz w:val="32"/>
          <w:szCs w:val="32"/>
        </w:rPr>
        <w:t>项目绩效目标完成情况综述。项目全年预算5.0万元，执行数为5.0万元，完成预算的100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。通过项目实施，保障罗江区社会体育指导员培训（两期）、全民健身等活动的正常开展。</w:t>
      </w:r>
    </w:p>
    <w:p w14:paraId="00453764">
      <w:pPr>
        <w:pStyle w:val="2"/>
        <w:ind w:firstLine="640"/>
        <w:rPr>
          <w:rFonts w:ascii="仿宋_GB2312" w:hAnsi="仿宋_GB2312" w:eastAsia="仿宋_GB2312" w:cs="仿宋_GB2312"/>
          <w:sz w:val="32"/>
          <w:szCs w:val="32"/>
        </w:rPr>
      </w:pPr>
    </w:p>
    <w:p w14:paraId="3DD603B6">
      <w:pPr>
        <w:pStyle w:val="2"/>
        <w:ind w:firstLine="640"/>
        <w:rPr>
          <w:rFonts w:ascii="仿宋_GB2312" w:hAnsi="仿宋_GB2312" w:eastAsia="仿宋_GB2312" w:cs="仿宋_GB2312"/>
          <w:sz w:val="32"/>
          <w:szCs w:val="32"/>
        </w:rPr>
      </w:pPr>
    </w:p>
    <w:p w14:paraId="0DD4961B">
      <w:pPr>
        <w:pStyle w:val="2"/>
        <w:ind w:firstLine="640"/>
        <w:rPr>
          <w:rFonts w:ascii="仿宋_GB2312" w:hAnsi="仿宋_GB2312" w:eastAsia="仿宋_GB2312" w:cs="仿宋_GB2312"/>
          <w:sz w:val="32"/>
          <w:szCs w:val="32"/>
        </w:rPr>
      </w:pPr>
    </w:p>
    <w:p w14:paraId="451BA61E">
      <w:pPr>
        <w:pStyle w:val="2"/>
        <w:ind w:firstLine="640"/>
        <w:rPr>
          <w:rFonts w:ascii="仿宋_GB2312" w:hAnsi="仿宋_GB2312" w:eastAsia="仿宋_GB2312" w:cs="仿宋_GB2312"/>
          <w:sz w:val="32"/>
          <w:szCs w:val="32"/>
        </w:rPr>
      </w:pPr>
    </w:p>
    <w:p w14:paraId="3FAD649F">
      <w:pPr>
        <w:pStyle w:val="2"/>
        <w:ind w:firstLine="640"/>
        <w:rPr>
          <w:rFonts w:ascii="仿宋_GB2312" w:hAnsi="仿宋_GB2312" w:eastAsia="仿宋_GB2312" w:cs="仿宋_GB2312"/>
          <w:sz w:val="32"/>
          <w:szCs w:val="32"/>
        </w:rPr>
      </w:pPr>
    </w:p>
    <w:p w14:paraId="717614BB">
      <w:pPr>
        <w:pStyle w:val="2"/>
        <w:ind w:firstLine="640"/>
        <w:rPr>
          <w:rFonts w:ascii="仿宋_GB2312" w:hAnsi="仿宋_GB2312" w:eastAsia="仿宋_GB2312" w:cs="仿宋_GB2312"/>
          <w:sz w:val="32"/>
          <w:szCs w:val="32"/>
        </w:rPr>
      </w:pPr>
    </w:p>
    <w:p w14:paraId="76E85D3D">
      <w:pPr>
        <w:pStyle w:val="2"/>
        <w:ind w:firstLine="640"/>
        <w:rPr>
          <w:rFonts w:ascii="仿宋_GB2312" w:hAnsi="仿宋_GB2312" w:eastAsia="仿宋_GB2312" w:cs="仿宋_GB2312"/>
          <w:sz w:val="32"/>
          <w:szCs w:val="32"/>
        </w:rPr>
      </w:pPr>
    </w:p>
    <w:p w14:paraId="464C825D">
      <w:pPr>
        <w:pStyle w:val="2"/>
        <w:ind w:firstLine="640"/>
        <w:rPr>
          <w:rFonts w:ascii="仿宋_GB2312" w:hAnsi="仿宋_GB2312" w:eastAsia="仿宋_GB2312" w:cs="仿宋_GB2312"/>
          <w:sz w:val="32"/>
          <w:szCs w:val="32"/>
        </w:rPr>
      </w:pPr>
    </w:p>
    <w:p w14:paraId="7B3D19D6">
      <w:pPr>
        <w:pStyle w:val="2"/>
        <w:ind w:firstLine="640"/>
        <w:rPr>
          <w:rFonts w:ascii="仿宋_GB2312" w:hAnsi="仿宋_GB2312" w:eastAsia="仿宋_GB2312" w:cs="仿宋_GB2312"/>
          <w:sz w:val="32"/>
          <w:szCs w:val="32"/>
        </w:rPr>
      </w:pPr>
    </w:p>
    <w:p w14:paraId="616BCEDF">
      <w:pPr>
        <w:pStyle w:val="2"/>
        <w:ind w:firstLine="64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10080" w:type="dxa"/>
        <w:jc w:val="center"/>
        <w:tblLayout w:type="fixed"/>
        <w:tblCellMar>
          <w:top w:w="0" w:type="dxa"/>
          <w:left w:w="0" w:type="dxa"/>
          <w:bottom w:w="0" w:type="dxa"/>
          <w:right w:w="0" w:type="dxa"/>
        </w:tblCellMar>
      </w:tblPr>
      <w:tblGrid>
        <w:gridCol w:w="582"/>
        <w:gridCol w:w="142"/>
        <w:gridCol w:w="142"/>
        <w:gridCol w:w="283"/>
        <w:gridCol w:w="608"/>
        <w:gridCol w:w="1025"/>
        <w:gridCol w:w="2392"/>
        <w:gridCol w:w="2394"/>
        <w:gridCol w:w="2512"/>
      </w:tblGrid>
      <w:tr w14:paraId="65254DA7">
        <w:tblPrEx>
          <w:tblCellMar>
            <w:top w:w="0" w:type="dxa"/>
            <w:left w:w="0" w:type="dxa"/>
            <w:bottom w:w="0" w:type="dxa"/>
            <w:right w:w="0" w:type="dxa"/>
          </w:tblCellMar>
        </w:tblPrEx>
        <w:trPr>
          <w:trHeight w:val="1034" w:hRule="atLeast"/>
          <w:jc w:val="center"/>
        </w:trPr>
        <w:tc>
          <w:tcPr>
            <w:tcW w:w="10080" w:type="dxa"/>
            <w:gridSpan w:val="9"/>
            <w:tcMar>
              <w:top w:w="15" w:type="dxa"/>
              <w:left w:w="15" w:type="dxa"/>
              <w:bottom w:w="0" w:type="dxa"/>
              <w:right w:w="15" w:type="dxa"/>
            </w:tcMar>
            <w:vAlign w:val="center"/>
          </w:tcPr>
          <w:p w14:paraId="372ED5FB">
            <w:pPr>
              <w:pStyle w:val="26"/>
              <w:widowControl/>
              <w:ind w:left="4173" w:leftChars="1310" w:hanging="1422" w:hangingChars="395"/>
              <w:textAlignment w:val="center"/>
              <w:rPr>
                <w:rFonts w:ascii="宋体"/>
                <w:sz w:val="36"/>
                <w:szCs w:val="36"/>
              </w:rPr>
            </w:pPr>
            <w:r>
              <w:rPr>
                <w:rFonts w:hint="eastAsia" w:ascii="黑体" w:hAnsi="黑体" w:eastAsia="黑体" w:cs="黑体"/>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rPr>
              <w:t>20年度</w:t>
            </w:r>
            <w:r>
              <w:rPr>
                <w:rFonts w:ascii="宋体" w:hAnsi="宋体" w:cs="宋体"/>
                <w:kern w:val="0"/>
                <w:sz w:val="36"/>
                <w:szCs w:val="36"/>
              </w:rPr>
              <w:t>）</w:t>
            </w:r>
          </w:p>
        </w:tc>
      </w:tr>
      <w:tr w14:paraId="35053044">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A70A30">
            <w:pPr>
              <w:widowControl/>
              <w:jc w:val="center"/>
              <w:textAlignment w:val="center"/>
              <w:rPr>
                <w:rFonts w:ascii="宋体"/>
                <w:sz w:val="24"/>
              </w:rPr>
            </w:pPr>
            <w:r>
              <w:rPr>
                <w:rFonts w:hint="eastAsia" w:ascii="宋体" w:hAnsi="宋体" w:cs="宋体"/>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0697F0">
            <w:pPr>
              <w:widowControl/>
              <w:jc w:val="center"/>
              <w:textAlignment w:val="center"/>
              <w:rPr>
                <w:rFonts w:ascii="宋体"/>
                <w:sz w:val="24"/>
              </w:rPr>
            </w:pPr>
            <w:r>
              <w:rPr>
                <w:rFonts w:hint="eastAsia" w:ascii="宋体"/>
                <w:sz w:val="24"/>
              </w:rPr>
              <w:t>“三馆一站”免费开放经费</w:t>
            </w:r>
          </w:p>
        </w:tc>
      </w:tr>
      <w:tr w14:paraId="4E40D314">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12F49F">
            <w:pPr>
              <w:widowControl/>
              <w:jc w:val="center"/>
              <w:textAlignment w:val="center"/>
              <w:rPr>
                <w:rFonts w:ascii="宋体"/>
                <w:sz w:val="24"/>
              </w:rPr>
            </w:pPr>
            <w:r>
              <w:rPr>
                <w:rFonts w:hint="eastAsia" w:ascii="宋体" w:hAnsi="宋体" w:cs="宋体"/>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BA8FE6">
            <w:pPr>
              <w:widowControl/>
              <w:jc w:val="center"/>
              <w:textAlignment w:val="center"/>
              <w:rPr>
                <w:rFonts w:ascii="宋体"/>
                <w:sz w:val="24"/>
              </w:rPr>
            </w:pPr>
            <w:r>
              <w:rPr>
                <w:rFonts w:hint="eastAsia" w:ascii="宋体"/>
                <w:sz w:val="24"/>
              </w:rPr>
              <w:t>德阳市罗江区文化体育广播电视和旅游局</w:t>
            </w:r>
          </w:p>
        </w:tc>
      </w:tr>
      <w:tr w14:paraId="0C625F5E">
        <w:tblPrEx>
          <w:tblCellMar>
            <w:top w:w="0" w:type="dxa"/>
            <w:left w:w="0" w:type="dxa"/>
            <w:bottom w:w="0" w:type="dxa"/>
            <w:right w:w="0" w:type="dxa"/>
          </w:tblCellMar>
        </w:tblPrEx>
        <w:trPr>
          <w:trHeight w:val="276" w:hRule="atLeast"/>
          <w:jc w:val="center"/>
        </w:trPr>
        <w:tc>
          <w:tcPr>
            <w:tcW w:w="72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31FC5B">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05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D89E3A">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CD451F">
            <w:pPr>
              <w:widowControl/>
              <w:jc w:val="center"/>
              <w:textAlignment w:val="center"/>
              <w:rPr>
                <w:rFonts w:ascii="宋体"/>
                <w:sz w:val="24"/>
              </w:rPr>
            </w:pPr>
            <w:r>
              <w:rPr>
                <w:rFonts w:hint="eastAsia" w:ascii="宋体"/>
                <w:sz w:val="24"/>
              </w:rPr>
              <w:t>13.2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E23444">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EB2BAE">
            <w:pPr>
              <w:widowControl/>
              <w:jc w:val="center"/>
              <w:textAlignment w:val="center"/>
              <w:rPr>
                <w:rFonts w:ascii="宋体"/>
                <w:sz w:val="24"/>
              </w:rPr>
            </w:pPr>
            <w:r>
              <w:rPr>
                <w:rFonts w:hint="eastAsia" w:ascii="宋体"/>
                <w:sz w:val="24"/>
              </w:rPr>
              <w:t>13.2</w:t>
            </w:r>
          </w:p>
        </w:tc>
      </w:tr>
      <w:tr w14:paraId="515E7AB3">
        <w:tblPrEx>
          <w:tblCellMar>
            <w:top w:w="0" w:type="dxa"/>
            <w:left w:w="0" w:type="dxa"/>
            <w:bottom w:w="0" w:type="dxa"/>
            <w:right w:w="0" w:type="dxa"/>
          </w:tblCellMar>
        </w:tblPrEx>
        <w:trPr>
          <w:trHeight w:val="276"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CDFBAD2">
            <w:pPr>
              <w:widowControl/>
              <w:jc w:val="left"/>
              <w:rPr>
                <w:rFonts w:ascii="宋体"/>
                <w:sz w:val="24"/>
              </w:rPr>
            </w:pPr>
          </w:p>
        </w:tc>
        <w:tc>
          <w:tcPr>
            <w:tcW w:w="205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BE8D67">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42A990">
            <w:pPr>
              <w:widowControl/>
              <w:jc w:val="center"/>
              <w:textAlignment w:val="center"/>
              <w:rPr>
                <w:rFonts w:ascii="宋体"/>
                <w:sz w:val="24"/>
              </w:rPr>
            </w:pPr>
            <w:r>
              <w:rPr>
                <w:rFonts w:hint="eastAsia" w:ascii="宋体"/>
                <w:sz w:val="24"/>
              </w:rPr>
              <w:t>13.2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69E804">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4E3244">
            <w:pPr>
              <w:widowControl/>
              <w:jc w:val="center"/>
              <w:textAlignment w:val="center"/>
              <w:rPr>
                <w:rFonts w:ascii="宋体"/>
                <w:sz w:val="24"/>
              </w:rPr>
            </w:pPr>
            <w:r>
              <w:rPr>
                <w:rFonts w:hint="eastAsia" w:ascii="宋体"/>
                <w:sz w:val="24"/>
              </w:rPr>
              <w:t>13.2</w:t>
            </w:r>
          </w:p>
        </w:tc>
      </w:tr>
      <w:tr w14:paraId="1DF81645">
        <w:tblPrEx>
          <w:tblCellMar>
            <w:top w:w="0" w:type="dxa"/>
            <w:left w:w="0" w:type="dxa"/>
            <w:bottom w:w="0" w:type="dxa"/>
            <w:right w:w="0" w:type="dxa"/>
          </w:tblCellMar>
        </w:tblPrEx>
        <w:trPr>
          <w:trHeight w:val="767"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C4D34A9">
            <w:pPr>
              <w:widowControl/>
              <w:jc w:val="left"/>
              <w:rPr>
                <w:rFonts w:ascii="宋体"/>
                <w:sz w:val="24"/>
              </w:rPr>
            </w:pPr>
          </w:p>
        </w:tc>
        <w:tc>
          <w:tcPr>
            <w:tcW w:w="205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7EF382">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2C8C33">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4B2113">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96F7DD">
            <w:pPr>
              <w:jc w:val="center"/>
              <w:rPr>
                <w:rFonts w:ascii="宋体"/>
                <w:sz w:val="24"/>
              </w:rPr>
            </w:pPr>
            <w:r>
              <w:rPr>
                <w:rFonts w:hint="eastAsia" w:ascii="宋体"/>
                <w:sz w:val="24"/>
              </w:rPr>
              <w:t>0</w:t>
            </w:r>
          </w:p>
        </w:tc>
      </w:tr>
      <w:tr w14:paraId="2BD2D9DA">
        <w:tblPrEx>
          <w:tblCellMar>
            <w:top w:w="0" w:type="dxa"/>
            <w:left w:w="0" w:type="dxa"/>
            <w:bottom w:w="0" w:type="dxa"/>
            <w:right w:w="0" w:type="dxa"/>
          </w:tblCellMar>
        </w:tblPrEx>
        <w:trPr>
          <w:trHeight w:val="276" w:hRule="atLeast"/>
          <w:jc w:val="center"/>
        </w:trPr>
        <w:tc>
          <w:tcPr>
            <w:tcW w:w="72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2E1E4D">
            <w:pPr>
              <w:widowControl/>
              <w:jc w:val="center"/>
              <w:textAlignment w:val="center"/>
              <w:rPr>
                <w:rFonts w:ascii="宋体"/>
                <w:sz w:val="24"/>
              </w:rPr>
            </w:pPr>
            <w:r>
              <w:rPr>
                <w:rFonts w:hint="eastAsia" w:ascii="宋体" w:hAnsi="宋体" w:cs="宋体"/>
                <w:kern w:val="0"/>
                <w:sz w:val="24"/>
              </w:rPr>
              <w:t>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6A4ACE">
            <w:pPr>
              <w:widowControl/>
              <w:jc w:val="center"/>
              <w:textAlignment w:val="center"/>
              <w:rPr>
                <w:rFonts w:ascii="宋体"/>
                <w:sz w:val="24"/>
              </w:rPr>
            </w:pPr>
            <w:r>
              <w:rPr>
                <w:rFonts w:hint="eastAsia" w:ascii="宋体" w:hAnsi="宋体" w:cs="宋体"/>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50DF89">
            <w:pPr>
              <w:widowControl/>
              <w:jc w:val="center"/>
              <w:textAlignment w:val="center"/>
              <w:rPr>
                <w:rFonts w:ascii="宋体"/>
                <w:sz w:val="24"/>
              </w:rPr>
            </w:pPr>
            <w:r>
              <w:rPr>
                <w:rFonts w:hint="eastAsia" w:ascii="宋体" w:hAnsi="宋体" w:cs="宋体"/>
                <w:kern w:val="0"/>
                <w:sz w:val="24"/>
              </w:rPr>
              <w:t>实际完成目标</w:t>
            </w:r>
          </w:p>
        </w:tc>
      </w:tr>
      <w:tr w14:paraId="0C77284B">
        <w:tblPrEx>
          <w:tblCellMar>
            <w:top w:w="0" w:type="dxa"/>
            <w:left w:w="0" w:type="dxa"/>
            <w:bottom w:w="0" w:type="dxa"/>
            <w:right w:w="0" w:type="dxa"/>
          </w:tblCellMar>
        </w:tblPrEx>
        <w:trPr>
          <w:trHeight w:val="1159"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E441999">
            <w:pPr>
              <w:widowControl/>
              <w:jc w:val="left"/>
              <w:rPr>
                <w:rFonts w:ascii="宋体"/>
                <w:sz w:val="24"/>
              </w:rPr>
            </w:pPr>
          </w:p>
        </w:tc>
        <w:tc>
          <w:tcPr>
            <w:tcW w:w="445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C0CCCE">
            <w:pPr>
              <w:widowControl/>
              <w:jc w:val="center"/>
              <w:textAlignment w:val="center"/>
              <w:rPr>
                <w:rFonts w:ascii="宋体"/>
                <w:sz w:val="24"/>
              </w:rPr>
            </w:pPr>
            <w:r>
              <w:rPr>
                <w:rFonts w:hint="eastAsia" w:ascii="宋体"/>
                <w:sz w:val="24"/>
              </w:rPr>
              <w:t>完成公益性培训一期，惠民演出三场，公益性展览一期，10个乡镇综合文化站免费开放，完成全民阅读推广活动。</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71BA4">
            <w:pPr>
              <w:widowControl/>
              <w:jc w:val="center"/>
              <w:textAlignment w:val="center"/>
              <w:rPr>
                <w:rFonts w:ascii="宋体"/>
                <w:sz w:val="24"/>
              </w:rPr>
            </w:pPr>
            <w:r>
              <w:rPr>
                <w:rFonts w:hint="eastAsia" w:ascii="宋体"/>
                <w:sz w:val="24"/>
              </w:rPr>
              <w:t>完成公益性培训一期，惠民演出三场，公益性展览一期，10个乡镇综合文化站免费开放，完成全民阅读推广活动。</w:t>
            </w:r>
          </w:p>
        </w:tc>
      </w:tr>
      <w:tr w14:paraId="0612BE77">
        <w:tblPrEx>
          <w:tblCellMar>
            <w:top w:w="0" w:type="dxa"/>
            <w:left w:w="0" w:type="dxa"/>
            <w:bottom w:w="0" w:type="dxa"/>
            <w:right w:w="0" w:type="dxa"/>
          </w:tblCellMar>
        </w:tblPrEx>
        <w:trPr>
          <w:trHeight w:val="1003" w:hRule="atLeast"/>
          <w:jc w:val="center"/>
        </w:trPr>
        <w:tc>
          <w:tcPr>
            <w:tcW w:w="72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89B9F4">
            <w:pPr>
              <w:widowControl/>
              <w:jc w:val="center"/>
              <w:textAlignment w:val="center"/>
              <w:rPr>
                <w:rFonts w:ascii="宋体"/>
                <w:sz w:val="24"/>
              </w:rPr>
            </w:pPr>
            <w:r>
              <w:rPr>
                <w:rFonts w:hint="eastAsia" w:ascii="宋体" w:hAnsi="宋体" w:cs="宋体"/>
                <w:sz w:val="24"/>
              </w:rPr>
              <w:t>绩效指标完成情况</w:t>
            </w: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39D877">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A34086">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295B1C">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77C037">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A376DF">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14:paraId="56D27726">
        <w:tblPrEx>
          <w:tblCellMar>
            <w:top w:w="0" w:type="dxa"/>
            <w:left w:w="0" w:type="dxa"/>
            <w:bottom w:w="0" w:type="dxa"/>
            <w:right w:w="0" w:type="dxa"/>
          </w:tblCellMar>
        </w:tblPrEx>
        <w:trPr>
          <w:trHeight w:val="1390"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7B4E14B">
            <w:pPr>
              <w:widowControl/>
              <w:jc w:val="left"/>
              <w:rPr>
                <w:rFonts w:ascii="宋体"/>
                <w:sz w:val="24"/>
              </w:rPr>
            </w:pP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9716CD">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476E3F">
            <w:pPr>
              <w:widowControl/>
              <w:jc w:val="center"/>
              <w:textAlignment w:val="center"/>
              <w:rPr>
                <w:rFonts w:ascii="宋体"/>
                <w:sz w:val="24"/>
              </w:rPr>
            </w:pPr>
            <w:r>
              <w:rPr>
                <w:rFonts w:hint="eastAsia" w:ascii="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63D362">
            <w:pPr>
              <w:widowControl/>
              <w:jc w:val="center"/>
              <w:textAlignment w:val="center"/>
              <w:rPr>
                <w:rFonts w:ascii="宋体"/>
                <w:sz w:val="24"/>
              </w:rPr>
            </w:pPr>
            <w:r>
              <w:rPr>
                <w:rFonts w:hint="eastAsia" w:ascii="宋体"/>
                <w:sz w:val="24"/>
              </w:rPr>
              <w:t>完成公益性培训、惠民演出、公益性展览，全民阅读推广活动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926336">
            <w:pPr>
              <w:widowControl/>
              <w:jc w:val="center"/>
              <w:textAlignment w:val="center"/>
              <w:rPr>
                <w:rFonts w:ascii="宋体"/>
                <w:sz w:val="24"/>
              </w:rPr>
            </w:pPr>
            <w:r>
              <w:rPr>
                <w:rFonts w:hint="eastAsia" w:ascii="宋体"/>
                <w:sz w:val="24"/>
              </w:rPr>
              <w:t>2次，3次</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A8D91B">
            <w:pPr>
              <w:widowControl/>
              <w:jc w:val="center"/>
              <w:textAlignment w:val="center"/>
              <w:rPr>
                <w:rFonts w:ascii="宋体"/>
                <w:sz w:val="24"/>
              </w:rPr>
            </w:pPr>
            <w:r>
              <w:rPr>
                <w:rFonts w:hint="eastAsia" w:ascii="宋体"/>
                <w:sz w:val="24"/>
              </w:rPr>
              <w:t>完成公益性培训一期、惠民演出三场、公益性展览一期，全民阅读推广活动28次</w:t>
            </w:r>
          </w:p>
        </w:tc>
      </w:tr>
      <w:tr w14:paraId="6600ADD8">
        <w:tblPrEx>
          <w:tblCellMar>
            <w:top w:w="0" w:type="dxa"/>
            <w:left w:w="0" w:type="dxa"/>
            <w:bottom w:w="0" w:type="dxa"/>
            <w:right w:w="0" w:type="dxa"/>
          </w:tblCellMar>
        </w:tblPrEx>
        <w:trPr>
          <w:trHeight w:val="1297"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B484E59">
            <w:pPr>
              <w:widowControl/>
              <w:jc w:val="left"/>
              <w:rPr>
                <w:rFonts w:ascii="宋体"/>
                <w:sz w:val="24"/>
              </w:rPr>
            </w:pP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99BAF5">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E1AAED">
            <w:pPr>
              <w:widowControl/>
              <w:jc w:val="center"/>
              <w:textAlignment w:val="center"/>
              <w:rPr>
                <w:rFonts w:ascii="宋体"/>
                <w:sz w:val="24"/>
              </w:rPr>
            </w:pPr>
            <w:r>
              <w:rPr>
                <w:rFonts w:hint="eastAsia" w:asci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4E82C2">
            <w:pPr>
              <w:widowControl/>
              <w:jc w:val="center"/>
              <w:textAlignment w:val="center"/>
              <w:rPr>
                <w:rFonts w:ascii="宋体"/>
                <w:sz w:val="24"/>
              </w:rPr>
            </w:pPr>
            <w:r>
              <w:rPr>
                <w:rFonts w:hint="eastAsia" w:ascii="宋体"/>
                <w:sz w:val="24"/>
              </w:rPr>
              <w:t>公益性培训一期，惠民演出3场，公益性展览一期，10个综合文化站免费开放 ，“4.23”书香罗江全民阅读启动仪式，暑期少儿阅读推广活动，全民阅读“五进”活动。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4BA203">
            <w:pPr>
              <w:widowControl/>
              <w:jc w:val="left"/>
              <w:textAlignment w:val="center"/>
              <w:rPr>
                <w:rFonts w:ascii="宋体"/>
                <w:sz w:val="24"/>
              </w:rPr>
            </w:pPr>
            <w:r>
              <w:rPr>
                <w:rFonts w:hint="eastAsia" w:ascii="宋体"/>
                <w:sz w:val="24"/>
              </w:rPr>
              <w:t>1.2万元，3万元，0.6万元，6万元，1.2万元，0.6万元，0.6万元。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5242A8">
            <w:pPr>
              <w:widowControl/>
              <w:jc w:val="center"/>
              <w:textAlignment w:val="center"/>
              <w:rPr>
                <w:rFonts w:ascii="宋体"/>
              </w:rPr>
            </w:pPr>
            <w:r>
              <w:rPr>
                <w:rFonts w:hint="eastAsia" w:ascii="宋体"/>
              </w:rPr>
              <w:t>公益性培训一期1.2万元，惠民演出3场3万元，公益性展览一期0.6万元，10个综合文化站免费开放6万元 ，“4.23”书香罗江全民阅读启动仪式1.2万元，暑期少儿阅读推广活动0.6万元，全民阅读“五进”活动0.6万元。</w:t>
            </w:r>
          </w:p>
        </w:tc>
      </w:tr>
      <w:tr w14:paraId="05F42BAE">
        <w:tblPrEx>
          <w:tblCellMar>
            <w:top w:w="0" w:type="dxa"/>
            <w:left w:w="0" w:type="dxa"/>
            <w:bottom w:w="0" w:type="dxa"/>
            <w:right w:w="0" w:type="dxa"/>
          </w:tblCellMar>
        </w:tblPrEx>
        <w:trPr>
          <w:trHeight w:val="797"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C1DE657">
            <w:pPr>
              <w:widowControl/>
              <w:jc w:val="left"/>
              <w:rPr>
                <w:rFonts w:ascii="宋体"/>
                <w:sz w:val="24"/>
              </w:rPr>
            </w:pP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F5AA1A">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376E23">
            <w:pPr>
              <w:widowControl/>
              <w:jc w:val="center"/>
              <w:textAlignment w:val="center"/>
              <w:rPr>
                <w:rFonts w:ascii="宋体"/>
                <w:sz w:val="24"/>
              </w:rPr>
            </w:pPr>
            <w:r>
              <w:rPr>
                <w:rFonts w:hint="eastAsia" w:ascii="宋体"/>
                <w:sz w:val="24"/>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69015E">
            <w:pPr>
              <w:widowControl/>
              <w:jc w:val="center"/>
              <w:textAlignment w:val="center"/>
              <w:rPr>
                <w:rFonts w:ascii="宋体"/>
                <w:sz w:val="24"/>
              </w:rPr>
            </w:pPr>
            <w:r>
              <w:rPr>
                <w:rFonts w:hint="eastAsia" w:ascii="宋体"/>
                <w:sz w:val="24"/>
              </w:rPr>
              <w:t>2020年12月底前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2DF0A4">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86375E">
            <w:pPr>
              <w:widowControl/>
              <w:jc w:val="center"/>
              <w:textAlignment w:val="center"/>
              <w:rPr>
                <w:rFonts w:ascii="宋体"/>
                <w:sz w:val="24"/>
              </w:rPr>
            </w:pPr>
            <w:r>
              <w:rPr>
                <w:rFonts w:hint="eastAsia" w:ascii="宋体"/>
                <w:sz w:val="24"/>
              </w:rPr>
              <w:t>2020年12月底前完成</w:t>
            </w:r>
          </w:p>
        </w:tc>
      </w:tr>
      <w:tr w14:paraId="5E45682B">
        <w:tblPrEx>
          <w:tblCellMar>
            <w:top w:w="0" w:type="dxa"/>
            <w:left w:w="0" w:type="dxa"/>
            <w:bottom w:w="0" w:type="dxa"/>
            <w:right w:w="0" w:type="dxa"/>
          </w:tblCellMar>
        </w:tblPrEx>
        <w:trPr>
          <w:trHeight w:val="1042"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EFA0834">
            <w:pPr>
              <w:widowControl/>
              <w:jc w:val="left"/>
              <w:rPr>
                <w:rFonts w:ascii="宋体"/>
                <w:sz w:val="24"/>
              </w:rPr>
            </w:pP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441042">
            <w:pPr>
              <w:widowControl/>
              <w:jc w:val="center"/>
              <w:textAlignment w:val="center"/>
              <w:rPr>
                <w:rFonts w:ascii="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BE0B84">
            <w:pPr>
              <w:widowControl/>
              <w:jc w:val="center"/>
              <w:textAlignment w:val="center"/>
              <w:rPr>
                <w:rFonts w:ascii="宋体"/>
                <w:sz w:val="24"/>
              </w:rPr>
            </w:pPr>
            <w:r>
              <w:rPr>
                <w:rFonts w:hint="eastAsia" w:asci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B0DDD9">
            <w:pPr>
              <w:widowControl/>
              <w:jc w:val="center"/>
              <w:textAlignment w:val="center"/>
              <w:rPr>
                <w:rFonts w:ascii="宋体"/>
                <w:sz w:val="24"/>
              </w:rPr>
            </w:pPr>
            <w:r>
              <w:rPr>
                <w:rFonts w:hint="eastAsia" w:ascii="宋体"/>
                <w:sz w:val="24"/>
              </w:rPr>
              <w:t>满足了人民群众的精神文化需求，受到了人民群众的热烈欢迎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36F398">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7C97C2">
            <w:pPr>
              <w:widowControl/>
              <w:jc w:val="center"/>
              <w:textAlignment w:val="center"/>
              <w:rPr>
                <w:rFonts w:ascii="宋体"/>
                <w:sz w:val="24"/>
              </w:rPr>
            </w:pPr>
            <w:r>
              <w:rPr>
                <w:rFonts w:hint="eastAsia" w:ascii="宋体"/>
                <w:sz w:val="24"/>
              </w:rPr>
              <w:t>满足了人民群众的精神文化需求，受到了人民群众的热烈欢迎</w:t>
            </w:r>
          </w:p>
        </w:tc>
      </w:tr>
      <w:tr w14:paraId="02353143">
        <w:tblPrEx>
          <w:tblCellMar>
            <w:top w:w="0" w:type="dxa"/>
            <w:left w:w="0" w:type="dxa"/>
            <w:bottom w:w="0" w:type="dxa"/>
            <w:right w:w="0" w:type="dxa"/>
          </w:tblCellMar>
        </w:tblPrEx>
        <w:trPr>
          <w:trHeight w:val="1050"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80D835D">
            <w:pPr>
              <w:widowControl/>
              <w:jc w:val="left"/>
              <w:rPr>
                <w:rFonts w:ascii="宋体"/>
                <w:sz w:val="24"/>
              </w:rPr>
            </w:pP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7F4A80">
            <w:pPr>
              <w:widowControl/>
              <w:jc w:val="center"/>
              <w:textAlignment w:val="center"/>
              <w:rPr>
                <w:rFonts w:ascii="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CE3DA4">
            <w:pPr>
              <w:widowControl/>
              <w:jc w:val="center"/>
              <w:textAlignment w:val="center"/>
              <w:rPr>
                <w:rFonts w:ascii="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F9C085">
            <w:pPr>
              <w:widowControl/>
              <w:jc w:val="center"/>
              <w:textAlignment w:val="center"/>
              <w:rPr>
                <w:rFonts w:ascii="宋体"/>
                <w:sz w:val="24"/>
              </w:rPr>
            </w:pPr>
            <w:r>
              <w:rPr>
                <w:rFonts w:hint="eastAsia" w:ascii="宋体"/>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56B5F1">
            <w:pPr>
              <w:widowControl/>
              <w:jc w:val="center"/>
              <w:textAlignment w:val="center"/>
              <w:rPr>
                <w:rFonts w:ascii="宋体"/>
                <w:sz w:val="24"/>
              </w:rPr>
            </w:pPr>
            <w:r>
              <w:rPr>
                <w:rFonts w:hint="eastAsia" w:ascii="宋体"/>
                <w:sz w:val="24"/>
              </w:rPr>
              <w:t>≥100%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EFE34E">
            <w:pPr>
              <w:widowControl/>
              <w:jc w:val="center"/>
              <w:textAlignment w:val="center"/>
              <w:rPr>
                <w:rFonts w:ascii="宋体"/>
                <w:sz w:val="24"/>
              </w:rPr>
            </w:pPr>
            <w:r>
              <w:rPr>
                <w:rFonts w:hint="eastAsia" w:ascii="宋体" w:hAnsi="宋体" w:cs="宋体"/>
                <w:kern w:val="0"/>
                <w:sz w:val="24"/>
              </w:rPr>
              <w:t>满意度指标</w:t>
            </w:r>
            <w:r>
              <w:rPr>
                <w:rFonts w:hint="eastAsia" w:ascii="宋体"/>
                <w:sz w:val="24"/>
              </w:rPr>
              <w:t>≥90%</w:t>
            </w:r>
          </w:p>
        </w:tc>
      </w:tr>
      <w:tr w14:paraId="47813C34">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E1793F">
            <w:pPr>
              <w:widowControl/>
              <w:jc w:val="center"/>
              <w:textAlignment w:val="center"/>
              <w:rPr>
                <w:rFonts w:ascii="宋体"/>
                <w:sz w:val="24"/>
              </w:rPr>
            </w:pPr>
            <w:r>
              <w:rPr>
                <w:rFonts w:hint="eastAsia" w:ascii="宋体" w:hAnsi="宋体" w:cs="宋体"/>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38B1AD">
            <w:pPr>
              <w:widowControl/>
              <w:jc w:val="center"/>
              <w:textAlignment w:val="center"/>
              <w:rPr>
                <w:rFonts w:ascii="宋体"/>
                <w:sz w:val="24"/>
              </w:rPr>
            </w:pPr>
            <w:r>
              <w:rPr>
                <w:rFonts w:hint="eastAsia" w:ascii="宋体"/>
                <w:sz w:val="32"/>
                <w:szCs w:val="32"/>
              </w:rPr>
              <w:t>农村广播运行维护经费</w:t>
            </w:r>
          </w:p>
        </w:tc>
      </w:tr>
      <w:tr w14:paraId="6820435F">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C3B89D">
            <w:pPr>
              <w:widowControl/>
              <w:jc w:val="center"/>
              <w:textAlignment w:val="center"/>
              <w:rPr>
                <w:rFonts w:ascii="宋体"/>
                <w:sz w:val="24"/>
              </w:rPr>
            </w:pPr>
            <w:r>
              <w:rPr>
                <w:rFonts w:hint="eastAsia" w:ascii="宋体" w:hAnsi="宋体" w:cs="宋体"/>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B11662">
            <w:pPr>
              <w:widowControl/>
              <w:jc w:val="center"/>
              <w:textAlignment w:val="center"/>
              <w:rPr>
                <w:rFonts w:ascii="宋体"/>
                <w:sz w:val="24"/>
              </w:rPr>
            </w:pPr>
            <w:r>
              <w:rPr>
                <w:rFonts w:hint="eastAsia" w:ascii="宋体"/>
                <w:sz w:val="24"/>
              </w:rPr>
              <w:t>德阳市罗江区文化体育广播电视和旅游局</w:t>
            </w:r>
          </w:p>
        </w:tc>
      </w:tr>
      <w:tr w14:paraId="7F58FB3E">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8F93FD">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20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85E5DC">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1E79AD">
            <w:pPr>
              <w:widowControl/>
              <w:jc w:val="center"/>
              <w:textAlignment w:val="center"/>
              <w:rPr>
                <w:rFonts w:ascii="宋体"/>
                <w:sz w:val="24"/>
              </w:rPr>
            </w:pPr>
            <w:r>
              <w:rPr>
                <w:rFonts w:hint="eastAsia" w:ascii="宋体"/>
                <w:sz w:val="24"/>
              </w:rPr>
              <w:t>20.4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E1B1DA">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51D950">
            <w:pPr>
              <w:widowControl/>
              <w:jc w:val="center"/>
              <w:textAlignment w:val="center"/>
              <w:rPr>
                <w:rFonts w:ascii="宋体"/>
                <w:sz w:val="24"/>
              </w:rPr>
            </w:pPr>
            <w:r>
              <w:rPr>
                <w:rFonts w:hint="eastAsia" w:ascii="宋体"/>
                <w:sz w:val="24"/>
              </w:rPr>
              <w:t>20.4</w:t>
            </w:r>
          </w:p>
        </w:tc>
      </w:tr>
      <w:tr w14:paraId="0326B7CF">
        <w:tblPrEx>
          <w:tblCellMar>
            <w:top w:w="0" w:type="dxa"/>
            <w:left w:w="0" w:type="dxa"/>
            <w:bottom w:w="0" w:type="dxa"/>
            <w:right w:w="0" w:type="dxa"/>
          </w:tblCellMar>
        </w:tblPrEx>
        <w:trPr>
          <w:trHeight w:val="27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30828864">
            <w:pPr>
              <w:widowControl/>
              <w:jc w:val="left"/>
              <w:rPr>
                <w:rFonts w:ascii="宋体"/>
                <w:sz w:val="24"/>
              </w:rPr>
            </w:pPr>
          </w:p>
        </w:tc>
        <w:tc>
          <w:tcPr>
            <w:tcW w:w="220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BFE88E">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EA2ACB">
            <w:pPr>
              <w:widowControl/>
              <w:jc w:val="center"/>
              <w:textAlignment w:val="center"/>
              <w:rPr>
                <w:rFonts w:ascii="宋体"/>
                <w:sz w:val="24"/>
              </w:rPr>
            </w:pPr>
            <w:r>
              <w:rPr>
                <w:rFonts w:hint="eastAsia" w:ascii="宋体"/>
                <w:sz w:val="24"/>
              </w:rPr>
              <w:t>20.4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25A112">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F9D03">
            <w:pPr>
              <w:widowControl/>
              <w:jc w:val="center"/>
              <w:textAlignment w:val="center"/>
              <w:rPr>
                <w:rFonts w:ascii="宋体"/>
                <w:sz w:val="24"/>
              </w:rPr>
            </w:pPr>
            <w:r>
              <w:rPr>
                <w:rFonts w:hint="eastAsia" w:ascii="宋体"/>
                <w:sz w:val="24"/>
              </w:rPr>
              <w:t>20.4</w:t>
            </w:r>
          </w:p>
        </w:tc>
      </w:tr>
      <w:tr w14:paraId="675AD179">
        <w:tblPrEx>
          <w:tblCellMar>
            <w:top w:w="0" w:type="dxa"/>
            <w:left w:w="0" w:type="dxa"/>
            <w:bottom w:w="0" w:type="dxa"/>
            <w:right w:w="0" w:type="dxa"/>
          </w:tblCellMar>
        </w:tblPrEx>
        <w:trPr>
          <w:trHeight w:val="875"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7246A1B1">
            <w:pPr>
              <w:widowControl/>
              <w:jc w:val="left"/>
              <w:rPr>
                <w:rFonts w:ascii="宋体"/>
                <w:sz w:val="24"/>
              </w:rPr>
            </w:pPr>
          </w:p>
        </w:tc>
        <w:tc>
          <w:tcPr>
            <w:tcW w:w="220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E7386C">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5DF447">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3A5900">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C50294">
            <w:pPr>
              <w:jc w:val="center"/>
              <w:rPr>
                <w:rFonts w:ascii="宋体"/>
                <w:sz w:val="24"/>
              </w:rPr>
            </w:pPr>
            <w:r>
              <w:rPr>
                <w:rFonts w:hint="eastAsia" w:ascii="宋体"/>
                <w:sz w:val="24"/>
              </w:rPr>
              <w:t>0</w:t>
            </w:r>
          </w:p>
        </w:tc>
      </w:tr>
      <w:tr w14:paraId="00DB5CBB">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C16539">
            <w:pPr>
              <w:widowControl/>
              <w:jc w:val="center"/>
              <w:textAlignment w:val="center"/>
              <w:rPr>
                <w:rFonts w:ascii="宋体"/>
                <w:sz w:val="24"/>
              </w:rPr>
            </w:pPr>
            <w:r>
              <w:rPr>
                <w:rFonts w:hint="eastAsia" w:ascii="宋体" w:hAnsi="宋体" w:cs="宋体"/>
                <w:kern w:val="0"/>
                <w:sz w:val="24"/>
              </w:rPr>
              <w:t>年度目标完成情况</w:t>
            </w:r>
          </w:p>
        </w:tc>
        <w:tc>
          <w:tcPr>
            <w:tcW w:w="459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8B2A19">
            <w:pPr>
              <w:widowControl/>
              <w:jc w:val="center"/>
              <w:textAlignment w:val="center"/>
              <w:rPr>
                <w:rFonts w:ascii="宋体"/>
                <w:sz w:val="24"/>
              </w:rPr>
            </w:pPr>
            <w:r>
              <w:rPr>
                <w:rFonts w:hint="eastAsia" w:ascii="宋体" w:hAnsi="宋体" w:cs="宋体"/>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03B3C1">
            <w:pPr>
              <w:widowControl/>
              <w:jc w:val="center"/>
              <w:textAlignment w:val="center"/>
              <w:rPr>
                <w:rFonts w:ascii="宋体"/>
                <w:sz w:val="24"/>
              </w:rPr>
            </w:pPr>
            <w:r>
              <w:rPr>
                <w:rFonts w:hint="eastAsia" w:ascii="宋体" w:hAnsi="宋体" w:cs="宋体"/>
                <w:kern w:val="0"/>
                <w:sz w:val="24"/>
              </w:rPr>
              <w:t>实际完成目标</w:t>
            </w:r>
          </w:p>
        </w:tc>
      </w:tr>
      <w:tr w14:paraId="0E188A3A">
        <w:tblPrEx>
          <w:tblCellMar>
            <w:top w:w="0" w:type="dxa"/>
            <w:left w:w="0" w:type="dxa"/>
            <w:bottom w:w="0" w:type="dxa"/>
            <w:right w:w="0" w:type="dxa"/>
          </w:tblCellMar>
        </w:tblPrEx>
        <w:trPr>
          <w:trHeight w:val="115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618CD053">
            <w:pPr>
              <w:widowControl/>
              <w:jc w:val="left"/>
              <w:rPr>
                <w:rFonts w:ascii="宋体"/>
                <w:sz w:val="24"/>
              </w:rPr>
            </w:pPr>
          </w:p>
        </w:tc>
        <w:tc>
          <w:tcPr>
            <w:tcW w:w="459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F5DDA2">
            <w:pPr>
              <w:widowControl/>
              <w:jc w:val="center"/>
              <w:textAlignment w:val="center"/>
              <w:rPr>
                <w:rFonts w:ascii="宋体"/>
                <w:sz w:val="24"/>
              </w:rPr>
            </w:pPr>
            <w:r>
              <w:rPr>
                <w:rFonts w:hint="eastAsia" w:ascii="宋体"/>
                <w:sz w:val="24"/>
              </w:rPr>
              <w:t>完成对全区102个行政村的广播线路的维修维护、保障广播设施设备的正常运转。</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0095F3">
            <w:pPr>
              <w:widowControl/>
              <w:jc w:val="center"/>
              <w:textAlignment w:val="center"/>
              <w:rPr>
                <w:rFonts w:ascii="宋体"/>
                <w:sz w:val="24"/>
              </w:rPr>
            </w:pPr>
            <w:r>
              <w:rPr>
                <w:rFonts w:hint="eastAsia" w:ascii="宋体"/>
                <w:sz w:val="24"/>
              </w:rPr>
              <w:t>完成对全区102个行政村的广播线路的维修维护、保障广播设施设备的正常运转。</w:t>
            </w:r>
          </w:p>
        </w:tc>
      </w:tr>
      <w:tr w14:paraId="4B5DEE9D">
        <w:tblPrEx>
          <w:tblCellMar>
            <w:top w:w="0" w:type="dxa"/>
            <w:left w:w="0" w:type="dxa"/>
            <w:bottom w:w="0" w:type="dxa"/>
            <w:right w:w="0" w:type="dxa"/>
          </w:tblCellMar>
        </w:tblPrEx>
        <w:trPr>
          <w:trHeight w:val="1818"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5320BB">
            <w:pPr>
              <w:widowControl/>
              <w:jc w:val="center"/>
              <w:textAlignment w:val="center"/>
              <w:rPr>
                <w:rFonts w:ascii="宋体"/>
                <w:sz w:val="24"/>
              </w:rPr>
            </w:pPr>
            <w:r>
              <w:rPr>
                <w:rFonts w:hint="eastAsia" w:ascii="宋体" w:hAnsi="宋体" w:cs="宋体"/>
                <w:sz w:val="24"/>
              </w:rPr>
              <w:t>绩效指标完成情况</w:t>
            </w: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4DE7F8">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451129">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86C340">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E82EA2">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CB3BCB">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14:paraId="7DEE8FB2">
        <w:tblPrEx>
          <w:tblCellMar>
            <w:top w:w="0" w:type="dxa"/>
            <w:left w:w="0" w:type="dxa"/>
            <w:bottom w:w="0" w:type="dxa"/>
            <w:right w:w="0" w:type="dxa"/>
          </w:tblCellMar>
        </w:tblPrEx>
        <w:trPr>
          <w:trHeight w:val="13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1F076940">
            <w:pPr>
              <w:widowControl/>
              <w:jc w:val="left"/>
              <w:rPr>
                <w:rFonts w:ascii="宋体"/>
                <w:sz w:val="24"/>
              </w:rPr>
            </w:pP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23CB19">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496352">
            <w:pPr>
              <w:widowControl/>
              <w:jc w:val="center"/>
              <w:textAlignment w:val="center"/>
              <w:rPr>
                <w:rFonts w:ascii="宋体"/>
                <w:sz w:val="24"/>
              </w:rPr>
            </w:pPr>
            <w:r>
              <w:rPr>
                <w:rFonts w:hint="eastAsia" w:ascii="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9955A6">
            <w:pPr>
              <w:widowControl/>
              <w:jc w:val="center"/>
              <w:textAlignment w:val="center"/>
              <w:rPr>
                <w:rFonts w:ascii="宋体"/>
                <w:sz w:val="24"/>
              </w:rPr>
            </w:pPr>
            <w:r>
              <w:rPr>
                <w:rFonts w:hint="eastAsia" w:ascii="宋体"/>
                <w:sz w:val="24"/>
              </w:rPr>
              <w:t>完成对全区102个行政村的广播线路的维修维护、保障广播设施设备的正常运转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06E7E2">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C96A47">
            <w:pPr>
              <w:widowControl/>
              <w:jc w:val="center"/>
              <w:textAlignment w:val="center"/>
              <w:rPr>
                <w:rFonts w:ascii="宋体"/>
                <w:sz w:val="24"/>
              </w:rPr>
            </w:pPr>
            <w:r>
              <w:rPr>
                <w:rFonts w:hint="eastAsia" w:ascii="宋体"/>
                <w:sz w:val="24"/>
              </w:rPr>
              <w:t>完成对全区102个行政村的广播线路的维修维护、保障广播设施设备的正常运转</w:t>
            </w:r>
          </w:p>
        </w:tc>
      </w:tr>
      <w:tr w14:paraId="378E8B38">
        <w:tblPrEx>
          <w:tblCellMar>
            <w:top w:w="0" w:type="dxa"/>
            <w:left w:w="0" w:type="dxa"/>
            <w:bottom w:w="0" w:type="dxa"/>
            <w:right w:w="0" w:type="dxa"/>
          </w:tblCellMar>
        </w:tblPrEx>
        <w:trPr>
          <w:trHeight w:val="1297"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74F639E7">
            <w:pPr>
              <w:widowControl/>
              <w:jc w:val="left"/>
              <w:rPr>
                <w:rFonts w:ascii="宋体"/>
                <w:sz w:val="24"/>
              </w:rPr>
            </w:pP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2C2DC8">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06FDF4">
            <w:pPr>
              <w:widowControl/>
              <w:jc w:val="center"/>
              <w:textAlignment w:val="center"/>
              <w:rPr>
                <w:rFonts w:ascii="宋体"/>
                <w:sz w:val="24"/>
              </w:rPr>
            </w:pPr>
            <w:r>
              <w:rPr>
                <w:rFonts w:hint="eastAsia" w:asci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5F4CCD">
            <w:pPr>
              <w:widowControl/>
              <w:jc w:val="center"/>
              <w:textAlignment w:val="center"/>
              <w:rPr>
                <w:rFonts w:ascii="宋体"/>
                <w:sz w:val="24"/>
              </w:rPr>
            </w:pPr>
            <w:r>
              <w:rPr>
                <w:rFonts w:hint="eastAsia" w:ascii="宋体"/>
                <w:sz w:val="24"/>
              </w:rPr>
              <w:t>完成对全区102个行政村的广播线路的维修维护、保障广播设施设备的正常运转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CCE75E">
            <w:pPr>
              <w:widowControl/>
              <w:jc w:val="left"/>
              <w:textAlignment w:val="center"/>
              <w:rPr>
                <w:rFonts w:ascii="宋体"/>
                <w:sz w:val="24"/>
              </w:rPr>
            </w:pPr>
            <w:r>
              <w:rPr>
                <w:rFonts w:hint="eastAsia" w:ascii="宋体"/>
                <w:sz w:val="24"/>
              </w:rPr>
              <w:t>每个村的维护费约2000元；共计20.4万元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B71AD1">
            <w:pPr>
              <w:widowControl/>
              <w:jc w:val="center"/>
              <w:textAlignment w:val="center"/>
              <w:rPr>
                <w:rFonts w:ascii="宋体"/>
                <w:sz w:val="24"/>
              </w:rPr>
            </w:pPr>
            <w:r>
              <w:rPr>
                <w:rFonts w:hint="eastAsia" w:ascii="宋体"/>
                <w:sz w:val="24"/>
              </w:rPr>
              <w:t>完成对全区102个行政村的广播线路的维修维护、保障广播设施设备的正常运转，每个村的维护费约2000元；共计20.4万元。</w:t>
            </w:r>
          </w:p>
        </w:tc>
      </w:tr>
      <w:tr w14:paraId="6B8F1643">
        <w:tblPrEx>
          <w:tblCellMar>
            <w:top w:w="0" w:type="dxa"/>
            <w:left w:w="0" w:type="dxa"/>
            <w:bottom w:w="0" w:type="dxa"/>
            <w:right w:w="0" w:type="dxa"/>
          </w:tblCellMar>
        </w:tblPrEx>
        <w:trPr>
          <w:trHeight w:val="1042"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0AEE1A93">
            <w:pPr>
              <w:widowControl/>
              <w:jc w:val="left"/>
              <w:rPr>
                <w:rFonts w:ascii="宋体"/>
                <w:sz w:val="24"/>
              </w:rPr>
            </w:pP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267983">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D21C56">
            <w:pPr>
              <w:widowControl/>
              <w:jc w:val="center"/>
              <w:textAlignment w:val="center"/>
              <w:rPr>
                <w:rFonts w:ascii="宋体"/>
                <w:sz w:val="24"/>
              </w:rPr>
            </w:pPr>
            <w:r>
              <w:rPr>
                <w:rFonts w:hint="eastAsia" w:ascii="宋体"/>
                <w:sz w:val="24"/>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2200C1">
            <w:pPr>
              <w:widowControl/>
              <w:jc w:val="center"/>
              <w:textAlignment w:val="center"/>
              <w:rPr>
                <w:rFonts w:ascii="宋体"/>
                <w:sz w:val="24"/>
              </w:rPr>
            </w:pPr>
            <w:r>
              <w:rPr>
                <w:rFonts w:hint="eastAsia" w:ascii="宋体"/>
                <w:sz w:val="24"/>
              </w:rPr>
              <w:t>2020年12月底前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2C7816">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2D5274">
            <w:pPr>
              <w:widowControl/>
              <w:jc w:val="center"/>
              <w:textAlignment w:val="center"/>
              <w:rPr>
                <w:rFonts w:ascii="宋体"/>
                <w:sz w:val="24"/>
              </w:rPr>
            </w:pPr>
            <w:r>
              <w:rPr>
                <w:rFonts w:hint="eastAsia" w:ascii="宋体"/>
                <w:sz w:val="24"/>
              </w:rPr>
              <w:t>2020年12月底完成</w:t>
            </w:r>
          </w:p>
        </w:tc>
      </w:tr>
      <w:tr w14:paraId="0A95BB9D">
        <w:tblPrEx>
          <w:tblCellMar>
            <w:top w:w="0" w:type="dxa"/>
            <w:left w:w="0" w:type="dxa"/>
            <w:bottom w:w="0" w:type="dxa"/>
            <w:right w:w="0" w:type="dxa"/>
          </w:tblCellMar>
        </w:tblPrEx>
        <w:trPr>
          <w:trHeight w:val="1042"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252CED00">
            <w:pPr>
              <w:widowControl/>
              <w:jc w:val="left"/>
              <w:rPr>
                <w:rFonts w:ascii="宋体"/>
                <w:sz w:val="24"/>
              </w:rPr>
            </w:pP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845A0">
            <w:pPr>
              <w:widowControl/>
              <w:jc w:val="center"/>
              <w:textAlignment w:val="center"/>
              <w:rPr>
                <w:rFonts w:ascii="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A0D7BF">
            <w:pPr>
              <w:widowControl/>
              <w:jc w:val="center"/>
              <w:textAlignment w:val="center"/>
              <w:rPr>
                <w:rFonts w:ascii="宋体"/>
                <w:sz w:val="24"/>
              </w:rPr>
            </w:pPr>
            <w:r>
              <w:rPr>
                <w:rFonts w:hint="eastAsia" w:asci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902F0E">
            <w:pPr>
              <w:widowControl/>
              <w:jc w:val="center"/>
              <w:textAlignment w:val="center"/>
              <w:rPr>
                <w:rFonts w:ascii="宋体"/>
                <w:sz w:val="24"/>
              </w:rPr>
            </w:pPr>
            <w:r>
              <w:rPr>
                <w:rFonts w:hint="eastAsia" w:ascii="宋体"/>
                <w:sz w:val="24"/>
              </w:rPr>
              <w:t>保障全区的广播正常运转，将党和政府的声音及时专递到广大群众中。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9D1683">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6E15D5">
            <w:pPr>
              <w:widowControl/>
              <w:jc w:val="center"/>
              <w:textAlignment w:val="center"/>
              <w:rPr>
                <w:rFonts w:ascii="宋体"/>
                <w:sz w:val="24"/>
              </w:rPr>
            </w:pPr>
            <w:r>
              <w:rPr>
                <w:rFonts w:hint="eastAsia" w:ascii="宋体"/>
                <w:sz w:val="24"/>
              </w:rPr>
              <w:t>保障全区的广播正常运转，将党和政府的声音及时专递到广大群众中。</w:t>
            </w:r>
          </w:p>
        </w:tc>
      </w:tr>
      <w:tr w14:paraId="3BE236B3">
        <w:tblPrEx>
          <w:tblCellMar>
            <w:top w:w="0" w:type="dxa"/>
            <w:left w:w="0" w:type="dxa"/>
            <w:bottom w:w="0" w:type="dxa"/>
            <w:right w:w="0" w:type="dxa"/>
          </w:tblCellMar>
        </w:tblPrEx>
        <w:trPr>
          <w:trHeight w:val="105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2F0962BD">
            <w:pPr>
              <w:widowControl/>
              <w:jc w:val="left"/>
              <w:rPr>
                <w:rFonts w:ascii="宋体"/>
                <w:sz w:val="24"/>
              </w:rPr>
            </w:pP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101D89">
            <w:pPr>
              <w:widowControl/>
              <w:jc w:val="center"/>
              <w:textAlignment w:val="center"/>
              <w:rPr>
                <w:rFonts w:ascii="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375DFE">
            <w:pPr>
              <w:widowControl/>
              <w:jc w:val="center"/>
              <w:textAlignment w:val="center"/>
              <w:rPr>
                <w:rFonts w:ascii="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D5314F">
            <w:pPr>
              <w:widowControl/>
              <w:jc w:val="center"/>
              <w:textAlignment w:val="center"/>
              <w:rPr>
                <w:rFonts w:ascii="宋体"/>
                <w:sz w:val="24"/>
              </w:rPr>
            </w:pPr>
            <w:r>
              <w:rPr>
                <w:rFonts w:hint="eastAsia" w:ascii="宋体"/>
                <w:sz w:val="24"/>
              </w:rPr>
              <w:t>完成对全区102个行政村的广播线路的维修维护、保障广播设施设备的正常运转。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3F0AEC">
            <w:pPr>
              <w:widowControl/>
              <w:jc w:val="center"/>
              <w:textAlignment w:val="center"/>
              <w:rPr>
                <w:rFonts w:ascii="宋体"/>
                <w:sz w:val="24"/>
              </w:rPr>
            </w:pPr>
            <w:r>
              <w:rPr>
                <w:rFonts w:hint="eastAsia" w:ascii="宋体"/>
                <w:sz w:val="24"/>
              </w:rPr>
              <w:t>100%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240188">
            <w:pPr>
              <w:widowControl/>
              <w:jc w:val="center"/>
              <w:textAlignment w:val="center"/>
              <w:rPr>
                <w:rFonts w:ascii="宋体"/>
                <w:sz w:val="24"/>
              </w:rPr>
            </w:pPr>
            <w:r>
              <w:rPr>
                <w:rFonts w:hint="eastAsia" w:ascii="宋体"/>
                <w:sz w:val="24"/>
              </w:rPr>
              <w:t>完成对全区102个行政村的广播线路的维修维护、保障广播设施设备的正常运转=100%</w:t>
            </w:r>
          </w:p>
        </w:tc>
      </w:tr>
      <w:tr w14:paraId="1FFB0699">
        <w:tblPrEx>
          <w:tblCellMar>
            <w:top w:w="0" w:type="dxa"/>
            <w:left w:w="0" w:type="dxa"/>
            <w:bottom w:w="0" w:type="dxa"/>
            <w:right w:w="0" w:type="dxa"/>
          </w:tblCellMar>
        </w:tblPrEx>
        <w:trPr>
          <w:trHeight w:val="90" w:hRule="atLeast"/>
          <w:jc w:val="center"/>
        </w:trPr>
        <w:tc>
          <w:tcPr>
            <w:tcW w:w="10080" w:type="dxa"/>
            <w:gridSpan w:val="9"/>
            <w:tcMar>
              <w:top w:w="15" w:type="dxa"/>
              <w:left w:w="15" w:type="dxa"/>
              <w:bottom w:w="0" w:type="dxa"/>
              <w:right w:w="15" w:type="dxa"/>
            </w:tcMar>
            <w:vAlign w:val="center"/>
          </w:tcPr>
          <w:p w14:paraId="7222E54E">
            <w:pPr>
              <w:pStyle w:val="26"/>
              <w:widowControl/>
              <w:ind w:left="4173" w:leftChars="1310" w:hanging="1422" w:hangingChars="395"/>
              <w:textAlignment w:val="center"/>
              <w:rPr>
                <w:rFonts w:ascii="宋体"/>
                <w:sz w:val="36"/>
                <w:szCs w:val="36"/>
              </w:rPr>
            </w:pPr>
          </w:p>
          <w:p w14:paraId="580B61F5">
            <w:pPr>
              <w:pStyle w:val="26"/>
              <w:widowControl/>
              <w:ind w:left="4173" w:leftChars="1310" w:hanging="1422" w:hangingChars="395"/>
              <w:textAlignment w:val="center"/>
              <w:rPr>
                <w:rFonts w:ascii="宋体"/>
                <w:sz w:val="36"/>
                <w:szCs w:val="36"/>
              </w:rPr>
            </w:pPr>
          </w:p>
        </w:tc>
      </w:tr>
      <w:tr w14:paraId="718374C9">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383C75">
            <w:pPr>
              <w:widowControl/>
              <w:jc w:val="center"/>
              <w:textAlignment w:val="center"/>
              <w:rPr>
                <w:rFonts w:ascii="宋体"/>
                <w:sz w:val="24"/>
              </w:rPr>
            </w:pPr>
            <w:r>
              <w:rPr>
                <w:rFonts w:hint="eastAsia" w:ascii="宋体" w:hAnsi="宋体" w:cs="宋体"/>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BC36EB">
            <w:pPr>
              <w:widowControl/>
              <w:jc w:val="center"/>
              <w:textAlignment w:val="center"/>
              <w:rPr>
                <w:rFonts w:ascii="宋体"/>
                <w:sz w:val="24"/>
              </w:rPr>
            </w:pPr>
            <w:r>
              <w:rPr>
                <w:rFonts w:hint="eastAsia" w:ascii="宋体"/>
                <w:sz w:val="32"/>
                <w:szCs w:val="32"/>
              </w:rPr>
              <w:t>书画院补助经费</w:t>
            </w:r>
          </w:p>
        </w:tc>
      </w:tr>
      <w:tr w14:paraId="78DC145D">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B7F7FB">
            <w:pPr>
              <w:widowControl/>
              <w:jc w:val="center"/>
              <w:textAlignment w:val="center"/>
              <w:rPr>
                <w:rFonts w:ascii="宋体"/>
                <w:sz w:val="24"/>
              </w:rPr>
            </w:pPr>
            <w:r>
              <w:rPr>
                <w:rFonts w:hint="eastAsia" w:ascii="宋体" w:hAnsi="宋体" w:cs="宋体"/>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7B8894">
            <w:pPr>
              <w:widowControl/>
              <w:jc w:val="center"/>
              <w:textAlignment w:val="center"/>
              <w:rPr>
                <w:rFonts w:ascii="宋体"/>
                <w:sz w:val="24"/>
              </w:rPr>
            </w:pPr>
            <w:r>
              <w:rPr>
                <w:rFonts w:hint="eastAsia" w:ascii="宋体"/>
                <w:sz w:val="24"/>
              </w:rPr>
              <w:t>德阳市罗江区文化体育广播电视和旅游局</w:t>
            </w:r>
          </w:p>
        </w:tc>
      </w:tr>
      <w:tr w14:paraId="74319BB6">
        <w:tblPrEx>
          <w:tblCellMar>
            <w:top w:w="0" w:type="dxa"/>
            <w:left w:w="0" w:type="dxa"/>
            <w:bottom w:w="0" w:type="dxa"/>
            <w:right w:w="0" w:type="dxa"/>
          </w:tblCellMar>
        </w:tblPrEx>
        <w:trPr>
          <w:trHeight w:val="276" w:hRule="atLeast"/>
          <w:jc w:val="center"/>
        </w:trPr>
        <w:tc>
          <w:tcPr>
            <w:tcW w:w="1149"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56D1FF">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DF9460">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16EDA7">
            <w:pPr>
              <w:widowControl/>
              <w:jc w:val="center"/>
              <w:textAlignment w:val="center"/>
              <w:rPr>
                <w:rFonts w:ascii="宋体"/>
                <w:sz w:val="24"/>
              </w:rPr>
            </w:pPr>
            <w:r>
              <w:rPr>
                <w:rFonts w:hint="eastAsia" w:ascii="宋体"/>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994297">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85D5A7">
            <w:pPr>
              <w:widowControl/>
              <w:jc w:val="center"/>
              <w:textAlignment w:val="center"/>
              <w:rPr>
                <w:rFonts w:ascii="宋体"/>
                <w:sz w:val="24"/>
              </w:rPr>
            </w:pPr>
            <w:r>
              <w:rPr>
                <w:rFonts w:hint="eastAsia" w:ascii="宋体"/>
                <w:sz w:val="24"/>
              </w:rPr>
              <w:t>5</w:t>
            </w:r>
          </w:p>
        </w:tc>
      </w:tr>
      <w:tr w14:paraId="6B197C1B">
        <w:tblPrEx>
          <w:tblCellMar>
            <w:top w:w="0" w:type="dxa"/>
            <w:left w:w="0" w:type="dxa"/>
            <w:bottom w:w="0" w:type="dxa"/>
            <w:right w:w="0" w:type="dxa"/>
          </w:tblCellMar>
        </w:tblPrEx>
        <w:trPr>
          <w:trHeight w:val="276"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A454E37">
            <w:pPr>
              <w:widowControl/>
              <w:jc w:val="left"/>
              <w:rPr>
                <w:rFonts w:ascii="宋体"/>
                <w:sz w:val="24"/>
              </w:rPr>
            </w:pP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78106B">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85A6AD">
            <w:pPr>
              <w:widowControl/>
              <w:jc w:val="center"/>
              <w:textAlignment w:val="center"/>
              <w:rPr>
                <w:rFonts w:ascii="宋体"/>
                <w:sz w:val="24"/>
              </w:rPr>
            </w:pPr>
            <w:r>
              <w:rPr>
                <w:rFonts w:hint="eastAsia" w:ascii="宋体"/>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E38165">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D3C0D2">
            <w:pPr>
              <w:widowControl/>
              <w:jc w:val="center"/>
              <w:textAlignment w:val="center"/>
              <w:rPr>
                <w:rFonts w:ascii="宋体"/>
                <w:sz w:val="24"/>
              </w:rPr>
            </w:pPr>
            <w:r>
              <w:rPr>
                <w:rFonts w:hint="eastAsia" w:ascii="宋体"/>
                <w:sz w:val="24"/>
              </w:rPr>
              <w:t>5</w:t>
            </w:r>
          </w:p>
        </w:tc>
      </w:tr>
      <w:tr w14:paraId="7321FB9C">
        <w:tblPrEx>
          <w:tblCellMar>
            <w:top w:w="0" w:type="dxa"/>
            <w:left w:w="0" w:type="dxa"/>
            <w:bottom w:w="0" w:type="dxa"/>
            <w:right w:w="0" w:type="dxa"/>
          </w:tblCellMar>
        </w:tblPrEx>
        <w:trPr>
          <w:trHeight w:val="895"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5125254F">
            <w:pPr>
              <w:widowControl/>
              <w:jc w:val="left"/>
              <w:rPr>
                <w:rFonts w:ascii="宋体"/>
                <w:sz w:val="24"/>
              </w:rPr>
            </w:pP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7A2E15">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C99973">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DB0857">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330EC8">
            <w:pPr>
              <w:jc w:val="center"/>
              <w:rPr>
                <w:rFonts w:ascii="宋体"/>
                <w:sz w:val="24"/>
              </w:rPr>
            </w:pPr>
            <w:r>
              <w:rPr>
                <w:rFonts w:hint="eastAsia" w:ascii="宋体"/>
                <w:sz w:val="24"/>
              </w:rPr>
              <w:t>0</w:t>
            </w:r>
          </w:p>
        </w:tc>
      </w:tr>
      <w:tr w14:paraId="1EA172E1">
        <w:tblPrEx>
          <w:tblCellMar>
            <w:top w:w="0" w:type="dxa"/>
            <w:left w:w="0" w:type="dxa"/>
            <w:bottom w:w="0" w:type="dxa"/>
            <w:right w:w="0" w:type="dxa"/>
          </w:tblCellMar>
        </w:tblPrEx>
        <w:trPr>
          <w:trHeight w:val="276" w:hRule="atLeast"/>
          <w:jc w:val="center"/>
        </w:trPr>
        <w:tc>
          <w:tcPr>
            <w:tcW w:w="1149"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E8A585">
            <w:pPr>
              <w:widowControl/>
              <w:jc w:val="center"/>
              <w:textAlignment w:val="center"/>
              <w:rPr>
                <w:rFonts w:ascii="宋体"/>
                <w:sz w:val="24"/>
              </w:rPr>
            </w:pPr>
            <w:r>
              <w:rPr>
                <w:rFonts w:hint="eastAsia" w:ascii="宋体" w:hAnsi="宋体" w:cs="宋体"/>
                <w:kern w:val="0"/>
                <w:sz w:val="24"/>
              </w:rPr>
              <w:t>年度目标完成情况</w:t>
            </w:r>
          </w:p>
        </w:tc>
        <w:tc>
          <w:tcPr>
            <w:tcW w:w="40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7491D1">
            <w:pPr>
              <w:widowControl/>
              <w:jc w:val="center"/>
              <w:textAlignment w:val="center"/>
              <w:rPr>
                <w:rFonts w:ascii="宋体"/>
                <w:sz w:val="24"/>
              </w:rPr>
            </w:pPr>
            <w:r>
              <w:rPr>
                <w:rFonts w:hint="eastAsia" w:ascii="宋体" w:hAnsi="宋体" w:cs="宋体"/>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9B943D">
            <w:pPr>
              <w:widowControl/>
              <w:jc w:val="center"/>
              <w:textAlignment w:val="center"/>
              <w:rPr>
                <w:rFonts w:ascii="宋体"/>
                <w:sz w:val="24"/>
              </w:rPr>
            </w:pPr>
            <w:r>
              <w:rPr>
                <w:rFonts w:hint="eastAsia" w:ascii="宋体" w:hAnsi="宋体" w:cs="宋体"/>
                <w:kern w:val="0"/>
                <w:sz w:val="24"/>
              </w:rPr>
              <w:t>实际完成目标</w:t>
            </w:r>
          </w:p>
        </w:tc>
      </w:tr>
      <w:tr w14:paraId="097E83DE">
        <w:tblPrEx>
          <w:tblCellMar>
            <w:top w:w="0" w:type="dxa"/>
            <w:left w:w="0" w:type="dxa"/>
            <w:bottom w:w="0" w:type="dxa"/>
            <w:right w:w="0" w:type="dxa"/>
          </w:tblCellMar>
        </w:tblPrEx>
        <w:trPr>
          <w:trHeight w:val="1159"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D4C51AD">
            <w:pPr>
              <w:widowControl/>
              <w:jc w:val="left"/>
              <w:rPr>
                <w:rFonts w:ascii="宋体"/>
                <w:sz w:val="24"/>
              </w:rPr>
            </w:pPr>
          </w:p>
        </w:tc>
        <w:tc>
          <w:tcPr>
            <w:tcW w:w="40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5D41D8">
            <w:pPr>
              <w:widowControl/>
              <w:jc w:val="center"/>
              <w:textAlignment w:val="center"/>
              <w:rPr>
                <w:rFonts w:ascii="宋体"/>
                <w:sz w:val="24"/>
              </w:rPr>
            </w:pPr>
            <w:r>
              <w:rPr>
                <w:rFonts w:hint="eastAsia" w:ascii="仿宋_GB2312" w:hAnsi="仿宋_GB2312" w:cs="仿宋_GB2312"/>
                <w:szCs w:val="32"/>
                <w:lang w:val="zh-CN"/>
              </w:rPr>
              <w:t>购置书画纸张及其他材料；办展览2场；美术写生2次；办沙龙4次；送春联。</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D09876">
            <w:pPr>
              <w:widowControl/>
              <w:jc w:val="center"/>
              <w:textAlignment w:val="center"/>
              <w:rPr>
                <w:rFonts w:ascii="仿宋_GB2312" w:hAnsi="仿宋_GB2312" w:cs="仿宋_GB2312"/>
                <w:szCs w:val="32"/>
                <w:lang w:val="zh-CN"/>
              </w:rPr>
            </w:pPr>
            <w:r>
              <w:rPr>
                <w:rFonts w:hint="eastAsia" w:ascii="仿宋_GB2312" w:hAnsi="仿宋_GB2312" w:cs="仿宋_GB2312"/>
                <w:szCs w:val="32"/>
                <w:lang w:val="zh-CN"/>
              </w:rPr>
              <w:t>购置书画专业书籍</w:t>
            </w:r>
            <w:r>
              <w:rPr>
                <w:rFonts w:hint="eastAsia" w:ascii="仿宋_GB2312" w:hAnsi="仿宋_GB2312" w:cs="仿宋_GB2312"/>
                <w:szCs w:val="32"/>
              </w:rPr>
              <w:t>及</w:t>
            </w:r>
            <w:r>
              <w:rPr>
                <w:rFonts w:hint="eastAsia" w:ascii="仿宋_GB2312" w:hAnsi="仿宋_GB2312" w:cs="仿宋_GB2312"/>
                <w:szCs w:val="32"/>
                <w:lang w:val="zh-CN"/>
              </w:rPr>
              <w:t>书画器材一批，开展写生活动1次，举办美术展览1次。</w:t>
            </w:r>
          </w:p>
          <w:p w14:paraId="35E59D48">
            <w:pPr>
              <w:widowControl/>
              <w:jc w:val="center"/>
              <w:textAlignment w:val="center"/>
              <w:rPr>
                <w:rFonts w:ascii="宋体"/>
                <w:sz w:val="24"/>
              </w:rPr>
            </w:pPr>
          </w:p>
        </w:tc>
      </w:tr>
      <w:tr w14:paraId="11D833CB">
        <w:tblPrEx>
          <w:tblCellMar>
            <w:top w:w="0" w:type="dxa"/>
            <w:left w:w="0" w:type="dxa"/>
            <w:bottom w:w="0" w:type="dxa"/>
            <w:right w:w="0" w:type="dxa"/>
          </w:tblCellMar>
        </w:tblPrEx>
        <w:trPr>
          <w:trHeight w:val="1818" w:hRule="atLeast"/>
          <w:jc w:val="center"/>
        </w:trPr>
        <w:tc>
          <w:tcPr>
            <w:tcW w:w="1149"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9FD585">
            <w:pPr>
              <w:widowControl/>
              <w:jc w:val="center"/>
              <w:textAlignment w:val="center"/>
              <w:rPr>
                <w:rFonts w:ascii="宋体"/>
                <w:sz w:val="24"/>
              </w:rPr>
            </w:pPr>
            <w:r>
              <w:rPr>
                <w:rFonts w:hint="eastAsia" w:ascii="宋体" w:hAnsi="宋体" w:cs="宋体"/>
                <w:sz w:val="24"/>
              </w:rPr>
              <w:t>绩效指标完成情况</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23730A">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44B6C6">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1F2C80">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749C9F">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273506">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14:paraId="245D4DAC">
        <w:tblPrEx>
          <w:tblCellMar>
            <w:top w:w="0" w:type="dxa"/>
            <w:left w:w="0" w:type="dxa"/>
            <w:bottom w:w="0" w:type="dxa"/>
            <w:right w:w="0" w:type="dxa"/>
          </w:tblCellMar>
        </w:tblPrEx>
        <w:trPr>
          <w:trHeight w:val="1390"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2D923B61">
            <w:pPr>
              <w:widowControl/>
              <w:jc w:val="left"/>
              <w:rPr>
                <w:rFonts w:ascii="宋体"/>
                <w:sz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375D9D">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C29D25">
            <w:pPr>
              <w:widowControl/>
              <w:jc w:val="center"/>
              <w:textAlignment w:val="center"/>
              <w:rPr>
                <w:rFonts w:ascii="宋体"/>
                <w:sz w:val="24"/>
              </w:rPr>
            </w:pPr>
            <w:r>
              <w:rPr>
                <w:rFonts w:hint="eastAsia" w:ascii="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9DF7B6">
            <w:pPr>
              <w:widowControl/>
              <w:jc w:val="center"/>
              <w:textAlignment w:val="center"/>
              <w:rPr>
                <w:rFonts w:ascii="宋体"/>
                <w:sz w:val="24"/>
              </w:rPr>
            </w:pPr>
            <w:r>
              <w:rPr>
                <w:rFonts w:hint="eastAsia" w:ascii="仿宋_GB2312" w:hAnsi="仿宋_GB2312" w:cs="仿宋_GB2312"/>
                <w:szCs w:val="32"/>
                <w:lang w:val="zh-CN"/>
              </w:rPr>
              <w:t>购置书画纸张及其他材料；办展览2场；美术写生2次；办沙龙4次；送春联。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4BE7EB">
            <w:pPr>
              <w:widowControl/>
              <w:jc w:val="center"/>
              <w:textAlignment w:val="center"/>
              <w:rPr>
                <w:rFonts w:ascii="宋体"/>
                <w:sz w:val="24"/>
              </w:rPr>
            </w:pPr>
            <w:r>
              <w:rPr>
                <w:rFonts w:hint="eastAsia" w:ascii="宋体"/>
                <w:sz w:val="24"/>
              </w:rPr>
              <w:t>正常运转</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CDAC03">
            <w:pPr>
              <w:widowControl/>
              <w:jc w:val="center"/>
              <w:textAlignment w:val="center"/>
              <w:rPr>
                <w:rFonts w:ascii="宋体"/>
                <w:sz w:val="24"/>
              </w:rPr>
            </w:pPr>
            <w:r>
              <w:rPr>
                <w:rFonts w:hint="eastAsia" w:ascii="仿宋_GB2312" w:hAnsi="仿宋_GB2312" w:cs="仿宋_GB2312"/>
                <w:szCs w:val="32"/>
                <w:lang w:val="zh-CN"/>
              </w:rPr>
              <w:t>购置书画专业书籍</w:t>
            </w:r>
            <w:r>
              <w:rPr>
                <w:rFonts w:hint="eastAsia" w:ascii="仿宋_GB2312" w:hAnsi="仿宋_GB2312" w:cs="仿宋_GB2312"/>
                <w:szCs w:val="32"/>
              </w:rPr>
              <w:t>及</w:t>
            </w:r>
            <w:r>
              <w:rPr>
                <w:rFonts w:hint="eastAsia" w:ascii="仿宋_GB2312" w:hAnsi="仿宋_GB2312" w:cs="仿宋_GB2312"/>
                <w:szCs w:val="32"/>
                <w:lang w:val="zh-CN"/>
              </w:rPr>
              <w:t>书画器材一批，开展写生活动1次，举办美术展览1次。</w:t>
            </w:r>
          </w:p>
        </w:tc>
      </w:tr>
      <w:tr w14:paraId="547B724E">
        <w:tblPrEx>
          <w:tblCellMar>
            <w:top w:w="0" w:type="dxa"/>
            <w:left w:w="0" w:type="dxa"/>
            <w:bottom w:w="0" w:type="dxa"/>
            <w:right w:w="0" w:type="dxa"/>
          </w:tblCellMar>
        </w:tblPrEx>
        <w:trPr>
          <w:trHeight w:val="1297"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9E69C5F">
            <w:pPr>
              <w:widowControl/>
              <w:jc w:val="left"/>
              <w:rPr>
                <w:rFonts w:ascii="宋体"/>
                <w:sz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33488C">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D8C6B2">
            <w:pPr>
              <w:widowControl/>
              <w:jc w:val="center"/>
              <w:textAlignment w:val="center"/>
              <w:rPr>
                <w:rFonts w:ascii="宋体"/>
                <w:sz w:val="24"/>
              </w:rPr>
            </w:pPr>
            <w:r>
              <w:rPr>
                <w:rFonts w:hint="eastAsia" w:asci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9277CD">
            <w:pPr>
              <w:widowControl/>
              <w:jc w:val="center"/>
              <w:textAlignment w:val="center"/>
              <w:rPr>
                <w:rFonts w:ascii="宋体"/>
                <w:sz w:val="24"/>
              </w:rPr>
            </w:pPr>
            <w:r>
              <w:rPr>
                <w:rFonts w:hint="eastAsia" w:ascii="宋体"/>
                <w:sz w:val="24"/>
              </w:rPr>
              <w:t>购置材料、交流学习、组织活动等5万元。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403A44">
            <w:pPr>
              <w:widowControl/>
              <w:jc w:val="left"/>
              <w:textAlignment w:val="center"/>
              <w:rPr>
                <w:rFonts w:ascii="宋体"/>
                <w:sz w:val="24"/>
              </w:rPr>
            </w:pPr>
            <w:r>
              <w:rPr>
                <w:rFonts w:hint="eastAsia" w:ascii="宋体"/>
                <w:sz w:val="24"/>
              </w:rPr>
              <w:t>5万元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4387DC">
            <w:pPr>
              <w:widowControl/>
              <w:jc w:val="center"/>
              <w:textAlignment w:val="center"/>
              <w:rPr>
                <w:rFonts w:ascii="宋体"/>
                <w:sz w:val="24"/>
              </w:rPr>
            </w:pPr>
            <w:r>
              <w:rPr>
                <w:rFonts w:hint="eastAsia" w:ascii="宋体"/>
                <w:sz w:val="24"/>
              </w:rPr>
              <w:t>购置材料、交流学习、组织活动等5万元。</w:t>
            </w:r>
          </w:p>
        </w:tc>
      </w:tr>
      <w:tr w14:paraId="019E572B">
        <w:tblPrEx>
          <w:tblCellMar>
            <w:top w:w="0" w:type="dxa"/>
            <w:left w:w="0" w:type="dxa"/>
            <w:bottom w:w="0" w:type="dxa"/>
            <w:right w:w="0" w:type="dxa"/>
          </w:tblCellMar>
        </w:tblPrEx>
        <w:trPr>
          <w:trHeight w:val="1042"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0A59F04">
            <w:pPr>
              <w:widowControl/>
              <w:jc w:val="left"/>
              <w:rPr>
                <w:rFonts w:ascii="宋体"/>
                <w:sz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BB278B">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486591">
            <w:pPr>
              <w:widowControl/>
              <w:jc w:val="center"/>
              <w:textAlignment w:val="center"/>
              <w:rPr>
                <w:rFonts w:ascii="宋体"/>
                <w:sz w:val="24"/>
              </w:rPr>
            </w:pPr>
            <w:r>
              <w:rPr>
                <w:rFonts w:hint="eastAsia" w:ascii="宋体"/>
                <w:sz w:val="24"/>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179EE7">
            <w:pPr>
              <w:widowControl/>
              <w:jc w:val="center"/>
              <w:textAlignment w:val="center"/>
              <w:rPr>
                <w:rFonts w:ascii="宋体"/>
                <w:sz w:val="24"/>
              </w:rPr>
            </w:pPr>
            <w:r>
              <w:rPr>
                <w:rFonts w:hint="eastAsia" w:ascii="宋体"/>
                <w:sz w:val="24"/>
              </w:rPr>
              <w:t>2020年12月31日前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2330EB">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53B27">
            <w:pPr>
              <w:widowControl/>
              <w:jc w:val="center"/>
              <w:textAlignment w:val="center"/>
              <w:rPr>
                <w:rFonts w:ascii="宋体"/>
                <w:sz w:val="24"/>
              </w:rPr>
            </w:pPr>
            <w:r>
              <w:rPr>
                <w:rFonts w:hint="eastAsia" w:ascii="宋体"/>
                <w:sz w:val="24"/>
              </w:rPr>
              <w:t>2020年12月31日完成</w:t>
            </w:r>
          </w:p>
        </w:tc>
      </w:tr>
      <w:tr w14:paraId="74D47B4C">
        <w:tblPrEx>
          <w:tblCellMar>
            <w:top w:w="0" w:type="dxa"/>
            <w:left w:w="0" w:type="dxa"/>
            <w:bottom w:w="0" w:type="dxa"/>
            <w:right w:w="0" w:type="dxa"/>
          </w:tblCellMar>
        </w:tblPrEx>
        <w:trPr>
          <w:trHeight w:val="1042"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79232B2">
            <w:pPr>
              <w:widowControl/>
              <w:jc w:val="left"/>
              <w:rPr>
                <w:rFonts w:ascii="宋体"/>
                <w:sz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7EE249">
            <w:pPr>
              <w:widowControl/>
              <w:jc w:val="center"/>
              <w:textAlignment w:val="center"/>
              <w:rPr>
                <w:rFonts w:ascii="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0CDBDF">
            <w:pPr>
              <w:widowControl/>
              <w:jc w:val="center"/>
              <w:textAlignment w:val="center"/>
              <w:rPr>
                <w:rFonts w:ascii="宋体"/>
                <w:sz w:val="24"/>
              </w:rPr>
            </w:pPr>
            <w:r>
              <w:rPr>
                <w:rFonts w:hint="eastAsia" w:asci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1FE41B">
            <w:pPr>
              <w:widowControl/>
              <w:jc w:val="center"/>
              <w:textAlignment w:val="center"/>
              <w:rPr>
                <w:rFonts w:ascii="宋体"/>
                <w:sz w:val="24"/>
              </w:rPr>
            </w:pPr>
            <w:r>
              <w:rPr>
                <w:rFonts w:hint="eastAsia" w:ascii="宋体"/>
                <w:sz w:val="24"/>
              </w:rPr>
              <w:t>提高罗江区书画爱好者水平，普及及传承书画艺术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824D7B">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0D6EA5">
            <w:pPr>
              <w:widowControl/>
              <w:jc w:val="center"/>
              <w:textAlignment w:val="center"/>
              <w:rPr>
                <w:rFonts w:ascii="宋体"/>
                <w:sz w:val="24"/>
              </w:rPr>
            </w:pPr>
            <w:r>
              <w:rPr>
                <w:rFonts w:hint="eastAsia" w:ascii="宋体"/>
                <w:sz w:val="24"/>
              </w:rPr>
              <w:t>提高罗江区书画爱好者水平，普及及传承书画艺术</w:t>
            </w:r>
          </w:p>
        </w:tc>
      </w:tr>
      <w:tr w14:paraId="354D71A0">
        <w:tblPrEx>
          <w:tblCellMar>
            <w:top w:w="0" w:type="dxa"/>
            <w:left w:w="0" w:type="dxa"/>
            <w:bottom w:w="0" w:type="dxa"/>
            <w:right w:w="0" w:type="dxa"/>
          </w:tblCellMar>
        </w:tblPrEx>
        <w:trPr>
          <w:trHeight w:val="1050"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19B2D2FA">
            <w:pPr>
              <w:widowControl/>
              <w:jc w:val="left"/>
              <w:rPr>
                <w:rFonts w:ascii="宋体"/>
                <w:sz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9FF8B4">
            <w:pPr>
              <w:widowControl/>
              <w:jc w:val="center"/>
              <w:textAlignment w:val="center"/>
              <w:rPr>
                <w:rFonts w:ascii="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AB4D07">
            <w:pPr>
              <w:widowControl/>
              <w:jc w:val="center"/>
              <w:textAlignment w:val="center"/>
              <w:rPr>
                <w:rFonts w:ascii="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30F0A0">
            <w:pPr>
              <w:widowControl/>
              <w:jc w:val="center"/>
              <w:textAlignment w:val="center"/>
              <w:rPr>
                <w:rFonts w:ascii="宋体"/>
                <w:sz w:val="24"/>
              </w:rPr>
            </w:pPr>
            <w:r>
              <w:rPr>
                <w:rFonts w:hint="eastAsia" w:ascii="宋体"/>
                <w:sz w:val="24"/>
              </w:rPr>
              <w:t>各界相关</w:t>
            </w:r>
            <w:r>
              <w:rPr>
                <w:rFonts w:hint="eastAsia" w:ascii="宋体"/>
                <w:sz w:val="24"/>
                <w:lang w:eastAsia="zh-CN"/>
              </w:rPr>
              <w:t>人民群众</w:t>
            </w:r>
            <w:r>
              <w:rPr>
                <w:rFonts w:hint="eastAsia" w:ascii="宋体"/>
                <w:sz w:val="24"/>
              </w:rPr>
              <w:t>都能满意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B96F59">
            <w:pPr>
              <w:widowControl/>
              <w:jc w:val="center"/>
              <w:textAlignment w:val="center"/>
              <w:rPr>
                <w:rFonts w:ascii="宋体"/>
                <w:sz w:val="24"/>
              </w:rPr>
            </w:pPr>
            <w:r>
              <w:rPr>
                <w:rFonts w:hint="eastAsia" w:ascii="宋体"/>
                <w:sz w:val="24"/>
              </w:rPr>
              <w:t>90%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D33125">
            <w:pPr>
              <w:widowControl/>
              <w:jc w:val="center"/>
              <w:textAlignment w:val="center"/>
              <w:rPr>
                <w:rFonts w:ascii="宋体"/>
                <w:sz w:val="24"/>
              </w:rPr>
            </w:pPr>
            <w:r>
              <w:rPr>
                <w:rFonts w:hint="eastAsia" w:ascii="宋体"/>
                <w:sz w:val="24"/>
              </w:rPr>
              <w:t>各界相关</w:t>
            </w:r>
            <w:r>
              <w:rPr>
                <w:rFonts w:hint="eastAsia" w:ascii="宋体"/>
                <w:sz w:val="24"/>
                <w:lang w:eastAsia="zh-CN"/>
              </w:rPr>
              <w:t>人民群众</w:t>
            </w:r>
            <w:r>
              <w:rPr>
                <w:rFonts w:hint="eastAsia" w:ascii="宋体"/>
                <w:sz w:val="24"/>
              </w:rPr>
              <w:t>都能满意≥90%</w:t>
            </w:r>
          </w:p>
        </w:tc>
      </w:tr>
      <w:tr w14:paraId="610A5C24">
        <w:tblPrEx>
          <w:tblCellMar>
            <w:top w:w="0" w:type="dxa"/>
            <w:left w:w="0" w:type="dxa"/>
            <w:bottom w:w="0" w:type="dxa"/>
            <w:right w:w="0" w:type="dxa"/>
          </w:tblCellMar>
        </w:tblPrEx>
        <w:trPr>
          <w:trHeight w:val="438"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57908F">
            <w:pPr>
              <w:widowControl/>
              <w:jc w:val="center"/>
              <w:textAlignment w:val="center"/>
              <w:rPr>
                <w:rFonts w:ascii="宋体"/>
                <w:sz w:val="24"/>
              </w:rPr>
            </w:pPr>
            <w:r>
              <w:rPr>
                <w:rFonts w:hint="eastAsia" w:ascii="宋体" w:hAnsi="宋体" w:cs="宋体"/>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4BF77D">
            <w:pPr>
              <w:widowControl/>
              <w:jc w:val="center"/>
              <w:textAlignment w:val="center"/>
              <w:rPr>
                <w:rFonts w:ascii="宋体"/>
                <w:sz w:val="24"/>
              </w:rPr>
            </w:pPr>
            <w:r>
              <w:rPr>
                <w:rFonts w:hint="eastAsia" w:ascii="仿宋_GB2312" w:hAnsi="仿宋_GB2312" w:eastAsia="仿宋_GB2312" w:cs="仿宋_GB2312"/>
                <w:sz w:val="32"/>
                <w:szCs w:val="32"/>
              </w:rPr>
              <w:t>文化旅游市场管理工作经费</w:t>
            </w:r>
          </w:p>
        </w:tc>
      </w:tr>
      <w:tr w14:paraId="35DE5D04">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06480F">
            <w:pPr>
              <w:widowControl/>
              <w:jc w:val="center"/>
              <w:textAlignment w:val="center"/>
              <w:rPr>
                <w:rFonts w:ascii="宋体"/>
                <w:sz w:val="24"/>
              </w:rPr>
            </w:pPr>
            <w:r>
              <w:rPr>
                <w:rFonts w:hint="eastAsia" w:ascii="宋体" w:hAnsi="宋体" w:cs="宋体"/>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500427">
            <w:pPr>
              <w:widowControl/>
              <w:jc w:val="center"/>
              <w:textAlignment w:val="center"/>
              <w:rPr>
                <w:rFonts w:ascii="宋体"/>
                <w:sz w:val="24"/>
              </w:rPr>
            </w:pPr>
            <w:r>
              <w:rPr>
                <w:rFonts w:hint="eastAsia" w:ascii="宋体"/>
                <w:sz w:val="24"/>
              </w:rPr>
              <w:t>德阳市罗江区文化体育广播电视和旅游局</w:t>
            </w:r>
          </w:p>
        </w:tc>
      </w:tr>
      <w:tr w14:paraId="64C3B1FB">
        <w:tblPrEx>
          <w:tblCellMar>
            <w:top w:w="0" w:type="dxa"/>
            <w:left w:w="0" w:type="dxa"/>
            <w:bottom w:w="0" w:type="dxa"/>
            <w:right w:w="0" w:type="dxa"/>
          </w:tblCellMar>
        </w:tblPrEx>
        <w:trPr>
          <w:trHeight w:val="276" w:hRule="atLeast"/>
          <w:jc w:val="center"/>
        </w:trPr>
        <w:tc>
          <w:tcPr>
            <w:tcW w:w="86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7F4A62">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19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FA769E">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A5C669">
            <w:pPr>
              <w:widowControl/>
              <w:jc w:val="center"/>
              <w:textAlignment w:val="center"/>
              <w:rPr>
                <w:rFonts w:ascii="宋体"/>
                <w:sz w:val="24"/>
              </w:rPr>
            </w:pPr>
            <w:r>
              <w:rPr>
                <w:rFonts w:hint="eastAsia" w:ascii="宋体"/>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751AAF">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CE2FC8">
            <w:pPr>
              <w:widowControl/>
              <w:jc w:val="center"/>
              <w:textAlignment w:val="center"/>
              <w:rPr>
                <w:rFonts w:ascii="宋体"/>
                <w:sz w:val="24"/>
              </w:rPr>
            </w:pPr>
            <w:r>
              <w:rPr>
                <w:rFonts w:hint="eastAsia" w:ascii="宋体"/>
                <w:sz w:val="24"/>
              </w:rPr>
              <w:t>5</w:t>
            </w:r>
          </w:p>
        </w:tc>
      </w:tr>
      <w:tr w14:paraId="634872E0">
        <w:tblPrEx>
          <w:tblCellMar>
            <w:top w:w="0" w:type="dxa"/>
            <w:left w:w="0" w:type="dxa"/>
            <w:bottom w:w="0" w:type="dxa"/>
            <w:right w:w="0" w:type="dxa"/>
          </w:tblCellMar>
        </w:tblPrEx>
        <w:trPr>
          <w:trHeight w:val="276"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946A02C">
            <w:pPr>
              <w:widowControl/>
              <w:jc w:val="left"/>
              <w:rPr>
                <w:rFonts w:ascii="宋体"/>
                <w:sz w:val="24"/>
              </w:rPr>
            </w:pPr>
          </w:p>
        </w:tc>
        <w:tc>
          <w:tcPr>
            <w:tcW w:w="19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7A6BA5">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558616">
            <w:pPr>
              <w:widowControl/>
              <w:jc w:val="center"/>
              <w:textAlignment w:val="center"/>
              <w:rPr>
                <w:rFonts w:ascii="宋体"/>
                <w:sz w:val="24"/>
              </w:rPr>
            </w:pPr>
            <w:r>
              <w:rPr>
                <w:rFonts w:hint="eastAsia" w:ascii="宋体"/>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B1D04F">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08E73C">
            <w:pPr>
              <w:widowControl/>
              <w:jc w:val="center"/>
              <w:textAlignment w:val="center"/>
              <w:rPr>
                <w:rFonts w:ascii="宋体"/>
                <w:sz w:val="24"/>
              </w:rPr>
            </w:pPr>
            <w:r>
              <w:rPr>
                <w:rFonts w:hint="eastAsia" w:ascii="宋体"/>
                <w:sz w:val="24"/>
              </w:rPr>
              <w:t>5</w:t>
            </w:r>
          </w:p>
        </w:tc>
      </w:tr>
      <w:tr w14:paraId="1E7A3A7C">
        <w:tblPrEx>
          <w:tblCellMar>
            <w:top w:w="0" w:type="dxa"/>
            <w:left w:w="0" w:type="dxa"/>
            <w:bottom w:w="0" w:type="dxa"/>
            <w:right w:w="0" w:type="dxa"/>
          </w:tblCellMar>
        </w:tblPrEx>
        <w:trPr>
          <w:trHeight w:val="849"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97A452C">
            <w:pPr>
              <w:widowControl/>
              <w:jc w:val="left"/>
              <w:rPr>
                <w:rFonts w:ascii="宋体"/>
                <w:sz w:val="24"/>
              </w:rPr>
            </w:pPr>
          </w:p>
        </w:tc>
        <w:tc>
          <w:tcPr>
            <w:tcW w:w="19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8488AD">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36EC5C">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F33F1">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AA554E">
            <w:pPr>
              <w:jc w:val="center"/>
              <w:rPr>
                <w:rFonts w:ascii="宋体"/>
                <w:sz w:val="24"/>
              </w:rPr>
            </w:pPr>
            <w:r>
              <w:rPr>
                <w:rFonts w:hint="eastAsia" w:ascii="宋体"/>
                <w:sz w:val="24"/>
              </w:rPr>
              <w:t>0</w:t>
            </w:r>
          </w:p>
        </w:tc>
      </w:tr>
      <w:tr w14:paraId="13B1B636">
        <w:tblPrEx>
          <w:tblCellMar>
            <w:top w:w="0" w:type="dxa"/>
            <w:left w:w="0" w:type="dxa"/>
            <w:bottom w:w="0" w:type="dxa"/>
            <w:right w:w="0" w:type="dxa"/>
          </w:tblCellMar>
        </w:tblPrEx>
        <w:trPr>
          <w:trHeight w:val="276" w:hRule="atLeast"/>
          <w:jc w:val="center"/>
        </w:trPr>
        <w:tc>
          <w:tcPr>
            <w:tcW w:w="86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B1BA92">
            <w:pPr>
              <w:widowControl/>
              <w:jc w:val="center"/>
              <w:textAlignment w:val="center"/>
              <w:rPr>
                <w:rFonts w:ascii="宋体"/>
                <w:sz w:val="24"/>
              </w:rPr>
            </w:pPr>
            <w:r>
              <w:rPr>
                <w:rFonts w:hint="eastAsia" w:ascii="宋体" w:hAnsi="宋体" w:cs="宋体"/>
                <w:kern w:val="0"/>
                <w:sz w:val="24"/>
              </w:rPr>
              <w:t>年度目标完成情况</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3B1E89">
            <w:pPr>
              <w:widowControl/>
              <w:jc w:val="center"/>
              <w:textAlignment w:val="center"/>
              <w:rPr>
                <w:rFonts w:ascii="宋体"/>
                <w:sz w:val="24"/>
              </w:rPr>
            </w:pPr>
            <w:r>
              <w:rPr>
                <w:rFonts w:hint="eastAsia" w:ascii="宋体" w:hAnsi="宋体" w:cs="宋体"/>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1CB796">
            <w:pPr>
              <w:widowControl/>
              <w:jc w:val="center"/>
              <w:textAlignment w:val="center"/>
              <w:rPr>
                <w:rFonts w:ascii="宋体"/>
                <w:sz w:val="24"/>
              </w:rPr>
            </w:pPr>
            <w:r>
              <w:rPr>
                <w:rFonts w:hint="eastAsia" w:ascii="宋体" w:hAnsi="宋体" w:cs="宋体"/>
                <w:kern w:val="0"/>
                <w:sz w:val="24"/>
              </w:rPr>
              <w:t>实际完成目标</w:t>
            </w:r>
          </w:p>
        </w:tc>
      </w:tr>
      <w:tr w14:paraId="593FCF5C">
        <w:tblPrEx>
          <w:tblCellMar>
            <w:top w:w="0" w:type="dxa"/>
            <w:left w:w="0" w:type="dxa"/>
            <w:bottom w:w="0" w:type="dxa"/>
            <w:right w:w="0" w:type="dxa"/>
          </w:tblCellMar>
        </w:tblPrEx>
        <w:trPr>
          <w:trHeight w:val="1159"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0193AB3">
            <w:pPr>
              <w:widowControl/>
              <w:jc w:val="left"/>
              <w:rPr>
                <w:rFonts w:ascii="宋体"/>
                <w:sz w:val="24"/>
              </w:rPr>
            </w:pP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74FCFB">
            <w:pPr>
              <w:widowControl/>
              <w:jc w:val="left"/>
              <w:textAlignment w:val="center"/>
              <w:rPr>
                <w:rFonts w:ascii="宋体"/>
                <w:sz w:val="24"/>
              </w:rPr>
            </w:pPr>
            <w:r>
              <w:rPr>
                <w:rFonts w:hint="eastAsia" w:ascii="宋体"/>
                <w:sz w:val="24"/>
              </w:rPr>
              <w:t>查办案件数不低于在编在岗人员数的3倍；每周出动次数不低于2次，每次随机检查数量不低于3家次；每季度参加、开展执法业务培训、以案释法教育不低1次。</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21E338">
            <w:pPr>
              <w:widowControl/>
              <w:jc w:val="left"/>
              <w:textAlignment w:val="center"/>
              <w:rPr>
                <w:rFonts w:ascii="宋体"/>
                <w:sz w:val="24"/>
              </w:rPr>
            </w:pPr>
            <w:r>
              <w:rPr>
                <w:rFonts w:hint="eastAsia" w:ascii="仿宋_GB2312" w:hAnsi="宋体" w:cs="宋体"/>
                <w:kern w:val="0"/>
                <w:szCs w:val="32"/>
              </w:rPr>
              <w:t>出动执法检查人员2500余人次，检查经营单位1200余家次，参与市文旅局、市新闻出版局组织的双随机检查3次，独立组织开展双随机检查2次，承担“扫黄打非”相关执法任务。全年立案查处6家次，办结6家次，其中停业整顿1家次，罚款3家次，不予处罚1家次，撤销立案1家次。责令改正3家次，打掉“黑广播”发射站1个，查获信号发射器1台。组织文化市场经营单位负责人开展集中业务培训2次，参与市级文旅执法部门组织的业务培训4次。</w:t>
            </w:r>
          </w:p>
        </w:tc>
      </w:tr>
      <w:tr w14:paraId="3AD23CB4">
        <w:tblPrEx>
          <w:tblCellMar>
            <w:top w:w="0" w:type="dxa"/>
            <w:left w:w="0" w:type="dxa"/>
            <w:bottom w:w="0" w:type="dxa"/>
            <w:right w:w="0" w:type="dxa"/>
          </w:tblCellMar>
        </w:tblPrEx>
        <w:trPr>
          <w:trHeight w:val="1818" w:hRule="atLeast"/>
          <w:jc w:val="center"/>
        </w:trPr>
        <w:tc>
          <w:tcPr>
            <w:tcW w:w="86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C2D771">
            <w:pPr>
              <w:widowControl/>
              <w:jc w:val="center"/>
              <w:textAlignment w:val="center"/>
              <w:rPr>
                <w:rFonts w:ascii="宋体"/>
                <w:sz w:val="24"/>
              </w:rPr>
            </w:pPr>
            <w:r>
              <w:rPr>
                <w:rFonts w:hint="eastAsia" w:ascii="宋体" w:hAnsi="宋体" w:cs="宋体"/>
                <w:sz w:val="24"/>
              </w:rPr>
              <w:t>绩效指标完成情况</w:t>
            </w: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2848A0">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2EAE25">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5AC9C7">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9E13E8">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FD6B70">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14:paraId="19E4F802">
        <w:tblPrEx>
          <w:tblCellMar>
            <w:top w:w="0" w:type="dxa"/>
            <w:left w:w="0" w:type="dxa"/>
            <w:bottom w:w="0" w:type="dxa"/>
            <w:right w:w="0" w:type="dxa"/>
          </w:tblCellMar>
        </w:tblPrEx>
        <w:trPr>
          <w:trHeight w:val="1390"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CAD3A50">
            <w:pPr>
              <w:widowControl/>
              <w:jc w:val="left"/>
              <w:rPr>
                <w:rFonts w:ascii="宋体"/>
                <w:sz w:val="24"/>
              </w:rPr>
            </w:pP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F1EBB6">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DA573F">
            <w:pPr>
              <w:widowControl/>
              <w:jc w:val="center"/>
              <w:textAlignment w:val="center"/>
              <w:rPr>
                <w:rFonts w:ascii="宋体"/>
                <w:sz w:val="24"/>
              </w:rPr>
            </w:pPr>
            <w:r>
              <w:rPr>
                <w:rFonts w:hint="eastAsia" w:ascii="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96D25F">
            <w:pPr>
              <w:widowControl/>
              <w:jc w:val="center"/>
              <w:textAlignment w:val="center"/>
              <w:rPr>
                <w:rFonts w:ascii="宋体"/>
                <w:sz w:val="24"/>
              </w:rPr>
            </w:pPr>
            <w:r>
              <w:rPr>
                <w:rFonts w:hint="eastAsia" w:ascii="宋体"/>
                <w:sz w:val="24"/>
              </w:rPr>
              <w:t>案件查办，执法培训等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6F34FD">
            <w:pPr>
              <w:widowControl/>
              <w:jc w:val="center"/>
              <w:textAlignment w:val="center"/>
              <w:rPr>
                <w:rFonts w:ascii="宋体"/>
                <w:sz w:val="24"/>
              </w:rPr>
            </w:pPr>
            <w:r>
              <w:rPr>
                <w:rFonts w:hint="eastAsia" w:ascii="宋体"/>
                <w:sz w:val="24"/>
              </w:rPr>
              <w:t>案件查办不低于在编在岗执法人员的3倍，执法培训每季度不低于一次，以案释法教育每年不低于2次，集中法制宣传每年不低于2次，出动人次/检查家次不低于600人次/300家次。</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F3810D">
            <w:pPr>
              <w:widowControl/>
              <w:jc w:val="center"/>
              <w:textAlignment w:val="center"/>
              <w:rPr>
                <w:rFonts w:ascii="宋体"/>
                <w:sz w:val="24"/>
              </w:rPr>
            </w:pPr>
            <w:r>
              <w:rPr>
                <w:rFonts w:hint="eastAsia" w:ascii="宋体"/>
                <w:sz w:val="24"/>
              </w:rPr>
              <w:t>案件查办不低于在编在岗执法人员的3倍，执法培训每季度不低于一次，以案释法教育每年不低于2次，集中法制宣传每年不低于2次，出动人次/检查家次不低于600人次/300家次。。</w:t>
            </w:r>
          </w:p>
        </w:tc>
      </w:tr>
      <w:tr w14:paraId="1F326318">
        <w:tblPrEx>
          <w:tblCellMar>
            <w:top w:w="0" w:type="dxa"/>
            <w:left w:w="0" w:type="dxa"/>
            <w:bottom w:w="0" w:type="dxa"/>
            <w:right w:w="0" w:type="dxa"/>
          </w:tblCellMar>
        </w:tblPrEx>
        <w:trPr>
          <w:trHeight w:val="1297"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DC3FD43">
            <w:pPr>
              <w:widowControl/>
              <w:jc w:val="left"/>
              <w:rPr>
                <w:rFonts w:ascii="宋体"/>
                <w:sz w:val="24"/>
              </w:rPr>
            </w:pP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AD321D">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6BC09A">
            <w:pPr>
              <w:widowControl/>
              <w:jc w:val="center"/>
              <w:textAlignment w:val="center"/>
              <w:rPr>
                <w:rFonts w:ascii="宋体"/>
                <w:sz w:val="24"/>
              </w:rPr>
            </w:pPr>
            <w:r>
              <w:rPr>
                <w:rFonts w:hint="eastAsia" w:asci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DD1D51">
            <w:pPr>
              <w:widowControl/>
              <w:jc w:val="center"/>
              <w:textAlignment w:val="center"/>
              <w:rPr>
                <w:rFonts w:ascii="宋体"/>
                <w:sz w:val="24"/>
              </w:rPr>
            </w:pPr>
            <w:r>
              <w:rPr>
                <w:rFonts w:hint="eastAsia" w:ascii="宋体"/>
                <w:sz w:val="24"/>
              </w:rPr>
              <w:t>案件查办、以案释法教育、集中法制宣传、出动人次/检查家次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16070C">
            <w:pPr>
              <w:widowControl/>
              <w:jc w:val="left"/>
              <w:textAlignment w:val="center"/>
              <w:rPr>
                <w:rFonts w:ascii="宋体"/>
                <w:sz w:val="24"/>
              </w:rPr>
            </w:pPr>
            <w:r>
              <w:rPr>
                <w:rFonts w:hint="eastAsia" w:ascii="宋体"/>
                <w:sz w:val="24"/>
              </w:rPr>
              <w:t>5万元。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6D35BF">
            <w:pPr>
              <w:widowControl/>
              <w:jc w:val="center"/>
              <w:textAlignment w:val="center"/>
              <w:rPr>
                <w:rFonts w:ascii="宋体"/>
                <w:sz w:val="24"/>
              </w:rPr>
            </w:pPr>
            <w:r>
              <w:rPr>
                <w:rFonts w:hint="eastAsia" w:ascii="宋体"/>
                <w:sz w:val="24"/>
              </w:rPr>
              <w:t>案件查办、以案释法教育、集中法制宣传、出动人次/检查家次等共计5万元。</w:t>
            </w:r>
          </w:p>
        </w:tc>
      </w:tr>
      <w:tr w14:paraId="3334D90A">
        <w:tblPrEx>
          <w:tblCellMar>
            <w:top w:w="0" w:type="dxa"/>
            <w:left w:w="0" w:type="dxa"/>
            <w:bottom w:w="0" w:type="dxa"/>
            <w:right w:w="0" w:type="dxa"/>
          </w:tblCellMar>
        </w:tblPrEx>
        <w:trPr>
          <w:trHeight w:val="1042"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816A0E9">
            <w:pPr>
              <w:widowControl/>
              <w:jc w:val="left"/>
              <w:rPr>
                <w:rFonts w:ascii="宋体"/>
                <w:sz w:val="24"/>
              </w:rPr>
            </w:pP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ED394F">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8A5C9C">
            <w:pPr>
              <w:widowControl/>
              <w:jc w:val="center"/>
              <w:textAlignment w:val="center"/>
              <w:rPr>
                <w:rFonts w:ascii="宋体"/>
                <w:sz w:val="24"/>
              </w:rPr>
            </w:pPr>
            <w:r>
              <w:rPr>
                <w:rFonts w:hint="eastAsia" w:ascii="宋体"/>
                <w:sz w:val="24"/>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80215E">
            <w:pPr>
              <w:widowControl/>
              <w:jc w:val="center"/>
              <w:textAlignment w:val="center"/>
              <w:rPr>
                <w:rFonts w:ascii="宋体"/>
                <w:sz w:val="24"/>
              </w:rPr>
            </w:pPr>
            <w:r>
              <w:rPr>
                <w:rFonts w:hint="eastAsia" w:ascii="宋体"/>
                <w:sz w:val="24"/>
              </w:rPr>
              <w:t>2020年12月31日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56047A">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18A704">
            <w:pPr>
              <w:widowControl/>
              <w:jc w:val="center"/>
              <w:textAlignment w:val="center"/>
              <w:rPr>
                <w:rFonts w:ascii="宋体"/>
                <w:sz w:val="24"/>
              </w:rPr>
            </w:pPr>
            <w:r>
              <w:rPr>
                <w:rFonts w:hint="eastAsia" w:ascii="宋体"/>
                <w:sz w:val="24"/>
              </w:rPr>
              <w:t>2020年12月31日</w:t>
            </w:r>
          </w:p>
        </w:tc>
      </w:tr>
      <w:tr w14:paraId="4F027779">
        <w:tblPrEx>
          <w:tblCellMar>
            <w:top w:w="0" w:type="dxa"/>
            <w:left w:w="0" w:type="dxa"/>
            <w:bottom w:w="0" w:type="dxa"/>
            <w:right w:w="0" w:type="dxa"/>
          </w:tblCellMar>
        </w:tblPrEx>
        <w:trPr>
          <w:trHeight w:val="1042"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0B25291">
            <w:pPr>
              <w:widowControl/>
              <w:jc w:val="left"/>
              <w:rPr>
                <w:rFonts w:ascii="宋体"/>
                <w:sz w:val="24"/>
              </w:rPr>
            </w:pP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33C27D">
            <w:pPr>
              <w:widowControl/>
              <w:jc w:val="center"/>
              <w:textAlignment w:val="center"/>
              <w:rPr>
                <w:rFonts w:ascii="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B750CA">
            <w:pPr>
              <w:widowControl/>
              <w:jc w:val="center"/>
              <w:textAlignment w:val="center"/>
              <w:rPr>
                <w:rFonts w:ascii="宋体"/>
                <w:sz w:val="24"/>
              </w:rPr>
            </w:pPr>
            <w:r>
              <w:rPr>
                <w:rFonts w:hint="eastAsia" w:asci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547D9C">
            <w:pPr>
              <w:widowControl/>
              <w:jc w:val="center"/>
              <w:textAlignment w:val="center"/>
              <w:rPr>
                <w:rFonts w:ascii="宋体"/>
                <w:sz w:val="24"/>
              </w:rPr>
            </w:pPr>
            <w:r>
              <w:rPr>
                <w:rFonts w:hint="eastAsia" w:ascii="宋体"/>
                <w:sz w:val="24"/>
              </w:rPr>
              <w:t>规范文化和旅游市场秩序，维护意识形态安全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E73DF2">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347F3">
            <w:pPr>
              <w:widowControl/>
              <w:jc w:val="center"/>
              <w:textAlignment w:val="center"/>
              <w:rPr>
                <w:rFonts w:ascii="宋体"/>
                <w:sz w:val="24"/>
              </w:rPr>
            </w:pPr>
            <w:r>
              <w:rPr>
                <w:rFonts w:hint="eastAsia" w:ascii="宋体"/>
                <w:sz w:val="24"/>
              </w:rPr>
              <w:t>规范文化和旅游市场秩序，维护意识形态安全</w:t>
            </w:r>
          </w:p>
        </w:tc>
      </w:tr>
      <w:tr w14:paraId="4F254E96">
        <w:tblPrEx>
          <w:tblCellMar>
            <w:top w:w="0" w:type="dxa"/>
            <w:left w:w="0" w:type="dxa"/>
            <w:bottom w:w="0" w:type="dxa"/>
            <w:right w:w="0" w:type="dxa"/>
          </w:tblCellMar>
        </w:tblPrEx>
        <w:trPr>
          <w:trHeight w:val="1050"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9EE0E61">
            <w:pPr>
              <w:widowControl/>
              <w:jc w:val="left"/>
              <w:rPr>
                <w:rFonts w:ascii="宋体"/>
                <w:sz w:val="24"/>
              </w:rPr>
            </w:pP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ED82FF">
            <w:pPr>
              <w:widowControl/>
              <w:jc w:val="center"/>
              <w:textAlignment w:val="center"/>
              <w:rPr>
                <w:rFonts w:ascii="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745BD7">
            <w:pPr>
              <w:widowControl/>
              <w:jc w:val="center"/>
              <w:textAlignment w:val="center"/>
              <w:rPr>
                <w:rFonts w:ascii="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2371F4">
            <w:pPr>
              <w:widowControl/>
              <w:jc w:val="center"/>
              <w:textAlignment w:val="center"/>
              <w:rPr>
                <w:rFonts w:ascii="宋体"/>
                <w:sz w:val="24"/>
              </w:rPr>
            </w:pPr>
            <w:r>
              <w:rPr>
                <w:rFonts w:hint="eastAsia" w:ascii="宋体"/>
                <w:sz w:val="24"/>
              </w:rPr>
              <w:t>群众、经营单位业主满意度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6F340A">
            <w:pPr>
              <w:widowControl/>
              <w:jc w:val="center"/>
              <w:textAlignment w:val="center"/>
              <w:rPr>
                <w:rFonts w:ascii="宋体"/>
                <w:sz w:val="24"/>
              </w:rPr>
            </w:pPr>
            <w:r>
              <w:rPr>
                <w:rFonts w:hint="eastAsia" w:ascii="宋体"/>
                <w:sz w:val="24"/>
              </w:rPr>
              <w:t>100%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7281BE">
            <w:pPr>
              <w:widowControl/>
              <w:jc w:val="center"/>
              <w:textAlignment w:val="center"/>
              <w:rPr>
                <w:rFonts w:ascii="宋体"/>
                <w:sz w:val="24"/>
              </w:rPr>
            </w:pPr>
            <w:r>
              <w:rPr>
                <w:rFonts w:hint="eastAsia" w:ascii="宋体" w:hAnsi="宋体" w:cs="宋体"/>
                <w:kern w:val="0"/>
                <w:sz w:val="24"/>
              </w:rPr>
              <w:t>群众、经营单位业主满意度</w:t>
            </w:r>
            <w:r>
              <w:rPr>
                <w:rFonts w:hint="eastAsia" w:ascii="宋体"/>
                <w:sz w:val="24"/>
              </w:rPr>
              <w:t>≥</w:t>
            </w:r>
            <w:r>
              <w:rPr>
                <w:rFonts w:hint="eastAsia" w:ascii="宋体" w:hAnsi="宋体" w:cs="宋体"/>
                <w:kern w:val="0"/>
                <w:sz w:val="24"/>
              </w:rPr>
              <w:t>80</w:t>
            </w:r>
            <w:r>
              <w:rPr>
                <w:rFonts w:hint="eastAsia" w:ascii="宋体"/>
                <w:sz w:val="24"/>
              </w:rPr>
              <w:t>%</w:t>
            </w:r>
          </w:p>
        </w:tc>
      </w:tr>
    </w:tbl>
    <w:p w14:paraId="4205793D">
      <w:pPr>
        <w:pStyle w:val="2"/>
        <w:ind w:firstLine="64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10080" w:type="dxa"/>
        <w:jc w:val="center"/>
        <w:tblLayout w:type="fixed"/>
        <w:tblCellMar>
          <w:top w:w="0" w:type="dxa"/>
          <w:left w:w="0" w:type="dxa"/>
          <w:bottom w:w="0" w:type="dxa"/>
          <w:right w:w="0" w:type="dxa"/>
        </w:tblCellMar>
      </w:tblPr>
      <w:tblGrid>
        <w:gridCol w:w="866"/>
        <w:gridCol w:w="891"/>
        <w:gridCol w:w="1025"/>
        <w:gridCol w:w="2392"/>
        <w:gridCol w:w="2394"/>
        <w:gridCol w:w="2512"/>
      </w:tblGrid>
      <w:tr w14:paraId="584003D3">
        <w:tblPrEx>
          <w:tblCellMar>
            <w:top w:w="0" w:type="dxa"/>
            <w:left w:w="0" w:type="dxa"/>
            <w:bottom w:w="0" w:type="dxa"/>
            <w:right w:w="0" w:type="dxa"/>
          </w:tblCellMar>
        </w:tblPrEx>
        <w:trPr>
          <w:trHeight w:val="464"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73B929">
            <w:pPr>
              <w:widowControl/>
              <w:jc w:val="center"/>
              <w:textAlignment w:val="center"/>
              <w:rPr>
                <w:rFonts w:ascii="宋体"/>
                <w:sz w:val="24"/>
              </w:rPr>
            </w:pPr>
            <w:r>
              <w:rPr>
                <w:rFonts w:hint="eastAsia" w:ascii="宋体" w:hAnsi="宋体" w:cs="宋体"/>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A1EF4E">
            <w:pPr>
              <w:widowControl/>
              <w:jc w:val="center"/>
              <w:textAlignment w:val="center"/>
              <w:rPr>
                <w:rFonts w:ascii="宋体"/>
                <w:sz w:val="24"/>
              </w:rPr>
            </w:pPr>
            <w:r>
              <w:rPr>
                <w:rFonts w:hint="eastAsia" w:ascii="仿宋_GB2312" w:hAnsi="仿宋_GB2312" w:eastAsia="仿宋_GB2312" w:cs="仿宋_GB2312"/>
                <w:sz w:val="32"/>
                <w:szCs w:val="32"/>
              </w:rPr>
              <w:t>群众体育活动经费</w:t>
            </w:r>
          </w:p>
        </w:tc>
      </w:tr>
      <w:tr w14:paraId="692D3B7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6C41D4">
            <w:pPr>
              <w:widowControl/>
              <w:jc w:val="center"/>
              <w:textAlignment w:val="center"/>
              <w:rPr>
                <w:rFonts w:ascii="宋体"/>
                <w:sz w:val="24"/>
              </w:rPr>
            </w:pPr>
            <w:r>
              <w:rPr>
                <w:rFonts w:hint="eastAsia" w:ascii="宋体" w:hAnsi="宋体" w:cs="宋体"/>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31857C">
            <w:pPr>
              <w:widowControl/>
              <w:jc w:val="center"/>
              <w:textAlignment w:val="center"/>
              <w:rPr>
                <w:rFonts w:ascii="宋体"/>
                <w:sz w:val="24"/>
              </w:rPr>
            </w:pPr>
            <w:r>
              <w:rPr>
                <w:rFonts w:hint="eastAsia" w:ascii="宋体"/>
                <w:sz w:val="24"/>
              </w:rPr>
              <w:t>德阳市罗江区文化体育广播电视和旅游局</w:t>
            </w:r>
          </w:p>
        </w:tc>
      </w:tr>
      <w:tr w14:paraId="6584BBD9">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E28AD9">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AECE9F">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78D935">
            <w:pPr>
              <w:widowControl/>
              <w:jc w:val="center"/>
              <w:textAlignment w:val="center"/>
              <w:rPr>
                <w:rFonts w:ascii="宋体"/>
                <w:sz w:val="24"/>
              </w:rPr>
            </w:pPr>
            <w:r>
              <w:rPr>
                <w:rFonts w:hint="eastAsia" w:ascii="宋体"/>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511F7A">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BC1E16">
            <w:pPr>
              <w:widowControl/>
              <w:jc w:val="center"/>
              <w:textAlignment w:val="center"/>
              <w:rPr>
                <w:rFonts w:ascii="宋体"/>
                <w:sz w:val="24"/>
              </w:rPr>
            </w:pPr>
            <w:r>
              <w:rPr>
                <w:rFonts w:hint="eastAsia" w:ascii="宋体"/>
                <w:sz w:val="24"/>
              </w:rPr>
              <w:t>5</w:t>
            </w:r>
          </w:p>
        </w:tc>
      </w:tr>
      <w:tr w14:paraId="1C85F823">
        <w:tblPrEx>
          <w:tblCellMar>
            <w:top w:w="0" w:type="dxa"/>
            <w:left w:w="0" w:type="dxa"/>
            <w:bottom w:w="0" w:type="dxa"/>
            <w:right w:w="0" w:type="dxa"/>
          </w:tblCellMar>
        </w:tblPrEx>
        <w:trPr>
          <w:trHeight w:val="276"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B113321">
            <w:pPr>
              <w:widowControl/>
              <w:jc w:val="left"/>
              <w:rPr>
                <w:rFonts w:ascii="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042339">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55E594">
            <w:pPr>
              <w:widowControl/>
              <w:jc w:val="center"/>
              <w:textAlignment w:val="center"/>
              <w:rPr>
                <w:rFonts w:ascii="宋体"/>
                <w:sz w:val="24"/>
              </w:rPr>
            </w:pPr>
            <w:r>
              <w:rPr>
                <w:rFonts w:hint="eastAsia" w:ascii="宋体"/>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97CC35">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E0D6D0">
            <w:pPr>
              <w:widowControl/>
              <w:jc w:val="center"/>
              <w:textAlignment w:val="center"/>
              <w:rPr>
                <w:rFonts w:ascii="宋体"/>
                <w:sz w:val="24"/>
              </w:rPr>
            </w:pPr>
            <w:r>
              <w:rPr>
                <w:rFonts w:hint="eastAsia" w:ascii="宋体"/>
                <w:sz w:val="24"/>
              </w:rPr>
              <w:t>5</w:t>
            </w:r>
          </w:p>
        </w:tc>
      </w:tr>
      <w:tr w14:paraId="60C59563">
        <w:tblPrEx>
          <w:tblCellMar>
            <w:top w:w="0" w:type="dxa"/>
            <w:left w:w="0" w:type="dxa"/>
            <w:bottom w:w="0" w:type="dxa"/>
            <w:right w:w="0" w:type="dxa"/>
          </w:tblCellMar>
        </w:tblPrEx>
        <w:trPr>
          <w:trHeight w:val="849"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A85839B">
            <w:pPr>
              <w:widowControl/>
              <w:jc w:val="left"/>
              <w:rPr>
                <w:rFonts w:ascii="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4238D3">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EB5CAF">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40D808">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E6DC2B">
            <w:pPr>
              <w:jc w:val="center"/>
              <w:rPr>
                <w:rFonts w:ascii="宋体"/>
                <w:sz w:val="24"/>
              </w:rPr>
            </w:pPr>
            <w:r>
              <w:rPr>
                <w:rFonts w:hint="eastAsia" w:ascii="宋体"/>
                <w:sz w:val="24"/>
              </w:rPr>
              <w:t>0</w:t>
            </w:r>
          </w:p>
        </w:tc>
      </w:tr>
      <w:tr w14:paraId="70386D20">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B37222">
            <w:pPr>
              <w:widowControl/>
              <w:jc w:val="center"/>
              <w:textAlignment w:val="center"/>
              <w:rPr>
                <w:rFonts w:ascii="宋体"/>
                <w:sz w:val="24"/>
              </w:rPr>
            </w:pPr>
            <w:r>
              <w:rPr>
                <w:rFonts w:hint="eastAsia" w:ascii="宋体" w:hAnsi="宋体" w:cs="宋体"/>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10A172">
            <w:pPr>
              <w:widowControl/>
              <w:jc w:val="center"/>
              <w:textAlignment w:val="center"/>
              <w:rPr>
                <w:rFonts w:ascii="宋体"/>
                <w:sz w:val="24"/>
              </w:rPr>
            </w:pPr>
            <w:r>
              <w:rPr>
                <w:rFonts w:hint="eastAsia" w:ascii="宋体" w:hAnsi="宋体" w:cs="宋体"/>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715379">
            <w:pPr>
              <w:widowControl/>
              <w:jc w:val="center"/>
              <w:textAlignment w:val="center"/>
              <w:rPr>
                <w:rFonts w:ascii="宋体"/>
                <w:sz w:val="24"/>
              </w:rPr>
            </w:pPr>
            <w:r>
              <w:rPr>
                <w:rFonts w:hint="eastAsia" w:ascii="宋体" w:hAnsi="宋体" w:cs="宋体"/>
                <w:kern w:val="0"/>
                <w:sz w:val="24"/>
              </w:rPr>
              <w:t>实际完成目标</w:t>
            </w:r>
          </w:p>
        </w:tc>
      </w:tr>
      <w:tr w14:paraId="36D40B0D">
        <w:tblPrEx>
          <w:tblCellMar>
            <w:top w:w="0" w:type="dxa"/>
            <w:left w:w="0" w:type="dxa"/>
            <w:bottom w:w="0" w:type="dxa"/>
            <w:right w:w="0" w:type="dxa"/>
          </w:tblCellMar>
        </w:tblPrEx>
        <w:trPr>
          <w:trHeight w:val="1159"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21679EF1">
            <w:pPr>
              <w:widowControl/>
              <w:jc w:val="left"/>
              <w:rPr>
                <w:rFonts w:ascii="宋体"/>
                <w:sz w:val="24"/>
              </w:rPr>
            </w:pP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B85381">
            <w:pPr>
              <w:widowControl/>
              <w:jc w:val="left"/>
              <w:textAlignment w:val="center"/>
              <w:rPr>
                <w:rFonts w:ascii="宋体"/>
                <w:sz w:val="24"/>
              </w:rPr>
            </w:pPr>
            <w:r>
              <w:rPr>
                <w:rFonts w:hint="eastAsia" w:ascii="仿宋_GB2312" w:hAnsi="仿宋_GB2312" w:cs="仿宋_GB2312"/>
                <w:szCs w:val="32"/>
              </w:rPr>
              <w:t>开展社会体育指导员培训2期；举办罗江区职工篮球比赛1次；开展全民健身活动2次。</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7402A3">
            <w:pPr>
              <w:widowControl/>
              <w:jc w:val="left"/>
              <w:textAlignment w:val="center"/>
              <w:rPr>
                <w:rFonts w:ascii="宋体"/>
                <w:sz w:val="24"/>
              </w:rPr>
            </w:pPr>
            <w:r>
              <w:rPr>
                <w:rFonts w:hint="eastAsia" w:ascii="仿宋_GB2312" w:hAnsi="仿宋_GB2312" w:cs="仿宋_GB2312"/>
                <w:szCs w:val="32"/>
              </w:rPr>
              <w:t>开展社会体育指导员培训2期；举办罗江区职工篮球比赛1次；开展全民健身活动2次。</w:t>
            </w:r>
          </w:p>
        </w:tc>
      </w:tr>
      <w:tr w14:paraId="0DA9862C">
        <w:tblPrEx>
          <w:tblCellMar>
            <w:top w:w="0" w:type="dxa"/>
            <w:left w:w="0" w:type="dxa"/>
            <w:bottom w:w="0" w:type="dxa"/>
            <w:right w:w="0" w:type="dxa"/>
          </w:tblCellMar>
        </w:tblPrEx>
        <w:trPr>
          <w:trHeight w:val="1818"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526FDC">
            <w:pPr>
              <w:widowControl/>
              <w:jc w:val="center"/>
              <w:textAlignment w:val="center"/>
              <w:rPr>
                <w:rFonts w:ascii="宋体"/>
                <w:sz w:val="24"/>
              </w:rPr>
            </w:pPr>
            <w:r>
              <w:rPr>
                <w:rFonts w:hint="eastAsia" w:ascii="宋体" w:hAnsi="宋体" w:cs="宋体"/>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5D9481">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453CE7">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3DE8FB">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915A05">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FDE415">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14:paraId="3AD86736">
        <w:tblPrEx>
          <w:tblCellMar>
            <w:top w:w="0" w:type="dxa"/>
            <w:left w:w="0" w:type="dxa"/>
            <w:bottom w:w="0" w:type="dxa"/>
            <w:right w:w="0" w:type="dxa"/>
          </w:tblCellMar>
        </w:tblPrEx>
        <w:trPr>
          <w:trHeight w:val="1390"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831B00A">
            <w:pPr>
              <w:widowControl/>
              <w:jc w:val="left"/>
              <w:rPr>
                <w:rFonts w:ascii="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DF7C71">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222E53">
            <w:pPr>
              <w:widowControl/>
              <w:jc w:val="center"/>
              <w:textAlignment w:val="center"/>
              <w:rPr>
                <w:rFonts w:ascii="宋体"/>
                <w:sz w:val="24"/>
              </w:rPr>
            </w:pPr>
            <w:r>
              <w:rPr>
                <w:rFonts w:hint="eastAsia" w:ascii="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EAD92E">
            <w:pPr>
              <w:widowControl/>
              <w:jc w:val="center"/>
              <w:textAlignment w:val="center"/>
              <w:rPr>
                <w:rFonts w:ascii="宋体"/>
                <w:sz w:val="24"/>
              </w:rPr>
            </w:pPr>
            <w:r>
              <w:rPr>
                <w:rFonts w:hint="eastAsia" w:ascii="仿宋_GB2312" w:hAnsi="仿宋_GB2312" w:cs="仿宋_GB2312"/>
                <w:szCs w:val="32"/>
              </w:rPr>
              <w:t>开展社会体育指导员培训；举办罗江区职工篮球比赛；开展全民健身活动</w:t>
            </w:r>
            <w:r>
              <w:rPr>
                <w:rFonts w:hint="eastAsia" w:ascii="宋体"/>
                <w:sz w:val="24"/>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9B8A19">
            <w:pPr>
              <w:widowControl/>
              <w:jc w:val="center"/>
              <w:textAlignment w:val="center"/>
              <w:rPr>
                <w:rFonts w:ascii="宋体"/>
                <w:sz w:val="24"/>
              </w:rPr>
            </w:pPr>
            <w:r>
              <w:rPr>
                <w:rFonts w:hint="eastAsia" w:ascii="宋体"/>
                <w:sz w:val="24"/>
              </w:rPr>
              <w:t>两期，1次</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224E07">
            <w:pPr>
              <w:widowControl/>
              <w:jc w:val="center"/>
              <w:textAlignment w:val="center"/>
              <w:rPr>
                <w:rFonts w:ascii="宋体"/>
                <w:sz w:val="24"/>
              </w:rPr>
            </w:pPr>
            <w:r>
              <w:rPr>
                <w:rFonts w:hint="eastAsia" w:ascii="仿宋_GB2312" w:hAnsi="仿宋_GB2312" w:cs="仿宋_GB2312"/>
                <w:szCs w:val="32"/>
              </w:rPr>
              <w:t>开展社会体育指导员培训2期；举办罗江区职工篮球比赛1次；开展全民健身活动2次。</w:t>
            </w:r>
          </w:p>
        </w:tc>
      </w:tr>
      <w:tr w14:paraId="7A4BFC68">
        <w:tblPrEx>
          <w:tblCellMar>
            <w:top w:w="0" w:type="dxa"/>
            <w:left w:w="0" w:type="dxa"/>
            <w:bottom w:w="0" w:type="dxa"/>
            <w:right w:w="0" w:type="dxa"/>
          </w:tblCellMar>
        </w:tblPrEx>
        <w:trPr>
          <w:trHeight w:val="129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1540913">
            <w:pPr>
              <w:widowControl/>
              <w:jc w:val="left"/>
              <w:rPr>
                <w:rFonts w:ascii="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E78736">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BD1D86">
            <w:pPr>
              <w:widowControl/>
              <w:jc w:val="center"/>
              <w:textAlignment w:val="center"/>
              <w:rPr>
                <w:rFonts w:ascii="宋体"/>
                <w:sz w:val="24"/>
              </w:rPr>
            </w:pPr>
            <w:r>
              <w:rPr>
                <w:rFonts w:hint="eastAsia" w:asci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CC9168">
            <w:pPr>
              <w:widowControl/>
              <w:jc w:val="center"/>
              <w:textAlignment w:val="center"/>
              <w:rPr>
                <w:rFonts w:ascii="宋体"/>
                <w:sz w:val="24"/>
              </w:rPr>
            </w:pPr>
            <w:r>
              <w:rPr>
                <w:rFonts w:hint="eastAsia" w:ascii="仿宋_GB2312" w:hAnsi="仿宋_GB2312" w:cs="仿宋_GB2312"/>
                <w:szCs w:val="32"/>
              </w:rPr>
              <w:t>开展社会体育指导员培训2期；举办罗江区职工篮球比赛1次；开展全民健身活动2次。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4CCE02">
            <w:pPr>
              <w:widowControl/>
              <w:jc w:val="left"/>
              <w:textAlignment w:val="center"/>
              <w:rPr>
                <w:rFonts w:ascii="宋体"/>
                <w:sz w:val="24"/>
              </w:rPr>
            </w:pPr>
            <w:r>
              <w:rPr>
                <w:rFonts w:hint="eastAsia" w:ascii="宋体"/>
                <w:sz w:val="24"/>
              </w:rPr>
              <w:t>5万元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90D4F3">
            <w:pPr>
              <w:widowControl/>
              <w:jc w:val="center"/>
              <w:textAlignment w:val="center"/>
              <w:rPr>
                <w:rFonts w:ascii="宋体"/>
                <w:sz w:val="24"/>
              </w:rPr>
            </w:pPr>
            <w:r>
              <w:rPr>
                <w:rFonts w:hint="eastAsia" w:ascii="仿宋_GB2312" w:hAnsi="仿宋_GB2312" w:cs="仿宋_GB2312"/>
                <w:szCs w:val="32"/>
              </w:rPr>
              <w:t>开展社会体育指导员培训2期；举办罗江区职工篮球比赛1次；开展全民健身活动2次，共需5万元。</w:t>
            </w:r>
          </w:p>
        </w:tc>
      </w:tr>
      <w:tr w14:paraId="12D1D7B5">
        <w:tblPrEx>
          <w:tblCellMar>
            <w:top w:w="0" w:type="dxa"/>
            <w:left w:w="0" w:type="dxa"/>
            <w:bottom w:w="0" w:type="dxa"/>
            <w:right w:w="0" w:type="dxa"/>
          </w:tblCellMar>
        </w:tblPrEx>
        <w:trPr>
          <w:trHeight w:val="104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BDA0876">
            <w:pPr>
              <w:widowControl/>
              <w:jc w:val="left"/>
              <w:rPr>
                <w:rFonts w:ascii="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53AED7">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A44760">
            <w:pPr>
              <w:widowControl/>
              <w:jc w:val="center"/>
              <w:textAlignment w:val="center"/>
              <w:rPr>
                <w:rFonts w:ascii="宋体"/>
                <w:sz w:val="24"/>
              </w:rPr>
            </w:pPr>
            <w:r>
              <w:rPr>
                <w:rFonts w:hint="eastAsia" w:ascii="宋体"/>
                <w:sz w:val="24"/>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0B46F8">
            <w:pPr>
              <w:widowControl/>
              <w:jc w:val="center"/>
              <w:textAlignment w:val="center"/>
              <w:rPr>
                <w:rFonts w:ascii="宋体"/>
                <w:sz w:val="24"/>
              </w:rPr>
            </w:pPr>
            <w:r>
              <w:rPr>
                <w:rFonts w:hint="eastAsia" w:ascii="宋体"/>
                <w:sz w:val="24"/>
              </w:rPr>
              <w:t>2020年12月31日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B6568C">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10F9D3">
            <w:pPr>
              <w:widowControl/>
              <w:jc w:val="center"/>
              <w:textAlignment w:val="center"/>
              <w:rPr>
                <w:rFonts w:ascii="宋体"/>
                <w:sz w:val="24"/>
              </w:rPr>
            </w:pPr>
            <w:r>
              <w:rPr>
                <w:rFonts w:hint="eastAsia" w:ascii="宋体"/>
                <w:sz w:val="24"/>
              </w:rPr>
              <w:t>2020年12月31日</w:t>
            </w:r>
          </w:p>
        </w:tc>
      </w:tr>
      <w:tr w14:paraId="5D08BCA6">
        <w:tblPrEx>
          <w:tblCellMar>
            <w:top w:w="0" w:type="dxa"/>
            <w:left w:w="0" w:type="dxa"/>
            <w:bottom w:w="0" w:type="dxa"/>
            <w:right w:w="0" w:type="dxa"/>
          </w:tblCellMar>
        </w:tblPrEx>
        <w:trPr>
          <w:trHeight w:val="104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8FD1215">
            <w:pPr>
              <w:widowControl/>
              <w:jc w:val="left"/>
              <w:rPr>
                <w:rFonts w:ascii="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A60FC6">
            <w:pPr>
              <w:widowControl/>
              <w:jc w:val="center"/>
              <w:textAlignment w:val="center"/>
              <w:rPr>
                <w:rFonts w:ascii="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710A57">
            <w:pPr>
              <w:widowControl/>
              <w:jc w:val="center"/>
              <w:textAlignment w:val="center"/>
              <w:rPr>
                <w:rFonts w:ascii="宋体"/>
                <w:sz w:val="24"/>
              </w:rPr>
            </w:pPr>
            <w:r>
              <w:rPr>
                <w:rFonts w:hint="eastAsia" w:asci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F2C1AA">
            <w:pPr>
              <w:widowControl/>
              <w:jc w:val="center"/>
              <w:textAlignment w:val="center"/>
              <w:rPr>
                <w:rFonts w:ascii="宋体"/>
                <w:sz w:val="24"/>
              </w:rPr>
            </w:pPr>
            <w:r>
              <w:rPr>
                <w:rFonts w:hint="eastAsia" w:ascii="宋体"/>
                <w:sz w:val="24"/>
              </w:rPr>
              <w:t>为健身爱好者提供了更多的健身方法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C3F61F">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F671E3">
            <w:pPr>
              <w:widowControl/>
              <w:jc w:val="center"/>
              <w:textAlignment w:val="center"/>
              <w:rPr>
                <w:rFonts w:ascii="宋体"/>
                <w:sz w:val="24"/>
              </w:rPr>
            </w:pPr>
            <w:r>
              <w:rPr>
                <w:rFonts w:hint="eastAsia" w:ascii="宋体"/>
                <w:sz w:val="24"/>
              </w:rPr>
              <w:t>为健身爱好者提供了更多的健身方法</w:t>
            </w:r>
          </w:p>
        </w:tc>
      </w:tr>
      <w:tr w14:paraId="6D8D0714">
        <w:tblPrEx>
          <w:tblCellMar>
            <w:top w:w="0" w:type="dxa"/>
            <w:left w:w="0" w:type="dxa"/>
            <w:bottom w:w="0" w:type="dxa"/>
            <w:right w:w="0" w:type="dxa"/>
          </w:tblCellMar>
        </w:tblPrEx>
        <w:trPr>
          <w:trHeight w:val="1050"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2D83FA8E">
            <w:pPr>
              <w:widowControl/>
              <w:jc w:val="left"/>
              <w:rPr>
                <w:rFonts w:ascii="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92D133">
            <w:pPr>
              <w:widowControl/>
              <w:jc w:val="center"/>
              <w:textAlignment w:val="center"/>
              <w:rPr>
                <w:rFonts w:ascii="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3EC45D">
            <w:pPr>
              <w:widowControl/>
              <w:jc w:val="center"/>
              <w:textAlignment w:val="center"/>
              <w:rPr>
                <w:rFonts w:ascii="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F18E65">
            <w:pPr>
              <w:widowControl/>
              <w:jc w:val="center"/>
              <w:textAlignment w:val="center"/>
              <w:rPr>
                <w:rFonts w:ascii="宋体"/>
                <w:sz w:val="24"/>
              </w:rPr>
            </w:pPr>
            <w:r>
              <w:rPr>
                <w:rFonts w:hint="eastAsia" w:ascii="宋体"/>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D4F4C7">
            <w:pPr>
              <w:widowControl/>
              <w:jc w:val="center"/>
              <w:textAlignment w:val="center"/>
              <w:rPr>
                <w:rFonts w:ascii="宋体"/>
                <w:sz w:val="24"/>
              </w:rPr>
            </w:pPr>
            <w:r>
              <w:rPr>
                <w:rFonts w:hint="eastAsia" w:ascii="宋体"/>
                <w:sz w:val="24"/>
              </w:rPr>
              <w:t>100%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5FDAEF">
            <w:pPr>
              <w:widowControl/>
              <w:jc w:val="center"/>
              <w:textAlignment w:val="center"/>
              <w:rPr>
                <w:rFonts w:ascii="宋体"/>
                <w:sz w:val="24"/>
              </w:rPr>
            </w:pPr>
            <w:r>
              <w:rPr>
                <w:rFonts w:hint="eastAsia" w:ascii="宋体" w:hAnsi="宋体" w:cs="宋体"/>
                <w:kern w:val="0"/>
                <w:sz w:val="24"/>
              </w:rPr>
              <w:t>群众满意度</w:t>
            </w:r>
            <w:r>
              <w:rPr>
                <w:rFonts w:hint="eastAsia" w:ascii="宋体"/>
                <w:sz w:val="24"/>
              </w:rPr>
              <w:t>≥9</w:t>
            </w:r>
            <w:r>
              <w:rPr>
                <w:rFonts w:hint="eastAsia" w:ascii="宋体" w:hAnsi="宋体" w:cs="宋体"/>
                <w:kern w:val="0"/>
                <w:sz w:val="24"/>
              </w:rPr>
              <w:t>0</w:t>
            </w:r>
            <w:r>
              <w:rPr>
                <w:rFonts w:hint="eastAsia" w:ascii="宋体"/>
                <w:sz w:val="24"/>
              </w:rPr>
              <w:t>%</w:t>
            </w:r>
          </w:p>
        </w:tc>
      </w:tr>
    </w:tbl>
    <w:p w14:paraId="61B46C95">
      <w:pPr>
        <w:spacing w:line="580" w:lineRule="exact"/>
        <w:rPr>
          <w:rFonts w:ascii="仿宋_GB2312" w:hAnsi="仿宋_GB2312" w:eastAsia="仿宋_GB2312" w:cs="仿宋_GB2312"/>
          <w:sz w:val="32"/>
          <w:szCs w:val="32"/>
        </w:rPr>
      </w:pPr>
    </w:p>
    <w:p w14:paraId="0E8DE729">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7D6FBE0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年部门整体支出绩效评价情况开展自评，《德阳市罗江区文化体育广播电视和旅游局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14:paraId="7618EE3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本部门自行组织对“三馆一站免费开放经费”项目，“三馆一站免费开放经费”项目开展了绩效评价，《“三馆一站”免费开放经费项目</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20年绩效评价报告》见附件。</w:t>
      </w:r>
    </w:p>
    <w:p w14:paraId="7C659449">
      <w:pPr>
        <w:pStyle w:val="2"/>
      </w:pPr>
    </w:p>
    <w:p w14:paraId="0E5224A4">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223B7A2D">
      <w:pPr>
        <w:numPr>
          <w:ilvl w:val="0"/>
          <w:numId w:val="6"/>
        </w:numPr>
        <w:spacing w:line="600" w:lineRule="exact"/>
        <w:ind w:firstLine="660" w:firstLineChars="150"/>
        <w:jc w:val="center"/>
        <w:outlineLvl w:val="0"/>
        <w:rPr>
          <w:rStyle w:val="27"/>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5"/>
      <w:bookmarkEnd w:id="56"/>
    </w:p>
    <w:p w14:paraId="053499A3">
      <w:pPr>
        <w:pStyle w:val="25"/>
        <w:spacing w:line="560" w:lineRule="exact"/>
        <w:ind w:firstLine="643" w:firstLineChars="200"/>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rPr>
        <w:t>财政拨款收入：</w:t>
      </w:r>
      <w:r>
        <w:rPr>
          <w:rFonts w:hint="eastAsia" w:ascii="仿宋_GB2312" w:eastAsia="仿宋_GB2312"/>
          <w:sz w:val="32"/>
          <w:szCs w:val="32"/>
        </w:rPr>
        <w:t>指单位从同级财政部门取得的财政预算资金。</w:t>
      </w:r>
    </w:p>
    <w:p w14:paraId="6AEEEAFC">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其他收入：</w:t>
      </w:r>
      <w:r>
        <w:rPr>
          <w:rFonts w:hint="eastAsia" w:ascii="仿宋_GB2312" w:eastAsia="仿宋_GB2312"/>
          <w:sz w:val="32"/>
          <w:szCs w:val="32"/>
        </w:rPr>
        <w:t>指单位取得的除上述收入以外的各项收入。主要是银行利息收入等。</w:t>
      </w:r>
    </w:p>
    <w:p w14:paraId="77C4AA64">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3</w:t>
      </w:r>
      <w:r>
        <w:rPr>
          <w:rFonts w:ascii="仿宋_GB2312" w:eastAsia="仿宋_GB2312"/>
          <w:b/>
          <w:bCs/>
          <w:sz w:val="32"/>
          <w:szCs w:val="32"/>
        </w:rPr>
        <w:t>.</w:t>
      </w:r>
      <w:r>
        <w:rPr>
          <w:rFonts w:hint="eastAsia" w:ascii="仿宋_GB2312" w:eastAsia="仿宋_GB2312"/>
          <w:b/>
          <w:bCs/>
          <w:sz w:val="32"/>
          <w:szCs w:val="32"/>
        </w:rPr>
        <w:t>用事业基金弥补收支差额：</w:t>
      </w:r>
      <w:r>
        <w:rPr>
          <w:rFonts w:hint="eastAsia" w:ascii="仿宋_GB2312" w:eastAsia="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073BFA8E">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4</w:t>
      </w:r>
      <w:r>
        <w:rPr>
          <w:rFonts w:ascii="仿宋_GB2312" w:eastAsia="仿宋_GB2312"/>
          <w:b/>
          <w:bCs/>
          <w:sz w:val="32"/>
          <w:szCs w:val="32"/>
        </w:rPr>
        <w:t>.</w:t>
      </w:r>
      <w:r>
        <w:rPr>
          <w:rFonts w:hint="eastAsia" w:ascii="仿宋_GB2312" w:eastAsia="仿宋_GB2312"/>
          <w:b/>
          <w:bCs/>
          <w:sz w:val="32"/>
          <w:szCs w:val="32"/>
        </w:rPr>
        <w:t>年初结转和结余：</w:t>
      </w:r>
      <w:r>
        <w:rPr>
          <w:rFonts w:hint="eastAsia" w:ascii="仿宋_GB2312" w:eastAsia="仿宋_GB2312"/>
          <w:sz w:val="32"/>
          <w:szCs w:val="32"/>
        </w:rPr>
        <w:t>指以前年度尚未完成、结转到本年按有关规定继续使用的资金。</w:t>
      </w:r>
      <w:r>
        <w:rPr>
          <w:rFonts w:ascii="仿宋_GB2312" w:eastAsia="仿宋_GB2312"/>
          <w:sz w:val="32"/>
          <w:szCs w:val="32"/>
        </w:rPr>
        <w:t xml:space="preserve"> </w:t>
      </w:r>
    </w:p>
    <w:p w14:paraId="56C38416">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5</w:t>
      </w:r>
      <w:r>
        <w:rPr>
          <w:rFonts w:ascii="仿宋_GB2312" w:eastAsia="仿宋_GB2312"/>
          <w:b/>
          <w:bCs/>
          <w:sz w:val="32"/>
          <w:szCs w:val="32"/>
        </w:rPr>
        <w:t>.</w:t>
      </w:r>
      <w:r>
        <w:rPr>
          <w:rFonts w:hint="eastAsia" w:ascii="仿宋_GB2312" w:eastAsia="仿宋_GB2312"/>
          <w:b/>
          <w:bCs/>
          <w:sz w:val="32"/>
          <w:szCs w:val="32"/>
        </w:rPr>
        <w:t>结余分配：</w:t>
      </w:r>
      <w:r>
        <w:rPr>
          <w:rFonts w:hint="eastAsia" w:ascii="仿宋_GB2312" w:eastAsia="仿宋_GB2312"/>
          <w:sz w:val="32"/>
          <w:szCs w:val="32"/>
        </w:rPr>
        <w:t>指事业单位按照事业单位会计制度的规定从非财政补助结余中分配的事业基金和职工福利基金等。</w:t>
      </w:r>
    </w:p>
    <w:p w14:paraId="5FA9CE99">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6.年末结转和结余：</w:t>
      </w:r>
      <w:r>
        <w:rPr>
          <w:rFonts w:hint="eastAsia" w:ascii="仿宋_GB2312" w:eastAsia="仿宋_GB2312"/>
          <w:sz w:val="32"/>
          <w:szCs w:val="32"/>
        </w:rPr>
        <w:t>指单位按有关规定结转到下年或以后年度继续使用的资金。</w:t>
      </w:r>
    </w:p>
    <w:p w14:paraId="43692EA0">
      <w:pPr>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7.文化旅游体育与传媒支出（类）：</w:t>
      </w:r>
      <w:r>
        <w:rPr>
          <w:rFonts w:hint="eastAsia" w:ascii="仿宋_GB2312" w:eastAsia="仿宋_GB2312" w:cs="仿宋_GB2312"/>
          <w:sz w:val="32"/>
          <w:szCs w:val="32"/>
        </w:rPr>
        <w:t>指政府在文化、旅游、文物、体育、广播影视、新闻出版局等方面的支出。</w:t>
      </w:r>
    </w:p>
    <w:p w14:paraId="57069CA0">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8.文化和旅游（款）：</w:t>
      </w:r>
      <w:r>
        <w:rPr>
          <w:rFonts w:hint="eastAsia" w:ascii="仿宋_GB2312" w:eastAsia="仿宋_GB2312" w:cs="仿宋_GB2312"/>
          <w:sz w:val="32"/>
          <w:szCs w:val="32"/>
        </w:rPr>
        <w:t>指政府用于公用文化设施、艺术表演团体、文化艺术活动、对外文化交流及旅游业管理与服务等方面的支出。</w:t>
      </w:r>
    </w:p>
    <w:p w14:paraId="665E2BBE">
      <w:pPr>
        <w:ind w:firstLine="640" w:firstLineChars="200"/>
        <w:rPr>
          <w:rFonts w:ascii="仿宋_GB2312" w:eastAsia="仿宋_GB2312" w:cs="仿宋_GB2312"/>
          <w:sz w:val="32"/>
          <w:szCs w:val="32"/>
        </w:rPr>
      </w:pPr>
      <w:r>
        <w:rPr>
          <w:rFonts w:hint="eastAsia" w:ascii="仿宋_GB2312" w:eastAsia="仿宋_GB2312" w:cs="仿宋_GB2312"/>
          <w:sz w:val="32"/>
          <w:szCs w:val="32"/>
        </w:rPr>
        <w:t>行政运行（项）：指行政单位（包括实行公务员管理的事业单位）的基本支出。</w:t>
      </w:r>
    </w:p>
    <w:p w14:paraId="5E90FA5B">
      <w:pPr>
        <w:ind w:firstLine="640" w:firstLineChars="200"/>
        <w:rPr>
          <w:rFonts w:ascii="仿宋_GB2312" w:eastAsia="仿宋_GB2312" w:cs="仿宋_GB2312"/>
          <w:sz w:val="32"/>
          <w:szCs w:val="32"/>
        </w:rPr>
      </w:pPr>
      <w:r>
        <w:rPr>
          <w:rFonts w:hint="eastAsia" w:ascii="仿宋_GB2312" w:eastAsia="仿宋_GB2312" w:cs="仿宋_GB2312"/>
          <w:sz w:val="32"/>
          <w:szCs w:val="32"/>
        </w:rPr>
        <w:t>一般行政管理事务（项）：指行政单位（包括实行公务员管理的事业单位）未单独设置项级科目的其他项目支出。</w:t>
      </w:r>
    </w:p>
    <w:p w14:paraId="43011312">
      <w:pPr>
        <w:ind w:firstLine="640" w:firstLineChars="200"/>
        <w:rPr>
          <w:rFonts w:ascii="仿宋_GB2312" w:eastAsia="仿宋_GB2312" w:cs="仿宋_GB2312"/>
          <w:sz w:val="32"/>
          <w:szCs w:val="32"/>
        </w:rPr>
      </w:pPr>
      <w:r>
        <w:rPr>
          <w:rFonts w:hint="eastAsia" w:ascii="仿宋_GB2312" w:eastAsia="仿宋_GB2312" w:cs="仿宋_GB2312"/>
          <w:sz w:val="32"/>
          <w:szCs w:val="32"/>
        </w:rPr>
        <w:t>图书馆（项）：指图书馆的支出。</w:t>
      </w:r>
    </w:p>
    <w:p w14:paraId="1ACE4F08">
      <w:pPr>
        <w:ind w:firstLine="640" w:firstLineChars="200"/>
        <w:rPr>
          <w:rFonts w:ascii="仿宋_GB2312" w:eastAsia="仿宋_GB2312" w:cs="仿宋_GB2312"/>
          <w:sz w:val="32"/>
          <w:szCs w:val="32"/>
        </w:rPr>
      </w:pPr>
      <w:r>
        <w:rPr>
          <w:rFonts w:hint="eastAsia" w:ascii="仿宋_GB2312" w:eastAsia="仿宋_GB2312" w:cs="仿宋_GB2312"/>
          <w:sz w:val="32"/>
          <w:szCs w:val="32"/>
        </w:rPr>
        <w:t>文化活动（项）：指举办大型文化艺术活动的支出。</w:t>
      </w:r>
    </w:p>
    <w:p w14:paraId="482AD29F">
      <w:pPr>
        <w:ind w:firstLine="640" w:firstLineChars="200"/>
        <w:rPr>
          <w:rFonts w:ascii="仿宋_GB2312" w:eastAsia="仿宋_GB2312" w:cs="仿宋_GB2312"/>
          <w:sz w:val="32"/>
          <w:szCs w:val="32"/>
        </w:rPr>
      </w:pPr>
      <w:r>
        <w:rPr>
          <w:rFonts w:hint="eastAsia" w:ascii="仿宋_GB2312" w:eastAsia="仿宋_GB2312" w:cs="仿宋_GB2312"/>
          <w:sz w:val="32"/>
          <w:szCs w:val="32"/>
        </w:rPr>
        <w:t>群众文化（项）：指群众文化方面的支出，包括基层文化馆（站）、群众艺术馆支出等。</w:t>
      </w:r>
    </w:p>
    <w:p w14:paraId="2202852B">
      <w:pPr>
        <w:ind w:firstLine="640" w:firstLineChars="200"/>
        <w:rPr>
          <w:rFonts w:ascii="仿宋_GB2312" w:eastAsia="仿宋_GB2312" w:cs="仿宋_GB2312"/>
          <w:sz w:val="32"/>
          <w:szCs w:val="32"/>
        </w:rPr>
      </w:pPr>
      <w:r>
        <w:rPr>
          <w:rFonts w:hint="eastAsia" w:ascii="仿宋_GB2312" w:eastAsia="仿宋_GB2312" w:cs="仿宋_GB2312"/>
          <w:sz w:val="32"/>
          <w:szCs w:val="32"/>
        </w:rPr>
        <w:t>文化创作与保护（项）：指鼓励文学、艺术创作和优秀传统文化保护方面的支出。</w:t>
      </w:r>
    </w:p>
    <w:p w14:paraId="1E6D6734">
      <w:pPr>
        <w:ind w:firstLine="640" w:firstLineChars="200"/>
        <w:rPr>
          <w:rFonts w:ascii="仿宋_GB2312" w:eastAsia="仿宋_GB2312" w:cs="仿宋_GB2312"/>
          <w:sz w:val="32"/>
          <w:szCs w:val="32"/>
        </w:rPr>
      </w:pPr>
      <w:r>
        <w:rPr>
          <w:rFonts w:hint="eastAsia" w:ascii="仿宋_GB2312" w:eastAsia="仿宋_GB2312" w:cs="仿宋_GB2312"/>
          <w:sz w:val="32"/>
          <w:szCs w:val="32"/>
        </w:rPr>
        <w:t>文化和旅游市场管理（项）：指用于文化和旅游执法检查等文化旅游市场管理方面的支出。</w:t>
      </w:r>
    </w:p>
    <w:p w14:paraId="100A5B16">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其他文化和旅游支出（项）：指除上述项目以外其他用于文化和旅游方面的支出。</w:t>
      </w:r>
    </w:p>
    <w:p w14:paraId="3E63C90D">
      <w:pPr>
        <w:ind w:firstLine="640" w:firstLineChars="200"/>
        <w:rPr>
          <w:rFonts w:ascii="仿宋_GB2312" w:eastAsia="仿宋_GB2312" w:cs="仿宋_GB2312"/>
          <w:sz w:val="32"/>
          <w:szCs w:val="32"/>
        </w:rPr>
      </w:pPr>
      <w:r>
        <w:rPr>
          <w:rFonts w:hint="eastAsia" w:ascii="仿宋_GB2312" w:eastAsia="仿宋_GB2312" w:cs="仿宋_GB2312"/>
          <w:sz w:val="32"/>
          <w:szCs w:val="32"/>
        </w:rPr>
        <w:t>文物（款）：指文物保护和管理等方面的支出。</w:t>
      </w:r>
    </w:p>
    <w:p w14:paraId="706037D3">
      <w:pPr>
        <w:ind w:firstLine="640" w:firstLineChars="200"/>
        <w:rPr>
          <w:rFonts w:ascii="仿宋_GB2312" w:eastAsia="仿宋_GB2312" w:cs="仿宋_GB2312"/>
          <w:sz w:val="32"/>
          <w:szCs w:val="32"/>
        </w:rPr>
      </w:pPr>
      <w:r>
        <w:rPr>
          <w:rFonts w:hint="eastAsia" w:ascii="仿宋_GB2312" w:eastAsia="仿宋_GB2312" w:cs="仿宋_GB2312"/>
          <w:sz w:val="32"/>
          <w:szCs w:val="32"/>
        </w:rPr>
        <w:t>文物保护（项）：指考古发掘及文物保护方面的支出。</w:t>
      </w:r>
    </w:p>
    <w:p w14:paraId="7ECB3F92">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其他文物支出（项）：反映除上述项目以外其他用于文物方面的支出 。</w:t>
      </w:r>
    </w:p>
    <w:p w14:paraId="619C0460">
      <w:pPr>
        <w:ind w:firstLine="640" w:firstLineChars="200"/>
        <w:rPr>
          <w:rFonts w:ascii="仿宋_GB2312" w:eastAsia="仿宋_GB2312" w:cs="仿宋_GB2312"/>
          <w:sz w:val="32"/>
          <w:szCs w:val="32"/>
        </w:rPr>
      </w:pPr>
      <w:r>
        <w:rPr>
          <w:rFonts w:hint="eastAsia" w:ascii="仿宋_GB2312" w:eastAsia="仿宋_GB2312" w:cs="仿宋_GB2312"/>
          <w:sz w:val="32"/>
          <w:szCs w:val="32"/>
        </w:rPr>
        <w:t>体育（款）：指体育方面的支出。</w:t>
      </w:r>
    </w:p>
    <w:p w14:paraId="2CE7F196">
      <w:pPr>
        <w:ind w:firstLine="640" w:firstLineChars="200"/>
        <w:rPr>
          <w:rFonts w:ascii="仿宋_GB2312" w:eastAsia="仿宋_GB2312" w:cs="仿宋_GB2312"/>
          <w:sz w:val="32"/>
          <w:szCs w:val="32"/>
        </w:rPr>
      </w:pPr>
      <w:r>
        <w:rPr>
          <w:rFonts w:hint="eastAsia" w:ascii="仿宋_GB2312" w:eastAsia="仿宋_GB2312" w:cs="仿宋_GB2312"/>
          <w:sz w:val="32"/>
          <w:szCs w:val="32"/>
        </w:rPr>
        <w:t>体育竞赛（项）：综合性运动会及单项体育比赛支出。</w:t>
      </w:r>
    </w:p>
    <w:p w14:paraId="01AF0615">
      <w:pPr>
        <w:ind w:firstLine="640" w:firstLineChars="200"/>
        <w:rPr>
          <w:rFonts w:ascii="仿宋_GB2312" w:eastAsia="仿宋_GB2312" w:cs="仿宋_GB2312"/>
          <w:sz w:val="32"/>
          <w:szCs w:val="32"/>
        </w:rPr>
      </w:pPr>
      <w:r>
        <w:rPr>
          <w:rFonts w:hint="eastAsia" w:ascii="仿宋_GB2312" w:eastAsia="仿宋_GB2312" w:cs="仿宋_GB2312"/>
          <w:sz w:val="32"/>
          <w:szCs w:val="32"/>
        </w:rPr>
        <w:t>其他体育支出（项）：指除综合性运动及单项体育比赛支出、体育运动队训练补助及器材购置等方面、体育场馆建设及维护、业余体校和全民健身等群众体育活动方面、体育交流与合作等方面以外其他用于体育方面的支出。</w:t>
      </w:r>
    </w:p>
    <w:p w14:paraId="4CE3FB9C">
      <w:pPr>
        <w:ind w:firstLine="640" w:firstLineChars="200"/>
        <w:rPr>
          <w:rFonts w:ascii="仿宋_GB2312" w:eastAsia="仿宋_GB2312" w:cs="仿宋_GB2312"/>
          <w:sz w:val="32"/>
          <w:szCs w:val="32"/>
        </w:rPr>
      </w:pPr>
      <w:r>
        <w:rPr>
          <w:rFonts w:hint="eastAsia" w:ascii="仿宋_GB2312" w:eastAsia="仿宋_GB2312" w:cs="仿宋_GB2312"/>
          <w:sz w:val="32"/>
          <w:szCs w:val="32"/>
        </w:rPr>
        <w:t>新闻出版电影（款）：指新闻出版、电影等方面的支出。</w:t>
      </w:r>
    </w:p>
    <w:p w14:paraId="51653A96">
      <w:pPr>
        <w:ind w:firstLine="640" w:firstLineChars="200"/>
        <w:rPr>
          <w:rFonts w:ascii="仿宋_GB2312" w:eastAsia="仿宋_GB2312" w:cs="仿宋_GB2312"/>
          <w:sz w:val="32"/>
          <w:szCs w:val="32"/>
        </w:rPr>
      </w:pPr>
      <w:r>
        <w:rPr>
          <w:rFonts w:hint="eastAsia" w:ascii="仿宋_GB2312" w:eastAsia="仿宋_GB2312" w:cs="仿宋_GB2312"/>
          <w:sz w:val="32"/>
          <w:szCs w:val="32"/>
        </w:rPr>
        <w:t>电影（项）：指电影制片、发行、放映等方面的支出。</w:t>
      </w:r>
    </w:p>
    <w:p w14:paraId="04E8D3E4">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其他新闻出版电影支出（项）：反映除上述项目以外其他用于新闻出版电影方面的支出。</w:t>
      </w:r>
    </w:p>
    <w:p w14:paraId="0E2FFDAC">
      <w:pPr>
        <w:ind w:firstLine="640" w:firstLineChars="200"/>
        <w:rPr>
          <w:rFonts w:ascii="仿宋_GB2312" w:eastAsia="仿宋_GB2312" w:cs="仿宋_GB2312"/>
          <w:sz w:val="32"/>
          <w:szCs w:val="32"/>
        </w:rPr>
      </w:pPr>
      <w:r>
        <w:rPr>
          <w:rFonts w:hint="eastAsia" w:ascii="仿宋_GB2312" w:eastAsia="仿宋_GB2312" w:cs="仿宋_GB2312"/>
          <w:sz w:val="32"/>
          <w:szCs w:val="32"/>
        </w:rPr>
        <w:t>广播电视（款）：反映广播、电视等方面的支出。</w:t>
      </w:r>
    </w:p>
    <w:p w14:paraId="1C334E1B">
      <w:pPr>
        <w:ind w:firstLine="640" w:firstLineChars="200"/>
        <w:rPr>
          <w:rFonts w:ascii="仿宋_GB2312" w:eastAsia="仿宋_GB2312" w:cs="仿宋_GB2312"/>
          <w:sz w:val="32"/>
          <w:szCs w:val="32"/>
        </w:rPr>
      </w:pPr>
      <w:r>
        <w:rPr>
          <w:rFonts w:hint="eastAsia" w:ascii="仿宋_GB2312" w:eastAsia="仿宋_GB2312" w:cs="仿宋_GB2312"/>
          <w:sz w:val="32"/>
          <w:szCs w:val="32"/>
        </w:rPr>
        <w:t>广播（项）：反映广播电台、广播发射台、广播转播台及有线广播站的支出。</w:t>
      </w:r>
    </w:p>
    <w:p w14:paraId="7FB3CF73">
      <w:pPr>
        <w:ind w:firstLine="640" w:firstLineChars="200"/>
        <w:rPr>
          <w:rFonts w:ascii="仿宋_GB2312" w:eastAsia="仿宋_GB2312" w:cs="仿宋_GB2312"/>
          <w:sz w:val="32"/>
          <w:szCs w:val="32"/>
        </w:rPr>
      </w:pPr>
      <w:r>
        <w:rPr>
          <w:rFonts w:hint="eastAsia" w:ascii="仿宋_GB2312" w:eastAsia="仿宋_GB2312" w:cs="仿宋_GB2312"/>
          <w:sz w:val="32"/>
          <w:szCs w:val="32"/>
        </w:rPr>
        <w:t>电视（项）：反映电视台、电视发射台、电视转播台的支出。</w:t>
      </w:r>
    </w:p>
    <w:p w14:paraId="2397755B">
      <w:pPr>
        <w:ind w:firstLine="640" w:firstLineChars="200"/>
        <w:rPr>
          <w:rFonts w:ascii="仿宋_GB2312" w:eastAsia="仿宋_GB2312" w:cs="仿宋_GB2312"/>
          <w:sz w:val="32"/>
          <w:szCs w:val="32"/>
        </w:rPr>
      </w:pPr>
      <w:r>
        <w:rPr>
          <w:rFonts w:hint="eastAsia" w:ascii="仿宋_GB2312" w:eastAsia="仿宋_GB2312" w:cs="仿宋_GB2312"/>
          <w:sz w:val="32"/>
          <w:szCs w:val="32"/>
        </w:rPr>
        <w:t>其他广播电视支出（项）：反映除上述项目以外其他用于广播电视方面的支出。</w:t>
      </w:r>
    </w:p>
    <w:p w14:paraId="6C11A7FC">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其他文化旅游体育与传媒支出（款）：指除上述项目外其他用于文化体育与传媒方面的支出。</w:t>
      </w:r>
    </w:p>
    <w:p w14:paraId="554EF73E">
      <w:pPr>
        <w:ind w:firstLine="640" w:firstLineChars="200"/>
        <w:rPr>
          <w:rFonts w:ascii="仿宋_GB2312" w:eastAsia="仿宋_GB2312" w:cs="仿宋_GB2312"/>
          <w:sz w:val="32"/>
          <w:szCs w:val="32"/>
        </w:rPr>
      </w:pPr>
      <w:r>
        <w:rPr>
          <w:rFonts w:hint="eastAsia" w:ascii="仿宋_GB2312" w:eastAsia="仿宋_GB2312" w:cs="仿宋_GB2312"/>
          <w:sz w:val="32"/>
          <w:szCs w:val="32"/>
        </w:rPr>
        <w:t>文化产业发展专项支出（项）：指支持文化产业发展专项支出。</w:t>
      </w:r>
    </w:p>
    <w:p w14:paraId="2359B93A">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其他文化旅游体育与传媒支出（项）：指除国家有关政府支持宣传文化单位发展的专项支出及支持文化产业发展专项支出以外的其他文化体育与传媒方面的支出。</w:t>
      </w:r>
    </w:p>
    <w:p w14:paraId="061D86D7">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9.社会保障和就业支出（类）：</w:t>
      </w:r>
      <w:r>
        <w:rPr>
          <w:rFonts w:hint="eastAsia" w:ascii="仿宋_GB2312" w:eastAsia="仿宋_GB2312" w:cs="仿宋_GB2312"/>
          <w:sz w:val="32"/>
          <w:szCs w:val="32"/>
        </w:rPr>
        <w:t>指政府在社会保险与就业方面的支出。</w:t>
      </w:r>
    </w:p>
    <w:p w14:paraId="7DFC1562">
      <w:pPr>
        <w:ind w:firstLine="640" w:firstLineChars="200"/>
        <w:rPr>
          <w:rFonts w:ascii="仿宋_GB2312" w:eastAsia="仿宋_GB2312" w:cs="仿宋_GB2312"/>
          <w:sz w:val="32"/>
          <w:szCs w:val="32"/>
        </w:rPr>
      </w:pPr>
      <w:r>
        <w:rPr>
          <w:rFonts w:hint="eastAsia" w:ascii="仿宋_GB2312" w:eastAsia="仿宋_GB2312" w:cs="仿宋_GB2312"/>
          <w:sz w:val="32"/>
          <w:szCs w:val="32"/>
        </w:rPr>
        <w:t>行政事业单位离退休（款）：指用于行政事业单位离退休方面的支出。</w:t>
      </w:r>
    </w:p>
    <w:p w14:paraId="5C3E4AE3">
      <w:pPr>
        <w:ind w:firstLine="640" w:firstLineChars="200"/>
        <w:rPr>
          <w:rFonts w:ascii="仿宋_GB2312" w:eastAsia="仿宋_GB2312" w:cs="仿宋_GB2312"/>
          <w:sz w:val="32"/>
          <w:szCs w:val="32"/>
        </w:rPr>
      </w:pPr>
      <w:r>
        <w:rPr>
          <w:rFonts w:hint="eastAsia" w:ascii="仿宋_GB2312" w:eastAsia="仿宋_GB2312" w:cs="仿宋_GB2312"/>
          <w:sz w:val="32"/>
          <w:szCs w:val="32"/>
        </w:rPr>
        <w:t>机关事业单位基本养老保险缴费支出（项）：指机关事业单位实施养老保险制度由单位缴纳的基本养老保险费支出。</w:t>
      </w:r>
    </w:p>
    <w:p w14:paraId="0BAB0017">
      <w:pPr>
        <w:ind w:firstLine="640" w:firstLineChars="200"/>
        <w:rPr>
          <w:rFonts w:ascii="仿宋_GB2312" w:eastAsia="仿宋_GB2312" w:cs="仿宋_GB2312"/>
          <w:sz w:val="32"/>
          <w:szCs w:val="32"/>
        </w:rPr>
      </w:pPr>
      <w:r>
        <w:rPr>
          <w:rFonts w:hint="eastAsia" w:ascii="仿宋_GB2312" w:eastAsia="仿宋_GB2312" w:cs="仿宋_GB2312"/>
          <w:sz w:val="32"/>
          <w:szCs w:val="32"/>
        </w:rPr>
        <w:t>机关事业单位职业年金缴费支出（项）：指机关事业单位实施养老保险制度由单位实际缴纳的职业年金支出。</w:t>
      </w:r>
    </w:p>
    <w:p w14:paraId="6D6870A1">
      <w:pPr>
        <w:ind w:firstLine="640" w:firstLineChars="200"/>
        <w:rPr>
          <w:rFonts w:ascii="仿宋_GB2312" w:eastAsia="仿宋_GB2312" w:cs="仿宋_GB2312"/>
          <w:sz w:val="32"/>
          <w:szCs w:val="32"/>
        </w:rPr>
      </w:pPr>
      <w:r>
        <w:rPr>
          <w:rFonts w:hint="eastAsia" w:ascii="仿宋_GB2312" w:eastAsia="仿宋_GB2312" w:cs="仿宋_GB2312"/>
          <w:sz w:val="32"/>
          <w:szCs w:val="32"/>
        </w:rPr>
        <w:t>其他行政事业单位离退休支出（项）：指除上述项目以外其他用于行政事业单位离退休方面的支出。</w:t>
      </w:r>
    </w:p>
    <w:p w14:paraId="3366F0F5">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10.卫生健康支出（类）：</w:t>
      </w:r>
      <w:r>
        <w:rPr>
          <w:rFonts w:hint="eastAsia" w:ascii="仿宋_GB2312" w:eastAsia="仿宋_GB2312" w:cs="仿宋_GB2312"/>
          <w:sz w:val="32"/>
          <w:szCs w:val="32"/>
        </w:rPr>
        <w:t>指政府卫生健康方面的支出。</w:t>
      </w:r>
    </w:p>
    <w:p w14:paraId="11407454">
      <w:pPr>
        <w:ind w:firstLine="640" w:firstLineChars="200"/>
        <w:rPr>
          <w:rFonts w:ascii="仿宋_GB2312" w:eastAsia="仿宋_GB2312" w:cs="仿宋_GB2312"/>
          <w:sz w:val="32"/>
          <w:szCs w:val="32"/>
        </w:rPr>
      </w:pPr>
      <w:r>
        <w:rPr>
          <w:rFonts w:hint="eastAsia" w:ascii="仿宋_GB2312" w:eastAsia="仿宋_GB2312" w:cs="仿宋_GB2312"/>
          <w:sz w:val="32"/>
          <w:szCs w:val="32"/>
        </w:rPr>
        <w:t>行政事业单位医疗（款）：指行政事业单位医疗方面的支出。</w:t>
      </w:r>
    </w:p>
    <w:p w14:paraId="5A14FD14">
      <w:pPr>
        <w:ind w:firstLine="640" w:firstLineChars="200"/>
        <w:rPr>
          <w:rFonts w:ascii="仿宋_GB2312" w:eastAsia="仿宋_GB2312" w:cs="仿宋_GB2312"/>
          <w:sz w:val="32"/>
          <w:szCs w:val="32"/>
        </w:rPr>
      </w:pPr>
      <w:r>
        <w:rPr>
          <w:rFonts w:hint="eastAsia" w:ascii="仿宋_GB2312" w:eastAsia="仿宋_GB2312" w:cs="仿宋_GB2312"/>
          <w:sz w:val="32"/>
          <w:szCs w:val="32"/>
        </w:rPr>
        <w:t>行政单位医疗（项）：指财政部门集中安排的行政单位基本医疗保险缴费经费，未参加医疗保险的行政单位的公费医疗经费，按国家规定享受离休人员、红军老战士待遇人员的医疗经费。</w:t>
      </w:r>
    </w:p>
    <w:p w14:paraId="3EBF8F43">
      <w:pPr>
        <w:ind w:firstLine="640" w:firstLineChars="200"/>
        <w:rPr>
          <w:rFonts w:ascii="仿宋_GB2312" w:eastAsia="仿宋_GB2312" w:cs="仿宋_GB2312"/>
          <w:sz w:val="32"/>
          <w:szCs w:val="32"/>
        </w:rPr>
      </w:pPr>
      <w:r>
        <w:rPr>
          <w:rFonts w:hint="eastAsia" w:ascii="仿宋_GB2312" w:eastAsia="仿宋_GB2312" w:cs="仿宋_GB2312"/>
          <w:sz w:val="32"/>
          <w:szCs w:val="32"/>
        </w:rPr>
        <w:t>事业单位医疗（项）：指财政部门集中安排的事业单位基本医疗保险缴费经费，未参加医疗保险的事业单位的公费医疗经费，按国家规定享受离休人员待遇的医疗经费。</w:t>
      </w:r>
    </w:p>
    <w:p w14:paraId="362F9A26">
      <w:pPr>
        <w:ind w:firstLine="640" w:firstLineChars="200"/>
        <w:rPr>
          <w:rFonts w:ascii="仿宋_GB2312" w:eastAsia="仿宋_GB2312" w:cs="仿宋_GB2312"/>
          <w:sz w:val="32"/>
          <w:szCs w:val="32"/>
        </w:rPr>
      </w:pPr>
      <w:r>
        <w:rPr>
          <w:rFonts w:hint="eastAsia" w:ascii="仿宋_GB2312" w:eastAsia="仿宋_GB2312" w:cs="仿宋_GB2312"/>
          <w:sz w:val="32"/>
          <w:szCs w:val="32"/>
        </w:rPr>
        <w:t>其他行政事业单位医疗支出（项）：指上述项目以外的其他用于行政事业单位医疗方面的支出。</w:t>
      </w:r>
    </w:p>
    <w:p w14:paraId="0E424521">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11.城乡社区支出（类）：</w:t>
      </w:r>
      <w:r>
        <w:rPr>
          <w:rFonts w:hint="eastAsia" w:ascii="仿宋_GB2312" w:eastAsia="仿宋_GB2312" w:cs="仿宋_GB2312"/>
          <w:sz w:val="32"/>
          <w:szCs w:val="32"/>
        </w:rPr>
        <w:t>反映政府城乡管理事务支出。</w:t>
      </w:r>
    </w:p>
    <w:p w14:paraId="4A79904F">
      <w:pPr>
        <w:ind w:firstLine="640"/>
        <w:rPr>
          <w:rFonts w:ascii="仿宋_GB2312" w:eastAsia="仿宋_GB2312" w:cs="仿宋_GB2312"/>
          <w:sz w:val="32"/>
          <w:szCs w:val="32"/>
        </w:rPr>
      </w:pPr>
      <w:r>
        <w:rPr>
          <w:rFonts w:hint="eastAsia" w:ascii="仿宋_GB2312" w:eastAsia="仿宋_GB2312" w:cs="仿宋_GB2312"/>
          <w:sz w:val="32"/>
          <w:szCs w:val="32"/>
        </w:rPr>
        <w:t>国有土地使用权出让收入及对应专项债务收入安排的支出（款）：反映用不含计提和划转部分的国有土地使用权出让收入及对应专项债务收入安排的支出。不包括市县级政府当年按规定用土地出让收入向中央和省级政府缴纳新增建设用地土地有偿使用费支出。</w:t>
      </w:r>
    </w:p>
    <w:p w14:paraId="7A260BF5">
      <w:pPr>
        <w:ind w:firstLine="640"/>
        <w:rPr>
          <w:rFonts w:ascii="仿宋_GB2312" w:eastAsia="仿宋_GB2312" w:cs="仿宋_GB2312"/>
          <w:sz w:val="32"/>
          <w:szCs w:val="32"/>
        </w:rPr>
      </w:pPr>
      <w:r>
        <w:rPr>
          <w:rFonts w:hint="eastAsia" w:ascii="仿宋_GB2312" w:eastAsia="仿宋_GB2312" w:cs="仿宋_GB2312"/>
          <w:sz w:val="32"/>
          <w:szCs w:val="32"/>
        </w:rPr>
        <w:t>征地和拆迁补偿支出（项）：反映新疆生产建设兵团和地方政府在征地和收购土地过程中支付的土地补偿费、安置补助费、地上附着和青苗补偿费、拆迁补偿费支出。</w:t>
      </w:r>
    </w:p>
    <w:p w14:paraId="4951DD07">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12.住房保障支出（类）：</w:t>
      </w:r>
      <w:r>
        <w:rPr>
          <w:rFonts w:hint="eastAsia" w:ascii="仿宋_GB2312" w:eastAsia="仿宋_GB2312" w:cs="仿宋_GB2312"/>
          <w:sz w:val="32"/>
          <w:szCs w:val="32"/>
        </w:rPr>
        <w:t>指政府用于住房方面的支出。</w:t>
      </w:r>
    </w:p>
    <w:p w14:paraId="4945ABE6">
      <w:pPr>
        <w:ind w:firstLine="640" w:firstLineChars="200"/>
        <w:rPr>
          <w:rFonts w:ascii="仿宋_GB2312" w:eastAsia="仿宋_GB2312" w:cs="仿宋_GB2312"/>
          <w:sz w:val="32"/>
          <w:szCs w:val="32"/>
        </w:rPr>
      </w:pPr>
      <w:r>
        <w:rPr>
          <w:rFonts w:hint="eastAsia" w:ascii="仿宋_GB2312" w:eastAsia="仿宋_GB2312" w:cs="仿宋_GB2312"/>
          <w:sz w:val="32"/>
          <w:szCs w:val="32"/>
        </w:rPr>
        <w:t>住房改革支出（款）：指行政事业单位用财政拨款资金和其他资金等安排的住房改革支出。</w:t>
      </w:r>
    </w:p>
    <w:p w14:paraId="09AB2951">
      <w:pPr>
        <w:ind w:firstLine="640" w:firstLineChars="200"/>
        <w:rPr>
          <w:rFonts w:ascii="仿宋_GB2312" w:eastAsia="仿宋_GB2312" w:cs="仿宋_GB2312"/>
          <w:sz w:val="32"/>
          <w:szCs w:val="32"/>
        </w:rPr>
      </w:pPr>
      <w:r>
        <w:rPr>
          <w:rFonts w:hint="eastAsia" w:ascii="仿宋_GB2312" w:eastAsia="仿宋_GB2312" w:cs="仿宋_GB2312"/>
          <w:sz w:val="32"/>
          <w:szCs w:val="32"/>
        </w:rPr>
        <w:t>住房公积金（项）：指行政事业单位按人力资源和社会保障部、财政部规定的基本工资和津贴补贴以及规定比例为职工缴纳的住房公积金。</w:t>
      </w:r>
    </w:p>
    <w:p w14:paraId="173BB425">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13.其他支出（类）：</w:t>
      </w:r>
      <w:r>
        <w:rPr>
          <w:rFonts w:hint="eastAsia" w:ascii="仿宋_GB2312" w:eastAsia="仿宋_GB2312" w:cs="仿宋_GB2312"/>
          <w:sz w:val="32"/>
          <w:szCs w:val="32"/>
        </w:rPr>
        <w:t>指不能划为科学技术支出、文化体育与传媒支出、社会保障和就业支出、节能环保支出、城乡社区支出、农林水支出、交通运输支出、资源勘探信息等支出、商业服务支出、金融支出的其他政府支出。</w:t>
      </w:r>
    </w:p>
    <w:p w14:paraId="687F1C2F">
      <w:pPr>
        <w:ind w:firstLine="640" w:firstLineChars="200"/>
        <w:rPr>
          <w:rFonts w:ascii="仿宋_GB2312" w:eastAsia="仿宋_GB2312" w:cs="仿宋_GB2312"/>
          <w:sz w:val="32"/>
          <w:szCs w:val="32"/>
        </w:rPr>
      </w:pPr>
      <w:r>
        <w:rPr>
          <w:rFonts w:hint="eastAsia" w:ascii="仿宋_GB2312" w:eastAsia="仿宋_GB2312" w:cs="仿宋_GB2312"/>
          <w:sz w:val="32"/>
          <w:szCs w:val="32"/>
        </w:rPr>
        <w:t>其他政府性基金及对应专项债务收入安排的支出（款）：反映其他政府性基金及对应专项债务收入安排的支出（包括用以前年度欠款收入安排的支出）。</w:t>
      </w:r>
    </w:p>
    <w:p w14:paraId="794EFE8D">
      <w:pPr>
        <w:ind w:firstLine="640" w:firstLineChars="200"/>
        <w:rPr>
          <w:rFonts w:ascii="仿宋_GB2312" w:eastAsia="仿宋_GB2312" w:cs="仿宋_GB2312"/>
          <w:sz w:val="32"/>
          <w:szCs w:val="32"/>
        </w:rPr>
      </w:pPr>
      <w:r>
        <w:rPr>
          <w:rFonts w:hint="eastAsia" w:ascii="仿宋_GB2312" w:eastAsia="仿宋_GB2312" w:cs="仿宋_GB2312"/>
          <w:sz w:val="32"/>
          <w:szCs w:val="32"/>
        </w:rPr>
        <w:t>其他政府性基金安排的支出（项）：反映其他政府性基金安排的支出（包括用以前年度欠款收入安排的支出）。</w:t>
      </w:r>
    </w:p>
    <w:p w14:paraId="3FAF0A4B">
      <w:pPr>
        <w:ind w:firstLine="640" w:firstLineChars="200"/>
        <w:rPr>
          <w:rFonts w:ascii="仿宋_GB2312" w:eastAsia="仿宋_GB2312" w:cs="仿宋_GB2312"/>
          <w:sz w:val="32"/>
          <w:szCs w:val="32"/>
        </w:rPr>
      </w:pPr>
      <w:r>
        <w:rPr>
          <w:rFonts w:hint="eastAsia" w:ascii="仿宋_GB2312" w:eastAsia="仿宋_GB2312" w:cs="仿宋_GB2312"/>
          <w:sz w:val="32"/>
          <w:szCs w:val="32"/>
        </w:rPr>
        <w:t>彩票公益金安排的支出(款）：反映彩票公益金安排的支出。</w:t>
      </w:r>
    </w:p>
    <w:p w14:paraId="417CF784">
      <w:pPr>
        <w:ind w:firstLine="640" w:firstLineChars="200"/>
        <w:rPr>
          <w:rFonts w:ascii="仿宋_GB2312" w:eastAsia="仿宋_GB2312" w:cs="仿宋_GB2312"/>
          <w:sz w:val="32"/>
          <w:szCs w:val="32"/>
        </w:rPr>
      </w:pPr>
      <w:r>
        <w:rPr>
          <w:rFonts w:hint="eastAsia" w:ascii="仿宋_GB2312" w:eastAsia="仿宋_GB2312" w:cs="仿宋_GB2312"/>
          <w:sz w:val="32"/>
          <w:szCs w:val="32"/>
        </w:rPr>
        <w:t>用于体育事业的彩票公益金支出（项）：反映用于体育事业的彩票公益金支出。</w:t>
      </w:r>
    </w:p>
    <w:p w14:paraId="6C9748E9">
      <w:pPr>
        <w:ind w:firstLine="643" w:firstLineChars="200"/>
        <w:rPr>
          <w:rFonts w:ascii="仿宋_GB2312" w:eastAsia="仿宋_GB2312"/>
          <w:color w:val="000000"/>
          <w:sz w:val="32"/>
          <w:szCs w:val="32"/>
        </w:rPr>
      </w:pPr>
      <w:r>
        <w:rPr>
          <w:rFonts w:hint="eastAsia" w:ascii="仿宋_GB2312" w:eastAsia="仿宋_GB2312"/>
          <w:b/>
          <w:bCs/>
          <w:color w:val="000000"/>
          <w:sz w:val="32"/>
          <w:szCs w:val="32"/>
        </w:rPr>
        <w:t>14.基本支出：</w:t>
      </w:r>
      <w:r>
        <w:rPr>
          <w:rFonts w:hint="eastAsia" w:ascii="仿宋_GB2312" w:eastAsia="仿宋_GB2312"/>
          <w:color w:val="000000"/>
          <w:sz w:val="32"/>
          <w:szCs w:val="32"/>
        </w:rPr>
        <w:t>指为保障机构正常运转、完成日常工作任务而发生的人员支出和公用支出。</w:t>
      </w:r>
    </w:p>
    <w:p w14:paraId="67733C97">
      <w:pPr>
        <w:ind w:firstLine="643" w:firstLineChars="200"/>
        <w:rPr>
          <w:rFonts w:ascii="仿宋_GB2312" w:eastAsia="仿宋_GB2312"/>
          <w:color w:val="000000"/>
          <w:sz w:val="32"/>
          <w:szCs w:val="32"/>
        </w:rPr>
      </w:pPr>
      <w:r>
        <w:rPr>
          <w:rFonts w:hint="eastAsia" w:ascii="仿宋_GB2312" w:eastAsia="仿宋_GB2312"/>
          <w:b/>
          <w:bCs/>
          <w:color w:val="000000"/>
          <w:sz w:val="32"/>
          <w:szCs w:val="32"/>
        </w:rPr>
        <w:t>15</w:t>
      </w:r>
      <w:r>
        <w:rPr>
          <w:rFonts w:ascii="仿宋_GB2312" w:eastAsia="仿宋_GB2312"/>
          <w:b/>
          <w:bCs/>
          <w:color w:val="000000"/>
          <w:sz w:val="32"/>
          <w:szCs w:val="32"/>
        </w:rPr>
        <w:t>.</w:t>
      </w:r>
      <w:r>
        <w:rPr>
          <w:rFonts w:hint="eastAsia" w:ascii="仿宋_GB2312" w:eastAsia="仿宋_GB2312"/>
          <w:b/>
          <w:bCs/>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r>
        <w:rPr>
          <w:rFonts w:ascii="仿宋_GB2312" w:eastAsia="仿宋_GB2312"/>
          <w:color w:val="000000"/>
          <w:sz w:val="32"/>
          <w:szCs w:val="32"/>
        </w:rPr>
        <w:t xml:space="preserve"> </w:t>
      </w:r>
    </w:p>
    <w:p w14:paraId="6A841750">
      <w:pPr>
        <w:ind w:firstLine="643" w:firstLineChars="200"/>
        <w:rPr>
          <w:rFonts w:ascii="仿宋_GB2312" w:eastAsia="仿宋_GB2312"/>
          <w:color w:val="000000"/>
          <w:sz w:val="32"/>
          <w:szCs w:val="32"/>
        </w:rPr>
      </w:pPr>
      <w:r>
        <w:rPr>
          <w:rFonts w:hint="eastAsia" w:ascii="仿宋_GB2312" w:eastAsia="仿宋_GB2312"/>
          <w:b/>
          <w:bCs/>
          <w:color w:val="000000"/>
          <w:sz w:val="32"/>
          <w:szCs w:val="32"/>
        </w:rPr>
        <w:t>16</w:t>
      </w:r>
      <w:r>
        <w:rPr>
          <w:rFonts w:ascii="仿宋_GB2312" w:eastAsia="仿宋_GB2312"/>
          <w:b/>
          <w:bCs/>
          <w:color w:val="000000"/>
          <w:sz w:val="32"/>
          <w:szCs w:val="32"/>
        </w:rPr>
        <w:t>.</w:t>
      </w:r>
      <w:r>
        <w:rPr>
          <w:rFonts w:hint="eastAsia" w:ascii="仿宋_GB2312" w:eastAsia="仿宋_GB2312"/>
          <w:b/>
          <w:bCs/>
          <w:color w:val="000000"/>
          <w:sz w:val="32"/>
          <w:szCs w:val="32"/>
        </w:rPr>
        <w:t>经营支出：</w:t>
      </w:r>
      <w:r>
        <w:rPr>
          <w:rFonts w:hint="eastAsia" w:ascii="仿宋_GB2312" w:eastAsia="仿宋_GB2312"/>
          <w:color w:val="000000"/>
          <w:sz w:val="32"/>
          <w:szCs w:val="32"/>
        </w:rPr>
        <w:t>指事业单位在专业业务活动及其辅助活动之外开展非独立核算经营活动发生的支出。</w:t>
      </w:r>
    </w:p>
    <w:p w14:paraId="61C08B84">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17</w:t>
      </w:r>
      <w:r>
        <w:rPr>
          <w:rFonts w:ascii="仿宋_GB2312" w:eastAsia="仿宋_GB2312"/>
          <w:b/>
          <w:bCs/>
          <w:sz w:val="32"/>
          <w:szCs w:val="32"/>
        </w:rPr>
        <w:t>.</w:t>
      </w:r>
      <w:r>
        <w:rPr>
          <w:rFonts w:hint="eastAsia" w:ascii="仿宋_GB2312" w:eastAsia="仿宋_GB2312"/>
          <w:b/>
          <w:bCs/>
          <w:sz w:val="32"/>
          <w:szCs w:val="32"/>
        </w:rPr>
        <w:t>“三公”经费：</w:t>
      </w:r>
      <w:r>
        <w:rPr>
          <w:rFonts w:hint="eastAsia" w:ascii="仿宋_GB2312"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72AE173">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18</w:t>
      </w:r>
      <w:r>
        <w:rPr>
          <w:rFonts w:ascii="仿宋_GB2312" w:eastAsia="仿宋_GB2312"/>
          <w:b/>
          <w:bCs/>
          <w:sz w:val="32"/>
          <w:szCs w:val="32"/>
        </w:rPr>
        <w:t>.</w:t>
      </w:r>
      <w:r>
        <w:rPr>
          <w:rFonts w:hint="eastAsia" w:ascii="仿宋_GB2312" w:eastAsia="仿宋_GB2312"/>
          <w:b/>
          <w:bCs/>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41DF954">
      <w:pPr>
        <w:spacing w:line="600" w:lineRule="exact"/>
        <w:jc w:val="left"/>
        <w:rPr>
          <w:rFonts w:ascii="宋体"/>
          <w:b/>
          <w:color w:val="000000"/>
          <w:sz w:val="44"/>
          <w:szCs w:val="44"/>
        </w:rPr>
      </w:pPr>
    </w:p>
    <w:p w14:paraId="402C8A88">
      <w:pPr>
        <w:spacing w:line="600" w:lineRule="exact"/>
        <w:jc w:val="center"/>
        <w:outlineLvl w:val="0"/>
        <w:rPr>
          <w:rStyle w:val="2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8"/>
    </w:p>
    <w:p w14:paraId="5883733C">
      <w:pPr>
        <w:spacing w:line="600" w:lineRule="exact"/>
        <w:jc w:val="left"/>
        <w:outlineLvl w:val="0"/>
        <w:rPr>
          <w:rFonts w:ascii="黑体" w:hAnsi="黑体" w:eastAsia="黑体" w:cs="黑体"/>
          <w:sz w:val="32"/>
          <w:szCs w:val="32"/>
        </w:rPr>
      </w:pPr>
    </w:p>
    <w:p w14:paraId="577BC10F">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6F202D66">
      <w:pPr>
        <w:spacing w:line="600" w:lineRule="exact"/>
        <w:rPr>
          <w:rFonts w:ascii="方正小标宋简体" w:hAnsi="宋体" w:eastAsia="方正小标宋简体"/>
          <w:sz w:val="44"/>
          <w:szCs w:val="44"/>
          <w:shd w:val="clear" w:color="auto" w:fill="FFFFFF"/>
        </w:rPr>
      </w:pPr>
    </w:p>
    <w:p w14:paraId="05C0816F">
      <w:pPr>
        <w:spacing w:line="60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德阳市罗江区文化体育广播电视和旅游局</w:t>
      </w:r>
    </w:p>
    <w:p w14:paraId="217EF1C4">
      <w:pPr>
        <w:spacing w:line="60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2020年部门整体支出绩效自评报告</w:t>
      </w:r>
    </w:p>
    <w:p w14:paraId="273ACA9D">
      <w:pPr>
        <w:spacing w:line="520" w:lineRule="exact"/>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（报告范围包括本部门机关和下属单位）</w:t>
      </w:r>
    </w:p>
    <w:p w14:paraId="226ADFCA">
      <w:pPr>
        <w:adjustRightInd w:val="0"/>
        <w:snapToGrid w:val="0"/>
        <w:spacing w:line="520" w:lineRule="exact"/>
        <w:ind w:firstLine="720"/>
        <w:rPr>
          <w:rFonts w:ascii="黑体" w:hAnsi="宋体" w:eastAsia="黑体" w:cs="宋体"/>
          <w:color w:val="000000"/>
          <w:kern w:val="0"/>
          <w:sz w:val="24"/>
          <w:szCs w:val="32"/>
          <w:shd w:val="clear" w:color="auto" w:fill="FFFFFF"/>
        </w:rPr>
      </w:pPr>
    </w:p>
    <w:p w14:paraId="369976A7">
      <w:pPr>
        <w:adjustRightInd w:val="0"/>
        <w:snapToGrid w:val="0"/>
        <w:spacing w:line="600" w:lineRule="exact"/>
        <w:ind w:firstLine="640" w:firstLineChars="200"/>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14:paraId="1B083D58">
      <w:pPr>
        <w:adjustRightInd w:val="0"/>
        <w:snapToGrid w:val="0"/>
        <w:spacing w:line="600" w:lineRule="exact"/>
        <w:ind w:firstLine="640" w:firstLineChars="200"/>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（一）机构组成。</w:t>
      </w:r>
    </w:p>
    <w:p w14:paraId="30E86DE5">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德阳市罗江区文化体育广播电视和旅游局包括一级预算单位1个和下属二级预算单位6个，其中参照公务员法管理的事业单位2个（罗江区文化市场综合行政执法大队、罗江区文化体育和旅游产业发展服务中心），其他事业单位4个（文化馆、图书馆、文物保护管理所、博物馆）。</w:t>
      </w:r>
    </w:p>
    <w:p w14:paraId="7D8F8C31">
      <w:pPr>
        <w:adjustRightInd w:val="0"/>
        <w:snapToGrid w:val="0"/>
        <w:spacing w:line="600" w:lineRule="exact"/>
        <w:ind w:firstLine="640" w:firstLineChars="200"/>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（二）机构职能。</w:t>
      </w:r>
    </w:p>
    <w:p w14:paraId="79DA0469">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围绕区委、区政府重要工作，管理全区重大文化、体育、广播电视和旅游活动；推进公共文化、旅游服务体系建设，实施文化惠民工程；加大对文化、体育、广播电视和旅游市场经营进行监管；管理全区文物保护利用和博物馆工作，协调、指导和监管全区文物安全等。</w:t>
      </w:r>
    </w:p>
    <w:p w14:paraId="41401672">
      <w:pPr>
        <w:adjustRightInd w:val="0"/>
        <w:snapToGrid w:val="0"/>
        <w:spacing w:line="600" w:lineRule="exact"/>
        <w:ind w:firstLine="640" w:firstLineChars="200"/>
        <w:rPr>
          <w:rFonts w:ascii="方正楷体简体" w:hAnsi="宋体" w:eastAsia="方正楷体简体" w:cs="宋体"/>
          <w:color w:val="000000"/>
          <w:kern w:val="0"/>
          <w:szCs w:val="32"/>
          <w:shd w:val="clear" w:color="auto" w:fill="FFFFFF"/>
          <w:lang w:val="zh-CN"/>
        </w:rPr>
      </w:pPr>
      <w:r>
        <w:rPr>
          <w:rFonts w:hint="eastAsia" w:ascii="楷体" w:hAnsi="楷体" w:eastAsia="楷体" w:cs="楷体"/>
          <w:color w:val="000000"/>
          <w:kern w:val="0"/>
          <w:sz w:val="32"/>
          <w:szCs w:val="32"/>
          <w:shd w:val="clear" w:color="auto" w:fill="FFFFFF"/>
          <w:lang w:val="zh-CN"/>
        </w:rPr>
        <w:t>（三）人员概况</w:t>
      </w:r>
    </w:p>
    <w:p w14:paraId="712C055A">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总编制38名，其中行政编制7名，事业编制29名，工勤编制1名。在职人员总数28人，其中：行政人员6人，事业人员</w:t>
      </w:r>
      <w:r>
        <w:rPr>
          <w:rFonts w:hint="eastAsia" w:ascii="仿宋" w:hAnsi="仿宋" w:eastAsia="仿宋" w:cs="仿宋"/>
          <w:color w:val="000000"/>
          <w:kern w:val="0"/>
          <w:sz w:val="32"/>
          <w:szCs w:val="32"/>
          <w:shd w:val="clear" w:color="auto" w:fill="FFFFFF"/>
        </w:rPr>
        <w:t>16</w:t>
      </w:r>
      <w:r>
        <w:rPr>
          <w:rFonts w:hint="eastAsia" w:ascii="仿宋" w:hAnsi="仿宋" w:eastAsia="仿宋" w:cs="仿宋"/>
          <w:color w:val="000000"/>
          <w:kern w:val="0"/>
          <w:sz w:val="32"/>
          <w:szCs w:val="32"/>
          <w:shd w:val="clear" w:color="auto" w:fill="FFFFFF"/>
          <w:lang w:val="zh-CN"/>
        </w:rPr>
        <w:t>人，工勤人员3人；离退休人员</w:t>
      </w:r>
      <w:r>
        <w:rPr>
          <w:rFonts w:hint="eastAsia" w:ascii="仿宋" w:hAnsi="仿宋" w:eastAsia="仿宋" w:cs="仿宋"/>
          <w:color w:val="000000"/>
          <w:kern w:val="0"/>
          <w:sz w:val="32"/>
          <w:szCs w:val="32"/>
          <w:shd w:val="clear" w:color="auto" w:fill="FFFFFF"/>
        </w:rPr>
        <w:t>10</w:t>
      </w:r>
      <w:r>
        <w:rPr>
          <w:rFonts w:hint="eastAsia" w:ascii="仿宋" w:hAnsi="仿宋" w:eastAsia="仿宋" w:cs="仿宋"/>
          <w:color w:val="000000"/>
          <w:kern w:val="0"/>
          <w:sz w:val="32"/>
          <w:szCs w:val="32"/>
          <w:shd w:val="clear" w:color="auto" w:fill="FFFFFF"/>
          <w:lang w:val="zh-CN"/>
        </w:rPr>
        <w:t>人，其中：退休人员</w:t>
      </w:r>
      <w:r>
        <w:rPr>
          <w:rFonts w:hint="eastAsia" w:ascii="仿宋" w:hAnsi="仿宋" w:eastAsia="仿宋" w:cs="仿宋"/>
          <w:color w:val="000000"/>
          <w:kern w:val="0"/>
          <w:sz w:val="32"/>
          <w:szCs w:val="32"/>
          <w:shd w:val="clear" w:color="auto" w:fill="FFFFFF"/>
        </w:rPr>
        <w:t>10</w:t>
      </w:r>
      <w:r>
        <w:rPr>
          <w:rFonts w:hint="eastAsia" w:ascii="仿宋" w:hAnsi="仿宋" w:eastAsia="仿宋" w:cs="仿宋"/>
          <w:color w:val="000000"/>
          <w:kern w:val="0"/>
          <w:sz w:val="32"/>
          <w:szCs w:val="32"/>
          <w:shd w:val="clear" w:color="auto" w:fill="FFFFFF"/>
          <w:lang w:val="zh-CN"/>
        </w:rPr>
        <w:t>人。</w:t>
      </w:r>
    </w:p>
    <w:p w14:paraId="607CE1EE">
      <w:pPr>
        <w:adjustRightInd w:val="0"/>
        <w:snapToGrid w:val="0"/>
        <w:spacing w:line="600" w:lineRule="exact"/>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37B25C32">
      <w:pPr>
        <w:adjustRightInd w:val="0"/>
        <w:snapToGrid w:val="0"/>
        <w:spacing w:line="600" w:lineRule="exact"/>
        <w:ind w:firstLine="640" w:firstLineChars="200"/>
        <w:rPr>
          <w:lang w:val="zh-CN"/>
        </w:rPr>
      </w:pPr>
      <w:r>
        <w:rPr>
          <w:rFonts w:hint="eastAsia" w:ascii="楷体" w:hAnsi="楷体" w:eastAsia="楷体" w:cs="楷体"/>
          <w:color w:val="000000"/>
          <w:kern w:val="0"/>
          <w:sz w:val="32"/>
          <w:szCs w:val="32"/>
          <w:shd w:val="clear" w:color="auto" w:fill="FFFFFF"/>
          <w:lang w:val="zh-CN"/>
        </w:rPr>
        <w:t>（一）部门财政资金收入情况。</w:t>
      </w:r>
    </w:p>
    <w:p w14:paraId="6B0B6F15">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财政资金基本支出预算收入总额429.05万元，其中工资福利支出34</w:t>
      </w:r>
      <w:r>
        <w:rPr>
          <w:rFonts w:hint="eastAsia" w:ascii="仿宋" w:hAnsi="仿宋" w:eastAsia="仿宋" w:cs="仿宋"/>
          <w:color w:val="000000"/>
          <w:kern w:val="0"/>
          <w:sz w:val="32"/>
          <w:szCs w:val="32"/>
          <w:shd w:val="clear" w:color="auto" w:fill="FFFFFF"/>
        </w:rPr>
        <w:t>6.03</w:t>
      </w:r>
      <w:r>
        <w:rPr>
          <w:rFonts w:hint="eastAsia" w:ascii="仿宋" w:hAnsi="仿宋" w:eastAsia="仿宋" w:cs="仿宋"/>
          <w:color w:val="000000"/>
          <w:kern w:val="0"/>
          <w:sz w:val="32"/>
          <w:szCs w:val="32"/>
          <w:shd w:val="clear" w:color="auto" w:fill="FFFFFF"/>
          <w:lang w:val="zh-CN"/>
        </w:rPr>
        <w:t>万元；商品和服务支出6</w:t>
      </w:r>
      <w:r>
        <w:rPr>
          <w:rFonts w:hint="eastAsia" w:ascii="仿宋" w:hAnsi="仿宋" w:eastAsia="仿宋" w:cs="仿宋"/>
          <w:color w:val="000000"/>
          <w:kern w:val="0"/>
          <w:sz w:val="32"/>
          <w:szCs w:val="32"/>
          <w:shd w:val="clear" w:color="auto" w:fill="FFFFFF"/>
        </w:rPr>
        <w:t>1.87</w:t>
      </w:r>
      <w:r>
        <w:rPr>
          <w:rFonts w:hint="eastAsia" w:ascii="仿宋" w:hAnsi="仿宋" w:eastAsia="仿宋" w:cs="仿宋"/>
          <w:color w:val="000000"/>
          <w:kern w:val="0"/>
          <w:sz w:val="32"/>
          <w:szCs w:val="32"/>
          <w:shd w:val="clear" w:color="auto" w:fill="FFFFFF"/>
          <w:lang w:val="zh-CN"/>
        </w:rPr>
        <w:t>万元；其他对个人和家庭的补助支出21.14万元。</w:t>
      </w:r>
    </w:p>
    <w:p w14:paraId="2A32E385">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项目支出预算收入总额97.05万元：</w:t>
      </w:r>
    </w:p>
    <w:p w14:paraId="6418D19B">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1.聘用人员经费11.90万元</w:t>
      </w:r>
    </w:p>
    <w:p w14:paraId="7DEAF16B">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 xml:space="preserve">2.旅游营销运行经费9万元 </w:t>
      </w:r>
    </w:p>
    <w:p w14:paraId="5F8C6FA4">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3.老体协补助经费5万元</w:t>
      </w:r>
    </w:p>
    <w:p w14:paraId="00E638A6">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4.书画院补助经费5万元</w:t>
      </w:r>
    </w:p>
    <w:p w14:paraId="32D502A5">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5.群众体育经费5万元</w:t>
      </w:r>
    </w:p>
    <w:p w14:paraId="2F3D6FC5">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6．水上项目训练经费4.55万元</w:t>
      </w:r>
    </w:p>
    <w:p w14:paraId="495034AA">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7.文化市场综合执法经费5万元</w:t>
      </w:r>
    </w:p>
    <w:p w14:paraId="324DDE86">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8.“三馆一站”免费开放经费13.2万元</w:t>
      </w:r>
    </w:p>
    <w:p w14:paraId="13825126">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9.文物保护经费5万元</w:t>
      </w:r>
    </w:p>
    <w:p w14:paraId="4C4582E5">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10.文物库房电费5万元</w:t>
      </w:r>
    </w:p>
    <w:p w14:paraId="30E403BE">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11.“村村响”运行维护经费20.4万元</w:t>
      </w:r>
    </w:p>
    <w:p w14:paraId="6818B1ED">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12.白马关发射台运行维护费2万元</w:t>
      </w:r>
    </w:p>
    <w:p w14:paraId="455E8FDA">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13.庞统祠博物馆补助经费6万元。</w:t>
      </w:r>
    </w:p>
    <w:p w14:paraId="4719791C">
      <w:pPr>
        <w:adjustRightInd w:val="0"/>
        <w:snapToGrid w:val="0"/>
        <w:spacing w:line="600" w:lineRule="exact"/>
        <w:ind w:firstLine="640" w:firstLineChars="200"/>
        <w:rPr>
          <w:rFonts w:ascii="方正楷体简体" w:hAnsi="宋体" w:eastAsia="方正楷体简体" w:cs="宋体"/>
          <w:color w:val="000000"/>
          <w:kern w:val="0"/>
          <w:szCs w:val="32"/>
          <w:shd w:val="clear" w:color="auto" w:fill="FFFFFF"/>
          <w:lang w:val="zh-CN"/>
        </w:rPr>
      </w:pPr>
      <w:r>
        <w:rPr>
          <w:rFonts w:hint="eastAsia" w:ascii="楷体" w:hAnsi="楷体" w:eastAsia="楷体" w:cs="楷体"/>
          <w:color w:val="000000"/>
          <w:kern w:val="0"/>
          <w:sz w:val="32"/>
          <w:szCs w:val="32"/>
          <w:shd w:val="clear" w:color="auto" w:fill="FFFFFF"/>
          <w:lang w:val="zh-CN"/>
        </w:rPr>
        <w:t xml:space="preserve">（二）部门财政资金支出情况。    </w:t>
      </w:r>
      <w:r>
        <w:rPr>
          <w:rFonts w:hint="eastAsia" w:ascii="仿宋_GB2312" w:hAnsi="宋体" w:cs="宋体"/>
          <w:color w:val="000000"/>
          <w:kern w:val="0"/>
          <w:szCs w:val="32"/>
          <w:shd w:val="clear" w:color="auto" w:fill="FFFFFF"/>
          <w:lang w:val="zh-CN"/>
        </w:rPr>
        <w:t xml:space="preserve">                                                                                                                                                                                                                                                                                                                                                                                                                                                                                                                                                                                                                                                                                                                                                                                                                                                                                                                                                                                                                 </w:t>
      </w:r>
    </w:p>
    <w:p w14:paraId="64A2C8FD">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1.截止2020年底财政资金使用情况</w:t>
      </w:r>
    </w:p>
    <w:p w14:paraId="609E85B6">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财政资金基本支出预算支出总额429.05万元，其中工资福利支出342.21万元；商品和服务支出65.70万元；其他对个人和家庭的补助支出21.14万元。</w:t>
      </w:r>
    </w:p>
    <w:p w14:paraId="1AB3CB2B">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2、财政资金项目支出总额97.05万元,具体情况如下：</w:t>
      </w:r>
    </w:p>
    <w:p w14:paraId="58BDDFFF">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（1）聘用人员经费11.90万元</w:t>
      </w:r>
    </w:p>
    <w:p w14:paraId="11BC363E">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 xml:space="preserve">（2）旅游营销运行经费9万元 </w:t>
      </w:r>
    </w:p>
    <w:p w14:paraId="77C44F0D">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（3）老体协补助经费5万元</w:t>
      </w:r>
    </w:p>
    <w:p w14:paraId="6AED64F4">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（4）书画院补助经费5万元</w:t>
      </w:r>
    </w:p>
    <w:p w14:paraId="7F6154BD">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（5）群众体育经费5万元</w:t>
      </w:r>
    </w:p>
    <w:p w14:paraId="2496600C">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（6）水上项目训练经费4.555万元</w:t>
      </w:r>
    </w:p>
    <w:p w14:paraId="69870913">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（7）文化市场综合执法经费5万元</w:t>
      </w:r>
    </w:p>
    <w:p w14:paraId="5602F5DB">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（8）“三馆一站”免费开放经费13.2万元</w:t>
      </w:r>
    </w:p>
    <w:p w14:paraId="58CEC7ED">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（9）文物保护经费5万元</w:t>
      </w:r>
    </w:p>
    <w:p w14:paraId="0F17F3A5">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（10）文物库房电费5万元</w:t>
      </w:r>
    </w:p>
    <w:p w14:paraId="71C958AB">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（11）“村村响”运行维护经费20.4万元</w:t>
      </w:r>
    </w:p>
    <w:p w14:paraId="712BB335">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（12）白马关发射台运行维护费2万元</w:t>
      </w:r>
    </w:p>
    <w:p w14:paraId="10614A39">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（13）庞统祠博物馆补助经费6万元。</w:t>
      </w:r>
    </w:p>
    <w:p w14:paraId="783F576E">
      <w:pPr>
        <w:adjustRightInd w:val="0"/>
        <w:snapToGrid w:val="0"/>
        <w:spacing w:line="600" w:lineRule="exact"/>
        <w:ind w:firstLine="640" w:firstLineChars="200"/>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（三）其他收入情况</w:t>
      </w:r>
    </w:p>
    <w:p w14:paraId="1A45D258">
      <w:pPr>
        <w:adjustRightInd w:val="0"/>
        <w:snapToGrid w:val="0"/>
        <w:spacing w:line="60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无其他收入</w:t>
      </w:r>
    </w:p>
    <w:p w14:paraId="3E3C2AB5">
      <w:pPr>
        <w:adjustRightInd w:val="0"/>
        <w:snapToGrid w:val="0"/>
        <w:spacing w:line="600" w:lineRule="exact"/>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0B9CAB40">
      <w:pPr>
        <w:adjustRightInd w:val="0"/>
        <w:snapToGrid w:val="0"/>
        <w:spacing w:line="600" w:lineRule="exact"/>
        <w:ind w:firstLine="640" w:firstLineChars="200"/>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（一）预算编制情况。</w:t>
      </w:r>
    </w:p>
    <w:p w14:paraId="30095554">
      <w:pPr>
        <w:widowControl/>
        <w:adjustRightInd w:val="0"/>
        <w:snapToGrid w:val="0"/>
        <w:spacing w:line="600" w:lineRule="exact"/>
        <w:ind w:firstLine="720"/>
        <w:jc w:val="left"/>
        <w:rPr>
          <w:rFonts w:ascii="仿宋_GB2312" w:hAnsi="宋体" w:cs="宋体"/>
          <w:color w:val="000000"/>
          <w:kern w:val="0"/>
          <w:szCs w:val="32"/>
          <w:shd w:val="clear" w:color="auto" w:fill="FFFFFF"/>
          <w:lang w:val="zh-CN"/>
        </w:rPr>
      </w:pPr>
      <w:r>
        <w:rPr>
          <w:rFonts w:hint="eastAsia" w:ascii="仿宋" w:hAnsi="仿宋" w:eastAsia="仿宋" w:cs="仿宋"/>
          <w:color w:val="000000"/>
          <w:kern w:val="0"/>
          <w:sz w:val="32"/>
          <w:szCs w:val="32"/>
          <w:shd w:val="clear" w:color="auto" w:fill="FFFFFF"/>
          <w:lang w:val="zh-CN"/>
        </w:rPr>
        <w:t>我中心严格执行新《预算法》和罗江预（</w:t>
      </w:r>
      <w:r>
        <w:rPr>
          <w:rFonts w:hint="eastAsia" w:ascii="仿宋" w:hAnsi="仿宋" w:eastAsia="仿宋" w:cs="仿宋"/>
          <w:color w:val="000000"/>
          <w:kern w:val="0"/>
          <w:sz w:val="32"/>
          <w:szCs w:val="32"/>
          <w:shd w:val="clear" w:color="auto" w:fill="FFFFFF"/>
        </w:rPr>
        <w:t>2020）1号文件，</w:t>
      </w:r>
      <w:r>
        <w:rPr>
          <w:rFonts w:hint="eastAsia" w:ascii="仿宋" w:hAnsi="仿宋" w:eastAsia="仿宋" w:cs="仿宋"/>
          <w:color w:val="000000"/>
          <w:kern w:val="0"/>
          <w:sz w:val="32"/>
          <w:szCs w:val="32"/>
          <w:shd w:val="clear" w:color="auto" w:fill="FFFFFF"/>
          <w:lang w:val="zh-CN"/>
        </w:rPr>
        <w:t>按照区区财政中心“人员经费按标准，公用经费按定额”的预算口径，编制20</w:t>
      </w:r>
      <w:r>
        <w:rPr>
          <w:rFonts w:hint="eastAsia" w:ascii="仿宋" w:hAnsi="仿宋" w:eastAsia="仿宋" w:cs="仿宋"/>
          <w:color w:val="000000"/>
          <w:kern w:val="0"/>
          <w:sz w:val="32"/>
          <w:szCs w:val="32"/>
          <w:shd w:val="clear" w:color="auto" w:fill="FFFFFF"/>
        </w:rPr>
        <w:t>20</w:t>
      </w:r>
      <w:r>
        <w:rPr>
          <w:rFonts w:hint="eastAsia" w:ascii="仿宋" w:hAnsi="仿宋" w:eastAsia="仿宋" w:cs="仿宋"/>
          <w:color w:val="000000"/>
          <w:kern w:val="0"/>
          <w:sz w:val="32"/>
          <w:szCs w:val="32"/>
          <w:shd w:val="clear" w:color="auto" w:fill="FFFFFF"/>
          <w:lang w:val="zh-CN"/>
        </w:rPr>
        <w:t>年本级部门预算526.</w:t>
      </w:r>
      <w:r>
        <w:rPr>
          <w:rFonts w:hint="eastAsia" w:ascii="仿宋" w:hAnsi="仿宋" w:eastAsia="仿宋" w:cs="仿宋"/>
          <w:color w:val="000000"/>
          <w:kern w:val="0"/>
          <w:sz w:val="32"/>
          <w:szCs w:val="32"/>
          <w:shd w:val="clear" w:color="auto" w:fill="FFFFFF"/>
        </w:rPr>
        <w:t>10</w:t>
      </w:r>
      <w:r>
        <w:rPr>
          <w:rFonts w:hint="eastAsia" w:ascii="仿宋" w:hAnsi="仿宋" w:eastAsia="仿宋" w:cs="仿宋"/>
          <w:color w:val="000000"/>
          <w:kern w:val="0"/>
          <w:sz w:val="32"/>
          <w:szCs w:val="32"/>
          <w:shd w:val="clear" w:color="auto" w:fill="FFFFFF"/>
          <w:lang w:val="zh-CN"/>
        </w:rPr>
        <w:t xml:space="preserve">万元。 </w:t>
      </w:r>
      <w:r>
        <w:rPr>
          <w:rFonts w:hint="eastAsia" w:ascii="仿宋" w:hAnsi="仿宋" w:eastAsia="仿宋" w:cs="仿宋"/>
          <w:sz w:val="32"/>
          <w:szCs w:val="32"/>
        </w:rPr>
        <w:br w:type="textWrapping"/>
      </w:r>
      <w:r>
        <w:rPr>
          <w:rFonts w:hint="eastAsia" w:ascii="宋体" w:hAnsi="宋体" w:cs="宋体"/>
          <w:szCs w:val="21"/>
        </w:rPr>
        <w:t>　　　</w:t>
      </w:r>
      <w:r>
        <w:rPr>
          <w:rFonts w:hint="eastAsia" w:ascii="楷体" w:hAnsi="楷体" w:eastAsia="楷体" w:cs="楷体"/>
          <w:color w:val="000000"/>
          <w:kern w:val="0"/>
          <w:sz w:val="32"/>
          <w:szCs w:val="32"/>
          <w:shd w:val="clear" w:color="auto" w:fill="FFFFFF"/>
          <w:lang w:val="zh-CN"/>
        </w:rPr>
        <w:t xml:space="preserve"> （二）执行管理情况。</w:t>
      </w:r>
    </w:p>
    <w:p w14:paraId="2215FA32">
      <w:pPr>
        <w:widowControl/>
        <w:adjustRightInd w:val="0"/>
        <w:snapToGrid w:val="0"/>
        <w:spacing w:line="600" w:lineRule="exact"/>
        <w:ind w:firstLine="720"/>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我单位全面完成了区委、区政府下达的各项目工作标任务，促进了各项社会事业发展，工作成绩显著。取得了具有良好的社会效益和经济效益。</w:t>
      </w:r>
    </w:p>
    <w:p w14:paraId="303DB23E">
      <w:pPr>
        <w:widowControl/>
        <w:adjustRightInd w:val="0"/>
        <w:snapToGrid w:val="0"/>
        <w:spacing w:line="600" w:lineRule="exact"/>
        <w:ind w:firstLine="720"/>
        <w:jc w:val="left"/>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（三）综合管理情况。</w:t>
      </w:r>
    </w:p>
    <w:p w14:paraId="189F82D3">
      <w:pPr>
        <w:widowControl/>
        <w:adjustRightInd w:val="0"/>
        <w:snapToGrid w:val="0"/>
        <w:spacing w:line="600" w:lineRule="exact"/>
        <w:ind w:firstLine="720"/>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严格遵守区财政中心经费来源和分配、管理、使用原则。一是规范账户管理。严禁公款私存、私设小金库和账外账，所有资金在财政大平台反映。二是严格遵守支出审批制度。按照“量力而行、量入为出”的原则，合理安排经费。事先编制工作方案，经领导审核后实施。所有票据由经办人、股室负责人签署意见，送财务室对票据的合法性、支出的真实性进行审核，报领导审批。单项支出金额无论大小，均报主要领导审批。三是严格遵守财务内审和监督制度。我局历来高度重视内部财务管理，建立了内部财务管理制度。内部财务管理制度中包含了经费管理、经费审批、借款管理、现金及支票管理和财务管理等方面。根据中央八项规定对“三公”经费、会议费、公务卡强制接算目录制度等进行了完善，单位领导干部加强对财政预算资金的管理，干部、职工都严格遵守财经纪律，严格按照财务管理制度照章办事，没有发生违反财经纪律、违反财务管理制度的情况。</w:t>
      </w:r>
    </w:p>
    <w:p w14:paraId="1C58EAE0">
      <w:pPr>
        <w:widowControl/>
        <w:adjustRightInd w:val="0"/>
        <w:snapToGrid w:val="0"/>
        <w:spacing w:line="600" w:lineRule="exact"/>
        <w:ind w:firstLine="720"/>
        <w:jc w:val="left"/>
        <w:rPr>
          <w:rFonts w:ascii="楷体" w:hAnsi="楷体" w:eastAsia="楷体" w:cs="楷体"/>
          <w:sz w:val="32"/>
          <w:szCs w:val="32"/>
          <w:lang w:val="zh-CN"/>
        </w:rPr>
      </w:pPr>
      <w:r>
        <w:rPr>
          <w:rFonts w:hint="eastAsia" w:ascii="楷体" w:hAnsi="楷体" w:eastAsia="楷体" w:cs="楷体"/>
          <w:sz w:val="32"/>
          <w:szCs w:val="32"/>
          <w:lang w:val="zh-CN"/>
        </w:rPr>
        <w:t>（四）整体绩效。</w:t>
      </w:r>
    </w:p>
    <w:p w14:paraId="6D2883D8">
      <w:pPr>
        <w:widowControl/>
        <w:adjustRightInd w:val="0"/>
        <w:snapToGrid w:val="0"/>
        <w:spacing w:line="600" w:lineRule="exact"/>
        <w:ind w:firstLine="720"/>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整个预算资金有效的发挥了资金保障作用，促进了全区</w:t>
      </w:r>
      <w:r>
        <w:rPr>
          <w:rFonts w:hint="eastAsia" w:ascii="仿宋" w:hAnsi="仿宋" w:eastAsia="仿宋" w:cs="仿宋"/>
          <w:color w:val="000000"/>
          <w:kern w:val="0"/>
          <w:sz w:val="32"/>
          <w:szCs w:val="32"/>
          <w:shd w:val="clear" w:color="auto" w:fill="FFFFFF"/>
        </w:rPr>
        <w:t>文化、体育、旅游</w:t>
      </w:r>
      <w:r>
        <w:rPr>
          <w:rFonts w:hint="eastAsia" w:ascii="仿宋" w:hAnsi="仿宋" w:eastAsia="仿宋" w:cs="仿宋"/>
          <w:color w:val="000000"/>
          <w:kern w:val="0"/>
          <w:sz w:val="32"/>
          <w:szCs w:val="32"/>
          <w:shd w:val="clear" w:color="auto" w:fill="FFFFFF"/>
          <w:lang w:val="zh-CN"/>
        </w:rPr>
        <w:t>各项事业的健康发展。</w:t>
      </w:r>
      <w:bookmarkStart w:id="73" w:name="_GoBack"/>
      <w:bookmarkEnd w:id="73"/>
    </w:p>
    <w:p w14:paraId="2ED070A4">
      <w:pPr>
        <w:widowControl/>
        <w:adjustRightInd w:val="0"/>
        <w:snapToGrid w:val="0"/>
        <w:spacing w:line="60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7B5D5298">
      <w:pPr>
        <w:widowControl/>
        <w:adjustRightInd w:val="0"/>
        <w:snapToGrid w:val="0"/>
        <w:spacing w:line="600" w:lineRule="exact"/>
        <w:ind w:firstLine="720"/>
        <w:jc w:val="left"/>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（一）评价结论。</w:t>
      </w:r>
    </w:p>
    <w:p w14:paraId="6BFEE4F4">
      <w:pPr>
        <w:widowControl/>
        <w:adjustRightInd w:val="0"/>
        <w:snapToGrid w:val="0"/>
        <w:spacing w:line="600" w:lineRule="exact"/>
        <w:ind w:firstLine="720"/>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2020</w:t>
      </w:r>
      <w:r>
        <w:rPr>
          <w:rFonts w:hint="eastAsia" w:ascii="仿宋" w:hAnsi="仿宋" w:eastAsia="仿宋" w:cs="仿宋"/>
          <w:color w:val="000000"/>
          <w:kern w:val="0"/>
          <w:sz w:val="32"/>
          <w:szCs w:val="32"/>
          <w:shd w:val="clear" w:color="auto" w:fill="FFFFFF"/>
          <w:lang w:val="zh-CN"/>
        </w:rPr>
        <w:t xml:space="preserve">年，在区委、区政府的坚强领导，我局文化、体育、旅游各项事业健康发展，扶贫攻坚工作持续推进。圆满完成了省市下达的各项目标任务，为经济社会发展创造良好的社会环境做出了应有的贡献。 </w:t>
      </w:r>
    </w:p>
    <w:p w14:paraId="2DC51D2C">
      <w:pPr>
        <w:widowControl/>
        <w:tabs>
          <w:tab w:val="left" w:pos="1370"/>
        </w:tabs>
        <w:adjustRightInd w:val="0"/>
        <w:snapToGrid w:val="0"/>
        <w:spacing w:line="600" w:lineRule="exact"/>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rPr>
        <w:t xml:space="preserve"> </w:t>
      </w:r>
      <w:r>
        <w:rPr>
          <w:rFonts w:hint="eastAsia" w:ascii="楷体" w:hAnsi="楷体" w:eastAsia="楷体" w:cs="楷体"/>
          <w:color w:val="000000"/>
          <w:kern w:val="0"/>
          <w:sz w:val="32"/>
          <w:szCs w:val="32"/>
          <w:shd w:val="clear" w:color="auto" w:fill="FFFFFF"/>
        </w:rPr>
        <w:t xml:space="preserve">   </w:t>
      </w:r>
      <w:r>
        <w:rPr>
          <w:rFonts w:hint="eastAsia" w:ascii="楷体" w:hAnsi="楷体" w:eastAsia="楷体" w:cs="楷体"/>
          <w:color w:val="000000"/>
          <w:kern w:val="0"/>
          <w:sz w:val="32"/>
          <w:szCs w:val="32"/>
          <w:shd w:val="clear" w:color="auto" w:fill="FFFFFF"/>
          <w:lang w:val="zh-CN"/>
        </w:rPr>
        <w:t>（</w:t>
      </w:r>
      <w:r>
        <w:rPr>
          <w:rFonts w:hint="eastAsia" w:ascii="楷体" w:hAnsi="楷体" w:eastAsia="楷体" w:cs="楷体"/>
          <w:color w:val="000000"/>
          <w:kern w:val="0"/>
          <w:sz w:val="32"/>
          <w:szCs w:val="32"/>
          <w:shd w:val="clear" w:color="auto" w:fill="FFFFFF"/>
        </w:rPr>
        <w:t>二）</w:t>
      </w:r>
      <w:r>
        <w:rPr>
          <w:rFonts w:hint="eastAsia" w:ascii="楷体" w:hAnsi="楷体" w:eastAsia="楷体" w:cs="楷体"/>
          <w:color w:val="000000"/>
          <w:kern w:val="0"/>
          <w:sz w:val="32"/>
          <w:szCs w:val="32"/>
          <w:shd w:val="clear" w:color="auto" w:fill="FFFFFF"/>
          <w:lang w:val="zh-CN"/>
        </w:rPr>
        <w:t>改进建议。</w:t>
      </w:r>
    </w:p>
    <w:p w14:paraId="2291F66B">
      <w:pPr>
        <w:widowControl/>
        <w:adjustRightInd w:val="0"/>
        <w:snapToGrid w:val="0"/>
        <w:spacing w:line="600" w:lineRule="exact"/>
        <w:ind w:firstLine="720"/>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继续加大对文化、体育、旅游事业的经费投入，特别是在地方财政投入难度较大的前提下，建议中央和省级财政加大投入，重点在人员经费、活动开展等。</w:t>
      </w:r>
    </w:p>
    <w:p w14:paraId="75E97FD4">
      <w:pPr>
        <w:spacing w:line="580" w:lineRule="exact"/>
        <w:rPr>
          <w:rFonts w:ascii="仿宋_GB2312" w:hAnsi="仿宋_GB2312" w:eastAsia="仿宋_GB2312" w:cs="仿宋_GB2312"/>
          <w:sz w:val="32"/>
          <w:szCs w:val="32"/>
        </w:rPr>
      </w:pPr>
    </w:p>
    <w:p w14:paraId="26EB22B8">
      <w:pPr>
        <w:pStyle w:val="2"/>
        <w:ind w:firstLine="640"/>
        <w:rPr>
          <w:rFonts w:ascii="仿宋_GB2312" w:hAnsi="仿宋_GB2312" w:eastAsia="仿宋_GB2312" w:cs="仿宋_GB2312"/>
          <w:sz w:val="32"/>
          <w:szCs w:val="32"/>
        </w:rPr>
      </w:pPr>
    </w:p>
    <w:p w14:paraId="566BD802">
      <w:pPr>
        <w:pStyle w:val="2"/>
        <w:ind w:firstLine="640"/>
        <w:rPr>
          <w:rFonts w:ascii="仿宋_GB2312" w:hAnsi="仿宋_GB2312" w:eastAsia="仿宋_GB2312" w:cs="仿宋_GB2312"/>
          <w:sz w:val="32"/>
          <w:szCs w:val="32"/>
        </w:rPr>
      </w:pPr>
    </w:p>
    <w:p w14:paraId="181E7F1B">
      <w:pPr>
        <w:pStyle w:val="2"/>
        <w:ind w:firstLine="640"/>
        <w:rPr>
          <w:rFonts w:ascii="仿宋_GB2312" w:hAnsi="仿宋_GB2312" w:eastAsia="仿宋_GB2312" w:cs="仿宋_GB2312"/>
          <w:sz w:val="32"/>
          <w:szCs w:val="32"/>
        </w:rPr>
      </w:pPr>
    </w:p>
    <w:p w14:paraId="3ED61065">
      <w:pPr>
        <w:pStyle w:val="2"/>
        <w:ind w:firstLine="640"/>
        <w:rPr>
          <w:rFonts w:ascii="仿宋_GB2312" w:hAnsi="仿宋_GB2312" w:eastAsia="仿宋_GB2312" w:cs="仿宋_GB2312"/>
          <w:sz w:val="32"/>
          <w:szCs w:val="32"/>
        </w:rPr>
      </w:pPr>
    </w:p>
    <w:p w14:paraId="498EBF70">
      <w:pPr>
        <w:pStyle w:val="2"/>
        <w:ind w:firstLine="640"/>
        <w:rPr>
          <w:rFonts w:ascii="仿宋_GB2312" w:hAnsi="仿宋_GB2312" w:eastAsia="仿宋_GB2312" w:cs="仿宋_GB2312"/>
          <w:sz w:val="32"/>
          <w:szCs w:val="32"/>
        </w:rPr>
      </w:pPr>
    </w:p>
    <w:p w14:paraId="0F657116">
      <w:pPr>
        <w:pStyle w:val="2"/>
        <w:ind w:firstLine="640"/>
        <w:rPr>
          <w:rFonts w:ascii="仿宋_GB2312" w:hAnsi="仿宋_GB2312" w:eastAsia="仿宋_GB2312" w:cs="仿宋_GB2312"/>
          <w:sz w:val="32"/>
          <w:szCs w:val="32"/>
        </w:rPr>
      </w:pPr>
    </w:p>
    <w:p w14:paraId="11BBF0DD">
      <w:pPr>
        <w:pStyle w:val="2"/>
        <w:ind w:firstLine="640"/>
        <w:rPr>
          <w:rFonts w:ascii="仿宋_GB2312" w:hAnsi="仿宋_GB2312" w:eastAsia="仿宋_GB2312" w:cs="仿宋_GB2312"/>
          <w:sz w:val="32"/>
          <w:szCs w:val="32"/>
        </w:rPr>
      </w:pPr>
    </w:p>
    <w:p w14:paraId="4568546C">
      <w:pPr>
        <w:pStyle w:val="2"/>
        <w:ind w:firstLine="640"/>
        <w:rPr>
          <w:rFonts w:ascii="仿宋_GB2312" w:hAnsi="仿宋_GB2312" w:eastAsia="仿宋_GB2312" w:cs="仿宋_GB2312"/>
          <w:sz w:val="32"/>
          <w:szCs w:val="32"/>
        </w:rPr>
      </w:pPr>
    </w:p>
    <w:p w14:paraId="67DFDDC9">
      <w:pPr>
        <w:pStyle w:val="2"/>
        <w:ind w:left="0" w:leftChars="0" w:firstLine="0" w:firstLineChars="0"/>
        <w:rPr>
          <w:rFonts w:ascii="仿宋_GB2312" w:hAnsi="仿宋_GB2312" w:eastAsia="仿宋_GB2312" w:cs="仿宋_GB2312"/>
          <w:sz w:val="32"/>
          <w:szCs w:val="32"/>
        </w:rPr>
      </w:pPr>
    </w:p>
    <w:p w14:paraId="4B1A4C77">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5F1291D0">
      <w:pPr>
        <w:pStyle w:val="2"/>
        <w:ind w:left="0" w:leftChars="0" w:firstLine="0" w:firstLineChars="0"/>
        <w:rPr>
          <w:rFonts w:ascii="黑体" w:hAnsi="黑体" w:eastAsia="黑体" w:cs="黑体"/>
          <w:sz w:val="32"/>
          <w:szCs w:val="32"/>
        </w:rPr>
      </w:pPr>
    </w:p>
    <w:p w14:paraId="7EFA77A4">
      <w:pPr>
        <w:spacing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2020年“三馆一站”免费开放经费</w:t>
      </w:r>
    </w:p>
    <w:p w14:paraId="5C758B5B">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项目支出绩效报告</w:t>
      </w:r>
    </w:p>
    <w:p w14:paraId="2AB57548">
      <w:pPr>
        <w:snapToGrid w:val="0"/>
        <w:spacing w:line="560" w:lineRule="exact"/>
        <w:rPr>
          <w:rFonts w:ascii="仿宋_GB2312" w:hAnsi="仿宋_GB2312" w:cs="仿宋_GB2312"/>
          <w:szCs w:val="32"/>
        </w:rPr>
      </w:pPr>
    </w:p>
    <w:p w14:paraId="6D4A4A3E">
      <w:pPr>
        <w:snapToGrid w:val="0"/>
        <w:spacing w:line="560" w:lineRule="exact"/>
        <w:ind w:firstLine="72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14:paraId="7E8696BC">
      <w:pPr>
        <w:snapToGrid w:val="0"/>
        <w:spacing w:line="560" w:lineRule="exact"/>
        <w:ind w:firstLine="720"/>
        <w:rPr>
          <w:rFonts w:ascii="楷体" w:hAnsi="楷体" w:eastAsia="楷体" w:cs="楷体"/>
          <w:b/>
          <w:bCs/>
          <w:sz w:val="32"/>
          <w:szCs w:val="32"/>
        </w:rPr>
      </w:pPr>
      <w:r>
        <w:rPr>
          <w:rFonts w:hint="eastAsia" w:ascii="楷体" w:hAnsi="楷体" w:eastAsia="楷体" w:cs="楷体"/>
          <w:b/>
          <w:bCs/>
          <w:sz w:val="32"/>
          <w:szCs w:val="32"/>
          <w:lang w:val="zh-CN"/>
        </w:rPr>
        <w:t>（一）项目基本情况</w:t>
      </w:r>
    </w:p>
    <w:p w14:paraId="23776C4F">
      <w:pPr>
        <w:pStyle w:val="7"/>
        <w:ind w:firstLine="960" w:firstLineChars="3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根据《文化部 财政部关于推进全国美术馆  公共图书馆免费开放工作的意见》（文财务发〔2011〕5号）和《财政部关于加强美术馆 文化馆（站）免费开放保障工作的通知》（财教）〔2011〕31号）文件精神，专项用于文化馆、图书馆、美术馆免费开放正常运转并为广大群众提供基本的公共文化服务，保障人民群众基本文化权益。</w:t>
      </w:r>
    </w:p>
    <w:p w14:paraId="4E58F916">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lang w:val="zh-CN"/>
        </w:rPr>
        <w:t>（二）项目绩效目标情况</w:t>
      </w:r>
    </w:p>
    <w:p w14:paraId="67BB1B35">
      <w:pPr>
        <w:pStyle w:val="7"/>
        <w:ind w:firstLine="964" w:firstLineChars="300"/>
        <w:rPr>
          <w:rFonts w:ascii="仿宋" w:hAnsi="仿宋" w:eastAsia="仿宋" w:cs="仿宋"/>
          <w:sz w:val="32"/>
          <w:szCs w:val="32"/>
        </w:rPr>
      </w:pPr>
      <w:r>
        <w:rPr>
          <w:rFonts w:hint="eastAsia" w:ascii="仿宋" w:hAnsi="仿宋" w:eastAsia="仿宋" w:cs="仿宋"/>
          <w:b/>
          <w:sz w:val="32"/>
          <w:szCs w:val="32"/>
          <w:lang w:val="zh-CN"/>
        </w:rPr>
        <w:t>1.项目主要内容。</w:t>
      </w:r>
      <w:r>
        <w:rPr>
          <w:rFonts w:hint="eastAsia" w:ascii="仿宋" w:hAnsi="仿宋" w:eastAsia="仿宋" w:cs="仿宋"/>
          <w:sz w:val="32"/>
          <w:szCs w:val="32"/>
        </w:rPr>
        <w:t>主要用于举办全民阅读推广、文化艺术类培训、送书下乡、送书惠民、公益性讲座、展览、开展宣传活动，组织公益性群众文化活动等，以及小型修缮及零星业务设备更新等。</w:t>
      </w:r>
    </w:p>
    <w:p w14:paraId="21782A1D">
      <w:pPr>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lang w:val="zh-CN"/>
        </w:rPr>
        <w:t>2.项目绩效目标实现情况。</w:t>
      </w:r>
      <w:r>
        <w:rPr>
          <w:rFonts w:hint="eastAsia" w:ascii="仿宋" w:hAnsi="仿宋" w:eastAsia="仿宋" w:cs="仿宋"/>
          <w:sz w:val="32"/>
          <w:szCs w:val="32"/>
        </w:rPr>
        <w:t>群众参与率达到100%，活动开展率达到预定目标，群众文化生活得到逐步提升。</w:t>
      </w:r>
    </w:p>
    <w:p w14:paraId="6A5C5EE6">
      <w:pPr>
        <w:snapToGrid w:val="0"/>
        <w:spacing w:line="560" w:lineRule="exact"/>
        <w:ind w:firstLine="643" w:firstLineChars="200"/>
        <w:rPr>
          <w:rFonts w:ascii="仿宋" w:hAnsi="仿宋" w:eastAsia="仿宋" w:cs="仿宋"/>
          <w:sz w:val="32"/>
          <w:szCs w:val="32"/>
          <w:lang w:val="zh-CN"/>
        </w:rPr>
      </w:pPr>
      <w:r>
        <w:rPr>
          <w:rFonts w:hint="eastAsia" w:ascii="仿宋" w:hAnsi="仿宋" w:eastAsia="仿宋" w:cs="仿宋"/>
          <w:b/>
          <w:sz w:val="32"/>
          <w:szCs w:val="32"/>
          <w:lang w:val="zh-CN"/>
        </w:rPr>
        <w:t>3.绩效目标编制质量。</w:t>
      </w:r>
      <w:r>
        <w:rPr>
          <w:rFonts w:hint="eastAsia" w:ascii="仿宋" w:hAnsi="仿宋" w:eastAsia="仿宋" w:cs="仿宋"/>
          <w:sz w:val="32"/>
          <w:szCs w:val="32"/>
          <w:lang w:val="zh-CN"/>
        </w:rPr>
        <w:t>在项目申报上，严格控制，申报内容与实际开展的活动相符，申报目标根据全区体育事业实际情况制定，目标合理。</w:t>
      </w:r>
    </w:p>
    <w:p w14:paraId="34A3C67C">
      <w:pPr>
        <w:adjustRightInd w:val="0"/>
        <w:snapToGrid w:val="0"/>
        <w:spacing w:line="560" w:lineRule="exact"/>
        <w:ind w:firstLine="720"/>
        <w:rPr>
          <w:rFonts w:ascii="黑体" w:hAnsi="黑体" w:eastAsia="黑体" w:cs="黑体"/>
          <w:sz w:val="32"/>
          <w:szCs w:val="32"/>
        </w:rPr>
      </w:pPr>
      <w:r>
        <w:rPr>
          <w:rFonts w:hint="eastAsia" w:ascii="黑体" w:hAnsi="黑体" w:eastAsia="黑体" w:cs="黑体"/>
          <w:sz w:val="32"/>
          <w:szCs w:val="32"/>
        </w:rPr>
        <w:t xml:space="preserve">二、项目资金申报及使用情况 </w:t>
      </w:r>
    </w:p>
    <w:p w14:paraId="7C344DC7">
      <w:pPr>
        <w:adjustRightInd w:val="0"/>
        <w:snapToGrid w:val="0"/>
        <w:spacing w:line="56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（一）项目资金申报及批复情况</w:t>
      </w:r>
    </w:p>
    <w:p w14:paraId="1C57391D">
      <w:pPr>
        <w:adjustRightInd w:val="0"/>
        <w:snapToGrid w:val="0"/>
        <w:spacing w:line="560" w:lineRule="exact"/>
        <w:ind w:firstLine="640" w:firstLineChars="200"/>
        <w:rPr>
          <w:rFonts w:ascii="仿宋_GB2312" w:hAnsi="仿宋_GB2312" w:cs="仿宋_GB2312"/>
          <w:szCs w:val="32"/>
          <w:lang w:val="zh-CN"/>
        </w:rPr>
      </w:pPr>
      <w:r>
        <w:rPr>
          <w:rFonts w:hint="eastAsia" w:ascii="仿宋" w:hAnsi="仿宋" w:eastAsia="仿宋" w:cs="仿宋"/>
          <w:sz w:val="32"/>
          <w:szCs w:val="32"/>
          <w:lang w:val="zh-CN"/>
        </w:rPr>
        <w:t>按照区统一要求，资金由区文体广旅局根据部门提供计划进行综合初核，上报财政部门进行审核并批复。</w:t>
      </w:r>
    </w:p>
    <w:p w14:paraId="5E1F28AE">
      <w:pPr>
        <w:adjustRightInd w:val="0"/>
        <w:snapToGrid w:val="0"/>
        <w:spacing w:line="56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（二）资金到位及使用情况</w:t>
      </w:r>
    </w:p>
    <w:p w14:paraId="39E67826">
      <w:pPr>
        <w:adjustRightInd w:val="0"/>
        <w:snapToGrid w:val="0"/>
        <w:spacing w:line="600" w:lineRule="exact"/>
        <w:ind w:firstLine="720"/>
        <w:rPr>
          <w:rFonts w:ascii="仿宋" w:hAnsi="仿宋" w:eastAsia="仿宋" w:cs="仿宋"/>
          <w:b/>
          <w:bCs/>
          <w:sz w:val="32"/>
          <w:szCs w:val="32"/>
          <w:lang w:val="zh-CN"/>
        </w:rPr>
      </w:pPr>
      <w:r>
        <w:rPr>
          <w:rFonts w:hint="eastAsia" w:ascii="仿宋" w:hAnsi="仿宋" w:eastAsia="仿宋" w:cs="仿宋"/>
          <w:b/>
          <w:bCs/>
          <w:sz w:val="32"/>
          <w:szCs w:val="32"/>
        </w:rPr>
        <w:t>1</w:t>
      </w:r>
      <w:r>
        <w:rPr>
          <w:rFonts w:hint="eastAsia" w:ascii="仿宋" w:hAnsi="仿宋" w:eastAsia="仿宋" w:cs="仿宋"/>
          <w:b/>
          <w:bCs/>
          <w:sz w:val="32"/>
          <w:szCs w:val="32"/>
          <w:lang w:val="zh-CN"/>
        </w:rPr>
        <w:t>.资金到位情况。</w:t>
      </w:r>
    </w:p>
    <w:p w14:paraId="7A656A29">
      <w:pPr>
        <w:adjustRightInd w:val="0"/>
        <w:snapToGrid w:val="0"/>
        <w:spacing w:line="600" w:lineRule="exact"/>
        <w:ind w:firstLine="720"/>
        <w:rPr>
          <w:rFonts w:ascii="仿宋" w:hAnsi="仿宋" w:eastAsia="仿宋" w:cs="仿宋"/>
          <w:sz w:val="32"/>
          <w:szCs w:val="32"/>
        </w:rPr>
      </w:pPr>
      <w:r>
        <w:rPr>
          <w:rFonts w:hint="eastAsia" w:ascii="仿宋" w:hAnsi="仿宋" w:eastAsia="仿宋" w:cs="仿宋"/>
          <w:sz w:val="32"/>
          <w:szCs w:val="32"/>
        </w:rPr>
        <w:t>2020年中央和省级免费开放专项资金79.2万元，区财政配套的13.2万元，共计92.4万元。截止2020年底已全部申请，全年的资金到位率100%。</w:t>
      </w:r>
    </w:p>
    <w:p w14:paraId="52655051">
      <w:pPr>
        <w:spacing w:line="480" w:lineRule="exact"/>
        <w:rPr>
          <w:rFonts w:ascii="仿宋" w:hAnsi="仿宋" w:eastAsia="仿宋" w:cs="仿宋"/>
          <w:b/>
          <w:bCs/>
          <w:sz w:val="32"/>
          <w:szCs w:val="32"/>
          <w:lang w:val="zh-CN"/>
        </w:rPr>
      </w:pPr>
      <w:r>
        <w:rPr>
          <w:rFonts w:hint="eastAsia" w:ascii="仿宋" w:hAnsi="仿宋" w:eastAsia="仿宋" w:cs="仿宋"/>
          <w:b/>
          <w:bCs/>
          <w:sz w:val="32"/>
          <w:szCs w:val="32"/>
        </w:rPr>
        <w:t xml:space="preserve">    2.</w:t>
      </w:r>
      <w:r>
        <w:rPr>
          <w:rFonts w:hint="eastAsia" w:ascii="仿宋" w:hAnsi="仿宋" w:eastAsia="仿宋" w:cs="仿宋"/>
          <w:b/>
          <w:bCs/>
          <w:sz w:val="32"/>
          <w:szCs w:val="32"/>
          <w:lang w:val="zh-CN"/>
        </w:rPr>
        <w:t>资金使用情况。</w:t>
      </w:r>
    </w:p>
    <w:p w14:paraId="6F1399F4">
      <w:pPr>
        <w:snapToGrid w:val="0"/>
        <w:spacing w:line="560" w:lineRule="exact"/>
        <w:ind w:firstLine="640" w:firstLineChars="200"/>
        <w:rPr>
          <w:rFonts w:ascii="仿宋" w:hAnsi="仿宋" w:eastAsia="仿宋" w:cs="仿宋"/>
          <w:b/>
          <w:bCs/>
          <w:sz w:val="32"/>
          <w:szCs w:val="32"/>
          <w:lang w:val="zh-CN"/>
        </w:rPr>
      </w:pPr>
      <w:r>
        <w:rPr>
          <w:rFonts w:hint="eastAsia" w:ascii="仿宋" w:hAnsi="仿宋" w:eastAsia="仿宋" w:cs="仿宋"/>
          <w:kern w:val="0"/>
          <w:sz w:val="32"/>
          <w:szCs w:val="32"/>
        </w:rPr>
        <w:t>主要用于公益性文艺培训工作及美术、书法、摄影展等公益性活动，开展全民阅读推广活动等。</w:t>
      </w:r>
    </w:p>
    <w:p w14:paraId="7A114FFF">
      <w:pPr>
        <w:snapToGrid w:val="0"/>
        <w:spacing w:line="560" w:lineRule="exact"/>
        <w:ind w:firstLine="643" w:firstLineChars="200"/>
        <w:rPr>
          <w:rFonts w:ascii="仿宋_GB2312" w:hAnsi="仿宋_GB2312" w:cs="仿宋_GB2312"/>
          <w:sz w:val="32"/>
          <w:szCs w:val="32"/>
        </w:rPr>
      </w:pPr>
      <w:r>
        <w:rPr>
          <w:rFonts w:hint="eastAsia" w:ascii="楷体" w:hAnsi="楷体" w:eastAsia="楷体" w:cs="楷体"/>
          <w:b/>
          <w:bCs/>
          <w:sz w:val="32"/>
          <w:szCs w:val="32"/>
          <w:lang w:val="zh-CN"/>
        </w:rPr>
        <w:t>（三）项目财务管理情况</w:t>
      </w:r>
    </w:p>
    <w:p w14:paraId="482239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14:paraId="3E47C37B">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三、项目实施及管理情况</w:t>
      </w:r>
    </w:p>
    <w:p w14:paraId="26F3156A">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lang w:val="zh-CN"/>
        </w:rPr>
        <w:t>（一）项目组织架构及实施流程</w:t>
      </w:r>
    </w:p>
    <w:p w14:paraId="7F80EE2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“三馆一站”免费开放经费由本部门年初确定经费实施计划，按照经费计划和全年工作安排进行有序实施。</w:t>
      </w:r>
    </w:p>
    <w:p w14:paraId="74B74326">
      <w:pPr>
        <w:adjustRightInd w:val="0"/>
        <w:snapToGrid w:val="0"/>
        <w:spacing w:line="56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（二）项目管理情况</w:t>
      </w:r>
    </w:p>
    <w:p w14:paraId="73B1DEBF">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在项目管理上，遵循适时实施，针对不同的实际情况，及时调整项目。在经费使用上，严格遵守相关法律法规和财经管理制度、单位内部控制制度。</w:t>
      </w:r>
    </w:p>
    <w:p w14:paraId="7220869D">
      <w:pPr>
        <w:adjustRightInd w:val="0"/>
        <w:snapToGrid w:val="0"/>
        <w:spacing w:line="56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（三）项目监管情况</w:t>
      </w:r>
    </w:p>
    <w:p w14:paraId="7CC091A1">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在项目实施过程中，区财政监管部门不定期对区文体广旅局的管理、工作的开展、经费的使用情况进行监督检查，确保了管理有序，工作顺利开展，经费规范使用。</w:t>
      </w:r>
    </w:p>
    <w:p w14:paraId="434B73CD">
      <w:pPr>
        <w:snapToGrid w:val="0"/>
        <w:spacing w:line="560" w:lineRule="exact"/>
        <w:ind w:firstLine="640" w:firstLineChars="200"/>
        <w:rPr>
          <w:rFonts w:ascii="黑体" w:hAnsi="黑体" w:eastAsia="黑体" w:cs="黑体"/>
          <w:szCs w:val="32"/>
        </w:rPr>
      </w:pPr>
      <w:r>
        <w:rPr>
          <w:rFonts w:hint="eastAsia" w:ascii="黑体" w:hAnsi="黑体" w:eastAsia="黑体" w:cs="黑体"/>
          <w:sz w:val="32"/>
          <w:szCs w:val="32"/>
        </w:rPr>
        <w:t>四、目标绩效情况</w:t>
      </w:r>
      <w:r>
        <w:rPr>
          <w:rFonts w:hint="eastAsia" w:ascii="黑体" w:hAnsi="黑体" w:eastAsia="黑体" w:cs="黑体"/>
          <w:szCs w:val="32"/>
          <w:lang w:val="zh-CN"/>
        </w:rPr>
        <w:tab/>
      </w:r>
    </w:p>
    <w:p w14:paraId="6B8C5252">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lang w:val="zh-CN"/>
        </w:rPr>
        <w:t>（一）项目完成情况</w:t>
      </w:r>
    </w:p>
    <w:p w14:paraId="56D9B526">
      <w:pPr>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主要用于公益性文艺培训工作及美术、书法、摄影展等公益性活动，</w:t>
      </w:r>
      <w:r>
        <w:rPr>
          <w:rFonts w:hint="eastAsia" w:ascii="仿宋" w:hAnsi="仿宋" w:eastAsia="仿宋" w:cs="仿宋"/>
          <w:sz w:val="32"/>
          <w:szCs w:val="32"/>
        </w:rPr>
        <w:t>开展全民阅读推广活动28次，送书下乡、送书惠民等。</w:t>
      </w:r>
    </w:p>
    <w:p w14:paraId="6FBE23DD">
      <w:pPr>
        <w:spacing w:line="480" w:lineRule="exact"/>
        <w:rPr>
          <w:rFonts w:ascii="楷体" w:hAnsi="楷体" w:eastAsia="楷体" w:cs="楷体"/>
          <w:b/>
          <w:bCs/>
          <w:sz w:val="32"/>
          <w:szCs w:val="32"/>
          <w:lang w:val="zh-CN"/>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zh-CN"/>
        </w:rPr>
        <w:t>（二）项目效益情况</w:t>
      </w:r>
    </w:p>
    <w:p w14:paraId="56A5588B">
      <w:pPr>
        <w:adjustRightInd w:val="0"/>
        <w:snapToGrid w:val="0"/>
        <w:spacing w:line="600" w:lineRule="exact"/>
        <w:ind w:firstLine="720"/>
        <w:rPr>
          <w:rFonts w:ascii="仿宋" w:hAnsi="仿宋" w:eastAsia="仿宋" w:cs="仿宋"/>
          <w:kern w:val="0"/>
          <w:sz w:val="32"/>
          <w:szCs w:val="32"/>
        </w:rPr>
      </w:pPr>
      <w:r>
        <w:rPr>
          <w:rFonts w:hint="eastAsia" w:ascii="仿宋" w:hAnsi="仿宋" w:eastAsia="仿宋" w:cs="仿宋"/>
          <w:sz w:val="32"/>
          <w:szCs w:val="32"/>
          <w:lang w:val="zh-CN"/>
        </w:rPr>
        <w:t>为广大群众提供基本性公共文化服务，主要用于公益性群众文化活动、文艺演出、展览、基层文化骨干培训等。二是通过活动的开展，满足了人民群众的精神需求，提神了文化素养。</w:t>
      </w:r>
      <w:r>
        <w:rPr>
          <w:rFonts w:hint="eastAsia" w:ascii="仿宋" w:hAnsi="仿宋" w:eastAsia="仿宋" w:cs="仿宋"/>
          <w:sz w:val="32"/>
          <w:szCs w:val="32"/>
        </w:rPr>
        <w:t>通过近年来持续开展的免费开放工作，广大群众参与公共文化服务意识进一步增强。</w:t>
      </w:r>
      <w:r>
        <w:rPr>
          <w:rFonts w:hint="eastAsia" w:ascii="仿宋" w:hAnsi="仿宋" w:eastAsia="仿宋" w:cs="仿宋"/>
          <w:kern w:val="0"/>
          <w:sz w:val="32"/>
          <w:szCs w:val="32"/>
        </w:rPr>
        <w:t>场馆的免费开放、公益性活动的开展，保障了人民群众基本文化权益，丰富了人民群众精神文化生活，免费艺术的培训，提升了青少年、人民群众的艺术修养，对构建和谐社会起到了积极作用。</w:t>
      </w:r>
    </w:p>
    <w:p w14:paraId="796A8C66">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五、问题及建议</w:t>
      </w:r>
    </w:p>
    <w:p w14:paraId="088A94BA">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lang w:val="zh-CN"/>
        </w:rPr>
        <w:t>（一）存在的问题</w:t>
      </w:r>
    </w:p>
    <w:p w14:paraId="7B30B68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1、人员少。</w:t>
      </w:r>
      <w:r>
        <w:rPr>
          <w:rFonts w:hint="eastAsia" w:ascii="仿宋" w:hAnsi="仿宋" w:eastAsia="仿宋" w:cs="仿宋"/>
          <w:sz w:val="32"/>
          <w:szCs w:val="32"/>
        </w:rPr>
        <w:t>图书馆建馆至今编制2个，导致很多工作无法正常开展。</w:t>
      </w:r>
    </w:p>
    <w:p w14:paraId="25EC8C5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2、购书经费不足。</w:t>
      </w:r>
      <w:r>
        <w:rPr>
          <w:rFonts w:hint="eastAsia" w:ascii="仿宋" w:hAnsi="仿宋" w:eastAsia="仿宋" w:cs="仿宋"/>
          <w:sz w:val="32"/>
          <w:szCs w:val="32"/>
        </w:rPr>
        <w:t xml:space="preserve">从图书馆实行免费开放后，每年国家拨付的免费开放经费，仅够图书馆的日常运行（水、电、网费、临聘人员工资等）。现目前，区图书馆总藏量6万册，因无专项购书经费，图书更新、藏量增长缓慢。 </w:t>
      </w:r>
    </w:p>
    <w:p w14:paraId="39D6B99C">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3、场地狭小，对外服务无法很好开展。</w:t>
      </w:r>
    </w:p>
    <w:p w14:paraId="322D2D59">
      <w:pPr>
        <w:snapToGrid w:val="0"/>
        <w:spacing w:line="560" w:lineRule="exact"/>
        <w:ind w:firstLine="420" w:firstLineChars="200"/>
        <w:rPr>
          <w:rFonts w:ascii="仿宋_GB2312" w:hAnsi="仿宋_GB2312" w:cs="仿宋_GB2312"/>
          <w:szCs w:val="32"/>
        </w:rPr>
      </w:pPr>
    </w:p>
    <w:p w14:paraId="57694651">
      <w:pPr>
        <w:pStyle w:val="2"/>
        <w:ind w:left="0" w:leftChars="0" w:firstLine="0" w:firstLineChars="0"/>
        <w:rPr>
          <w:rFonts w:ascii="黑体" w:hAnsi="黑体" w:eastAsia="黑体" w:cs="黑体"/>
          <w:color w:val="000000"/>
          <w:kern w:val="0"/>
          <w:szCs w:val="32"/>
          <w:shd w:val="clear" w:color="auto" w:fill="FFFFFF"/>
        </w:rPr>
      </w:pPr>
    </w:p>
    <w:p w14:paraId="6E4F8AFA">
      <w:pPr>
        <w:pStyle w:val="2"/>
        <w:ind w:left="0" w:leftChars="0" w:firstLine="0" w:firstLineChars="0"/>
        <w:rPr>
          <w:rFonts w:ascii="黑体" w:hAnsi="黑体" w:eastAsia="黑体" w:cs="黑体"/>
          <w:color w:val="000000"/>
          <w:kern w:val="0"/>
          <w:szCs w:val="32"/>
          <w:shd w:val="clear" w:color="auto" w:fill="FFFFFF"/>
        </w:rPr>
      </w:pPr>
    </w:p>
    <w:p w14:paraId="530ED55D">
      <w:pPr>
        <w:pStyle w:val="2"/>
        <w:ind w:left="0" w:leftChars="0" w:firstLine="0" w:firstLineChars="0"/>
        <w:rPr>
          <w:rFonts w:ascii="黑体" w:hAnsi="黑体" w:eastAsia="黑体" w:cs="黑体"/>
          <w:color w:val="000000"/>
          <w:kern w:val="0"/>
          <w:szCs w:val="32"/>
          <w:shd w:val="clear" w:color="auto" w:fill="FFFFFF"/>
        </w:rPr>
      </w:pPr>
    </w:p>
    <w:p w14:paraId="3A9ED550">
      <w:pPr>
        <w:pStyle w:val="2"/>
        <w:ind w:left="0" w:leftChars="0" w:firstLine="0" w:firstLineChars="0"/>
        <w:rPr>
          <w:rFonts w:ascii="黑体" w:hAnsi="黑体" w:eastAsia="黑体" w:cs="黑体"/>
          <w:color w:val="000000"/>
          <w:kern w:val="0"/>
          <w:szCs w:val="32"/>
          <w:shd w:val="clear" w:color="auto" w:fill="FFFFFF"/>
        </w:rPr>
      </w:pPr>
    </w:p>
    <w:p w14:paraId="0924B724">
      <w:pPr>
        <w:pStyle w:val="2"/>
        <w:ind w:left="0" w:leftChars="0" w:firstLine="0" w:firstLineChars="0"/>
        <w:rPr>
          <w:rFonts w:ascii="黑体" w:hAnsi="黑体" w:eastAsia="黑体" w:cs="黑体"/>
          <w:color w:val="000000"/>
          <w:kern w:val="0"/>
          <w:szCs w:val="32"/>
          <w:shd w:val="clear" w:color="auto" w:fill="FFFFFF"/>
        </w:rPr>
      </w:pPr>
    </w:p>
    <w:p w14:paraId="42876F49">
      <w:pPr>
        <w:pStyle w:val="2"/>
        <w:ind w:left="0" w:leftChars="0" w:firstLine="0" w:firstLineChars="0"/>
        <w:rPr>
          <w:rFonts w:ascii="黑体" w:hAnsi="黑体" w:eastAsia="黑体" w:cs="黑体"/>
          <w:color w:val="000000"/>
          <w:kern w:val="0"/>
          <w:szCs w:val="32"/>
          <w:shd w:val="clear" w:color="auto" w:fill="FFFFFF"/>
        </w:rPr>
      </w:pPr>
    </w:p>
    <w:p w14:paraId="29240FC9">
      <w:pPr>
        <w:pStyle w:val="2"/>
        <w:ind w:left="0" w:leftChars="0" w:firstLine="0" w:firstLineChars="0"/>
        <w:rPr>
          <w:rFonts w:ascii="黑体" w:hAnsi="黑体" w:eastAsia="黑体" w:cs="黑体"/>
          <w:color w:val="000000"/>
          <w:kern w:val="0"/>
          <w:szCs w:val="32"/>
          <w:shd w:val="clear" w:color="auto" w:fill="FFFFFF"/>
        </w:rPr>
      </w:pPr>
    </w:p>
    <w:p w14:paraId="50618486">
      <w:pPr>
        <w:spacing w:line="580" w:lineRule="exact"/>
        <w:ind w:firstLine="640" w:firstLineChars="200"/>
        <w:rPr>
          <w:rFonts w:ascii="仿宋_GB2312" w:hAnsi="仿宋_GB2312" w:eastAsia="仿宋_GB2312" w:cs="仿宋_GB2312"/>
          <w:sz w:val="32"/>
          <w:szCs w:val="32"/>
        </w:rPr>
      </w:pPr>
    </w:p>
    <w:p w14:paraId="3B763DF6">
      <w:pPr>
        <w:spacing w:line="580" w:lineRule="exact"/>
        <w:ind w:firstLine="640"/>
        <w:rPr>
          <w:rFonts w:ascii="仿宋_GB2312" w:hAnsi="仿宋_GB2312" w:eastAsia="仿宋_GB2312" w:cs="仿宋_GB2312"/>
          <w:sz w:val="32"/>
          <w:szCs w:val="32"/>
        </w:rPr>
      </w:pPr>
    </w:p>
    <w:p w14:paraId="50626F8F">
      <w:pPr>
        <w:spacing w:line="580" w:lineRule="exact"/>
        <w:ind w:firstLine="640"/>
        <w:rPr>
          <w:rFonts w:ascii="仿宋_GB2312" w:hAnsi="仿宋_GB2312" w:eastAsia="仿宋_GB2312" w:cs="仿宋_GB2312"/>
          <w:sz w:val="32"/>
          <w:szCs w:val="32"/>
        </w:rPr>
      </w:pPr>
    </w:p>
    <w:p w14:paraId="2EC08D66">
      <w:pPr>
        <w:widowControl/>
        <w:jc w:val="left"/>
        <w:rPr>
          <w:rStyle w:val="27"/>
          <w:rFonts w:ascii="黑体" w:hAnsi="黑体" w:eastAsia="黑体"/>
          <w:b w:val="0"/>
        </w:rPr>
      </w:pPr>
    </w:p>
    <w:p w14:paraId="7BD8FB5E">
      <w:pPr>
        <w:widowControl/>
        <w:jc w:val="left"/>
        <w:rPr>
          <w:rStyle w:val="27"/>
          <w:rFonts w:ascii="黑体" w:hAnsi="黑体" w:eastAsia="黑体"/>
          <w:b w:val="0"/>
        </w:rPr>
      </w:pPr>
      <w:r>
        <w:rPr>
          <w:rStyle w:val="27"/>
          <w:rFonts w:ascii="黑体" w:hAnsi="黑体" w:eastAsia="黑体"/>
          <w:b w:val="0"/>
        </w:rPr>
        <w:br w:type="page"/>
      </w:r>
    </w:p>
    <w:p w14:paraId="1DF9FA6C">
      <w:pPr>
        <w:spacing w:line="600" w:lineRule="exact"/>
        <w:jc w:val="center"/>
        <w:outlineLvl w:val="0"/>
        <w:rPr>
          <w:rStyle w:val="27"/>
          <w:rFonts w:ascii="黑体" w:hAnsi="黑体" w:eastAsia="黑体"/>
          <w:b w:val="0"/>
        </w:rPr>
      </w:pPr>
      <w:bookmarkStart w:id="59"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7"/>
      <w:bookmarkEnd w:id="59"/>
    </w:p>
    <w:p w14:paraId="149E40C4">
      <w:pPr>
        <w:pStyle w:val="5"/>
        <w:rPr>
          <w:rFonts w:ascii="仿宋" w:hAnsi="仿宋" w:eastAsia="仿宋"/>
          <w:color w:val="000000"/>
        </w:rPr>
      </w:pPr>
      <w:bookmarkStart w:id="60"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0"/>
    </w:p>
    <w:p w14:paraId="02E7123A">
      <w:pPr>
        <w:pStyle w:val="5"/>
        <w:rPr>
          <w:rFonts w:ascii="仿宋" w:hAnsi="仿宋" w:eastAsia="仿宋"/>
          <w:color w:val="000000"/>
        </w:rPr>
      </w:pPr>
      <w:bookmarkStart w:id="61"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1"/>
    </w:p>
    <w:p w14:paraId="794524F4">
      <w:pPr>
        <w:pStyle w:val="5"/>
        <w:rPr>
          <w:rFonts w:ascii="仿宋" w:hAnsi="仿宋" w:eastAsia="仿宋"/>
          <w:color w:val="000000"/>
        </w:rPr>
      </w:pPr>
      <w:bookmarkStart w:id="62"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2"/>
    </w:p>
    <w:p w14:paraId="113BEAA4">
      <w:pPr>
        <w:pStyle w:val="5"/>
        <w:rPr>
          <w:rFonts w:ascii="仿宋" w:hAnsi="仿宋" w:eastAsia="仿宋"/>
          <w:b w:val="0"/>
          <w:color w:val="000000"/>
        </w:rPr>
      </w:pPr>
      <w:bookmarkStart w:id="63"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3"/>
    </w:p>
    <w:p w14:paraId="0A3355A3">
      <w:pPr>
        <w:pStyle w:val="5"/>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4"/>
      <w:bookmarkStart w:id="65" w:name="_Toc15396624"/>
    </w:p>
    <w:p w14:paraId="01EF14D3">
      <w:pPr>
        <w:pStyle w:val="5"/>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5"/>
    </w:p>
    <w:p w14:paraId="1145D54A">
      <w:pPr>
        <w:pStyle w:val="5"/>
        <w:rPr>
          <w:rFonts w:ascii="仿宋" w:hAnsi="仿宋" w:eastAsia="仿宋"/>
          <w:color w:val="000000"/>
        </w:rPr>
      </w:pPr>
      <w:bookmarkStart w:id="66"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6"/>
    </w:p>
    <w:p w14:paraId="4BD4839C">
      <w:pPr>
        <w:pStyle w:val="5"/>
        <w:rPr>
          <w:rFonts w:ascii="仿宋" w:hAnsi="仿宋" w:eastAsia="仿宋"/>
          <w:color w:val="000000"/>
        </w:rPr>
      </w:pPr>
      <w:bookmarkStart w:id="67"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7"/>
    </w:p>
    <w:p w14:paraId="7AD560FB">
      <w:pPr>
        <w:pStyle w:val="5"/>
        <w:rPr>
          <w:rFonts w:ascii="仿宋" w:hAnsi="仿宋" w:eastAsia="仿宋"/>
          <w:color w:val="000000"/>
        </w:rPr>
      </w:pPr>
      <w:bookmarkStart w:id="68"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8"/>
    </w:p>
    <w:p w14:paraId="24EA5D22">
      <w:pPr>
        <w:pStyle w:val="5"/>
        <w:rPr>
          <w:rFonts w:ascii="仿宋" w:hAnsi="仿宋" w:eastAsia="仿宋"/>
          <w:color w:val="000000"/>
        </w:rPr>
      </w:pPr>
      <w:bookmarkStart w:id="69"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9"/>
    </w:p>
    <w:p w14:paraId="2F683FAC">
      <w:pPr>
        <w:pStyle w:val="5"/>
        <w:rPr>
          <w:rFonts w:ascii="仿宋" w:hAnsi="仿宋" w:eastAsia="仿宋"/>
          <w:color w:val="000000"/>
        </w:rPr>
      </w:pPr>
      <w:bookmarkStart w:id="70"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0"/>
    </w:p>
    <w:p w14:paraId="35E0FD58">
      <w:pPr>
        <w:pStyle w:val="5"/>
        <w:rPr>
          <w:rStyle w:val="28"/>
          <w:rFonts w:ascii="仿宋" w:hAnsi="仿宋" w:eastAsia="仿宋"/>
          <w:b w:val="0"/>
          <w:bCs w:val="0"/>
        </w:rPr>
      </w:pPr>
      <w:bookmarkStart w:id="71"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1"/>
    </w:p>
    <w:p w14:paraId="11E2EF8C">
      <w:pPr>
        <w:rPr>
          <w:rFonts w:ascii="仿宋" w:hAnsi="仿宋" w:eastAsia="仿宋"/>
          <w:sz w:val="32"/>
          <w:szCs w:val="32"/>
        </w:rPr>
      </w:pPr>
      <w:r>
        <w:rPr>
          <w:rFonts w:hint="eastAsia" w:ascii="仿宋" w:hAnsi="仿宋" w:eastAsia="仿宋"/>
          <w:sz w:val="32"/>
          <w:szCs w:val="32"/>
        </w:rPr>
        <w:t>十三、国有资本经营预算财政拨款收入支出决算表</w:t>
      </w:r>
    </w:p>
    <w:p w14:paraId="6E6F2C3C">
      <w:pPr>
        <w:pStyle w:val="5"/>
        <w:rPr>
          <w:rFonts w:ascii="仿宋" w:hAnsi="仿宋" w:eastAsia="仿宋"/>
          <w:color w:val="000000" w:themeColor="text1"/>
          <w14:textFill>
            <w14:solidFill>
              <w14:schemeClr w14:val="tx1"/>
            </w14:solidFill>
          </w14:textFill>
        </w:rPr>
      </w:pPr>
      <w:bookmarkStart w:id="72" w:name="_Toc15396631"/>
      <w:r>
        <w:rPr>
          <w:rStyle w:val="28"/>
          <w:rFonts w:hint="eastAsia" w:ascii="仿宋" w:hAnsi="仿宋" w:eastAsia="仿宋"/>
          <w:b w:val="0"/>
          <w:bCs w:val="0"/>
        </w:rPr>
        <w:t>十四、</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楷体简体">
    <w:altName w:val="楷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AB3FA9E">
        <w:pPr>
          <w:pStyle w:val="11"/>
          <w:jc w:val="center"/>
        </w:pPr>
        <w:r>
          <w:fldChar w:fldCharType="begin"/>
        </w:r>
        <w:r>
          <w:instrText xml:space="preserve">PAGE   \* MERGEFORMAT</w:instrText>
        </w:r>
        <w:r>
          <w:fldChar w:fldCharType="separate"/>
        </w:r>
        <w:r>
          <w:rPr>
            <w:lang w:val="zh-CN"/>
          </w:rPr>
          <w:t>20</w:t>
        </w:r>
        <w:r>
          <w:fldChar w:fldCharType="end"/>
        </w:r>
      </w:p>
    </w:sdtContent>
  </w:sdt>
  <w:p w14:paraId="1D0D638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E24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16FC727"/>
    <w:multiLevelType w:val="singleLevel"/>
    <w:tmpl w:val="616FC727"/>
    <w:lvl w:ilvl="0" w:tentative="0">
      <w:start w:val="1"/>
      <w:numFmt w:val="decimal"/>
      <w:suff w:val="nothing"/>
      <w:lvlText w:val="%1."/>
      <w:lvlJc w:val="left"/>
    </w:lvl>
  </w:abstractNum>
  <w:abstractNum w:abstractNumId="3">
    <w:nsid w:val="616FCC1B"/>
    <w:multiLevelType w:val="singleLevel"/>
    <w:tmpl w:val="616FCC1B"/>
    <w:lvl w:ilvl="0" w:tentative="0">
      <w:start w:val="1"/>
      <w:numFmt w:val="decimal"/>
      <w:suff w:val="nothing"/>
      <w:lvlText w:val="%1."/>
      <w:lvlJc w:val="left"/>
    </w:lvl>
  </w:abstractNum>
  <w:abstractNum w:abstractNumId="4">
    <w:nsid w:val="617658B2"/>
    <w:multiLevelType w:val="singleLevel"/>
    <w:tmpl w:val="617658B2"/>
    <w:lvl w:ilvl="0" w:tentative="0">
      <w:start w:val="1"/>
      <w:numFmt w:val="decimal"/>
      <w:suff w:val="nothing"/>
      <w:lvlText w:val="%1."/>
      <w:lvlJc w:val="left"/>
    </w:lvl>
  </w:abstractNum>
  <w:abstractNum w:abstractNumId="5">
    <w:nsid w:val="61765986"/>
    <w:multiLevelType w:val="singleLevel"/>
    <w:tmpl w:val="61765986"/>
    <w:lvl w:ilvl="0" w:tentative="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2A28"/>
    <w:rsid w:val="00094236"/>
    <w:rsid w:val="0009593C"/>
    <w:rsid w:val="00097322"/>
    <w:rsid w:val="000A4C0E"/>
    <w:rsid w:val="000A6A92"/>
    <w:rsid w:val="000B047F"/>
    <w:rsid w:val="000B5923"/>
    <w:rsid w:val="000B5A48"/>
    <w:rsid w:val="000B6FF3"/>
    <w:rsid w:val="000C3467"/>
    <w:rsid w:val="000C3CA6"/>
    <w:rsid w:val="000D1267"/>
    <w:rsid w:val="000D1D50"/>
    <w:rsid w:val="000D5782"/>
    <w:rsid w:val="000E6613"/>
    <w:rsid w:val="000E7119"/>
    <w:rsid w:val="00114E9B"/>
    <w:rsid w:val="00125E18"/>
    <w:rsid w:val="00142216"/>
    <w:rsid w:val="00144D6A"/>
    <w:rsid w:val="0014729F"/>
    <w:rsid w:val="00152285"/>
    <w:rsid w:val="00157BAB"/>
    <w:rsid w:val="001654D1"/>
    <w:rsid w:val="00174518"/>
    <w:rsid w:val="00174780"/>
    <w:rsid w:val="0018106D"/>
    <w:rsid w:val="001877A7"/>
    <w:rsid w:val="00191536"/>
    <w:rsid w:val="00196687"/>
    <w:rsid w:val="001A7CB3"/>
    <w:rsid w:val="001C0962"/>
    <w:rsid w:val="001D7531"/>
    <w:rsid w:val="001E737D"/>
    <w:rsid w:val="001F0592"/>
    <w:rsid w:val="001F3487"/>
    <w:rsid w:val="001F7506"/>
    <w:rsid w:val="002006CD"/>
    <w:rsid w:val="00202B36"/>
    <w:rsid w:val="00204B7A"/>
    <w:rsid w:val="00204CDE"/>
    <w:rsid w:val="0021101A"/>
    <w:rsid w:val="002111C8"/>
    <w:rsid w:val="00220536"/>
    <w:rsid w:val="00233342"/>
    <w:rsid w:val="00235629"/>
    <w:rsid w:val="00260C38"/>
    <w:rsid w:val="002616C0"/>
    <w:rsid w:val="00265372"/>
    <w:rsid w:val="002662AA"/>
    <w:rsid w:val="00280496"/>
    <w:rsid w:val="0028255A"/>
    <w:rsid w:val="00294DC9"/>
    <w:rsid w:val="00295495"/>
    <w:rsid w:val="002A31DE"/>
    <w:rsid w:val="002B2613"/>
    <w:rsid w:val="002C1B8E"/>
    <w:rsid w:val="002D19B0"/>
    <w:rsid w:val="002D6D05"/>
    <w:rsid w:val="002F1818"/>
    <w:rsid w:val="002F5004"/>
    <w:rsid w:val="002F567B"/>
    <w:rsid w:val="003070DC"/>
    <w:rsid w:val="003216A9"/>
    <w:rsid w:val="00335A74"/>
    <w:rsid w:val="00357BC5"/>
    <w:rsid w:val="00362778"/>
    <w:rsid w:val="0036561B"/>
    <w:rsid w:val="0036626D"/>
    <w:rsid w:val="0037013F"/>
    <w:rsid w:val="00380C92"/>
    <w:rsid w:val="00387152"/>
    <w:rsid w:val="003A484F"/>
    <w:rsid w:val="003A4883"/>
    <w:rsid w:val="003B0BE0"/>
    <w:rsid w:val="003B0C1B"/>
    <w:rsid w:val="003B688C"/>
    <w:rsid w:val="003C0291"/>
    <w:rsid w:val="003C39AE"/>
    <w:rsid w:val="003C7B60"/>
    <w:rsid w:val="003D0C0F"/>
    <w:rsid w:val="003D1FB2"/>
    <w:rsid w:val="003D66DA"/>
    <w:rsid w:val="003E1310"/>
    <w:rsid w:val="003E6F55"/>
    <w:rsid w:val="003E7F98"/>
    <w:rsid w:val="0040195C"/>
    <w:rsid w:val="00406254"/>
    <w:rsid w:val="00416CD4"/>
    <w:rsid w:val="004223DE"/>
    <w:rsid w:val="00432ECF"/>
    <w:rsid w:val="00434489"/>
    <w:rsid w:val="00437085"/>
    <w:rsid w:val="00443880"/>
    <w:rsid w:val="004464F4"/>
    <w:rsid w:val="004666BE"/>
    <w:rsid w:val="00467EF8"/>
    <w:rsid w:val="00471401"/>
    <w:rsid w:val="00473F31"/>
    <w:rsid w:val="0048263A"/>
    <w:rsid w:val="00487E5D"/>
    <w:rsid w:val="004A00DD"/>
    <w:rsid w:val="004A4922"/>
    <w:rsid w:val="004A711F"/>
    <w:rsid w:val="004B199D"/>
    <w:rsid w:val="004B4690"/>
    <w:rsid w:val="004C0407"/>
    <w:rsid w:val="004E0A2D"/>
    <w:rsid w:val="004E206B"/>
    <w:rsid w:val="004E6DF7"/>
    <w:rsid w:val="004F0FBD"/>
    <w:rsid w:val="004F403E"/>
    <w:rsid w:val="00505A47"/>
    <w:rsid w:val="005121C8"/>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1926"/>
    <w:rsid w:val="00614E44"/>
    <w:rsid w:val="0062270A"/>
    <w:rsid w:val="00622830"/>
    <w:rsid w:val="00623DA0"/>
    <w:rsid w:val="00630AEF"/>
    <w:rsid w:val="006325F8"/>
    <w:rsid w:val="00633463"/>
    <w:rsid w:val="00634C9A"/>
    <w:rsid w:val="006440E4"/>
    <w:rsid w:val="00646970"/>
    <w:rsid w:val="0066343B"/>
    <w:rsid w:val="00664777"/>
    <w:rsid w:val="006713C1"/>
    <w:rsid w:val="006748A4"/>
    <w:rsid w:val="00675CF5"/>
    <w:rsid w:val="00681A31"/>
    <w:rsid w:val="00683E73"/>
    <w:rsid w:val="006A3141"/>
    <w:rsid w:val="006A5E34"/>
    <w:rsid w:val="006B2422"/>
    <w:rsid w:val="006B2B9A"/>
    <w:rsid w:val="006B6180"/>
    <w:rsid w:val="006C1937"/>
    <w:rsid w:val="006D4057"/>
    <w:rsid w:val="006F020C"/>
    <w:rsid w:val="007127B7"/>
    <w:rsid w:val="0071798E"/>
    <w:rsid w:val="00721C3B"/>
    <w:rsid w:val="00727533"/>
    <w:rsid w:val="007416B6"/>
    <w:rsid w:val="007453E5"/>
    <w:rsid w:val="00746EAB"/>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E70B4"/>
    <w:rsid w:val="008F7A3B"/>
    <w:rsid w:val="00900B08"/>
    <w:rsid w:val="00902155"/>
    <w:rsid w:val="00902FA3"/>
    <w:rsid w:val="0091532D"/>
    <w:rsid w:val="00923564"/>
    <w:rsid w:val="0092392E"/>
    <w:rsid w:val="009315F9"/>
    <w:rsid w:val="00933499"/>
    <w:rsid w:val="00935C98"/>
    <w:rsid w:val="00944772"/>
    <w:rsid w:val="00946945"/>
    <w:rsid w:val="00951248"/>
    <w:rsid w:val="0095152F"/>
    <w:rsid w:val="00954C49"/>
    <w:rsid w:val="00955E37"/>
    <w:rsid w:val="009652AE"/>
    <w:rsid w:val="0097099F"/>
    <w:rsid w:val="00971997"/>
    <w:rsid w:val="00971FFC"/>
    <w:rsid w:val="0098660A"/>
    <w:rsid w:val="009931C3"/>
    <w:rsid w:val="00997B9B"/>
    <w:rsid w:val="009B2C43"/>
    <w:rsid w:val="009B4EAE"/>
    <w:rsid w:val="009B7573"/>
    <w:rsid w:val="009C22F4"/>
    <w:rsid w:val="009C2E98"/>
    <w:rsid w:val="009C37FB"/>
    <w:rsid w:val="009D3447"/>
    <w:rsid w:val="009D4711"/>
    <w:rsid w:val="009F1185"/>
    <w:rsid w:val="009F18CD"/>
    <w:rsid w:val="009F2A13"/>
    <w:rsid w:val="009F65C4"/>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3735"/>
    <w:rsid w:val="00A67AB5"/>
    <w:rsid w:val="00A733B2"/>
    <w:rsid w:val="00A741C2"/>
    <w:rsid w:val="00A83300"/>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323C"/>
    <w:rsid w:val="00B14E76"/>
    <w:rsid w:val="00B161B8"/>
    <w:rsid w:val="00B2048C"/>
    <w:rsid w:val="00B310B9"/>
    <w:rsid w:val="00B35F3F"/>
    <w:rsid w:val="00B36CBB"/>
    <w:rsid w:val="00B425E0"/>
    <w:rsid w:val="00B440AA"/>
    <w:rsid w:val="00B44B70"/>
    <w:rsid w:val="00B53C56"/>
    <w:rsid w:val="00B57DAF"/>
    <w:rsid w:val="00B73A36"/>
    <w:rsid w:val="00B77EA6"/>
    <w:rsid w:val="00B81598"/>
    <w:rsid w:val="00B841F1"/>
    <w:rsid w:val="00B90257"/>
    <w:rsid w:val="00B944D6"/>
    <w:rsid w:val="00BB0EBF"/>
    <w:rsid w:val="00BB4DF0"/>
    <w:rsid w:val="00BC289F"/>
    <w:rsid w:val="00BC2D50"/>
    <w:rsid w:val="00BC5361"/>
    <w:rsid w:val="00BC5460"/>
    <w:rsid w:val="00BC6B50"/>
    <w:rsid w:val="00BD0E25"/>
    <w:rsid w:val="00BF5BD6"/>
    <w:rsid w:val="00BF66E5"/>
    <w:rsid w:val="00C03E31"/>
    <w:rsid w:val="00C11EEE"/>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683"/>
    <w:rsid w:val="00D34E7C"/>
    <w:rsid w:val="00D35489"/>
    <w:rsid w:val="00D36AFE"/>
    <w:rsid w:val="00D51276"/>
    <w:rsid w:val="00D7035F"/>
    <w:rsid w:val="00D8513A"/>
    <w:rsid w:val="00DA634F"/>
    <w:rsid w:val="00DA65AC"/>
    <w:rsid w:val="00DB1913"/>
    <w:rsid w:val="00DC410D"/>
    <w:rsid w:val="00DC5A81"/>
    <w:rsid w:val="00DC68CA"/>
    <w:rsid w:val="00DC7CBA"/>
    <w:rsid w:val="00DD5802"/>
    <w:rsid w:val="00DD73B7"/>
    <w:rsid w:val="00DF28BC"/>
    <w:rsid w:val="00DF34B9"/>
    <w:rsid w:val="00E01053"/>
    <w:rsid w:val="00E07ACF"/>
    <w:rsid w:val="00E331A1"/>
    <w:rsid w:val="00E33202"/>
    <w:rsid w:val="00E336A9"/>
    <w:rsid w:val="00E4063C"/>
    <w:rsid w:val="00E472B1"/>
    <w:rsid w:val="00E50624"/>
    <w:rsid w:val="00E568DF"/>
    <w:rsid w:val="00E64269"/>
    <w:rsid w:val="00E66797"/>
    <w:rsid w:val="00E82267"/>
    <w:rsid w:val="00E853CE"/>
    <w:rsid w:val="00E867B6"/>
    <w:rsid w:val="00E87F08"/>
    <w:rsid w:val="00E96E64"/>
    <w:rsid w:val="00EA010F"/>
    <w:rsid w:val="00EA44BF"/>
    <w:rsid w:val="00ED1B63"/>
    <w:rsid w:val="00ED3C1F"/>
    <w:rsid w:val="00ED4085"/>
    <w:rsid w:val="00ED420E"/>
    <w:rsid w:val="00ED6FBE"/>
    <w:rsid w:val="00EE2F57"/>
    <w:rsid w:val="00EF4795"/>
    <w:rsid w:val="00EF4C34"/>
    <w:rsid w:val="00EF77C6"/>
    <w:rsid w:val="00F05438"/>
    <w:rsid w:val="00F1361C"/>
    <w:rsid w:val="00F156F0"/>
    <w:rsid w:val="00F160C7"/>
    <w:rsid w:val="00F21414"/>
    <w:rsid w:val="00F2408F"/>
    <w:rsid w:val="00F240E9"/>
    <w:rsid w:val="00F36D8F"/>
    <w:rsid w:val="00F417B1"/>
    <w:rsid w:val="00F45853"/>
    <w:rsid w:val="00F602DF"/>
    <w:rsid w:val="00F66EFA"/>
    <w:rsid w:val="00F754A1"/>
    <w:rsid w:val="00F81FD9"/>
    <w:rsid w:val="00F841AA"/>
    <w:rsid w:val="00F84A94"/>
    <w:rsid w:val="00F87E96"/>
    <w:rsid w:val="00F95274"/>
    <w:rsid w:val="00FA23E8"/>
    <w:rsid w:val="00FD1582"/>
    <w:rsid w:val="00FD3CC1"/>
    <w:rsid w:val="00FF1E02"/>
    <w:rsid w:val="00FF30B4"/>
    <w:rsid w:val="039511A7"/>
    <w:rsid w:val="040A1FEE"/>
    <w:rsid w:val="041A40B4"/>
    <w:rsid w:val="0A311465"/>
    <w:rsid w:val="0BAB2B35"/>
    <w:rsid w:val="0CA26E26"/>
    <w:rsid w:val="0CCC0CDE"/>
    <w:rsid w:val="0DCD36E2"/>
    <w:rsid w:val="0E006550"/>
    <w:rsid w:val="0EE25CD5"/>
    <w:rsid w:val="0F936C8B"/>
    <w:rsid w:val="0FA24193"/>
    <w:rsid w:val="10C055FF"/>
    <w:rsid w:val="11BF186B"/>
    <w:rsid w:val="146A6CEF"/>
    <w:rsid w:val="15333E08"/>
    <w:rsid w:val="16B760AA"/>
    <w:rsid w:val="16BB723D"/>
    <w:rsid w:val="17476FA3"/>
    <w:rsid w:val="17893096"/>
    <w:rsid w:val="188C684D"/>
    <w:rsid w:val="1A301C8A"/>
    <w:rsid w:val="1A7A2E3A"/>
    <w:rsid w:val="1B05061B"/>
    <w:rsid w:val="1B8C6C40"/>
    <w:rsid w:val="1CA25D6C"/>
    <w:rsid w:val="1ED24E44"/>
    <w:rsid w:val="20FB0237"/>
    <w:rsid w:val="217B612F"/>
    <w:rsid w:val="21DA03E9"/>
    <w:rsid w:val="22EA6F71"/>
    <w:rsid w:val="240371BF"/>
    <w:rsid w:val="26B55C26"/>
    <w:rsid w:val="270A2436"/>
    <w:rsid w:val="2799305C"/>
    <w:rsid w:val="2991580E"/>
    <w:rsid w:val="29FD04D3"/>
    <w:rsid w:val="2B317FEC"/>
    <w:rsid w:val="2C65070C"/>
    <w:rsid w:val="2E3270A8"/>
    <w:rsid w:val="2F2570F4"/>
    <w:rsid w:val="319F7F4E"/>
    <w:rsid w:val="31F9477A"/>
    <w:rsid w:val="34413E8E"/>
    <w:rsid w:val="34504255"/>
    <w:rsid w:val="34832029"/>
    <w:rsid w:val="36932E08"/>
    <w:rsid w:val="37C13BDD"/>
    <w:rsid w:val="38677B35"/>
    <w:rsid w:val="39671D42"/>
    <w:rsid w:val="3A092A09"/>
    <w:rsid w:val="3BC235D4"/>
    <w:rsid w:val="3C4C4846"/>
    <w:rsid w:val="3D5854CB"/>
    <w:rsid w:val="3DE25582"/>
    <w:rsid w:val="3F385CFA"/>
    <w:rsid w:val="4033061F"/>
    <w:rsid w:val="4174370B"/>
    <w:rsid w:val="41E05FB3"/>
    <w:rsid w:val="42702C0B"/>
    <w:rsid w:val="432A0025"/>
    <w:rsid w:val="49CF2BF9"/>
    <w:rsid w:val="4A9E7086"/>
    <w:rsid w:val="4AEA3BB5"/>
    <w:rsid w:val="4B2D0335"/>
    <w:rsid w:val="4C4E41DC"/>
    <w:rsid w:val="4C7A6860"/>
    <w:rsid w:val="4DD24026"/>
    <w:rsid w:val="4E4A288E"/>
    <w:rsid w:val="4E5A6F38"/>
    <w:rsid w:val="4EC10203"/>
    <w:rsid w:val="4ECE2238"/>
    <w:rsid w:val="4F181556"/>
    <w:rsid w:val="4F3A7792"/>
    <w:rsid w:val="4FE96D7D"/>
    <w:rsid w:val="503C44F3"/>
    <w:rsid w:val="521A5853"/>
    <w:rsid w:val="539632C1"/>
    <w:rsid w:val="53CD7C7F"/>
    <w:rsid w:val="54260D84"/>
    <w:rsid w:val="54B77CE6"/>
    <w:rsid w:val="55133F59"/>
    <w:rsid w:val="55A27364"/>
    <w:rsid w:val="5971457E"/>
    <w:rsid w:val="597B6E8B"/>
    <w:rsid w:val="5E770CCB"/>
    <w:rsid w:val="60E30BFF"/>
    <w:rsid w:val="625F5933"/>
    <w:rsid w:val="630E5146"/>
    <w:rsid w:val="64A44688"/>
    <w:rsid w:val="68BF21BD"/>
    <w:rsid w:val="68DE6D29"/>
    <w:rsid w:val="6D6C1C2D"/>
    <w:rsid w:val="6FFD48BD"/>
    <w:rsid w:val="70803736"/>
    <w:rsid w:val="70B05D45"/>
    <w:rsid w:val="713B3770"/>
    <w:rsid w:val="72522B67"/>
    <w:rsid w:val="72734D90"/>
    <w:rsid w:val="75B141CC"/>
    <w:rsid w:val="77A45D07"/>
    <w:rsid w:val="79130B59"/>
    <w:rsid w:val="79660325"/>
    <w:rsid w:val="79A24C96"/>
    <w:rsid w:val="7AE70A6C"/>
    <w:rsid w:val="7B5A214D"/>
    <w:rsid w:val="7BA44E76"/>
    <w:rsid w:val="7BFE00B8"/>
    <w:rsid w:val="7C6D1F56"/>
    <w:rsid w:val="7C7C5BE5"/>
    <w:rsid w:val="7ECC436E"/>
    <w:rsid w:val="7F8E0E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7">
    <w:name w:val="Salutation"/>
    <w:basedOn w:val="1"/>
    <w:next w:val="1"/>
    <w:link w:val="33"/>
    <w:qFormat/>
    <w:uiPriority w:val="0"/>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称呼 Char"/>
    <w:basedOn w:val="16"/>
    <w:link w:val="7"/>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21337.69</c:v>
                </c:pt>
                <c:pt idx="1">
                  <c:v>1521.06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21247</c:v>
                </c:pt>
                <c:pt idx="1">
                  <c:v>1010.47</c:v>
                </c:pt>
              </c:numCache>
            </c:numRef>
          </c:val>
        </c:ser>
        <c:dLbls>
          <c:showLegendKey val="0"/>
          <c:showVal val="0"/>
          <c:showCatName val="0"/>
          <c:showSerName val="0"/>
          <c:showPercent val="0"/>
          <c:showBubbleSize val="0"/>
        </c:dLbls>
        <c:gapWidth val="150"/>
        <c:axId val="86672512"/>
        <c:axId val="86674048"/>
      </c:barChart>
      <c:catAx>
        <c:axId val="86672512"/>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86674048"/>
        <c:crosses val="autoZero"/>
        <c:auto val="1"/>
        <c:lblAlgn val="ctr"/>
        <c:lblOffset val="100"/>
        <c:noMultiLvlLbl val="0"/>
      </c:catAx>
      <c:valAx>
        <c:axId val="86674048"/>
        <c:scaling>
          <c:orientation val="minMax"/>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86672512"/>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229bf81-efca-4df0-8542-da5dde5eaa3e}"/>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1417.73</c:v>
                </c:pt>
                <c:pt idx="1">
                  <c:v>103.33</c:v>
                </c:pt>
              </c:numCache>
            </c:numRef>
          </c:val>
        </c:ser>
        <c:dLbls>
          <c:showLegendKey val="0"/>
          <c:showVal val="0"/>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64c08f5-844a-4cc1-b6a6-123065907e25}"/>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429.05</c:v>
                </c:pt>
                <c:pt idx="1">
                  <c:v>581.42</c:v>
                </c:pt>
              </c:numCache>
            </c:numRef>
          </c:val>
        </c:ser>
        <c:dLbls>
          <c:showLegendKey val="0"/>
          <c:showVal val="0"/>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e887fa6-dbcd-406a-b6c3-8a183b4f342f}"/>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21284.56</c:v>
                </c:pt>
                <c:pt idx="1">
                  <c:v>1521.06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21193.87</c:v>
                </c:pt>
                <c:pt idx="1">
                  <c:v>1010.47</c:v>
                </c:pt>
              </c:numCache>
            </c:numRef>
          </c:val>
        </c:ser>
        <c:dLbls>
          <c:showLegendKey val="0"/>
          <c:showVal val="0"/>
          <c:showCatName val="0"/>
          <c:showSerName val="0"/>
          <c:showPercent val="0"/>
          <c:showBubbleSize val="0"/>
        </c:dLbls>
        <c:gapWidth val="150"/>
        <c:axId val="87343104"/>
        <c:axId val="87344640"/>
      </c:barChart>
      <c:catAx>
        <c:axId val="87343104"/>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87344640"/>
        <c:crosses val="autoZero"/>
        <c:auto val="1"/>
        <c:lblAlgn val="ctr"/>
        <c:lblOffset val="100"/>
        <c:noMultiLvlLbl val="0"/>
      </c:catAx>
      <c:valAx>
        <c:axId val="87344640"/>
        <c:scaling>
          <c:orientation val="minMax"/>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87343104"/>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36c9c32-1b8b-46da-87d4-d03fc980a319}"/>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8985275903544"/>
          <c:y val="0.0396872910993364"/>
          <c:w val="0.793984341700877"/>
          <c:h val="0.676616752385721"/>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1046.95</c:v>
                </c:pt>
                <c:pt idx="1">
                  <c:v>890.61</c:v>
                </c:pt>
              </c:numCache>
            </c:numRef>
          </c:val>
        </c:ser>
        <c:ser>
          <c:idx val="1"/>
          <c:order val="1"/>
          <c:tx>
            <c:strRef>
              <c:f>Sheet1!#REF!</c:f>
              <c:strCache>
                <c:ptCount val="1"/>
                <c:pt idx="0">
                  <c:v>#REF!</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pt idx="0">
                  <c:v>#REF!</c:v>
                </c:pt>
              </c:strCache>
            </c:strRef>
          </c:tx>
          <c:spPr>
            <a:solidFill>
              <a:schemeClr val="accent3"/>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axId val="93924736"/>
        <c:axId val="93942912"/>
      </c:barChart>
      <c:catAx>
        <c:axId val="93924736"/>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93942912"/>
        <c:crosses val="autoZero"/>
        <c:auto val="1"/>
        <c:lblAlgn val="ctr"/>
        <c:lblOffset val="100"/>
        <c:noMultiLvlLbl val="0"/>
      </c:catAx>
      <c:valAx>
        <c:axId val="93942912"/>
        <c:scaling>
          <c:orientation val="minMax"/>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93924736"/>
        <c:crosses val="autoZero"/>
        <c:crossBetween val="between"/>
      </c:valAx>
      <c:spPr>
        <a:solidFill>
          <a:schemeClr val="bg1"/>
        </a:solidFill>
        <a:ln>
          <a:noFill/>
        </a:ln>
        <a:effectLst/>
      </c:spPr>
    </c:plotArea>
    <c:legend>
      <c:legendPos val="r"/>
      <c:layout>
        <c:manualLayout>
          <c:xMode val="edge"/>
          <c:yMode val="edge"/>
          <c:x val="0.182861205381695"/>
          <c:y val="0.834867464623222"/>
          <c:w val="0.435099042106916"/>
          <c:h val="0.0519679410046935"/>
        </c:manualLayout>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666b27e-e4f4-4235-87f7-9d6f469bfdba}"/>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1698596730527"/>
          <c:y val="0.0479302832244009"/>
          <c:w val="0.513123359580053"/>
          <c:h val="0.851851851851852"/>
        </c:manualLayout>
      </c:layout>
      <c:pieChart>
        <c:varyColors val="1"/>
        <c:ser>
          <c:idx val="0"/>
          <c:order val="0"/>
          <c:tx>
            <c:strRef>
              <c:f>Sheet1!$B$1</c:f>
              <c:strCache>
                <c:ptCount val="1"/>
                <c:pt idx="0">
                  <c:v>列1</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delete val="1"/>
          </c:dLbls>
          <c:cat>
            <c:strRef>
              <c:f>Sheet1!$A$2:$A$6</c:f>
              <c:strCache>
                <c:ptCount val="5"/>
                <c:pt idx="0">
                  <c:v>文化旅游体育与传媒支出</c:v>
                </c:pt>
                <c:pt idx="1">
                  <c:v>社会保障和就业支出</c:v>
                </c:pt>
                <c:pt idx="2">
                  <c:v>卫生健康支出</c:v>
                </c:pt>
                <c:pt idx="3">
                  <c:v>城乡社区支出</c:v>
                </c:pt>
                <c:pt idx="4">
                  <c:v>住房保障支出</c:v>
                </c:pt>
              </c:strCache>
            </c:strRef>
          </c:cat>
          <c:val>
            <c:numRef>
              <c:f>Sheet1!$B$2:$B$6</c:f>
              <c:numCache>
                <c:formatCode>General</c:formatCode>
                <c:ptCount val="5"/>
                <c:pt idx="0">
                  <c:v>751.1</c:v>
                </c:pt>
                <c:pt idx="1">
                  <c:v>61.09</c:v>
                </c:pt>
                <c:pt idx="2">
                  <c:v>10.69</c:v>
                </c:pt>
                <c:pt idx="3">
                  <c:v>41.05</c:v>
                </c:pt>
                <c:pt idx="4">
                  <c:v>26.68</c:v>
                </c:pt>
              </c:numCache>
            </c:numRef>
          </c:val>
        </c:ser>
        <c:dLbls>
          <c:showLegendKey val="0"/>
          <c:showVal val="0"/>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7b8f3f3-5e2f-4999-a0a4-ac715dd11f94}"/>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effectLst/>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 因公出国（境）费</c:v>
                </c:pt>
                <c:pt idx="1">
                  <c:v>公务用车购置及支行维护费</c:v>
                </c:pt>
                <c:pt idx="2">
                  <c:v>公务接待费</c:v>
                </c:pt>
              </c:strCache>
            </c:strRef>
          </c:cat>
          <c:val>
            <c:numRef>
              <c:f>Sheet1!$B$2:$B$4</c:f>
              <c:numCache>
                <c:formatCode>General</c:formatCode>
                <c:ptCount val="3"/>
                <c:pt idx="0">
                  <c:v>0</c:v>
                </c:pt>
                <c:pt idx="1">
                  <c:v>0</c:v>
                </c:pt>
                <c:pt idx="2">
                  <c:v>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af70e4b-e97d-454d-a178-bb33b947c226}"/>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3BDD-F62D-4C1A-9648-9BAE305635C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46</Pages>
  <Words>6509</Words>
  <Characters>7125</Characters>
  <Lines>26</Lines>
  <Paragraphs>43</Paragraphs>
  <TotalTime>1</TotalTime>
  <ScaleCrop>false</ScaleCrop>
  <LinksUpToDate>false</LinksUpToDate>
  <CharactersWithSpaces>7267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阁主</cp:lastModifiedBy>
  <cp:lastPrinted>2020-07-23T02:58:00Z</cp:lastPrinted>
  <dcterms:modified xsi:type="dcterms:W3CDTF">2025-01-06T06:06:39Z</dcterms:modified>
  <dc:title>四川省***</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eyJoZGlkIjoiMmFiM2I3MzNkMDJhYzQ4NTRhOGNmMjM3ZGM4YzViZGYiLCJ1c2VySWQiOiIyOTI2NjQ0ODUifQ==</vt:lpwstr>
  </property>
  <property fmtid="{D5CDD505-2E9C-101B-9397-08002B2CF9AE}" pid="4" name="ICV">
    <vt:lpwstr>2033A014136940BA9CF93642E7335CDC_12</vt:lpwstr>
  </property>
</Properties>
</file>