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F000">
      <w:pPr>
        <w:ind w:right="-36" w:rightChars="-17"/>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审 批 部</w:t>
      </w:r>
      <w:bookmarkStart w:id="0" w:name="_GoBack"/>
      <w:bookmarkEnd w:id="0"/>
      <w:r>
        <w:rPr>
          <w:rFonts w:hint="eastAsia" w:ascii="方正小标宋简体" w:hAnsi="方正小标宋简体" w:eastAsia="方正小标宋简体" w:cs="方正小标宋简体"/>
          <w:b w:val="0"/>
          <w:bCs w:val="0"/>
          <w:sz w:val="44"/>
        </w:rPr>
        <w:t xml:space="preserve"> 门 招 标 核 准 意 见</w:t>
      </w:r>
    </w:p>
    <w:p w14:paraId="22D0E045">
      <w:pPr>
        <w:spacing w:line="480" w:lineRule="exact"/>
        <w:ind w:left="1680" w:hanging="1470" w:hangingChars="7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建设项目名称</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德阳市罗江区福泉街建设项目</w:t>
      </w:r>
    </w:p>
    <w:tbl>
      <w:tblPr>
        <w:tblStyle w:val="4"/>
        <w:tblW w:w="93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7"/>
        <w:gridCol w:w="1072"/>
        <w:gridCol w:w="1021"/>
        <w:gridCol w:w="1154"/>
        <w:gridCol w:w="1153"/>
        <w:gridCol w:w="1152"/>
        <w:gridCol w:w="1155"/>
        <w:gridCol w:w="1153"/>
      </w:tblGrid>
      <w:tr w14:paraId="2C619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exact"/>
          <w:jc w:val="center"/>
        </w:trPr>
        <w:tc>
          <w:tcPr>
            <w:tcW w:w="1457" w:type="dxa"/>
            <w:vMerge w:val="restart"/>
            <w:noWrap w:val="0"/>
            <w:vAlign w:val="center"/>
          </w:tcPr>
          <w:p w14:paraId="1B1E47EE">
            <w:pPr>
              <w:spacing w:line="340" w:lineRule="exact"/>
              <w:jc w:val="center"/>
              <w:rPr>
                <w:rFonts w:hint="default" w:ascii="Times New Roman" w:hAnsi="Times New Roman" w:eastAsia="仿宋_GB2312" w:cs="Times New Roman"/>
                <w:sz w:val="21"/>
                <w:szCs w:val="21"/>
              </w:rPr>
            </w:pPr>
          </w:p>
        </w:tc>
        <w:tc>
          <w:tcPr>
            <w:tcW w:w="2093" w:type="dxa"/>
            <w:gridSpan w:val="2"/>
            <w:noWrap w:val="0"/>
            <w:vAlign w:val="center"/>
          </w:tcPr>
          <w:p w14:paraId="74E815FA">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招标范围</w:t>
            </w:r>
          </w:p>
        </w:tc>
        <w:tc>
          <w:tcPr>
            <w:tcW w:w="2307" w:type="dxa"/>
            <w:gridSpan w:val="2"/>
            <w:noWrap w:val="0"/>
            <w:vAlign w:val="center"/>
          </w:tcPr>
          <w:p w14:paraId="52B2ACD1">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招标组织形式</w:t>
            </w:r>
          </w:p>
        </w:tc>
        <w:tc>
          <w:tcPr>
            <w:tcW w:w="2307" w:type="dxa"/>
            <w:gridSpan w:val="2"/>
            <w:noWrap w:val="0"/>
            <w:vAlign w:val="center"/>
          </w:tcPr>
          <w:p w14:paraId="06A4212C">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招标方式</w:t>
            </w:r>
          </w:p>
        </w:tc>
        <w:tc>
          <w:tcPr>
            <w:tcW w:w="1153" w:type="dxa"/>
            <w:vMerge w:val="restart"/>
            <w:noWrap w:val="0"/>
            <w:vAlign w:val="center"/>
          </w:tcPr>
          <w:p w14:paraId="576F80DA">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不采用</w:t>
            </w:r>
          </w:p>
          <w:p w14:paraId="191E0611">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招标方式</w:t>
            </w:r>
          </w:p>
        </w:tc>
      </w:tr>
      <w:tr w14:paraId="4F633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0" w:hRule="exact"/>
          <w:jc w:val="center"/>
        </w:trPr>
        <w:tc>
          <w:tcPr>
            <w:tcW w:w="1457" w:type="dxa"/>
            <w:vMerge w:val="continue"/>
            <w:noWrap w:val="0"/>
            <w:vAlign w:val="center"/>
          </w:tcPr>
          <w:p w14:paraId="1878F11A">
            <w:pPr>
              <w:spacing w:line="340" w:lineRule="exact"/>
              <w:jc w:val="center"/>
              <w:rPr>
                <w:rFonts w:hint="default" w:ascii="Times New Roman" w:hAnsi="Times New Roman" w:eastAsia="仿宋_GB2312" w:cs="Times New Roman"/>
                <w:sz w:val="21"/>
                <w:szCs w:val="21"/>
              </w:rPr>
            </w:pPr>
          </w:p>
        </w:tc>
        <w:tc>
          <w:tcPr>
            <w:tcW w:w="1072" w:type="dxa"/>
            <w:noWrap w:val="0"/>
            <w:vAlign w:val="center"/>
          </w:tcPr>
          <w:p w14:paraId="65CF7861">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全部</w:t>
            </w:r>
          </w:p>
          <w:p w14:paraId="208F9598">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021" w:type="dxa"/>
            <w:noWrap w:val="0"/>
            <w:vAlign w:val="center"/>
          </w:tcPr>
          <w:p w14:paraId="3CAD951B">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部分</w:t>
            </w:r>
          </w:p>
          <w:p w14:paraId="77808FDC">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4" w:type="dxa"/>
            <w:noWrap w:val="0"/>
            <w:vAlign w:val="center"/>
          </w:tcPr>
          <w:p w14:paraId="10459225">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自行</w:t>
            </w:r>
          </w:p>
          <w:p w14:paraId="75654ACA">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3" w:type="dxa"/>
            <w:noWrap w:val="0"/>
            <w:vAlign w:val="center"/>
          </w:tcPr>
          <w:p w14:paraId="0D305D1A">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委托</w:t>
            </w:r>
          </w:p>
          <w:p w14:paraId="458BE7B9">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2" w:type="dxa"/>
            <w:noWrap w:val="0"/>
            <w:vAlign w:val="center"/>
          </w:tcPr>
          <w:p w14:paraId="25DA7DE9">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公开</w:t>
            </w:r>
          </w:p>
          <w:p w14:paraId="18514EA3">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5" w:type="dxa"/>
            <w:noWrap w:val="0"/>
            <w:vAlign w:val="center"/>
          </w:tcPr>
          <w:p w14:paraId="151DE023">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邀请</w:t>
            </w:r>
          </w:p>
          <w:p w14:paraId="05EC6147">
            <w:pPr>
              <w:spacing w:line="34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招标</w:t>
            </w:r>
          </w:p>
        </w:tc>
        <w:tc>
          <w:tcPr>
            <w:tcW w:w="1153" w:type="dxa"/>
            <w:vMerge w:val="continue"/>
            <w:noWrap w:val="0"/>
            <w:vAlign w:val="center"/>
          </w:tcPr>
          <w:p w14:paraId="7D1D2CCA">
            <w:pPr>
              <w:spacing w:line="340" w:lineRule="exact"/>
              <w:jc w:val="center"/>
              <w:rPr>
                <w:rFonts w:hint="default" w:ascii="Times New Roman" w:hAnsi="Times New Roman" w:eastAsia="仿宋_GB2312" w:cs="Times New Roman"/>
                <w:sz w:val="21"/>
                <w:szCs w:val="21"/>
              </w:rPr>
            </w:pPr>
          </w:p>
        </w:tc>
      </w:tr>
      <w:tr w14:paraId="6E466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1457" w:type="dxa"/>
            <w:noWrap w:val="0"/>
            <w:vAlign w:val="center"/>
          </w:tcPr>
          <w:p w14:paraId="339C0FA8">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勘察设计</w:t>
            </w:r>
          </w:p>
        </w:tc>
        <w:tc>
          <w:tcPr>
            <w:tcW w:w="1072" w:type="dxa"/>
            <w:noWrap w:val="0"/>
            <w:vAlign w:val="center"/>
          </w:tcPr>
          <w:p w14:paraId="47FA2E37">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021" w:type="dxa"/>
            <w:noWrap w:val="0"/>
            <w:vAlign w:val="center"/>
          </w:tcPr>
          <w:p w14:paraId="3C8F0A02">
            <w:pPr>
              <w:spacing w:line="320" w:lineRule="exact"/>
              <w:jc w:val="center"/>
              <w:rPr>
                <w:rFonts w:hint="default" w:ascii="Times New Roman" w:hAnsi="Times New Roman" w:eastAsia="仿宋_GB2312" w:cs="Times New Roman"/>
                <w:sz w:val="21"/>
                <w:szCs w:val="21"/>
              </w:rPr>
            </w:pPr>
          </w:p>
        </w:tc>
        <w:tc>
          <w:tcPr>
            <w:tcW w:w="1154" w:type="dxa"/>
            <w:noWrap w:val="0"/>
            <w:vAlign w:val="center"/>
          </w:tcPr>
          <w:p w14:paraId="07DCE3BB">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4822038A">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2" w:type="dxa"/>
            <w:noWrap w:val="0"/>
            <w:vAlign w:val="center"/>
          </w:tcPr>
          <w:p w14:paraId="1FDE580A">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5" w:type="dxa"/>
            <w:noWrap w:val="0"/>
            <w:vAlign w:val="center"/>
          </w:tcPr>
          <w:p w14:paraId="2F03009F">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01638C4C">
            <w:pPr>
              <w:spacing w:line="320" w:lineRule="exact"/>
              <w:jc w:val="center"/>
              <w:rPr>
                <w:rFonts w:hint="default" w:ascii="Times New Roman" w:hAnsi="Times New Roman" w:eastAsia="仿宋_GB2312" w:cs="Times New Roman"/>
                <w:sz w:val="21"/>
                <w:szCs w:val="21"/>
              </w:rPr>
            </w:pPr>
          </w:p>
        </w:tc>
      </w:tr>
      <w:tr w14:paraId="7DFFB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1457" w:type="dxa"/>
            <w:noWrap w:val="0"/>
            <w:vAlign w:val="center"/>
          </w:tcPr>
          <w:p w14:paraId="3E61251F">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监理</w:t>
            </w:r>
          </w:p>
        </w:tc>
        <w:tc>
          <w:tcPr>
            <w:tcW w:w="1072" w:type="dxa"/>
            <w:noWrap w:val="0"/>
            <w:vAlign w:val="center"/>
          </w:tcPr>
          <w:p w14:paraId="28A3E1F8">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021" w:type="dxa"/>
            <w:noWrap w:val="0"/>
            <w:vAlign w:val="center"/>
          </w:tcPr>
          <w:p w14:paraId="53A0B4B4">
            <w:pPr>
              <w:spacing w:line="320" w:lineRule="exact"/>
              <w:jc w:val="center"/>
              <w:rPr>
                <w:rFonts w:hint="default" w:ascii="Times New Roman" w:hAnsi="Times New Roman" w:eastAsia="仿宋_GB2312" w:cs="Times New Roman"/>
                <w:sz w:val="21"/>
                <w:szCs w:val="21"/>
              </w:rPr>
            </w:pPr>
          </w:p>
        </w:tc>
        <w:tc>
          <w:tcPr>
            <w:tcW w:w="1154" w:type="dxa"/>
            <w:noWrap w:val="0"/>
            <w:vAlign w:val="center"/>
          </w:tcPr>
          <w:p w14:paraId="02967EFC">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4E265DD0">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2" w:type="dxa"/>
            <w:noWrap w:val="0"/>
            <w:vAlign w:val="center"/>
          </w:tcPr>
          <w:p w14:paraId="2FCB82DE">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5" w:type="dxa"/>
            <w:noWrap w:val="0"/>
            <w:vAlign w:val="center"/>
          </w:tcPr>
          <w:p w14:paraId="5D247642">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4A747539">
            <w:pPr>
              <w:spacing w:line="320" w:lineRule="exact"/>
              <w:jc w:val="center"/>
              <w:rPr>
                <w:rFonts w:hint="default" w:ascii="Times New Roman" w:hAnsi="Times New Roman" w:eastAsia="仿宋_GB2312" w:cs="Times New Roman"/>
                <w:sz w:val="21"/>
                <w:szCs w:val="21"/>
              </w:rPr>
            </w:pPr>
          </w:p>
        </w:tc>
      </w:tr>
      <w:tr w14:paraId="2E938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1457" w:type="dxa"/>
            <w:noWrap w:val="0"/>
            <w:vAlign w:val="center"/>
          </w:tcPr>
          <w:p w14:paraId="738E846E">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施工</w:t>
            </w:r>
          </w:p>
        </w:tc>
        <w:tc>
          <w:tcPr>
            <w:tcW w:w="1072" w:type="dxa"/>
            <w:noWrap w:val="0"/>
            <w:vAlign w:val="center"/>
          </w:tcPr>
          <w:p w14:paraId="5FDCD71C">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021" w:type="dxa"/>
            <w:noWrap w:val="0"/>
            <w:vAlign w:val="center"/>
          </w:tcPr>
          <w:p w14:paraId="637B8665">
            <w:pPr>
              <w:spacing w:line="320" w:lineRule="exact"/>
              <w:jc w:val="center"/>
              <w:rPr>
                <w:rFonts w:hint="default" w:ascii="Times New Roman" w:hAnsi="Times New Roman" w:eastAsia="仿宋_GB2312" w:cs="Times New Roman"/>
                <w:sz w:val="21"/>
                <w:szCs w:val="21"/>
              </w:rPr>
            </w:pPr>
          </w:p>
        </w:tc>
        <w:tc>
          <w:tcPr>
            <w:tcW w:w="1154" w:type="dxa"/>
            <w:noWrap w:val="0"/>
            <w:vAlign w:val="center"/>
          </w:tcPr>
          <w:p w14:paraId="3E32CA76">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0E1B081F">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2" w:type="dxa"/>
            <w:noWrap w:val="0"/>
            <w:vAlign w:val="center"/>
          </w:tcPr>
          <w:p w14:paraId="7A4C4BBA">
            <w:pPr>
              <w:spacing w:line="32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p>
        </w:tc>
        <w:tc>
          <w:tcPr>
            <w:tcW w:w="1155" w:type="dxa"/>
            <w:noWrap w:val="0"/>
            <w:vAlign w:val="center"/>
          </w:tcPr>
          <w:p w14:paraId="6F480653">
            <w:pPr>
              <w:spacing w:line="320" w:lineRule="exact"/>
              <w:jc w:val="center"/>
              <w:rPr>
                <w:rFonts w:hint="default" w:ascii="Times New Roman" w:hAnsi="Times New Roman" w:eastAsia="仿宋_GB2312" w:cs="Times New Roman"/>
                <w:sz w:val="21"/>
                <w:szCs w:val="21"/>
              </w:rPr>
            </w:pPr>
          </w:p>
        </w:tc>
        <w:tc>
          <w:tcPr>
            <w:tcW w:w="1153" w:type="dxa"/>
            <w:noWrap w:val="0"/>
            <w:vAlign w:val="center"/>
          </w:tcPr>
          <w:p w14:paraId="32EC83B8">
            <w:pPr>
              <w:spacing w:line="320" w:lineRule="exact"/>
              <w:jc w:val="center"/>
              <w:rPr>
                <w:rFonts w:hint="default" w:ascii="Times New Roman" w:hAnsi="Times New Roman" w:eastAsia="仿宋_GB2312" w:cs="Times New Roman"/>
                <w:sz w:val="21"/>
                <w:szCs w:val="21"/>
              </w:rPr>
            </w:pPr>
          </w:p>
        </w:tc>
      </w:tr>
      <w:tr w14:paraId="240EE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1" w:hRule="atLeast"/>
          <w:jc w:val="center"/>
        </w:trPr>
        <w:tc>
          <w:tcPr>
            <w:tcW w:w="9317" w:type="dxa"/>
            <w:gridSpan w:val="8"/>
            <w:noWrap w:val="0"/>
            <w:vAlign w:val="center"/>
          </w:tcPr>
          <w:p w14:paraId="2D844AE2">
            <w:pPr>
              <w:adjustRightInd w:val="0"/>
              <w:spacing w:line="32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审批部门核准意见说明</w:t>
            </w:r>
          </w:p>
          <w:p w14:paraId="3E1F6319">
            <w:pPr>
              <w:autoSpaceDE w:val="0"/>
              <w:autoSpaceDN w:val="0"/>
              <w:adjustRightInd w:val="0"/>
              <w:spacing w:line="280" w:lineRule="exact"/>
              <w:ind w:firstLine="640"/>
              <w:rPr>
                <w:rFonts w:hint="default" w:ascii="Times New Roman" w:hAnsi="Times New Roman" w:eastAsia="仿宋_GB2312" w:cs="Times New Roman"/>
                <w:sz w:val="21"/>
                <w:szCs w:val="21"/>
                <w:lang w:val="zh-CN"/>
              </w:rPr>
            </w:pPr>
            <w:r>
              <w:rPr>
                <w:rFonts w:hint="default" w:ascii="Times New Roman" w:hAnsi="Times New Roman" w:eastAsia="仿宋_GB2312" w:cs="Times New Roman"/>
                <w:kern w:val="0"/>
                <w:sz w:val="21"/>
                <w:szCs w:val="21"/>
                <w:lang w:val="zh-CN"/>
              </w:rPr>
              <w:t>一、</w:t>
            </w:r>
            <w:r>
              <w:rPr>
                <w:rFonts w:hint="default" w:ascii="Times New Roman" w:hAnsi="Times New Roman" w:eastAsia="仿宋_GB2312" w:cs="Times New Roman"/>
                <w:sz w:val="21"/>
                <w:szCs w:val="21"/>
                <w:lang w:val="zh-CN"/>
              </w:rPr>
              <w:t>招标人应至少选择四川公共交易信息网、德阳市公共资源交易信息网发布招标公告，也可同时在其他媒介发布，但内容和发布时间应完全一致。</w:t>
            </w:r>
          </w:p>
          <w:p w14:paraId="4BD276B0">
            <w:pPr>
              <w:autoSpaceDE w:val="0"/>
              <w:autoSpaceDN w:val="0"/>
              <w:adjustRightInd w:val="0"/>
              <w:spacing w:line="280" w:lineRule="exact"/>
              <w:ind w:firstLine="645"/>
              <w:jc w:val="left"/>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二、该工程按照行业承包企业资质规定设定满足本项目投标企业的资质级别，不采用投标资格预审。招标文件中必须采用详细的工程量清单作为报价基础，不得违规设置标底。</w:t>
            </w:r>
          </w:p>
          <w:p w14:paraId="6BBBC04C">
            <w:pPr>
              <w:autoSpaceDE w:val="0"/>
              <w:autoSpaceDN w:val="0"/>
              <w:adjustRightInd w:val="0"/>
              <w:spacing w:line="280" w:lineRule="exact"/>
              <w:ind w:firstLine="645"/>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凡该项目所涉及的专业工程，应纳入主体招标范围，载入招标文件，一并竞争发包给总承包企业，应当分包的应允许合法分包。</w:t>
            </w:r>
          </w:p>
          <w:p w14:paraId="31E0A162">
            <w:pPr>
              <w:autoSpaceDE w:val="0"/>
              <w:autoSpaceDN w:val="0"/>
              <w:adjustRightInd w:val="0"/>
              <w:spacing w:line="280" w:lineRule="exact"/>
              <w:ind w:firstLine="645"/>
              <w:jc w:val="left"/>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三、若勘</w:t>
            </w:r>
            <w:r>
              <w:rPr>
                <w:rFonts w:hint="eastAsia" w:ascii="Times New Roman" w:hAnsi="Times New Roman" w:eastAsia="仿宋_GB2312" w:cs="Times New Roman"/>
                <w:sz w:val="21"/>
                <w:szCs w:val="21"/>
                <w:lang w:val="en-US" w:eastAsia="zh-CN"/>
              </w:rPr>
              <w:t>察</w:t>
            </w:r>
            <w:r>
              <w:rPr>
                <w:rFonts w:hint="default" w:ascii="Times New Roman" w:hAnsi="Times New Roman" w:eastAsia="仿宋_GB2312" w:cs="Times New Roman"/>
                <w:sz w:val="21"/>
                <w:szCs w:val="21"/>
                <w:lang w:val="zh-CN"/>
              </w:rPr>
              <w:t>、设计、监理服务费不足</w:t>
            </w:r>
            <w:r>
              <w:rPr>
                <w:rFonts w:hint="default" w:ascii="Times New Roman" w:hAnsi="Times New Roman" w:eastAsia="仿宋_GB2312" w:cs="Times New Roman"/>
                <w:sz w:val="21"/>
                <w:szCs w:val="21"/>
                <w:lang w:val="en-US" w:eastAsia="zh-CN"/>
              </w:rPr>
              <w:t>100万元，应当</w:t>
            </w:r>
            <w:r>
              <w:rPr>
                <w:rFonts w:hint="eastAsia" w:ascii="Times New Roman" w:hAnsi="Times New Roman" w:eastAsia="仿宋_GB2312" w:cs="Times New Roman"/>
                <w:sz w:val="21"/>
                <w:szCs w:val="21"/>
                <w:lang w:val="en-US" w:eastAsia="zh-CN"/>
              </w:rPr>
              <w:t>按照中华人民共和国国家发展和改革委员会令第16号</w:t>
            </w:r>
            <w:r>
              <w:rPr>
                <w:rFonts w:hint="default" w:ascii="Times New Roman" w:hAnsi="Times New Roman" w:eastAsia="仿宋_GB2312" w:cs="Times New Roman"/>
                <w:sz w:val="21"/>
                <w:szCs w:val="21"/>
                <w:lang w:val="en-US" w:eastAsia="zh-CN"/>
              </w:rPr>
              <w:t>执行，否则应采用委托公开招标方式发包</w:t>
            </w:r>
            <w:r>
              <w:rPr>
                <w:rFonts w:hint="default" w:ascii="Times New Roman" w:hAnsi="Times New Roman" w:eastAsia="仿宋_GB2312" w:cs="Times New Roman"/>
                <w:sz w:val="21"/>
                <w:szCs w:val="21"/>
                <w:lang w:val="zh-CN"/>
              </w:rPr>
              <w:t>。</w:t>
            </w:r>
          </w:p>
          <w:p w14:paraId="67050685">
            <w:pPr>
              <w:autoSpaceDE w:val="0"/>
              <w:autoSpaceDN w:val="0"/>
              <w:adjustRightInd w:val="0"/>
              <w:spacing w:line="280" w:lineRule="exact"/>
              <w:ind w:firstLine="645"/>
              <w:jc w:val="left"/>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eastAsia="zh-CN"/>
              </w:rPr>
              <w:t>四</w:t>
            </w:r>
            <w:r>
              <w:rPr>
                <w:rFonts w:hint="default" w:ascii="Times New Roman" w:hAnsi="Times New Roman" w:eastAsia="仿宋_GB2312" w:cs="Times New Roman"/>
                <w:sz w:val="21"/>
                <w:szCs w:val="21"/>
                <w:lang w:val="zh-CN"/>
              </w:rPr>
              <w:t>、评标活动要严格按照国家有关法律、法规和省市有关规定执行，招标文件中没有规定的标准和方法不得作为评标依据。</w:t>
            </w:r>
          </w:p>
          <w:p w14:paraId="215FDA7A">
            <w:pPr>
              <w:autoSpaceDE w:val="0"/>
              <w:autoSpaceDN w:val="0"/>
              <w:adjustRightInd w:val="0"/>
              <w:spacing w:line="280" w:lineRule="exact"/>
              <w:ind w:firstLine="630"/>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评标专家委员会推荐的中标候选人须按规定公示。</w:t>
            </w:r>
          </w:p>
          <w:p w14:paraId="70D9EB0B">
            <w:pPr>
              <w:adjustRightInd w:val="0"/>
              <w:spacing w:line="280" w:lineRule="exact"/>
              <w:jc w:val="left"/>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rPr>
              <w:t xml:space="preserve">    </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z w:val="21"/>
                <w:szCs w:val="21"/>
                <w:lang w:val="zh-CN"/>
              </w:rPr>
              <w:t>五、招标人应严格按照《</w:t>
            </w:r>
            <w:r>
              <w:rPr>
                <w:rFonts w:hint="default" w:ascii="Times New Roman" w:hAnsi="Times New Roman" w:eastAsia="仿宋_GB2312" w:cs="Times New Roman"/>
                <w:sz w:val="21"/>
                <w:szCs w:val="21"/>
                <w:lang w:val="en-US" w:eastAsia="zh-CN"/>
              </w:rPr>
              <w:t>中华人民共和国</w:t>
            </w:r>
            <w:r>
              <w:rPr>
                <w:rFonts w:hint="default" w:ascii="Times New Roman" w:hAnsi="Times New Roman" w:eastAsia="仿宋_GB2312" w:cs="Times New Roman"/>
                <w:sz w:val="21"/>
                <w:szCs w:val="21"/>
                <w:lang w:val="zh-CN"/>
              </w:rPr>
              <w:t>招</w:t>
            </w:r>
            <w:r>
              <w:rPr>
                <w:rFonts w:hint="default" w:ascii="Times New Roman" w:hAnsi="Times New Roman" w:eastAsia="仿宋_GB2312" w:cs="Times New Roman"/>
                <w:sz w:val="21"/>
                <w:szCs w:val="21"/>
                <w:lang w:val="en-US" w:eastAsia="zh-CN"/>
              </w:rPr>
              <w:t>标</w:t>
            </w:r>
            <w:r>
              <w:rPr>
                <w:rFonts w:hint="default" w:ascii="Times New Roman" w:hAnsi="Times New Roman" w:eastAsia="仿宋_GB2312" w:cs="Times New Roman"/>
                <w:sz w:val="21"/>
                <w:szCs w:val="21"/>
                <w:lang w:val="zh-CN"/>
              </w:rPr>
              <w:t>投标法》、《</w:t>
            </w:r>
            <w:r>
              <w:rPr>
                <w:rFonts w:hint="default" w:ascii="Times New Roman" w:hAnsi="Times New Roman" w:eastAsia="仿宋_GB2312" w:cs="Times New Roman"/>
                <w:sz w:val="21"/>
                <w:szCs w:val="21"/>
                <w:lang w:val="en-US" w:eastAsia="zh-CN"/>
              </w:rPr>
              <w:t>中华人民共和国</w:t>
            </w:r>
            <w:r>
              <w:rPr>
                <w:rFonts w:hint="default" w:ascii="Times New Roman" w:hAnsi="Times New Roman" w:eastAsia="仿宋_GB2312" w:cs="Times New Roman"/>
                <w:sz w:val="21"/>
                <w:szCs w:val="21"/>
                <w:lang w:val="zh-CN"/>
              </w:rPr>
              <w:t>招标投标法实施条例》、《四川省国家投资工程建设项目招标投标条例》和本核准要求进行招投标活动。开标、评标、定标等重要过程应邀请有关行政监督部门进行监督。</w:t>
            </w:r>
          </w:p>
          <w:p w14:paraId="027904E6">
            <w:pPr>
              <w:adjustRightInd w:val="0"/>
              <w:spacing w:line="320" w:lineRule="exact"/>
              <w:jc w:val="left"/>
              <w:rPr>
                <w:rFonts w:hint="default" w:ascii="Times New Roman" w:hAnsi="Times New Roman" w:eastAsia="仿宋_GB2312" w:cs="Times New Roman"/>
                <w:color w:val="000000"/>
                <w:sz w:val="21"/>
                <w:szCs w:val="21"/>
              </w:rPr>
            </w:pPr>
          </w:p>
          <w:p w14:paraId="04895273">
            <w:pPr>
              <w:adjustRightInd w:val="0"/>
              <w:spacing w:line="360" w:lineRule="exact"/>
              <w:jc w:val="left"/>
              <w:rPr>
                <w:rFonts w:hint="default" w:ascii="Times New Roman" w:hAnsi="Times New Roman" w:eastAsia="仿宋_GB2312" w:cs="Times New Roman"/>
                <w:color w:val="000000"/>
                <w:sz w:val="21"/>
                <w:szCs w:val="21"/>
              </w:rPr>
            </w:pPr>
          </w:p>
          <w:p w14:paraId="25F3FA26">
            <w:pPr>
              <w:adjustRightInd w:val="0"/>
              <w:spacing w:line="320" w:lineRule="exact"/>
              <w:ind w:firstLine="4200" w:firstLineChars="2000"/>
              <w:jc w:val="left"/>
              <w:rPr>
                <w:rFonts w:hint="default" w:ascii="Times New Roman" w:hAnsi="Times New Roman" w:eastAsia="仿宋_GB2312" w:cs="Times New Roman"/>
                <w:color w:val="000000"/>
                <w:sz w:val="21"/>
                <w:szCs w:val="21"/>
              </w:rPr>
            </w:pPr>
          </w:p>
          <w:p w14:paraId="57AEDEB3">
            <w:pPr>
              <w:adjustRightInd w:val="0"/>
              <w:spacing w:line="320" w:lineRule="exact"/>
              <w:jc w:val="lef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 xml:space="preserve">                                                </w:t>
            </w:r>
            <w:r>
              <w:rPr>
                <w:rFonts w:hint="default" w:ascii="Times New Roman" w:hAnsi="Times New Roman" w:eastAsia="仿宋_GB2312" w:cs="Times New Roman"/>
                <w:color w:val="000000"/>
                <w:sz w:val="21"/>
                <w:szCs w:val="21"/>
                <w:lang w:val="en-US" w:eastAsia="zh-CN"/>
              </w:rPr>
              <w:t xml:space="preserve">           </w:t>
            </w:r>
            <w:r>
              <w:rPr>
                <w:rFonts w:hint="default" w:ascii="Times New Roman" w:hAnsi="Times New Roman" w:eastAsia="仿宋_GB2312" w:cs="Times New Roman"/>
                <w:color w:val="000000"/>
                <w:sz w:val="21"/>
                <w:szCs w:val="21"/>
              </w:rPr>
              <w:t xml:space="preserve"> 20</w:t>
            </w:r>
            <w:r>
              <w:rPr>
                <w:rFonts w:hint="default" w:ascii="Times New Roman" w:hAnsi="Times New Roman" w:eastAsia="仿宋_GB2312" w:cs="Times New Roman"/>
                <w:color w:val="000000"/>
                <w:sz w:val="21"/>
                <w:szCs w:val="21"/>
                <w:lang w:val="en-US" w:eastAsia="zh-CN"/>
              </w:rPr>
              <w:t>24</w:t>
            </w:r>
            <w:r>
              <w:rPr>
                <w:rFonts w:hint="default" w:ascii="Times New Roman" w:hAnsi="Times New Roman" w:eastAsia="仿宋_GB2312" w:cs="Times New Roman"/>
                <w:color w:val="000000"/>
                <w:sz w:val="21"/>
                <w:szCs w:val="21"/>
              </w:rPr>
              <w:t>年</w:t>
            </w:r>
            <w:r>
              <w:rPr>
                <w:rFonts w:hint="eastAsia" w:ascii="Times New Roman" w:hAnsi="Times New Roman" w:eastAsia="仿宋_GB2312" w:cs="Times New Roman"/>
                <w:color w:val="000000"/>
                <w:sz w:val="21"/>
                <w:szCs w:val="21"/>
                <w:lang w:val="en-US" w:eastAsia="zh-CN"/>
              </w:rPr>
              <w:t>11</w:t>
            </w:r>
            <w:r>
              <w:rPr>
                <w:rFonts w:hint="default" w:ascii="Times New Roman" w:hAnsi="Times New Roman" w:eastAsia="仿宋_GB2312" w:cs="Times New Roman"/>
                <w:color w:val="000000"/>
                <w:sz w:val="21"/>
                <w:szCs w:val="21"/>
              </w:rPr>
              <w:t>月</w:t>
            </w:r>
            <w:r>
              <w:rPr>
                <w:rFonts w:hint="eastAsia" w:ascii="Times New Roman" w:hAnsi="Times New Roman" w:eastAsia="仿宋_GB2312" w:cs="Times New Roman"/>
                <w:color w:val="000000"/>
                <w:sz w:val="21"/>
                <w:szCs w:val="21"/>
                <w:lang w:val="en-US" w:eastAsia="zh-CN"/>
              </w:rPr>
              <w:t>26</w:t>
            </w:r>
            <w:r>
              <w:rPr>
                <w:rFonts w:hint="default" w:ascii="Times New Roman" w:hAnsi="Times New Roman" w:eastAsia="仿宋_GB2312" w:cs="Times New Roman"/>
                <w:color w:val="000000"/>
                <w:sz w:val="21"/>
                <w:szCs w:val="21"/>
              </w:rPr>
              <w:t>日</w:t>
            </w:r>
          </w:p>
          <w:p w14:paraId="4582AC7C">
            <w:pPr>
              <w:adjustRightInd w:val="0"/>
              <w:spacing w:line="320" w:lineRule="exact"/>
              <w:jc w:val="left"/>
              <w:rPr>
                <w:rFonts w:hint="default" w:ascii="Times New Roman" w:hAnsi="Times New Roman" w:eastAsia="仿宋_GB2312" w:cs="Times New Roman"/>
                <w:color w:val="000000"/>
                <w:sz w:val="21"/>
                <w:szCs w:val="21"/>
              </w:rPr>
            </w:pPr>
          </w:p>
        </w:tc>
      </w:tr>
    </w:tbl>
    <w:p w14:paraId="78D3C3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GRiOGM1M2M3NjllZGUyMjVmYzZkMmNmZTc0YmMifQ=="/>
  </w:docVars>
  <w:rsids>
    <w:rsidRoot w:val="5A5C0A57"/>
    <w:rsid w:val="01A25E66"/>
    <w:rsid w:val="0BB87697"/>
    <w:rsid w:val="0E366823"/>
    <w:rsid w:val="1BA00453"/>
    <w:rsid w:val="1FE307C4"/>
    <w:rsid w:val="23187D3A"/>
    <w:rsid w:val="2ACA7DDF"/>
    <w:rsid w:val="327234D6"/>
    <w:rsid w:val="3FB156E7"/>
    <w:rsid w:val="40717119"/>
    <w:rsid w:val="41CC7C62"/>
    <w:rsid w:val="45E736E7"/>
    <w:rsid w:val="4810033B"/>
    <w:rsid w:val="4ACB4F13"/>
    <w:rsid w:val="4EED51DE"/>
    <w:rsid w:val="530A1CCB"/>
    <w:rsid w:val="5A5C0A57"/>
    <w:rsid w:val="63E27BD8"/>
    <w:rsid w:val="646508BB"/>
    <w:rsid w:val="68503ABB"/>
    <w:rsid w:val="718320FC"/>
    <w:rsid w:val="73A56A2F"/>
    <w:rsid w:val="78F470C4"/>
    <w:rsid w:val="797610D9"/>
    <w:rsid w:val="7C4E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eastAsia="楷体_GB2312"/>
      <w:sz w:val="30"/>
      <w:szCs w:val="24"/>
    </w:rPr>
  </w:style>
  <w:style w:type="paragraph" w:styleId="3">
    <w:name w:val="Body Text First Indent 2"/>
    <w:basedOn w:val="2"/>
    <w:next w:val="1"/>
    <w:qFormat/>
    <w:uiPriority w:val="99"/>
    <w:pPr>
      <w:ind w:firstLine="420" w:firstLineChars="200"/>
    </w:pPr>
  </w:style>
  <w:style w:type="paragraph" w:customStyle="1" w:styleId="6">
    <w:name w:val="p0"/>
    <w:basedOn w:val="1"/>
    <w:qFormat/>
    <w:uiPriority w:val="99"/>
    <w:pPr>
      <w:widowControl/>
    </w:pPr>
    <w:rPr>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574</Words>
  <Characters>582</Characters>
  <Lines>0</Lines>
  <Paragraphs>0</Paragraphs>
  <TotalTime>0</TotalTime>
  <ScaleCrop>false</ScaleCrop>
  <LinksUpToDate>false</LinksUpToDate>
  <CharactersWithSpaces>657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2024-05-07T06:41:00Z</dcterms:created>
  <dc:creator>Administrator</dc:creator>
  <cp:lastModifiedBy>Administrator</cp:lastModifiedBy>
  <dcterms:modified xsi:type="dcterms:W3CDTF">2024-12-16T08:00:57Z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A4B572D3F46B4B17B6B0C5F3E30ADE9E_11</vt:lpwstr>
  </property>
</Properties>
</file>