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2" w:firstLineChars="100"/>
        <w:jc w:val="center"/>
        <w:rPr>
          <w:rStyle w:val="10"/>
          <w:rFonts w:hint="default" w:ascii="ˎ̥" w:hAnsi="ˎ̥"/>
          <w:b/>
          <w:bCs/>
          <w:color w:val="000000"/>
          <w:sz w:val="41"/>
          <w:szCs w:val="41"/>
          <w:lang w:val="en-US" w:eastAsia="zh-CN"/>
        </w:rPr>
      </w:pPr>
      <w:r>
        <w:rPr>
          <w:rStyle w:val="10"/>
          <w:rFonts w:hint="eastAsia" w:ascii="ˎ̥" w:hAnsi="ˎ̥"/>
          <w:b/>
          <w:bCs/>
          <w:color w:val="000000"/>
          <w:sz w:val="41"/>
          <w:szCs w:val="41"/>
        </w:rPr>
        <w:t>德阳市罗江区</w:t>
      </w:r>
      <w:r>
        <w:rPr>
          <w:rStyle w:val="10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  <w:t>退役军人事务局</w:t>
      </w:r>
      <w:bookmarkStart w:id="0" w:name="_GoBack"/>
      <w:bookmarkEnd w:id="0"/>
    </w:p>
    <w:p>
      <w:pPr>
        <w:ind w:firstLine="412" w:firstLineChars="100"/>
        <w:jc w:val="center"/>
        <w:rPr>
          <w:rStyle w:val="10"/>
          <w:rFonts w:ascii="ˎ̥" w:hAnsi="ˎ̥"/>
          <w:b/>
          <w:bCs/>
          <w:color w:val="000000"/>
          <w:sz w:val="41"/>
          <w:szCs w:val="41"/>
        </w:rPr>
      </w:pPr>
      <w:r>
        <w:rPr>
          <w:rStyle w:val="10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  <w:t>2023</w:t>
      </w:r>
      <w:r>
        <w:rPr>
          <w:rStyle w:val="10"/>
          <w:rFonts w:ascii="ˎ̥" w:hAnsi="ˎ̥"/>
          <w:b/>
          <w:bCs/>
          <w:color w:val="000000"/>
          <w:sz w:val="41"/>
          <w:szCs w:val="41"/>
        </w:rPr>
        <w:t>年部门预算编制说明</w:t>
      </w:r>
    </w:p>
    <w:p>
      <w:pPr>
        <w:pStyle w:val="2"/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  <w:r>
        <w:rPr>
          <w:rFonts w:ascii="宋体" w:hAnsi="宋体" w:eastAsia="宋体"/>
          <w:sz w:val="21"/>
        </w:rPr>
        <w:t>目录</w:t>
      </w:r>
    </w:p>
    <w:p>
      <w:pPr>
        <w:pStyle w:val="15"/>
        <w:tabs>
          <w:tab w:val="right" w:leader="dot" w:pos="8845"/>
        </w:tabs>
        <w:rPr>
          <w:b/>
        </w:rPr>
      </w:pPr>
      <w:r>
        <w:rPr>
          <w:rStyle w:val="10"/>
          <w:rFonts w:hint="eastAsia" w:ascii="ˎ̥" w:hAnsi="ˎ̥"/>
          <w:b/>
          <w:bCs/>
          <w:color w:val="000000"/>
          <w:sz w:val="41"/>
          <w:szCs w:val="41"/>
        </w:rPr>
        <w:fldChar w:fldCharType="begin"/>
      </w:r>
      <w:r>
        <w:rPr>
          <w:rStyle w:val="10"/>
          <w:rFonts w:hint="eastAsia" w:ascii="ˎ̥" w:hAnsi="ˎ̥"/>
          <w:b/>
          <w:bCs/>
          <w:color w:val="000000"/>
          <w:sz w:val="41"/>
          <w:szCs w:val="41"/>
        </w:rPr>
        <w:instrText xml:space="preserve">TOC \o "1-2" \h \u </w:instrText>
      </w:r>
      <w:r>
        <w:rPr>
          <w:rStyle w:val="10"/>
          <w:rFonts w:hint="eastAsia" w:ascii="ˎ̥" w:hAnsi="ˎ̥"/>
          <w:b/>
          <w:bCs/>
          <w:color w:val="000000"/>
          <w:sz w:val="41"/>
          <w:szCs w:val="41"/>
        </w:rPr>
        <w:fldChar w:fldCharType="separate"/>
      </w: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_Toc28770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szCs w:val="32"/>
        </w:rPr>
        <w:t>一、基本职能及主要工作</w:t>
      </w:r>
      <w:r>
        <w:rPr>
          <w:b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_Toc28770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</w:t>
      </w:r>
      <w:r>
        <w:rPr>
          <w:b w:val="0"/>
          <w:bCs/>
        </w:rPr>
        <w:fldChar w:fldCharType="end"/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</w:p>
    <w:p>
      <w:pPr>
        <w:pStyle w:val="16"/>
        <w:tabs>
          <w:tab w:val="right" w:leader="dot" w:pos="8845"/>
        </w:tabs>
        <w:ind w:left="0" w:leftChars="0" w:firstLine="400" w:firstLineChars="200"/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_Toc21884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楷体_GB2312" w:hAnsi="楷体_GB2312" w:eastAsia="楷体_GB2312" w:cs="楷体_GB2312"/>
          <w:bCs/>
          <w:szCs w:val="32"/>
        </w:rPr>
        <w:t>（一）机构设置及主要职责</w:t>
      </w:r>
      <w:r>
        <w:tab/>
      </w:r>
      <w:r>
        <w:fldChar w:fldCharType="begin"/>
      </w:r>
      <w:r>
        <w:instrText xml:space="preserve"> PAGEREF _Toc21884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ˎ̥" w:hAnsi="ˎ̥"/>
          <w:bCs/>
          <w:color w:val="000000"/>
          <w:szCs w:val="41"/>
        </w:rPr>
        <w:fldChar w:fldCharType="end"/>
      </w:r>
    </w:p>
    <w:p>
      <w:pPr>
        <w:pStyle w:val="16"/>
        <w:tabs>
          <w:tab w:val="right" w:leader="dot" w:pos="8845"/>
        </w:tabs>
        <w:ind w:left="0" w:leftChars="0" w:firstLine="400" w:firstLineChars="200"/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_Toc818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楷体_GB2312" w:hAnsi="楷体_GB2312" w:eastAsia="楷体_GB2312" w:cs="楷体_GB2312"/>
          <w:bCs/>
          <w:szCs w:val="32"/>
        </w:rPr>
        <w:t>（二）20</w:t>
      </w:r>
      <w:r>
        <w:rPr>
          <w:rFonts w:hint="eastAsia" w:ascii="楷体_GB2312" w:hAnsi="楷体_GB2312" w:eastAsia="楷体_GB2312" w:cs="楷体_GB2312"/>
          <w:bCs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Cs/>
          <w:szCs w:val="32"/>
        </w:rPr>
        <w:t>年重点工作</w:t>
      </w:r>
      <w:r>
        <w:tab/>
      </w:r>
      <w:r>
        <w:rPr>
          <w:rFonts w:hint="eastAsia"/>
          <w:lang w:val="en-US" w:eastAsia="zh-CN"/>
        </w:rPr>
        <w:t>5</w:t>
      </w:r>
      <w:r>
        <w:rPr>
          <w:rFonts w:hint="eastAsia" w:ascii="ˎ̥" w:hAnsi="ˎ̥"/>
          <w:bCs/>
          <w:color w:val="000000"/>
          <w:szCs w:val="41"/>
        </w:rPr>
        <w:fldChar w:fldCharType="end"/>
      </w:r>
    </w:p>
    <w:p>
      <w:pPr>
        <w:pStyle w:val="15"/>
        <w:tabs>
          <w:tab w:val="right" w:leader="dot" w:pos="8845"/>
        </w:tabs>
        <w:rPr>
          <w:b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_Toc27442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szCs w:val="32"/>
        </w:rPr>
        <w:t>二、部门预算单位构成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9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</w:p>
    <w:p>
      <w:pPr>
        <w:pStyle w:val="15"/>
        <w:tabs>
          <w:tab w:val="right" w:leader="dot" w:pos="8845"/>
        </w:tabs>
        <w:rPr>
          <w:b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_Toc1848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szCs w:val="32"/>
        </w:rPr>
        <w:t>三、收支预算增减变化情况说明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9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</w:p>
    <w:p>
      <w:pPr>
        <w:pStyle w:val="16"/>
        <w:tabs>
          <w:tab w:val="right" w:leader="dot" w:pos="8845"/>
        </w:tabs>
        <w:ind w:left="0" w:leftChars="0" w:firstLine="400" w:firstLineChars="200"/>
        <w:rPr>
          <w:rFonts w:hint="eastAsia" w:eastAsia="宋体"/>
          <w:lang w:val="en-US" w:eastAsia="zh-CN"/>
        </w:rPr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_Toc193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楷体_GB2312" w:hAnsi="楷体_GB2312" w:eastAsia="楷体_GB2312" w:cs="楷体_GB2312"/>
          <w:bCs/>
          <w:szCs w:val="32"/>
        </w:rPr>
        <w:t>（一）收入预算情况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 w:ascii="ˎ̥" w:hAnsi="ˎ̥"/>
          <w:bCs/>
          <w:color w:val="000000"/>
          <w:szCs w:val="41"/>
        </w:rPr>
        <w:fldChar w:fldCharType="end"/>
      </w:r>
      <w:r>
        <w:rPr>
          <w:rFonts w:hint="eastAsia" w:ascii="ˎ̥" w:hAnsi="ˎ̥"/>
          <w:bCs/>
          <w:color w:val="000000"/>
          <w:szCs w:val="41"/>
          <w:lang w:val="en-US" w:eastAsia="zh-CN"/>
        </w:rPr>
        <w:t>0</w:t>
      </w:r>
    </w:p>
    <w:p>
      <w:pPr>
        <w:pStyle w:val="16"/>
        <w:tabs>
          <w:tab w:val="right" w:leader="dot" w:pos="8845"/>
        </w:tabs>
        <w:ind w:left="0" w:leftChars="0" w:firstLine="400" w:firstLineChars="200"/>
        <w:rPr>
          <w:rFonts w:hint="eastAsia" w:eastAsia="宋体"/>
          <w:lang w:val="en-US" w:eastAsia="zh-CN"/>
        </w:rPr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_Toc3651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楷体_GB2312" w:hAnsi="楷体_GB2312" w:eastAsia="楷体_GB2312" w:cs="楷体_GB2312"/>
          <w:bCs/>
          <w:szCs w:val="32"/>
        </w:rPr>
        <w:t>（二）支出预算情况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 w:ascii="ˎ̥" w:hAnsi="ˎ̥"/>
          <w:bCs/>
          <w:color w:val="000000"/>
          <w:szCs w:val="41"/>
        </w:rPr>
        <w:fldChar w:fldCharType="end"/>
      </w:r>
      <w:r>
        <w:rPr>
          <w:rFonts w:hint="eastAsia" w:ascii="ˎ̥" w:hAnsi="ˎ̥"/>
          <w:bCs/>
          <w:color w:val="000000"/>
          <w:szCs w:val="41"/>
          <w:lang w:val="en-US" w:eastAsia="zh-CN"/>
        </w:rPr>
        <w:t>0</w:t>
      </w:r>
    </w:p>
    <w:p>
      <w:pPr>
        <w:pStyle w:val="15"/>
        <w:tabs>
          <w:tab w:val="right" w:leader="dot" w:pos="8845"/>
        </w:tabs>
        <w:rPr>
          <w:rFonts w:hint="eastAsia" w:eastAsia="宋体"/>
          <w:b/>
          <w:lang w:val="en-US" w:eastAsia="zh-CN"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_Toc3738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szCs w:val="32"/>
        </w:rPr>
        <w:t>四、财政拨款收支预算情况说明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1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  <w:r>
        <w:rPr>
          <w:rFonts w:hint="eastAsia" w:ascii="ˎ̥" w:hAnsi="ˎ̥"/>
          <w:b/>
          <w:bCs/>
          <w:color w:val="000000"/>
          <w:szCs w:val="41"/>
          <w:lang w:val="en-US" w:eastAsia="zh-CN"/>
        </w:rPr>
        <w:t>0</w:t>
      </w:r>
    </w:p>
    <w:p>
      <w:pPr>
        <w:pStyle w:val="15"/>
        <w:tabs>
          <w:tab w:val="right" w:leader="dot" w:pos="8845"/>
        </w:tabs>
        <w:rPr>
          <w:rFonts w:hint="eastAsia" w:eastAsia="宋体"/>
          <w:b/>
          <w:lang w:val="en-US" w:eastAsia="zh-CN"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_Toc3440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szCs w:val="32"/>
        </w:rPr>
        <w:t>五、一般公共预算当年拨款情况说明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1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  <w:r>
        <w:rPr>
          <w:rFonts w:hint="eastAsia" w:ascii="ˎ̥" w:hAnsi="ˎ̥"/>
          <w:b/>
          <w:bCs/>
          <w:color w:val="000000"/>
          <w:szCs w:val="41"/>
          <w:lang w:val="en-US" w:eastAsia="zh-CN"/>
        </w:rPr>
        <w:t>0</w:t>
      </w:r>
    </w:p>
    <w:p>
      <w:pPr>
        <w:pStyle w:val="16"/>
        <w:tabs>
          <w:tab w:val="right" w:leader="dot" w:pos="8845"/>
        </w:tabs>
        <w:ind w:left="0" w:leftChars="0" w:firstLine="400" w:firstLineChars="200"/>
        <w:rPr>
          <w:rFonts w:hint="eastAsia" w:eastAsia="宋体"/>
          <w:lang w:val="en-US" w:eastAsia="zh-CN"/>
        </w:rPr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_Toc25098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楷体_GB2312" w:hAnsi="楷体_GB2312" w:eastAsia="楷体_GB2312" w:cs="楷体_GB2312"/>
          <w:bCs/>
          <w:szCs w:val="32"/>
        </w:rPr>
        <w:t>（一）一般公共预算当年拨款规模变化情况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 w:ascii="ˎ̥" w:hAnsi="ˎ̥"/>
          <w:bCs/>
          <w:color w:val="000000"/>
          <w:szCs w:val="41"/>
        </w:rPr>
        <w:fldChar w:fldCharType="end"/>
      </w:r>
      <w:r>
        <w:rPr>
          <w:rFonts w:hint="eastAsia" w:ascii="ˎ̥" w:hAnsi="ˎ̥"/>
          <w:bCs/>
          <w:color w:val="000000"/>
          <w:szCs w:val="41"/>
          <w:lang w:val="en-US" w:eastAsia="zh-CN"/>
        </w:rPr>
        <w:t>0</w:t>
      </w:r>
    </w:p>
    <w:p>
      <w:pPr>
        <w:pStyle w:val="16"/>
        <w:tabs>
          <w:tab w:val="right" w:leader="dot" w:pos="8845"/>
        </w:tabs>
        <w:ind w:left="0" w:leftChars="0" w:firstLine="400" w:firstLineChars="200"/>
        <w:rPr>
          <w:rFonts w:hint="eastAsia" w:eastAsia="宋体"/>
          <w:lang w:val="en-US" w:eastAsia="zh-CN"/>
        </w:rPr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_Toc16092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仿宋_GB2312" w:hAnsi="仿宋_GB2312" w:eastAsia="仿宋_GB2312"/>
          <w:bCs/>
          <w:szCs w:val="32"/>
        </w:rPr>
        <w:t>（二）一般公共预算当年拨款结构情况(按照功能科目类写)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 w:ascii="ˎ̥" w:hAnsi="ˎ̥"/>
          <w:bCs/>
          <w:color w:val="000000"/>
          <w:szCs w:val="41"/>
        </w:rPr>
        <w:fldChar w:fldCharType="end"/>
      </w:r>
      <w:r>
        <w:rPr>
          <w:rFonts w:hint="eastAsia" w:ascii="ˎ̥" w:hAnsi="ˎ̥"/>
          <w:bCs/>
          <w:color w:val="000000"/>
          <w:szCs w:val="41"/>
          <w:lang w:val="en-US" w:eastAsia="zh-CN"/>
        </w:rPr>
        <w:t>1</w:t>
      </w:r>
    </w:p>
    <w:p>
      <w:pPr>
        <w:pStyle w:val="16"/>
        <w:tabs>
          <w:tab w:val="right" w:leader="dot" w:pos="8845"/>
        </w:tabs>
        <w:ind w:left="0" w:leftChars="0" w:firstLine="400" w:firstLineChars="200"/>
        <w:rPr>
          <w:rFonts w:hint="eastAsia" w:eastAsia="宋体"/>
          <w:lang w:val="en-US" w:eastAsia="zh-CN"/>
        </w:rPr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_Toc28341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楷体_GB2312" w:hAnsi="楷体_GB2312" w:eastAsia="楷体_GB2312" w:cs="楷体_GB2312"/>
          <w:bCs/>
          <w:szCs w:val="32"/>
        </w:rPr>
        <w:t>（三）一般公共预算当年拨款具体使用情况（按功能科目类款项写）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 w:ascii="ˎ̥" w:hAnsi="ˎ̥"/>
          <w:bCs/>
          <w:color w:val="000000"/>
          <w:szCs w:val="41"/>
        </w:rPr>
        <w:fldChar w:fldCharType="end"/>
      </w:r>
      <w:r>
        <w:rPr>
          <w:rFonts w:hint="eastAsia" w:ascii="ˎ̥" w:hAnsi="ˎ̥"/>
          <w:bCs/>
          <w:color w:val="000000"/>
          <w:szCs w:val="41"/>
          <w:lang w:val="en-US" w:eastAsia="zh-CN"/>
        </w:rPr>
        <w:t>1</w:t>
      </w:r>
    </w:p>
    <w:p>
      <w:pPr>
        <w:pStyle w:val="15"/>
        <w:tabs>
          <w:tab w:val="right" w:leader="dot" w:pos="8845"/>
        </w:tabs>
        <w:rPr>
          <w:rFonts w:hint="eastAsia" w:eastAsia="宋体"/>
          <w:b/>
          <w:lang w:val="en-US" w:eastAsia="zh-CN"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_Toc18858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szCs w:val="32"/>
        </w:rPr>
        <w:t>六、一般公共预算基本支出情况说明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1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  <w:r>
        <w:rPr>
          <w:rFonts w:hint="eastAsia" w:ascii="ˎ̥" w:hAnsi="ˎ̥"/>
          <w:b/>
          <w:bCs/>
          <w:color w:val="000000"/>
          <w:szCs w:val="41"/>
          <w:lang w:val="en-US" w:eastAsia="zh-CN"/>
        </w:rPr>
        <w:t>4</w:t>
      </w:r>
    </w:p>
    <w:p>
      <w:pPr>
        <w:pStyle w:val="15"/>
        <w:tabs>
          <w:tab w:val="right" w:leader="dot" w:pos="8845"/>
        </w:tabs>
        <w:rPr>
          <w:rFonts w:hint="eastAsia" w:eastAsia="宋体"/>
          <w:b/>
          <w:lang w:val="en-US" w:eastAsia="zh-CN"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_Toc256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szCs w:val="32"/>
        </w:rPr>
        <w:t>七、“三公”经费财政拨款预算安排情况说明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1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  <w:r>
        <w:rPr>
          <w:rFonts w:hint="eastAsia" w:ascii="ˎ̥" w:hAnsi="ˎ̥"/>
          <w:b/>
          <w:bCs/>
          <w:color w:val="000000"/>
          <w:szCs w:val="41"/>
          <w:lang w:val="en-US" w:eastAsia="zh-CN"/>
        </w:rPr>
        <w:t>4</w:t>
      </w:r>
    </w:p>
    <w:p>
      <w:pPr>
        <w:pStyle w:val="15"/>
        <w:tabs>
          <w:tab w:val="right" w:leader="dot" w:pos="8845"/>
        </w:tabs>
        <w:rPr>
          <w:rFonts w:hint="eastAsia" w:eastAsia="宋体"/>
          <w:b/>
          <w:lang w:val="en-US" w:eastAsia="zh-CN"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_Toc11086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bCs w:val="0"/>
          <w:szCs w:val="32"/>
        </w:rPr>
        <w:t>八、政府性基金预算收支情况说明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1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  <w:r>
        <w:rPr>
          <w:rFonts w:hint="eastAsia" w:ascii="ˎ̥" w:hAnsi="ˎ̥"/>
          <w:b/>
          <w:bCs/>
          <w:color w:val="000000"/>
          <w:szCs w:val="41"/>
          <w:lang w:val="en-US" w:eastAsia="zh-CN"/>
        </w:rPr>
        <w:t>4</w:t>
      </w:r>
    </w:p>
    <w:p>
      <w:pPr>
        <w:pStyle w:val="15"/>
        <w:tabs>
          <w:tab w:val="right" w:leader="dot" w:pos="8845"/>
        </w:tabs>
        <w:rPr>
          <w:rFonts w:hint="eastAsia" w:eastAsia="宋体"/>
          <w:b/>
          <w:lang w:val="en-US" w:eastAsia="zh-CN"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_Toc165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szCs w:val="32"/>
        </w:rPr>
        <w:t>九、国有资本经营预算支出情况说明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1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  <w:r>
        <w:rPr>
          <w:rFonts w:hint="eastAsia" w:ascii="ˎ̥" w:hAnsi="ˎ̥"/>
          <w:b/>
          <w:bCs/>
          <w:color w:val="000000"/>
          <w:szCs w:val="41"/>
          <w:lang w:val="en-US" w:eastAsia="zh-CN"/>
        </w:rPr>
        <w:t>4</w:t>
      </w:r>
    </w:p>
    <w:p>
      <w:pPr>
        <w:pStyle w:val="15"/>
        <w:tabs>
          <w:tab w:val="right" w:leader="dot" w:pos="8845"/>
        </w:tabs>
        <w:rPr>
          <w:rFonts w:hint="eastAsia" w:eastAsia="宋体"/>
          <w:b/>
          <w:lang w:val="en-US" w:eastAsia="zh-CN"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_Toc29771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黑体" w:hAnsi="黑体" w:eastAsia="黑体" w:cs="黑体"/>
          <w:b/>
          <w:szCs w:val="32"/>
        </w:rPr>
        <w:t>十、其他重要事项的情况说明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1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  <w:r>
        <w:rPr>
          <w:rFonts w:hint="eastAsia" w:ascii="ˎ̥" w:hAnsi="ˎ̥"/>
          <w:b/>
          <w:bCs/>
          <w:color w:val="000000"/>
          <w:szCs w:val="41"/>
          <w:lang w:val="en-US" w:eastAsia="zh-CN"/>
        </w:rPr>
        <w:t>5</w:t>
      </w:r>
    </w:p>
    <w:p>
      <w:pPr>
        <w:pStyle w:val="16"/>
        <w:tabs>
          <w:tab w:val="right" w:leader="dot" w:pos="8845"/>
        </w:tabs>
        <w:ind w:left="0" w:leftChars="0" w:firstLine="400" w:firstLineChars="200"/>
        <w:rPr>
          <w:rFonts w:hint="eastAsia" w:eastAsia="宋体"/>
          <w:lang w:val="en-US" w:eastAsia="zh-CN"/>
        </w:rPr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_Toc11525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仿宋_GB2312" w:hAnsi="仿宋_GB2312" w:eastAsia="仿宋_GB2312"/>
          <w:szCs w:val="32"/>
        </w:rPr>
        <w:t>（一）机关运行经费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 w:ascii="ˎ̥" w:hAnsi="ˎ̥"/>
          <w:bCs/>
          <w:color w:val="000000"/>
          <w:szCs w:val="41"/>
        </w:rPr>
        <w:fldChar w:fldCharType="end"/>
      </w:r>
      <w:r>
        <w:rPr>
          <w:rFonts w:hint="eastAsia" w:ascii="ˎ̥" w:hAnsi="ˎ̥"/>
          <w:bCs/>
          <w:color w:val="000000"/>
          <w:szCs w:val="41"/>
          <w:lang w:val="en-US" w:eastAsia="zh-CN"/>
        </w:rPr>
        <w:t>5</w:t>
      </w:r>
    </w:p>
    <w:p>
      <w:pPr>
        <w:pStyle w:val="16"/>
        <w:tabs>
          <w:tab w:val="right" w:leader="dot" w:pos="8845"/>
        </w:tabs>
        <w:ind w:left="0" w:leftChars="0" w:firstLine="400" w:firstLineChars="200"/>
        <w:rPr>
          <w:rFonts w:hint="eastAsia" w:eastAsia="宋体"/>
          <w:lang w:val="en-US" w:eastAsia="zh-CN"/>
        </w:rPr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_Toc15299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仿宋_GB2312" w:hAnsi="仿宋_GB2312" w:eastAsia="仿宋_GB2312"/>
          <w:szCs w:val="32"/>
        </w:rPr>
        <w:t>（二）政府采购情况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 w:ascii="ˎ̥" w:hAnsi="ˎ̥"/>
          <w:bCs/>
          <w:color w:val="000000"/>
          <w:szCs w:val="41"/>
        </w:rPr>
        <w:fldChar w:fldCharType="end"/>
      </w:r>
      <w:r>
        <w:rPr>
          <w:rFonts w:hint="eastAsia" w:ascii="ˎ̥" w:hAnsi="ˎ̥"/>
          <w:bCs/>
          <w:color w:val="000000"/>
          <w:szCs w:val="41"/>
          <w:lang w:val="en-US" w:eastAsia="zh-CN"/>
        </w:rPr>
        <w:t>5</w:t>
      </w:r>
    </w:p>
    <w:p>
      <w:pPr>
        <w:pStyle w:val="16"/>
        <w:tabs>
          <w:tab w:val="right" w:leader="dot" w:pos="8845"/>
        </w:tabs>
        <w:ind w:left="0" w:leftChars="0" w:firstLine="400" w:firstLineChars="200"/>
        <w:rPr>
          <w:rFonts w:hint="eastAsia" w:eastAsia="宋体"/>
          <w:lang w:val="en-US" w:eastAsia="zh-CN"/>
        </w:rPr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_Toc18679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仿宋_GB2312" w:hAnsi="仿宋_GB2312" w:eastAsia="仿宋_GB2312"/>
          <w:szCs w:val="32"/>
        </w:rPr>
        <w:t>（三）国有资产占有使用情况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 w:ascii="ˎ̥" w:hAnsi="ˎ̥"/>
          <w:bCs/>
          <w:color w:val="000000"/>
          <w:szCs w:val="41"/>
        </w:rPr>
        <w:fldChar w:fldCharType="end"/>
      </w:r>
      <w:r>
        <w:rPr>
          <w:rFonts w:hint="eastAsia" w:ascii="ˎ̥" w:hAnsi="ˎ̥"/>
          <w:bCs/>
          <w:color w:val="000000"/>
          <w:szCs w:val="41"/>
          <w:lang w:val="en-US" w:eastAsia="zh-CN"/>
        </w:rPr>
        <w:t>5</w:t>
      </w:r>
    </w:p>
    <w:p>
      <w:pPr>
        <w:pStyle w:val="16"/>
        <w:tabs>
          <w:tab w:val="right" w:leader="dot" w:pos="8845"/>
        </w:tabs>
        <w:ind w:left="0" w:leftChars="0" w:firstLine="400" w:firstLineChars="200"/>
        <w:rPr>
          <w:rFonts w:hint="eastAsia" w:eastAsia="宋体"/>
          <w:lang w:val="en-US" w:eastAsia="zh-CN"/>
        </w:rPr>
      </w:pPr>
      <w:r>
        <w:rPr>
          <w:rFonts w:hint="eastAsia" w:ascii="ˎ̥" w:hAnsi="ˎ̥"/>
          <w:bCs/>
          <w:color w:val="000000"/>
          <w:szCs w:val="41"/>
        </w:rPr>
        <w:fldChar w:fldCharType="begin"/>
      </w:r>
      <w:r>
        <w:rPr>
          <w:rFonts w:hint="eastAsia" w:ascii="ˎ̥" w:hAnsi="ˎ̥"/>
          <w:bCs/>
          <w:szCs w:val="41"/>
        </w:rPr>
        <w:instrText xml:space="preserve"> HYPERLINK \l _Toc2176 </w:instrText>
      </w:r>
      <w:r>
        <w:rPr>
          <w:rFonts w:hint="eastAsia" w:ascii="ˎ̥" w:hAnsi="ˎ̥"/>
          <w:bCs/>
          <w:szCs w:val="41"/>
        </w:rPr>
        <w:fldChar w:fldCharType="separate"/>
      </w:r>
      <w:r>
        <w:rPr>
          <w:rFonts w:hint="eastAsia" w:ascii="仿宋_GB2312" w:hAnsi="仿宋_GB2312" w:eastAsia="仿宋_GB2312"/>
          <w:szCs w:val="32"/>
        </w:rPr>
        <w:t>（四）绩效目标设置情况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 w:ascii="ˎ̥" w:hAnsi="ˎ̥"/>
          <w:bCs/>
          <w:color w:val="000000"/>
          <w:szCs w:val="41"/>
        </w:rPr>
        <w:fldChar w:fldCharType="end"/>
      </w:r>
      <w:r>
        <w:rPr>
          <w:rFonts w:hint="eastAsia" w:ascii="ˎ̥" w:hAnsi="ˎ̥"/>
          <w:bCs/>
          <w:color w:val="000000"/>
          <w:szCs w:val="41"/>
          <w:lang w:val="en-US" w:eastAsia="zh-CN"/>
        </w:rPr>
        <w:t>5</w:t>
      </w:r>
    </w:p>
    <w:p>
      <w:pPr>
        <w:pStyle w:val="15"/>
        <w:tabs>
          <w:tab w:val="right" w:leader="dot" w:pos="8845"/>
        </w:tabs>
        <w:rPr>
          <w:rFonts w:hint="eastAsia" w:eastAsia="宋体"/>
          <w:b/>
          <w:lang w:val="en-US" w:eastAsia="zh-CN"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begin"/>
      </w:r>
      <w:r>
        <w:rPr>
          <w:rFonts w:hint="eastAsia" w:ascii="ˎ̥" w:hAnsi="ˎ̥"/>
          <w:b/>
          <w:bCs/>
          <w:szCs w:val="41"/>
        </w:rPr>
        <w:instrText xml:space="preserve"> HYPERLINK \l _Toc6693 </w:instrText>
      </w:r>
      <w:r>
        <w:rPr>
          <w:rFonts w:hint="eastAsia" w:ascii="ˎ̥" w:hAnsi="ˎ̥"/>
          <w:b/>
          <w:bCs/>
          <w:szCs w:val="41"/>
        </w:rPr>
        <w:fldChar w:fldCharType="separate"/>
      </w:r>
      <w:r>
        <w:rPr>
          <w:rFonts w:hint="eastAsia" w:ascii="仿宋_GB2312" w:hAnsi="仿宋_GB2312" w:eastAsia="仿宋_GB2312"/>
          <w:b/>
          <w:szCs w:val="32"/>
        </w:rPr>
        <w:t>十、名词解释</w:t>
      </w:r>
      <w:r>
        <w:rPr>
          <w:b/>
        </w:rPr>
        <w:tab/>
      </w:r>
      <w:r>
        <w:rPr>
          <w:rFonts w:hint="eastAsia"/>
          <w:b/>
          <w:lang w:val="en-US" w:eastAsia="zh-CN"/>
        </w:rPr>
        <w:t>1</w:t>
      </w:r>
      <w:r>
        <w:rPr>
          <w:rFonts w:hint="eastAsia" w:ascii="ˎ̥" w:hAnsi="ˎ̥"/>
          <w:b/>
          <w:bCs/>
          <w:color w:val="000000"/>
          <w:szCs w:val="41"/>
        </w:rPr>
        <w:fldChar w:fldCharType="end"/>
      </w:r>
      <w:r>
        <w:rPr>
          <w:rFonts w:hint="eastAsia" w:ascii="ˎ̥" w:hAnsi="ˎ̥"/>
          <w:b/>
          <w:bCs/>
          <w:color w:val="000000"/>
          <w:szCs w:val="41"/>
          <w:lang w:val="en-US" w:eastAsia="zh-CN"/>
        </w:rPr>
        <w:t>6</w:t>
      </w:r>
    </w:p>
    <w:p>
      <w:pPr>
        <w:pStyle w:val="2"/>
        <w:rPr>
          <w:rFonts w:hint="eastAsia" w:ascii="ˎ̥" w:hAnsi="ˎ̥"/>
          <w:b/>
          <w:bCs/>
          <w:color w:val="000000"/>
          <w:szCs w:val="41"/>
        </w:rPr>
      </w:pPr>
      <w:r>
        <w:rPr>
          <w:rFonts w:hint="eastAsia" w:ascii="ˎ̥" w:hAnsi="ˎ̥"/>
          <w:b/>
          <w:bCs/>
          <w:color w:val="000000"/>
          <w:szCs w:val="41"/>
        </w:rPr>
        <w:fldChar w:fldCharType="end"/>
      </w:r>
    </w:p>
    <w:p>
      <w:pPr>
        <w:pStyle w:val="2"/>
        <w:rPr>
          <w:rFonts w:hint="eastAsia" w:ascii="ˎ̥" w:hAnsi="ˎ̥"/>
          <w:b/>
          <w:bCs/>
          <w:color w:val="000000"/>
          <w:szCs w:val="41"/>
        </w:rPr>
      </w:pPr>
    </w:p>
    <w:p>
      <w:pPr>
        <w:pStyle w:val="2"/>
        <w:rPr>
          <w:rFonts w:hint="eastAsia" w:ascii="ˎ̥" w:hAnsi="ˎ̥"/>
          <w:b/>
          <w:bCs/>
          <w:color w:val="000000"/>
          <w:szCs w:val="41"/>
        </w:rPr>
      </w:pPr>
    </w:p>
    <w:p>
      <w:pPr>
        <w:pStyle w:val="2"/>
        <w:rPr>
          <w:rFonts w:hint="eastAsia" w:ascii="ˎ̥" w:hAnsi="ˎ̥"/>
          <w:b/>
          <w:bCs/>
          <w:color w:val="000000"/>
          <w:szCs w:val="41"/>
        </w:rPr>
      </w:pPr>
    </w:p>
    <w:p>
      <w:pPr>
        <w:pStyle w:val="2"/>
        <w:rPr>
          <w:rFonts w:hint="eastAsia" w:ascii="ˎ̥" w:hAnsi="ˎ̥"/>
          <w:b/>
          <w:bCs/>
          <w:color w:val="000000"/>
          <w:szCs w:val="41"/>
        </w:rPr>
      </w:pPr>
    </w:p>
    <w:p>
      <w:pPr>
        <w:pStyle w:val="2"/>
        <w:rPr>
          <w:rFonts w:hint="eastAsia" w:ascii="ˎ̥" w:hAnsi="ˎ̥"/>
          <w:b/>
          <w:bCs/>
          <w:color w:val="000000"/>
          <w:szCs w:val="41"/>
        </w:rPr>
      </w:pP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一、基本职能及主要工作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（一）机构设置及主要职责。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1．主要职能。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退役军人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事务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局贯彻落实党中央关于退役军人工作的方针政策和省委、市委、区委的决策部署，在履行职责过程中坚持和加强党对退役军人工作的集中统一领导。主要职责是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）负责退役军人思想政治、管理保障和安置优抚工作等政策法规的组织实施。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负责军队转业干部、复员干部、离休退休干部、退役士兵和无军籍退休退职职工的接收移交安置工作和自主择业、就业退役军人服务管理工作。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）组织、实施、指导退役军人教育培训工作，协调扶持退役军人和随军随调家属就业创业。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贯彻执行国家、省、市有关退役军人特殊保障政策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组织协调落实移交地方的离休退休军人、符合条件的其他退役军人和无军籍退休退职职工的住房保障工作，以及退役军人医疗保障、社会保险等待遇保障工作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省有关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退役军人医疗、疗养、养老等机构规划政策。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承担不适宜继续服役的伤病残军人移交安置、退休安置、供养等工作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。协调军供服务保障工作。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组织指导拥军优属工作。承担现役军人、退役军人、军队文职人员和军属的优待、抚恤等工作。贯彻执行国家、省有关国民党抗战老兵等有关人员优待政策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负责烈士及退役军人荣誉奖励、军人公墓和烈士纪念设施的建设管理、纪念活动等工作，依法承担英雄烈士保护相关工作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。总结表彰和宣扬退役军人、退役军人工作单位和个人先进典型事迹。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）落实退役军人相关法律法规和政策措施，组织、协调开展退役军人权益维护和有关人员的帮扶援助工作。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）参与退役军人事务分级负责机制和应急抢险联动机制建设。组织指导退役军人综合服务体系建设。配合落实退役军人党建工作。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）负责职责范围内的安全生产、职业健康、生态环境保护等工作。</w:t>
      </w:r>
    </w:p>
    <w:p>
      <w:pPr>
        <w:snapToGrid w:val="0"/>
        <w:spacing w:line="30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）完成区委和区政府交办的其他任务。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2．机构情况，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根据上述职责，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罗江区退役军人事务局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设2个内设机构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下设1个服务中心。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（1）办公室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负责文电、会务、档案、机要等机关日常运转工作。承担保密、信息、安全、后勤保障、政务公开、信息化建设、有关综合性文稿起草和史志编纂工作。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负责职责范围内的安全生产、职业健康、生态环境保护等工作。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组织办理人大代表建议、政协委员提案。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负责全局工作目标任务的制定、管理及考核，机关党建及党群工作。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负责机关机构编制、干部人事、教育培训和退休人员工作，指导本系统人才队伍建设。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承担退役军人总结表彰、荣誉奖励和烈士褒扬、纪念设施管理保护工作，依法承担英雄烈士保护相关工作。承担退役军人思想政治、舆论宣传工作。配合指导退役军人党建工作，全面推进退役军人党组织建设。拟定退役军人事业发展规划、年度计划，贯彻执行国家、省</w:t>
      </w:r>
      <w:r>
        <w:rPr>
          <w:rFonts w:hint="eastAsia" w:ascii="仿宋_GB2312" w:hAnsi="仿宋" w:eastAsia="仿宋_GB2312" w:cs="楷体_GB2312"/>
          <w:bCs/>
          <w:color w:val="auto"/>
          <w:sz w:val="32"/>
          <w:szCs w:val="32"/>
        </w:rPr>
        <w:t>退役军人管理保障基础设施建设标准。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</w:rPr>
        <w:t>负责机关财务、政府采购、资产管理等工作。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组织指导退役军人综合服务体系建设。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）退役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军人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管理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组织落实退役军人思想政治、管理保障和安置优抚等政策规章。承担规范性文件的合法性审查、备案和行政复议、行政应诉工作，承办退役军人法律事务。负责落实退役军人相关法律法规和政策措施，承担军人家属、退役军人合法权益维护和有关人员的帮扶援助工作。承担退役军人信访事项的接待、处理和答复，负责退役军人一般信访事项的交办、督办和协调处理工作。组织指导退役军人矛盾纠纷排查化解工作。参与退役军人事务分级负责机制和应急抢险联动机制建设，协调处理有关突发事件。承担</w:t>
      </w:r>
      <w:r>
        <w:rPr>
          <w:rFonts w:hint="eastAsia" w:ascii="仿宋_GB2312" w:hAnsi="仿宋" w:eastAsia="仿宋_GB2312" w:cs="楷体_GB2312"/>
          <w:bCs/>
          <w:color w:val="auto"/>
          <w:sz w:val="32"/>
          <w:szCs w:val="32"/>
        </w:rPr>
        <w:t>区级单位计划安置、计划外选调工作，拟订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计划分配的军队转业干部、符合政府安排工作条件的退役士兵年度安置计划并组织实施。负责自主择业军队转业干部、复员干部、自主就业退役士兵的服务管理，承担接收移交安置、就业创业扶持和教育培训等工作，拟订就业创业年度计划并组织实施。指导开展有关自主择业军队转业干部、复员干部、自主就业退役士兵的中介服务工作。组织协调落实移交安置退役军人医疗保障、社会保险等待遇保障工作。扶持随军随调家属就业创业工作。承担现役军人、退役军人、军队文职人员及军属的优待、抚恤等工作。贯彻执行国家、省有关退役军人医疗、疗养、养老等优抚保障机构的规划政策。组织协调落实退役军人医疗保障、社会保险等工作，以及移交地方的离休退休军人、符合条件的其他退役军人和无军籍退休退职职工的住房保障工作，承担不适宜继续服役的伤病残军人移交安置、退休安置、供养等工作。贯彻执行国民党抗战老兵等有关人员优待政策。负责移交地方的军队离退休干部、退休士官和无军籍退休退职职工的移交安置和服务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16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区退役军人服务中心的主要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职责是：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负责</w:t>
      </w:r>
      <w:r>
        <w:rPr>
          <w:rFonts w:ascii="Times New Roman" w:hAnsi="Times New Roman" w:eastAsia="仿宋_GB2312"/>
          <w:color w:val="auto"/>
          <w:sz w:val="32"/>
          <w:szCs w:val="32"/>
        </w:rPr>
        <w:t>拟定退役军人服务中心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中长期</w:t>
      </w:r>
      <w:r>
        <w:rPr>
          <w:rFonts w:ascii="Times New Roman" w:hAnsi="Times New Roman" w:eastAsia="仿宋_GB2312"/>
          <w:color w:val="auto"/>
          <w:sz w:val="32"/>
          <w:szCs w:val="32"/>
        </w:rPr>
        <w:t>发展规划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镇、村（社区）两级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退役军人服务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2、配合做好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军队转业干部、复员干部、离休退休干部、退役士兵和无军籍退休退职职工的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组织关系、行政关系、供给关系、档案等转接、移交工作。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配合做好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退役军人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和其他优抚对象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政策咨询服务工作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有关政策法规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宣传解释工作。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配合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法律服务工作。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4、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负责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军队转业干部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岗前培训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等服务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承担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自主择业军队转业干部、复员干部、自主就业退役士兵的服务管理，配合搭建就业创业平台以及就业创业扶持和教育培训等工作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（负责退役军人岗前培训、就业创业等服务工作。）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配合做好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现役军人、退役军人、军队文职人员及军属的优待、抚恤等工作，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配合做好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军属、烈属、伤病残军人、带病返乡退役军人、评（调）残等事务性工作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。配合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搭建生活困难退役军人、军属帮扶援助平台，做好生活困难退役军人及其他优抚对象帮扶援助工作。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配合做好</w:t>
      </w:r>
      <w:r>
        <w:rPr>
          <w:rFonts w:ascii="Times New Roman" w:hAnsi="Times New Roman" w:eastAsia="仿宋_GB2312"/>
          <w:color w:val="auto"/>
          <w:sz w:val="32"/>
          <w:szCs w:val="32"/>
        </w:rPr>
        <w:t>退役军人和其他优抚对象信息采集、甄别、录入和分析工作。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负责做好军队离退休干部接收安置和服务工作。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负责光荣院重点优抚对象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的教育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管理、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生活及服务工作。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lang w:val="en-US" w:eastAsia="zh-CN"/>
        </w:rPr>
        <w:t>9、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负责职责范围内的安全生产、职业健康、生态环境保护和社会信用体系建设等工作。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区委、区政府和区退役军人事务局交办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的其他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任务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年工作打算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做好移交安置工作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军地改革，完成计划分配军队转业干部、军队复员干部、由政府安排工作退役士兵等年度安置任务，全力抓好跨军地改革集体转制部队退役军人落户工作，配合完成跨军地改革任务。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.进一步拓宽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退役军人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安置渠道，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科学编制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退役军人安置编制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，增强政府安排工作的政策刚性。探索建立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退役军人“直通车”式安置办法，进一步健全“阳光安置”工作机制，加大双向选择、量化评分和指令性分配相结合的安置办法分类改革的工作力度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切实做好退役士兵的安置工作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.统筹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兼顾、合力推进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机关事业单位和国有企业接收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政府安排工作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退役士兵的安置工作。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严格落实政策规定，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加强组织协调，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做好计划移交伤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残士兵和军队院校残疾学员审核接收工作。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.全力推进部分退役士兵社保接续工作，完成申请受理、对象审核、确认、补缴等工作。按照国家统筹完善社保接续制度要求，切实落实好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符合条件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士兵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社会保险待遇。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就业创业扶持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就业创业能力。完善多元化教育培训体系,依托工科院、西财天府学院等教育资源建立健全教育培训机制，强化退役后教育培训，引导退役军人积极参加教育培训，鼓励参加学历提升培训、全面加大创业培训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拓宽多种就业渠道。大力宣传退役军人参加公务员招录、事业单位招聘优惠政策，积极推荐退役军人参加辖区内企业招聘，引导退役军人参与农业产业发展和乡村振兴、开发退役军人人才资源、实施重点对象扶持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加大创业扶持力度。强化创业项目引导，协调提供创业场所，优化创业政策服务，宣传退役军人就业创业优惠政策、协调相关部门落实金融税收优惠。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认真落实市退役军人事务局等19部门《关于促进新时代退役军人就业创业工作的实施意见》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。严格按照政策落实自主择业军转干部教育培训和服务管理规定，提升工作规范化水平。做好自主择业军转干部档案审查、接收报到等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各项服务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工作，做好自主就业退役士兵接收报到工作，完善相关信息数据库。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加强地方性经济补助的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发放管理，做好发放审核工作。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建立健全服务体系。搭建信息平台，加大信息化建设力度，进行创业知识培训、政策咨询，开展多元化服务。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积极支持我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退役军人参加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四川省退役军人就业创业之星推选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、创新创业大赛等活动，打造具有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罗江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特色的退役军人创业品牌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完善去年新建立创业基地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常态化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做好拥军优属工作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进一步整合资源，充分利用好现有资源，会同区人武部着力将四川工业科技学院、西南财大天府学院建设成德阳市罗江区双拥共建示范基地，配合做好德阳市双拥模范城创建工作。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健全双拥工作专题会商和工作情况通报机制，完善联席会议、军地合署办公等制度。积极协调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演训场地、交通运输、安全警戒等各项保障，协调驻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部队参与和支援国家建设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，协调来罗驻训部队需地方处理事项。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.落实军地互提需求、互办实事的“双清单”制，积极协调解决军地相关难点问题，不断增进军政军民团结。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.优化双拥工作组织机构和制度机制，深入开展“双拥在基层”“社会化拥军”和“关爱功臣”活动，全力维护军人军属和优抚对象合法权益。常态化做好悬挂光荣牌工作，建立长效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、认真做好优待抚恤工作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中央、省市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政策规定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地方抚恤补助标准体系和优待体系，及时足额落实重点优抚对象相关待遇。根据中央优待政策措施办法和省优待办法及优待目录清单，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做好优待证的发放工作。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.加强优抚数据精细化管理，常态化做好退役军人和其他优抚对象信息采集工作，依法依规动态审核各类优抚对象数据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优抚对象年度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核查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和冒领待遇追偿追责机制。根据国家统一部署，全面开展参战参试军队退役人员身份认定核查工作。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落实新修订《四川省伤残抚恤管理办法实施细则》，规范执行残疾等级评定程序。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根据中央统一部署，做好伤残人员证件换发工作，以及新办、补办、调整评定残疾等级和伤残抚恤关系转接工作，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好优抚对象短期疗养、残疾军人辅具配备工作。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、加强褒扬纪念和军休服务工作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.深入贯彻落实中央《烈士纪念设施规划建设修缮管理维护总体工作方案》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和《四川省烈士纪念实施规划建设修缮管理维护实施方案》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烈士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纪念设施保护管理，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维护好烈士纪念设施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.发挥烈士纪念设施红色教育主阵地作用，在清明节、烈士纪念日等重要时间节点，组织开展烈士纪念活动，引导社会各界尤其是退役军人文明有序开展祭扫纪念活动，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加强烈士亲属异地祭扫管理，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营造尊崇英烈社会氛围。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.做好烈士评定及备案工作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《〈烈士光荣证〉管理办法》出台后，抓好贯彻落实。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做好202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军队离退休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干部接收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安置工作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按要求落实好滞留军队军休人员三年集中移交工作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.按照退役军人事务部部署，开展“思想政治工作年”活动，贯彻落实《关于加强退役军人思想政治工作的指导意见》，加强退役军人思想政治引领，激励广大退役军人做新时代的奋斗者。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</w:t>
      </w:r>
    </w:p>
    <w:p>
      <w:pPr>
        <w:ind w:firstLine="645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二、部门预算单位构成</w:t>
      </w:r>
    </w:p>
    <w:p>
      <w:pPr>
        <w:ind w:firstLine="645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德阳市罗江区退役军人事务局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下属二级单位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个，其中事业单位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个。主要包括：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德阳市罗江区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退役军人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服务中心。</w:t>
      </w:r>
    </w:p>
    <w:p>
      <w:pPr>
        <w:pStyle w:val="3"/>
        <w:adjustRightInd w:val="0"/>
        <w:snapToGrid w:val="0"/>
        <w:spacing w:line="580" w:lineRule="exact"/>
        <w:ind w:firstLine="672" w:firstLineChars="210"/>
        <w:rPr>
          <w:color w:val="auto"/>
          <w:sz w:val="32"/>
          <w:szCs w:val="32"/>
          <w:highlight w:val="none"/>
        </w:rPr>
      </w:pPr>
      <w:r>
        <w:rPr>
          <w:rFonts w:hint="eastAsia" w:hAnsi="仿宋_GB2312"/>
          <w:color w:val="auto"/>
          <w:sz w:val="32"/>
          <w:szCs w:val="32"/>
          <w:highlight w:val="none"/>
          <w:lang w:eastAsia="zh-CN"/>
        </w:rPr>
        <w:t>德阳市罗江区退役军人事务局（含下属事业单位德阳市罗江区</w:t>
      </w:r>
      <w:r>
        <w:rPr>
          <w:rFonts w:hint="eastAsia" w:hAnsi="仿宋_GB2312"/>
          <w:color w:val="auto"/>
          <w:sz w:val="32"/>
          <w:szCs w:val="32"/>
          <w:highlight w:val="none"/>
          <w:lang w:val="en-US" w:eastAsia="zh-CN"/>
        </w:rPr>
        <w:t>退役军人</w:t>
      </w:r>
      <w:r>
        <w:rPr>
          <w:rFonts w:hint="eastAsia" w:hAnsi="仿宋_GB2312"/>
          <w:color w:val="auto"/>
          <w:sz w:val="32"/>
          <w:szCs w:val="32"/>
          <w:highlight w:val="none"/>
          <w:lang w:eastAsia="zh-CN"/>
        </w:rPr>
        <w:t>服务中心）</w:t>
      </w:r>
      <w:r>
        <w:rPr>
          <w:rFonts w:hint="eastAsia"/>
          <w:color w:val="auto"/>
          <w:sz w:val="32"/>
          <w:szCs w:val="32"/>
          <w:highlight w:val="none"/>
        </w:rPr>
        <w:t>总编制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/>
          <w:color w:val="auto"/>
          <w:sz w:val="32"/>
          <w:szCs w:val="32"/>
          <w:highlight w:val="none"/>
        </w:rPr>
        <w:t>名，其中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行政</w:t>
      </w:r>
      <w:r>
        <w:rPr>
          <w:rFonts w:hint="eastAsia"/>
          <w:color w:val="auto"/>
          <w:sz w:val="32"/>
          <w:szCs w:val="32"/>
          <w:highlight w:val="none"/>
        </w:rPr>
        <w:t>编制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highlight w:val="none"/>
        </w:rPr>
        <w:t>名，事业编制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/>
          <w:color w:val="auto"/>
          <w:sz w:val="32"/>
          <w:szCs w:val="32"/>
          <w:highlight w:val="none"/>
        </w:rPr>
        <w:t>名。在职人员总数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/>
          <w:color w:val="auto"/>
          <w:sz w:val="32"/>
          <w:szCs w:val="32"/>
          <w:highlight w:val="none"/>
        </w:rPr>
        <w:t>人，其中：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行政</w:t>
      </w:r>
      <w:r>
        <w:rPr>
          <w:rFonts w:hint="eastAsia"/>
          <w:color w:val="auto"/>
          <w:sz w:val="32"/>
          <w:szCs w:val="32"/>
          <w:highlight w:val="none"/>
        </w:rPr>
        <w:t>编制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highlight w:val="none"/>
        </w:rPr>
        <w:t>名，事业编制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/>
          <w:color w:val="auto"/>
          <w:sz w:val="32"/>
          <w:szCs w:val="32"/>
          <w:highlight w:val="none"/>
        </w:rPr>
        <w:t>名。本次公开数据包括所有下属二级单位数据。</w:t>
      </w:r>
    </w:p>
    <w:p>
      <w:pPr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　　三、收支预算增减变化情况说明</w:t>
      </w:r>
    </w:p>
    <w:p>
      <w:pPr>
        <w:rPr>
          <w:rFonts w:hint="default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　　按照综合预算的原则，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德阳市罗江区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所有收支均包含下属单位数据，全部纳入部门预算管理。收入包括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：本级财政拨款收入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主要是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项目配套资金本级预算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有所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增加，人员工资调整等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德阳市罗江区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年收支总预算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1861.51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　　（一）收入预算情况</w:t>
      </w:r>
    </w:p>
    <w:p>
      <w:pPr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年收入预算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1861.51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万元，其中：上年结转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%；一般公共预算拨款收入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1861.51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%；事业收入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%；事业单位经营收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%；其他收入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%。</w:t>
      </w:r>
    </w:p>
    <w:p>
      <w:pPr>
        <w:ind w:firstLine="645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（二）支出预算情况</w:t>
      </w:r>
    </w:p>
    <w:p>
      <w:pPr>
        <w:ind w:firstLine="645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年支出预算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1861.51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万元，其中：基本支出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309.39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16.62 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%；项目支出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1552.12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83.38 </w:t>
      </w: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%。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四、财政拨款收支预算情况说明</w:t>
      </w:r>
    </w:p>
    <w:p>
      <w:pPr>
        <w:ind w:firstLine="645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德阳市罗江区退役军人事务局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1861.51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主要是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项目配套资金本级预算，人员工资等</w:t>
      </w:r>
      <w:r>
        <w:rPr>
          <w:rFonts w:hint="eastAsia"/>
          <w:color w:val="auto"/>
          <w:sz w:val="32"/>
          <w:szCs w:val="32"/>
          <w:highlight w:val="none"/>
        </w:rPr>
        <w:t>。</w:t>
      </w:r>
    </w:p>
    <w:p>
      <w:pPr>
        <w:ind w:firstLine="645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收入包括：本年一般公共预算拨款收入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1861.51</w:t>
      </w:r>
      <w:r>
        <w:rPr>
          <w:rFonts w:ascii="仿宋_GB2312" w:hAnsi="仿宋_GB2312" w:eastAsia="仿宋_GB2312"/>
          <w:color w:val="auto"/>
          <w:sz w:val="32"/>
          <w:szCs w:val="32"/>
        </w:rPr>
        <w:t>万元、上年结转一般公共预算拨款收入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color w:val="auto"/>
          <w:sz w:val="32"/>
          <w:szCs w:val="32"/>
        </w:rPr>
        <w:t>万元；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支出包括：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一般公共服务支出4.00万元，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社会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福利和救助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1824.30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卫生健康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10.97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万元，住房保障支出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22.24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五、一般公共预算当年拨款情况说明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（一）一般公共预算当年拨款规模变化情况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德阳市罗江区退役军人事务局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年一般公共预算当年拨款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1861.51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主要是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项目配套资金本级预算，人员工资等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（二）一般公共预算当年拨款结构情况(按照功能科目类写)</w:t>
      </w:r>
    </w:p>
    <w:p>
      <w:pPr>
        <w:ind w:firstLine="645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一般公共服务支出4.00万元，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社会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福利和救助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1824.30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卫生健康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10.97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万元，住房保障支出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22.24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（三）一般公共预算当年拨款具体使用情况（按功能科目类款项写）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1.社会保障和就业支出（类）行政事业单位离退休（款）机关事业单位基本养老保险缴费支出（项）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26.33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万元，主要用于：机关人员养老保险缴费支出。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2.社会保障和就业支出（类）行政事业单位离退休（款）机关事业单位职业年金缴费支出（项）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13.16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万元，主要用于：机关人员职业年金缴费支出。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（款）行政运行（项）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80.98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万元，主要用于：人员工资，保障机关日常运行等方面的经费支出。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运行（项）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150.93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万元，主要用于：人员工资，保障机关日常运行等方面的经费支出。 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5.社会保障和就业支出（类）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人事业（款）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死亡抚恤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100.00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伤残军人、三属人员抚恤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方面的支出。 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6.社会保障和就业支出（类）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在乡复员军人补助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103.69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在乡复员军人、带病回乡退役军人、参战参试人员补助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等方面的支出。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7.社会保障和就业支出（类）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义务兵优待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506.63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义务兵家庭优待、义务兵立功受奖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方面的支出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8.社会保障和就业支出（类）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部分退役士兵社保接续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支出（项）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3.00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缴纳符合政策的退役士兵社保接续购买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方面的支出。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退役安置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支出（项）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369.80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退役士兵地方性一次性经济补助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方面的支出。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其他退役军人事务管理支出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699.91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慰问驻军单位、全区退役军人、现役军人及家属全覆盖慰问、大学生入伍奖励金、减少和保护英烈纪念设施等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方面的支出。</w:t>
      </w:r>
    </w:p>
    <w:p>
      <w:pPr>
        <w:ind w:firstLine="640"/>
        <w:rPr>
          <w:rFonts w:hint="eastAsia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军队转业干部安置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支出（项）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64.8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军队转业干部安置、解困资金、体检、慰问等补助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方面的支出。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.社会保障和就业支出（类）其他社会保障和就业支出（款）其他社会保障和就业支出（项）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0.78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万元，主要用于：主要用于：职工失业保险和工伤保险缴费的支出。 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  1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.卫生健康支出（类）行政事业单位医疗（款）行政单位医疗（项）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4.01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万元，主要用于：机关人员医疗保险缴费的支出。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.卫生健康支出（类）行政事业单位医疗（款）事业单位医疗（项）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6.96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退役军人服务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中心人员医疗保险缴费的支出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.卫生健康支出（类）行政事业单位医疗（款）其他行政事业单位医疗支出（项）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 xml:space="preserve">万元，主要用于：机关人员生育保险缴费的支出。 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.社会保障和就业支出（类）其他社会保障和就业支出（款）就业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管理事务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支出（项）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12.00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公益性岗位失业志愿兵伤残军人岗位补贴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一般公共服务支出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（类）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组织事务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支出（款）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行政运行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（项）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4.00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党建业务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的支出。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1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.住房保障支出（类）住房改革支出（款）住房公积金（项）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22.24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万元，主要用于：机关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人员公积金缴费的支出。 　 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六、一般公共预算基本支出情况说明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德阳市罗江区退役军人事务局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309.39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万元，其中：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人员经费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271.34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万元，主要包括：基本工资、津贴补贴、奖金、社会保险缴费、绩效工资、机关事业单位基本养老保险缴费、职业年金缴费、其他工资福利支出。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公用经费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38.05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万元，主要包括：办公费、印刷费、咨询费、手续费、水电费、邮电费、差旅费、维修（护）费、租赁费、会议费、培训费、劳务费、工会经费、福利费、其他商品和服务支出。</w:t>
      </w:r>
    </w:p>
    <w:p>
      <w:pPr>
        <w:ind w:firstLine="480" w:firstLineChars="15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七、“三公”经费财政拨款预算安排情况说明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德阳市罗江区退役军人事务局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年“三公”经费财政拨款预算数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万元，其中：因公出国（境）经费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万元，公务接待费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万元，公务用车购置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万元，公务用车运行维护费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（一）因公出国（境）经费与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年预算持平。主要原因是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未安排因公出国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</w:t>
      </w:r>
    </w:p>
    <w:p>
      <w:pPr>
        <w:ind w:firstLine="645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（二）公务接待费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预算经费0.2万元，教2022年增加0.2万元，增加原因为2022年未预算公务接待经费，2023年确有公务接待经费开支需求，结合实际增设经费。</w:t>
      </w:r>
    </w:p>
    <w:p>
      <w:pPr>
        <w:ind w:firstLine="645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（三）</w:t>
      </w: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t>公务用车购置及运行维护费与</w:t>
      </w: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  <w:lang w:eastAsia="zh-CN"/>
        </w:rPr>
        <w:t>20</w:t>
      </w: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t>年预算持平。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主要原因是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公务车改革后，单位未安排公务用车购置费及公务用车运行费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　　单位现有公务用车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辆。</w:t>
      </w:r>
    </w:p>
    <w:p>
      <w:pPr>
        <w:ind w:firstLine="480" w:firstLineChars="15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八、政府性基金预算收支情况说明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年无政府性基金预算。</w:t>
      </w:r>
    </w:p>
    <w:p>
      <w:pPr>
        <w:ind w:firstLine="645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九、国有资本经营预算支出情况说明</w:t>
      </w:r>
    </w:p>
    <w:p>
      <w:pPr>
        <w:ind w:firstLine="645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德阳市罗江区退役军人事务局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年使用国有资本经营预算拨款安排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万元，项目支出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其他重要事项的情况说明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无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（一）机关运行经费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德阳市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罗江区退役军人事务局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（含下属事业单位德阳市罗江区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退役军人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服务中心）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机关运行经费财政拨款预算为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309.39万元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二）政府采购情况</w:t>
      </w:r>
    </w:p>
    <w:p>
      <w:pPr>
        <w:ind w:firstLine="640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德阳市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罗江区退役军人事务局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没有安排政府采购预算支出。</w:t>
      </w:r>
    </w:p>
    <w:p>
      <w:pPr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（三）国有资产占有使用情况</w:t>
      </w:r>
    </w:p>
    <w:p>
      <w:pPr>
        <w:ind w:firstLine="320" w:firstLineChars="1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　截至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年底，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德阳市罗江区退役军人事务局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所属各预算单位共有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固定资产总额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28.58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年部门预算未安排购置车辆及单位价值200万元以上大型设备。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（四）绩效目标设置情况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20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德阳市罗江区退役军人事务局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部门通用项目和专用项目均按要求实行绩效目标管理，涉及一般公共预算当年拨款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1552.12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万元。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十、名词解释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（一）一般公共预算拨款收入：指区级财政当年拨付的资金。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（二）上年结转：指以前年度尚未完成、结转到本年仍按原规定用途继续使用的资金。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（三）基本支出：指为保障机构正常运转、完成日常工作任务所必需的人员经费和日常公用经费。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1.社会保障和就业支出（类）行政事业单位离退休（款）机关事业单位基本养老保险缴费支出（项），主要用于：机关人员养老保险缴费支出。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2.社会保障和就业支出（类）行政事业单位离退休（款）机关事业单位职业年金缴费支出（项），主要用于：机关人员职业年金缴费支出。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（款）行政运行（项），主要用于：人员工资，保障机关日常运行等方面的经费支出。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运行（项），主要用于：人员工资，保障机关日常运行等方面的经费支出。 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5.社会保障和就业支出（类）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人事业（款）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死亡抚恤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（项），主要用于：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伤残军人、三属人员抚恤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方面的支出。 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6.社会保障和就业支出（类）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在乡复员军人补助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（项），主要用于：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在乡复员军人、带病回乡退役军人、参战参试人员补助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等方面的支出。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7.社会保障和就业支出（类）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义务兵优待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（项），主要用于：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义务兵家庭优待、义务兵立功受奖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方面的支出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8.社会保障和就业支出（类）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部分退役士兵社保接续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支出（项），主要用于：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缴纳符合政策的退役士兵社保接续购买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方面的支出。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退役安置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支出（项），主要用于：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退役士兵地方性一次性经济补助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方面的支出。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“八一、春节”慰问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支出（项），主要用于：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退役士兵、重点优抚对象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方面的支出。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.社会保障和就业支出（类）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退役军人事业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工作经费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支出（项），主要用于：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开展项目、退役军人维稳、办公用品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方面的支出。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.社会保障和就业支出（类）其他社会保障和就业支出（款）（项），主要用于：主要用于：职工失业保险和工伤保险缴费的支出。 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  1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.卫生健康支出（类）行政事业单位医疗（款）行政单位医疗（项），主要用于：机关人员医疗保险缴费的支出。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.卫生健康支出（类）行政事业单位医疗（款）事业单位医疗（项），主要用于：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退役军人服务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中心人员医疗保险缴费的支出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1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.卫生健康支出（类）行政事业单位医疗（款）其他行政事业单位医疗支出（项），主要用于：机关人员生育保险缴费的支出。 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1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.住房保障支出（类）住房改革支出（款）住房公积金（项），主要用于：机关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人员公积金缴费的支出。 　 </w:t>
      </w:r>
    </w:p>
    <w:p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（四）项目支出：指在基本支出之外，为完成特定的行政工作任务或事业发展目标所发生的支出。</w:t>
      </w:r>
    </w:p>
    <w:p>
      <w:pPr>
        <w:ind w:firstLine="645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五）“三公”经费：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4" w:leftChars="132" w:hanging="1280" w:hangingChars="4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 xml:space="preserve"> 罗江区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退役军人事务局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/>
          <w:sz w:val="32"/>
          <w:szCs w:val="32"/>
        </w:rPr>
        <w:t>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（见附件目录）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4" w:leftChars="132" w:hanging="1280" w:hangingChars="4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2.部门整体支出绩效目标公开表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4" w:leftChars="330" w:hanging="320" w:hangingChars="1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3.部门预算项目支出绩效目标公开表</w:t>
      </w:r>
    </w:p>
    <w:p>
      <w:pP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附件1：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/>
          <w:sz w:val="32"/>
          <w:szCs w:val="32"/>
        </w:rPr>
        <w:t>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部门收支总表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部门收入总表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部门支出总表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财政拨款收支预算总表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财政拨款支出预算表（政府经济分类科目）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一般公共预算支出预算表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一般公共预算基本支出预算表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一般公共预算项目支出预算表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一般公共预算“三公”经费支出预算表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政府性基金支出预算表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政府性基金预算“三公”经费支出预算表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国有资本经营预算支出预算表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年部门预算项目绩效目标（部门预算）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政府预算基本支出表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政府预算项目支出表</w:t>
      </w:r>
    </w:p>
    <w:p>
      <w:pPr>
        <w:pStyle w:val="2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1060001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562FB"/>
    <w:multiLevelType w:val="singleLevel"/>
    <w:tmpl w:val="0E5562FB"/>
    <w:lvl w:ilvl="0" w:tentative="0">
      <w:start w:val="10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14A7944F"/>
    <w:multiLevelType w:val="multilevel"/>
    <w:tmpl w:val="14A7944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-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-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-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-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-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-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-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-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2">
    <w:nsid w:val="44197BEA"/>
    <w:multiLevelType w:val="singleLevel"/>
    <w:tmpl w:val="44197B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GMyNzYyNTBkYzU4NGFiN2JjMmJjNWYyZThkZGQifQ=="/>
  </w:docVars>
  <w:rsids>
    <w:rsidRoot w:val="004E4A63"/>
    <w:rsid w:val="00107AF7"/>
    <w:rsid w:val="001A5E61"/>
    <w:rsid w:val="001F59C4"/>
    <w:rsid w:val="00202A4E"/>
    <w:rsid w:val="00245794"/>
    <w:rsid w:val="002D17ED"/>
    <w:rsid w:val="002F6687"/>
    <w:rsid w:val="00325291"/>
    <w:rsid w:val="00336B03"/>
    <w:rsid w:val="00363AC0"/>
    <w:rsid w:val="003B021E"/>
    <w:rsid w:val="004B52FA"/>
    <w:rsid w:val="004D53A9"/>
    <w:rsid w:val="004E4A63"/>
    <w:rsid w:val="00504316"/>
    <w:rsid w:val="00563314"/>
    <w:rsid w:val="005A0F05"/>
    <w:rsid w:val="00640CC1"/>
    <w:rsid w:val="007225E2"/>
    <w:rsid w:val="007365C4"/>
    <w:rsid w:val="008F70DC"/>
    <w:rsid w:val="009049CB"/>
    <w:rsid w:val="00933755"/>
    <w:rsid w:val="009D554C"/>
    <w:rsid w:val="00A35F1B"/>
    <w:rsid w:val="00A46B69"/>
    <w:rsid w:val="00A5551E"/>
    <w:rsid w:val="00A60A56"/>
    <w:rsid w:val="00BD7C8D"/>
    <w:rsid w:val="00C96FDA"/>
    <w:rsid w:val="00D14665"/>
    <w:rsid w:val="00DC34F5"/>
    <w:rsid w:val="00EE23D3"/>
    <w:rsid w:val="00FD2791"/>
    <w:rsid w:val="00FD2F29"/>
    <w:rsid w:val="01054FE7"/>
    <w:rsid w:val="01931A7A"/>
    <w:rsid w:val="01EE08EC"/>
    <w:rsid w:val="025C0A06"/>
    <w:rsid w:val="02932F57"/>
    <w:rsid w:val="0332572E"/>
    <w:rsid w:val="057755AE"/>
    <w:rsid w:val="05E82977"/>
    <w:rsid w:val="05ED2952"/>
    <w:rsid w:val="06BC553A"/>
    <w:rsid w:val="07095052"/>
    <w:rsid w:val="07432426"/>
    <w:rsid w:val="089D3FB7"/>
    <w:rsid w:val="08C42A46"/>
    <w:rsid w:val="0A110938"/>
    <w:rsid w:val="0B853670"/>
    <w:rsid w:val="0BBB7256"/>
    <w:rsid w:val="0BDE52BA"/>
    <w:rsid w:val="0C664031"/>
    <w:rsid w:val="0CBC3A4D"/>
    <w:rsid w:val="0E84390E"/>
    <w:rsid w:val="0F8222DA"/>
    <w:rsid w:val="0F8B386B"/>
    <w:rsid w:val="13522181"/>
    <w:rsid w:val="143F7483"/>
    <w:rsid w:val="178A5649"/>
    <w:rsid w:val="187509D4"/>
    <w:rsid w:val="195645A6"/>
    <w:rsid w:val="19895CD6"/>
    <w:rsid w:val="1A747E04"/>
    <w:rsid w:val="1A8B57AF"/>
    <w:rsid w:val="1BFB0EB1"/>
    <w:rsid w:val="1C4A0389"/>
    <w:rsid w:val="1CEB6F83"/>
    <w:rsid w:val="1DC267BA"/>
    <w:rsid w:val="1E03348E"/>
    <w:rsid w:val="1E283304"/>
    <w:rsid w:val="1E3B65A4"/>
    <w:rsid w:val="1FCE268A"/>
    <w:rsid w:val="20356846"/>
    <w:rsid w:val="21E87040"/>
    <w:rsid w:val="221A7755"/>
    <w:rsid w:val="221C767D"/>
    <w:rsid w:val="22BD4DB6"/>
    <w:rsid w:val="234E6EE7"/>
    <w:rsid w:val="23DE3059"/>
    <w:rsid w:val="24473002"/>
    <w:rsid w:val="24B94963"/>
    <w:rsid w:val="24CD2851"/>
    <w:rsid w:val="24F60E79"/>
    <w:rsid w:val="25283D1B"/>
    <w:rsid w:val="25DF5076"/>
    <w:rsid w:val="276F4A98"/>
    <w:rsid w:val="289D251A"/>
    <w:rsid w:val="2A9A6113"/>
    <w:rsid w:val="2CBD72B2"/>
    <w:rsid w:val="2D1D613B"/>
    <w:rsid w:val="309E676F"/>
    <w:rsid w:val="31090B2C"/>
    <w:rsid w:val="31C00058"/>
    <w:rsid w:val="33E25B24"/>
    <w:rsid w:val="35CA4616"/>
    <w:rsid w:val="368A369C"/>
    <w:rsid w:val="37482641"/>
    <w:rsid w:val="3AB3456F"/>
    <w:rsid w:val="3BFA65F3"/>
    <w:rsid w:val="3D552769"/>
    <w:rsid w:val="3EA85EAD"/>
    <w:rsid w:val="3F8844F1"/>
    <w:rsid w:val="400A606F"/>
    <w:rsid w:val="40731A58"/>
    <w:rsid w:val="41272CA9"/>
    <w:rsid w:val="42991D01"/>
    <w:rsid w:val="444A40AA"/>
    <w:rsid w:val="44C97250"/>
    <w:rsid w:val="44E1584B"/>
    <w:rsid w:val="45C30388"/>
    <w:rsid w:val="47AB318C"/>
    <w:rsid w:val="47E56984"/>
    <w:rsid w:val="487B51EB"/>
    <w:rsid w:val="49766440"/>
    <w:rsid w:val="4A0C3539"/>
    <w:rsid w:val="4B2C6655"/>
    <w:rsid w:val="4B9819AC"/>
    <w:rsid w:val="4CF072F9"/>
    <w:rsid w:val="52EA6B41"/>
    <w:rsid w:val="54F621D1"/>
    <w:rsid w:val="57805D82"/>
    <w:rsid w:val="580F7ED5"/>
    <w:rsid w:val="587518CF"/>
    <w:rsid w:val="58E21BFB"/>
    <w:rsid w:val="5B290D3A"/>
    <w:rsid w:val="5B7430CD"/>
    <w:rsid w:val="5B7525DF"/>
    <w:rsid w:val="5B762AF8"/>
    <w:rsid w:val="5C532D01"/>
    <w:rsid w:val="5C557633"/>
    <w:rsid w:val="5EFD05B4"/>
    <w:rsid w:val="5F535045"/>
    <w:rsid w:val="5F8F3665"/>
    <w:rsid w:val="61616C24"/>
    <w:rsid w:val="62281B7E"/>
    <w:rsid w:val="62683CAE"/>
    <w:rsid w:val="65907EF7"/>
    <w:rsid w:val="68C93D5C"/>
    <w:rsid w:val="69740B4D"/>
    <w:rsid w:val="699B47E2"/>
    <w:rsid w:val="6A73725E"/>
    <w:rsid w:val="6AAA5DDD"/>
    <w:rsid w:val="6CC12C93"/>
    <w:rsid w:val="6F9D54EF"/>
    <w:rsid w:val="6FAD74D8"/>
    <w:rsid w:val="70657527"/>
    <w:rsid w:val="73151FDD"/>
    <w:rsid w:val="748F53FE"/>
    <w:rsid w:val="765E3944"/>
    <w:rsid w:val="765F52BF"/>
    <w:rsid w:val="76816016"/>
    <w:rsid w:val="77103EEA"/>
    <w:rsid w:val="77E85BE2"/>
    <w:rsid w:val="78937500"/>
    <w:rsid w:val="796C14D7"/>
    <w:rsid w:val="7BBE08B2"/>
    <w:rsid w:val="7E0B5DDF"/>
    <w:rsid w:val="7F7D47B2"/>
    <w:rsid w:val="7F820039"/>
    <w:rsid w:val="7FB2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 w:firstLine="880" w:firstLineChars="200"/>
    </w:pPr>
    <w:rPr>
      <w:rFonts w:eastAsia="仿宋_GB2312"/>
      <w:sz w:val="32"/>
      <w:szCs w:val="21"/>
    </w:rPr>
  </w:style>
  <w:style w:type="paragraph" w:styleId="3">
    <w:name w:val="Body Text"/>
    <w:basedOn w:val="1"/>
    <w:link w:val="14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styleId="10">
    <w:name w:val="Emphasis"/>
    <w:basedOn w:val="9"/>
    <w:qFormat/>
    <w:uiPriority w:val="2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autoRedefine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正文文本 Char"/>
    <w:basedOn w:val="9"/>
    <w:link w:val="3"/>
    <w:autoRedefine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6">
    <w:name w:val="WPSOffice手动目录 2"/>
    <w:autoRedefine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21</Pages>
  <Words>9089</Words>
  <Characters>9510</Characters>
  <Lines>17</Lines>
  <Paragraphs>4</Paragraphs>
  <TotalTime>18</TotalTime>
  <ScaleCrop>false</ScaleCrop>
  <LinksUpToDate>false</LinksUpToDate>
  <CharactersWithSpaces>9652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2017-10-20T03:21:00Z</dcterms:created>
  <dc:creator>null,null,总收发</dc:creator>
  <cp:lastModifiedBy>Administrator</cp:lastModifiedBy>
  <dcterms:modified xsi:type="dcterms:W3CDTF">2024-01-23T03:26:43Z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DAA0EDBCB2B644E0A23D5D9B4C09D6C7_13</vt:lpwstr>
  </property>
</Properties>
</file>