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A99A9">
      <w:pPr>
        <w:spacing w:line="600" w:lineRule="exact"/>
        <w:jc w:val="center"/>
        <w:outlineLvl w:val="0"/>
        <w:rPr>
          <w:rFonts w:hint="eastAsia" w:ascii="方正小标宋简体" w:hAnsi="宋体" w:eastAsia="方正小标宋简体"/>
          <w:color w:val="000000"/>
          <w:sz w:val="72"/>
          <w:szCs w:val="72"/>
        </w:rPr>
      </w:pPr>
      <w:bookmarkStart w:id="0" w:name="_Toc15306267"/>
    </w:p>
    <w:p w14:paraId="06A02F58">
      <w:pPr>
        <w:spacing w:line="600" w:lineRule="exact"/>
        <w:jc w:val="center"/>
        <w:outlineLvl w:val="0"/>
        <w:rPr>
          <w:rFonts w:ascii="方正小标宋简体" w:hAnsi="宋体" w:eastAsia="方正小标宋简体"/>
          <w:color w:val="000000"/>
          <w:sz w:val="72"/>
          <w:szCs w:val="72"/>
        </w:rPr>
      </w:pPr>
    </w:p>
    <w:p w14:paraId="4B9C1DC8">
      <w:pPr>
        <w:spacing w:line="600" w:lineRule="exact"/>
        <w:jc w:val="center"/>
        <w:outlineLvl w:val="0"/>
        <w:rPr>
          <w:rFonts w:ascii="方正小标宋简体" w:hAnsi="宋体" w:eastAsia="方正小标宋简体"/>
          <w:color w:val="000000"/>
          <w:sz w:val="72"/>
          <w:szCs w:val="72"/>
        </w:rPr>
      </w:pPr>
    </w:p>
    <w:p w14:paraId="120F5AC1">
      <w:pPr>
        <w:spacing w:line="600" w:lineRule="exact"/>
        <w:jc w:val="center"/>
        <w:outlineLvl w:val="0"/>
        <w:rPr>
          <w:rFonts w:ascii="方正小标宋简体" w:hAnsi="宋体" w:eastAsia="方正小标宋简体"/>
          <w:color w:val="000000"/>
          <w:sz w:val="72"/>
          <w:szCs w:val="72"/>
        </w:rPr>
      </w:pPr>
    </w:p>
    <w:p w14:paraId="5B982132">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597"/>
      <w:bookmarkStart w:id="3" w:name="_Toc15396475"/>
      <w:bookmarkStart w:id="4" w:name="_Toc15377425"/>
      <w:bookmarkStart w:id="5" w:name="_Toc15377193"/>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p>
    <w:p w14:paraId="593FF5A4">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8442"/>
      <w:bookmarkStart w:id="8" w:name="_Toc15377426"/>
      <w:bookmarkStart w:id="9" w:name="_Toc15396476"/>
      <w:bookmarkStart w:id="10" w:name="_Toc15377194"/>
      <w:r>
        <w:rPr>
          <w:rFonts w:hint="eastAsia" w:ascii="方正小标宋简体" w:hAnsi="宋体" w:eastAsia="方正小标宋简体"/>
          <w:color w:val="000000"/>
          <w:sz w:val="72"/>
          <w:szCs w:val="72"/>
        </w:rPr>
        <w:t>四川省德阳市罗江区</w:t>
      </w:r>
      <w:bookmarkEnd w:id="0"/>
      <w:bookmarkStart w:id="11" w:name="_Toc15306268"/>
      <w:r>
        <w:rPr>
          <w:rFonts w:hint="eastAsia" w:ascii="方正小标宋简体" w:hAnsi="宋体" w:eastAsia="方正小标宋简体"/>
          <w:color w:val="000000"/>
          <w:sz w:val="72"/>
          <w:szCs w:val="72"/>
        </w:rPr>
        <w:t>文化体育广播电视和旅游局</w:t>
      </w:r>
    </w:p>
    <w:p w14:paraId="03A93D5B">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val="en-US" w:eastAsia="zh-CN"/>
        </w:rPr>
        <w:t>本级</w:t>
      </w:r>
      <w:r>
        <w:rPr>
          <w:rFonts w:hint="eastAsia" w:ascii="方正小标宋简体" w:hAnsi="宋体" w:eastAsia="方正小标宋简体"/>
          <w:color w:val="000000"/>
          <w:sz w:val="72"/>
          <w:szCs w:val="72"/>
        </w:rPr>
        <w:t>决算</w:t>
      </w:r>
      <w:bookmarkEnd w:id="6"/>
      <w:bookmarkEnd w:id="7"/>
      <w:bookmarkEnd w:id="8"/>
      <w:bookmarkEnd w:id="9"/>
      <w:bookmarkEnd w:id="10"/>
      <w:bookmarkEnd w:id="11"/>
      <w:r>
        <w:rPr>
          <w:rFonts w:hint="eastAsia" w:ascii="方正小标宋简体" w:hAnsi="宋体" w:eastAsia="方正小标宋简体"/>
          <w:color w:val="000000"/>
          <w:sz w:val="72"/>
          <w:szCs w:val="72"/>
        </w:rPr>
        <w:t>公开</w:t>
      </w:r>
    </w:p>
    <w:p w14:paraId="0F46755A">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33F6AB70">
      <w:pPr>
        <w:widowControl/>
        <w:jc w:val="center"/>
        <w:rPr>
          <w:rFonts w:ascii="黑体" w:hAnsi="黑体" w:eastAsia="黑体" w:cstheme="minorBidi"/>
          <w:sz w:val="28"/>
          <w:szCs w:val="28"/>
        </w:rPr>
      </w:pPr>
    </w:p>
    <w:p w14:paraId="67E441B1">
      <w:pPr>
        <w:pStyle w:val="13"/>
      </w:pPr>
    </w:p>
    <w:p w14:paraId="51026690">
      <w:pPr>
        <w:pStyle w:val="13"/>
        <w:adjustRightInd w:val="0"/>
        <w:snapToGrid w:val="0"/>
        <w:spacing w:before="0"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rPr>
        <w:t>第一部分 部门概况…………………………………………………………………4</w:t>
      </w:r>
    </w:p>
    <w:p w14:paraId="2B5FCE3C">
      <w:pPr>
        <w:pStyle w:val="14"/>
        <w:adjustRightInd w:val="0"/>
        <w:snapToGrid w:val="0"/>
        <w:spacing w:line="440" w:lineRule="exact"/>
        <w:rPr>
          <w:rFonts w:ascii="仿宋_GB2312" w:hAnsi="仿宋_GB2312" w:eastAsia="仿宋_GB2312" w:cs="仿宋_GB2312"/>
          <w:sz w:val="24"/>
        </w:rPr>
      </w:pPr>
      <w:r>
        <w:rPr>
          <w:rFonts w:hint="eastAsia" w:ascii="仿宋_GB2312" w:hAnsi="仿宋_GB2312" w:eastAsia="仿宋_GB2312" w:cs="仿宋_GB2312"/>
          <w:sz w:val="24"/>
        </w:rPr>
        <w:t>一、基本职能及主要工作………………………………………………………4</w:t>
      </w:r>
    </w:p>
    <w:p w14:paraId="4372B577">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二、机构设置……………………………………………………………………10</w:t>
      </w:r>
    </w:p>
    <w:p w14:paraId="2FF6588E">
      <w:pPr>
        <w:pStyle w:val="13"/>
        <w:adjustRightInd w:val="0"/>
        <w:snapToGrid w:val="0"/>
        <w:spacing w:before="0"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rPr>
        <w:t>第二部分</w:t>
      </w:r>
      <w:r>
        <w:rPr>
          <w:rFonts w:hint="eastAsia" w:ascii="仿宋_GB2312" w:hAnsi="仿宋_GB2312" w:eastAsia="仿宋_GB2312" w:cs="仿宋_GB2312"/>
          <w:sz w:val="24"/>
          <w:lang w:val="en-US" w:eastAsia="zh-CN"/>
        </w:rPr>
        <w:t>2020</w:t>
      </w:r>
      <w:r>
        <w:rPr>
          <w:rFonts w:hint="eastAsia" w:ascii="仿宋_GB2312" w:hAnsi="仿宋_GB2312" w:eastAsia="仿宋_GB2312" w:cs="仿宋_GB2312"/>
          <w:sz w:val="24"/>
        </w:rPr>
        <w:t>年度部门决算情况说明……………………………………………1</w:t>
      </w:r>
      <w:r>
        <w:rPr>
          <w:rFonts w:hint="eastAsia" w:ascii="仿宋_GB2312" w:hAnsi="仿宋_GB2312" w:eastAsia="仿宋_GB2312" w:cs="仿宋_GB2312"/>
          <w:sz w:val="24"/>
          <w:lang w:val="en-US" w:eastAsia="zh-CN"/>
        </w:rPr>
        <w:t>1</w:t>
      </w:r>
    </w:p>
    <w:p w14:paraId="197CDB7E">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一、收入支出决算总体情况说明………………………………………………1</w:t>
      </w:r>
      <w:r>
        <w:rPr>
          <w:rFonts w:hint="eastAsia" w:ascii="仿宋_GB2312" w:hAnsi="仿宋_GB2312" w:eastAsia="仿宋_GB2312" w:cs="仿宋_GB2312"/>
          <w:sz w:val="24"/>
          <w:lang w:val="en-US" w:eastAsia="zh-CN"/>
        </w:rPr>
        <w:t>1</w:t>
      </w:r>
    </w:p>
    <w:p w14:paraId="31F1617D">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二、收入决算情况说明…………………………………………………………1</w:t>
      </w:r>
      <w:r>
        <w:rPr>
          <w:rFonts w:hint="eastAsia" w:ascii="仿宋_GB2312" w:hAnsi="仿宋_GB2312" w:eastAsia="仿宋_GB2312" w:cs="仿宋_GB2312"/>
          <w:sz w:val="24"/>
          <w:lang w:val="en-US" w:eastAsia="zh-CN"/>
        </w:rPr>
        <w:t>1</w:t>
      </w:r>
    </w:p>
    <w:p w14:paraId="015C117B">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三、支出决算情况说明…………………………………………………………1</w:t>
      </w:r>
      <w:r>
        <w:rPr>
          <w:rFonts w:hint="eastAsia" w:ascii="仿宋_GB2312" w:hAnsi="仿宋_GB2312" w:eastAsia="仿宋_GB2312" w:cs="仿宋_GB2312"/>
          <w:sz w:val="24"/>
          <w:lang w:val="en-US" w:eastAsia="zh-CN"/>
        </w:rPr>
        <w:t>2</w:t>
      </w:r>
    </w:p>
    <w:p w14:paraId="08F62517">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四、财政拨款收入支出决算总体情况说明……………………………………1</w:t>
      </w:r>
      <w:r>
        <w:rPr>
          <w:rFonts w:hint="eastAsia" w:ascii="仿宋_GB2312" w:hAnsi="仿宋_GB2312" w:eastAsia="仿宋_GB2312" w:cs="仿宋_GB2312"/>
          <w:sz w:val="24"/>
          <w:lang w:val="en-US" w:eastAsia="zh-CN"/>
        </w:rPr>
        <w:t>3</w:t>
      </w:r>
    </w:p>
    <w:p w14:paraId="2669D504">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五、一般公共预算财政拨款支出决算情况说明………………………………1</w:t>
      </w:r>
      <w:r>
        <w:rPr>
          <w:rFonts w:hint="eastAsia" w:ascii="仿宋_GB2312" w:hAnsi="仿宋_GB2312" w:eastAsia="仿宋_GB2312" w:cs="仿宋_GB2312"/>
          <w:sz w:val="24"/>
          <w:lang w:val="en-US" w:eastAsia="zh-CN"/>
        </w:rPr>
        <w:t>3</w:t>
      </w:r>
    </w:p>
    <w:p w14:paraId="278C9089">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六、一般公共预算财政拨款基本支出决算情况说明…………………………1</w:t>
      </w:r>
      <w:r>
        <w:rPr>
          <w:rFonts w:hint="eastAsia" w:ascii="仿宋_GB2312" w:hAnsi="仿宋_GB2312" w:eastAsia="仿宋_GB2312" w:cs="仿宋_GB2312"/>
          <w:sz w:val="24"/>
          <w:lang w:val="en-US" w:eastAsia="zh-CN"/>
        </w:rPr>
        <w:t>7</w:t>
      </w:r>
    </w:p>
    <w:p w14:paraId="7E66D157">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七、“三公”经费财政拨款支出决算情况说明…………………</w:t>
      </w:r>
      <w:r>
        <w:rPr>
          <w:rFonts w:hint="eastAsia" w:ascii="仿宋_GB2312" w:hAnsi="仿宋_GB2312" w:eastAsia="仿宋_GB2312" w:cs="仿宋_GB2312"/>
          <w:spacing w:val="11"/>
          <w:sz w:val="24"/>
        </w:rPr>
        <w:t>…………</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18</w:t>
      </w:r>
    </w:p>
    <w:p w14:paraId="7690B732">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八、政府性基金预算支出决算情况说明………………………………………</w:t>
      </w:r>
      <w:r>
        <w:rPr>
          <w:rFonts w:hint="eastAsia" w:ascii="仿宋_GB2312" w:hAnsi="仿宋_GB2312" w:eastAsia="仿宋_GB2312" w:cs="仿宋_GB2312"/>
          <w:sz w:val="24"/>
          <w:lang w:val="en-US" w:eastAsia="zh-CN"/>
        </w:rPr>
        <w:t>20</w:t>
      </w:r>
    </w:p>
    <w:p w14:paraId="191D76CB">
      <w:pPr>
        <w:pStyle w:val="14"/>
        <w:adjustRightInd w:val="0"/>
        <w:snapToGrid w:val="0"/>
        <w:spacing w:line="440" w:lineRule="exact"/>
        <w:ind w:leftChars="0"/>
        <w:jc w:val="left"/>
        <w:rPr>
          <w:rFonts w:ascii="仿宋_GB2312" w:hAnsi="仿宋_GB2312" w:eastAsia="仿宋_GB2312" w:cs="仿宋_GB2312"/>
          <w:sz w:val="24"/>
        </w:rPr>
      </w:pPr>
      <w:r>
        <w:rPr>
          <w:rFonts w:hint="eastAsia" w:ascii="仿宋_GB2312" w:hAnsi="仿宋_GB2312" w:eastAsia="仿宋_GB2312" w:cs="仿宋_GB2312"/>
          <w:sz w:val="24"/>
        </w:rPr>
        <w:t>九、 国有资本经营预算支出决算情况说明……………………………</w:t>
      </w:r>
      <w:r>
        <w:rPr>
          <w:rFonts w:hint="eastAsia" w:ascii="仿宋_GB2312" w:hAnsi="仿宋_GB2312" w:eastAsia="仿宋_GB2312" w:cs="仿宋_GB2312"/>
          <w:spacing w:val="20"/>
          <w:sz w:val="24"/>
        </w:rPr>
        <w:t>……</w:t>
      </w:r>
      <w:r>
        <w:rPr>
          <w:rFonts w:hint="eastAsia" w:ascii="仿宋_GB2312" w:hAnsi="仿宋_GB2312" w:eastAsia="仿宋_GB2312" w:cs="仿宋_GB2312"/>
          <w:sz w:val="24"/>
          <w:lang w:val="en-US" w:eastAsia="zh-CN"/>
        </w:rPr>
        <w:t>20</w:t>
      </w:r>
    </w:p>
    <w:p w14:paraId="0C5F2222">
      <w:pPr>
        <w:adjustRightInd w:val="0"/>
        <w:snapToGrid w:val="0"/>
        <w:spacing w:line="440" w:lineRule="exact"/>
        <w:ind w:firstLine="480" w:firstLineChars="200"/>
        <w:jc w:val="left"/>
        <w:rPr>
          <w:rFonts w:ascii="仿宋_GB2312" w:hAnsi="仿宋_GB2312" w:eastAsia="仿宋_GB2312" w:cs="仿宋_GB2312"/>
          <w:sz w:val="24"/>
        </w:rPr>
      </w:pPr>
      <w:r>
        <w:rPr>
          <w:rStyle w:val="18"/>
          <w:rFonts w:hint="eastAsia" w:ascii="仿宋_GB2312" w:hAnsi="仿宋_GB2312" w:eastAsia="仿宋_GB2312" w:cs="仿宋_GB2312"/>
          <w:color w:val="000000" w:themeColor="text1"/>
          <w:sz w:val="24"/>
          <w:u w:val="none"/>
          <w14:textFill>
            <w14:solidFill>
              <w14:schemeClr w14:val="tx1"/>
            </w14:solidFill>
          </w14:textFill>
        </w:rPr>
        <w:t>十、</w:t>
      </w:r>
      <w:r>
        <w:rPr>
          <w:rFonts w:hint="eastAsia" w:ascii="仿宋_GB2312" w:hAnsi="仿宋_GB2312" w:eastAsia="仿宋_GB2312" w:cs="仿宋_GB2312"/>
          <w:sz w:val="24"/>
        </w:rPr>
        <w:t>其他重要事项的情况说明…………………………………………………</w:t>
      </w:r>
      <w:r>
        <w:rPr>
          <w:rFonts w:hint="eastAsia" w:ascii="仿宋_GB2312" w:hAnsi="仿宋_GB2312" w:eastAsia="仿宋_GB2312" w:cs="仿宋_GB2312"/>
          <w:sz w:val="24"/>
          <w:lang w:val="en-US" w:eastAsia="zh-CN"/>
        </w:rPr>
        <w:t>20</w:t>
      </w:r>
    </w:p>
    <w:p w14:paraId="226EC5B3">
      <w:pPr>
        <w:pStyle w:val="13"/>
        <w:adjustRightInd w:val="0"/>
        <w:snapToGrid w:val="0"/>
        <w:spacing w:before="0"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rPr>
        <w:t>第三部分 名词解释…………………………………………………………………</w:t>
      </w:r>
      <w:r>
        <w:rPr>
          <w:rFonts w:hint="eastAsia" w:ascii="仿宋_GB2312" w:hAnsi="仿宋_GB2312" w:eastAsia="仿宋_GB2312" w:cs="仿宋_GB2312"/>
          <w:sz w:val="24"/>
          <w:lang w:val="en-US" w:eastAsia="zh-CN"/>
        </w:rPr>
        <w:t>29</w:t>
      </w:r>
    </w:p>
    <w:p w14:paraId="795ADBB1">
      <w:pPr>
        <w:pStyle w:val="13"/>
        <w:adjustRightInd w:val="0"/>
        <w:snapToGrid w:val="0"/>
        <w:spacing w:before="0"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rPr>
        <w:t>第四部分 附件………………………………………………………………………</w:t>
      </w:r>
      <w:r>
        <w:rPr>
          <w:rFonts w:hint="eastAsia" w:ascii="仿宋_GB2312" w:hAnsi="仿宋_GB2312" w:eastAsia="仿宋_GB2312" w:cs="仿宋_GB2312"/>
          <w:sz w:val="24"/>
          <w:lang w:val="en-US" w:eastAsia="zh-CN"/>
        </w:rPr>
        <w:t>35</w:t>
      </w:r>
    </w:p>
    <w:p w14:paraId="7D0D8A57">
      <w:pPr>
        <w:spacing w:line="6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附件1 </w:t>
      </w:r>
      <w:r>
        <w:rPr>
          <w:rFonts w:hint="eastAsia" w:ascii="仿宋_GB2312" w:hAnsi="仿宋_GB2312" w:eastAsia="仿宋_GB2312" w:cs="仿宋_GB2312"/>
          <w:color w:val="000000" w:themeColor="text1"/>
          <w:kern w:val="0"/>
          <w:sz w:val="24"/>
          <w14:textFill>
            <w14:solidFill>
              <w14:schemeClr w14:val="tx1"/>
            </w14:solidFill>
          </w14:textFill>
        </w:rPr>
        <w:t>20</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20</w:t>
      </w:r>
      <w:r>
        <w:rPr>
          <w:rFonts w:hint="eastAsia" w:ascii="仿宋_GB2312" w:hAnsi="仿宋_GB2312" w:eastAsia="仿宋_GB2312" w:cs="仿宋_GB2312"/>
          <w:color w:val="000000" w:themeColor="text1"/>
          <w:kern w:val="0"/>
          <w:sz w:val="24"/>
          <w14:textFill>
            <w14:solidFill>
              <w14:schemeClr w14:val="tx1"/>
            </w14:solidFill>
          </w14:textFill>
        </w:rPr>
        <w:t>年部门</w:t>
      </w:r>
      <w:r>
        <w:rPr>
          <w:rFonts w:hint="eastAsia" w:ascii="仿宋_GB2312" w:hAnsi="仿宋_GB2312" w:eastAsia="仿宋_GB2312" w:cs="仿宋_GB2312"/>
          <w:color w:val="000000" w:themeColor="text1"/>
          <w:kern w:val="0"/>
          <w:sz w:val="24"/>
          <w:lang w:val="zh-CN"/>
          <w14:textFill>
            <w14:solidFill>
              <w14:schemeClr w14:val="tx1"/>
            </w14:solidFill>
          </w14:textFill>
        </w:rPr>
        <w:t>整体支出绩效评价报告</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35</w:t>
      </w:r>
    </w:p>
    <w:p w14:paraId="3D9A586C">
      <w:pPr>
        <w:spacing w:line="5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附件2</w:t>
      </w:r>
      <w:r>
        <w:rPr>
          <w:rFonts w:hint="eastAsia" w:ascii="仿宋_GB2312" w:hAnsi="仿宋_GB2312" w:eastAsia="仿宋_GB2312" w:cs="仿宋_GB2312"/>
          <w:sz w:val="24"/>
          <w:lang w:val="en-US" w:eastAsia="zh-CN"/>
        </w:rPr>
        <w:t>水上项目训练经费</w:t>
      </w:r>
      <w:r>
        <w:rPr>
          <w:rFonts w:hint="eastAsia" w:ascii="仿宋_GB2312" w:hAnsi="仿宋_GB2312" w:eastAsia="仿宋_GB2312" w:cs="仿宋_GB2312"/>
          <w:sz w:val="24"/>
        </w:rPr>
        <w:t>项目支出绩效报告 ……………………</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39</w:t>
      </w:r>
    </w:p>
    <w:p w14:paraId="388878A4">
      <w:pPr>
        <w:pStyle w:val="13"/>
        <w:adjustRightInd w:val="0"/>
        <w:snapToGrid w:val="0"/>
        <w:spacing w:before="0"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rPr>
        <w:t>第五部分 附表………………………………………………………………………</w:t>
      </w:r>
      <w:r>
        <w:rPr>
          <w:rFonts w:hint="eastAsia" w:ascii="仿宋_GB2312" w:hAnsi="仿宋_GB2312" w:eastAsia="仿宋_GB2312" w:cs="仿宋_GB2312"/>
          <w:sz w:val="24"/>
          <w:lang w:val="en-US" w:eastAsia="zh-CN"/>
        </w:rPr>
        <w:t>43</w:t>
      </w:r>
    </w:p>
    <w:p w14:paraId="08D6830D">
      <w:pPr>
        <w:pStyle w:val="14"/>
        <w:adjustRightInd w:val="0"/>
        <w:snapToGrid w:val="0"/>
        <w:spacing w:line="440" w:lineRule="exact"/>
        <w:ind w:left="0" w:leftChars="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一、</w:t>
      </w:r>
      <w:r>
        <w:rPr>
          <w:rFonts w:hint="eastAsia" w:ascii="仿宋_GB2312" w:hAnsi="仿宋_GB2312" w:eastAsia="仿宋_GB2312" w:cs="仿宋_GB2312"/>
          <w:sz w:val="24"/>
        </w:rPr>
        <w:t>收入支出决算总表 ……………………………………………………</w:t>
      </w:r>
      <w:r>
        <w:rPr>
          <w:rFonts w:hint="eastAsia" w:ascii="仿宋_GB2312" w:hAnsi="仿宋_GB2312" w:eastAsia="仿宋_GB2312" w:cs="仿宋_GB2312"/>
          <w:sz w:val="24"/>
          <w:lang w:val="en-US" w:eastAsia="zh-CN"/>
        </w:rPr>
        <w:t>…44</w:t>
      </w:r>
    </w:p>
    <w:p w14:paraId="5A313F32">
      <w:pPr>
        <w:pStyle w:val="14"/>
        <w:adjustRightInd w:val="0"/>
        <w:snapToGrid w:val="0"/>
        <w:spacing w:line="440" w:lineRule="exact"/>
        <w:ind w:left="420" w:leftChars="200" w:firstLine="60" w:firstLineChars="25"/>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二、</w:t>
      </w:r>
      <w:r>
        <w:rPr>
          <w:rFonts w:hint="eastAsia" w:ascii="仿宋_GB2312" w:hAnsi="仿宋_GB2312" w:eastAsia="仿宋_GB2312" w:cs="仿宋_GB2312"/>
          <w:sz w:val="24"/>
        </w:rPr>
        <w:t>收入决算表 ……………………………………………………………</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45   三、</w:t>
      </w:r>
      <w:r>
        <w:rPr>
          <w:rFonts w:hint="eastAsia" w:ascii="仿宋_GB2312" w:hAnsi="仿宋_GB2312" w:eastAsia="仿宋_GB2312" w:cs="仿宋_GB2312"/>
          <w:sz w:val="24"/>
        </w:rPr>
        <w:t>支出决算表 ……………………………………………………………</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46</w:t>
      </w:r>
    </w:p>
    <w:p w14:paraId="08C356E6">
      <w:pPr>
        <w:pStyle w:val="14"/>
        <w:adjustRightInd w:val="0"/>
        <w:snapToGrid w:val="0"/>
        <w:spacing w:line="440" w:lineRule="exact"/>
        <w:ind w:left="0" w:leftChars="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四、</w:t>
      </w:r>
      <w:r>
        <w:rPr>
          <w:rFonts w:hint="eastAsia" w:ascii="仿宋_GB2312" w:hAnsi="仿宋_GB2312" w:eastAsia="仿宋_GB2312" w:cs="仿宋_GB2312"/>
          <w:sz w:val="24"/>
        </w:rPr>
        <w:t>财政拨款收入支出决算总表 …………………………………………</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47</w:t>
      </w:r>
    </w:p>
    <w:p w14:paraId="34094B82">
      <w:pPr>
        <w:pStyle w:val="14"/>
        <w:adjustRightInd w:val="0"/>
        <w:snapToGrid w:val="0"/>
        <w:spacing w:line="440" w:lineRule="exact"/>
        <w:ind w:left="0" w:leftChars="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五、</w:t>
      </w:r>
      <w:r>
        <w:rPr>
          <w:rFonts w:hint="eastAsia" w:ascii="仿宋_GB2312" w:hAnsi="仿宋_GB2312" w:eastAsia="仿宋_GB2312" w:cs="仿宋_GB2312"/>
          <w:sz w:val="24"/>
        </w:rPr>
        <w:t>财政拨款支出决算明细表 ……………………………………………</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48</w:t>
      </w:r>
    </w:p>
    <w:p w14:paraId="0B3D11F8">
      <w:pPr>
        <w:pStyle w:val="14"/>
        <w:adjustRightInd w:val="0"/>
        <w:snapToGrid w:val="0"/>
        <w:spacing w:line="440" w:lineRule="exact"/>
        <w:ind w:left="0" w:leftChars="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六、</w:t>
      </w:r>
      <w:r>
        <w:rPr>
          <w:rFonts w:hint="eastAsia" w:ascii="仿宋_GB2312" w:hAnsi="仿宋_GB2312" w:eastAsia="仿宋_GB2312" w:cs="仿宋_GB2312"/>
          <w:sz w:val="24"/>
        </w:rPr>
        <w:t>一般公共预算财政拨款支出决算表 …………………………………</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49</w:t>
      </w:r>
    </w:p>
    <w:p w14:paraId="07B911E9">
      <w:pPr>
        <w:pStyle w:val="14"/>
        <w:adjustRightInd w:val="0"/>
        <w:snapToGrid w:val="0"/>
        <w:spacing w:line="440" w:lineRule="exact"/>
        <w:ind w:left="0" w:leftChars="0"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七、</w:t>
      </w:r>
      <w:r>
        <w:rPr>
          <w:rFonts w:hint="eastAsia" w:ascii="仿宋_GB2312" w:hAnsi="仿宋_GB2312" w:eastAsia="仿宋_GB2312" w:cs="仿宋_GB2312"/>
          <w:sz w:val="24"/>
        </w:rPr>
        <w:t>一般公共预算财政拨款支出决算明细表 ……………………………</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5</w:t>
      </w:r>
      <w:r>
        <w:rPr>
          <w:rFonts w:hint="eastAsia" w:ascii="仿宋_GB2312" w:hAnsi="仿宋_GB2312" w:eastAsia="仿宋_GB2312" w:cs="仿宋_GB2312"/>
          <w:sz w:val="24"/>
          <w:lang w:val="en-US" w:eastAsia="zh-CN"/>
        </w:rPr>
        <w:t>0</w:t>
      </w:r>
    </w:p>
    <w:p w14:paraId="729B5F13">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 xml:space="preserve"> 八、</w:t>
      </w:r>
      <w:r>
        <w:rPr>
          <w:rFonts w:hint="eastAsia" w:ascii="仿宋_GB2312" w:hAnsi="仿宋_GB2312" w:eastAsia="仿宋_GB2312" w:cs="仿宋_GB2312"/>
          <w:sz w:val="24"/>
        </w:rPr>
        <w:t>一般公共预算财政拨款基本支出决算表………………………………</w:t>
      </w:r>
      <w:r>
        <w:rPr>
          <w:rFonts w:hint="eastAsia" w:ascii="仿宋_GB2312" w:hAnsi="仿宋_GB2312" w:eastAsia="仿宋_GB2312" w:cs="仿宋_GB2312"/>
          <w:sz w:val="24"/>
          <w:lang w:val="en-US" w:eastAsia="zh-CN"/>
        </w:rPr>
        <w:t>51</w:t>
      </w:r>
    </w:p>
    <w:p w14:paraId="658211D4">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 xml:space="preserve"> 九、</w:t>
      </w:r>
      <w:r>
        <w:rPr>
          <w:rFonts w:hint="eastAsia" w:ascii="仿宋_GB2312" w:hAnsi="仿宋_GB2312" w:eastAsia="仿宋_GB2312" w:cs="仿宋_GB2312"/>
          <w:sz w:val="24"/>
        </w:rPr>
        <w:t>一般公共预算财政拨款项目支出决算表………………………………</w:t>
      </w:r>
      <w:r>
        <w:rPr>
          <w:rFonts w:hint="eastAsia" w:ascii="仿宋_GB2312" w:hAnsi="仿宋_GB2312" w:eastAsia="仿宋_GB2312" w:cs="仿宋_GB2312"/>
          <w:sz w:val="24"/>
          <w:lang w:val="en-US" w:eastAsia="zh-CN"/>
        </w:rPr>
        <w:t>52</w:t>
      </w:r>
    </w:p>
    <w:p w14:paraId="3A70A6FF">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 xml:space="preserve"> 十、</w:t>
      </w:r>
      <w:r>
        <w:rPr>
          <w:rFonts w:hint="eastAsia" w:ascii="仿宋_GB2312" w:hAnsi="仿宋_GB2312" w:eastAsia="仿宋_GB2312" w:cs="仿宋_GB2312"/>
          <w:sz w:val="24"/>
        </w:rPr>
        <w:t>一般公共预算财政拨款“三公”经费支出决算表 …………………</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53</w:t>
      </w:r>
    </w:p>
    <w:p w14:paraId="573DC22E">
      <w:pPr>
        <w:pStyle w:val="14"/>
        <w:adjustRightInd w:val="0"/>
        <w:snapToGrid w:val="0"/>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 xml:space="preserve"> 十一、</w:t>
      </w:r>
      <w:r>
        <w:rPr>
          <w:rFonts w:hint="eastAsia" w:ascii="仿宋_GB2312" w:hAnsi="仿宋_GB2312" w:eastAsia="仿宋_GB2312" w:cs="仿宋_GB2312"/>
          <w:sz w:val="24"/>
        </w:rPr>
        <w:t>政府性基金预算财政拨款收入支出决算表 …………………………</w:t>
      </w:r>
      <w:r>
        <w:rPr>
          <w:rFonts w:hint="eastAsia" w:ascii="仿宋_GB2312" w:hAnsi="仿宋_GB2312" w:eastAsia="仿宋_GB2312" w:cs="仿宋_GB2312"/>
          <w:sz w:val="24"/>
          <w:lang w:val="en-US" w:eastAsia="zh-CN"/>
        </w:rPr>
        <w:t>54</w:t>
      </w:r>
    </w:p>
    <w:p w14:paraId="2FB91D93">
      <w:pPr>
        <w:pStyle w:val="14"/>
        <w:adjustRightInd w:val="0"/>
        <w:snapToGrid w:val="0"/>
        <w:spacing w:line="44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十二、</w:t>
      </w:r>
      <w:r>
        <w:rPr>
          <w:rFonts w:hint="eastAsia" w:ascii="仿宋_GB2312" w:hAnsi="仿宋_GB2312" w:eastAsia="仿宋_GB2312" w:cs="仿宋_GB2312"/>
          <w:sz w:val="24"/>
        </w:rPr>
        <w:t>政府性基金预算财政拨款“三公”经费支出决算表 ………………</w:t>
      </w:r>
      <w:r>
        <w:rPr>
          <w:rFonts w:hint="eastAsia" w:ascii="仿宋_GB2312" w:hAnsi="仿宋_GB2312" w:eastAsia="仿宋_GB2312" w:cs="仿宋_GB2312"/>
          <w:sz w:val="24"/>
          <w:lang w:val="en-US" w:eastAsia="zh-CN"/>
        </w:rPr>
        <w:t>55</w:t>
      </w:r>
    </w:p>
    <w:p w14:paraId="5A6D5455">
      <w:pPr>
        <w:pStyle w:val="14"/>
        <w:adjustRightInd w:val="0"/>
        <w:snapToGrid w:val="0"/>
        <w:spacing w:line="44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十三、</w:t>
      </w:r>
      <w:r>
        <w:rPr>
          <w:rFonts w:hint="eastAsia" w:ascii="仿宋_GB2312" w:hAnsi="仿宋_GB2312" w:eastAsia="仿宋_GB2312" w:cs="仿宋_GB2312"/>
          <w:sz w:val="24"/>
        </w:rPr>
        <w:t>国有资本经营预算财政拨款收入支出决算表</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56</w:t>
      </w:r>
    </w:p>
    <w:p w14:paraId="779BA9F6">
      <w:pPr>
        <w:rPr>
          <w:rFonts w:hint="eastAsia" w:ascii="黑体" w:hAnsi="黑体" w:eastAsia="黑体"/>
          <w:b w:val="0"/>
        </w:rPr>
      </w:pPr>
      <w:r>
        <w:rPr>
          <w:rFonts w:hint="eastAsia" w:ascii="仿宋_GB2312" w:hAnsi="仿宋_GB2312" w:eastAsia="仿宋_GB2312" w:cs="仿宋_GB2312"/>
          <w:sz w:val="24"/>
          <w:lang w:val="en-US" w:eastAsia="zh-CN"/>
        </w:rPr>
        <w:t xml:space="preserve">    十四、</w:t>
      </w:r>
      <w:r>
        <w:rPr>
          <w:rFonts w:hint="eastAsia" w:ascii="仿宋_GB2312" w:hAnsi="仿宋_GB2312" w:eastAsia="仿宋_GB2312" w:cs="仿宋_GB2312"/>
          <w:sz w:val="24"/>
        </w:rPr>
        <w:t>国有资本经营预算支出决算表 ………………………………………</w:t>
      </w:r>
      <w:bookmarkStart w:id="12" w:name="_Toc15377196"/>
      <w:bookmarkStart w:id="13" w:name="_Toc15396599"/>
      <w:r>
        <w:rPr>
          <w:rFonts w:hint="eastAsia" w:ascii="仿宋_GB2312" w:hAnsi="仿宋_GB2312" w:eastAsia="仿宋_GB2312" w:cs="仿宋_GB2312"/>
          <w:sz w:val="24"/>
          <w:lang w:val="en-US" w:eastAsia="zh-CN"/>
        </w:rPr>
        <w:t>57</w:t>
      </w:r>
    </w:p>
    <w:p w14:paraId="33310EC0">
      <w:pPr>
        <w:pStyle w:val="4"/>
        <w:jc w:val="both"/>
        <w:rPr>
          <w:rFonts w:hint="eastAsia" w:ascii="黑体" w:hAnsi="黑体" w:eastAsia="黑体"/>
          <w:b w:val="0"/>
        </w:rPr>
      </w:pPr>
    </w:p>
    <w:p w14:paraId="6D19F471">
      <w:pPr>
        <w:pStyle w:val="4"/>
        <w:jc w:val="both"/>
        <w:rPr>
          <w:rFonts w:hint="eastAsia" w:ascii="黑体" w:hAnsi="黑体" w:eastAsia="黑体"/>
          <w:b w:val="0"/>
        </w:rPr>
      </w:pPr>
    </w:p>
    <w:p w14:paraId="56699AAB">
      <w:pPr>
        <w:pStyle w:val="4"/>
        <w:jc w:val="both"/>
        <w:rPr>
          <w:rFonts w:hint="eastAsia" w:ascii="黑体" w:hAnsi="黑体" w:eastAsia="黑体"/>
          <w:b w:val="0"/>
        </w:rPr>
      </w:pPr>
    </w:p>
    <w:p w14:paraId="22ABC270">
      <w:pPr>
        <w:pStyle w:val="4"/>
        <w:jc w:val="both"/>
        <w:rPr>
          <w:rFonts w:hint="eastAsia" w:ascii="黑体" w:hAnsi="黑体" w:eastAsia="黑体"/>
          <w:b w:val="0"/>
        </w:rPr>
      </w:pPr>
    </w:p>
    <w:p w14:paraId="7DEDF853">
      <w:pPr>
        <w:pStyle w:val="4"/>
        <w:jc w:val="both"/>
        <w:rPr>
          <w:rFonts w:hint="eastAsia" w:ascii="黑体" w:hAnsi="黑体" w:eastAsia="黑体"/>
          <w:b w:val="0"/>
        </w:rPr>
      </w:pPr>
    </w:p>
    <w:p w14:paraId="0C914D41">
      <w:pPr>
        <w:pStyle w:val="4"/>
        <w:jc w:val="both"/>
        <w:rPr>
          <w:rFonts w:hint="eastAsia" w:ascii="黑体" w:hAnsi="黑体" w:eastAsia="黑体"/>
          <w:b w:val="0"/>
        </w:rPr>
      </w:pPr>
    </w:p>
    <w:p w14:paraId="723D19CC">
      <w:pPr>
        <w:rPr>
          <w:rFonts w:hint="eastAsia" w:ascii="黑体" w:hAnsi="黑体" w:eastAsia="黑体"/>
          <w:b w:val="0"/>
        </w:rPr>
      </w:pPr>
    </w:p>
    <w:p w14:paraId="027FCF28">
      <w:pPr>
        <w:pStyle w:val="2"/>
        <w:rPr>
          <w:rFonts w:hint="eastAsia" w:ascii="黑体" w:hAnsi="黑体" w:eastAsia="黑体"/>
          <w:b w:val="0"/>
        </w:rPr>
      </w:pPr>
    </w:p>
    <w:p w14:paraId="2ACD1824">
      <w:pPr>
        <w:pStyle w:val="2"/>
        <w:rPr>
          <w:rFonts w:hint="eastAsia" w:ascii="黑体" w:hAnsi="黑体" w:eastAsia="黑体"/>
          <w:b w:val="0"/>
        </w:rPr>
      </w:pPr>
    </w:p>
    <w:p w14:paraId="5357E3CB">
      <w:pPr>
        <w:pStyle w:val="2"/>
        <w:rPr>
          <w:rFonts w:hint="eastAsia" w:ascii="黑体" w:hAnsi="黑体" w:eastAsia="黑体"/>
          <w:b w:val="0"/>
        </w:rPr>
      </w:pPr>
    </w:p>
    <w:p w14:paraId="3EEA665C">
      <w:pPr>
        <w:pStyle w:val="2"/>
        <w:rPr>
          <w:rFonts w:hint="eastAsia" w:ascii="黑体" w:hAnsi="黑体" w:eastAsia="黑体"/>
          <w:b w:val="0"/>
        </w:rPr>
      </w:pPr>
    </w:p>
    <w:p w14:paraId="7769A83D">
      <w:pPr>
        <w:pStyle w:val="2"/>
        <w:rPr>
          <w:rFonts w:hint="eastAsia" w:ascii="黑体" w:hAnsi="黑体" w:eastAsia="黑体"/>
          <w:b w:val="0"/>
        </w:rPr>
      </w:pPr>
    </w:p>
    <w:p w14:paraId="6DF5D28C">
      <w:pPr>
        <w:pStyle w:val="2"/>
        <w:rPr>
          <w:rFonts w:hint="eastAsia" w:ascii="黑体" w:hAnsi="黑体" w:eastAsia="黑体"/>
          <w:b w:val="0"/>
        </w:rPr>
      </w:pPr>
    </w:p>
    <w:p w14:paraId="69E33053">
      <w:pPr>
        <w:pStyle w:val="2"/>
        <w:rPr>
          <w:rFonts w:hint="eastAsia" w:ascii="黑体" w:hAnsi="黑体" w:eastAsia="黑体"/>
          <w:b w:val="0"/>
        </w:rPr>
      </w:pPr>
    </w:p>
    <w:p w14:paraId="602D817E">
      <w:pPr>
        <w:pStyle w:val="4"/>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14:paraId="2A39A2A8">
      <w:pPr>
        <w:widowControl/>
        <w:jc w:val="left"/>
        <w:rPr>
          <w:rFonts w:ascii="黑体" w:eastAsia="黑体"/>
          <w:color w:val="000000"/>
          <w:sz w:val="32"/>
          <w:szCs w:val="32"/>
        </w:rPr>
      </w:pPr>
    </w:p>
    <w:p w14:paraId="7A62F00F">
      <w:pPr>
        <w:pStyle w:val="5"/>
        <w:pageBreakBefore w:val="0"/>
        <w:widowControl w:val="0"/>
        <w:kinsoku/>
        <w:wordWrap/>
        <w:overflowPunct/>
        <w:topLinePunct w:val="0"/>
        <w:autoSpaceDE/>
        <w:autoSpaceDN/>
        <w:bidi w:val="0"/>
        <w:adjustRightInd/>
        <w:snapToGrid/>
        <w:spacing w:before="0" w:after="0" w:line="600" w:lineRule="exact"/>
        <w:ind w:left="0" w:leftChars="0" w:right="0" w:rightChars="0"/>
        <w:jc w:val="both"/>
        <w:textAlignment w:val="auto"/>
        <w:rPr>
          <w:rStyle w:val="28"/>
          <w:rFonts w:hint="eastAsia"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4"/>
      <w:bookmarkEnd w:id="15"/>
      <w:bookmarkStart w:id="16" w:name="_Toc15377198"/>
      <w:bookmarkStart w:id="17" w:name="_Toc15378445"/>
    </w:p>
    <w:p w14:paraId="59BE690B">
      <w:pPr>
        <w:pStyle w:val="5"/>
        <w:pageBreakBefore w:val="0"/>
        <w:widowControl w:val="0"/>
        <w:kinsoku/>
        <w:wordWrap/>
        <w:overflowPunct/>
        <w:topLinePunct w:val="0"/>
        <w:autoSpaceDE/>
        <w:autoSpaceDN/>
        <w:bidi w:val="0"/>
        <w:adjustRightInd/>
        <w:snapToGrid/>
        <w:spacing w:before="0" w:after="0" w:line="600" w:lineRule="exact"/>
        <w:ind w:left="0" w:leftChars="0" w:right="0" w:rightChars="0"/>
        <w:jc w:val="both"/>
        <w:textAlignment w:val="auto"/>
        <w:rPr>
          <w:rFonts w:ascii="仿宋" w:hAnsi="仿宋" w:eastAsia="仿宋"/>
          <w:b w:val="0"/>
          <w:bCs w:val="0"/>
        </w:rPr>
      </w:pPr>
      <w:r>
        <w:rPr>
          <w:rFonts w:hint="eastAsia" w:ascii="楷体" w:hAnsi="楷体" w:eastAsia="楷体" w:cs="楷体"/>
        </w:rPr>
        <w:t>（一）主要职能</w:t>
      </w:r>
    </w:p>
    <w:p w14:paraId="28E10887">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1.起草文化、体育、广播电视和旅游地方性法规、规章草案，拟订文化、体育、广播电视和旅游政策措施，负责本部门依法行政工作。</w:t>
      </w:r>
    </w:p>
    <w:p w14:paraId="658A8671">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2.组织推动全区文化事业、文化产业、体育事业、体育产业、广播电视产业和旅游业发展，拟订发展规划并组织实施，推进文化、体育、广播电视和旅游体制机制改革，推进文化、体育和旅游融合发展。</w:t>
      </w:r>
    </w:p>
    <w:p w14:paraId="1C84BF1C">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管理全区性重大文化、体育、广播电视和旅游活动，指导全区重点文化、体育、广播电视和旅游整体形象推广，促进文化产业、体育产业、广播电视产业和旅游产业对外合作和市场推广，制定旅游市场开发战略并组织实施，推进全域旅游。</w:t>
      </w:r>
    </w:p>
    <w:p w14:paraId="15F65B9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4.指导管理文艺事业，推动艺术创作生产，扶持体现社会主义核心价值观、具有导向性代表性示范性的文艺作品，推动各门类艺术、各艺术品种发展，推动中华优秀传统文化和巴蜀文化传承发展。</w:t>
      </w:r>
    </w:p>
    <w:p w14:paraId="1D7C5DD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5.负责公共文化事业发展，推进全区公共文化服务体系建设和旅游公共服务建设，深入实施文化惠民工程，统筹推进文化体育广播电视基本公共服务标准化、均等化。组织实施公共服务重大公益工程和活动。</w:t>
      </w:r>
    </w:p>
    <w:p w14:paraId="5DD9BFE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6.推进文化体育广播电视和旅游科技创新发展，推进文化、体育和旅游行业信息化、标准化建设。</w:t>
      </w:r>
    </w:p>
    <w:p w14:paraId="365E4F6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7.负责非物质文化遗产保护，推动非物质文化遗产的保护、传承、普及、弘扬和振兴。</w:t>
      </w:r>
    </w:p>
    <w:p w14:paraId="1013290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8.组织实施文化、体育和旅游资源普查、挖掘、保护与利用工作，促进文化产业、体育产业和旅游产业发展。</w:t>
      </w:r>
    </w:p>
    <w:p w14:paraId="446FE24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9.指导文化、体育</w:t>
      </w:r>
      <w:r>
        <w:rPr>
          <w:rFonts w:hint="eastAsia" w:ascii="仿宋_GB2312" w:hAnsi="仿宋_GB2312" w:cs="仿宋_GB2312"/>
          <w:sz w:val="32"/>
          <w:szCs w:val="32"/>
        </w:rPr>
        <w:t>、</w:t>
      </w:r>
      <w:r>
        <w:rPr>
          <w:rFonts w:hint="eastAsia" w:ascii="仿宋_GB2312" w:hAnsi="仿宋_GB2312" w:eastAsia="仿宋_GB2312" w:cs="仿宋_GB2312"/>
          <w:sz w:val="32"/>
          <w:szCs w:val="32"/>
        </w:rPr>
        <w:t>广播电视和旅游市场发展，对文化、体育</w:t>
      </w:r>
      <w:r>
        <w:rPr>
          <w:rFonts w:hint="eastAsia" w:ascii="仿宋_GB2312" w:hAnsi="仿宋_GB2312" w:cs="仿宋_GB2312"/>
          <w:sz w:val="32"/>
          <w:szCs w:val="32"/>
        </w:rPr>
        <w:t>、</w:t>
      </w:r>
      <w:r>
        <w:rPr>
          <w:rFonts w:hint="eastAsia" w:ascii="仿宋_GB2312" w:hAnsi="仿宋_GB2312" w:eastAsia="仿宋_GB2312" w:cs="仿宋_GB2312"/>
          <w:sz w:val="32"/>
          <w:szCs w:val="32"/>
        </w:rPr>
        <w:t>广播电视和旅游市场经营进行行业监管，推进文化、体育</w:t>
      </w:r>
      <w:r>
        <w:rPr>
          <w:rFonts w:hint="eastAsia" w:ascii="仿宋_GB2312" w:hAnsi="仿宋_GB2312" w:cs="仿宋_GB2312"/>
          <w:sz w:val="32"/>
          <w:szCs w:val="32"/>
        </w:rPr>
        <w:t>、</w:t>
      </w:r>
      <w:r>
        <w:rPr>
          <w:rFonts w:hint="eastAsia" w:ascii="仿宋_GB2312" w:hAnsi="仿宋_GB2312" w:eastAsia="仿宋_GB2312" w:cs="仿宋_GB2312"/>
          <w:sz w:val="32"/>
          <w:szCs w:val="32"/>
        </w:rPr>
        <w:t>广播电视和旅游行业信用体系建设，依法规范文化、体育</w:t>
      </w:r>
      <w:r>
        <w:rPr>
          <w:rFonts w:hint="eastAsia" w:ascii="仿宋_GB2312" w:hAnsi="仿宋_GB2312" w:cs="仿宋_GB2312"/>
          <w:sz w:val="32"/>
          <w:szCs w:val="32"/>
        </w:rPr>
        <w:t>、</w:t>
      </w:r>
      <w:r>
        <w:rPr>
          <w:rFonts w:hint="eastAsia" w:ascii="仿宋_GB2312" w:hAnsi="仿宋_GB2312" w:eastAsia="仿宋_GB2312" w:cs="仿宋_GB2312"/>
          <w:sz w:val="32"/>
          <w:szCs w:val="32"/>
        </w:rPr>
        <w:t>广播电视和旅游市场。</w:t>
      </w:r>
    </w:p>
    <w:p w14:paraId="4AEF2CD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负责对广播电视播出传输机构、网络视听节目服务机构的业务指导和行业监管。监督管理、审查广播电视和网络视听节目的内容及质量。监督管理广播电视节目传输覆盖、监测和安全播出。指导、监管广播电视广告播放。负责推进广播电视与新媒体新技术新业态融合发展，推进广电网与电信网、互联网三网融合。组织实施广播电视节目评价工作。指导、推进应急广播体系建设。指导、推进广播电视、网络视听行业人才队伍建设。</w:t>
      </w:r>
    </w:p>
    <w:p w14:paraId="0BB9008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管理、指导全区文物保护利用和博物馆工作，协调、指导和监管全区文物安全。履行文物行政监督职责。组织文物资源调查。负责组织遴选、申报区级以上文物保护单位。组织协调重大文物保护、考古项目的实施。组织管理基本建设涉及文物保护相关工作。组织指导文物保护宣传工作。负责世界文化遗产保护和管理的监督工作，组织开展世界文化遗产申报。协同相关部门负责世界文化和自然遗产、历史文化名城（镇、村）申报和监督管理工作。</w:t>
      </w:r>
    </w:p>
    <w:p w14:paraId="423C17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12.统筹全区文化市场综合执法，组织查处全区性文化、体育、</w:t>
      </w:r>
      <w:r>
        <w:rPr>
          <w:rFonts w:hint="eastAsia" w:ascii="仿宋_GB2312" w:hAnsi="仿宋_GB2312" w:cs="仿宋_GB2312"/>
          <w:sz w:val="32"/>
          <w:szCs w:val="32"/>
        </w:rPr>
        <w:t>广电、</w:t>
      </w:r>
      <w:r>
        <w:rPr>
          <w:rFonts w:hint="eastAsia" w:ascii="仿宋_GB2312" w:hAnsi="仿宋_GB2312" w:eastAsia="仿宋_GB2312" w:cs="仿宋_GB2312"/>
          <w:sz w:val="32"/>
          <w:szCs w:val="32"/>
        </w:rPr>
        <w:t>文物、旅游等市场的违法行为，督查督办大案要案，维护市场秩序。</w:t>
      </w:r>
    </w:p>
    <w:p w14:paraId="1367050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13.负责管理文化、体育、广播电视和旅游对外交流合作与宣传推广工作，代表罗江区签订对外文化、体育、广播电视和旅游合作协定，组织大型文化、体育、广播电视和旅游对外交流活动，推动罗江文化走出去。</w:t>
      </w:r>
    </w:p>
    <w:p w14:paraId="104D7AAF">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14.负责文化、广播电视和旅游系统及市场安全生产工作的综合协调与监督管理，对文化旅游园区的安全生产和职业健康工作实施行业监督管理。制定职责范围内的安全生产年度监督检查计划并组织实施。</w:t>
      </w:r>
    </w:p>
    <w:p w14:paraId="0F02350B">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15.负责职责范围内的安全生产和职业健康</w:t>
      </w:r>
      <w:r>
        <w:rPr>
          <w:rFonts w:hint="eastAsia" w:ascii="仿宋_GB2312" w:hAnsi="仿宋_GB2312" w:cs="仿宋_GB2312"/>
          <w:sz w:val="32"/>
          <w:szCs w:val="32"/>
        </w:rPr>
        <w:t>、</w:t>
      </w:r>
      <w:r>
        <w:rPr>
          <w:rFonts w:hint="eastAsia" w:ascii="仿宋_GB2312" w:hAnsi="仿宋_GB2312" w:eastAsia="仿宋_GB2312" w:cs="仿宋_GB2312"/>
          <w:sz w:val="32"/>
          <w:szCs w:val="32"/>
        </w:rPr>
        <w:t>生态环境保护等工作。</w:t>
      </w:r>
    </w:p>
    <w:p w14:paraId="29056B4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16.按照本部门权责清单履行相关职责。</w:t>
      </w:r>
    </w:p>
    <w:p w14:paraId="126E7E2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17.完成区委、区政府交办的其他任务。</w:t>
      </w:r>
    </w:p>
    <w:p w14:paraId="75DF66A9">
      <w:pPr>
        <w:snapToGrid w:val="0"/>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18.职能转变。以人民美好生活为引导，统筹推进文化、体育、广播电视、旅游事业快速发展。用好文化创意、科技创新和社会投资等新动能，促进文化、体育和旅游与相关产业融合发展。提升罗江文化软实力、旅游竞争力。</w:t>
      </w:r>
    </w:p>
    <w:bookmarkEnd w:id="16"/>
    <w:bookmarkEnd w:id="17"/>
    <w:p w14:paraId="0CBFC76D">
      <w:pPr>
        <w:snapToGrid w:val="0"/>
        <w:spacing w:line="560" w:lineRule="exact"/>
        <w:ind w:firstLine="643" w:firstLineChars="200"/>
        <w:rPr>
          <w:rFonts w:hint="eastAsia" w:ascii="楷体" w:hAnsi="楷体" w:eastAsia="楷体" w:cs="楷体"/>
          <w:b/>
          <w:bCs/>
          <w:sz w:val="32"/>
          <w:szCs w:val="32"/>
        </w:rPr>
      </w:pPr>
      <w:bookmarkStart w:id="18" w:name="_Toc15377199"/>
      <w:bookmarkStart w:id="19" w:name="_Toc15378446"/>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）2020年重点工作完成情况。</w:t>
      </w:r>
      <w:bookmarkEnd w:id="18"/>
      <w:bookmarkEnd w:id="19"/>
    </w:p>
    <w:p w14:paraId="53609779">
      <w:pPr>
        <w:spacing w:line="520" w:lineRule="exact"/>
        <w:ind w:firstLine="640" w:firstLineChars="200"/>
        <w:rPr>
          <w:rFonts w:hint="eastAsia" w:eastAsia="仿宋_GB2312"/>
          <w:sz w:val="32"/>
          <w:szCs w:val="32"/>
        </w:rPr>
      </w:pPr>
      <w:r>
        <w:rPr>
          <w:rFonts w:hint="eastAsia" w:ascii="仿宋_GB2312" w:hAnsi="仿宋_GB2312" w:eastAsia="仿宋_GB2312" w:cs="仿宋_GB2312"/>
          <w:sz w:val="32"/>
          <w:szCs w:val="32"/>
          <w:lang w:val="en-US" w:eastAsia="zh-CN"/>
        </w:rPr>
        <w:t>2020年以来，区文体广旅局始终坚持以习近平新时代中国特色社会主义思想为指导，围绕工作要点和区政府工作报告，</w:t>
      </w:r>
      <w:r>
        <w:rPr>
          <w:rFonts w:hint="eastAsia" w:ascii="仿宋_GB2312" w:hAnsi="仿宋_GB2312" w:eastAsia="仿宋_GB2312" w:cs="仿宋_GB2312"/>
          <w:color w:val="000000"/>
          <w:sz w:val="32"/>
          <w:szCs w:val="32"/>
        </w:rPr>
        <w:t>全面贯彻党的十九大和十九届二中、三中、四中全会精神，坚持新发展理念，牢牢把握满足人民群众</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文化和旅游美好生活需要的目标要求，</w:t>
      </w:r>
      <w:r>
        <w:rPr>
          <w:rFonts w:hint="eastAsia" w:ascii="仿宋_GB2312" w:hAnsi="仿宋_GB2312" w:eastAsia="仿宋_GB2312" w:cs="仿宋_GB2312"/>
          <w:color w:val="000000"/>
          <w:sz w:val="32"/>
          <w:szCs w:val="32"/>
          <w:lang w:eastAsia="zh-CN"/>
        </w:rPr>
        <w:t>以创建天府旅游名县候选县为抓手，大力</w:t>
      </w:r>
      <w:r>
        <w:rPr>
          <w:rFonts w:hint="eastAsia" w:ascii="仿宋_GB2312" w:hAnsi="仿宋_GB2312" w:eastAsia="仿宋_GB2312" w:cs="仿宋_GB2312"/>
          <w:color w:val="000000"/>
          <w:sz w:val="32"/>
          <w:szCs w:val="32"/>
        </w:rPr>
        <w:t>推进文化和旅游融合高质量发展，</w:t>
      </w:r>
      <w:r>
        <w:rPr>
          <w:rFonts w:hint="eastAsia" w:ascii="仿宋_GB2312" w:hAnsi="仿宋_GB2312" w:eastAsia="仿宋_GB2312" w:cs="仿宋_GB2312"/>
          <w:sz w:val="32"/>
          <w:szCs w:val="32"/>
          <w:lang w:val="en-US" w:eastAsia="zh-CN"/>
        </w:rPr>
        <w:t>极大的提升了罗江的知名度和美誉度。</w:t>
      </w:r>
      <w:r>
        <w:rPr>
          <w:rFonts w:hint="eastAsia" w:eastAsia="仿宋_GB2312"/>
          <w:sz w:val="32"/>
          <w:szCs w:val="32"/>
        </w:rPr>
        <w:t>具体如下：</w:t>
      </w:r>
    </w:p>
    <w:p w14:paraId="63331785">
      <w:pPr>
        <w:spacing w:line="520" w:lineRule="exact"/>
        <w:ind w:firstLine="640" w:firstLineChars="200"/>
        <w:rPr>
          <w:rFonts w:hint="eastAsia" w:ascii="楷体_GB2312" w:hAnsi="楷体_GB2312" w:eastAsia="楷体_GB2312" w:cs="楷体_GB2312"/>
          <w:b/>
          <w:bCs/>
          <w:sz w:val="32"/>
          <w:szCs w:val="32"/>
          <w:lang w:val="en-US" w:eastAsia="zh-CN"/>
        </w:rPr>
      </w:pPr>
      <w:r>
        <w:rPr>
          <w:rFonts w:hint="eastAsia" w:eastAsia="仿宋_GB2312"/>
          <w:sz w:val="32"/>
          <w:szCs w:val="32"/>
          <w:lang w:val="en-US" w:eastAsia="zh-CN"/>
        </w:rPr>
        <w:t>1、</w:t>
      </w:r>
      <w:r>
        <w:rPr>
          <w:rFonts w:hint="eastAsia" w:ascii="楷体_GB2312" w:hAnsi="楷体_GB2312" w:eastAsia="楷体_GB2312" w:cs="楷体_GB2312"/>
          <w:b/>
          <w:bCs/>
          <w:sz w:val="32"/>
          <w:szCs w:val="32"/>
          <w:lang w:val="en-US" w:eastAsia="zh-CN"/>
        </w:rPr>
        <w:t>疫情防控与复工复产两不误</w:t>
      </w:r>
    </w:p>
    <w:p w14:paraId="58F391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一是抓好疫情防控，</w:t>
      </w:r>
      <w:r>
        <w:rPr>
          <w:rFonts w:hint="eastAsia" w:ascii="仿宋_GB2312" w:hAnsi="仿宋_GB2312" w:eastAsia="仿宋_GB2312" w:cs="仿宋_GB2312"/>
          <w:sz w:val="32"/>
          <w:szCs w:val="32"/>
          <w:lang w:val="en-US" w:eastAsia="zh-CN"/>
        </w:rPr>
        <w:t>及时关停文旅市场经营单位，出动党员志愿者3000余人次，检查文旅市场经营单位900余家次，有效确保了疫情期间文旅市场安全稳定。</w:t>
      </w:r>
      <w:r>
        <w:rPr>
          <w:rFonts w:hint="eastAsia" w:ascii="仿宋_GB2312" w:hAnsi="仿宋_GB2312" w:eastAsia="仿宋_GB2312" w:cs="仿宋_GB2312"/>
          <w:b/>
          <w:bCs/>
          <w:sz w:val="32"/>
          <w:szCs w:val="32"/>
          <w:lang w:val="en-US" w:eastAsia="zh-CN"/>
        </w:rPr>
        <w:t>二是有序推进行业复产，</w:t>
      </w:r>
      <w:r>
        <w:rPr>
          <w:rFonts w:hint="eastAsia" w:ascii="仿宋_GB2312" w:hAnsi="仿宋_GB2312" w:eastAsia="仿宋_GB2312" w:cs="仿宋_GB2312"/>
          <w:sz w:val="32"/>
          <w:szCs w:val="32"/>
          <w:lang w:val="en-US" w:eastAsia="zh-CN"/>
        </w:rPr>
        <w:t>召集行业复工复产工作推进会，主动对接企业需求，积极沟通，形成《关于文旅企业恢复生产经营的实施意见》，主动解读省市有关部门文件，收集省市奖励支持政策，帮助文旅企业共度时艰。</w:t>
      </w:r>
      <w:r>
        <w:rPr>
          <w:rFonts w:hint="eastAsia" w:ascii="仿宋_GB2312" w:hAnsi="仿宋_GB2312" w:eastAsia="仿宋_GB2312" w:cs="仿宋_GB2312"/>
          <w:b/>
          <w:bCs/>
          <w:sz w:val="32"/>
          <w:szCs w:val="32"/>
          <w:lang w:val="en-US" w:eastAsia="zh-CN"/>
        </w:rPr>
        <w:t>三是丰富疫情期间文艺创作，</w:t>
      </w:r>
      <w:r>
        <w:rPr>
          <w:rFonts w:hint="eastAsia" w:ascii="仿宋_GB2312" w:hAnsi="仿宋_GB2312" w:eastAsia="仿宋_GB2312" w:cs="仿宋_GB2312"/>
          <w:sz w:val="32"/>
          <w:szCs w:val="32"/>
          <w:lang w:val="en-US" w:eastAsia="zh-CN"/>
        </w:rPr>
        <w:t>广泛开展文艺战役、线上文体活动和指导服务，收集和创作抗疫文艺作品100余件；充分发挥广电网络“最后一公里”作用，“村村响”大喇叭不停歇，</w:t>
      </w:r>
      <w:r>
        <w:rPr>
          <w:rFonts w:hint="eastAsia" w:ascii="仿宋_GB2312" w:eastAsia="仿宋_GB2312" w:cs="Times New Roman"/>
          <w:sz w:val="32"/>
          <w:szCs w:val="32"/>
          <w:lang w:val="en-US" w:eastAsia="zh-CN"/>
        </w:rPr>
        <w:t>覆盖服务全区25万群众，“成为宣传入户的“最强音”，丰富疫情期间群众精神文化生活。</w:t>
      </w:r>
    </w:p>
    <w:p w14:paraId="45A1B34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2、加快项目建设，推动基础提档升级</w:t>
      </w:r>
    </w:p>
    <w:p w14:paraId="78B81E3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一是加快文体项目建设。</w:t>
      </w:r>
      <w:r>
        <w:rPr>
          <w:rFonts w:hint="eastAsia" w:ascii="仿宋_GB2312" w:hAnsi="仿宋_GB2312" w:eastAsia="仿宋_GB2312" w:cs="仿宋_GB2312"/>
          <w:sz w:val="32"/>
          <w:szCs w:val="32"/>
          <w:lang w:val="en-US" w:eastAsia="zh-CN"/>
        </w:rPr>
        <w:t>结合乡村振兴和文明城市创建工作，投入150余万元，完成万安镇､金山镇､白马关镇综合文化站示范引领建设、</w:t>
      </w:r>
      <w:r>
        <w:rPr>
          <w:rFonts w:hint="eastAsia" w:ascii="仿宋_GB2312" w:hAnsi="仿宋_GB2312" w:eastAsia="仿宋_GB2312" w:cs="仿宋_GB2312"/>
          <w:sz w:val="32"/>
          <w:szCs w:val="32"/>
        </w:rPr>
        <w:t>4个标准5人制足球场</w:t>
      </w:r>
      <w:r>
        <w:rPr>
          <w:rFonts w:hint="eastAsia" w:ascii="仿宋_GB2312" w:hAnsi="仿宋_GB2312" w:eastAsia="仿宋_GB2312" w:cs="仿宋_GB2312"/>
          <w:sz w:val="32"/>
          <w:szCs w:val="32"/>
          <w:lang w:eastAsia="zh-CN"/>
        </w:rPr>
        <w:t>建设、文化馆公共区域维护、天台湖健身路径维护等工作；积极推进</w:t>
      </w:r>
      <w:r>
        <w:rPr>
          <w:rFonts w:hint="eastAsia" w:ascii="仿宋_GB2312" w:hAnsi="仿宋_GB2312" w:eastAsia="仿宋_GB2312" w:cs="仿宋_GB2312"/>
          <w:sz w:val="32"/>
          <w:szCs w:val="32"/>
        </w:rPr>
        <w:t>罗江区公共体育田径跑道和足球场建设项目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恒温游泳健身场馆项目</w:t>
      </w:r>
      <w:r>
        <w:rPr>
          <w:rFonts w:hint="eastAsia" w:ascii="仿宋_GB2312" w:hAnsi="仿宋_GB2312" w:eastAsia="仿宋_GB2312" w:cs="仿宋_GB2312"/>
          <w:sz w:val="32"/>
          <w:szCs w:val="32"/>
          <w:lang w:eastAsia="zh-CN"/>
        </w:rPr>
        <w:t>建设，进一步完善了全区公共文体基础设施。</w:t>
      </w:r>
      <w:r>
        <w:rPr>
          <w:rFonts w:hint="eastAsia" w:ascii="仿宋_GB2312" w:hAnsi="仿宋_GB2312" w:eastAsia="仿宋_GB2312" w:cs="仿宋_GB2312"/>
          <w:b/>
          <w:bCs/>
          <w:sz w:val="32"/>
          <w:szCs w:val="32"/>
          <w:lang w:val="en-US" w:eastAsia="zh-CN"/>
        </w:rPr>
        <w:t>二是加快旅游项目建设。</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白马关景区户外运动营地、罗江区白马关汽摩运动基地提升</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4个项目共计</w:t>
      </w:r>
      <w:r>
        <w:rPr>
          <w:rFonts w:hint="eastAsia" w:ascii="仿宋_GB2312" w:hAnsi="Segoe UI" w:eastAsia="仿宋_GB2312" w:cs="Segoe UI"/>
          <w:color w:val="222222"/>
          <w:sz w:val="32"/>
          <w:szCs w:val="32"/>
        </w:rPr>
        <w:t>53730万元</w:t>
      </w:r>
      <w:r>
        <w:rPr>
          <w:rFonts w:hint="eastAsia" w:ascii="仿宋_GB2312" w:hAnsi="Segoe UI" w:eastAsia="仿宋_GB2312" w:cs="Segoe UI"/>
          <w:color w:val="222222"/>
          <w:sz w:val="32"/>
          <w:szCs w:val="32"/>
          <w:lang w:eastAsia="zh-CN"/>
        </w:rPr>
        <w:t>的项目申报工作；完成</w:t>
      </w:r>
      <w:r>
        <w:rPr>
          <w:rFonts w:hint="eastAsia" w:ascii="仿宋_GB2312" w:hAnsi="仿宋_GB2312" w:eastAsia="仿宋_GB2312" w:cs="仿宋_GB2312"/>
          <w:sz w:val="32"/>
          <w:szCs w:val="32"/>
        </w:rPr>
        <w:t>白马关镇传统村落保护项目</w:t>
      </w:r>
      <w:r>
        <w:rPr>
          <w:rFonts w:hint="eastAsia" w:ascii="仿宋_GB2312" w:hAnsi="仿宋_GB2312" w:eastAsia="仿宋_GB2312" w:cs="仿宋_GB2312"/>
          <w:sz w:val="32"/>
          <w:szCs w:val="32"/>
          <w:lang w:eastAsia="zh-CN"/>
        </w:rPr>
        <w:t>和观音岩景区旅游厕所建设，稳步推进</w:t>
      </w:r>
      <w:r>
        <w:rPr>
          <w:rFonts w:hint="eastAsia" w:ascii="仿宋_GB2312" w:hAnsi="仿宋_GB2312" w:eastAsia="仿宋_GB2312" w:cs="仿宋_GB2312"/>
          <w:sz w:val="32"/>
          <w:szCs w:val="32"/>
        </w:rPr>
        <w:t>后乐园项目、白龙谷旅游基础配套设施项目、嘉禾庄园、水晶艺术小镇建设项目</w:t>
      </w:r>
      <w:r>
        <w:rPr>
          <w:rFonts w:hint="eastAsia" w:ascii="仿宋_GB2312" w:hAnsi="仿宋_GB2312" w:eastAsia="仿宋_GB2312" w:cs="仿宋_GB2312"/>
          <w:sz w:val="32"/>
          <w:szCs w:val="32"/>
          <w:lang w:eastAsia="zh-CN"/>
        </w:rPr>
        <w:t>建设，进一步提升全区旅游基础设施建设和接待能力。</w:t>
      </w:r>
    </w:p>
    <w:p w14:paraId="3627EFD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lang w:eastAsia="zh-CN"/>
        </w:rPr>
        <w:t>用好用活文旅资源，全面推进文旅融合</w:t>
      </w:r>
    </w:p>
    <w:p w14:paraId="0CA3C76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sz w:val="32"/>
          <w:szCs w:val="32"/>
          <w:lang w:val="en-US" w:eastAsia="zh-CN"/>
        </w:rPr>
        <w:t>（1）培育文旅产业示范品牌。</w:t>
      </w:r>
      <w:r>
        <w:rPr>
          <w:rFonts w:hint="eastAsia" w:ascii="楷体_GB2312" w:hAnsi="楷体_GB2312" w:eastAsia="楷体_GB2312" w:cs="楷体_GB2312"/>
          <w:b/>
          <w:bCs/>
          <w:color w:val="000000"/>
          <w:sz w:val="32"/>
          <w:szCs w:val="32"/>
          <w:lang w:eastAsia="zh-CN"/>
        </w:rPr>
        <w:t>一是</w:t>
      </w:r>
      <w:r>
        <w:rPr>
          <w:rFonts w:hint="eastAsia" w:ascii="仿宋_GB2312" w:hAnsi="仿宋_GB2312" w:eastAsia="仿宋_GB2312" w:cs="仿宋_GB2312"/>
          <w:color w:val="000000"/>
          <w:sz w:val="32"/>
          <w:szCs w:val="32"/>
          <w:lang w:eastAsia="zh-CN"/>
        </w:rPr>
        <w:t>结合白马关景区提档升级工作，积极推进</w:t>
      </w:r>
      <w:r>
        <w:rPr>
          <w:rFonts w:hint="eastAsia" w:ascii="仿宋_GB2312" w:hAnsi="仿宋_GB2312" w:eastAsia="仿宋_GB2312" w:cs="仿宋_GB2312"/>
          <w:color w:val="000000"/>
          <w:sz w:val="32"/>
          <w:szCs w:val="32"/>
        </w:rPr>
        <w:t>白马关镇</w:t>
      </w:r>
      <w:r>
        <w:rPr>
          <w:rFonts w:hint="eastAsia" w:ascii="仿宋_GB2312" w:hAnsi="仿宋_GB2312" w:eastAsia="仿宋_GB2312" w:cs="仿宋_GB2312"/>
          <w:color w:val="000000"/>
          <w:sz w:val="32"/>
          <w:szCs w:val="32"/>
          <w:lang w:eastAsia="zh-CN"/>
        </w:rPr>
        <w:t>传统</w:t>
      </w:r>
      <w:r>
        <w:rPr>
          <w:rFonts w:hint="eastAsia" w:ascii="仿宋_GB2312" w:hAnsi="仿宋_GB2312" w:eastAsia="仿宋_GB2312" w:cs="仿宋_GB2312"/>
          <w:color w:val="000000"/>
          <w:sz w:val="32"/>
          <w:szCs w:val="32"/>
        </w:rPr>
        <w:t>村落保护项目</w:t>
      </w:r>
      <w:r>
        <w:rPr>
          <w:rFonts w:hint="eastAsia" w:ascii="仿宋_GB2312" w:hAnsi="仿宋_GB2312" w:eastAsia="仿宋_GB2312" w:cs="仿宋_GB2312"/>
          <w:color w:val="000000"/>
          <w:sz w:val="32"/>
          <w:szCs w:val="32"/>
          <w:lang w:eastAsia="zh-CN"/>
        </w:rPr>
        <w:t>、天台山片区农文旅融合产业项目、</w:t>
      </w:r>
      <w:r>
        <w:rPr>
          <w:rFonts w:hint="eastAsia" w:ascii="仿宋_GB2312" w:hAnsi="仿宋_GB2312" w:eastAsia="仿宋_GB2312" w:cs="仿宋_GB2312"/>
          <w:color w:val="000000"/>
          <w:sz w:val="32"/>
          <w:szCs w:val="32"/>
        </w:rPr>
        <w:t>万佛片区风貌改造及景观提升</w:t>
      </w:r>
      <w:r>
        <w:rPr>
          <w:rFonts w:hint="eastAsia" w:ascii="仿宋_GB2312" w:hAnsi="仿宋_GB2312" w:eastAsia="仿宋_GB2312" w:cs="仿宋_GB2312"/>
          <w:color w:val="000000"/>
          <w:sz w:val="32"/>
          <w:szCs w:val="32"/>
          <w:lang w:eastAsia="zh-CN"/>
        </w:rPr>
        <w:t>项目和</w:t>
      </w:r>
      <w:r>
        <w:rPr>
          <w:rFonts w:hint="eastAsia" w:ascii="仿宋_GB2312" w:hAnsi="仿宋_GB2312" w:eastAsia="仿宋_GB2312" w:cs="仿宋_GB2312"/>
          <w:color w:val="000000"/>
          <w:sz w:val="32"/>
          <w:szCs w:val="32"/>
        </w:rPr>
        <w:t>水晶艺术小镇项目</w:t>
      </w:r>
      <w:r>
        <w:rPr>
          <w:rFonts w:hint="eastAsia" w:ascii="仿宋_GB2312" w:hAnsi="仿宋_GB2312" w:eastAsia="仿宋_GB2312" w:cs="仿宋_GB2312"/>
          <w:color w:val="000000"/>
          <w:sz w:val="32"/>
          <w:szCs w:val="32"/>
          <w:lang w:eastAsia="zh-CN"/>
        </w:rPr>
        <w:t>，着力打造白马关休闲运动小镇示范品牌。</w:t>
      </w:r>
      <w:r>
        <w:rPr>
          <w:rFonts w:hint="eastAsia" w:ascii="仿宋_GB2312" w:hAnsi="仿宋_GB2312" w:eastAsia="仿宋_GB2312" w:cs="仿宋_GB2312"/>
          <w:b/>
          <w:bCs/>
          <w:color w:val="000000"/>
          <w:sz w:val="32"/>
          <w:szCs w:val="32"/>
          <w:lang w:eastAsia="zh-CN"/>
        </w:rPr>
        <w:t>二是</w:t>
      </w:r>
      <w:r>
        <w:rPr>
          <w:rFonts w:hint="eastAsia" w:ascii="仿宋_GB2312" w:hAnsi="仿宋_GB2312" w:eastAsia="仿宋_GB2312" w:cs="仿宋_GB2312"/>
          <w:color w:val="000000"/>
          <w:sz w:val="32"/>
          <w:szCs w:val="32"/>
          <w:lang w:eastAsia="zh-CN"/>
        </w:rPr>
        <w:t>在严格做好疫情防控工作的情况下，</w:t>
      </w:r>
      <w:r>
        <w:rPr>
          <w:rFonts w:hint="eastAsia" w:ascii="仿宋_GB2312" w:hAnsi="仿宋_GB2312" w:eastAsia="仿宋_GB2312" w:cs="仿宋_GB2312"/>
          <w:color w:val="000000"/>
          <w:sz w:val="32"/>
          <w:szCs w:val="32"/>
          <w:lang w:val="en-US" w:eastAsia="zh-CN"/>
        </w:rPr>
        <w:t>争取中省市主管部门的支持，承办、协办了川菜川剧文化周、枣子节等大型文化活动，</w:t>
      </w:r>
      <w:r>
        <w:rPr>
          <w:rFonts w:hint="eastAsia" w:ascii="仿宋_GB2312" w:hAnsi="仿宋_GB2312" w:eastAsia="仿宋_GB2312" w:cs="仿宋_GB2312"/>
          <w:color w:val="000000"/>
          <w:sz w:val="32"/>
          <w:szCs w:val="32"/>
          <w:lang w:eastAsia="zh-CN"/>
        </w:rPr>
        <w:t>打造</w:t>
      </w:r>
      <w:r>
        <w:rPr>
          <w:rFonts w:hint="eastAsia" w:ascii="仿宋_GB2312" w:hAnsi="仿宋_GB2312" w:eastAsia="仿宋_GB2312" w:cs="仿宋_GB2312"/>
          <w:color w:val="000000"/>
          <w:sz w:val="32"/>
          <w:szCs w:val="32"/>
          <w:lang w:val="en-US" w:eastAsia="zh-CN"/>
        </w:rPr>
        <w:t>节会活动示范品牌</w:t>
      </w:r>
      <w:r>
        <w:rPr>
          <w:rFonts w:hint="eastAsia" w:ascii="Times New Roman" w:hAnsi="Times New Roman" w:eastAsia="仿宋_GB2312" w:cs="Times New Roman"/>
          <w:color w:val="000000"/>
          <w:sz w:val="32"/>
          <w:lang w:val="en-US" w:eastAsia="zh-CN"/>
        </w:rPr>
        <w:t>。</w:t>
      </w:r>
      <w:r>
        <w:rPr>
          <w:rFonts w:hint="eastAsia" w:ascii="仿宋_GB2312" w:hAnsi="仿宋_GB2312" w:eastAsia="仿宋_GB2312" w:cs="仿宋_GB2312"/>
          <w:b w:val="0"/>
          <w:bCs w:val="0"/>
          <w:color w:val="000000"/>
          <w:sz w:val="32"/>
          <w:szCs w:val="32"/>
          <w:lang w:val="en-US" w:eastAsia="zh-CN"/>
        </w:rPr>
        <w:t>本届川菜川剧文化周期间，罗江区共吸引游客32万人次，带动旅游、餐饮等消费4100余万元。</w:t>
      </w:r>
      <w:r>
        <w:rPr>
          <w:rFonts w:hint="eastAsia" w:ascii="Times New Roman" w:hAnsi="Times New Roman" w:eastAsia="仿宋_GB2312" w:cs="Times New Roman"/>
          <w:b/>
          <w:bCs/>
          <w:color w:val="000000"/>
          <w:sz w:val="32"/>
          <w:lang w:val="en-US" w:eastAsia="zh-CN"/>
        </w:rPr>
        <w:t>三是</w:t>
      </w:r>
      <w:r>
        <w:rPr>
          <w:rFonts w:hint="eastAsia" w:ascii="Times New Roman" w:hAnsi="Times New Roman" w:eastAsia="仿宋_GB2312" w:cs="Times New Roman"/>
          <w:color w:val="000000"/>
          <w:sz w:val="32"/>
          <w:lang w:val="en-US" w:eastAsia="zh-CN"/>
        </w:rPr>
        <w:t>结合川菜川剧之乡建设，探索丰富的夜间民俗文化活动，开展潺亭夜市实景演出、川剧惠民演出、川剧坐唱等传统文化活动，拉动文旅消费，打造夜间经济增长示范品牌。</w:t>
      </w:r>
      <w:r>
        <w:rPr>
          <w:rFonts w:hint="eastAsia" w:ascii="Times New Roman" w:hAnsi="Times New Roman" w:eastAsia="仿宋_GB2312" w:cs="Times New Roman"/>
          <w:b/>
          <w:bCs/>
          <w:color w:val="000000"/>
          <w:sz w:val="32"/>
          <w:lang w:val="en-US" w:eastAsia="zh-CN"/>
        </w:rPr>
        <w:t>四是</w:t>
      </w:r>
      <w:r>
        <w:rPr>
          <w:rFonts w:hint="eastAsia" w:ascii="Times New Roman" w:hAnsi="Times New Roman" w:eastAsia="仿宋_GB2312" w:cs="Times New Roman"/>
          <w:color w:val="000000"/>
          <w:sz w:val="32"/>
          <w:lang w:val="en-US" w:eastAsia="zh-CN"/>
        </w:rPr>
        <w:t>持续搞好体教结合，积极招收水上项目队员，持续为省、市输入后备体育力量，打造竞技体育示范品牌</w:t>
      </w:r>
      <w:r>
        <w:rPr>
          <w:rFonts w:hint="eastAsia" w:ascii="仿宋_GB2312" w:hAnsi="仿宋_GB2312" w:eastAsia="仿宋_GB2312" w:cs="仿宋_GB2312"/>
          <w:color w:val="000000"/>
          <w:sz w:val="32"/>
          <w:szCs w:val="32"/>
          <w:lang w:eastAsia="zh-CN"/>
        </w:rPr>
        <w:t>。截至目前，共向省水上项目运动队输送后备人才</w:t>
      </w:r>
      <w:r>
        <w:rPr>
          <w:rFonts w:hint="eastAsia" w:ascii="仿宋_GB2312" w:hAnsi="仿宋_GB2312" w:eastAsia="仿宋_GB2312" w:cs="仿宋_GB2312"/>
          <w:color w:val="000000"/>
          <w:sz w:val="32"/>
          <w:szCs w:val="32"/>
          <w:lang w:val="en-US" w:eastAsia="zh-CN"/>
        </w:rPr>
        <w:t>7人。</w:t>
      </w:r>
    </w:p>
    <w:p w14:paraId="0821B36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color w:val="000000"/>
          <w:sz w:val="32"/>
          <w:szCs w:val="32"/>
          <w:lang w:val="en-US" w:eastAsia="zh-CN"/>
        </w:rPr>
      </w:pPr>
      <w:r>
        <w:rPr>
          <w:rFonts w:hint="eastAsia" w:ascii="仿宋_GB2312" w:hAnsi="仿宋_GB2312" w:eastAsia="仿宋_GB2312" w:cs="仿宋_GB2312"/>
          <w:b/>
          <w:bCs/>
          <w:sz w:val="32"/>
          <w:szCs w:val="32"/>
          <w:lang w:val="en-US" w:eastAsia="zh-CN"/>
        </w:rPr>
        <w:t>（2）打造罗江非遗文化品牌。</w:t>
      </w:r>
      <w:r>
        <w:rPr>
          <w:rFonts w:hint="eastAsia" w:ascii="楷体_GB2312" w:hAnsi="楷体_GB2312" w:eastAsia="楷体_GB2312" w:cs="楷体_GB2312"/>
          <w:b/>
          <w:bCs/>
          <w:color w:val="000000"/>
          <w:sz w:val="32"/>
          <w:szCs w:val="32"/>
          <w:lang w:val="en-US" w:eastAsia="zh-CN"/>
        </w:rPr>
        <w:t>一是</w:t>
      </w:r>
      <w:r>
        <w:rPr>
          <w:rFonts w:hint="eastAsia" w:ascii="仿宋_GB2312" w:hAnsi="仿宋_GB2312" w:eastAsia="仿宋_GB2312" w:cs="仿宋_GB2312"/>
          <w:b w:val="0"/>
          <w:bCs w:val="0"/>
          <w:color w:val="000000"/>
          <w:sz w:val="32"/>
          <w:szCs w:val="32"/>
          <w:lang w:val="en-US" w:eastAsia="zh-CN"/>
        </w:rPr>
        <w:t>打造非遗美食品牌，开展非遗美食体验，直播带货等系列活动，根据市场发展需要，罗江区正在筹划非遗生态园建设，支持</w:t>
      </w:r>
      <w:r>
        <w:rPr>
          <w:rFonts w:hint="eastAsia" w:ascii="仿宋_GB2312" w:hAnsi="仿宋_GB2312" w:eastAsia="仿宋_GB2312" w:cs="仿宋_GB2312"/>
          <w:b w:val="0"/>
          <w:bCs w:val="0"/>
          <w:color w:val="000000"/>
          <w:sz w:val="32"/>
          <w:szCs w:val="32"/>
          <w:lang w:eastAsia="zh-CN"/>
        </w:rPr>
        <w:t>糯米鹅蛋、倒灌菜、罗江豆鸡等有代表性的罗江非遗项目产业化发展，推动相关项目及传承人“走出去”。</w:t>
      </w:r>
      <w:r>
        <w:rPr>
          <w:rFonts w:hint="eastAsia" w:ascii="仿宋_GB2312" w:hAnsi="仿宋_GB2312" w:eastAsia="仿宋_GB2312" w:cs="仿宋_GB2312"/>
          <w:b/>
          <w:bCs/>
          <w:color w:val="000000"/>
          <w:sz w:val="32"/>
          <w:szCs w:val="32"/>
          <w:lang w:eastAsia="zh-CN"/>
        </w:rPr>
        <w:t>二是</w:t>
      </w:r>
      <w:r>
        <w:rPr>
          <w:rFonts w:hint="eastAsia" w:ascii="仿宋_GB2312" w:hAnsi="仿宋_GB2312" w:eastAsia="仿宋_GB2312" w:cs="仿宋_GB2312"/>
          <w:b w:val="0"/>
          <w:bCs w:val="0"/>
          <w:color w:val="000000"/>
          <w:sz w:val="32"/>
          <w:szCs w:val="32"/>
          <w:lang w:eastAsia="zh-CN"/>
        </w:rPr>
        <w:t>打造非遗经典线路，积极推进非遗元素与旅游线路景区融合，以手工体验、非遗产品伴手礼等形式呈现非遗魅力，打造“非遗之旅”线路品牌。做好特色小镇、传统村落、历史街区非遗的整体性保护。</w:t>
      </w:r>
    </w:p>
    <w:p w14:paraId="5B48DAF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sz w:val="32"/>
          <w:szCs w:val="32"/>
          <w:lang w:val="en-US" w:eastAsia="zh-CN"/>
        </w:rPr>
        <w:t>（3）启动全域旅游建设，助推乡村振兴。</w:t>
      </w:r>
      <w:r>
        <w:rPr>
          <w:rFonts w:hint="eastAsia" w:ascii="Times New Roman" w:hAnsi="Times New Roman" w:eastAsia="仿宋_GB2312" w:cs="Times New Roman"/>
          <w:color w:val="000000"/>
          <w:sz w:val="32"/>
          <w:lang w:val="en-US" w:eastAsia="zh-CN"/>
        </w:rPr>
        <w:t>全域旅游编制规划工</w:t>
      </w:r>
      <w:r>
        <w:rPr>
          <w:rFonts w:hint="eastAsia" w:ascii="Times New Roman" w:hAnsi="Times New Roman" w:eastAsia="仿宋_GB2312" w:cs="Times New Roman"/>
          <w:color w:val="000000"/>
          <w:sz w:val="32"/>
          <w:lang w:eastAsia="zh-CN"/>
        </w:rPr>
        <w:t>作完成全域旅游规划和“十四五”</w:t>
      </w:r>
      <w:r>
        <w:rPr>
          <w:rFonts w:hint="eastAsia" w:ascii="Times New Roman" w:hAnsi="Times New Roman" w:eastAsia="仿宋_GB2312" w:cs="Times New Roman"/>
          <w:color w:val="000000"/>
          <w:sz w:val="32"/>
          <w:u w:val="none"/>
          <w:lang w:eastAsia="zh-CN"/>
        </w:rPr>
        <w:t>文体广旅</w:t>
      </w:r>
      <w:r>
        <w:rPr>
          <w:rFonts w:hint="eastAsia" w:ascii="Times New Roman" w:hAnsi="Times New Roman" w:eastAsia="仿宋_GB2312" w:cs="Times New Roman"/>
          <w:color w:val="000000"/>
          <w:sz w:val="32"/>
          <w:lang w:val="en-US" w:eastAsia="zh-CN"/>
        </w:rPr>
        <w:t>板块</w:t>
      </w:r>
      <w:r>
        <w:rPr>
          <w:rFonts w:hint="eastAsia" w:ascii="Times New Roman" w:hAnsi="Times New Roman" w:eastAsia="仿宋_GB2312" w:cs="Times New Roman"/>
          <w:color w:val="000000"/>
          <w:sz w:val="32"/>
          <w:lang w:eastAsia="zh-CN"/>
        </w:rPr>
        <w:t>规划，启动全域旅游</w:t>
      </w:r>
      <w:r>
        <w:rPr>
          <w:rFonts w:hint="eastAsia" w:ascii="仿宋_GB2312" w:hAnsi="仿宋_GB2312" w:eastAsia="仿宋_GB2312" w:cs="仿宋_GB2312"/>
          <w:color w:val="000000"/>
          <w:sz w:val="32"/>
          <w:szCs w:val="32"/>
        </w:rPr>
        <w:t>罗江乡村旅游大环线</w:t>
      </w:r>
      <w:r>
        <w:rPr>
          <w:rFonts w:hint="eastAsia" w:ascii="仿宋_GB2312" w:hAnsi="仿宋_GB2312" w:eastAsia="仿宋_GB2312" w:cs="仿宋_GB2312"/>
          <w:color w:val="000000"/>
          <w:sz w:val="32"/>
          <w:szCs w:val="32"/>
          <w:lang w:eastAsia="zh-CN"/>
        </w:rPr>
        <w:t>建设。配合推动万安镇</w:t>
      </w:r>
      <w:r>
        <w:rPr>
          <w:rFonts w:hint="eastAsia" w:ascii="仿宋_GB2312" w:hAnsi="仿宋_GB2312" w:eastAsia="仿宋_GB2312" w:cs="仿宋_GB2312"/>
          <w:color w:val="000000"/>
          <w:sz w:val="32"/>
          <w:szCs w:val="32"/>
        </w:rPr>
        <w:t>后乐园4A景区</w:t>
      </w:r>
      <w:r>
        <w:rPr>
          <w:rFonts w:hint="eastAsia" w:ascii="仿宋_GB2312" w:hAnsi="仿宋_GB2312" w:eastAsia="仿宋_GB2312" w:cs="仿宋_GB2312"/>
          <w:color w:val="000000"/>
          <w:sz w:val="32"/>
          <w:szCs w:val="32"/>
          <w:lang w:eastAsia="zh-CN"/>
        </w:rPr>
        <w:t>建设</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lang w:eastAsia="zh-CN"/>
        </w:rPr>
        <w:t>金山镇</w:t>
      </w:r>
      <w:r>
        <w:rPr>
          <w:rFonts w:hint="eastAsia" w:ascii="仿宋_GB2312" w:hAnsi="仿宋_GB2312" w:eastAsia="仿宋_GB2312" w:cs="仿宋_GB2312"/>
          <w:color w:val="000000"/>
          <w:sz w:val="32"/>
          <w:szCs w:val="32"/>
          <w:lang w:val="en-US" w:eastAsia="zh-CN"/>
        </w:rPr>
        <w:t>嘉禾</w:t>
      </w:r>
      <w:r>
        <w:rPr>
          <w:rFonts w:hint="eastAsia" w:ascii="仿宋_GB2312" w:hAnsi="仿宋_GB2312" w:eastAsia="仿宋_GB2312" w:cs="仿宋_GB2312"/>
          <w:color w:val="000000"/>
          <w:sz w:val="32"/>
          <w:szCs w:val="32"/>
        </w:rPr>
        <w:t>庄园（原香山鹭岛）</w:t>
      </w:r>
      <w:r>
        <w:rPr>
          <w:rFonts w:hint="eastAsia" w:ascii="仿宋_GB2312" w:hAnsi="仿宋_GB2312" w:eastAsia="仿宋_GB2312" w:cs="仿宋_GB2312"/>
          <w:color w:val="000000"/>
          <w:sz w:val="32"/>
          <w:szCs w:val="32"/>
          <w:lang w:eastAsia="zh-CN"/>
        </w:rPr>
        <w:t>建设</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lang w:eastAsia="zh-CN"/>
        </w:rPr>
        <w:t>白马关镇</w:t>
      </w:r>
      <w:r>
        <w:rPr>
          <w:rFonts w:hint="eastAsia" w:ascii="仿宋_GB2312" w:hAnsi="仿宋_GB2312" w:eastAsia="仿宋_GB2312" w:cs="仿宋_GB2312"/>
          <w:color w:val="000000"/>
          <w:sz w:val="32"/>
          <w:szCs w:val="32"/>
        </w:rPr>
        <w:t>摄影小镇建设项目</w:t>
      </w:r>
      <w:r>
        <w:rPr>
          <w:rFonts w:hint="eastAsia" w:ascii="仿宋_GB2312" w:hAnsi="仿宋_GB2312" w:eastAsia="仿宋_GB2312" w:cs="仿宋_GB2312"/>
          <w:color w:val="000000"/>
          <w:sz w:val="32"/>
          <w:szCs w:val="32"/>
          <w:lang w:eastAsia="zh-CN"/>
        </w:rPr>
        <w:t>。结合乡村振兴示范区建设，集中在金山镇明月村、调元镇顺河村、</w:t>
      </w:r>
      <w:r>
        <w:rPr>
          <w:rFonts w:hint="eastAsia" w:ascii="仿宋_GB2312" w:hAnsi="仿宋_GB2312" w:eastAsia="仿宋_GB2312" w:cs="仿宋_GB2312"/>
          <w:color w:val="000000"/>
          <w:sz w:val="32"/>
          <w:szCs w:val="32"/>
        </w:rPr>
        <w:t>新盛</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老君村、鄢家壁山村</w:t>
      </w:r>
      <w:r>
        <w:rPr>
          <w:rFonts w:hint="eastAsia" w:ascii="仿宋_GB2312" w:hAnsi="仿宋_GB2312" w:eastAsia="仿宋_GB2312" w:cs="仿宋_GB2312"/>
          <w:color w:val="000000"/>
          <w:sz w:val="32"/>
          <w:szCs w:val="32"/>
          <w:lang w:eastAsia="zh-CN"/>
        </w:rPr>
        <w:t>打造乡村文化振兴、文旅融合示范点。</w:t>
      </w:r>
      <w:r>
        <w:rPr>
          <w:rFonts w:hint="default" w:ascii="仿宋_GB2312" w:hAnsi="仿宋_GB2312" w:eastAsia="仿宋_GB2312" w:cs="仿宋_GB2312"/>
          <w:color w:val="000000"/>
          <w:sz w:val="32"/>
          <w:szCs w:val="32"/>
          <w:lang w:val="en-US" w:eastAsia="zh-CN"/>
        </w:rPr>
        <w:t>深度挖掘古蜀文化、三国文化、调元文化、诗歌文化</w:t>
      </w:r>
      <w:r>
        <w:rPr>
          <w:rFonts w:hint="eastAsia" w:ascii="仿宋_GB2312" w:hAnsi="仿宋_GB2312" w:eastAsia="仿宋_GB2312" w:cs="仿宋_GB2312"/>
          <w:color w:val="000000"/>
          <w:sz w:val="32"/>
          <w:szCs w:val="32"/>
          <w:lang w:val="en-US" w:eastAsia="zh-CN"/>
        </w:rPr>
        <w:t>等，</w:t>
      </w:r>
      <w:r>
        <w:rPr>
          <w:rFonts w:hint="default" w:ascii="仿宋_GB2312" w:hAnsi="仿宋_GB2312" w:eastAsia="仿宋_GB2312" w:cs="仿宋_GB2312"/>
          <w:color w:val="000000"/>
          <w:sz w:val="32"/>
          <w:szCs w:val="32"/>
          <w:lang w:val="en-US" w:eastAsia="zh-CN"/>
        </w:rPr>
        <w:t>与旅游产业有机结合</w:t>
      </w:r>
      <w:r>
        <w:rPr>
          <w:rFonts w:hint="eastAsia" w:ascii="仿宋_GB2312" w:hAnsi="仿宋_GB2312" w:eastAsia="仿宋_GB2312" w:cs="仿宋_GB2312"/>
          <w:color w:val="000000"/>
          <w:sz w:val="32"/>
          <w:szCs w:val="32"/>
          <w:lang w:val="en-US" w:eastAsia="zh-CN"/>
        </w:rPr>
        <w:t>，配合川菜川剧“戏窝子”“菜园子”打造，以三国文化为主题开展研学旅游，以诗歌文化、民俗体验文化为主题打造乡村旅游目的地。</w:t>
      </w:r>
    </w:p>
    <w:p w14:paraId="479E15E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（4）线上线下齐发力，做好文旅宣传营销。</w:t>
      </w:r>
      <w:r>
        <w:rPr>
          <w:rFonts w:hint="eastAsia" w:ascii="仿宋_GB2312" w:hAnsi="仿宋_GB2312" w:eastAsia="仿宋_GB2312" w:cs="仿宋_GB2312"/>
          <w:sz w:val="32"/>
          <w:szCs w:val="32"/>
          <w:lang w:val="en-US" w:eastAsia="zh-CN"/>
        </w:rPr>
        <w:t>一是在疫情防控期间，利用“罗江文旅”微信公众平台推出《调元趣对传奇》、《李调元川菜佳话》、罗江原创音乐季、居家运动教学视频、“云赏春”等系列推文，在缓解群众情绪的同时，推介罗江文化旅游资源，引起强烈社会反响。二是抓住疫情后井喷式旅游需求，结合“5.1”“10.1”等小长假，以“户外、生态、运动”为主题，推出赏花、采摘、运动休闲、诗意乡村等旅游线路攻略，吸引了大量游客到罗江参观游玩。三是利用“幸福罗江”APP、全省“智游天府”平台，对全区各类文旅资源、资讯、美食、民宿等进行推介，并结合成渝双城经济圈建设，组织辖区内涉旅企业对成渝地区游客推出多项优惠政策，扩宽旅游市场。四是成功举办罗江第十五届贵妃枣生态旅游节、德阳市2020川菜川剧文化周等特色文旅活动，推动农文旅、商文旅融合，有效刺激文旅市场经济复苏。</w:t>
      </w:r>
    </w:p>
    <w:p w14:paraId="4456D5D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2020年度，全区接待游客379.8万人次，实现旅游收入28.49亿元。</w:t>
      </w:r>
    </w:p>
    <w:p w14:paraId="77198C7A">
      <w:pPr>
        <w:pStyle w:val="5"/>
        <w:keepNext/>
        <w:keepLines/>
        <w:pageBreakBefore w:val="0"/>
        <w:widowControl w:val="0"/>
        <w:kinsoku/>
        <w:wordWrap/>
        <w:overflowPunct/>
        <w:topLinePunct w:val="0"/>
        <w:autoSpaceDE/>
        <w:autoSpaceDN/>
        <w:bidi w:val="0"/>
        <w:adjustRightInd/>
        <w:snapToGrid/>
        <w:spacing w:before="0" w:after="0" w:line="600" w:lineRule="exact"/>
        <w:ind w:left="0" w:leftChars="0" w:right="0" w:rightChars="0" w:firstLine="0" w:firstLineChars="0"/>
        <w:jc w:val="both"/>
        <w:textAlignment w:val="auto"/>
        <w:outlineLvl w:val="1"/>
        <w:rPr>
          <w:rStyle w:val="28"/>
          <w:rFonts w:hint="eastAsia" w:ascii="黑体" w:hAnsi="黑体" w:eastAsia="黑体"/>
          <w:b w:val="0"/>
          <w:bCs w:val="0"/>
        </w:rPr>
      </w:pPr>
      <w:bookmarkStart w:id="20" w:name="_Toc15377200"/>
      <w:bookmarkStart w:id="21" w:name="_Toc15396601"/>
      <w:r>
        <w:rPr>
          <w:rStyle w:val="28"/>
          <w:rFonts w:hint="eastAsia" w:ascii="黑体" w:hAnsi="黑体" w:eastAsia="黑体"/>
          <w:b w:val="0"/>
          <w:bCs w:val="0"/>
          <w:lang w:val="en-US" w:eastAsia="zh-CN"/>
        </w:rPr>
        <w:t>二、</w:t>
      </w:r>
      <w:r>
        <w:rPr>
          <w:rStyle w:val="28"/>
          <w:rFonts w:hint="eastAsia" w:ascii="黑体" w:hAnsi="黑体" w:eastAsia="黑体"/>
          <w:b w:val="0"/>
          <w:bCs w:val="0"/>
        </w:rPr>
        <w:t>机构设置</w:t>
      </w:r>
      <w:bookmarkEnd w:id="20"/>
      <w:bookmarkEnd w:id="21"/>
    </w:p>
    <w:p w14:paraId="514CDC26">
      <w:pPr>
        <w:pStyle w:val="8"/>
        <w:pageBreakBefore w:val="0"/>
        <w:kinsoku/>
        <w:wordWrap/>
        <w:overflowPunct/>
        <w:topLinePunct w:val="0"/>
        <w:autoSpaceDE/>
        <w:autoSpaceDN/>
        <w:bidi w:val="0"/>
        <w:adjustRightInd w:val="0"/>
        <w:snapToGrid w:val="0"/>
        <w:spacing w:beforeLines="0" w:line="600" w:lineRule="exact"/>
        <w:ind w:left="0" w:leftChars="0" w:right="0" w:rightChars="0" w:firstLine="672" w:firstLineChars="210"/>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德阳市罗江区文化体育广播电视和旅游局本级含下属二级单位2个，均为参照公务员法管理的事业单位。</w:t>
      </w:r>
    </w:p>
    <w:p w14:paraId="403E80D7">
      <w:pPr>
        <w:pStyle w:val="8"/>
        <w:pageBreakBefore w:val="0"/>
        <w:kinsoku/>
        <w:wordWrap/>
        <w:overflowPunct/>
        <w:topLinePunct w:val="0"/>
        <w:autoSpaceDE/>
        <w:autoSpaceDN/>
        <w:bidi w:val="0"/>
        <w:adjustRightInd w:val="0"/>
        <w:snapToGrid w:val="0"/>
        <w:spacing w:beforeLines="0" w:line="600" w:lineRule="exact"/>
        <w:ind w:left="0" w:leftChars="0" w:right="0" w:rightChars="0" w:firstLine="672" w:firstLineChars="210"/>
        <w:textAlignment w:val="auto"/>
        <w:rPr>
          <w:rFonts w:ascii="仿宋" w:hAnsi="仿宋" w:eastAsia="仿宋"/>
          <w:color w:val="000000"/>
          <w:sz w:val="32"/>
          <w:szCs w:val="32"/>
        </w:rPr>
      </w:pPr>
      <w:r>
        <w:rPr>
          <w:rFonts w:hint="eastAsia" w:ascii="仿宋" w:hAnsi="仿宋" w:eastAsia="仿宋"/>
          <w:color w:val="000000"/>
          <w:sz w:val="32"/>
          <w:szCs w:val="32"/>
        </w:rPr>
        <w:t>纳入德阳市罗江区文化体育广播电视和旅游局2020年度</w:t>
      </w:r>
      <w:r>
        <w:rPr>
          <w:rFonts w:hint="eastAsia" w:ascii="仿宋" w:hAnsi="仿宋" w:eastAsia="仿宋"/>
          <w:color w:val="000000"/>
          <w:sz w:val="32"/>
          <w:szCs w:val="32"/>
          <w:lang w:val="en-US" w:eastAsia="zh-CN"/>
        </w:rPr>
        <w:t>本级</w:t>
      </w:r>
      <w:r>
        <w:rPr>
          <w:rFonts w:hint="eastAsia" w:ascii="仿宋" w:hAnsi="仿宋" w:eastAsia="仿宋"/>
          <w:color w:val="000000"/>
          <w:sz w:val="32"/>
          <w:szCs w:val="32"/>
        </w:rPr>
        <w:t>决算编制范围的二级预算单位包括：</w:t>
      </w:r>
    </w:p>
    <w:p w14:paraId="4B5A8F97">
      <w:pPr>
        <w:pStyle w:val="8"/>
        <w:pageBreakBefore w:val="0"/>
        <w:kinsoku/>
        <w:wordWrap/>
        <w:overflowPunct/>
        <w:topLinePunct w:val="0"/>
        <w:autoSpaceDE/>
        <w:autoSpaceDN/>
        <w:bidi w:val="0"/>
        <w:adjustRightInd w:val="0"/>
        <w:snapToGrid w:val="0"/>
        <w:spacing w:beforeLines="0" w:line="600" w:lineRule="exact"/>
        <w:ind w:left="0" w:leftChars="0" w:right="0" w:rightChars="0" w:firstLine="672" w:firstLineChars="210"/>
        <w:textAlignment w:val="auto"/>
        <w:rPr>
          <w:rFonts w:ascii="仿宋" w:hAnsi="仿宋" w:eastAsia="仿宋"/>
          <w:color w:val="000000"/>
          <w:sz w:val="32"/>
          <w:szCs w:val="32"/>
        </w:rPr>
      </w:pPr>
      <w:r>
        <w:rPr>
          <w:rFonts w:hint="eastAsia" w:ascii="仿宋" w:hAnsi="仿宋" w:eastAsia="仿宋"/>
          <w:color w:val="000000"/>
          <w:sz w:val="32"/>
          <w:szCs w:val="32"/>
        </w:rPr>
        <w:t>1.德阳市罗江区文化体育和旅游产业发展服务中心</w:t>
      </w:r>
    </w:p>
    <w:p w14:paraId="602D3E2E">
      <w:pPr>
        <w:pStyle w:val="8"/>
        <w:pageBreakBefore w:val="0"/>
        <w:kinsoku/>
        <w:wordWrap/>
        <w:overflowPunct/>
        <w:topLinePunct w:val="0"/>
        <w:autoSpaceDE/>
        <w:autoSpaceDN/>
        <w:bidi w:val="0"/>
        <w:adjustRightInd w:val="0"/>
        <w:snapToGrid w:val="0"/>
        <w:spacing w:beforeLines="0" w:line="600" w:lineRule="exact"/>
        <w:ind w:left="0" w:leftChars="0" w:right="0" w:rightChars="0" w:firstLine="672" w:firstLineChars="210"/>
        <w:textAlignment w:val="auto"/>
        <w:rPr>
          <w:rFonts w:ascii="仿宋" w:hAnsi="仿宋" w:eastAsia="仿宋"/>
          <w:color w:val="000000"/>
          <w:sz w:val="32"/>
          <w:szCs w:val="32"/>
        </w:rPr>
      </w:pPr>
      <w:r>
        <w:rPr>
          <w:rFonts w:hint="eastAsia" w:ascii="仿宋" w:hAnsi="仿宋" w:eastAsia="仿宋"/>
          <w:color w:val="000000"/>
          <w:sz w:val="32"/>
          <w:szCs w:val="32"/>
        </w:rPr>
        <w:t>2.罗江县文化市场综合执法大队</w:t>
      </w:r>
    </w:p>
    <w:p w14:paraId="2C223BE2">
      <w:pPr>
        <w:pageBreakBefore w:val="0"/>
        <w:kinsoku/>
        <w:wordWrap/>
        <w:overflowPunct/>
        <w:topLinePunct w:val="0"/>
        <w:autoSpaceDE/>
        <w:autoSpaceDN/>
        <w:bidi w:val="0"/>
        <w:spacing w:line="600" w:lineRule="exact"/>
        <w:ind w:left="0" w:leftChars="0" w:right="0" w:rightChars="0" w:firstLine="640" w:firstLineChars="200"/>
        <w:textAlignment w:val="auto"/>
        <w:rPr>
          <w:rFonts w:ascii="仿宋" w:hAnsi="仿宋" w:eastAsia="仿宋"/>
          <w:sz w:val="32"/>
          <w:szCs w:val="32"/>
        </w:rPr>
      </w:pPr>
      <w:r>
        <w:rPr>
          <w:rFonts w:ascii="仿宋" w:hAnsi="仿宋" w:eastAsia="仿宋"/>
          <w:color w:val="000000"/>
          <w:sz w:val="32"/>
          <w:szCs w:val="32"/>
        </w:rPr>
        <w:br w:type="page"/>
      </w:r>
    </w:p>
    <w:p w14:paraId="6BE0BAB5">
      <w:pPr>
        <w:pStyle w:val="4"/>
        <w:ind w:right="440"/>
        <w:jc w:val="right"/>
        <w:rPr>
          <w:rStyle w:val="27"/>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7"/>
          <w:rFonts w:hint="eastAsia" w:ascii="黑体" w:hAnsi="黑体" w:eastAsia="黑体"/>
          <w:b w:val="0"/>
          <w:bCs w:val="0"/>
        </w:rPr>
        <w:t>2020年度决算情况说明</w:t>
      </w:r>
      <w:bookmarkEnd w:id="22"/>
      <w:bookmarkEnd w:id="23"/>
    </w:p>
    <w:p w14:paraId="1F8DA9C8"/>
    <w:p w14:paraId="0749673F">
      <w:pPr>
        <w:pStyle w:val="26"/>
        <w:numPr>
          <w:ilvl w:val="0"/>
          <w:numId w:val="1"/>
        </w:numPr>
        <w:spacing w:line="600" w:lineRule="exact"/>
        <w:ind w:firstLineChars="0"/>
        <w:outlineLvl w:val="1"/>
        <w:rPr>
          <w:rStyle w:val="28"/>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4"/>
      <w:bookmarkEnd w:id="25"/>
    </w:p>
    <w:p w14:paraId="0498414A">
      <w:pPr>
        <w:spacing w:line="600" w:lineRule="exact"/>
        <w:ind w:firstLine="640" w:firstLineChars="200"/>
        <w:rPr>
          <w:rFonts w:hint="eastAsia" w:ascii="仿宋" w:hAnsi="仿宋" w:eastAsia="仿宋"/>
          <w:b/>
          <w:color w:val="FF0000"/>
          <w:sz w:val="32"/>
          <w:szCs w:val="32"/>
        </w:rPr>
      </w:pPr>
      <w:r>
        <w:rPr>
          <w:rFonts w:hint="eastAsia" w:ascii="仿宋" w:hAnsi="仿宋" w:eastAsia="仿宋"/>
          <w:color w:val="000000"/>
          <w:sz w:val="32"/>
          <w:szCs w:val="32"/>
        </w:rPr>
        <w:t>2020年度收入总计</w:t>
      </w:r>
      <w:r>
        <w:rPr>
          <w:rFonts w:hint="eastAsia" w:ascii="仿宋" w:hAnsi="仿宋" w:eastAsia="仿宋"/>
          <w:color w:val="000000"/>
          <w:sz w:val="32"/>
          <w:szCs w:val="32"/>
          <w:lang w:val="en-US" w:eastAsia="zh-CN"/>
        </w:rPr>
        <w:t>1346.09</w:t>
      </w:r>
      <w:r>
        <w:rPr>
          <w:rFonts w:hint="eastAsia" w:ascii="仿宋" w:hAnsi="仿宋" w:eastAsia="仿宋"/>
          <w:color w:val="000000"/>
          <w:sz w:val="32"/>
          <w:szCs w:val="32"/>
        </w:rPr>
        <w:t>万元，支出总计</w:t>
      </w:r>
      <w:r>
        <w:rPr>
          <w:rFonts w:hint="eastAsia" w:ascii="仿宋" w:hAnsi="仿宋" w:eastAsia="仿宋"/>
          <w:color w:val="000000"/>
          <w:sz w:val="32"/>
          <w:szCs w:val="32"/>
          <w:lang w:val="en-US" w:eastAsia="zh-CN"/>
        </w:rPr>
        <w:t>829.72</w:t>
      </w:r>
      <w:r>
        <w:rPr>
          <w:rFonts w:hint="eastAsia" w:ascii="仿宋" w:hAnsi="仿宋" w:eastAsia="仿宋"/>
          <w:color w:val="000000"/>
          <w:sz w:val="32"/>
          <w:szCs w:val="32"/>
        </w:rPr>
        <w:t>万元。与2019年相比，收入减少</w:t>
      </w:r>
      <w:r>
        <w:rPr>
          <w:rFonts w:hint="eastAsia" w:ascii="仿宋" w:hAnsi="仿宋" w:eastAsia="仿宋"/>
          <w:color w:val="000000"/>
          <w:sz w:val="32"/>
          <w:szCs w:val="32"/>
          <w:lang w:val="en-US" w:eastAsia="zh-CN"/>
        </w:rPr>
        <w:t>19784.06</w:t>
      </w:r>
      <w:r>
        <w:rPr>
          <w:rFonts w:hint="eastAsia" w:ascii="仿宋" w:hAnsi="仿宋" w:eastAsia="仿宋"/>
          <w:color w:val="000000"/>
          <w:sz w:val="32"/>
          <w:szCs w:val="32"/>
        </w:rPr>
        <w:t>万元，下降9</w:t>
      </w:r>
      <w:r>
        <w:rPr>
          <w:rFonts w:hint="eastAsia" w:ascii="仿宋" w:hAnsi="仿宋" w:eastAsia="仿宋"/>
          <w:color w:val="000000"/>
          <w:sz w:val="32"/>
          <w:szCs w:val="32"/>
          <w:lang w:val="en-US" w:eastAsia="zh-CN"/>
        </w:rPr>
        <w:t>3.63</w:t>
      </w:r>
      <w:r>
        <w:rPr>
          <w:rFonts w:hint="eastAsia" w:ascii="仿宋" w:hAnsi="仿宋" w:eastAsia="仿宋"/>
          <w:color w:val="000000"/>
          <w:sz w:val="32"/>
          <w:szCs w:val="32"/>
        </w:rPr>
        <w:t>%，支出减少202</w:t>
      </w:r>
      <w:r>
        <w:rPr>
          <w:rFonts w:hint="eastAsia" w:ascii="仿宋" w:hAnsi="仿宋" w:eastAsia="仿宋"/>
          <w:color w:val="000000"/>
          <w:sz w:val="32"/>
          <w:szCs w:val="32"/>
          <w:lang w:val="en-US" w:eastAsia="zh-CN"/>
        </w:rPr>
        <w:t>15.52</w:t>
      </w:r>
      <w:r>
        <w:rPr>
          <w:rFonts w:hint="eastAsia" w:ascii="仿宋" w:hAnsi="仿宋" w:eastAsia="仿宋"/>
          <w:color w:val="000000"/>
          <w:sz w:val="32"/>
          <w:szCs w:val="32"/>
        </w:rPr>
        <w:t>万元，下降9</w:t>
      </w:r>
      <w:r>
        <w:rPr>
          <w:rFonts w:hint="eastAsia" w:ascii="仿宋" w:hAnsi="仿宋" w:eastAsia="仿宋"/>
          <w:color w:val="000000"/>
          <w:sz w:val="32"/>
          <w:szCs w:val="32"/>
          <w:lang w:val="en-US" w:eastAsia="zh-CN"/>
        </w:rPr>
        <w:t>6.06</w:t>
      </w:r>
      <w:r>
        <w:rPr>
          <w:rFonts w:hint="eastAsia" w:ascii="仿宋" w:hAnsi="仿宋" w:eastAsia="仿宋"/>
          <w:color w:val="000000"/>
          <w:sz w:val="32"/>
          <w:szCs w:val="32"/>
        </w:rPr>
        <w:t>%。主要变动原因是项目经费减少。</w:t>
      </w:r>
    </w:p>
    <w:p w14:paraId="32F983DB">
      <w:pPr>
        <w:pStyle w:val="2"/>
        <w:ind w:firstLine="643"/>
        <w:rPr>
          <w:rFonts w:ascii="仿宋" w:hAnsi="仿宋" w:eastAsia="仿宋"/>
          <w:b/>
          <w:color w:val="FF0000"/>
          <w:sz w:val="32"/>
          <w:szCs w:val="32"/>
        </w:rPr>
      </w:pPr>
      <w:r>
        <w:rPr>
          <w:rFonts w:ascii="仿宋" w:hAnsi="仿宋" w:eastAsia="仿宋"/>
          <w:b/>
          <w:color w:val="FF0000"/>
          <w:sz w:val="32"/>
          <w:szCs w:val="32"/>
        </w:rPr>
        <w:drawing>
          <wp:inline distT="0" distB="0" distL="0" distR="0">
            <wp:extent cx="4953000" cy="3076575"/>
            <wp:effectExtent l="0" t="0" r="1905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1DFA36A">
      <w:pPr>
        <w:spacing w:line="600" w:lineRule="exact"/>
        <w:ind w:firstLine="640" w:firstLineChars="2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14:paraId="7BF6B418">
      <w:pPr>
        <w:spacing w:line="600" w:lineRule="exact"/>
        <w:ind w:firstLine="640" w:firstLineChars="200"/>
        <w:jc w:val="left"/>
        <w:rPr>
          <w:rFonts w:ascii="仿宋_GB2312" w:eastAsia="仿宋_GB2312"/>
          <w:color w:val="000000"/>
          <w:sz w:val="32"/>
          <w:szCs w:val="32"/>
        </w:rPr>
      </w:pPr>
    </w:p>
    <w:p w14:paraId="3EE863F8">
      <w:pPr>
        <w:pStyle w:val="26"/>
        <w:numPr>
          <w:ilvl w:val="0"/>
          <w:numId w:val="1"/>
        </w:numPr>
        <w:spacing w:line="600" w:lineRule="exact"/>
        <w:ind w:firstLineChars="0"/>
        <w:outlineLvl w:val="1"/>
        <w:rPr>
          <w:rStyle w:val="28"/>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8"/>
          <w:rFonts w:hint="eastAsia" w:ascii="黑体" w:hAnsi="黑体" w:eastAsia="黑体"/>
          <w:b w:val="0"/>
        </w:rPr>
        <w:t>入决算情况说明</w:t>
      </w:r>
      <w:bookmarkEnd w:id="26"/>
      <w:bookmarkEnd w:id="27"/>
    </w:p>
    <w:p w14:paraId="6F12FF97">
      <w:pPr>
        <w:spacing w:line="600" w:lineRule="exact"/>
        <w:ind w:firstLine="640" w:firstLineChars="200"/>
        <w:outlineLvl w:val="1"/>
        <w:rPr>
          <w:rFonts w:ascii="仿宋" w:hAnsi="仿宋" w:eastAsia="仿宋"/>
          <w:color w:val="FF0000"/>
          <w:sz w:val="32"/>
          <w:szCs w:val="32"/>
        </w:rPr>
      </w:pPr>
      <w:r>
        <w:rPr>
          <w:rFonts w:hint="eastAsia" w:ascii="仿宋" w:hAnsi="仿宋" w:eastAsia="仿宋"/>
          <w:color w:val="000000"/>
          <w:sz w:val="32"/>
          <w:szCs w:val="32"/>
        </w:rPr>
        <w:t>2020年本年收入合计</w:t>
      </w:r>
      <w:r>
        <w:rPr>
          <w:rFonts w:hint="eastAsia" w:ascii="仿宋" w:hAnsi="仿宋" w:eastAsia="仿宋"/>
          <w:color w:val="000000"/>
          <w:sz w:val="32"/>
          <w:szCs w:val="32"/>
          <w:lang w:val="en-US" w:eastAsia="zh-CN"/>
        </w:rPr>
        <w:t>1346.09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1242.76</w:t>
      </w:r>
      <w:r>
        <w:rPr>
          <w:rFonts w:hint="eastAsia" w:ascii="仿宋" w:hAnsi="仿宋" w:eastAsia="仿宋"/>
          <w:color w:val="000000"/>
          <w:sz w:val="32"/>
          <w:szCs w:val="32"/>
        </w:rPr>
        <w:t>万元，占9</w:t>
      </w:r>
      <w:r>
        <w:rPr>
          <w:rFonts w:hint="eastAsia" w:ascii="仿宋" w:hAnsi="仿宋" w:eastAsia="仿宋"/>
          <w:color w:val="000000"/>
          <w:sz w:val="32"/>
          <w:szCs w:val="32"/>
          <w:lang w:val="en-US" w:eastAsia="zh-CN"/>
        </w:rPr>
        <w:t>2.32</w:t>
      </w:r>
      <w:r>
        <w:rPr>
          <w:rFonts w:ascii="仿宋" w:hAnsi="仿宋" w:eastAsia="仿宋"/>
          <w:color w:val="000000"/>
          <w:sz w:val="32"/>
          <w:szCs w:val="32"/>
        </w:rPr>
        <w:t>%</w:t>
      </w:r>
      <w:r>
        <w:rPr>
          <w:rFonts w:hint="eastAsia" w:ascii="仿宋" w:hAnsi="仿宋" w:eastAsia="仿宋"/>
          <w:color w:val="000000"/>
          <w:sz w:val="32"/>
          <w:szCs w:val="32"/>
        </w:rPr>
        <w:t>；政府性基金预算财政拨款收入103.33万元，占6.</w:t>
      </w:r>
      <w:r>
        <w:rPr>
          <w:rFonts w:hint="eastAsia" w:ascii="仿宋" w:hAnsi="仿宋" w:eastAsia="仿宋"/>
          <w:color w:val="000000"/>
          <w:sz w:val="32"/>
          <w:szCs w:val="32"/>
          <w:lang w:val="en-US" w:eastAsia="zh-CN"/>
        </w:rPr>
        <w:t>68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sz w:val="32"/>
          <w:szCs w:val="32"/>
        </w:rPr>
        <w:t>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14:paraId="1520BA4D">
      <w:pPr>
        <w:pStyle w:val="2"/>
        <w:ind w:left="0" w:leftChars="0" w:firstLine="0" w:firstLineChars="0"/>
        <w:rPr>
          <w:rFonts w:hint="eastAsia"/>
        </w:rPr>
      </w:pPr>
    </w:p>
    <w:p w14:paraId="779BB29B">
      <w:pPr>
        <w:pStyle w:val="2"/>
      </w:pPr>
      <w:r>
        <w:drawing>
          <wp:inline distT="0" distB="0" distL="0" distR="0">
            <wp:extent cx="5029200" cy="2200275"/>
            <wp:effectExtent l="0" t="0" r="1905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62DD94F">
      <w:pPr>
        <w:spacing w:line="600" w:lineRule="exact"/>
        <w:ind w:firstLine="640" w:firstLineChars="200"/>
        <w:jc w:val="center"/>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（图2：收入决算结构图）（饼状图）</w:t>
      </w:r>
    </w:p>
    <w:p w14:paraId="5F49BF05">
      <w:pPr>
        <w:pStyle w:val="26"/>
        <w:numPr>
          <w:ilvl w:val="0"/>
          <w:numId w:val="1"/>
        </w:numPr>
        <w:spacing w:line="600" w:lineRule="exact"/>
        <w:ind w:firstLineChars="0"/>
        <w:outlineLvl w:val="1"/>
        <w:rPr>
          <w:rStyle w:val="28"/>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8"/>
          <w:rFonts w:hint="eastAsia" w:ascii="黑体" w:hAnsi="黑体" w:eastAsia="黑体"/>
          <w:b w:val="0"/>
        </w:rPr>
        <w:t>出决算情况说明</w:t>
      </w:r>
      <w:bookmarkEnd w:id="28"/>
      <w:bookmarkEnd w:id="29"/>
    </w:p>
    <w:p w14:paraId="6AEF1A9C">
      <w:pPr>
        <w:pStyle w:val="2"/>
        <w:ind w:left="0" w:leftChars="0" w:firstLine="0" w:firstLineChars="0"/>
        <w:rPr>
          <w:rFonts w:hint="eastAsia"/>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2020年本年支出合计</w:t>
      </w:r>
      <w:r>
        <w:rPr>
          <w:rFonts w:hint="eastAsia" w:ascii="仿宋" w:hAnsi="仿宋" w:eastAsia="仿宋"/>
          <w:color w:val="000000"/>
          <w:sz w:val="32"/>
          <w:szCs w:val="32"/>
          <w:lang w:val="en-US" w:eastAsia="zh-CN"/>
        </w:rPr>
        <w:t>829.72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306.48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36.94</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523.24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63.06</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14:paraId="1DD2D37D">
      <w:pPr>
        <w:pStyle w:val="2"/>
        <w:rPr>
          <w:rFonts w:hint="eastAsia"/>
        </w:rPr>
      </w:pPr>
      <w:r>
        <w:rPr>
          <w:rFonts w:hint="eastAsia"/>
        </w:rPr>
        <w:drawing>
          <wp:inline distT="0" distB="0" distL="0" distR="0">
            <wp:extent cx="4362450" cy="2381250"/>
            <wp:effectExtent l="4445" t="4445" r="1460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FB7CC6">
      <w:pPr>
        <w:spacing w:line="600" w:lineRule="exact"/>
        <w:ind w:firstLine="640" w:firstLineChars="2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14:paraId="2DDE1CFE">
      <w:pPr>
        <w:spacing w:line="600" w:lineRule="exact"/>
        <w:ind w:firstLine="640" w:firstLineChars="200"/>
        <w:rPr>
          <w:rFonts w:ascii="仿宋_GB2312" w:eastAsia="仿宋_GB2312"/>
          <w:color w:val="FF0000"/>
          <w:sz w:val="32"/>
          <w:szCs w:val="32"/>
        </w:rPr>
      </w:pPr>
    </w:p>
    <w:p w14:paraId="5145EC94">
      <w:pPr>
        <w:spacing w:line="600" w:lineRule="exact"/>
        <w:ind w:firstLine="640" w:firstLineChars="200"/>
        <w:outlineLvl w:val="1"/>
        <w:rPr>
          <w:rStyle w:val="28"/>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30"/>
      <w:bookmarkEnd w:id="31"/>
    </w:p>
    <w:p w14:paraId="002F5530">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2020年财政拨款收入决算总计</w:t>
      </w:r>
      <w:r>
        <w:rPr>
          <w:rFonts w:hint="eastAsia" w:ascii="仿宋" w:hAnsi="仿宋" w:eastAsia="仿宋"/>
          <w:color w:val="000000"/>
          <w:sz w:val="32"/>
          <w:szCs w:val="32"/>
          <w:lang w:val="en-US" w:eastAsia="zh-CN"/>
        </w:rPr>
        <w:t>1346.09</w:t>
      </w:r>
      <w:r>
        <w:rPr>
          <w:rFonts w:hint="eastAsia" w:ascii="仿宋" w:hAnsi="仿宋" w:eastAsia="仿宋"/>
          <w:color w:val="000000"/>
          <w:sz w:val="32"/>
          <w:szCs w:val="32"/>
        </w:rPr>
        <w:t>万元，财政拨款支出决算总计</w:t>
      </w:r>
      <w:r>
        <w:rPr>
          <w:rFonts w:hint="eastAsia" w:ascii="仿宋" w:hAnsi="仿宋" w:eastAsia="仿宋"/>
          <w:color w:val="000000"/>
          <w:sz w:val="32"/>
          <w:szCs w:val="32"/>
          <w:lang w:val="en-US" w:eastAsia="zh-CN"/>
        </w:rPr>
        <w:t>829.72</w:t>
      </w:r>
      <w:r>
        <w:rPr>
          <w:rFonts w:hint="eastAsia" w:ascii="仿宋" w:hAnsi="仿宋" w:eastAsia="仿宋"/>
          <w:color w:val="000000"/>
          <w:sz w:val="32"/>
          <w:szCs w:val="32"/>
        </w:rPr>
        <w:t>万元， 与2019年相比，</w:t>
      </w:r>
      <w:r>
        <w:rPr>
          <w:rFonts w:hint="eastAsia" w:ascii="仿宋" w:hAnsi="仿宋" w:eastAsia="仿宋"/>
          <w:color w:val="000000"/>
          <w:sz w:val="32"/>
          <w:szCs w:val="32"/>
          <w:lang w:val="en-US" w:eastAsia="zh-CN"/>
        </w:rPr>
        <w:t>财政拨款</w:t>
      </w:r>
      <w:r>
        <w:rPr>
          <w:rFonts w:hint="eastAsia" w:ascii="仿宋" w:hAnsi="仿宋" w:eastAsia="仿宋"/>
          <w:color w:val="000000"/>
          <w:sz w:val="32"/>
          <w:szCs w:val="32"/>
        </w:rPr>
        <w:t>收入减少</w:t>
      </w:r>
      <w:r>
        <w:rPr>
          <w:rFonts w:hint="eastAsia" w:ascii="仿宋" w:hAnsi="仿宋" w:eastAsia="仿宋"/>
          <w:color w:val="000000"/>
          <w:sz w:val="32"/>
          <w:szCs w:val="32"/>
          <w:lang w:val="en-US" w:eastAsia="zh-CN"/>
        </w:rPr>
        <w:t>19784.06</w:t>
      </w:r>
      <w:r>
        <w:rPr>
          <w:rFonts w:hint="eastAsia" w:ascii="仿宋" w:hAnsi="仿宋" w:eastAsia="仿宋"/>
          <w:color w:val="000000"/>
          <w:sz w:val="32"/>
          <w:szCs w:val="32"/>
        </w:rPr>
        <w:t>万元，下降9</w:t>
      </w:r>
      <w:r>
        <w:rPr>
          <w:rFonts w:hint="eastAsia" w:ascii="仿宋" w:hAnsi="仿宋" w:eastAsia="仿宋"/>
          <w:color w:val="000000"/>
          <w:sz w:val="32"/>
          <w:szCs w:val="32"/>
          <w:lang w:val="en-US" w:eastAsia="zh-CN"/>
        </w:rPr>
        <w:t>3.63</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财政拨款</w:t>
      </w:r>
      <w:r>
        <w:rPr>
          <w:rFonts w:hint="eastAsia" w:ascii="仿宋" w:hAnsi="仿宋" w:eastAsia="仿宋"/>
          <w:color w:val="000000"/>
          <w:sz w:val="32"/>
          <w:szCs w:val="32"/>
        </w:rPr>
        <w:t>支出减少202</w:t>
      </w:r>
      <w:r>
        <w:rPr>
          <w:rFonts w:hint="eastAsia" w:ascii="仿宋" w:hAnsi="仿宋" w:eastAsia="仿宋"/>
          <w:color w:val="000000"/>
          <w:sz w:val="32"/>
          <w:szCs w:val="32"/>
          <w:lang w:val="en-US" w:eastAsia="zh-CN"/>
        </w:rPr>
        <w:t>15.52</w:t>
      </w:r>
      <w:r>
        <w:rPr>
          <w:rFonts w:hint="eastAsia" w:ascii="仿宋" w:hAnsi="仿宋" w:eastAsia="仿宋"/>
          <w:color w:val="000000"/>
          <w:sz w:val="32"/>
          <w:szCs w:val="32"/>
        </w:rPr>
        <w:t>万元，下降9</w:t>
      </w:r>
      <w:r>
        <w:rPr>
          <w:rFonts w:hint="eastAsia" w:ascii="仿宋" w:hAnsi="仿宋" w:eastAsia="仿宋"/>
          <w:color w:val="000000"/>
          <w:sz w:val="32"/>
          <w:szCs w:val="32"/>
          <w:lang w:val="en-US" w:eastAsia="zh-CN"/>
        </w:rPr>
        <w:t>6.06</w:t>
      </w:r>
      <w:r>
        <w:rPr>
          <w:rFonts w:hint="eastAsia" w:ascii="仿宋" w:hAnsi="仿宋" w:eastAsia="仿宋"/>
          <w:color w:val="000000"/>
          <w:sz w:val="32"/>
          <w:szCs w:val="32"/>
        </w:rPr>
        <w:t>%。主要变动原因是项目经费减少。</w:t>
      </w:r>
    </w:p>
    <w:p w14:paraId="7EEC79ED">
      <w:pPr>
        <w:pStyle w:val="2"/>
      </w:pPr>
      <w:r>
        <w:drawing>
          <wp:inline distT="0" distB="0" distL="0" distR="0">
            <wp:extent cx="4705350" cy="2733675"/>
            <wp:effectExtent l="0" t="0" r="19050"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E16ECE">
      <w:pPr>
        <w:spacing w:line="600" w:lineRule="exact"/>
        <w:ind w:firstLine="640" w:firstLineChars="2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14:paraId="1EDB8C59">
      <w:pPr>
        <w:spacing w:line="600" w:lineRule="exact"/>
        <w:ind w:firstLine="640"/>
        <w:rPr>
          <w:rFonts w:ascii="仿宋" w:hAnsi="仿宋" w:eastAsia="仿宋"/>
          <w:b/>
          <w:color w:val="00B050"/>
          <w:sz w:val="32"/>
          <w:szCs w:val="32"/>
        </w:rPr>
      </w:pPr>
    </w:p>
    <w:p w14:paraId="08C0793F">
      <w:pPr>
        <w:spacing w:line="600" w:lineRule="exact"/>
        <w:ind w:firstLine="640" w:firstLineChars="200"/>
        <w:outlineLvl w:val="1"/>
        <w:rPr>
          <w:rStyle w:val="28"/>
          <w:rFonts w:ascii="黑体" w:hAnsi="黑体" w:eastAsia="黑体"/>
          <w:b w:val="0"/>
          <w:highlight w:val="none"/>
        </w:rPr>
      </w:pPr>
      <w:bookmarkStart w:id="32" w:name="_Toc15396607"/>
      <w:bookmarkStart w:id="33" w:name="_Toc15377209"/>
      <w:r>
        <w:rPr>
          <w:rFonts w:hint="eastAsia" w:ascii="黑体" w:hAnsi="黑体" w:eastAsia="黑体"/>
          <w:color w:val="000000"/>
          <w:sz w:val="32"/>
          <w:szCs w:val="32"/>
          <w:highlight w:val="none"/>
        </w:rPr>
        <w:t>五、</w:t>
      </w:r>
      <w:r>
        <w:rPr>
          <w:rFonts w:hint="eastAsia" w:ascii="黑体" w:hAnsi="黑体" w:eastAsia="黑体"/>
          <w:b/>
          <w:color w:val="000000"/>
          <w:sz w:val="32"/>
          <w:szCs w:val="32"/>
          <w:highlight w:val="none"/>
        </w:rPr>
        <w:t>一</w:t>
      </w:r>
      <w:r>
        <w:rPr>
          <w:rStyle w:val="28"/>
          <w:rFonts w:hint="eastAsia" w:ascii="黑体" w:hAnsi="黑体" w:eastAsia="黑体"/>
          <w:b w:val="0"/>
          <w:highlight w:val="none"/>
        </w:rPr>
        <w:t>般公共预算财政拨款支出决算情况说明</w:t>
      </w:r>
      <w:bookmarkEnd w:id="32"/>
      <w:bookmarkEnd w:id="33"/>
    </w:p>
    <w:p w14:paraId="48DB0143">
      <w:pPr>
        <w:spacing w:line="600" w:lineRule="exact"/>
        <w:ind w:firstLine="643" w:firstLineChars="200"/>
        <w:outlineLvl w:val="2"/>
        <w:rPr>
          <w:rFonts w:ascii="仿宋" w:hAnsi="仿宋" w:eastAsia="仿宋"/>
          <w:b/>
          <w:color w:val="000000"/>
          <w:sz w:val="32"/>
          <w:szCs w:val="32"/>
          <w:highlight w:val="none"/>
        </w:rPr>
      </w:pPr>
      <w:bookmarkStart w:id="34" w:name="_Toc15377210"/>
      <w:r>
        <w:rPr>
          <w:rFonts w:hint="eastAsia" w:ascii="仿宋" w:hAnsi="仿宋" w:eastAsia="仿宋"/>
          <w:b/>
          <w:color w:val="000000"/>
          <w:sz w:val="32"/>
          <w:szCs w:val="32"/>
          <w:highlight w:val="none"/>
        </w:rPr>
        <w:t>（一）一般公共预算财政拨款支出决算总体情况</w:t>
      </w:r>
      <w:bookmarkEnd w:id="34"/>
    </w:p>
    <w:p w14:paraId="2EEB89C2">
      <w:pPr>
        <w:spacing w:line="60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2020年一般公共预算财政拨款支出</w:t>
      </w:r>
      <w:r>
        <w:rPr>
          <w:rFonts w:hint="eastAsia" w:ascii="仿宋" w:hAnsi="仿宋" w:eastAsia="仿宋"/>
          <w:color w:val="000000"/>
          <w:sz w:val="32"/>
          <w:szCs w:val="32"/>
          <w:highlight w:val="none"/>
          <w:lang w:val="en-US" w:eastAsia="zh-CN"/>
        </w:rPr>
        <w:t>709.86</w:t>
      </w:r>
      <w:r>
        <w:rPr>
          <w:rFonts w:hint="eastAsia" w:ascii="仿宋" w:hAnsi="仿宋" w:eastAsia="仿宋"/>
          <w:color w:val="000000"/>
          <w:sz w:val="32"/>
          <w:szCs w:val="32"/>
          <w:highlight w:val="none"/>
        </w:rPr>
        <w:t>万元，占本年支出合计的</w:t>
      </w:r>
      <w:r>
        <w:rPr>
          <w:rFonts w:hint="eastAsia" w:ascii="仿宋" w:hAnsi="仿宋" w:eastAsia="仿宋"/>
          <w:color w:val="000000"/>
          <w:sz w:val="32"/>
          <w:szCs w:val="32"/>
          <w:highlight w:val="none"/>
          <w:lang w:val="en-US" w:eastAsia="zh-CN"/>
        </w:rPr>
        <w:t>85.55</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。与2019年相比，一般公共预算财政拨款减少</w:t>
      </w:r>
      <w:r>
        <w:rPr>
          <w:rFonts w:hint="eastAsia" w:ascii="仿宋" w:hAnsi="仿宋" w:eastAsia="仿宋"/>
          <w:color w:val="000000"/>
          <w:sz w:val="32"/>
          <w:szCs w:val="32"/>
          <w:highlight w:val="none"/>
          <w:lang w:val="en-US" w:eastAsia="zh-CN"/>
        </w:rPr>
        <w:t>135.33</w:t>
      </w:r>
      <w:r>
        <w:rPr>
          <w:rFonts w:hint="eastAsia" w:ascii="仿宋" w:hAnsi="仿宋" w:eastAsia="仿宋"/>
          <w:color w:val="000000"/>
          <w:sz w:val="32"/>
          <w:szCs w:val="32"/>
          <w:highlight w:val="none"/>
        </w:rPr>
        <w:t>万元，下降1</w:t>
      </w:r>
      <w:r>
        <w:rPr>
          <w:rFonts w:hint="eastAsia" w:ascii="仿宋" w:hAnsi="仿宋" w:eastAsia="仿宋"/>
          <w:color w:val="000000"/>
          <w:sz w:val="32"/>
          <w:szCs w:val="32"/>
          <w:highlight w:val="none"/>
          <w:lang w:val="en-US" w:eastAsia="zh-CN"/>
        </w:rPr>
        <w:t>6.01</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。主要变动原因是项目经费减少</w:t>
      </w:r>
      <w:r>
        <w:rPr>
          <w:rFonts w:hint="eastAsia" w:ascii="仿宋" w:hAnsi="仿宋" w:eastAsia="仿宋"/>
          <w:color w:val="000000"/>
          <w:sz w:val="32"/>
          <w:szCs w:val="32"/>
          <w:highlight w:val="none"/>
          <w:lang w:val="en-US" w:eastAsia="zh-CN"/>
        </w:rPr>
        <w:t>。</w:t>
      </w:r>
    </w:p>
    <w:p w14:paraId="75AE452D">
      <w:pPr>
        <w:pStyle w:val="2"/>
        <w:ind w:left="0" w:leftChars="0" w:firstLine="0" w:firstLineChars="0"/>
        <w:rPr>
          <w:rFonts w:hint="eastAsia"/>
        </w:rPr>
      </w:pPr>
    </w:p>
    <w:p w14:paraId="4CB847F7">
      <w:pPr>
        <w:pStyle w:val="2"/>
      </w:pPr>
      <w:r>
        <w:drawing>
          <wp:inline distT="0" distB="0" distL="0" distR="0">
            <wp:extent cx="4286250" cy="3028950"/>
            <wp:effectExtent l="4445" t="4445" r="1460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75F71C">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14:paraId="6DDC7CA8">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14:paraId="701A66A9">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17252F98">
      <w:pPr>
        <w:spacing w:line="600" w:lineRule="exact"/>
        <w:ind w:firstLine="640"/>
        <w:rPr>
          <w:rFonts w:ascii="仿宋" w:hAnsi="仿宋" w:eastAsia="仿宋"/>
          <w:b/>
          <w:color w:val="FF0000"/>
          <w:sz w:val="32"/>
          <w:szCs w:val="32"/>
        </w:rPr>
      </w:pPr>
      <w:r>
        <w:rPr>
          <w:rFonts w:hint="eastAsia" w:ascii="仿宋" w:hAnsi="仿宋" w:eastAsia="仿宋"/>
          <w:color w:val="000000"/>
          <w:sz w:val="32"/>
          <w:szCs w:val="32"/>
        </w:rPr>
        <w:t>2020年一般公共预算财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709.86</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w:t>
      </w:r>
      <w:r>
        <w:rPr>
          <w:rFonts w:hint="eastAsia" w:ascii="仿宋" w:hAnsi="仿宋" w:eastAsia="仿宋"/>
          <w:b w:val="0"/>
          <w:bCs w:val="0"/>
          <w:color w:val="000000" w:themeColor="text1"/>
          <w:sz w:val="32"/>
          <w:szCs w:val="32"/>
          <w:lang w:val="en-US" w:eastAsia="zh-CN"/>
          <w14:textFill>
            <w14:solidFill>
              <w14:schemeClr w14:val="tx1"/>
            </w14:solidFill>
          </w14:textFill>
        </w:rPr>
        <w:t>604.96</w:t>
      </w:r>
      <w:r>
        <w:rPr>
          <w:rFonts w:hint="eastAsia" w:ascii="仿宋" w:hAnsi="仿宋" w:eastAsia="仿宋"/>
          <w:b w:val="0"/>
          <w:bCs w:val="0"/>
          <w:color w:val="000000" w:themeColor="text1"/>
          <w:sz w:val="32"/>
          <w:szCs w:val="32"/>
          <w14:textFill>
            <w14:solidFill>
              <w14:schemeClr w14:val="tx1"/>
            </w14:solidFill>
          </w14:textFill>
        </w:rPr>
        <w:t>万元</w:t>
      </w:r>
      <w:r>
        <w:rPr>
          <w:rFonts w:hint="eastAsia" w:ascii="仿宋" w:hAnsi="仿宋" w:eastAsia="仿宋"/>
          <w:b/>
          <w:bCs/>
          <w:color w:val="000000" w:themeColor="text1"/>
          <w:sz w:val="32"/>
          <w:szCs w:val="32"/>
          <w14:textFill>
            <w14:solidFill>
              <w14:schemeClr w14:val="tx1"/>
            </w14:solidFill>
          </w14:textFill>
        </w:rPr>
        <w:t>，占</w:t>
      </w:r>
      <w:r>
        <w:rPr>
          <w:rFonts w:hint="eastAsia" w:ascii="仿宋" w:hAnsi="仿宋" w:eastAsia="仿宋"/>
          <w:b/>
          <w:bCs/>
          <w:color w:val="000000" w:themeColor="text1"/>
          <w:sz w:val="32"/>
          <w:szCs w:val="32"/>
          <w:lang w:val="en-US" w:eastAsia="zh-CN"/>
          <w14:textFill>
            <w14:solidFill>
              <w14:schemeClr w14:val="tx1"/>
            </w14:solidFill>
          </w14:textFill>
        </w:rPr>
        <w:t>85.22</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35.68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5.03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7.5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；城乡社区支出41.05万元，占</w:t>
      </w:r>
      <w:r>
        <w:rPr>
          <w:rFonts w:hint="eastAsia" w:ascii="仿宋" w:hAnsi="仿宋" w:eastAsia="仿宋"/>
          <w:color w:val="000000" w:themeColor="text1"/>
          <w:sz w:val="32"/>
          <w:szCs w:val="32"/>
          <w:lang w:val="en-US" w:eastAsia="zh-CN"/>
          <w14:textFill>
            <w14:solidFill>
              <w14:schemeClr w14:val="tx1"/>
            </w14:solidFill>
          </w14:textFill>
        </w:rPr>
        <w:t>5.78</w:t>
      </w:r>
      <w:r>
        <w:rPr>
          <w:rFonts w:hint="eastAsia" w:ascii="仿宋" w:hAnsi="仿宋" w:eastAsia="仿宋"/>
          <w:color w:val="000000" w:themeColor="text1"/>
          <w:sz w:val="32"/>
          <w:szCs w:val="32"/>
          <w14:textFill>
            <w14:solidFill>
              <w14:schemeClr w14:val="tx1"/>
            </w14:solidFill>
          </w14:textFill>
        </w:rPr>
        <w:t xml:space="preserve">%；住房保障支出 </w:t>
      </w:r>
      <w:r>
        <w:rPr>
          <w:rFonts w:hint="eastAsia" w:ascii="仿宋" w:hAnsi="仿宋" w:eastAsia="仿宋"/>
          <w:color w:val="000000" w:themeColor="text1"/>
          <w:sz w:val="32"/>
          <w:szCs w:val="32"/>
          <w:lang w:val="en-US" w:eastAsia="zh-CN"/>
          <w14:textFill>
            <w14:solidFill>
              <w14:schemeClr w14:val="tx1"/>
            </w14:solidFill>
          </w14:textFill>
        </w:rPr>
        <w:t>20.67</w:t>
      </w:r>
      <w:r>
        <w:rPr>
          <w:rFonts w:hint="eastAsia" w:ascii="仿宋" w:hAnsi="仿宋" w:eastAsia="仿宋"/>
          <w:color w:val="000000" w:themeColor="text1"/>
          <w:sz w:val="32"/>
          <w:szCs w:val="32"/>
          <w14:textFill>
            <w14:solidFill>
              <w14:schemeClr w14:val="tx1"/>
            </w14:solidFill>
          </w14:textFill>
        </w:rPr>
        <w:t>元，占</w:t>
      </w:r>
      <w:r>
        <w:rPr>
          <w:rFonts w:hint="eastAsia" w:ascii="仿宋" w:hAnsi="仿宋" w:eastAsia="仿宋"/>
          <w:color w:val="000000" w:themeColor="text1"/>
          <w:sz w:val="32"/>
          <w:szCs w:val="32"/>
          <w:lang w:val="en-US" w:eastAsia="zh-CN"/>
          <w14:textFill>
            <w14:solidFill>
              <w14:schemeClr w14:val="tx1"/>
            </w14:solidFill>
          </w14:textFill>
        </w:rPr>
        <w:t xml:space="preserve"> 2.91 </w:t>
      </w:r>
      <w:r>
        <w:rPr>
          <w:rFonts w:hint="eastAsia" w:ascii="仿宋" w:hAnsi="仿宋" w:eastAsia="仿宋"/>
          <w:color w:val="000000" w:themeColor="text1"/>
          <w:sz w:val="32"/>
          <w:szCs w:val="32"/>
          <w14:textFill>
            <w14:solidFill>
              <w14:schemeClr w14:val="tx1"/>
            </w14:solidFill>
          </w14:textFill>
        </w:rPr>
        <w:t>%。</w:t>
      </w:r>
    </w:p>
    <w:p w14:paraId="123B4B1E">
      <w:pPr>
        <w:pStyle w:val="2"/>
        <w:rPr>
          <w:rFonts w:hint="eastAsia"/>
        </w:rPr>
      </w:pPr>
    </w:p>
    <w:p w14:paraId="6A261B92">
      <w:pPr>
        <w:pStyle w:val="2"/>
      </w:pPr>
      <w:r>
        <w:drawing>
          <wp:inline distT="0" distB="0" distL="0" distR="0">
            <wp:extent cx="4838700" cy="2914650"/>
            <wp:effectExtent l="0" t="0" r="19050" b="190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FBBD18">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14:paraId="41ABED74">
      <w:pPr>
        <w:spacing w:line="600" w:lineRule="exact"/>
        <w:ind w:firstLine="640" w:firstLineChars="200"/>
        <w:rPr>
          <w:rFonts w:ascii="仿宋" w:hAnsi="仿宋" w:eastAsia="仿宋"/>
          <w:color w:val="000000"/>
          <w:sz w:val="32"/>
          <w:szCs w:val="32"/>
        </w:rPr>
      </w:pPr>
    </w:p>
    <w:p w14:paraId="30E60EB4">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4623662D">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2020年般公共预算支出决算数为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709.86</w:t>
      </w:r>
      <w:r>
        <w:rPr>
          <w:rFonts w:hint="eastAsia" w:ascii="仿宋" w:hAnsi="仿宋" w:eastAsia="仿宋"/>
          <w:color w:val="000000" w:themeColor="text1"/>
          <w:sz w:val="32"/>
          <w:szCs w:val="32"/>
          <w14:textFill>
            <w14:solidFill>
              <w14:schemeClr w14:val="tx1"/>
            </w14:solidFill>
          </w14:textFill>
        </w:rPr>
        <w:t>，</w:t>
      </w:r>
      <w:r>
        <w:rPr>
          <w:rStyle w:val="17"/>
          <w:rFonts w:hint="eastAsia" w:ascii="仿宋" w:hAnsi="仿宋" w:eastAsia="仿宋"/>
          <w:bCs/>
          <w:color w:val="000000" w:themeColor="text1"/>
          <w:sz w:val="32"/>
          <w:szCs w:val="32"/>
          <w14:textFill>
            <w14:solidFill>
              <w14:schemeClr w14:val="tx1"/>
            </w14:solidFill>
          </w14:textFill>
        </w:rPr>
        <w:t>完成</w:t>
      </w:r>
      <w:r>
        <w:rPr>
          <w:rStyle w:val="17"/>
          <w:rFonts w:hint="eastAsia" w:ascii="仿宋" w:hAnsi="仿宋" w:eastAsia="仿宋"/>
          <w:bCs/>
          <w:color w:val="000000"/>
          <w:sz w:val="32"/>
          <w:szCs w:val="32"/>
        </w:rPr>
        <w:t>预算</w:t>
      </w:r>
      <w:r>
        <w:rPr>
          <w:rStyle w:val="17"/>
          <w:rFonts w:hint="eastAsia" w:ascii="仿宋" w:hAnsi="仿宋" w:eastAsia="仿宋"/>
          <w:bCs/>
          <w:color w:val="000000"/>
          <w:sz w:val="32"/>
          <w:szCs w:val="32"/>
          <w:lang w:val="en-US" w:eastAsia="zh-CN"/>
        </w:rPr>
        <w:t>49.81</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。其中：</w:t>
      </w:r>
      <w:bookmarkEnd w:id="37"/>
      <w:bookmarkEnd w:id="38"/>
      <w:bookmarkEnd w:id="39"/>
    </w:p>
    <w:p w14:paraId="1683F935">
      <w:pPr>
        <w:numPr>
          <w:ilvl w:val="0"/>
          <w:numId w:val="2"/>
        </w:numPr>
        <w:spacing w:line="600"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一般公共服务支出</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支出决算为0万元。</w:t>
      </w:r>
    </w:p>
    <w:p w14:paraId="4B5E6F88">
      <w:pPr>
        <w:spacing w:line="600" w:lineRule="exact"/>
        <w:rPr>
          <w:rFonts w:ascii="仿宋" w:hAnsi="仿宋" w:eastAsia="仿宋"/>
          <w:b/>
          <w:color w:val="000000"/>
          <w:sz w:val="32"/>
          <w:szCs w:val="32"/>
        </w:rPr>
      </w:pPr>
      <w:r>
        <w:rPr>
          <w:rStyle w:val="17"/>
          <w:rFonts w:hint="eastAsia" w:ascii="仿宋" w:hAnsi="仿宋" w:eastAsia="仿宋"/>
          <w:bCs/>
          <w:color w:val="000000"/>
          <w:sz w:val="32"/>
          <w:szCs w:val="32"/>
        </w:rPr>
        <w:t xml:space="preserve">    </w:t>
      </w:r>
      <w:r>
        <w:rPr>
          <w:rStyle w:val="17"/>
          <w:rFonts w:ascii="仿宋" w:hAnsi="仿宋" w:eastAsia="仿宋"/>
          <w:bCs/>
          <w:color w:val="000000"/>
          <w:sz w:val="32"/>
          <w:szCs w:val="32"/>
        </w:rPr>
        <w:t>2.</w:t>
      </w:r>
      <w:r>
        <w:rPr>
          <w:rStyle w:val="17"/>
          <w:rFonts w:hint="eastAsia" w:ascii="仿宋" w:hAnsi="仿宋" w:eastAsia="仿宋"/>
          <w:bCs/>
          <w:color w:val="000000"/>
          <w:sz w:val="32"/>
          <w:szCs w:val="32"/>
        </w:rPr>
        <w:t>教育支出</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支出决算为0万元。</w:t>
      </w:r>
    </w:p>
    <w:p w14:paraId="5B2F607F">
      <w:pPr>
        <w:spacing w:line="600" w:lineRule="exact"/>
        <w:ind w:firstLine="643" w:firstLineChars="200"/>
        <w:rPr>
          <w:rFonts w:ascii="仿宋" w:hAnsi="仿宋" w:eastAsia="仿宋"/>
          <w:b/>
          <w:color w:val="000000"/>
          <w:sz w:val="32"/>
          <w:szCs w:val="32"/>
        </w:rPr>
      </w:pPr>
      <w:r>
        <w:rPr>
          <w:rStyle w:val="17"/>
          <w:rFonts w:ascii="仿宋" w:hAnsi="仿宋" w:eastAsia="仿宋"/>
          <w:bCs/>
          <w:color w:val="000000"/>
          <w:sz w:val="32"/>
          <w:szCs w:val="32"/>
        </w:rPr>
        <w:t>3.</w:t>
      </w:r>
      <w:r>
        <w:rPr>
          <w:rStyle w:val="17"/>
          <w:rFonts w:hint="eastAsia" w:ascii="仿宋" w:hAnsi="仿宋" w:eastAsia="仿宋"/>
          <w:bCs/>
          <w:color w:val="000000"/>
          <w:sz w:val="32"/>
          <w:szCs w:val="32"/>
        </w:rPr>
        <w:t>科学技术支出</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支出决算为0万元。</w:t>
      </w:r>
    </w:p>
    <w:p w14:paraId="65D56CA8">
      <w:pPr>
        <w:spacing w:line="600" w:lineRule="exact"/>
        <w:ind w:firstLine="643" w:firstLineChars="200"/>
        <w:rPr>
          <w:rStyle w:val="17"/>
          <w:rFonts w:hint="eastAsia" w:ascii="仿宋" w:hAnsi="仿宋" w:eastAsia="仿宋"/>
          <w:b w:val="0"/>
          <w:bCs/>
          <w:color w:val="000000"/>
          <w:sz w:val="32"/>
          <w:szCs w:val="32"/>
        </w:rPr>
      </w:pPr>
      <w:r>
        <w:rPr>
          <w:rStyle w:val="17"/>
          <w:rFonts w:ascii="仿宋" w:hAnsi="仿宋" w:eastAsia="仿宋"/>
          <w:bCs/>
          <w:color w:val="000000"/>
          <w:sz w:val="32"/>
          <w:szCs w:val="32"/>
        </w:rPr>
        <w:t>4.</w:t>
      </w:r>
      <w:r>
        <w:rPr>
          <w:rStyle w:val="17"/>
          <w:rFonts w:hint="eastAsia" w:ascii="仿宋" w:hAnsi="仿宋" w:eastAsia="仿宋"/>
          <w:bCs/>
          <w:color w:val="000000"/>
          <w:sz w:val="32"/>
          <w:szCs w:val="32"/>
        </w:rPr>
        <w:t>文化旅游体育与传媒支出</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604.96</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48.98</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，决算数小于预算数的主要原因是项目未实施完成 ，资金未列支。</w:t>
      </w:r>
    </w:p>
    <w:p w14:paraId="1AC1721C">
      <w:pPr>
        <w:spacing w:line="600" w:lineRule="exact"/>
        <w:ind w:firstLine="640" w:firstLineChars="200"/>
        <w:rPr>
          <w:rStyle w:val="17"/>
          <w:rFonts w:ascii="仿宋" w:hAnsi="仿宋" w:eastAsia="仿宋"/>
          <w:b w:val="0"/>
          <w:bCs/>
          <w:color w:val="000000"/>
          <w:sz w:val="32"/>
          <w:szCs w:val="32"/>
          <w:highlight w:val="none"/>
        </w:rPr>
      </w:pPr>
      <w:r>
        <w:rPr>
          <w:rStyle w:val="17"/>
          <w:rFonts w:hint="eastAsia" w:ascii="仿宋" w:hAnsi="仿宋" w:eastAsia="仿宋"/>
          <w:b w:val="0"/>
          <w:bCs/>
          <w:color w:val="000000"/>
          <w:sz w:val="32"/>
          <w:szCs w:val="32"/>
          <w:highlight w:val="none"/>
        </w:rPr>
        <w:t>文化和旅游</w:t>
      </w:r>
      <w:r>
        <w:rPr>
          <w:rStyle w:val="17"/>
          <w:rFonts w:hint="eastAsia" w:ascii="仿宋" w:hAnsi="仿宋" w:eastAsia="仿宋"/>
          <w:b w:val="0"/>
          <w:bCs/>
          <w:color w:val="000000"/>
          <w:sz w:val="32"/>
          <w:szCs w:val="32"/>
          <w:highlight w:val="none"/>
          <w:lang w:val="en-US" w:eastAsia="zh-CN"/>
        </w:rPr>
        <w:t>343.73</w:t>
      </w:r>
      <w:r>
        <w:rPr>
          <w:rStyle w:val="17"/>
          <w:rFonts w:hint="eastAsia" w:ascii="仿宋" w:hAnsi="仿宋" w:eastAsia="仿宋"/>
          <w:b w:val="0"/>
          <w:bCs/>
          <w:color w:val="000000"/>
          <w:sz w:val="32"/>
          <w:szCs w:val="32"/>
          <w:highlight w:val="none"/>
        </w:rPr>
        <w:t>万元，完成预算 96.</w:t>
      </w:r>
      <w:r>
        <w:rPr>
          <w:rStyle w:val="17"/>
          <w:rFonts w:hint="eastAsia" w:ascii="仿宋" w:hAnsi="仿宋" w:eastAsia="仿宋"/>
          <w:b w:val="0"/>
          <w:bCs/>
          <w:color w:val="000000"/>
          <w:sz w:val="32"/>
          <w:szCs w:val="32"/>
          <w:highlight w:val="none"/>
          <w:lang w:val="en-US" w:eastAsia="zh-CN"/>
        </w:rPr>
        <w:t>04</w:t>
      </w:r>
      <w:r>
        <w:rPr>
          <w:rStyle w:val="17"/>
          <w:rFonts w:hint="eastAsia" w:ascii="仿宋" w:hAnsi="仿宋" w:eastAsia="仿宋"/>
          <w:b w:val="0"/>
          <w:bCs/>
          <w:color w:val="000000"/>
          <w:sz w:val="32"/>
          <w:szCs w:val="32"/>
          <w:highlight w:val="none"/>
        </w:rPr>
        <w:t>%；</w:t>
      </w:r>
    </w:p>
    <w:p w14:paraId="7BB38931">
      <w:pPr>
        <w:spacing w:line="600" w:lineRule="exact"/>
        <w:ind w:firstLine="640"/>
        <w:rPr>
          <w:rFonts w:ascii="仿宋_GB2312" w:eastAsia="仿宋_GB2312"/>
          <w:color w:val="000000"/>
          <w:sz w:val="32"/>
          <w:szCs w:val="32"/>
          <w:highlight w:val="none"/>
        </w:rPr>
      </w:pPr>
      <w:r>
        <w:rPr>
          <w:rFonts w:hint="eastAsia" w:ascii="仿宋_GB2312" w:eastAsia="仿宋_GB2312"/>
          <w:color w:val="000000"/>
          <w:sz w:val="32"/>
          <w:szCs w:val="32"/>
          <w:highlight w:val="none"/>
        </w:rPr>
        <w:t>行政运行</w:t>
      </w:r>
      <w:r>
        <w:rPr>
          <w:rFonts w:hint="eastAsia" w:ascii="仿宋_GB2312" w:eastAsia="仿宋_GB2312"/>
          <w:color w:val="000000"/>
          <w:sz w:val="32"/>
          <w:szCs w:val="32"/>
          <w:highlight w:val="none"/>
          <w:lang w:val="en-US" w:eastAsia="zh-CN"/>
        </w:rPr>
        <w:t>242.63</w:t>
      </w:r>
      <w:r>
        <w:rPr>
          <w:rFonts w:hint="eastAsia" w:ascii="仿宋_GB2312" w:eastAsia="仿宋_GB2312"/>
          <w:color w:val="000000"/>
          <w:sz w:val="32"/>
          <w:szCs w:val="32"/>
          <w:highlight w:val="none"/>
        </w:rPr>
        <w:t>万元，完成预算100%；</w:t>
      </w:r>
    </w:p>
    <w:p w14:paraId="22A46F55">
      <w:pPr>
        <w:spacing w:line="600" w:lineRule="exact"/>
        <w:ind w:firstLine="640"/>
        <w:rPr>
          <w:rFonts w:ascii="仿宋_GB2312" w:eastAsia="仿宋_GB2312"/>
          <w:color w:val="000000"/>
          <w:sz w:val="32"/>
          <w:szCs w:val="32"/>
          <w:highlight w:val="none"/>
        </w:rPr>
      </w:pPr>
      <w:r>
        <w:rPr>
          <w:rFonts w:hint="eastAsia" w:ascii="仿宋_GB2312" w:eastAsia="仿宋_GB2312"/>
          <w:color w:val="000000"/>
          <w:sz w:val="32"/>
          <w:szCs w:val="32"/>
          <w:highlight w:val="none"/>
        </w:rPr>
        <w:t>一般行政管理事务</w:t>
      </w:r>
      <w:r>
        <w:rPr>
          <w:rFonts w:hint="eastAsia" w:ascii="仿宋_GB2312" w:eastAsia="仿宋_GB2312"/>
          <w:color w:val="000000"/>
          <w:sz w:val="32"/>
          <w:szCs w:val="32"/>
          <w:highlight w:val="none"/>
          <w:lang w:val="en-US" w:eastAsia="zh-CN"/>
        </w:rPr>
        <w:t>11.9</w:t>
      </w:r>
      <w:r>
        <w:rPr>
          <w:rFonts w:hint="eastAsia" w:ascii="仿宋_GB2312" w:eastAsia="仿宋_GB2312"/>
          <w:color w:val="000000"/>
          <w:sz w:val="32"/>
          <w:szCs w:val="32"/>
          <w:highlight w:val="none"/>
        </w:rPr>
        <w:t>万元，完成预算100%；</w:t>
      </w:r>
    </w:p>
    <w:p w14:paraId="17894925">
      <w:pPr>
        <w:spacing w:line="600" w:lineRule="exact"/>
        <w:ind w:firstLine="640"/>
        <w:rPr>
          <w:rFonts w:ascii="仿宋_GB2312" w:eastAsia="仿宋_GB2312"/>
          <w:color w:val="000000"/>
          <w:sz w:val="32"/>
          <w:szCs w:val="32"/>
          <w:highlight w:val="none"/>
        </w:rPr>
      </w:pPr>
      <w:r>
        <w:rPr>
          <w:rFonts w:hint="eastAsia" w:ascii="仿宋_GB2312" w:eastAsia="仿宋_GB2312"/>
          <w:color w:val="000000"/>
          <w:sz w:val="32"/>
          <w:szCs w:val="32"/>
          <w:highlight w:val="none"/>
        </w:rPr>
        <w:t>群众文化</w:t>
      </w:r>
      <w:r>
        <w:rPr>
          <w:rFonts w:hint="eastAsia" w:ascii="仿宋_GB2312" w:eastAsia="仿宋_GB2312"/>
          <w:color w:val="000000"/>
          <w:sz w:val="32"/>
          <w:szCs w:val="32"/>
          <w:highlight w:val="none"/>
          <w:lang w:val="en-US" w:eastAsia="zh-CN"/>
        </w:rPr>
        <w:t>10</w:t>
      </w:r>
      <w:r>
        <w:rPr>
          <w:rFonts w:hint="eastAsia" w:ascii="仿宋_GB2312" w:eastAsia="仿宋_GB2312"/>
          <w:color w:val="000000"/>
          <w:sz w:val="32"/>
          <w:szCs w:val="32"/>
          <w:highlight w:val="none"/>
        </w:rPr>
        <w:t>万元，完成预算100%；</w:t>
      </w:r>
    </w:p>
    <w:p w14:paraId="110A54E2">
      <w:pPr>
        <w:spacing w:line="600" w:lineRule="exact"/>
        <w:ind w:firstLine="640"/>
        <w:rPr>
          <w:rFonts w:ascii="仿宋_GB2312" w:eastAsia="仿宋_GB2312"/>
          <w:color w:val="000000"/>
          <w:sz w:val="32"/>
          <w:szCs w:val="32"/>
          <w:highlight w:val="none"/>
        </w:rPr>
      </w:pPr>
      <w:r>
        <w:rPr>
          <w:rFonts w:hint="eastAsia" w:ascii="仿宋_GB2312" w:eastAsia="仿宋_GB2312"/>
          <w:color w:val="000000"/>
          <w:sz w:val="32"/>
          <w:szCs w:val="32"/>
          <w:highlight w:val="none"/>
        </w:rPr>
        <w:t>文化和旅游市场管理</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万元，完成预算100%；</w:t>
      </w:r>
    </w:p>
    <w:p w14:paraId="2FB5A12E">
      <w:pPr>
        <w:spacing w:line="600" w:lineRule="exact"/>
        <w:ind w:firstLine="640"/>
        <w:rPr>
          <w:rFonts w:ascii="仿宋_GB2312" w:eastAsia="仿宋_GB2312"/>
          <w:color w:val="000000"/>
          <w:sz w:val="32"/>
          <w:szCs w:val="32"/>
          <w:highlight w:val="none"/>
        </w:rPr>
      </w:pPr>
      <w:r>
        <w:rPr>
          <w:rFonts w:hint="eastAsia" w:ascii="仿宋_GB2312" w:eastAsia="仿宋_GB2312"/>
          <w:color w:val="000000"/>
          <w:sz w:val="32"/>
          <w:szCs w:val="32"/>
          <w:highlight w:val="none"/>
        </w:rPr>
        <w:t>其他文化和旅游支出</w:t>
      </w:r>
      <w:r>
        <w:rPr>
          <w:rFonts w:hint="eastAsia" w:ascii="仿宋_GB2312" w:eastAsia="仿宋_GB2312"/>
          <w:color w:val="000000"/>
          <w:sz w:val="32"/>
          <w:szCs w:val="32"/>
          <w:highlight w:val="none"/>
          <w:lang w:val="en-US" w:eastAsia="zh-CN"/>
        </w:rPr>
        <w:t>74.20</w:t>
      </w:r>
      <w:r>
        <w:rPr>
          <w:rFonts w:hint="eastAsia" w:ascii="仿宋_GB2312" w:eastAsia="仿宋_GB2312"/>
          <w:color w:val="000000"/>
          <w:sz w:val="32"/>
          <w:szCs w:val="32"/>
          <w:highlight w:val="none"/>
        </w:rPr>
        <w:t>万元，完成预算8</w:t>
      </w:r>
      <w:r>
        <w:rPr>
          <w:rFonts w:hint="eastAsia" w:ascii="仿宋_GB2312" w:eastAsia="仿宋_GB2312"/>
          <w:color w:val="000000"/>
          <w:sz w:val="32"/>
          <w:szCs w:val="32"/>
          <w:highlight w:val="none"/>
          <w:lang w:val="en-US" w:eastAsia="zh-CN"/>
        </w:rPr>
        <w:t>3.96</w:t>
      </w:r>
      <w:r>
        <w:rPr>
          <w:rFonts w:hint="eastAsia" w:ascii="仿宋_GB2312" w:eastAsia="仿宋_GB2312"/>
          <w:color w:val="000000"/>
          <w:sz w:val="32"/>
          <w:szCs w:val="32"/>
          <w:highlight w:val="none"/>
        </w:rPr>
        <w:t>%；</w:t>
      </w:r>
    </w:p>
    <w:p w14:paraId="1A366382">
      <w:pPr>
        <w:spacing w:line="600" w:lineRule="exact"/>
        <w:ind w:firstLine="64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文物</w:t>
      </w:r>
      <w:r>
        <w:rPr>
          <w:rFonts w:hint="eastAsia" w:ascii="仿宋_GB2312" w:eastAsia="仿宋_GB2312"/>
          <w:color w:val="000000"/>
          <w:sz w:val="32"/>
          <w:szCs w:val="32"/>
          <w:highlight w:val="none"/>
          <w:lang w:val="en-US" w:eastAsia="zh-CN"/>
        </w:rPr>
        <w:t>26万</w:t>
      </w:r>
      <w:r>
        <w:rPr>
          <w:rFonts w:hint="eastAsia" w:ascii="仿宋_GB2312" w:eastAsia="仿宋_GB2312"/>
          <w:color w:val="000000"/>
          <w:sz w:val="32"/>
          <w:szCs w:val="32"/>
          <w:highlight w:val="none"/>
        </w:rPr>
        <w:t>元，完成预算</w:t>
      </w:r>
      <w:r>
        <w:rPr>
          <w:rFonts w:hint="eastAsia" w:ascii="仿宋_GB2312" w:eastAsia="仿宋_GB2312"/>
          <w:color w:val="000000"/>
          <w:sz w:val="32"/>
          <w:szCs w:val="32"/>
          <w:highlight w:val="none"/>
          <w:lang w:val="en-US" w:eastAsia="zh-CN"/>
        </w:rPr>
        <w:t>63.41</w:t>
      </w:r>
      <w:r>
        <w:rPr>
          <w:rFonts w:hint="eastAsia" w:ascii="仿宋_GB2312" w:eastAsia="仿宋_GB2312"/>
          <w:color w:val="000000"/>
          <w:sz w:val="32"/>
          <w:szCs w:val="32"/>
          <w:highlight w:val="none"/>
        </w:rPr>
        <w:t>%；</w:t>
      </w:r>
    </w:p>
    <w:p w14:paraId="43115257">
      <w:pPr>
        <w:spacing w:line="600" w:lineRule="exact"/>
        <w:ind w:firstLine="64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博物馆6万元，完成预算28.57%；</w:t>
      </w:r>
    </w:p>
    <w:p w14:paraId="2509078B">
      <w:pPr>
        <w:spacing w:line="600" w:lineRule="exact"/>
        <w:ind w:firstLine="64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其他文物支出20万元，完成预算100%；</w:t>
      </w:r>
    </w:p>
    <w:p w14:paraId="326D8B29">
      <w:pPr>
        <w:spacing w:line="600" w:lineRule="exact"/>
        <w:ind w:firstLine="64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体育39.25万元，完成预算7.55%；</w:t>
      </w:r>
    </w:p>
    <w:p w14:paraId="004C31FC">
      <w:pPr>
        <w:spacing w:line="600" w:lineRule="exact"/>
        <w:ind w:firstLine="64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体育竞赛4.55万元，完成预算100%；</w:t>
      </w:r>
    </w:p>
    <w:p w14:paraId="38C913CD">
      <w:pPr>
        <w:spacing w:line="600" w:lineRule="exact"/>
        <w:ind w:firstLine="640"/>
      </w:pPr>
      <w:r>
        <w:rPr>
          <w:rFonts w:hint="eastAsia" w:ascii="仿宋_GB2312" w:eastAsia="仿宋_GB2312"/>
          <w:color w:val="000000"/>
          <w:sz w:val="32"/>
          <w:szCs w:val="32"/>
          <w:highlight w:val="none"/>
          <w:lang w:val="en-US" w:eastAsia="zh-CN"/>
        </w:rPr>
        <w:t>其他体育支出34.7万元，完成预算 100%；</w:t>
      </w:r>
    </w:p>
    <w:p w14:paraId="050EF339">
      <w:pPr>
        <w:spacing w:line="600" w:lineRule="exact"/>
        <w:ind w:firstLine="64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广播电视47.27万元，完成预算100% ；</w:t>
      </w:r>
    </w:p>
    <w:p w14:paraId="38761307">
      <w:pPr>
        <w:spacing w:line="600" w:lineRule="exact"/>
        <w:ind w:firstLine="64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广播20.4万元，完成预算100%；</w:t>
      </w:r>
    </w:p>
    <w:p w14:paraId="6CC39A57">
      <w:pPr>
        <w:spacing w:line="600" w:lineRule="exact"/>
        <w:ind w:firstLine="64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电视2万元，完成预算100%；</w:t>
      </w:r>
    </w:p>
    <w:p w14:paraId="2DE9FE46">
      <w:pPr>
        <w:spacing w:line="600" w:lineRule="exact"/>
        <w:ind w:firstLine="64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其他广播电视支出24.88万元，完成预算100%</w:t>
      </w:r>
    </w:p>
    <w:p w14:paraId="59CF5EE0">
      <w:pPr>
        <w:spacing w:line="600" w:lineRule="exact"/>
        <w:ind w:firstLine="640"/>
      </w:pPr>
      <w:r>
        <w:rPr>
          <w:rFonts w:hint="eastAsia" w:ascii="仿宋_GB2312" w:eastAsia="仿宋_GB2312"/>
          <w:color w:val="000000"/>
          <w:sz w:val="32"/>
          <w:szCs w:val="32"/>
          <w:highlight w:val="none"/>
          <w:lang w:val="en-US" w:eastAsia="zh-CN"/>
        </w:rPr>
        <w:t>其他文化旅游体育与传媒支出148.70万元，完成预算59.52%；</w:t>
      </w:r>
    </w:p>
    <w:p w14:paraId="42F962F4">
      <w:pPr>
        <w:spacing w:line="600" w:lineRule="exact"/>
        <w:ind w:firstLine="643" w:firstLineChars="200"/>
        <w:rPr>
          <w:rStyle w:val="17"/>
          <w:rFonts w:hint="eastAsia" w:ascii="仿宋" w:hAnsi="仿宋" w:eastAsia="仿宋"/>
          <w:b w:val="0"/>
          <w:bCs/>
          <w:color w:val="000000"/>
          <w:sz w:val="32"/>
          <w:szCs w:val="32"/>
        </w:rPr>
      </w:pPr>
      <w:r>
        <w:rPr>
          <w:rStyle w:val="17"/>
          <w:rFonts w:ascii="仿宋" w:hAnsi="仿宋" w:eastAsia="仿宋"/>
          <w:bCs/>
          <w:color w:val="000000"/>
          <w:sz w:val="32"/>
          <w:szCs w:val="32"/>
        </w:rPr>
        <w:t>5.</w:t>
      </w:r>
      <w:r>
        <w:rPr>
          <w:rStyle w:val="17"/>
          <w:rFonts w:hint="eastAsia" w:ascii="仿宋" w:hAnsi="仿宋" w:eastAsia="仿宋"/>
          <w:bCs/>
          <w:color w:val="000000"/>
          <w:sz w:val="32"/>
          <w:szCs w:val="32"/>
        </w:rPr>
        <w:t>社会保障和就业支出</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35.68</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0B5DAFB2">
      <w:pPr>
        <w:spacing w:line="600" w:lineRule="exact"/>
        <w:rPr>
          <w:rStyle w:val="17"/>
          <w:rFonts w:ascii="仿宋" w:hAnsi="仿宋" w:eastAsia="仿宋"/>
          <w:b w:val="0"/>
          <w:bCs/>
          <w:color w:val="000000"/>
          <w:sz w:val="32"/>
          <w:szCs w:val="32"/>
          <w:highlight w:val="none"/>
        </w:rPr>
      </w:pPr>
      <w:r>
        <w:rPr>
          <w:rStyle w:val="17"/>
          <w:rFonts w:hint="eastAsia" w:ascii="仿宋" w:hAnsi="仿宋" w:eastAsia="仿宋"/>
          <w:b w:val="0"/>
          <w:bCs/>
          <w:color w:val="000000"/>
          <w:sz w:val="32"/>
          <w:szCs w:val="32"/>
          <w:highlight w:val="none"/>
          <w:lang w:val="en-US" w:eastAsia="zh-CN"/>
        </w:rPr>
        <w:t xml:space="preserve">    </w:t>
      </w:r>
      <w:r>
        <w:rPr>
          <w:rStyle w:val="17"/>
          <w:rFonts w:hint="eastAsia" w:ascii="仿宋" w:hAnsi="仿宋" w:eastAsia="仿宋"/>
          <w:b w:val="0"/>
          <w:bCs/>
          <w:color w:val="000000"/>
          <w:sz w:val="32"/>
          <w:szCs w:val="32"/>
          <w:highlight w:val="none"/>
        </w:rPr>
        <w:t>行政事业单位</w:t>
      </w:r>
      <w:r>
        <w:rPr>
          <w:rStyle w:val="17"/>
          <w:rFonts w:hint="eastAsia" w:ascii="仿宋" w:hAnsi="仿宋" w:eastAsia="仿宋"/>
          <w:b w:val="0"/>
          <w:bCs/>
          <w:color w:val="000000"/>
          <w:sz w:val="32"/>
          <w:szCs w:val="32"/>
          <w:highlight w:val="none"/>
          <w:lang w:val="en-US" w:eastAsia="zh-CN"/>
        </w:rPr>
        <w:t>养老支出35.68</w:t>
      </w:r>
      <w:r>
        <w:rPr>
          <w:rStyle w:val="17"/>
          <w:rFonts w:hint="eastAsia" w:ascii="仿宋" w:hAnsi="仿宋" w:eastAsia="仿宋"/>
          <w:b w:val="0"/>
          <w:bCs/>
          <w:color w:val="000000"/>
          <w:sz w:val="32"/>
          <w:szCs w:val="32"/>
          <w:highlight w:val="none"/>
        </w:rPr>
        <w:t>万元，</w:t>
      </w:r>
      <w:r>
        <w:rPr>
          <w:rFonts w:hint="eastAsia" w:ascii="仿宋_GB2312" w:eastAsia="仿宋_GB2312"/>
          <w:color w:val="000000"/>
          <w:sz w:val="32"/>
          <w:szCs w:val="32"/>
          <w:highlight w:val="none"/>
        </w:rPr>
        <w:t>完成预算100%；</w:t>
      </w:r>
    </w:p>
    <w:p w14:paraId="43826643">
      <w:pPr>
        <w:spacing w:line="600" w:lineRule="exact"/>
        <w:rPr>
          <w:rStyle w:val="17"/>
          <w:rFonts w:ascii="仿宋" w:hAnsi="仿宋" w:eastAsia="仿宋"/>
          <w:b w:val="0"/>
          <w:bCs/>
          <w:color w:val="000000"/>
          <w:sz w:val="32"/>
          <w:szCs w:val="32"/>
          <w:highlight w:val="none"/>
        </w:rPr>
      </w:pPr>
      <w:r>
        <w:rPr>
          <w:rStyle w:val="17"/>
          <w:rFonts w:hint="eastAsia" w:ascii="仿宋" w:hAnsi="仿宋" w:eastAsia="仿宋"/>
          <w:b w:val="0"/>
          <w:bCs/>
          <w:color w:val="000000"/>
          <w:sz w:val="32"/>
          <w:szCs w:val="32"/>
          <w:highlight w:val="none"/>
        </w:rPr>
        <w:t xml:space="preserve">    机关事业单位基本养老保险缴费支出</w:t>
      </w:r>
      <w:r>
        <w:rPr>
          <w:rStyle w:val="17"/>
          <w:rFonts w:hint="eastAsia" w:ascii="仿宋" w:hAnsi="仿宋" w:eastAsia="仿宋"/>
          <w:b w:val="0"/>
          <w:bCs/>
          <w:color w:val="000000"/>
          <w:sz w:val="32"/>
          <w:szCs w:val="32"/>
          <w:highlight w:val="none"/>
          <w:lang w:val="en-US" w:eastAsia="zh-CN"/>
        </w:rPr>
        <w:t>17.95</w:t>
      </w:r>
      <w:r>
        <w:rPr>
          <w:rStyle w:val="17"/>
          <w:rFonts w:hint="eastAsia" w:ascii="仿宋" w:hAnsi="仿宋" w:eastAsia="仿宋"/>
          <w:b w:val="0"/>
          <w:bCs/>
          <w:color w:val="000000"/>
          <w:sz w:val="32"/>
          <w:szCs w:val="32"/>
          <w:highlight w:val="none"/>
        </w:rPr>
        <w:t>万元，</w:t>
      </w:r>
      <w:r>
        <w:rPr>
          <w:rFonts w:hint="eastAsia" w:ascii="仿宋_GB2312" w:eastAsia="仿宋_GB2312"/>
          <w:color w:val="000000"/>
          <w:sz w:val="32"/>
          <w:szCs w:val="32"/>
          <w:highlight w:val="none"/>
        </w:rPr>
        <w:t>完成预算100%；</w:t>
      </w:r>
    </w:p>
    <w:p w14:paraId="61BAFEFF">
      <w:pPr>
        <w:spacing w:line="600" w:lineRule="exact"/>
        <w:rPr>
          <w:rStyle w:val="17"/>
          <w:rFonts w:ascii="仿宋" w:hAnsi="仿宋" w:eastAsia="仿宋"/>
          <w:b w:val="0"/>
          <w:bCs/>
          <w:color w:val="000000"/>
          <w:sz w:val="32"/>
          <w:szCs w:val="32"/>
          <w:highlight w:val="none"/>
        </w:rPr>
      </w:pPr>
      <w:r>
        <w:rPr>
          <w:rStyle w:val="17"/>
          <w:rFonts w:hint="eastAsia" w:ascii="仿宋" w:hAnsi="仿宋" w:eastAsia="仿宋"/>
          <w:b w:val="0"/>
          <w:bCs/>
          <w:color w:val="000000"/>
          <w:sz w:val="32"/>
          <w:szCs w:val="32"/>
          <w:highlight w:val="none"/>
        </w:rPr>
        <w:t xml:space="preserve">    机关事业单位职业年金缴费支出</w:t>
      </w:r>
      <w:r>
        <w:rPr>
          <w:rStyle w:val="17"/>
          <w:rFonts w:hint="eastAsia" w:ascii="仿宋" w:hAnsi="仿宋" w:eastAsia="仿宋"/>
          <w:b w:val="0"/>
          <w:bCs/>
          <w:color w:val="000000"/>
          <w:sz w:val="32"/>
          <w:szCs w:val="32"/>
          <w:highlight w:val="none"/>
          <w:lang w:val="en-US" w:eastAsia="zh-CN"/>
        </w:rPr>
        <w:t>8.06</w:t>
      </w:r>
      <w:r>
        <w:rPr>
          <w:rStyle w:val="17"/>
          <w:rFonts w:hint="eastAsia" w:ascii="仿宋" w:hAnsi="仿宋" w:eastAsia="仿宋"/>
          <w:b w:val="0"/>
          <w:bCs/>
          <w:color w:val="000000"/>
          <w:sz w:val="32"/>
          <w:szCs w:val="32"/>
          <w:highlight w:val="none"/>
        </w:rPr>
        <w:t>万元，</w:t>
      </w:r>
      <w:r>
        <w:rPr>
          <w:rFonts w:hint="eastAsia" w:ascii="仿宋_GB2312" w:eastAsia="仿宋_GB2312"/>
          <w:color w:val="000000"/>
          <w:sz w:val="32"/>
          <w:szCs w:val="32"/>
          <w:highlight w:val="none"/>
        </w:rPr>
        <w:t>完成预算100%；</w:t>
      </w:r>
    </w:p>
    <w:p w14:paraId="27D2613F">
      <w:pPr>
        <w:spacing w:line="600" w:lineRule="exact"/>
        <w:rPr>
          <w:rStyle w:val="17"/>
          <w:rFonts w:ascii="仿宋" w:hAnsi="仿宋" w:eastAsia="仿宋"/>
          <w:b w:val="0"/>
          <w:bCs/>
          <w:color w:val="000000"/>
          <w:sz w:val="32"/>
          <w:szCs w:val="32"/>
          <w:highlight w:val="none"/>
        </w:rPr>
      </w:pPr>
      <w:r>
        <w:rPr>
          <w:rStyle w:val="17"/>
          <w:rFonts w:hint="eastAsia" w:ascii="仿宋" w:hAnsi="仿宋" w:eastAsia="仿宋"/>
          <w:b w:val="0"/>
          <w:bCs/>
          <w:color w:val="000000"/>
          <w:sz w:val="32"/>
          <w:szCs w:val="32"/>
          <w:highlight w:val="none"/>
        </w:rPr>
        <w:t xml:space="preserve">    其他行政事业单位</w:t>
      </w:r>
      <w:r>
        <w:rPr>
          <w:rStyle w:val="17"/>
          <w:rFonts w:hint="eastAsia" w:ascii="仿宋" w:hAnsi="仿宋" w:eastAsia="仿宋"/>
          <w:b w:val="0"/>
          <w:bCs/>
          <w:color w:val="000000"/>
          <w:sz w:val="32"/>
          <w:szCs w:val="32"/>
          <w:highlight w:val="none"/>
          <w:lang w:val="en-US" w:eastAsia="zh-CN"/>
        </w:rPr>
        <w:t>养老</w:t>
      </w:r>
      <w:r>
        <w:rPr>
          <w:rStyle w:val="17"/>
          <w:rFonts w:hint="eastAsia" w:ascii="仿宋" w:hAnsi="仿宋" w:eastAsia="仿宋"/>
          <w:b w:val="0"/>
          <w:bCs/>
          <w:color w:val="000000"/>
          <w:sz w:val="32"/>
          <w:szCs w:val="32"/>
          <w:highlight w:val="none"/>
        </w:rPr>
        <w:t>支出</w:t>
      </w:r>
      <w:r>
        <w:rPr>
          <w:rStyle w:val="17"/>
          <w:rFonts w:hint="eastAsia" w:ascii="仿宋" w:hAnsi="仿宋" w:eastAsia="仿宋"/>
          <w:b w:val="0"/>
          <w:bCs/>
          <w:color w:val="000000"/>
          <w:sz w:val="32"/>
          <w:szCs w:val="32"/>
          <w:highlight w:val="none"/>
          <w:lang w:val="en-US" w:eastAsia="zh-CN"/>
        </w:rPr>
        <w:t>9.67</w:t>
      </w:r>
      <w:r>
        <w:rPr>
          <w:rStyle w:val="17"/>
          <w:rFonts w:hint="eastAsia" w:ascii="仿宋" w:hAnsi="仿宋" w:eastAsia="仿宋"/>
          <w:b w:val="0"/>
          <w:bCs/>
          <w:color w:val="000000"/>
          <w:sz w:val="32"/>
          <w:szCs w:val="32"/>
          <w:highlight w:val="none"/>
        </w:rPr>
        <w:t>万元，</w:t>
      </w:r>
      <w:r>
        <w:rPr>
          <w:rFonts w:hint="eastAsia" w:ascii="仿宋_GB2312" w:eastAsia="仿宋_GB2312"/>
          <w:color w:val="000000"/>
          <w:sz w:val="32"/>
          <w:szCs w:val="32"/>
          <w:highlight w:val="none"/>
        </w:rPr>
        <w:t>完成预算100%；</w:t>
      </w:r>
    </w:p>
    <w:p w14:paraId="540C6C8D">
      <w:pPr>
        <w:spacing w:line="600" w:lineRule="exact"/>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 xml:space="preserve">    </w:t>
      </w:r>
      <w:r>
        <w:rPr>
          <w:rStyle w:val="17"/>
          <w:rFonts w:ascii="仿宋" w:hAnsi="仿宋" w:eastAsia="仿宋"/>
          <w:bCs/>
          <w:color w:val="000000"/>
          <w:sz w:val="32"/>
          <w:szCs w:val="32"/>
        </w:rPr>
        <w:t>6.</w:t>
      </w:r>
      <w:r>
        <w:rPr>
          <w:rFonts w:hint="eastAsia" w:ascii="仿宋" w:hAnsi="仿宋" w:eastAsia="仿宋"/>
          <w:b/>
          <w:bCs/>
          <w:color w:val="000000" w:themeColor="text1"/>
          <w:sz w:val="32"/>
          <w:szCs w:val="32"/>
          <w14:textFill>
            <w14:solidFill>
              <w14:schemeClr w14:val="tx1"/>
            </w14:solidFill>
          </w14:textFill>
        </w:rPr>
        <w:t>卫生健康支出</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7.50</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2D172351">
      <w:pPr>
        <w:spacing w:line="600" w:lineRule="exact"/>
        <w:rPr>
          <w:rStyle w:val="17"/>
          <w:rFonts w:ascii="仿宋" w:hAnsi="仿宋" w:eastAsia="仿宋"/>
          <w:b w:val="0"/>
          <w:bCs/>
          <w:color w:val="000000"/>
          <w:sz w:val="32"/>
          <w:szCs w:val="32"/>
          <w:highlight w:val="none"/>
        </w:rPr>
      </w:pPr>
      <w:r>
        <w:rPr>
          <w:rStyle w:val="17"/>
          <w:rFonts w:hint="eastAsia" w:ascii="仿宋" w:hAnsi="仿宋" w:eastAsia="仿宋"/>
          <w:b w:val="0"/>
          <w:bCs/>
          <w:color w:val="000000"/>
          <w:sz w:val="32"/>
          <w:szCs w:val="32"/>
          <w:highlight w:val="none"/>
          <w:lang w:val="en-US" w:eastAsia="zh-CN"/>
        </w:rPr>
        <w:t xml:space="preserve">     </w:t>
      </w:r>
      <w:r>
        <w:rPr>
          <w:rStyle w:val="17"/>
          <w:rFonts w:hint="eastAsia" w:ascii="仿宋" w:hAnsi="仿宋" w:eastAsia="仿宋"/>
          <w:b w:val="0"/>
          <w:bCs/>
          <w:color w:val="000000"/>
          <w:sz w:val="32"/>
          <w:szCs w:val="32"/>
          <w:highlight w:val="none"/>
        </w:rPr>
        <w:t>行政事业单位医疗</w:t>
      </w:r>
      <w:r>
        <w:rPr>
          <w:rStyle w:val="17"/>
          <w:rFonts w:hint="eastAsia" w:ascii="仿宋" w:hAnsi="仿宋" w:eastAsia="仿宋"/>
          <w:b w:val="0"/>
          <w:bCs/>
          <w:color w:val="000000"/>
          <w:sz w:val="32"/>
          <w:szCs w:val="32"/>
          <w:highlight w:val="none"/>
          <w:lang w:val="en-US" w:eastAsia="zh-CN"/>
        </w:rPr>
        <w:t>7.50</w:t>
      </w:r>
      <w:r>
        <w:rPr>
          <w:rStyle w:val="17"/>
          <w:rFonts w:hint="eastAsia" w:ascii="仿宋" w:hAnsi="仿宋" w:eastAsia="仿宋"/>
          <w:b w:val="0"/>
          <w:bCs/>
          <w:color w:val="000000"/>
          <w:sz w:val="32"/>
          <w:szCs w:val="32"/>
          <w:highlight w:val="none"/>
        </w:rPr>
        <w:t>万元，完成预算100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p>
    <w:p w14:paraId="525B290B">
      <w:pPr>
        <w:spacing w:line="600" w:lineRule="exact"/>
        <w:rPr>
          <w:rStyle w:val="17"/>
          <w:rFonts w:ascii="仿宋" w:hAnsi="仿宋" w:eastAsia="仿宋"/>
          <w:b w:val="0"/>
          <w:bCs/>
          <w:color w:val="000000"/>
          <w:sz w:val="32"/>
          <w:szCs w:val="32"/>
          <w:highlight w:val="none"/>
        </w:rPr>
      </w:pPr>
      <w:r>
        <w:rPr>
          <w:rStyle w:val="17"/>
          <w:rFonts w:hint="eastAsia" w:ascii="仿宋" w:hAnsi="仿宋" w:eastAsia="仿宋"/>
          <w:b w:val="0"/>
          <w:bCs/>
          <w:color w:val="000000"/>
          <w:sz w:val="32"/>
          <w:szCs w:val="32"/>
          <w:highlight w:val="none"/>
        </w:rPr>
        <w:t xml:space="preserve">    </w:t>
      </w:r>
      <w:r>
        <w:rPr>
          <w:rStyle w:val="17"/>
          <w:rFonts w:hint="eastAsia" w:ascii="仿宋" w:hAnsi="仿宋" w:eastAsia="仿宋"/>
          <w:b w:val="0"/>
          <w:bCs/>
          <w:color w:val="000000"/>
          <w:sz w:val="32"/>
          <w:szCs w:val="32"/>
          <w:highlight w:val="none"/>
          <w:lang w:val="en-US" w:eastAsia="zh-CN"/>
        </w:rPr>
        <w:t xml:space="preserve"> </w:t>
      </w:r>
      <w:r>
        <w:rPr>
          <w:rStyle w:val="17"/>
          <w:rFonts w:hint="eastAsia" w:ascii="仿宋" w:hAnsi="仿宋" w:eastAsia="仿宋"/>
          <w:b w:val="0"/>
          <w:bCs/>
          <w:color w:val="000000"/>
          <w:sz w:val="32"/>
          <w:szCs w:val="32"/>
          <w:highlight w:val="none"/>
        </w:rPr>
        <w:t>行政单位医疗</w:t>
      </w:r>
      <w:r>
        <w:rPr>
          <w:rStyle w:val="17"/>
          <w:rFonts w:hint="eastAsia" w:ascii="仿宋" w:hAnsi="仿宋" w:eastAsia="仿宋"/>
          <w:b w:val="0"/>
          <w:bCs/>
          <w:color w:val="000000"/>
          <w:sz w:val="32"/>
          <w:szCs w:val="32"/>
          <w:highlight w:val="none"/>
          <w:lang w:val="en-US" w:eastAsia="zh-CN"/>
        </w:rPr>
        <w:t>6.90</w:t>
      </w:r>
      <w:r>
        <w:rPr>
          <w:rStyle w:val="17"/>
          <w:rFonts w:hint="eastAsia" w:ascii="仿宋" w:hAnsi="仿宋" w:eastAsia="仿宋"/>
          <w:b w:val="0"/>
          <w:bCs/>
          <w:color w:val="000000"/>
          <w:sz w:val="32"/>
          <w:szCs w:val="32"/>
          <w:highlight w:val="none"/>
        </w:rPr>
        <w:t>万元，完成预算100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p>
    <w:p w14:paraId="68D4E2F6">
      <w:pPr>
        <w:spacing w:line="600" w:lineRule="exact"/>
      </w:pPr>
      <w:r>
        <w:rPr>
          <w:rStyle w:val="17"/>
          <w:rFonts w:hint="eastAsia" w:ascii="仿宋" w:hAnsi="仿宋" w:eastAsia="仿宋"/>
          <w:b w:val="0"/>
          <w:bCs/>
          <w:color w:val="000000"/>
          <w:sz w:val="32"/>
          <w:szCs w:val="32"/>
        </w:rPr>
        <w:t xml:space="preserve">   </w:t>
      </w:r>
      <w:r>
        <w:rPr>
          <w:rStyle w:val="17"/>
          <w:rFonts w:hint="eastAsia" w:ascii="仿宋" w:hAnsi="仿宋" w:eastAsia="仿宋"/>
          <w:b w:val="0"/>
          <w:bCs/>
          <w:color w:val="000000"/>
          <w:sz w:val="32"/>
          <w:szCs w:val="32"/>
          <w:lang w:val="en-US" w:eastAsia="zh-CN"/>
        </w:rPr>
        <w:t xml:space="preserve">  </w:t>
      </w:r>
      <w:r>
        <w:rPr>
          <w:rStyle w:val="17"/>
          <w:rFonts w:hint="eastAsia" w:ascii="仿宋" w:hAnsi="仿宋" w:eastAsia="仿宋"/>
          <w:b w:val="0"/>
          <w:bCs/>
          <w:color w:val="000000"/>
          <w:sz w:val="32"/>
          <w:szCs w:val="32"/>
        </w:rPr>
        <w:t>其他行政事业单位医疗支出</w:t>
      </w:r>
      <w:r>
        <w:rPr>
          <w:rStyle w:val="17"/>
          <w:rFonts w:hint="eastAsia" w:ascii="仿宋" w:hAnsi="仿宋" w:eastAsia="仿宋"/>
          <w:b w:val="0"/>
          <w:bCs/>
          <w:color w:val="000000"/>
          <w:sz w:val="32"/>
          <w:szCs w:val="32"/>
          <w:lang w:val="en-US" w:eastAsia="zh-CN"/>
        </w:rPr>
        <w:t>0.60</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582587B5">
      <w:pPr>
        <w:spacing w:line="600" w:lineRule="exact"/>
        <w:ind w:firstLine="643" w:firstLineChars="200"/>
      </w:pPr>
      <w:r>
        <w:rPr>
          <w:rStyle w:val="17"/>
          <w:rFonts w:hint="eastAsia" w:ascii="仿宋" w:hAnsi="仿宋" w:eastAsia="仿宋"/>
          <w:bCs/>
          <w:color w:val="000000"/>
          <w:sz w:val="32"/>
          <w:szCs w:val="32"/>
          <w:lang w:val="en-US" w:eastAsia="zh-CN"/>
        </w:rPr>
        <w:t>7.城乡社区支出：</w:t>
      </w:r>
      <w:r>
        <w:rPr>
          <w:rFonts w:hint="eastAsia" w:ascii="仿宋" w:hAnsi="仿宋" w:eastAsia="仿宋"/>
          <w:color w:val="000000"/>
          <w:sz w:val="32"/>
          <w:szCs w:val="32"/>
        </w:rPr>
        <w:t>支出决算为41.05万元，完成预算41.05%。</w:t>
      </w:r>
    </w:p>
    <w:p w14:paraId="39472AF0">
      <w:pPr>
        <w:pStyle w:val="2"/>
        <w:ind w:left="0" w:leftChars="0" w:firstLine="645" w:firstLineChars="0"/>
        <w:rPr>
          <w:rFonts w:hint="eastAsia" w:ascii="仿宋" w:hAnsi="仿宋" w:eastAsia="仿宋"/>
          <w:color w:val="000000"/>
          <w:sz w:val="32"/>
          <w:szCs w:val="32"/>
          <w:highlight w:val="none"/>
        </w:rPr>
      </w:pPr>
      <w:r>
        <w:rPr>
          <w:rStyle w:val="17"/>
          <w:rFonts w:hint="eastAsia" w:ascii="仿宋" w:hAnsi="仿宋" w:eastAsia="仿宋" w:cs="Times New Roman"/>
          <w:bCs/>
          <w:color w:val="000000"/>
          <w:kern w:val="2"/>
          <w:sz w:val="32"/>
          <w:szCs w:val="32"/>
          <w:lang w:val="en-US" w:eastAsia="zh-CN" w:bidi="ar-SA"/>
        </w:rPr>
        <w:t>8.住房保障支出</w:t>
      </w:r>
      <w:r>
        <w:rPr>
          <w:rFonts w:hint="eastAsia" w:ascii="仿宋" w:hAnsi="仿宋" w:eastAsia="仿宋"/>
          <w:color w:val="000000"/>
          <w:sz w:val="32"/>
          <w:szCs w:val="32"/>
          <w:highlight w:val="none"/>
        </w:rPr>
        <w:t>：支出决算为</w:t>
      </w:r>
      <w:r>
        <w:rPr>
          <w:rFonts w:hint="eastAsia" w:ascii="仿宋" w:hAnsi="仿宋" w:eastAsia="仿宋"/>
          <w:color w:val="000000"/>
          <w:sz w:val="32"/>
          <w:szCs w:val="32"/>
          <w:highlight w:val="none"/>
          <w:lang w:val="en-US" w:eastAsia="zh-CN"/>
        </w:rPr>
        <w:t>20.67</w:t>
      </w:r>
      <w:r>
        <w:rPr>
          <w:rFonts w:hint="eastAsia" w:ascii="仿宋" w:hAnsi="仿宋" w:eastAsia="仿宋"/>
          <w:color w:val="000000"/>
          <w:sz w:val="32"/>
          <w:szCs w:val="32"/>
          <w:highlight w:val="none"/>
        </w:rPr>
        <w:t>万元，完成预算100%。</w:t>
      </w:r>
    </w:p>
    <w:p w14:paraId="5A10057D">
      <w:pPr>
        <w:spacing w:line="600" w:lineRule="exact"/>
        <w:rPr>
          <w:rStyle w:val="17"/>
          <w:rFonts w:ascii="仿宋" w:hAnsi="仿宋" w:eastAsia="仿宋"/>
          <w:b w:val="0"/>
          <w:bCs/>
          <w:color w:val="000000"/>
          <w:sz w:val="32"/>
          <w:szCs w:val="32"/>
          <w:highlight w:val="none"/>
        </w:rPr>
      </w:pPr>
      <w:r>
        <w:rPr>
          <w:rStyle w:val="17"/>
          <w:rFonts w:hint="eastAsia" w:ascii="仿宋" w:hAnsi="仿宋" w:eastAsia="仿宋"/>
          <w:b w:val="0"/>
          <w:bCs/>
          <w:color w:val="000000"/>
          <w:sz w:val="32"/>
          <w:szCs w:val="32"/>
          <w:highlight w:val="none"/>
          <w:lang w:val="en-US" w:eastAsia="zh-CN"/>
        </w:rPr>
        <w:t xml:space="preserve">      </w:t>
      </w:r>
      <w:r>
        <w:rPr>
          <w:rStyle w:val="17"/>
          <w:rFonts w:hint="eastAsia" w:ascii="仿宋" w:hAnsi="仿宋" w:eastAsia="仿宋"/>
          <w:b w:val="0"/>
          <w:bCs/>
          <w:color w:val="000000"/>
          <w:sz w:val="32"/>
          <w:szCs w:val="32"/>
          <w:highlight w:val="none"/>
        </w:rPr>
        <w:t>住房改革支出</w:t>
      </w:r>
      <w:r>
        <w:rPr>
          <w:rStyle w:val="17"/>
          <w:rFonts w:hint="eastAsia" w:ascii="仿宋" w:hAnsi="仿宋" w:eastAsia="仿宋"/>
          <w:b w:val="0"/>
          <w:bCs/>
          <w:color w:val="000000"/>
          <w:sz w:val="32"/>
          <w:szCs w:val="32"/>
          <w:highlight w:val="none"/>
          <w:lang w:val="en-US" w:eastAsia="zh-CN"/>
        </w:rPr>
        <w:t>20.67</w:t>
      </w:r>
      <w:r>
        <w:rPr>
          <w:rStyle w:val="17"/>
          <w:rFonts w:hint="eastAsia" w:ascii="仿宋" w:hAnsi="仿宋" w:eastAsia="仿宋"/>
          <w:b w:val="0"/>
          <w:bCs/>
          <w:color w:val="000000"/>
          <w:sz w:val="32"/>
          <w:szCs w:val="32"/>
          <w:highlight w:val="none"/>
        </w:rPr>
        <w:t>万元，完成预算100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p>
    <w:p w14:paraId="1F717B4D">
      <w:pPr>
        <w:spacing w:line="600" w:lineRule="exact"/>
        <w:rPr>
          <w:rFonts w:ascii="仿宋" w:hAnsi="仿宋" w:eastAsia="仿宋"/>
          <w:b/>
          <w:color w:val="000000"/>
          <w:sz w:val="32"/>
          <w:szCs w:val="32"/>
          <w:highlight w:val="none"/>
        </w:rPr>
      </w:pPr>
      <w:r>
        <w:rPr>
          <w:rStyle w:val="17"/>
          <w:rFonts w:hint="eastAsia" w:ascii="仿宋" w:hAnsi="仿宋" w:eastAsia="仿宋"/>
          <w:b w:val="0"/>
          <w:bCs/>
          <w:color w:val="000000"/>
          <w:sz w:val="32"/>
          <w:szCs w:val="32"/>
          <w:highlight w:val="none"/>
        </w:rPr>
        <w:t xml:space="preserve">   </w:t>
      </w:r>
      <w:r>
        <w:rPr>
          <w:rStyle w:val="17"/>
          <w:rFonts w:hint="eastAsia" w:ascii="仿宋" w:hAnsi="仿宋" w:eastAsia="仿宋"/>
          <w:b w:val="0"/>
          <w:bCs/>
          <w:color w:val="000000"/>
          <w:sz w:val="32"/>
          <w:szCs w:val="32"/>
          <w:highlight w:val="none"/>
          <w:lang w:val="en-US" w:eastAsia="zh-CN"/>
        </w:rPr>
        <w:t xml:space="preserve">   </w:t>
      </w:r>
      <w:r>
        <w:rPr>
          <w:rStyle w:val="17"/>
          <w:rFonts w:hint="eastAsia" w:ascii="仿宋" w:hAnsi="仿宋" w:eastAsia="仿宋"/>
          <w:b w:val="0"/>
          <w:bCs/>
          <w:color w:val="000000"/>
          <w:sz w:val="32"/>
          <w:szCs w:val="32"/>
          <w:highlight w:val="none"/>
        </w:rPr>
        <w:t>住房公积金</w:t>
      </w:r>
      <w:r>
        <w:rPr>
          <w:rStyle w:val="17"/>
          <w:rFonts w:hint="eastAsia" w:ascii="仿宋" w:hAnsi="仿宋" w:eastAsia="仿宋"/>
          <w:b w:val="0"/>
          <w:bCs/>
          <w:color w:val="000000"/>
          <w:sz w:val="32"/>
          <w:szCs w:val="32"/>
          <w:highlight w:val="none"/>
          <w:lang w:val="en-US" w:eastAsia="zh-CN"/>
        </w:rPr>
        <w:t>20.67</w:t>
      </w:r>
      <w:r>
        <w:rPr>
          <w:rStyle w:val="17"/>
          <w:rFonts w:hint="eastAsia" w:ascii="仿宋" w:hAnsi="仿宋" w:eastAsia="仿宋"/>
          <w:b w:val="0"/>
          <w:bCs/>
          <w:color w:val="000000"/>
          <w:sz w:val="32"/>
          <w:szCs w:val="32"/>
          <w:highlight w:val="none"/>
        </w:rPr>
        <w:t>万元，完成预算100</w:t>
      </w:r>
      <w:r>
        <w:rPr>
          <w:rStyle w:val="17"/>
          <w:rFonts w:ascii="仿宋" w:hAnsi="仿宋" w:eastAsia="仿宋"/>
          <w:b w:val="0"/>
          <w:bCs/>
          <w:color w:val="000000"/>
          <w:sz w:val="32"/>
          <w:szCs w:val="32"/>
          <w:highlight w:val="none"/>
        </w:rPr>
        <w:t>%</w:t>
      </w:r>
      <w:r>
        <w:rPr>
          <w:rStyle w:val="17"/>
          <w:rFonts w:hint="eastAsia" w:ascii="仿宋" w:hAnsi="仿宋" w:eastAsia="仿宋"/>
          <w:b w:val="0"/>
          <w:bCs/>
          <w:color w:val="000000"/>
          <w:sz w:val="32"/>
          <w:szCs w:val="32"/>
          <w:highlight w:val="none"/>
        </w:rPr>
        <w:t>；</w:t>
      </w:r>
    </w:p>
    <w:p w14:paraId="38113F34">
      <w:pPr>
        <w:spacing w:line="600" w:lineRule="exact"/>
        <w:rPr>
          <w:rFonts w:ascii="仿宋" w:hAnsi="仿宋" w:eastAsia="仿宋"/>
          <w:b/>
          <w:color w:val="000000"/>
          <w:sz w:val="32"/>
          <w:szCs w:val="32"/>
        </w:rPr>
      </w:pPr>
    </w:p>
    <w:p w14:paraId="5D108220">
      <w:pPr>
        <w:tabs>
          <w:tab w:val="right" w:pos="8306"/>
        </w:tabs>
        <w:spacing w:line="600" w:lineRule="exact"/>
        <w:ind w:firstLine="640"/>
        <w:outlineLvl w:val="1"/>
        <w:rPr>
          <w:rStyle w:val="28"/>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40"/>
      <w:bookmarkEnd w:id="41"/>
      <w:r>
        <w:rPr>
          <w:rStyle w:val="28"/>
          <w:rFonts w:ascii="黑体" w:hAnsi="黑体" w:eastAsia="黑体"/>
          <w:b w:val="0"/>
        </w:rPr>
        <w:tab/>
      </w:r>
    </w:p>
    <w:p w14:paraId="47BF4DC9">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2020年一般公共预算财政拨款基本支出</w:t>
      </w:r>
      <w:r>
        <w:rPr>
          <w:rFonts w:hint="eastAsia" w:ascii="仿宋" w:hAnsi="仿宋" w:eastAsia="仿宋"/>
          <w:color w:val="000000"/>
          <w:sz w:val="32"/>
          <w:szCs w:val="32"/>
          <w:lang w:val="en-US" w:eastAsia="zh-CN"/>
        </w:rPr>
        <w:t>306.47</w:t>
      </w:r>
      <w:r>
        <w:rPr>
          <w:rFonts w:hint="eastAsia" w:ascii="仿宋" w:hAnsi="仿宋" w:eastAsia="仿宋"/>
          <w:color w:val="000000"/>
          <w:sz w:val="32"/>
          <w:szCs w:val="32"/>
        </w:rPr>
        <w:t>万元，其中：</w:t>
      </w:r>
    </w:p>
    <w:p w14:paraId="58C3011A">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250.24</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56.23</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57E4B132">
      <w:pPr>
        <w:spacing w:line="600" w:lineRule="exact"/>
        <w:ind w:firstLine="640"/>
        <w:outlineLvl w:val="1"/>
        <w:rPr>
          <w:rStyle w:val="28"/>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2"/>
      <w:bookmarkEnd w:id="43"/>
    </w:p>
    <w:p w14:paraId="2CE7F704">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4FD10786">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2020年“三公”经费财政拨款支出决算为0.9万元，完成预算22.5</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，决算数小于预算数的主要原因是新冠疫情防控特殊时期，减少公务接待。</w:t>
      </w:r>
    </w:p>
    <w:p w14:paraId="2616AEDB">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09C22DBC">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2020年“三公”经费财政拨款支出决算中，因公出国（境）费支出决算0万元，占0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；公务接待费支出决算0.9万元，占100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16D3555E">
      <w:pPr>
        <w:pStyle w:val="2"/>
        <w:rPr>
          <w:rFonts w:hint="eastAsia"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295275</wp:posOffset>
            </wp:positionH>
            <wp:positionV relativeFrom="paragraph">
              <wp:posOffset>200025</wp:posOffset>
            </wp:positionV>
            <wp:extent cx="4642485" cy="2049780"/>
            <wp:effectExtent l="4445" t="4445" r="20320" b="2222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EC7727B">
      <w:pPr>
        <w:pStyle w:val="2"/>
        <w:rPr>
          <w:rFonts w:hint="eastAsia" w:ascii="仿宋" w:hAnsi="仿宋" w:eastAsia="仿宋"/>
          <w:color w:val="000000"/>
          <w:sz w:val="32"/>
          <w:szCs w:val="32"/>
        </w:rPr>
      </w:pPr>
    </w:p>
    <w:p w14:paraId="5DD4FB5C">
      <w:pPr>
        <w:pStyle w:val="2"/>
        <w:rPr>
          <w:rFonts w:hint="eastAsia" w:ascii="仿宋" w:hAnsi="仿宋" w:eastAsia="仿宋"/>
          <w:color w:val="000000"/>
          <w:sz w:val="32"/>
          <w:szCs w:val="32"/>
        </w:rPr>
      </w:pPr>
    </w:p>
    <w:p w14:paraId="007FBE8A">
      <w:pPr>
        <w:pStyle w:val="2"/>
        <w:rPr>
          <w:rFonts w:hint="eastAsia" w:ascii="仿宋" w:hAnsi="仿宋" w:eastAsia="仿宋"/>
          <w:color w:val="000000"/>
          <w:sz w:val="32"/>
          <w:szCs w:val="32"/>
        </w:rPr>
      </w:pPr>
    </w:p>
    <w:p w14:paraId="10358583">
      <w:pPr>
        <w:pStyle w:val="2"/>
        <w:rPr>
          <w:rFonts w:hint="eastAsia" w:ascii="仿宋" w:hAnsi="仿宋" w:eastAsia="仿宋"/>
          <w:color w:val="000000"/>
          <w:sz w:val="32"/>
          <w:szCs w:val="32"/>
        </w:rPr>
      </w:pPr>
    </w:p>
    <w:p w14:paraId="2FAF4E6C">
      <w:pPr>
        <w:pStyle w:val="2"/>
        <w:rPr>
          <w:rFonts w:hint="eastAsia" w:ascii="仿宋" w:hAnsi="仿宋" w:eastAsia="仿宋"/>
          <w:color w:val="000000"/>
          <w:sz w:val="32"/>
          <w:szCs w:val="32"/>
        </w:rPr>
      </w:pPr>
    </w:p>
    <w:p w14:paraId="17145645">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14:paraId="3CD4AC62">
      <w:pPr>
        <w:numPr>
          <w:ilvl w:val="0"/>
          <w:numId w:val="3"/>
        </w:num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7"/>
          <w:rFonts w:hint="eastAsia" w:ascii="仿宋" w:hAnsi="仿宋" w:eastAsia="仿宋"/>
          <w:b w:val="0"/>
          <w:bCs/>
          <w:color w:val="000000"/>
          <w:sz w:val="32"/>
          <w:szCs w:val="32"/>
        </w:rPr>
        <w:t>完成预算0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全年安排因公出国（境）团组0次，出国（境）0人。因公出国（境）支出决算与2019年相同，主要原因是未安排因公出国（境）。</w:t>
      </w:r>
    </w:p>
    <w:p w14:paraId="173E7E00">
      <w:pPr>
        <w:numPr>
          <w:ilvl w:val="0"/>
          <w:numId w:val="3"/>
        </w:num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7"/>
          <w:rFonts w:hint="eastAsia" w:ascii="仿宋" w:hAnsi="仿宋" w:eastAsia="仿宋"/>
          <w:b w:val="0"/>
          <w:bCs/>
          <w:color w:val="000000"/>
          <w:sz w:val="32"/>
          <w:szCs w:val="32"/>
        </w:rPr>
        <w:t>完成预算0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公务用车购置及运行维护费支出决算与2019年相同，主要公车改革扣，我单位无公务用车。</w:t>
      </w:r>
    </w:p>
    <w:p w14:paraId="6374C5DA">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截至2020年</w:t>
      </w:r>
      <w:r>
        <w:rPr>
          <w:rFonts w:ascii="仿宋_GB2312" w:eastAsia="仿宋_GB2312"/>
          <w:color w:val="000000"/>
          <w:sz w:val="32"/>
          <w:szCs w:val="32"/>
        </w:rPr>
        <w:t>12</w:t>
      </w:r>
      <w:r>
        <w:rPr>
          <w:rFonts w:hint="eastAsia" w:ascii="仿宋_GB2312" w:eastAsia="仿宋_GB2312"/>
          <w:color w:val="000000"/>
          <w:sz w:val="32"/>
          <w:szCs w:val="32"/>
        </w:rPr>
        <w:t>月底，单位共有公务用车0辆，其中：主要领导干部用车0辆、机要通信用车0辆、应急保障用车0辆、 执法执勤用车0辆</w:t>
      </w:r>
      <w:r>
        <w:rPr>
          <w:rFonts w:hint="eastAsia" w:ascii="仿宋_GB2312" w:eastAsia="仿宋_GB2312"/>
          <w:color w:val="000000"/>
          <w:sz w:val="32"/>
          <w:szCs w:val="32"/>
          <w:lang w:eastAsia="zh-CN"/>
        </w:rPr>
        <w:t>。</w:t>
      </w:r>
    </w:p>
    <w:p w14:paraId="60086B09">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0.9万元，</w:t>
      </w:r>
      <w:r>
        <w:rPr>
          <w:rStyle w:val="17"/>
          <w:rFonts w:hint="eastAsia" w:ascii="仿宋" w:hAnsi="仿宋" w:eastAsia="仿宋"/>
          <w:b w:val="0"/>
          <w:bCs/>
          <w:color w:val="000000"/>
          <w:sz w:val="32"/>
          <w:szCs w:val="32"/>
        </w:rPr>
        <w:t>完成预算22.5</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公务接待费支出决算比2019年减少2.1万元，下降70</w:t>
      </w:r>
      <w:r>
        <w:rPr>
          <w:rFonts w:ascii="仿宋_GB2312" w:eastAsia="仿宋_GB2312"/>
          <w:color w:val="000000"/>
          <w:sz w:val="32"/>
          <w:szCs w:val="32"/>
        </w:rPr>
        <w:t>%</w:t>
      </w:r>
      <w:r>
        <w:rPr>
          <w:rFonts w:hint="eastAsia" w:ascii="仿宋_GB2312" w:eastAsia="仿宋_GB2312"/>
          <w:color w:val="000000"/>
          <w:sz w:val="32"/>
          <w:szCs w:val="32"/>
        </w:rPr>
        <w:t>。主要原因是新冠疫情防控特殊时期，减少公务接待。其中：</w:t>
      </w:r>
    </w:p>
    <w:p w14:paraId="597E7BF1">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0.9</w:t>
      </w:r>
      <w:r>
        <w:rPr>
          <w:rFonts w:hint="eastAsia" w:ascii="仿宋_GB2312" w:eastAsia="仿宋_GB2312"/>
          <w:color w:val="000000"/>
          <w:sz w:val="32"/>
          <w:szCs w:val="32"/>
        </w:rPr>
        <w:t>万元，主要用于执行公务、开展业务活动开支的用餐费等。国内公务接待11批次，66人次（不包括陪同人员），共计支出0.9万元，具体内容包括：</w:t>
      </w:r>
    </w:p>
    <w:p w14:paraId="3D929236">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（1）市文</w:t>
      </w:r>
      <w:r>
        <w:rPr>
          <w:rFonts w:hint="eastAsia" w:ascii="仿宋_GB2312" w:eastAsia="仿宋_GB2312"/>
          <w:color w:val="000000"/>
          <w:sz w:val="32"/>
          <w:szCs w:val="32"/>
          <w:lang w:val="en-US" w:eastAsia="zh-CN"/>
        </w:rPr>
        <w:t>化市场对罗江区文化市场综合执法督查800</w:t>
      </w:r>
      <w:r>
        <w:rPr>
          <w:rFonts w:hint="eastAsia" w:ascii="仿宋_GB2312" w:eastAsia="仿宋_GB2312"/>
          <w:color w:val="000000"/>
          <w:sz w:val="32"/>
          <w:szCs w:val="32"/>
        </w:rPr>
        <w:t>.00元；</w:t>
      </w:r>
    </w:p>
    <w:p w14:paraId="505A62E2">
      <w:pPr>
        <w:spacing w:line="600" w:lineRule="exact"/>
        <w:rPr>
          <w:rFonts w:ascii="仿宋_GB2312" w:eastAsia="仿宋_GB2312"/>
          <w:color w:val="000000"/>
          <w:sz w:val="32"/>
          <w:szCs w:val="32"/>
        </w:rPr>
      </w:pPr>
      <w:r>
        <w:rPr>
          <w:rFonts w:hint="eastAsia" w:ascii="仿宋_GB2312" w:eastAsia="仿宋_GB2312"/>
          <w:color w:val="000000"/>
          <w:sz w:val="32"/>
          <w:szCs w:val="32"/>
        </w:rPr>
        <w:t xml:space="preserve">    （2）</w:t>
      </w:r>
      <w:r>
        <w:rPr>
          <w:rFonts w:hint="eastAsia" w:ascii="仿宋_GB2312" w:eastAsia="仿宋_GB2312"/>
          <w:color w:val="000000"/>
          <w:sz w:val="32"/>
          <w:szCs w:val="32"/>
          <w:lang w:val="en-US" w:eastAsia="zh-CN"/>
        </w:rPr>
        <w:t>市文旅局到罗江区文化市场检查工作780</w:t>
      </w:r>
      <w:r>
        <w:rPr>
          <w:rFonts w:hint="eastAsia" w:ascii="仿宋_GB2312" w:eastAsia="仿宋_GB2312"/>
          <w:color w:val="000000"/>
          <w:sz w:val="32"/>
          <w:szCs w:val="32"/>
        </w:rPr>
        <w:t>.00元；</w:t>
      </w:r>
    </w:p>
    <w:p w14:paraId="12FA4A59">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（3）</w:t>
      </w:r>
      <w:r>
        <w:rPr>
          <w:rFonts w:hint="eastAsia" w:ascii="仿宋_GB2312" w:eastAsia="仿宋_GB2312"/>
          <w:color w:val="000000"/>
          <w:sz w:val="32"/>
          <w:szCs w:val="32"/>
          <w:lang w:val="en-US" w:eastAsia="zh-CN"/>
        </w:rPr>
        <w:t>德阳市人民政府、市文旅局督导罗江区A级旅游景区、文化场所疫情防控安全生产检查1036</w:t>
      </w:r>
      <w:r>
        <w:rPr>
          <w:rFonts w:hint="eastAsia" w:ascii="仿宋_GB2312" w:eastAsia="仿宋_GB2312"/>
          <w:color w:val="000000"/>
          <w:sz w:val="32"/>
          <w:szCs w:val="32"/>
        </w:rPr>
        <w:t>.00元；</w:t>
      </w:r>
    </w:p>
    <w:p w14:paraId="716B5CC9">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（4）</w:t>
      </w:r>
      <w:r>
        <w:rPr>
          <w:rFonts w:hint="eastAsia" w:ascii="仿宋_GB2312" w:eastAsia="仿宋_GB2312"/>
          <w:color w:val="000000"/>
          <w:sz w:val="32"/>
          <w:szCs w:val="32"/>
          <w:lang w:val="en-US" w:eastAsia="zh-CN"/>
        </w:rPr>
        <w:t>接待北京巅峰智业旅游文化创意股份公司沟通全域旅游方案事宜940</w:t>
      </w:r>
      <w:r>
        <w:rPr>
          <w:rFonts w:hint="eastAsia" w:ascii="仿宋_GB2312" w:eastAsia="仿宋_GB2312"/>
          <w:color w:val="000000"/>
          <w:sz w:val="32"/>
          <w:szCs w:val="32"/>
        </w:rPr>
        <w:t>.00元；</w:t>
      </w:r>
    </w:p>
    <w:p w14:paraId="47874447">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（5）</w:t>
      </w:r>
      <w:r>
        <w:rPr>
          <w:rFonts w:hint="eastAsia" w:ascii="仿宋_GB2312" w:eastAsia="仿宋_GB2312"/>
          <w:color w:val="000000"/>
          <w:sz w:val="32"/>
          <w:szCs w:val="32"/>
          <w:lang w:val="en-US" w:eastAsia="zh-CN"/>
        </w:rPr>
        <w:t>接待深圳众成产业发展有限公司到罗江考察1516</w:t>
      </w:r>
      <w:r>
        <w:rPr>
          <w:rFonts w:hint="eastAsia" w:ascii="仿宋_GB2312" w:eastAsia="仿宋_GB2312"/>
          <w:color w:val="000000"/>
          <w:sz w:val="32"/>
          <w:szCs w:val="32"/>
        </w:rPr>
        <w:t>.00元</w:t>
      </w:r>
    </w:p>
    <w:p w14:paraId="5B1671E6">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（6）</w:t>
      </w:r>
      <w:r>
        <w:rPr>
          <w:rFonts w:hint="eastAsia" w:ascii="仿宋_GB2312" w:eastAsia="仿宋_GB2312"/>
          <w:color w:val="000000"/>
          <w:sz w:val="32"/>
          <w:szCs w:val="32"/>
          <w:lang w:val="en-US" w:eastAsia="zh-CN"/>
        </w:rPr>
        <w:t>接待市体育局检查白马关体育小镇建设工作328</w:t>
      </w:r>
      <w:r>
        <w:rPr>
          <w:rFonts w:hint="eastAsia" w:ascii="仿宋_GB2312" w:eastAsia="仿宋_GB2312"/>
          <w:color w:val="000000"/>
          <w:sz w:val="32"/>
          <w:szCs w:val="32"/>
        </w:rPr>
        <w:t>.00元；</w:t>
      </w:r>
    </w:p>
    <w:p w14:paraId="7D6E45CF">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（7）</w:t>
      </w:r>
      <w:r>
        <w:rPr>
          <w:rFonts w:hint="eastAsia" w:ascii="仿宋_GB2312" w:eastAsia="仿宋_GB2312"/>
          <w:color w:val="000000"/>
          <w:sz w:val="32"/>
          <w:szCs w:val="32"/>
          <w:lang w:val="en-US" w:eastAsia="zh-CN"/>
        </w:rPr>
        <w:t>接待四川公共频道拍摄组到罗江拍摄美丽乡村节目260</w:t>
      </w:r>
      <w:r>
        <w:rPr>
          <w:rFonts w:hint="eastAsia" w:ascii="仿宋_GB2312" w:eastAsia="仿宋_GB2312"/>
          <w:color w:val="000000"/>
          <w:sz w:val="32"/>
          <w:szCs w:val="32"/>
        </w:rPr>
        <w:t>.00元；</w:t>
      </w:r>
    </w:p>
    <w:p w14:paraId="3DA34D64">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（8）接待</w:t>
      </w:r>
      <w:r>
        <w:rPr>
          <w:rFonts w:hint="eastAsia" w:ascii="仿宋_GB2312" w:eastAsia="仿宋_GB2312"/>
          <w:color w:val="000000"/>
          <w:sz w:val="32"/>
          <w:szCs w:val="32"/>
          <w:lang w:val="en-US" w:eastAsia="zh-CN"/>
        </w:rPr>
        <w:t>四川省社体中心到罗江调研白马关社会体育事业发展情况1282</w:t>
      </w:r>
      <w:r>
        <w:rPr>
          <w:rFonts w:hint="eastAsia" w:ascii="仿宋_GB2312" w:eastAsia="仿宋_GB2312"/>
          <w:color w:val="000000"/>
          <w:sz w:val="32"/>
          <w:szCs w:val="32"/>
        </w:rPr>
        <w:t>.00元；</w:t>
      </w:r>
    </w:p>
    <w:p w14:paraId="7BD2658B">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（9）接待市体育局对罗江体育产业调研620.00元；</w:t>
      </w:r>
    </w:p>
    <w:p w14:paraId="0635AA42">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（10）接待中体健康集团到罗江考察体育运动赛事及产业800.00元；</w:t>
      </w:r>
    </w:p>
    <w:p w14:paraId="584ABC2B">
      <w:p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（11）接待绵阳市安州区文化馆调研罗江文化保护与传承640.00元；</w:t>
      </w:r>
    </w:p>
    <w:p w14:paraId="2145DC4F">
      <w:pPr>
        <w:spacing w:line="600" w:lineRule="exact"/>
        <w:ind w:firstLine="643" w:firstLineChars="200"/>
        <w:rPr>
          <w:rFonts w:ascii="黑体" w:eastAsia="黑体"/>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，外事接待0批次0人，共计支出0万元.</w:t>
      </w:r>
      <w:bookmarkStart w:id="46" w:name="_Toc15396610"/>
      <w:bookmarkStart w:id="47" w:name="_Toc15377218"/>
    </w:p>
    <w:p w14:paraId="2C2ADED3">
      <w:pPr>
        <w:spacing w:line="600" w:lineRule="exact"/>
        <w:ind w:firstLine="640"/>
        <w:outlineLvl w:val="1"/>
        <w:rPr>
          <w:rStyle w:val="28"/>
          <w:rFonts w:ascii="黑体" w:hAnsi="黑体" w:eastAsia="黑体"/>
        </w:rPr>
      </w:pPr>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46"/>
      <w:bookmarkEnd w:id="47"/>
    </w:p>
    <w:p w14:paraId="1930E552">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2020年政府性基金预算拨款支出119.86万元。</w:t>
      </w:r>
    </w:p>
    <w:p w14:paraId="79186F23">
      <w:pPr>
        <w:numPr>
          <w:ilvl w:val="0"/>
          <w:numId w:val="0"/>
        </w:numPr>
        <w:spacing w:line="600" w:lineRule="exact"/>
        <w:outlineLvl w:val="1"/>
        <w:rPr>
          <w:rStyle w:val="28"/>
          <w:rFonts w:ascii="黑体" w:hAnsi="黑体" w:eastAsia="黑体"/>
          <w:b w:val="0"/>
        </w:rPr>
      </w:pPr>
      <w:bookmarkStart w:id="48" w:name="_Toc15377219"/>
      <w:bookmarkStart w:id="49" w:name="_Toc15396611"/>
      <w:r>
        <w:rPr>
          <w:rStyle w:val="28"/>
          <w:rFonts w:hint="eastAsia" w:ascii="黑体" w:hAnsi="黑体" w:eastAsia="黑体"/>
          <w:b w:val="0"/>
          <w:lang w:val="en-US" w:eastAsia="zh-CN"/>
        </w:rPr>
        <w:t xml:space="preserve">    九、</w:t>
      </w:r>
      <w:r>
        <w:rPr>
          <w:rStyle w:val="28"/>
          <w:rFonts w:hint="eastAsia" w:ascii="黑体" w:hAnsi="黑体" w:eastAsia="黑体"/>
          <w:b w:val="0"/>
        </w:rPr>
        <w:t>国有资本经营预算支出决算情况说明</w:t>
      </w:r>
      <w:bookmarkEnd w:id="48"/>
      <w:bookmarkEnd w:id="49"/>
    </w:p>
    <w:p w14:paraId="63623710">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2020年国有资本经营预算拨款支出0万元。</w:t>
      </w:r>
    </w:p>
    <w:p w14:paraId="4284D63E">
      <w:pPr>
        <w:spacing w:line="600" w:lineRule="exact"/>
        <w:ind w:firstLine="800" w:firstLineChars="250"/>
        <w:outlineLvl w:val="1"/>
        <w:rPr>
          <w:rStyle w:val="28"/>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8"/>
          <w:rFonts w:hint="eastAsia" w:ascii="黑体" w:hAnsi="黑体" w:eastAsia="黑体"/>
        </w:rPr>
        <w:t>、</w:t>
      </w:r>
      <w:r>
        <w:rPr>
          <w:rStyle w:val="28"/>
          <w:rFonts w:hint="eastAsia" w:ascii="黑体" w:hAnsi="黑体" w:eastAsia="黑体"/>
          <w:b w:val="0"/>
        </w:rPr>
        <w:t>其他重要事项的情况说明</w:t>
      </w:r>
      <w:bookmarkEnd w:id="50"/>
      <w:bookmarkEnd w:id="51"/>
    </w:p>
    <w:p w14:paraId="61BE2E9A">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5F2D172F">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sz w:val="32"/>
          <w:szCs w:val="32"/>
        </w:rPr>
        <w:t>2020年，德阳市罗江区文化体育广播电视和旅游局机关运行经费支出56.24万元，比2019年增加17.44万元，增长44.95</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主要原因是疫情防控期间，增加购物资经费。</w:t>
      </w:r>
    </w:p>
    <w:p w14:paraId="1D9788D4">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14:paraId="4A97FEC7">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2020年，德阳市罗江区文化体育广播电视和旅游局政府采购支出总额40.34万元，其中：政府采购货物支出40.34万元、政府采购工程支出0万元、政府采购服务支出0万元。主要用于农家书屋图书采购、户户通设备采购、区图书馆购置借阅机及图书。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14:paraId="0DD780E3">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14:paraId="36313205">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截至2020年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日，公车改革，无车辆。</w:t>
      </w:r>
    </w:p>
    <w:p w14:paraId="1C45B9AA">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2FCE5660">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在年初预算编制阶段，</w:t>
      </w:r>
      <w:r>
        <w:rPr>
          <w:rFonts w:hint="eastAsia" w:ascii="仿宋_GB2312" w:hAnsi="仿宋_GB2312" w:eastAsia="仿宋_GB2312" w:cs="仿宋_GB2312"/>
          <w:sz w:val="32"/>
          <w:szCs w:val="32"/>
          <w:highlight w:val="none"/>
        </w:rPr>
        <w:t>组织对</w:t>
      </w:r>
      <w:r>
        <w:rPr>
          <w:rFonts w:hint="eastAsia" w:ascii="仿宋_GB2312" w:hAnsi="仿宋_GB2312" w:eastAsia="仿宋_GB2312" w:cs="仿宋_GB2312"/>
          <w:sz w:val="32"/>
          <w:szCs w:val="32"/>
          <w:highlight w:val="none"/>
          <w:lang w:val="zh-CN"/>
        </w:rPr>
        <w:t>聘用人员经费、旅游营销运行经费、老体协补助经费、、书画院补助经费、群众体育经费、水上项目训练经费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zh-CN"/>
        </w:rPr>
        <w:t>文化市场综合执法经费、“三馆一站”免费开放经费、“村村响”运行维护经费、白马关发射台运行维护费、庞统祠博物馆补助经费</w:t>
      </w:r>
      <w:r>
        <w:rPr>
          <w:rFonts w:hint="eastAsia" w:ascii="仿宋_GB2312" w:hAnsi="仿宋_GB2312" w:eastAsia="仿宋_GB2312" w:cs="仿宋_GB2312"/>
          <w:sz w:val="32"/>
          <w:szCs w:val="32"/>
          <w:highlight w:val="none"/>
          <w:lang w:val="en-US" w:eastAsia="zh-CN"/>
        </w:rPr>
        <w:t>11个项目</w:t>
      </w:r>
      <w:r>
        <w:rPr>
          <w:rFonts w:hint="eastAsia" w:ascii="仿宋_GB2312" w:hAnsi="仿宋_GB2312" w:eastAsia="仿宋_GB2312" w:cs="仿宋_GB2312"/>
          <w:sz w:val="32"/>
          <w:szCs w:val="32"/>
          <w:highlight w:val="none"/>
        </w:rPr>
        <w:t>开展了预算事前绩效评估，对</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个项目编制了绩效目标，预算执行过程中，选取</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个项目开展</w:t>
      </w:r>
      <w:r>
        <w:rPr>
          <w:rFonts w:hint="eastAsia" w:ascii="仿宋_GB2312" w:hAnsi="仿宋_GB2312" w:eastAsia="仿宋_GB2312" w:cs="仿宋_GB2312"/>
          <w:sz w:val="32"/>
          <w:szCs w:val="32"/>
        </w:rPr>
        <w:t>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14:paraId="731CFD61">
      <w:pPr>
        <w:spacing w:line="600" w:lineRule="atLeast"/>
        <w:ind w:firstLine="640" w:firstLineChars="200"/>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年整体支出开展绩效自评，从评价情况来看1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个项目整体绩效能够基本完成，但是时效性不高，质量有待进一步提高。本部门还自行组织了5个项目绩效评价，从评价情况来看各个项目的数量指标能够基本完成，但完成质量不高。</w:t>
      </w:r>
    </w:p>
    <w:p w14:paraId="674E1AD7">
      <w:pPr>
        <w:keepNext w:val="0"/>
        <w:keepLines w:val="0"/>
        <w:pageBreakBefore w:val="0"/>
        <w:numPr>
          <w:ilvl w:val="0"/>
          <w:numId w:val="4"/>
        </w:numPr>
        <w:kinsoku/>
        <w:wordWrap/>
        <w:overflowPunct/>
        <w:topLinePunct w:val="0"/>
        <w:autoSpaceDE/>
        <w:autoSpaceDN/>
        <w:bidi w:val="0"/>
        <w:adjustRightInd/>
        <w:snapToGrid/>
        <w:spacing w:line="600" w:lineRule="exact"/>
        <w:ind w:left="0" w:leftChars="0" w:right="0" w:rightChars="0" w:firstLine="642"/>
        <w:textAlignment w:val="auto"/>
        <w:outlineLvl w:val="9"/>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rPr>
        <w:t>项目绩效目标完成情况。</w:t>
      </w:r>
      <w:r>
        <w:rPr>
          <w:rFonts w:ascii="楷体_GB2312" w:hAnsi="楷体_GB2312" w:eastAsia="楷体_GB2312" w:cs="楷体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年度部门决算中反映“三馆一站免费开放经费”“水上皮伐艇训练项目经费”“</w:t>
      </w:r>
      <w:r>
        <w:rPr>
          <w:rFonts w:hint="eastAsia" w:ascii="仿宋_GB2312" w:hAnsi="仿宋_GB2312" w:eastAsia="仿宋_GB2312" w:cs="仿宋_GB2312"/>
          <w:sz w:val="32"/>
          <w:szCs w:val="32"/>
          <w:lang w:val="en-US" w:eastAsia="zh-CN"/>
        </w:rPr>
        <w:t>农村广播运</w:t>
      </w:r>
      <w:r>
        <w:rPr>
          <w:rFonts w:hint="eastAsia" w:ascii="仿宋_GB2312" w:hAnsi="仿宋_GB2312" w:eastAsia="仿宋_GB2312" w:cs="仿宋_GB2312"/>
          <w:sz w:val="32"/>
          <w:szCs w:val="32"/>
        </w:rPr>
        <w:t>行维护经</w:t>
      </w:r>
      <w:r>
        <w:rPr>
          <w:rFonts w:hint="eastAsia" w:ascii="仿宋_GB2312" w:hAnsi="仿宋_GB2312" w:eastAsia="仿宋_GB2312" w:cs="仿宋_GB2312"/>
          <w:sz w:val="32"/>
          <w:szCs w:val="32"/>
          <w:highlight w:val="none"/>
        </w:rPr>
        <w:t>费”等1</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个项目绩效目标实际完成情况。</w:t>
      </w:r>
    </w:p>
    <w:p w14:paraId="426AC1BE">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庞统祠博物馆补助</w:t>
      </w:r>
      <w:r>
        <w:rPr>
          <w:rFonts w:hint="eastAsia" w:ascii="仿宋_GB2312" w:hAnsi="仿宋_GB2312" w:eastAsia="仿宋_GB2312" w:cs="仿宋_GB2312"/>
          <w:sz w:val="32"/>
          <w:szCs w:val="32"/>
          <w:highlight w:val="none"/>
        </w:rPr>
        <w:t>经费”项目绩效目标完成情况综述。项目全年预算数</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万元，执行数为</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万元，完成预算的100</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。通过项目实施，</w:t>
      </w:r>
      <w:r>
        <w:rPr>
          <w:rFonts w:hint="eastAsia" w:ascii="仿宋_GB2312" w:hAnsi="仿宋_GB2312" w:eastAsia="仿宋_GB2312" w:cs="仿宋_GB2312"/>
          <w:sz w:val="32"/>
          <w:szCs w:val="32"/>
          <w:highlight w:val="none"/>
          <w:lang w:val="en-US" w:eastAsia="zh-CN"/>
        </w:rPr>
        <w:t>保障庞统祠博物馆聘用人员的工资及保险等各项福利正常发放，工作得以正常开展。</w:t>
      </w:r>
    </w:p>
    <w:p w14:paraId="2DFDDFC4">
      <w:pPr>
        <w:keepNext w:val="0"/>
        <w:keepLines w:val="0"/>
        <w:pageBreakBefore w:val="0"/>
        <w:numPr>
          <w:ilvl w:val="0"/>
          <w:numId w:val="5"/>
        </w:numPr>
        <w:kinsoku/>
        <w:wordWrap/>
        <w:overflowPunct/>
        <w:topLinePunct w:val="0"/>
        <w:autoSpaceDE/>
        <w:autoSpaceDN/>
        <w:bidi w:val="0"/>
        <w:adjustRightInd/>
        <w:snapToGrid/>
        <w:spacing w:line="600" w:lineRule="exact"/>
        <w:ind w:left="0" w:leftChars="0" w:right="0" w:rightChars="0" w:firstLine="642"/>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“农村广播运行维护费”项目绩效目标完成情况综述。项目全年预算20.4万元，执行数为20.4万元，完成预算的100%。通过项目实施，保障对全区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村村响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广播前端设备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终端设备</w:t>
      </w:r>
      <w:r>
        <w:rPr>
          <w:rFonts w:hint="eastAsia" w:ascii="仿宋_GB2312" w:hAnsi="仿宋_GB2312" w:eastAsia="仿宋_GB2312" w:cs="仿宋_GB2312"/>
          <w:sz w:val="32"/>
          <w:szCs w:val="32"/>
          <w:lang w:val="en-US" w:eastAsia="zh-CN"/>
        </w:rPr>
        <w:t>及时维修维护</w:t>
      </w:r>
      <w:r>
        <w:rPr>
          <w:rFonts w:hint="eastAsia" w:ascii="仿宋_GB2312" w:hAnsi="仿宋_GB2312" w:eastAsia="仿宋_GB2312" w:cs="仿宋_GB2312"/>
          <w:sz w:val="32"/>
          <w:szCs w:val="32"/>
        </w:rPr>
        <w:t>，保障广播设施设备的正常运转。</w:t>
      </w:r>
    </w:p>
    <w:p w14:paraId="7F9E1E2F">
      <w:pPr>
        <w:keepNext w:val="0"/>
        <w:keepLines w:val="0"/>
        <w:pageBreakBefore w:val="0"/>
        <w:numPr>
          <w:ilvl w:val="0"/>
          <w:numId w:val="5"/>
        </w:numPr>
        <w:tabs>
          <w:tab w:val="left" w:pos="312"/>
        </w:tabs>
        <w:kinsoku/>
        <w:wordWrap/>
        <w:overflowPunct/>
        <w:topLinePunct w:val="0"/>
        <w:autoSpaceDE/>
        <w:autoSpaceDN/>
        <w:bidi w:val="0"/>
        <w:adjustRightInd/>
        <w:snapToGrid/>
        <w:spacing w:line="600" w:lineRule="exact"/>
        <w:ind w:left="0" w:leftChars="0" w:right="0" w:rightChars="0" w:firstLine="640" w:firstLine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书画院补助</w:t>
      </w:r>
      <w:r>
        <w:rPr>
          <w:rFonts w:hint="eastAsia" w:ascii="仿宋_GB2312" w:hAnsi="仿宋_GB2312" w:eastAsia="仿宋_GB2312" w:cs="仿宋_GB2312"/>
          <w:sz w:val="32"/>
          <w:szCs w:val="32"/>
        </w:rPr>
        <w:t>经费”项目绩效目标完成情况综述。项目全年预算</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val="en-US" w:eastAsia="zh-CN"/>
        </w:rPr>
        <w:t>书画院正常开展写生、美术展览等工作</w:t>
      </w:r>
      <w:r>
        <w:rPr>
          <w:rFonts w:hint="eastAsia" w:ascii="仿宋_GB2312" w:hAnsi="仿宋_GB2312" w:eastAsia="仿宋_GB2312" w:cs="仿宋_GB2312"/>
          <w:sz w:val="32"/>
          <w:szCs w:val="32"/>
        </w:rPr>
        <w:t>。</w:t>
      </w:r>
    </w:p>
    <w:p w14:paraId="3A79DEC8">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（4）“文化和旅游市场执法经费”项目绩效目标完成情况综述。项目全年预算</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全区文化和旅游市场组织出动执法检查人员2500余人次，检查经营单位1200余家次，与各相关部门开展联合执法检查已成为常态化。参与市文旅局、市新闻出版局组织的双随机检查3次，独立组织开展双随机检查2次，承担“扫黄打非”相关执法任务。全年立案查处6家次，办结6家次，其中停业整顿1家次，罚款3家次，不予处罚1家次，撤销立案1家次。责令改正3家次，打掉“黑广播”发射站1个，查获信号发射器1台。受疫情影响，全年组织文化市场经营单位负责人开展集中业务培训2次，参与市级文旅执法部门组织的业务培训4次。</w:t>
      </w:r>
    </w:p>
    <w:p w14:paraId="760EA620">
      <w:pPr>
        <w:keepNext w:val="0"/>
        <w:keepLines w:val="0"/>
        <w:pageBreakBefore w:val="0"/>
        <w:tabs>
          <w:tab w:val="left" w:pos="312"/>
        </w:tabs>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群众</w:t>
      </w:r>
      <w:r>
        <w:rPr>
          <w:rFonts w:hint="eastAsia" w:ascii="仿宋_GB2312" w:hAnsi="仿宋_GB2312" w:eastAsia="仿宋_GB2312"/>
          <w:sz w:val="32"/>
          <w:szCs w:val="32"/>
        </w:rPr>
        <w:t>体育活动经费”</w:t>
      </w:r>
      <w:r>
        <w:rPr>
          <w:rFonts w:hint="eastAsia" w:ascii="仿宋_GB2312" w:hAnsi="仿宋_GB2312" w:eastAsia="仿宋_GB2312" w:cs="仿宋_GB2312"/>
          <w:sz w:val="32"/>
          <w:szCs w:val="32"/>
        </w:rPr>
        <w:t>项目绩效目标完成情况综述。项目全年预算5.0万元，执行数为5.0万元，完成预算的100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。通过项目实施，保障罗江区社会体育指导员培训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两期）、全民健身</w:t>
      </w:r>
      <w:r>
        <w:rPr>
          <w:rFonts w:hint="eastAsia" w:ascii="仿宋_GB2312" w:hAnsi="仿宋_GB2312" w:eastAsia="仿宋_GB2312" w:cs="仿宋_GB2312"/>
          <w:sz w:val="32"/>
          <w:szCs w:val="32"/>
        </w:rPr>
        <w:t>等活动的正常开展。</w:t>
      </w:r>
    </w:p>
    <w:tbl>
      <w:tblPr>
        <w:tblStyle w:val="15"/>
        <w:tblpPr w:leftFromText="180" w:rightFromText="180" w:vertAnchor="text" w:horzAnchor="page" w:tblpXSpec="center" w:tblpY="423"/>
        <w:tblOverlap w:val="never"/>
        <w:tblW w:w="10080" w:type="dxa"/>
        <w:jc w:val="center"/>
        <w:tblLayout w:type="fixed"/>
        <w:tblCellMar>
          <w:top w:w="0" w:type="dxa"/>
          <w:left w:w="0" w:type="dxa"/>
          <w:bottom w:w="0" w:type="dxa"/>
          <w:right w:w="0" w:type="dxa"/>
        </w:tblCellMar>
      </w:tblPr>
      <w:tblGrid>
        <w:gridCol w:w="582"/>
        <w:gridCol w:w="142"/>
        <w:gridCol w:w="142"/>
        <w:gridCol w:w="283"/>
        <w:gridCol w:w="608"/>
        <w:gridCol w:w="1025"/>
        <w:gridCol w:w="2392"/>
        <w:gridCol w:w="2394"/>
        <w:gridCol w:w="2512"/>
      </w:tblGrid>
      <w:tr w14:paraId="74B2345C">
        <w:tblPrEx>
          <w:tblCellMar>
            <w:top w:w="0" w:type="dxa"/>
            <w:left w:w="0" w:type="dxa"/>
            <w:bottom w:w="0" w:type="dxa"/>
            <w:right w:w="0" w:type="dxa"/>
          </w:tblCellMar>
        </w:tblPrEx>
        <w:trPr>
          <w:trHeight w:val="1034" w:hRule="atLeast"/>
          <w:jc w:val="center"/>
        </w:trPr>
        <w:tc>
          <w:tcPr>
            <w:tcW w:w="10080" w:type="dxa"/>
            <w:gridSpan w:val="9"/>
            <w:tcMar>
              <w:top w:w="15" w:type="dxa"/>
              <w:left w:w="15" w:type="dxa"/>
              <w:bottom w:w="0" w:type="dxa"/>
              <w:right w:w="15" w:type="dxa"/>
            </w:tcMar>
            <w:vAlign w:val="center"/>
          </w:tcPr>
          <w:p w14:paraId="3904E5BD">
            <w:pPr>
              <w:pStyle w:val="26"/>
              <w:widowControl/>
              <w:ind w:left="4173" w:leftChars="1310" w:hanging="1422" w:hangingChars="395"/>
              <w:textAlignment w:val="center"/>
              <w:rPr>
                <w:rFonts w:ascii="宋体"/>
                <w:sz w:val="36"/>
                <w:szCs w:val="36"/>
              </w:rPr>
            </w:pPr>
            <w:r>
              <w:rPr>
                <w:rFonts w:hint="eastAsia" w:ascii="黑体" w:hAnsi="黑体" w:eastAsia="黑体" w:cs="黑体"/>
                <w:kern w:val="0"/>
                <w:sz w:val="36"/>
                <w:szCs w:val="36"/>
              </w:rPr>
              <w:t>项目支出绩效目标完成情况表</w:t>
            </w:r>
            <w:r>
              <w:rPr>
                <w:rFonts w:ascii="宋体"/>
                <w:b/>
                <w:bCs/>
                <w:kern w:val="0"/>
                <w:sz w:val="36"/>
                <w:szCs w:val="36"/>
              </w:rPr>
              <w:br w:type="textWrapping"/>
            </w:r>
            <w:r>
              <w:rPr>
                <w:rFonts w:ascii="宋体" w:hAnsi="宋体" w:cs="宋体"/>
                <w:kern w:val="0"/>
                <w:sz w:val="36"/>
                <w:szCs w:val="36"/>
              </w:rPr>
              <w:t>（20</w:t>
            </w:r>
            <w:r>
              <w:rPr>
                <w:rFonts w:hint="eastAsia" w:ascii="宋体" w:hAnsi="宋体" w:cs="宋体"/>
                <w:kern w:val="0"/>
                <w:sz w:val="36"/>
                <w:szCs w:val="36"/>
                <w:lang w:val="en-US" w:eastAsia="zh-CN"/>
              </w:rPr>
              <w:t>20</w:t>
            </w:r>
            <w:r>
              <w:rPr>
                <w:rFonts w:hint="eastAsia" w:ascii="宋体" w:hAnsi="宋体" w:cs="宋体"/>
                <w:kern w:val="0"/>
                <w:sz w:val="36"/>
                <w:szCs w:val="36"/>
              </w:rPr>
              <w:t>年度</w:t>
            </w:r>
            <w:r>
              <w:rPr>
                <w:rFonts w:ascii="宋体" w:hAnsi="宋体" w:cs="宋体"/>
                <w:kern w:val="0"/>
                <w:sz w:val="36"/>
                <w:szCs w:val="36"/>
              </w:rPr>
              <w:t>）</w:t>
            </w:r>
          </w:p>
        </w:tc>
      </w:tr>
      <w:tr w14:paraId="30064E08">
        <w:tblPrEx>
          <w:tblCellMar>
            <w:top w:w="0" w:type="dxa"/>
            <w:left w:w="0" w:type="dxa"/>
            <w:bottom w:w="0" w:type="dxa"/>
            <w:right w:w="0" w:type="dxa"/>
          </w:tblCellMar>
        </w:tblPrEx>
        <w:trPr>
          <w:trHeight w:val="276" w:hRule="atLeast"/>
          <w:jc w:val="center"/>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ADBA90">
            <w:pPr>
              <w:widowControl/>
              <w:jc w:val="center"/>
              <w:textAlignment w:val="center"/>
              <w:rPr>
                <w:rFonts w:ascii="宋体"/>
                <w:sz w:val="24"/>
              </w:rPr>
            </w:pPr>
            <w:r>
              <w:rPr>
                <w:rFonts w:hint="eastAsia" w:ascii="宋体" w:hAnsi="宋体" w:cs="宋体"/>
                <w:kern w:val="0"/>
                <w:sz w:val="24"/>
              </w:rPr>
              <w:t>项目名称</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54B8A7">
            <w:pPr>
              <w:widowControl/>
              <w:jc w:val="center"/>
              <w:textAlignment w:val="center"/>
              <w:rPr>
                <w:rFonts w:ascii="宋体"/>
                <w:sz w:val="24"/>
              </w:rPr>
            </w:pPr>
            <w:r>
              <w:rPr>
                <w:rFonts w:hint="eastAsia" w:ascii="宋体"/>
                <w:sz w:val="24"/>
                <w:lang w:val="en-US" w:eastAsia="zh-CN"/>
              </w:rPr>
              <w:t>庞统祠博物馆补助</w:t>
            </w:r>
            <w:r>
              <w:rPr>
                <w:rFonts w:hint="eastAsia" w:ascii="宋体"/>
                <w:sz w:val="24"/>
              </w:rPr>
              <w:t>经费</w:t>
            </w:r>
          </w:p>
        </w:tc>
      </w:tr>
      <w:tr w14:paraId="57FC197E">
        <w:tblPrEx>
          <w:tblCellMar>
            <w:top w:w="0" w:type="dxa"/>
            <w:left w:w="0" w:type="dxa"/>
            <w:bottom w:w="0" w:type="dxa"/>
            <w:right w:w="0" w:type="dxa"/>
          </w:tblCellMar>
        </w:tblPrEx>
        <w:trPr>
          <w:trHeight w:val="276" w:hRule="atLeast"/>
          <w:jc w:val="center"/>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0BECF7">
            <w:pPr>
              <w:widowControl/>
              <w:jc w:val="center"/>
              <w:textAlignment w:val="center"/>
              <w:rPr>
                <w:rFonts w:ascii="宋体"/>
                <w:sz w:val="24"/>
              </w:rPr>
            </w:pPr>
            <w:r>
              <w:rPr>
                <w:rFonts w:hint="eastAsia" w:ascii="宋体" w:hAnsi="宋体" w:cs="宋体"/>
                <w:kern w:val="0"/>
                <w:sz w:val="24"/>
              </w:rPr>
              <w:t>预算单位</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4CA481">
            <w:pPr>
              <w:widowControl/>
              <w:jc w:val="center"/>
              <w:textAlignment w:val="center"/>
              <w:rPr>
                <w:rFonts w:ascii="宋体"/>
                <w:sz w:val="24"/>
              </w:rPr>
            </w:pPr>
            <w:r>
              <w:rPr>
                <w:rFonts w:hint="eastAsia" w:ascii="宋体"/>
                <w:sz w:val="24"/>
              </w:rPr>
              <w:t>德阳市罗江区文化体育广播电视和旅游局</w:t>
            </w:r>
          </w:p>
        </w:tc>
      </w:tr>
      <w:tr w14:paraId="5AB45204">
        <w:tblPrEx>
          <w:tblCellMar>
            <w:top w:w="0" w:type="dxa"/>
            <w:left w:w="0" w:type="dxa"/>
            <w:bottom w:w="0" w:type="dxa"/>
            <w:right w:w="0" w:type="dxa"/>
          </w:tblCellMar>
        </w:tblPrEx>
        <w:trPr>
          <w:trHeight w:val="276" w:hRule="atLeast"/>
          <w:jc w:val="center"/>
        </w:trPr>
        <w:tc>
          <w:tcPr>
            <w:tcW w:w="72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CF9D99">
            <w:pPr>
              <w:widowControl/>
              <w:jc w:val="center"/>
              <w:textAlignment w:val="center"/>
              <w:rPr>
                <w:rFonts w:ascii="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205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1209AC">
            <w:pPr>
              <w:widowControl/>
              <w:jc w:val="center"/>
              <w:textAlignment w:val="center"/>
              <w:rPr>
                <w:rFonts w:ascii="宋体"/>
                <w:sz w:val="24"/>
              </w:rPr>
            </w:pPr>
            <w:r>
              <w:rPr>
                <w:rFonts w:hint="eastAsia" w:ascii="宋体" w:hAnsi="宋体" w:cs="宋体"/>
                <w:kern w:val="0"/>
                <w:sz w:val="24"/>
              </w:rPr>
              <w:t>预算数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1E2C59">
            <w:pPr>
              <w:widowControl/>
              <w:jc w:val="center"/>
              <w:textAlignment w:val="center"/>
              <w:rPr>
                <w:rFonts w:hint="eastAsia" w:ascii="宋体" w:eastAsia="宋体"/>
                <w:sz w:val="24"/>
                <w:lang w:eastAsia="zh-CN"/>
              </w:rPr>
            </w:pPr>
            <w:r>
              <w:rPr>
                <w:rFonts w:hint="eastAsia" w:ascii="宋体"/>
                <w:sz w:val="24"/>
                <w:lang w:val="en-US" w:eastAsia="zh-CN"/>
              </w:rPr>
              <w:t>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DE3777">
            <w:pPr>
              <w:widowControl/>
              <w:jc w:val="center"/>
              <w:textAlignment w:val="center"/>
              <w:rPr>
                <w:rFonts w:ascii="宋体"/>
                <w:sz w:val="24"/>
              </w:rPr>
            </w:pPr>
            <w:r>
              <w:rPr>
                <w:rFonts w:hint="eastAsia" w:ascii="宋体" w:hAnsi="宋体" w:cs="宋体"/>
                <w:kern w:val="0"/>
                <w:sz w:val="24"/>
              </w:rPr>
              <w:t>执行数</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0DBEB2">
            <w:pPr>
              <w:widowControl/>
              <w:jc w:val="center"/>
              <w:textAlignment w:val="center"/>
              <w:rPr>
                <w:rFonts w:hint="eastAsia" w:ascii="宋体" w:eastAsia="宋体"/>
                <w:sz w:val="24"/>
                <w:lang w:eastAsia="zh-CN"/>
              </w:rPr>
            </w:pPr>
            <w:r>
              <w:rPr>
                <w:rFonts w:hint="eastAsia" w:ascii="宋体"/>
                <w:sz w:val="24"/>
                <w:lang w:val="en-US" w:eastAsia="zh-CN"/>
              </w:rPr>
              <w:t>6</w:t>
            </w:r>
          </w:p>
        </w:tc>
      </w:tr>
      <w:tr w14:paraId="37D9CCBB">
        <w:tblPrEx>
          <w:tblCellMar>
            <w:top w:w="0" w:type="dxa"/>
            <w:left w:w="0" w:type="dxa"/>
            <w:bottom w:w="0" w:type="dxa"/>
            <w:right w:w="0" w:type="dxa"/>
          </w:tblCellMar>
        </w:tblPrEx>
        <w:trPr>
          <w:trHeight w:val="276"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B073CBB">
            <w:pPr>
              <w:widowControl/>
              <w:jc w:val="left"/>
              <w:rPr>
                <w:rFonts w:ascii="宋体"/>
                <w:sz w:val="24"/>
              </w:rPr>
            </w:pPr>
          </w:p>
        </w:tc>
        <w:tc>
          <w:tcPr>
            <w:tcW w:w="205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4DF064">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63C523">
            <w:pPr>
              <w:widowControl/>
              <w:jc w:val="center"/>
              <w:textAlignment w:val="center"/>
              <w:rPr>
                <w:rFonts w:hint="eastAsia" w:ascii="宋体" w:eastAsia="宋体"/>
                <w:sz w:val="24"/>
                <w:lang w:eastAsia="zh-CN"/>
              </w:rPr>
            </w:pPr>
            <w:r>
              <w:rPr>
                <w:rFonts w:hint="eastAsia" w:ascii="宋体"/>
                <w:sz w:val="24"/>
                <w:lang w:val="en-US" w:eastAsia="zh-CN"/>
              </w:rPr>
              <w:t>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A85B27">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F0F2EB">
            <w:pPr>
              <w:widowControl/>
              <w:jc w:val="center"/>
              <w:textAlignment w:val="center"/>
              <w:rPr>
                <w:rFonts w:hint="eastAsia" w:ascii="宋体" w:eastAsia="宋体"/>
                <w:sz w:val="24"/>
                <w:lang w:eastAsia="zh-CN"/>
              </w:rPr>
            </w:pPr>
            <w:r>
              <w:rPr>
                <w:rFonts w:hint="eastAsia" w:ascii="宋体"/>
                <w:sz w:val="24"/>
                <w:lang w:val="en-US" w:eastAsia="zh-CN"/>
              </w:rPr>
              <w:t>6</w:t>
            </w:r>
          </w:p>
        </w:tc>
      </w:tr>
      <w:tr w14:paraId="277D6622">
        <w:tblPrEx>
          <w:tblCellMar>
            <w:top w:w="0" w:type="dxa"/>
            <w:left w:w="0" w:type="dxa"/>
            <w:bottom w:w="0" w:type="dxa"/>
            <w:right w:w="0" w:type="dxa"/>
          </w:tblCellMar>
        </w:tblPrEx>
        <w:trPr>
          <w:trHeight w:val="767"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FFB3195">
            <w:pPr>
              <w:widowControl/>
              <w:jc w:val="left"/>
              <w:rPr>
                <w:rFonts w:ascii="宋体"/>
                <w:sz w:val="24"/>
              </w:rPr>
            </w:pPr>
          </w:p>
        </w:tc>
        <w:tc>
          <w:tcPr>
            <w:tcW w:w="205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8BFB43">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D3127B">
            <w:pPr>
              <w:widowControl/>
              <w:jc w:val="center"/>
              <w:textAlignment w:val="center"/>
              <w:rPr>
                <w:rFonts w:ascii="宋体"/>
                <w:sz w:val="24"/>
              </w:rPr>
            </w:pPr>
            <w:r>
              <w:rPr>
                <w:rFonts w:asci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6DA947">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6B74CC">
            <w:pPr>
              <w:jc w:val="center"/>
              <w:rPr>
                <w:rFonts w:ascii="宋体"/>
                <w:sz w:val="24"/>
              </w:rPr>
            </w:pPr>
            <w:r>
              <w:rPr>
                <w:rFonts w:hint="eastAsia" w:ascii="宋体"/>
                <w:sz w:val="24"/>
              </w:rPr>
              <w:t>0</w:t>
            </w:r>
          </w:p>
        </w:tc>
      </w:tr>
      <w:tr w14:paraId="4F03533B">
        <w:tblPrEx>
          <w:tblCellMar>
            <w:top w:w="0" w:type="dxa"/>
            <w:left w:w="0" w:type="dxa"/>
            <w:bottom w:w="0" w:type="dxa"/>
            <w:right w:w="0" w:type="dxa"/>
          </w:tblCellMar>
        </w:tblPrEx>
        <w:trPr>
          <w:trHeight w:val="276" w:hRule="atLeast"/>
          <w:jc w:val="center"/>
        </w:trPr>
        <w:tc>
          <w:tcPr>
            <w:tcW w:w="72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A1894D">
            <w:pPr>
              <w:widowControl/>
              <w:jc w:val="center"/>
              <w:textAlignment w:val="center"/>
              <w:rPr>
                <w:rFonts w:ascii="宋体"/>
                <w:sz w:val="24"/>
              </w:rPr>
            </w:pPr>
            <w:r>
              <w:rPr>
                <w:rFonts w:hint="eastAsia" w:ascii="宋体" w:hAnsi="宋体" w:cs="宋体"/>
                <w:kern w:val="0"/>
                <w:sz w:val="24"/>
              </w:rPr>
              <w:t>年度目标完成情况</w:t>
            </w:r>
          </w:p>
        </w:tc>
        <w:tc>
          <w:tcPr>
            <w:tcW w:w="445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939351">
            <w:pPr>
              <w:widowControl/>
              <w:jc w:val="center"/>
              <w:textAlignment w:val="center"/>
              <w:rPr>
                <w:rFonts w:ascii="宋体"/>
                <w:sz w:val="24"/>
              </w:rPr>
            </w:pPr>
            <w:r>
              <w:rPr>
                <w:rFonts w:hint="eastAsia" w:ascii="宋体" w:hAnsi="宋体" w:cs="宋体"/>
                <w:kern w:val="0"/>
                <w:sz w:val="24"/>
              </w:rPr>
              <w:t>预期目标</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69A2D2">
            <w:pPr>
              <w:widowControl/>
              <w:jc w:val="center"/>
              <w:textAlignment w:val="center"/>
              <w:rPr>
                <w:rFonts w:ascii="宋体"/>
                <w:sz w:val="24"/>
              </w:rPr>
            </w:pPr>
            <w:r>
              <w:rPr>
                <w:rFonts w:hint="eastAsia" w:ascii="宋体" w:hAnsi="宋体" w:cs="宋体"/>
                <w:kern w:val="0"/>
                <w:sz w:val="24"/>
              </w:rPr>
              <w:t>实际完成目标</w:t>
            </w:r>
          </w:p>
        </w:tc>
      </w:tr>
      <w:tr w14:paraId="5E1356FA">
        <w:tblPrEx>
          <w:tblCellMar>
            <w:top w:w="0" w:type="dxa"/>
            <w:left w:w="0" w:type="dxa"/>
            <w:bottom w:w="0" w:type="dxa"/>
            <w:right w:w="0" w:type="dxa"/>
          </w:tblCellMar>
        </w:tblPrEx>
        <w:trPr>
          <w:trHeight w:val="1159"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611ADAC">
            <w:pPr>
              <w:widowControl/>
              <w:jc w:val="left"/>
              <w:rPr>
                <w:rFonts w:ascii="宋体"/>
                <w:sz w:val="24"/>
              </w:rPr>
            </w:pPr>
          </w:p>
        </w:tc>
        <w:tc>
          <w:tcPr>
            <w:tcW w:w="445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2F47A7">
            <w:pPr>
              <w:widowControl/>
              <w:jc w:val="center"/>
              <w:textAlignment w:val="center"/>
              <w:rPr>
                <w:rFonts w:ascii="宋体"/>
                <w:sz w:val="24"/>
              </w:rPr>
            </w:pPr>
            <w:r>
              <w:rPr>
                <w:rFonts w:hint="eastAsia" w:ascii="宋体"/>
                <w:sz w:val="24"/>
              </w:rPr>
              <w:t>正常发放聘用人员工资及缴纳聘用人员保险、公积金。</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3D7627">
            <w:pPr>
              <w:widowControl/>
              <w:jc w:val="center"/>
              <w:textAlignment w:val="center"/>
              <w:rPr>
                <w:rFonts w:ascii="宋体"/>
                <w:sz w:val="24"/>
              </w:rPr>
            </w:pPr>
            <w:r>
              <w:rPr>
                <w:rFonts w:hint="eastAsia" w:ascii="宋体"/>
                <w:sz w:val="24"/>
              </w:rPr>
              <w:t>正常发放聘用人员工资及缴纳聘用人员保险、公积金。</w:t>
            </w:r>
          </w:p>
        </w:tc>
      </w:tr>
      <w:tr w14:paraId="76B01E92">
        <w:tblPrEx>
          <w:tblCellMar>
            <w:top w:w="0" w:type="dxa"/>
            <w:left w:w="0" w:type="dxa"/>
            <w:bottom w:w="0" w:type="dxa"/>
            <w:right w:w="0" w:type="dxa"/>
          </w:tblCellMar>
        </w:tblPrEx>
        <w:trPr>
          <w:trHeight w:val="1003" w:hRule="atLeast"/>
          <w:jc w:val="center"/>
        </w:trPr>
        <w:tc>
          <w:tcPr>
            <w:tcW w:w="724"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35B007">
            <w:pPr>
              <w:widowControl/>
              <w:jc w:val="center"/>
              <w:textAlignment w:val="center"/>
              <w:rPr>
                <w:rFonts w:ascii="宋体"/>
                <w:sz w:val="24"/>
              </w:rPr>
            </w:pPr>
            <w:r>
              <w:rPr>
                <w:rFonts w:hint="eastAsia" w:ascii="宋体" w:hAnsi="宋体" w:cs="宋体"/>
                <w:sz w:val="24"/>
              </w:rPr>
              <w:t>绩效指标完成情况</w:t>
            </w:r>
          </w:p>
        </w:tc>
        <w:tc>
          <w:tcPr>
            <w:tcW w:w="10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C6E1C1">
            <w:pPr>
              <w:widowControl/>
              <w:jc w:val="center"/>
              <w:textAlignment w:val="center"/>
              <w:rPr>
                <w:rFonts w:ascii="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371716">
            <w:pPr>
              <w:widowControl/>
              <w:jc w:val="center"/>
              <w:textAlignment w:val="center"/>
              <w:rPr>
                <w:rFonts w:ascii="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0602F0">
            <w:pPr>
              <w:widowControl/>
              <w:jc w:val="center"/>
              <w:textAlignment w:val="center"/>
              <w:rPr>
                <w:rFonts w:ascii="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1394F2">
            <w:pPr>
              <w:widowControl/>
              <w:jc w:val="center"/>
              <w:textAlignment w:val="center"/>
              <w:rPr>
                <w:rFonts w:ascii="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6DAAC1">
            <w:pPr>
              <w:widowControl/>
              <w:jc w:val="center"/>
              <w:textAlignment w:val="center"/>
              <w:rPr>
                <w:rFonts w:ascii="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14:paraId="2102A589">
        <w:tblPrEx>
          <w:tblCellMar>
            <w:top w:w="0" w:type="dxa"/>
            <w:left w:w="0" w:type="dxa"/>
            <w:bottom w:w="0" w:type="dxa"/>
            <w:right w:w="0" w:type="dxa"/>
          </w:tblCellMar>
        </w:tblPrEx>
        <w:trPr>
          <w:trHeight w:val="1390"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80B7749">
            <w:pPr>
              <w:widowControl/>
              <w:jc w:val="left"/>
              <w:rPr>
                <w:rFonts w:ascii="宋体"/>
                <w:sz w:val="24"/>
              </w:rPr>
            </w:pPr>
          </w:p>
        </w:tc>
        <w:tc>
          <w:tcPr>
            <w:tcW w:w="10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56F121">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7EFD22">
            <w:pPr>
              <w:widowControl/>
              <w:jc w:val="center"/>
              <w:textAlignment w:val="center"/>
              <w:rPr>
                <w:rFonts w:ascii="宋体"/>
                <w:sz w:val="24"/>
              </w:rPr>
            </w:pPr>
            <w:r>
              <w:rPr>
                <w:rFonts w:hint="eastAsia" w:ascii="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CA3D8D">
            <w:pPr>
              <w:widowControl/>
              <w:jc w:val="center"/>
              <w:textAlignment w:val="center"/>
              <w:rPr>
                <w:rFonts w:ascii="宋体"/>
                <w:sz w:val="24"/>
              </w:rPr>
            </w:pPr>
            <w:r>
              <w:rPr>
                <w:rFonts w:hint="eastAsia" w:ascii="宋体"/>
                <w:sz w:val="24"/>
              </w:rPr>
              <w:t>聘用人员人数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30E7AF">
            <w:pPr>
              <w:widowControl/>
              <w:jc w:val="center"/>
              <w:textAlignment w:val="center"/>
              <w:rPr>
                <w:rFonts w:hint="eastAsia" w:ascii="宋体" w:eastAsia="宋体"/>
                <w:sz w:val="24"/>
                <w:lang w:val="en-US" w:eastAsia="zh-CN"/>
              </w:rPr>
            </w:pPr>
            <w:r>
              <w:rPr>
                <w:rFonts w:hint="eastAsia" w:ascii="宋体"/>
                <w:sz w:val="24"/>
                <w:lang w:val="en-US" w:eastAsia="zh-CN"/>
              </w:rPr>
              <w:t>7人</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F16D6D">
            <w:pPr>
              <w:widowControl/>
              <w:jc w:val="center"/>
              <w:textAlignment w:val="center"/>
              <w:rPr>
                <w:rFonts w:hint="eastAsia" w:ascii="宋体" w:eastAsia="宋体"/>
                <w:sz w:val="24"/>
                <w:lang w:eastAsia="zh-CN"/>
              </w:rPr>
            </w:pPr>
            <w:r>
              <w:rPr>
                <w:rFonts w:hint="eastAsia" w:ascii="宋体"/>
                <w:sz w:val="24"/>
                <w:lang w:val="en-US" w:eastAsia="zh-CN"/>
              </w:rPr>
              <w:t>聘用人员7人</w:t>
            </w:r>
          </w:p>
        </w:tc>
      </w:tr>
      <w:tr w14:paraId="39A24627">
        <w:tblPrEx>
          <w:tblCellMar>
            <w:top w:w="0" w:type="dxa"/>
            <w:left w:w="0" w:type="dxa"/>
            <w:bottom w:w="0" w:type="dxa"/>
            <w:right w:w="0" w:type="dxa"/>
          </w:tblCellMar>
        </w:tblPrEx>
        <w:trPr>
          <w:trHeight w:val="1297"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755CB4C">
            <w:pPr>
              <w:widowControl/>
              <w:jc w:val="left"/>
              <w:rPr>
                <w:rFonts w:ascii="宋体"/>
                <w:sz w:val="24"/>
              </w:rPr>
            </w:pPr>
          </w:p>
        </w:tc>
        <w:tc>
          <w:tcPr>
            <w:tcW w:w="10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41934A">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021A7D">
            <w:pPr>
              <w:widowControl/>
              <w:jc w:val="center"/>
              <w:textAlignment w:val="center"/>
              <w:rPr>
                <w:rFonts w:ascii="宋体"/>
                <w:sz w:val="24"/>
              </w:rPr>
            </w:pPr>
            <w:r>
              <w:rPr>
                <w:rFonts w:hint="eastAsia" w:ascii="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013F52">
            <w:pPr>
              <w:widowControl/>
              <w:jc w:val="center"/>
              <w:textAlignment w:val="center"/>
              <w:rPr>
                <w:rFonts w:ascii="宋体"/>
                <w:sz w:val="24"/>
              </w:rPr>
            </w:pPr>
            <w:r>
              <w:rPr>
                <w:rFonts w:hint="eastAsia" w:ascii="宋体"/>
                <w:sz w:val="24"/>
              </w:rPr>
              <w:t>工资及保险费用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AFBB3E">
            <w:pPr>
              <w:widowControl/>
              <w:jc w:val="left"/>
              <w:textAlignment w:val="center"/>
              <w:rPr>
                <w:rFonts w:ascii="宋体"/>
                <w:sz w:val="24"/>
              </w:rPr>
            </w:pPr>
            <w:r>
              <w:rPr>
                <w:rFonts w:hint="eastAsia" w:ascii="宋体"/>
                <w:sz w:val="24"/>
              </w:rPr>
              <w:t>全年工资19.2万元，保险及公积金4.5万元</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EA574D">
            <w:pPr>
              <w:widowControl/>
              <w:jc w:val="center"/>
              <w:textAlignment w:val="center"/>
              <w:rPr>
                <w:rFonts w:hint="eastAsia" w:ascii="宋体" w:eastAsia="宋体"/>
                <w:lang w:eastAsia="zh-CN"/>
              </w:rPr>
            </w:pPr>
            <w:r>
              <w:rPr>
                <w:rFonts w:hint="eastAsia" w:ascii="宋体"/>
                <w:lang w:val="en-US" w:eastAsia="zh-CN"/>
              </w:rPr>
              <w:t>缴纳聘用人员保险及公积金费用</w:t>
            </w:r>
          </w:p>
        </w:tc>
      </w:tr>
      <w:tr w14:paraId="7A923017">
        <w:tblPrEx>
          <w:tblCellMar>
            <w:top w:w="0" w:type="dxa"/>
            <w:left w:w="0" w:type="dxa"/>
            <w:bottom w:w="0" w:type="dxa"/>
            <w:right w:w="0" w:type="dxa"/>
          </w:tblCellMar>
        </w:tblPrEx>
        <w:trPr>
          <w:trHeight w:val="797"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7E4565D">
            <w:pPr>
              <w:widowControl/>
              <w:jc w:val="left"/>
              <w:rPr>
                <w:rFonts w:ascii="宋体"/>
                <w:sz w:val="24"/>
              </w:rPr>
            </w:pPr>
          </w:p>
        </w:tc>
        <w:tc>
          <w:tcPr>
            <w:tcW w:w="10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110F51">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59A90F">
            <w:pPr>
              <w:widowControl/>
              <w:jc w:val="center"/>
              <w:textAlignment w:val="center"/>
              <w:rPr>
                <w:rFonts w:ascii="宋体"/>
                <w:sz w:val="24"/>
              </w:rPr>
            </w:pPr>
            <w:r>
              <w:rPr>
                <w:rFonts w:hint="eastAsia" w:ascii="宋体"/>
                <w:sz w:val="24"/>
              </w:rPr>
              <w:t>时间指标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F85F1F">
            <w:pPr>
              <w:widowControl/>
              <w:jc w:val="center"/>
              <w:textAlignment w:val="center"/>
              <w:rPr>
                <w:rFonts w:ascii="宋体"/>
                <w:sz w:val="24"/>
              </w:rPr>
            </w:pPr>
            <w:r>
              <w:rPr>
                <w:rFonts w:hint="eastAsia" w:ascii="宋体"/>
                <w:sz w:val="24"/>
              </w:rPr>
              <w:t>20</w:t>
            </w:r>
            <w:r>
              <w:rPr>
                <w:rFonts w:hint="eastAsia" w:ascii="宋体"/>
                <w:sz w:val="24"/>
                <w:lang w:val="en-US" w:eastAsia="zh-CN"/>
              </w:rPr>
              <w:t>20</w:t>
            </w:r>
            <w:r>
              <w:rPr>
                <w:rFonts w:hint="eastAsia" w:ascii="宋体"/>
                <w:sz w:val="24"/>
              </w:rPr>
              <w:t>年12月底前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080513">
            <w:pPr>
              <w:widowControl/>
              <w:jc w:val="center"/>
              <w:textAlignment w:val="center"/>
              <w:rPr>
                <w:rFonts w:ascii="宋体"/>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45D99C">
            <w:pPr>
              <w:widowControl/>
              <w:jc w:val="center"/>
              <w:textAlignment w:val="center"/>
              <w:rPr>
                <w:rFonts w:ascii="宋体"/>
                <w:sz w:val="24"/>
              </w:rPr>
            </w:pPr>
            <w:r>
              <w:rPr>
                <w:rFonts w:hint="eastAsia" w:ascii="宋体"/>
                <w:sz w:val="24"/>
              </w:rPr>
              <w:t>20</w:t>
            </w:r>
            <w:r>
              <w:rPr>
                <w:rFonts w:hint="eastAsia" w:ascii="宋体"/>
                <w:sz w:val="24"/>
                <w:lang w:val="en-US" w:eastAsia="zh-CN"/>
              </w:rPr>
              <w:t>20</w:t>
            </w:r>
            <w:r>
              <w:rPr>
                <w:rFonts w:hint="eastAsia" w:ascii="宋体"/>
                <w:sz w:val="24"/>
              </w:rPr>
              <w:t>年12月底前完成</w:t>
            </w:r>
          </w:p>
        </w:tc>
      </w:tr>
      <w:tr w14:paraId="50EDEFD6">
        <w:tblPrEx>
          <w:tblCellMar>
            <w:top w:w="0" w:type="dxa"/>
            <w:left w:w="0" w:type="dxa"/>
            <w:bottom w:w="0" w:type="dxa"/>
            <w:right w:w="0" w:type="dxa"/>
          </w:tblCellMar>
        </w:tblPrEx>
        <w:trPr>
          <w:trHeight w:val="1042"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74C3058">
            <w:pPr>
              <w:widowControl/>
              <w:jc w:val="left"/>
              <w:rPr>
                <w:rFonts w:ascii="宋体"/>
                <w:sz w:val="24"/>
              </w:rPr>
            </w:pPr>
          </w:p>
        </w:tc>
        <w:tc>
          <w:tcPr>
            <w:tcW w:w="10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59685F">
            <w:pPr>
              <w:widowControl/>
              <w:jc w:val="center"/>
              <w:textAlignment w:val="center"/>
              <w:rPr>
                <w:rFonts w:ascii="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B8BE32">
            <w:pPr>
              <w:widowControl/>
              <w:jc w:val="center"/>
              <w:textAlignment w:val="center"/>
              <w:rPr>
                <w:rFonts w:ascii="宋体"/>
                <w:sz w:val="24"/>
              </w:rPr>
            </w:pPr>
            <w:r>
              <w:rPr>
                <w:rFonts w:hint="eastAsia" w:ascii="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E045B6">
            <w:pPr>
              <w:widowControl/>
              <w:jc w:val="center"/>
              <w:textAlignment w:val="center"/>
              <w:rPr>
                <w:rFonts w:ascii="宋体"/>
                <w:sz w:val="24"/>
              </w:rPr>
            </w:pPr>
            <w:r>
              <w:rPr>
                <w:rFonts w:hint="eastAsia" w:ascii="宋体"/>
                <w:sz w:val="24"/>
              </w:rPr>
              <w:t>充足的人员，更好的发挥事业单位职能，更好的服务人民。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3E8D28">
            <w:pPr>
              <w:widowControl/>
              <w:jc w:val="center"/>
              <w:textAlignment w:val="center"/>
              <w:rPr>
                <w:rFonts w:ascii="宋体"/>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5C8D04">
            <w:pPr>
              <w:widowControl/>
              <w:jc w:val="center"/>
              <w:textAlignment w:val="center"/>
              <w:rPr>
                <w:rFonts w:ascii="宋体"/>
                <w:sz w:val="24"/>
              </w:rPr>
            </w:pPr>
            <w:r>
              <w:rPr>
                <w:rFonts w:hint="eastAsia" w:ascii="宋体"/>
                <w:sz w:val="24"/>
              </w:rPr>
              <w:t>充足的人员，更好的发挥事业单位职能，更好的服务人民。</w:t>
            </w:r>
          </w:p>
        </w:tc>
      </w:tr>
      <w:tr w14:paraId="00DC2C23">
        <w:tblPrEx>
          <w:tblCellMar>
            <w:top w:w="0" w:type="dxa"/>
            <w:left w:w="0" w:type="dxa"/>
            <w:bottom w:w="0" w:type="dxa"/>
            <w:right w:w="0" w:type="dxa"/>
          </w:tblCellMar>
        </w:tblPrEx>
        <w:trPr>
          <w:trHeight w:val="1050" w:hRule="atLeast"/>
          <w:jc w:val="center"/>
        </w:trPr>
        <w:tc>
          <w:tcPr>
            <w:tcW w:w="72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4282270">
            <w:pPr>
              <w:widowControl/>
              <w:jc w:val="left"/>
              <w:rPr>
                <w:rFonts w:ascii="宋体"/>
                <w:sz w:val="24"/>
              </w:rPr>
            </w:pPr>
          </w:p>
        </w:tc>
        <w:tc>
          <w:tcPr>
            <w:tcW w:w="10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6FBD88">
            <w:pPr>
              <w:widowControl/>
              <w:jc w:val="center"/>
              <w:textAlignment w:val="center"/>
              <w:rPr>
                <w:rFonts w:ascii="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BBA181">
            <w:pPr>
              <w:widowControl/>
              <w:jc w:val="center"/>
              <w:textAlignment w:val="center"/>
              <w:rPr>
                <w:rFonts w:ascii="宋体"/>
                <w:sz w:val="24"/>
              </w:rPr>
            </w:pPr>
            <w:r>
              <w:rPr>
                <w:rFonts w:hint="eastAsia" w:ascii="宋体" w:hAnsi="宋体" w:cs="宋体"/>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4FC2DB">
            <w:pPr>
              <w:widowControl/>
              <w:jc w:val="center"/>
              <w:textAlignment w:val="center"/>
              <w:rPr>
                <w:rFonts w:ascii="宋体"/>
                <w:sz w:val="24"/>
              </w:rPr>
            </w:pPr>
            <w:r>
              <w:rPr>
                <w:rFonts w:hint="eastAsia" w:ascii="宋体"/>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C8A1FD">
            <w:pPr>
              <w:widowControl/>
              <w:jc w:val="center"/>
              <w:textAlignment w:val="center"/>
              <w:rPr>
                <w:rFonts w:ascii="宋体"/>
                <w:sz w:val="24"/>
              </w:rPr>
            </w:pPr>
            <w:r>
              <w:rPr>
                <w:rFonts w:hint="eastAsia" w:ascii="宋体"/>
                <w:sz w:val="24"/>
              </w:rPr>
              <w:t>≥100%</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5A3AB0">
            <w:pPr>
              <w:widowControl/>
              <w:jc w:val="center"/>
              <w:textAlignment w:val="center"/>
              <w:rPr>
                <w:rFonts w:ascii="宋体"/>
                <w:sz w:val="24"/>
              </w:rPr>
            </w:pPr>
            <w:r>
              <w:rPr>
                <w:rFonts w:hint="eastAsia" w:ascii="宋体" w:hAnsi="宋体" w:cs="宋体"/>
                <w:kern w:val="0"/>
                <w:sz w:val="24"/>
              </w:rPr>
              <w:t>满意度指标</w:t>
            </w:r>
            <w:r>
              <w:rPr>
                <w:rFonts w:hint="eastAsia" w:ascii="宋体"/>
                <w:sz w:val="24"/>
              </w:rPr>
              <w:t>≥90%</w:t>
            </w:r>
          </w:p>
        </w:tc>
      </w:tr>
      <w:tr w14:paraId="09F1B7B4">
        <w:tblPrEx>
          <w:tblCellMar>
            <w:top w:w="0" w:type="dxa"/>
            <w:left w:w="0" w:type="dxa"/>
            <w:bottom w:w="0" w:type="dxa"/>
            <w:right w:w="0" w:type="dxa"/>
          </w:tblCellMar>
        </w:tblPrEx>
        <w:trPr>
          <w:trHeight w:val="276" w:hRule="atLeast"/>
          <w:jc w:val="center"/>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400CEC">
            <w:pPr>
              <w:widowControl/>
              <w:jc w:val="center"/>
              <w:textAlignment w:val="center"/>
              <w:rPr>
                <w:rFonts w:ascii="宋体"/>
                <w:sz w:val="24"/>
              </w:rPr>
            </w:pPr>
            <w:r>
              <w:rPr>
                <w:rFonts w:hint="eastAsia" w:ascii="宋体" w:hAnsi="宋体" w:cs="宋体"/>
                <w:kern w:val="0"/>
                <w:sz w:val="24"/>
              </w:rPr>
              <w:t>项目名称</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679AA2">
            <w:pPr>
              <w:widowControl/>
              <w:jc w:val="center"/>
              <w:textAlignment w:val="center"/>
              <w:rPr>
                <w:rFonts w:ascii="宋体"/>
                <w:sz w:val="24"/>
              </w:rPr>
            </w:pPr>
            <w:r>
              <w:rPr>
                <w:rFonts w:hint="eastAsia" w:ascii="宋体"/>
                <w:sz w:val="32"/>
                <w:szCs w:val="32"/>
              </w:rPr>
              <w:t>农村广播运</w:t>
            </w:r>
            <w:r>
              <w:rPr>
                <w:rFonts w:hint="eastAsia" w:ascii="宋体"/>
                <w:sz w:val="32"/>
                <w:szCs w:val="32"/>
                <w:lang w:val="en-US" w:eastAsia="zh-CN"/>
              </w:rPr>
              <w:t>行维护</w:t>
            </w:r>
            <w:r>
              <w:rPr>
                <w:rFonts w:hint="eastAsia" w:ascii="宋体"/>
                <w:sz w:val="32"/>
                <w:szCs w:val="32"/>
              </w:rPr>
              <w:t>经费</w:t>
            </w:r>
          </w:p>
        </w:tc>
      </w:tr>
      <w:tr w14:paraId="74C67EC1">
        <w:tblPrEx>
          <w:tblCellMar>
            <w:top w:w="0" w:type="dxa"/>
            <w:left w:w="0" w:type="dxa"/>
            <w:bottom w:w="0" w:type="dxa"/>
            <w:right w:w="0" w:type="dxa"/>
          </w:tblCellMar>
        </w:tblPrEx>
        <w:trPr>
          <w:trHeight w:val="276" w:hRule="atLeast"/>
          <w:jc w:val="center"/>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AAD51F">
            <w:pPr>
              <w:widowControl/>
              <w:jc w:val="center"/>
              <w:textAlignment w:val="center"/>
              <w:rPr>
                <w:rFonts w:ascii="宋体"/>
                <w:sz w:val="24"/>
              </w:rPr>
            </w:pPr>
            <w:r>
              <w:rPr>
                <w:rFonts w:hint="eastAsia" w:ascii="宋体" w:hAnsi="宋体" w:cs="宋体"/>
                <w:kern w:val="0"/>
                <w:sz w:val="24"/>
              </w:rPr>
              <w:t>预算单位</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D5B97F">
            <w:pPr>
              <w:widowControl/>
              <w:jc w:val="center"/>
              <w:textAlignment w:val="center"/>
              <w:rPr>
                <w:rFonts w:ascii="宋体"/>
                <w:sz w:val="24"/>
              </w:rPr>
            </w:pPr>
            <w:r>
              <w:rPr>
                <w:rFonts w:hint="eastAsia" w:ascii="宋体"/>
                <w:sz w:val="24"/>
              </w:rPr>
              <w:t>德阳市罗江区文化体育广播电视和旅游局</w:t>
            </w:r>
          </w:p>
        </w:tc>
      </w:tr>
      <w:tr w14:paraId="2FBD2807">
        <w:tblPrEx>
          <w:tblCellMar>
            <w:top w:w="0" w:type="dxa"/>
            <w:left w:w="0" w:type="dxa"/>
            <w:bottom w:w="0" w:type="dxa"/>
            <w:right w:w="0" w:type="dxa"/>
          </w:tblCellMar>
        </w:tblPrEx>
        <w:trPr>
          <w:trHeight w:val="27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932ED0">
            <w:pPr>
              <w:widowControl/>
              <w:jc w:val="center"/>
              <w:textAlignment w:val="center"/>
              <w:rPr>
                <w:rFonts w:ascii="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220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925A79">
            <w:pPr>
              <w:widowControl/>
              <w:jc w:val="center"/>
              <w:textAlignment w:val="center"/>
              <w:rPr>
                <w:rFonts w:ascii="宋体"/>
                <w:sz w:val="24"/>
              </w:rPr>
            </w:pPr>
            <w:r>
              <w:rPr>
                <w:rFonts w:hint="eastAsia" w:ascii="宋体" w:hAnsi="宋体" w:cs="宋体"/>
                <w:kern w:val="0"/>
                <w:sz w:val="24"/>
              </w:rPr>
              <w:t>预算数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E5C3BE">
            <w:pPr>
              <w:widowControl/>
              <w:jc w:val="center"/>
              <w:textAlignment w:val="center"/>
              <w:rPr>
                <w:rFonts w:ascii="宋体"/>
                <w:sz w:val="24"/>
              </w:rPr>
            </w:pPr>
            <w:r>
              <w:rPr>
                <w:rFonts w:hint="eastAsia" w:ascii="宋体"/>
                <w:sz w:val="24"/>
              </w:rPr>
              <w:t>20.4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FFF713">
            <w:pPr>
              <w:widowControl/>
              <w:jc w:val="center"/>
              <w:textAlignment w:val="center"/>
              <w:rPr>
                <w:rFonts w:ascii="宋体"/>
                <w:sz w:val="24"/>
              </w:rPr>
            </w:pPr>
            <w:r>
              <w:rPr>
                <w:rFonts w:hint="eastAsia" w:ascii="宋体" w:hAnsi="宋体" w:cs="宋体"/>
                <w:kern w:val="0"/>
                <w:sz w:val="24"/>
              </w:rPr>
              <w:t>执行数</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7BF4E4">
            <w:pPr>
              <w:widowControl/>
              <w:jc w:val="center"/>
              <w:textAlignment w:val="center"/>
              <w:rPr>
                <w:rFonts w:ascii="宋体"/>
                <w:sz w:val="24"/>
              </w:rPr>
            </w:pPr>
            <w:r>
              <w:rPr>
                <w:rFonts w:hint="eastAsia" w:ascii="宋体"/>
                <w:sz w:val="24"/>
              </w:rPr>
              <w:t>20.4</w:t>
            </w:r>
          </w:p>
        </w:tc>
      </w:tr>
      <w:tr w14:paraId="07191899">
        <w:tblPrEx>
          <w:tblCellMar>
            <w:top w:w="0" w:type="dxa"/>
            <w:left w:w="0" w:type="dxa"/>
            <w:bottom w:w="0" w:type="dxa"/>
            <w:right w:w="0" w:type="dxa"/>
          </w:tblCellMar>
        </w:tblPrEx>
        <w:trPr>
          <w:trHeight w:val="276"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4D6C075E">
            <w:pPr>
              <w:widowControl/>
              <w:jc w:val="left"/>
              <w:rPr>
                <w:rFonts w:ascii="宋体"/>
                <w:sz w:val="24"/>
              </w:rPr>
            </w:pPr>
          </w:p>
        </w:tc>
        <w:tc>
          <w:tcPr>
            <w:tcW w:w="220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F0A768">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DC7AA2">
            <w:pPr>
              <w:widowControl/>
              <w:jc w:val="center"/>
              <w:textAlignment w:val="center"/>
              <w:rPr>
                <w:rFonts w:ascii="宋体"/>
                <w:sz w:val="24"/>
              </w:rPr>
            </w:pPr>
            <w:r>
              <w:rPr>
                <w:rFonts w:hint="eastAsia" w:ascii="宋体"/>
                <w:sz w:val="24"/>
              </w:rPr>
              <w:t>20.4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0D45DD">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75FA4F">
            <w:pPr>
              <w:widowControl/>
              <w:jc w:val="center"/>
              <w:textAlignment w:val="center"/>
              <w:rPr>
                <w:rFonts w:ascii="宋体"/>
                <w:sz w:val="24"/>
              </w:rPr>
            </w:pPr>
            <w:r>
              <w:rPr>
                <w:rFonts w:hint="eastAsia" w:ascii="宋体"/>
                <w:sz w:val="24"/>
              </w:rPr>
              <w:t>20.4</w:t>
            </w:r>
          </w:p>
        </w:tc>
      </w:tr>
      <w:tr w14:paraId="1E063290">
        <w:tblPrEx>
          <w:tblCellMar>
            <w:top w:w="0" w:type="dxa"/>
            <w:left w:w="0" w:type="dxa"/>
            <w:bottom w:w="0" w:type="dxa"/>
            <w:right w:w="0" w:type="dxa"/>
          </w:tblCellMar>
        </w:tblPrEx>
        <w:trPr>
          <w:trHeight w:val="875"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0BA53561">
            <w:pPr>
              <w:widowControl/>
              <w:jc w:val="left"/>
              <w:rPr>
                <w:rFonts w:ascii="宋体"/>
                <w:sz w:val="24"/>
              </w:rPr>
            </w:pPr>
          </w:p>
        </w:tc>
        <w:tc>
          <w:tcPr>
            <w:tcW w:w="2200"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2D5815">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CE1D2B">
            <w:pPr>
              <w:widowControl/>
              <w:jc w:val="center"/>
              <w:textAlignment w:val="center"/>
              <w:rPr>
                <w:rFonts w:ascii="宋体"/>
                <w:sz w:val="24"/>
              </w:rPr>
            </w:pPr>
            <w:r>
              <w:rPr>
                <w:rFonts w:asci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F3BA1A">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FC7324">
            <w:pPr>
              <w:jc w:val="center"/>
              <w:rPr>
                <w:rFonts w:ascii="宋体"/>
                <w:sz w:val="24"/>
              </w:rPr>
            </w:pPr>
            <w:r>
              <w:rPr>
                <w:rFonts w:hint="eastAsia" w:ascii="宋体"/>
                <w:sz w:val="24"/>
              </w:rPr>
              <w:t>0</w:t>
            </w:r>
          </w:p>
        </w:tc>
      </w:tr>
      <w:tr w14:paraId="157F3F53">
        <w:tblPrEx>
          <w:tblCellMar>
            <w:top w:w="0" w:type="dxa"/>
            <w:left w:w="0" w:type="dxa"/>
            <w:bottom w:w="0" w:type="dxa"/>
            <w:right w:w="0" w:type="dxa"/>
          </w:tblCellMar>
        </w:tblPrEx>
        <w:trPr>
          <w:trHeight w:val="27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B7DBDD">
            <w:pPr>
              <w:widowControl/>
              <w:jc w:val="center"/>
              <w:textAlignment w:val="center"/>
              <w:rPr>
                <w:rFonts w:ascii="宋体"/>
                <w:sz w:val="24"/>
              </w:rPr>
            </w:pPr>
            <w:r>
              <w:rPr>
                <w:rFonts w:hint="eastAsia" w:ascii="宋体" w:hAnsi="宋体" w:cs="宋体"/>
                <w:kern w:val="0"/>
                <w:sz w:val="24"/>
              </w:rPr>
              <w:t>年度目标完成情况</w:t>
            </w:r>
          </w:p>
        </w:tc>
        <w:tc>
          <w:tcPr>
            <w:tcW w:w="459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A95FCD">
            <w:pPr>
              <w:widowControl/>
              <w:jc w:val="center"/>
              <w:textAlignment w:val="center"/>
              <w:rPr>
                <w:rFonts w:ascii="宋体"/>
                <w:sz w:val="24"/>
              </w:rPr>
            </w:pPr>
            <w:r>
              <w:rPr>
                <w:rFonts w:hint="eastAsia" w:ascii="宋体" w:hAnsi="宋体" w:cs="宋体"/>
                <w:kern w:val="0"/>
                <w:sz w:val="24"/>
              </w:rPr>
              <w:t>预期目标</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E09930">
            <w:pPr>
              <w:widowControl/>
              <w:jc w:val="center"/>
              <w:textAlignment w:val="center"/>
              <w:rPr>
                <w:rFonts w:ascii="宋体"/>
                <w:sz w:val="24"/>
              </w:rPr>
            </w:pPr>
            <w:r>
              <w:rPr>
                <w:rFonts w:hint="eastAsia" w:ascii="宋体" w:hAnsi="宋体" w:cs="宋体"/>
                <w:kern w:val="0"/>
                <w:sz w:val="24"/>
              </w:rPr>
              <w:t>实际完成目标</w:t>
            </w:r>
          </w:p>
        </w:tc>
      </w:tr>
      <w:tr w14:paraId="640F036E">
        <w:tblPrEx>
          <w:tblCellMar>
            <w:top w:w="0" w:type="dxa"/>
            <w:left w:w="0" w:type="dxa"/>
            <w:bottom w:w="0" w:type="dxa"/>
            <w:right w:w="0" w:type="dxa"/>
          </w:tblCellMar>
        </w:tblPrEx>
        <w:trPr>
          <w:trHeight w:val="1159"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3B3C243E">
            <w:pPr>
              <w:widowControl/>
              <w:jc w:val="left"/>
              <w:rPr>
                <w:rFonts w:ascii="宋体"/>
                <w:sz w:val="24"/>
              </w:rPr>
            </w:pPr>
          </w:p>
        </w:tc>
        <w:tc>
          <w:tcPr>
            <w:tcW w:w="459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C7A186">
            <w:pPr>
              <w:widowControl/>
              <w:jc w:val="center"/>
              <w:textAlignment w:val="center"/>
              <w:rPr>
                <w:rFonts w:ascii="宋体"/>
                <w:sz w:val="24"/>
              </w:rPr>
            </w:pPr>
            <w:r>
              <w:rPr>
                <w:rFonts w:hint="eastAsia" w:ascii="宋体"/>
                <w:sz w:val="24"/>
              </w:rPr>
              <w:t>完成对全区10</w:t>
            </w:r>
            <w:r>
              <w:rPr>
                <w:rFonts w:hint="eastAsia" w:ascii="宋体"/>
                <w:sz w:val="24"/>
                <w:lang w:val="en-US" w:eastAsia="zh-CN"/>
              </w:rPr>
              <w:t>2</w:t>
            </w:r>
            <w:r>
              <w:rPr>
                <w:rFonts w:hint="eastAsia" w:ascii="宋体"/>
                <w:sz w:val="24"/>
              </w:rPr>
              <w:t>个行政村的广播线路的维修维护、保障广播设施设备的正常运转。</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27B733">
            <w:pPr>
              <w:widowControl/>
              <w:jc w:val="center"/>
              <w:textAlignment w:val="center"/>
              <w:rPr>
                <w:rFonts w:ascii="宋体"/>
                <w:sz w:val="24"/>
              </w:rPr>
            </w:pPr>
            <w:r>
              <w:rPr>
                <w:rFonts w:hint="eastAsia" w:ascii="宋体"/>
                <w:sz w:val="24"/>
              </w:rPr>
              <w:t>完成对全区1</w:t>
            </w:r>
            <w:r>
              <w:rPr>
                <w:rFonts w:hint="eastAsia" w:ascii="宋体"/>
                <w:sz w:val="24"/>
                <w:lang w:val="en-US" w:eastAsia="zh-CN"/>
              </w:rPr>
              <w:t>02</w:t>
            </w:r>
            <w:r>
              <w:rPr>
                <w:rFonts w:hint="eastAsia" w:ascii="宋体"/>
                <w:sz w:val="24"/>
              </w:rPr>
              <w:t>个行政村的广播线路的维修维护、保障广播设施设备的正常运转。</w:t>
            </w:r>
          </w:p>
        </w:tc>
      </w:tr>
      <w:tr w14:paraId="6960E910">
        <w:tblPrEx>
          <w:tblCellMar>
            <w:top w:w="0" w:type="dxa"/>
            <w:left w:w="0" w:type="dxa"/>
            <w:bottom w:w="0" w:type="dxa"/>
            <w:right w:w="0" w:type="dxa"/>
          </w:tblCellMar>
        </w:tblPrEx>
        <w:trPr>
          <w:trHeight w:val="1818"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710729">
            <w:pPr>
              <w:widowControl/>
              <w:jc w:val="center"/>
              <w:textAlignment w:val="center"/>
              <w:rPr>
                <w:rFonts w:ascii="宋体"/>
                <w:sz w:val="24"/>
              </w:rPr>
            </w:pPr>
            <w:r>
              <w:rPr>
                <w:rFonts w:hint="eastAsia" w:ascii="宋体" w:hAnsi="宋体" w:cs="宋体"/>
                <w:sz w:val="24"/>
              </w:rPr>
              <w:t>绩效指标完成情况</w:t>
            </w:r>
          </w:p>
        </w:tc>
        <w:tc>
          <w:tcPr>
            <w:tcW w:w="117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6AF3AA">
            <w:pPr>
              <w:widowControl/>
              <w:jc w:val="center"/>
              <w:textAlignment w:val="center"/>
              <w:rPr>
                <w:rFonts w:ascii="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2E83A9">
            <w:pPr>
              <w:widowControl/>
              <w:jc w:val="center"/>
              <w:textAlignment w:val="center"/>
              <w:rPr>
                <w:rFonts w:ascii="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F62019">
            <w:pPr>
              <w:widowControl/>
              <w:jc w:val="center"/>
              <w:textAlignment w:val="center"/>
              <w:rPr>
                <w:rFonts w:ascii="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20EB83">
            <w:pPr>
              <w:widowControl/>
              <w:jc w:val="center"/>
              <w:textAlignment w:val="center"/>
              <w:rPr>
                <w:rFonts w:ascii="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256DEE">
            <w:pPr>
              <w:widowControl/>
              <w:jc w:val="center"/>
              <w:textAlignment w:val="center"/>
              <w:rPr>
                <w:rFonts w:ascii="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14:paraId="57FA9460">
        <w:tblPrEx>
          <w:tblCellMar>
            <w:top w:w="0" w:type="dxa"/>
            <w:left w:w="0" w:type="dxa"/>
            <w:bottom w:w="0" w:type="dxa"/>
            <w:right w:w="0" w:type="dxa"/>
          </w:tblCellMar>
        </w:tblPrEx>
        <w:trPr>
          <w:trHeight w:val="139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1348F834">
            <w:pPr>
              <w:widowControl/>
              <w:jc w:val="left"/>
              <w:rPr>
                <w:rFonts w:ascii="宋体"/>
                <w:sz w:val="24"/>
              </w:rPr>
            </w:pPr>
          </w:p>
        </w:tc>
        <w:tc>
          <w:tcPr>
            <w:tcW w:w="117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6148A6">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56A3BC">
            <w:pPr>
              <w:widowControl/>
              <w:jc w:val="center"/>
              <w:textAlignment w:val="center"/>
              <w:rPr>
                <w:rFonts w:ascii="宋体"/>
                <w:sz w:val="24"/>
              </w:rPr>
            </w:pPr>
            <w:r>
              <w:rPr>
                <w:rFonts w:hint="eastAsia" w:ascii="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745A56">
            <w:pPr>
              <w:widowControl/>
              <w:jc w:val="center"/>
              <w:textAlignment w:val="center"/>
              <w:rPr>
                <w:rFonts w:ascii="宋体"/>
                <w:sz w:val="24"/>
              </w:rPr>
            </w:pPr>
            <w:r>
              <w:rPr>
                <w:rFonts w:hint="eastAsia" w:ascii="宋体"/>
                <w:sz w:val="24"/>
              </w:rPr>
              <w:t>完成对全区10</w:t>
            </w:r>
            <w:r>
              <w:rPr>
                <w:rFonts w:hint="eastAsia" w:ascii="宋体"/>
                <w:sz w:val="24"/>
                <w:lang w:val="en-US" w:eastAsia="zh-CN"/>
              </w:rPr>
              <w:t>2</w:t>
            </w:r>
            <w:r>
              <w:rPr>
                <w:rFonts w:hint="eastAsia" w:ascii="宋体"/>
                <w:sz w:val="24"/>
              </w:rPr>
              <w:t>个行政村的广播线路的维修维护、保障广播设施设备的正常运转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A936AC">
            <w:pPr>
              <w:widowControl/>
              <w:jc w:val="center"/>
              <w:textAlignment w:val="center"/>
              <w:rPr>
                <w:rFonts w:ascii="宋体"/>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3DC140">
            <w:pPr>
              <w:widowControl/>
              <w:jc w:val="center"/>
              <w:textAlignment w:val="center"/>
              <w:rPr>
                <w:rFonts w:ascii="宋体"/>
                <w:sz w:val="24"/>
              </w:rPr>
            </w:pPr>
            <w:r>
              <w:rPr>
                <w:rFonts w:hint="eastAsia" w:ascii="宋体"/>
                <w:sz w:val="24"/>
              </w:rPr>
              <w:t>完成对全区10</w:t>
            </w:r>
            <w:r>
              <w:rPr>
                <w:rFonts w:hint="eastAsia" w:ascii="宋体"/>
                <w:sz w:val="24"/>
                <w:lang w:val="en-US" w:eastAsia="zh-CN"/>
              </w:rPr>
              <w:t>2</w:t>
            </w:r>
            <w:r>
              <w:rPr>
                <w:rFonts w:hint="eastAsia" w:ascii="宋体"/>
                <w:sz w:val="24"/>
              </w:rPr>
              <w:t>个行政村的广播线路的维修维护、保障广播设施设备的正常运转</w:t>
            </w:r>
          </w:p>
        </w:tc>
      </w:tr>
      <w:tr w14:paraId="6D93DDA2">
        <w:tblPrEx>
          <w:tblCellMar>
            <w:top w:w="0" w:type="dxa"/>
            <w:left w:w="0" w:type="dxa"/>
            <w:bottom w:w="0" w:type="dxa"/>
            <w:right w:w="0" w:type="dxa"/>
          </w:tblCellMar>
        </w:tblPrEx>
        <w:trPr>
          <w:trHeight w:val="1297"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3C91A14C">
            <w:pPr>
              <w:widowControl/>
              <w:jc w:val="left"/>
              <w:rPr>
                <w:rFonts w:ascii="宋体"/>
                <w:sz w:val="24"/>
              </w:rPr>
            </w:pPr>
          </w:p>
        </w:tc>
        <w:tc>
          <w:tcPr>
            <w:tcW w:w="117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4A26E0">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1A8FFD">
            <w:pPr>
              <w:widowControl/>
              <w:jc w:val="center"/>
              <w:textAlignment w:val="center"/>
              <w:rPr>
                <w:rFonts w:ascii="宋体"/>
                <w:sz w:val="24"/>
              </w:rPr>
            </w:pPr>
            <w:r>
              <w:rPr>
                <w:rFonts w:hint="eastAsia" w:ascii="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D54A2B">
            <w:pPr>
              <w:widowControl/>
              <w:jc w:val="center"/>
              <w:textAlignment w:val="center"/>
              <w:rPr>
                <w:rFonts w:ascii="宋体"/>
                <w:sz w:val="24"/>
              </w:rPr>
            </w:pPr>
            <w:r>
              <w:rPr>
                <w:rFonts w:hint="eastAsia" w:ascii="宋体"/>
                <w:sz w:val="24"/>
              </w:rPr>
              <w:t>完成对全区10</w:t>
            </w:r>
            <w:r>
              <w:rPr>
                <w:rFonts w:hint="eastAsia" w:ascii="宋体"/>
                <w:sz w:val="24"/>
                <w:lang w:val="en-US" w:eastAsia="zh-CN"/>
              </w:rPr>
              <w:t>2</w:t>
            </w:r>
            <w:r>
              <w:rPr>
                <w:rFonts w:hint="eastAsia" w:ascii="宋体"/>
                <w:sz w:val="24"/>
              </w:rPr>
              <w:t>个行政村的广播线路的维修维护、保障广播设施设备的正常运转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680B92">
            <w:pPr>
              <w:widowControl/>
              <w:jc w:val="left"/>
              <w:textAlignment w:val="center"/>
              <w:rPr>
                <w:rFonts w:ascii="宋体"/>
                <w:sz w:val="24"/>
              </w:rPr>
            </w:pPr>
            <w:r>
              <w:rPr>
                <w:rFonts w:hint="eastAsia" w:ascii="宋体"/>
                <w:sz w:val="24"/>
              </w:rPr>
              <w:t>每个村的维护费约2000元；共计20.4万元</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46C7F7">
            <w:pPr>
              <w:widowControl/>
              <w:jc w:val="center"/>
              <w:textAlignment w:val="center"/>
              <w:rPr>
                <w:rFonts w:ascii="宋体"/>
                <w:sz w:val="24"/>
              </w:rPr>
            </w:pPr>
            <w:r>
              <w:rPr>
                <w:rFonts w:hint="eastAsia" w:ascii="宋体"/>
                <w:sz w:val="24"/>
              </w:rPr>
              <w:t>完成对全区10</w:t>
            </w:r>
            <w:r>
              <w:rPr>
                <w:rFonts w:hint="eastAsia" w:ascii="宋体"/>
                <w:sz w:val="24"/>
                <w:lang w:val="en-US" w:eastAsia="zh-CN"/>
              </w:rPr>
              <w:t>2</w:t>
            </w:r>
            <w:r>
              <w:rPr>
                <w:rFonts w:hint="eastAsia" w:ascii="宋体"/>
                <w:sz w:val="24"/>
              </w:rPr>
              <w:t>个行政村的广播线路的维修维护、保障广播设施设备的正常运转，每个村的维护费约2000元；共计20.4万元。</w:t>
            </w:r>
          </w:p>
        </w:tc>
      </w:tr>
      <w:tr w14:paraId="2D7B8D76">
        <w:tblPrEx>
          <w:tblCellMar>
            <w:top w:w="0" w:type="dxa"/>
            <w:left w:w="0" w:type="dxa"/>
            <w:bottom w:w="0" w:type="dxa"/>
            <w:right w:w="0" w:type="dxa"/>
          </w:tblCellMar>
        </w:tblPrEx>
        <w:trPr>
          <w:trHeight w:val="1042"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7BDD476C">
            <w:pPr>
              <w:widowControl/>
              <w:jc w:val="left"/>
              <w:rPr>
                <w:rFonts w:ascii="宋体"/>
                <w:sz w:val="24"/>
              </w:rPr>
            </w:pPr>
          </w:p>
        </w:tc>
        <w:tc>
          <w:tcPr>
            <w:tcW w:w="117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D4453C">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0D3582">
            <w:pPr>
              <w:widowControl/>
              <w:jc w:val="center"/>
              <w:textAlignment w:val="center"/>
              <w:rPr>
                <w:rFonts w:ascii="宋体"/>
                <w:sz w:val="24"/>
              </w:rPr>
            </w:pPr>
            <w:r>
              <w:rPr>
                <w:rFonts w:hint="eastAsia" w:ascii="宋体"/>
                <w:sz w:val="24"/>
              </w:rPr>
              <w:t>时间指标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F5F2AC">
            <w:pPr>
              <w:widowControl/>
              <w:jc w:val="center"/>
              <w:textAlignment w:val="center"/>
              <w:rPr>
                <w:rFonts w:ascii="宋体"/>
                <w:sz w:val="24"/>
              </w:rPr>
            </w:pPr>
            <w:r>
              <w:rPr>
                <w:rFonts w:hint="eastAsia" w:ascii="宋体"/>
                <w:sz w:val="24"/>
              </w:rPr>
              <w:t>20</w:t>
            </w:r>
            <w:r>
              <w:rPr>
                <w:rFonts w:hint="eastAsia" w:ascii="宋体"/>
                <w:sz w:val="24"/>
                <w:lang w:val="en-US" w:eastAsia="zh-CN"/>
              </w:rPr>
              <w:t>20</w:t>
            </w:r>
            <w:r>
              <w:rPr>
                <w:rFonts w:hint="eastAsia" w:ascii="宋体"/>
                <w:sz w:val="24"/>
              </w:rPr>
              <w:t>年12月底前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38ECAC">
            <w:pPr>
              <w:widowControl/>
              <w:jc w:val="center"/>
              <w:textAlignment w:val="center"/>
              <w:rPr>
                <w:rFonts w:ascii="宋体"/>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B9C4C7">
            <w:pPr>
              <w:widowControl/>
              <w:jc w:val="center"/>
              <w:textAlignment w:val="center"/>
              <w:rPr>
                <w:rFonts w:ascii="宋体"/>
                <w:sz w:val="24"/>
              </w:rPr>
            </w:pPr>
            <w:r>
              <w:rPr>
                <w:rFonts w:hint="eastAsia" w:ascii="宋体"/>
                <w:sz w:val="24"/>
              </w:rPr>
              <w:t>20</w:t>
            </w:r>
            <w:r>
              <w:rPr>
                <w:rFonts w:hint="eastAsia" w:ascii="宋体"/>
                <w:sz w:val="24"/>
                <w:lang w:val="en-US" w:eastAsia="zh-CN"/>
              </w:rPr>
              <w:t>20</w:t>
            </w:r>
            <w:r>
              <w:rPr>
                <w:rFonts w:hint="eastAsia" w:ascii="宋体"/>
                <w:sz w:val="24"/>
              </w:rPr>
              <w:t>年12月底完成</w:t>
            </w:r>
          </w:p>
        </w:tc>
      </w:tr>
      <w:tr w14:paraId="3F0ACD56">
        <w:tblPrEx>
          <w:tblCellMar>
            <w:top w:w="0" w:type="dxa"/>
            <w:left w:w="0" w:type="dxa"/>
            <w:bottom w:w="0" w:type="dxa"/>
            <w:right w:w="0" w:type="dxa"/>
          </w:tblCellMar>
        </w:tblPrEx>
        <w:trPr>
          <w:trHeight w:val="1042"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7063EE74">
            <w:pPr>
              <w:widowControl/>
              <w:jc w:val="left"/>
              <w:rPr>
                <w:rFonts w:ascii="宋体"/>
                <w:sz w:val="24"/>
              </w:rPr>
            </w:pPr>
          </w:p>
        </w:tc>
        <w:tc>
          <w:tcPr>
            <w:tcW w:w="117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E77C9A">
            <w:pPr>
              <w:widowControl/>
              <w:jc w:val="center"/>
              <w:textAlignment w:val="center"/>
              <w:rPr>
                <w:rFonts w:ascii="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CC2A27">
            <w:pPr>
              <w:widowControl/>
              <w:jc w:val="center"/>
              <w:textAlignment w:val="center"/>
              <w:rPr>
                <w:rFonts w:ascii="宋体"/>
                <w:sz w:val="24"/>
              </w:rPr>
            </w:pPr>
            <w:r>
              <w:rPr>
                <w:rFonts w:hint="eastAsia" w:ascii="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B5101D">
            <w:pPr>
              <w:widowControl/>
              <w:jc w:val="center"/>
              <w:textAlignment w:val="center"/>
              <w:rPr>
                <w:rFonts w:ascii="宋体"/>
                <w:sz w:val="24"/>
              </w:rPr>
            </w:pPr>
            <w:r>
              <w:rPr>
                <w:rFonts w:hint="eastAsia" w:ascii="宋体"/>
                <w:sz w:val="24"/>
              </w:rPr>
              <w:t>保障全区的广播正常运转，将党和政府的声音及时专递到广大群众中。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CDF1BB">
            <w:pPr>
              <w:widowControl/>
              <w:jc w:val="center"/>
              <w:textAlignment w:val="center"/>
              <w:rPr>
                <w:rFonts w:ascii="宋体"/>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2A549B">
            <w:pPr>
              <w:widowControl/>
              <w:jc w:val="center"/>
              <w:textAlignment w:val="center"/>
              <w:rPr>
                <w:rFonts w:ascii="宋体"/>
                <w:sz w:val="24"/>
              </w:rPr>
            </w:pPr>
            <w:r>
              <w:rPr>
                <w:rFonts w:hint="eastAsia" w:ascii="宋体"/>
                <w:sz w:val="24"/>
              </w:rPr>
              <w:t>保障全区的广播正常运转，将党和政府的声音及时专递到广大群众中。</w:t>
            </w:r>
          </w:p>
        </w:tc>
      </w:tr>
      <w:tr w14:paraId="35264AE1">
        <w:tblPrEx>
          <w:tblCellMar>
            <w:top w:w="0" w:type="dxa"/>
            <w:left w:w="0" w:type="dxa"/>
            <w:bottom w:w="0" w:type="dxa"/>
            <w:right w:w="0" w:type="dxa"/>
          </w:tblCellMar>
        </w:tblPrEx>
        <w:trPr>
          <w:trHeight w:val="105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5BA75618">
            <w:pPr>
              <w:widowControl/>
              <w:jc w:val="left"/>
              <w:rPr>
                <w:rFonts w:ascii="宋体"/>
                <w:sz w:val="24"/>
              </w:rPr>
            </w:pPr>
          </w:p>
        </w:tc>
        <w:tc>
          <w:tcPr>
            <w:tcW w:w="1175"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5187C7">
            <w:pPr>
              <w:widowControl/>
              <w:jc w:val="center"/>
              <w:textAlignment w:val="center"/>
              <w:rPr>
                <w:rFonts w:ascii="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6BB651">
            <w:pPr>
              <w:widowControl/>
              <w:jc w:val="center"/>
              <w:textAlignment w:val="center"/>
              <w:rPr>
                <w:rFonts w:ascii="宋体"/>
                <w:sz w:val="24"/>
              </w:rPr>
            </w:pPr>
            <w:r>
              <w:rPr>
                <w:rFonts w:hint="eastAsia" w:ascii="宋体" w:hAnsi="宋体" w:cs="宋体"/>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91BF50">
            <w:pPr>
              <w:widowControl/>
              <w:jc w:val="center"/>
              <w:textAlignment w:val="center"/>
              <w:rPr>
                <w:rFonts w:ascii="宋体"/>
                <w:sz w:val="24"/>
              </w:rPr>
            </w:pPr>
            <w:r>
              <w:rPr>
                <w:rFonts w:hint="eastAsia" w:ascii="宋体"/>
                <w:sz w:val="24"/>
              </w:rPr>
              <w:t>完成对全区10</w:t>
            </w:r>
            <w:r>
              <w:rPr>
                <w:rFonts w:hint="eastAsia" w:ascii="宋体"/>
                <w:sz w:val="24"/>
                <w:lang w:val="en-US" w:eastAsia="zh-CN"/>
              </w:rPr>
              <w:t>2</w:t>
            </w:r>
            <w:r>
              <w:rPr>
                <w:rFonts w:hint="eastAsia" w:ascii="宋体"/>
                <w:sz w:val="24"/>
              </w:rPr>
              <w:t>个行政村的广播线路的维修维护、保障广播设施设备的正常运转。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4FD357">
            <w:pPr>
              <w:widowControl/>
              <w:jc w:val="center"/>
              <w:textAlignment w:val="center"/>
              <w:rPr>
                <w:rFonts w:ascii="宋体"/>
                <w:sz w:val="24"/>
              </w:rPr>
            </w:pPr>
            <w:r>
              <w:rPr>
                <w:rFonts w:hint="eastAsia" w:ascii="宋体"/>
                <w:sz w:val="24"/>
              </w:rPr>
              <w:t>100%</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D57B88">
            <w:pPr>
              <w:widowControl/>
              <w:jc w:val="center"/>
              <w:textAlignment w:val="center"/>
              <w:rPr>
                <w:rFonts w:ascii="宋体"/>
                <w:sz w:val="24"/>
              </w:rPr>
            </w:pPr>
            <w:r>
              <w:rPr>
                <w:rFonts w:hint="eastAsia" w:ascii="宋体"/>
                <w:sz w:val="24"/>
              </w:rPr>
              <w:t>完成对全区10</w:t>
            </w:r>
            <w:r>
              <w:rPr>
                <w:rFonts w:hint="eastAsia" w:ascii="宋体"/>
                <w:sz w:val="24"/>
                <w:lang w:val="en-US" w:eastAsia="zh-CN"/>
              </w:rPr>
              <w:t>2</w:t>
            </w:r>
            <w:r>
              <w:rPr>
                <w:rFonts w:hint="eastAsia" w:ascii="宋体"/>
                <w:sz w:val="24"/>
              </w:rPr>
              <w:t>个行政村的广播线路的维修维护、保障广播设施设备的正常运转=100%</w:t>
            </w:r>
          </w:p>
        </w:tc>
      </w:tr>
      <w:tr w14:paraId="50E6F816">
        <w:tblPrEx>
          <w:tblCellMar>
            <w:top w:w="0" w:type="dxa"/>
            <w:left w:w="0" w:type="dxa"/>
            <w:bottom w:w="0" w:type="dxa"/>
            <w:right w:w="0" w:type="dxa"/>
          </w:tblCellMar>
        </w:tblPrEx>
        <w:trPr>
          <w:trHeight w:val="90" w:hRule="atLeast"/>
          <w:jc w:val="center"/>
        </w:trPr>
        <w:tc>
          <w:tcPr>
            <w:tcW w:w="10080" w:type="dxa"/>
            <w:gridSpan w:val="9"/>
            <w:tcMar>
              <w:top w:w="15" w:type="dxa"/>
              <w:left w:w="15" w:type="dxa"/>
              <w:bottom w:w="0" w:type="dxa"/>
              <w:right w:w="15" w:type="dxa"/>
            </w:tcMar>
            <w:vAlign w:val="center"/>
          </w:tcPr>
          <w:p w14:paraId="2B3F363D">
            <w:pPr>
              <w:pStyle w:val="26"/>
              <w:widowControl/>
              <w:ind w:left="4173" w:leftChars="1310" w:hanging="1422" w:hangingChars="395"/>
              <w:textAlignment w:val="center"/>
              <w:rPr>
                <w:rFonts w:ascii="宋体"/>
                <w:sz w:val="36"/>
                <w:szCs w:val="36"/>
              </w:rPr>
            </w:pPr>
          </w:p>
          <w:p w14:paraId="4FF22A57">
            <w:pPr>
              <w:pStyle w:val="26"/>
              <w:widowControl/>
              <w:ind w:left="4173" w:leftChars="1310" w:hanging="1422" w:hangingChars="395"/>
              <w:textAlignment w:val="center"/>
              <w:rPr>
                <w:rFonts w:ascii="宋体"/>
                <w:sz w:val="36"/>
                <w:szCs w:val="36"/>
              </w:rPr>
            </w:pPr>
          </w:p>
        </w:tc>
      </w:tr>
      <w:tr w14:paraId="5B47AD52">
        <w:tblPrEx>
          <w:tblCellMar>
            <w:top w:w="0" w:type="dxa"/>
            <w:left w:w="0" w:type="dxa"/>
            <w:bottom w:w="0" w:type="dxa"/>
            <w:right w:w="0" w:type="dxa"/>
          </w:tblCellMar>
        </w:tblPrEx>
        <w:trPr>
          <w:trHeight w:val="276" w:hRule="atLeast"/>
          <w:jc w:val="center"/>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A38802">
            <w:pPr>
              <w:widowControl/>
              <w:jc w:val="center"/>
              <w:textAlignment w:val="center"/>
              <w:rPr>
                <w:rFonts w:ascii="宋体"/>
                <w:sz w:val="24"/>
              </w:rPr>
            </w:pPr>
            <w:r>
              <w:rPr>
                <w:rFonts w:hint="eastAsia" w:ascii="宋体" w:hAnsi="宋体" w:cs="宋体"/>
                <w:kern w:val="0"/>
                <w:sz w:val="24"/>
              </w:rPr>
              <w:t>项目名称</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1A5251">
            <w:pPr>
              <w:widowControl/>
              <w:jc w:val="center"/>
              <w:textAlignment w:val="center"/>
              <w:rPr>
                <w:rFonts w:ascii="宋体"/>
                <w:sz w:val="24"/>
                <w:highlight w:val="none"/>
              </w:rPr>
            </w:pPr>
            <w:r>
              <w:rPr>
                <w:rFonts w:hint="eastAsia" w:ascii="宋体"/>
                <w:sz w:val="32"/>
                <w:szCs w:val="32"/>
                <w:highlight w:val="none"/>
                <w:lang w:val="en-US" w:eastAsia="zh-CN"/>
              </w:rPr>
              <w:t>书画院</w:t>
            </w:r>
            <w:r>
              <w:rPr>
                <w:rFonts w:hint="eastAsia" w:ascii="宋体"/>
                <w:sz w:val="32"/>
                <w:szCs w:val="32"/>
                <w:highlight w:val="none"/>
              </w:rPr>
              <w:t>补助经费</w:t>
            </w:r>
          </w:p>
        </w:tc>
      </w:tr>
      <w:tr w14:paraId="6E047772">
        <w:tblPrEx>
          <w:tblCellMar>
            <w:top w:w="0" w:type="dxa"/>
            <w:left w:w="0" w:type="dxa"/>
            <w:bottom w:w="0" w:type="dxa"/>
            <w:right w:w="0" w:type="dxa"/>
          </w:tblCellMar>
        </w:tblPrEx>
        <w:trPr>
          <w:trHeight w:val="276" w:hRule="atLeast"/>
          <w:jc w:val="center"/>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5C79F2">
            <w:pPr>
              <w:widowControl/>
              <w:jc w:val="center"/>
              <w:textAlignment w:val="center"/>
              <w:rPr>
                <w:rFonts w:ascii="宋体"/>
                <w:sz w:val="24"/>
              </w:rPr>
            </w:pPr>
            <w:r>
              <w:rPr>
                <w:rFonts w:hint="eastAsia" w:ascii="宋体" w:hAnsi="宋体" w:cs="宋体"/>
                <w:kern w:val="0"/>
                <w:sz w:val="24"/>
              </w:rPr>
              <w:t>预算单位</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18368F">
            <w:pPr>
              <w:widowControl/>
              <w:jc w:val="center"/>
              <w:textAlignment w:val="center"/>
              <w:rPr>
                <w:rFonts w:ascii="宋体"/>
                <w:sz w:val="24"/>
                <w:highlight w:val="none"/>
              </w:rPr>
            </w:pPr>
            <w:r>
              <w:rPr>
                <w:rFonts w:hint="eastAsia" w:ascii="宋体"/>
                <w:sz w:val="24"/>
                <w:highlight w:val="none"/>
              </w:rPr>
              <w:t>德阳市罗江区文化体育广播电视和旅游局</w:t>
            </w:r>
          </w:p>
        </w:tc>
      </w:tr>
      <w:tr w14:paraId="35785734">
        <w:tblPrEx>
          <w:tblCellMar>
            <w:top w:w="0" w:type="dxa"/>
            <w:left w:w="0" w:type="dxa"/>
            <w:bottom w:w="0" w:type="dxa"/>
            <w:right w:w="0" w:type="dxa"/>
          </w:tblCellMar>
        </w:tblPrEx>
        <w:trPr>
          <w:trHeight w:val="276" w:hRule="atLeast"/>
          <w:jc w:val="center"/>
        </w:trPr>
        <w:tc>
          <w:tcPr>
            <w:tcW w:w="1149"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C250A7">
            <w:pPr>
              <w:widowControl/>
              <w:jc w:val="center"/>
              <w:textAlignment w:val="center"/>
              <w:rPr>
                <w:rFonts w:ascii="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16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32F17E">
            <w:pPr>
              <w:widowControl/>
              <w:jc w:val="center"/>
              <w:textAlignment w:val="center"/>
              <w:rPr>
                <w:rFonts w:ascii="宋体"/>
                <w:sz w:val="24"/>
              </w:rPr>
            </w:pPr>
            <w:r>
              <w:rPr>
                <w:rFonts w:hint="eastAsia" w:ascii="宋体" w:hAnsi="宋体" w:cs="宋体"/>
                <w:kern w:val="0"/>
                <w:sz w:val="24"/>
              </w:rPr>
              <w:t>预算数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B55AAA">
            <w:pPr>
              <w:widowControl/>
              <w:jc w:val="center"/>
              <w:textAlignment w:val="center"/>
              <w:rPr>
                <w:rFonts w:hint="eastAsia" w:ascii="宋体" w:eastAsia="宋体"/>
                <w:sz w:val="24"/>
                <w:highlight w:val="none"/>
                <w:lang w:eastAsia="zh-CN"/>
              </w:rPr>
            </w:pPr>
            <w:r>
              <w:rPr>
                <w:rFonts w:hint="eastAsia" w:ascii="宋体"/>
                <w:sz w:val="24"/>
                <w:highlight w:val="none"/>
                <w:lang w:val="en-US" w:eastAsia="zh-CN"/>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59359B">
            <w:pPr>
              <w:widowControl/>
              <w:jc w:val="center"/>
              <w:textAlignment w:val="center"/>
              <w:rPr>
                <w:rFonts w:ascii="宋体"/>
                <w:sz w:val="24"/>
                <w:highlight w:val="none"/>
              </w:rPr>
            </w:pPr>
            <w:r>
              <w:rPr>
                <w:rFonts w:hint="eastAsia" w:ascii="宋体" w:hAnsi="宋体" w:cs="宋体"/>
                <w:kern w:val="0"/>
                <w:sz w:val="24"/>
                <w:highlight w:val="none"/>
              </w:rPr>
              <w:t>执行数</w:t>
            </w:r>
            <w:r>
              <w:rPr>
                <w:rFonts w:ascii="宋体" w:hAnsi="宋体" w:cs="宋体"/>
                <w:kern w:val="0"/>
                <w:sz w:val="24"/>
                <w:highlight w:val="none"/>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D12F1B">
            <w:pPr>
              <w:widowControl/>
              <w:jc w:val="center"/>
              <w:textAlignment w:val="center"/>
              <w:rPr>
                <w:rFonts w:hint="eastAsia" w:ascii="宋体" w:eastAsia="宋体"/>
                <w:sz w:val="24"/>
                <w:highlight w:val="none"/>
                <w:lang w:eastAsia="zh-CN"/>
              </w:rPr>
            </w:pPr>
            <w:r>
              <w:rPr>
                <w:rFonts w:hint="eastAsia" w:ascii="宋体"/>
                <w:sz w:val="24"/>
                <w:highlight w:val="none"/>
                <w:lang w:val="en-US" w:eastAsia="zh-CN"/>
              </w:rPr>
              <w:t>5</w:t>
            </w:r>
          </w:p>
        </w:tc>
      </w:tr>
      <w:tr w14:paraId="51D1C5FE">
        <w:tblPrEx>
          <w:tblCellMar>
            <w:top w:w="0" w:type="dxa"/>
            <w:left w:w="0" w:type="dxa"/>
            <w:bottom w:w="0" w:type="dxa"/>
            <w:right w:w="0" w:type="dxa"/>
          </w:tblCellMar>
        </w:tblPrEx>
        <w:trPr>
          <w:trHeight w:val="276" w:hRule="atLeast"/>
          <w:jc w:val="center"/>
        </w:trPr>
        <w:tc>
          <w:tcPr>
            <w:tcW w:w="1149"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4A7AE8C2">
            <w:pPr>
              <w:widowControl/>
              <w:jc w:val="left"/>
              <w:rPr>
                <w:rFonts w:ascii="宋体"/>
                <w:sz w:val="24"/>
              </w:rPr>
            </w:pPr>
          </w:p>
        </w:tc>
        <w:tc>
          <w:tcPr>
            <w:tcW w:w="16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CB3F05">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4A35E3">
            <w:pPr>
              <w:widowControl/>
              <w:jc w:val="center"/>
              <w:textAlignment w:val="center"/>
              <w:rPr>
                <w:rFonts w:hint="eastAsia" w:ascii="宋体" w:eastAsia="宋体"/>
                <w:sz w:val="24"/>
                <w:highlight w:val="none"/>
                <w:lang w:eastAsia="zh-CN"/>
              </w:rPr>
            </w:pPr>
            <w:r>
              <w:rPr>
                <w:rFonts w:hint="eastAsia" w:ascii="宋体"/>
                <w:sz w:val="24"/>
                <w:highlight w:val="none"/>
                <w:lang w:val="en-US" w:eastAsia="zh-CN"/>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81A101">
            <w:pPr>
              <w:widowControl/>
              <w:jc w:val="center"/>
              <w:textAlignment w:val="center"/>
              <w:rPr>
                <w:rFonts w:ascii="宋体"/>
                <w:sz w:val="24"/>
                <w:highlight w:val="none"/>
              </w:rPr>
            </w:pPr>
            <w:r>
              <w:rPr>
                <w:rFonts w:hint="eastAsia" w:ascii="宋体" w:hAnsi="宋体" w:cs="宋体"/>
                <w:kern w:val="0"/>
                <w:sz w:val="24"/>
                <w:highlight w:val="none"/>
              </w:rPr>
              <w:t>其中</w:t>
            </w:r>
            <w:r>
              <w:rPr>
                <w:rFonts w:ascii="宋体" w:cs="宋体"/>
                <w:kern w:val="0"/>
                <w:sz w:val="24"/>
                <w:highlight w:val="none"/>
              </w:rPr>
              <w:t>-</w:t>
            </w:r>
            <w:r>
              <w:rPr>
                <w:rFonts w:hint="eastAsia" w:ascii="宋体" w:hAnsi="宋体" w:cs="宋体"/>
                <w:kern w:val="0"/>
                <w:sz w:val="24"/>
                <w:highlight w:val="none"/>
              </w:rPr>
              <w:t>财政拨款</w:t>
            </w:r>
            <w:r>
              <w:rPr>
                <w:rFonts w:ascii="宋体" w:hAnsi="宋体" w:cs="宋体"/>
                <w:kern w:val="0"/>
                <w:sz w:val="24"/>
                <w:highlight w:val="none"/>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23F4A5">
            <w:pPr>
              <w:widowControl/>
              <w:jc w:val="center"/>
              <w:textAlignment w:val="center"/>
              <w:rPr>
                <w:rFonts w:hint="eastAsia" w:ascii="宋体" w:eastAsia="宋体"/>
                <w:sz w:val="24"/>
                <w:highlight w:val="none"/>
                <w:lang w:eastAsia="zh-CN"/>
              </w:rPr>
            </w:pPr>
            <w:r>
              <w:rPr>
                <w:rFonts w:hint="eastAsia" w:ascii="宋体"/>
                <w:sz w:val="24"/>
                <w:highlight w:val="none"/>
                <w:lang w:val="en-US" w:eastAsia="zh-CN"/>
              </w:rPr>
              <w:t>5</w:t>
            </w:r>
          </w:p>
        </w:tc>
      </w:tr>
      <w:tr w14:paraId="57047270">
        <w:tblPrEx>
          <w:tblCellMar>
            <w:top w:w="0" w:type="dxa"/>
            <w:left w:w="0" w:type="dxa"/>
            <w:bottom w:w="0" w:type="dxa"/>
            <w:right w:w="0" w:type="dxa"/>
          </w:tblCellMar>
        </w:tblPrEx>
        <w:trPr>
          <w:trHeight w:val="895" w:hRule="atLeast"/>
          <w:jc w:val="center"/>
        </w:trPr>
        <w:tc>
          <w:tcPr>
            <w:tcW w:w="1149"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4C960DA8">
            <w:pPr>
              <w:widowControl/>
              <w:jc w:val="left"/>
              <w:rPr>
                <w:rFonts w:ascii="宋体"/>
                <w:sz w:val="24"/>
              </w:rPr>
            </w:pPr>
          </w:p>
        </w:tc>
        <w:tc>
          <w:tcPr>
            <w:tcW w:w="163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F46937">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ABF95C">
            <w:pPr>
              <w:widowControl/>
              <w:jc w:val="center"/>
              <w:textAlignment w:val="center"/>
              <w:rPr>
                <w:rFonts w:ascii="宋体"/>
                <w:sz w:val="24"/>
                <w:highlight w:val="none"/>
              </w:rPr>
            </w:pPr>
            <w:r>
              <w:rPr>
                <w:rFonts w:ascii="宋体" w:cs="宋体"/>
                <w:kern w:val="0"/>
                <w:sz w:val="24"/>
                <w:highlight w:val="none"/>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70BC08">
            <w:pPr>
              <w:widowControl/>
              <w:jc w:val="center"/>
              <w:textAlignment w:val="center"/>
              <w:rPr>
                <w:rFonts w:ascii="宋体"/>
                <w:sz w:val="24"/>
                <w:highlight w:val="none"/>
              </w:rPr>
            </w:pPr>
            <w:r>
              <w:rPr>
                <w:rFonts w:hint="eastAsia" w:ascii="宋体" w:hAnsi="宋体" w:cs="宋体"/>
                <w:kern w:val="0"/>
                <w:sz w:val="24"/>
                <w:highlight w:val="none"/>
              </w:rPr>
              <w:t>其它资金</w:t>
            </w:r>
            <w:r>
              <w:rPr>
                <w:rFonts w:ascii="宋体" w:hAnsi="宋体" w:cs="宋体"/>
                <w:kern w:val="0"/>
                <w:sz w:val="24"/>
                <w:highlight w:val="none"/>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9B7645">
            <w:pPr>
              <w:jc w:val="center"/>
              <w:rPr>
                <w:rFonts w:ascii="宋体"/>
                <w:sz w:val="24"/>
                <w:highlight w:val="none"/>
              </w:rPr>
            </w:pPr>
            <w:r>
              <w:rPr>
                <w:rFonts w:hint="eastAsia" w:ascii="宋体"/>
                <w:sz w:val="24"/>
                <w:highlight w:val="none"/>
              </w:rPr>
              <w:t>0</w:t>
            </w:r>
          </w:p>
        </w:tc>
      </w:tr>
      <w:tr w14:paraId="79A59354">
        <w:tblPrEx>
          <w:tblCellMar>
            <w:top w:w="0" w:type="dxa"/>
            <w:left w:w="0" w:type="dxa"/>
            <w:bottom w:w="0" w:type="dxa"/>
            <w:right w:w="0" w:type="dxa"/>
          </w:tblCellMar>
        </w:tblPrEx>
        <w:trPr>
          <w:trHeight w:val="276" w:hRule="atLeast"/>
          <w:jc w:val="center"/>
        </w:trPr>
        <w:tc>
          <w:tcPr>
            <w:tcW w:w="1149"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0810D4">
            <w:pPr>
              <w:widowControl/>
              <w:jc w:val="center"/>
              <w:textAlignment w:val="center"/>
              <w:rPr>
                <w:rFonts w:ascii="宋体"/>
                <w:sz w:val="24"/>
              </w:rPr>
            </w:pPr>
            <w:r>
              <w:rPr>
                <w:rFonts w:hint="eastAsia" w:ascii="宋体" w:hAnsi="宋体" w:cs="宋体"/>
                <w:kern w:val="0"/>
                <w:sz w:val="24"/>
              </w:rPr>
              <w:t>年度目标完成情况</w:t>
            </w:r>
          </w:p>
        </w:tc>
        <w:tc>
          <w:tcPr>
            <w:tcW w:w="40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40AFFC">
            <w:pPr>
              <w:widowControl/>
              <w:jc w:val="center"/>
              <w:textAlignment w:val="center"/>
              <w:rPr>
                <w:rFonts w:ascii="宋体"/>
                <w:sz w:val="24"/>
                <w:highlight w:val="none"/>
              </w:rPr>
            </w:pPr>
            <w:r>
              <w:rPr>
                <w:rFonts w:hint="eastAsia" w:ascii="宋体" w:hAnsi="宋体" w:cs="宋体"/>
                <w:kern w:val="0"/>
                <w:sz w:val="24"/>
                <w:highlight w:val="none"/>
              </w:rPr>
              <w:t>预期目标</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CB01BD">
            <w:pPr>
              <w:widowControl/>
              <w:jc w:val="center"/>
              <w:textAlignment w:val="center"/>
              <w:rPr>
                <w:rFonts w:ascii="宋体"/>
                <w:sz w:val="24"/>
                <w:highlight w:val="none"/>
              </w:rPr>
            </w:pPr>
            <w:r>
              <w:rPr>
                <w:rFonts w:hint="eastAsia" w:ascii="宋体" w:hAnsi="宋体" w:cs="宋体"/>
                <w:kern w:val="0"/>
                <w:sz w:val="24"/>
                <w:highlight w:val="none"/>
              </w:rPr>
              <w:t>实际完成目标</w:t>
            </w:r>
          </w:p>
        </w:tc>
      </w:tr>
      <w:tr w14:paraId="2CB9DC45">
        <w:tblPrEx>
          <w:tblCellMar>
            <w:top w:w="0" w:type="dxa"/>
            <w:left w:w="0" w:type="dxa"/>
            <w:bottom w:w="0" w:type="dxa"/>
            <w:right w:w="0" w:type="dxa"/>
          </w:tblCellMar>
        </w:tblPrEx>
        <w:trPr>
          <w:trHeight w:val="1159" w:hRule="atLeast"/>
          <w:jc w:val="center"/>
        </w:trPr>
        <w:tc>
          <w:tcPr>
            <w:tcW w:w="1149"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084534E7">
            <w:pPr>
              <w:widowControl/>
              <w:jc w:val="left"/>
              <w:rPr>
                <w:rFonts w:ascii="宋体"/>
                <w:sz w:val="24"/>
              </w:rPr>
            </w:pPr>
          </w:p>
        </w:tc>
        <w:tc>
          <w:tcPr>
            <w:tcW w:w="402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D32832">
            <w:pPr>
              <w:widowControl/>
              <w:jc w:val="center"/>
              <w:textAlignment w:val="center"/>
              <w:rPr>
                <w:rFonts w:ascii="宋体"/>
                <w:sz w:val="24"/>
                <w:highlight w:val="none"/>
              </w:rPr>
            </w:pPr>
            <w:r>
              <w:rPr>
                <w:rFonts w:hint="eastAsia" w:ascii="仿宋_GB2312" w:hAnsi="仿宋_GB2312" w:cs="仿宋_GB2312"/>
                <w:szCs w:val="32"/>
                <w:highlight w:val="none"/>
                <w:lang w:val="zh-CN"/>
              </w:rPr>
              <w:t>购置书画纸张及其他材料；办展览2场；美术写生2次；办沙龙4次；送春联。</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DB1446">
            <w:pPr>
              <w:widowControl/>
              <w:jc w:val="center"/>
              <w:textAlignment w:val="center"/>
              <w:rPr>
                <w:rFonts w:hint="eastAsia" w:ascii="仿宋_GB2312" w:hAnsi="仿宋_GB2312" w:cs="仿宋_GB2312"/>
                <w:szCs w:val="32"/>
                <w:highlight w:val="none"/>
                <w:lang w:val="zh-CN"/>
              </w:rPr>
            </w:pPr>
            <w:r>
              <w:rPr>
                <w:rFonts w:hint="eastAsia" w:ascii="仿宋_GB2312" w:hAnsi="仿宋_GB2312" w:cs="仿宋_GB2312"/>
                <w:szCs w:val="32"/>
                <w:highlight w:val="none"/>
                <w:lang w:val="zh-CN"/>
              </w:rPr>
              <w:t>购置书画专业书籍</w:t>
            </w:r>
            <w:r>
              <w:rPr>
                <w:rFonts w:hint="eastAsia" w:ascii="仿宋_GB2312" w:hAnsi="仿宋_GB2312" w:cs="仿宋_GB2312"/>
                <w:szCs w:val="32"/>
                <w:highlight w:val="none"/>
                <w:lang w:val="en-US" w:eastAsia="zh-CN"/>
              </w:rPr>
              <w:t>及</w:t>
            </w:r>
            <w:r>
              <w:rPr>
                <w:rFonts w:hint="eastAsia" w:ascii="仿宋_GB2312" w:hAnsi="仿宋_GB2312" w:cs="仿宋_GB2312"/>
                <w:szCs w:val="32"/>
                <w:highlight w:val="none"/>
                <w:lang w:val="zh-CN"/>
              </w:rPr>
              <w:t>书画器材一批，开展写生活动1次，举办美术展览1次</w:t>
            </w:r>
            <w:r>
              <w:rPr>
                <w:rFonts w:hint="eastAsia" w:ascii="仿宋_GB2312" w:hAnsi="仿宋_GB2312" w:cs="仿宋_GB2312"/>
                <w:szCs w:val="32"/>
                <w:highlight w:val="none"/>
                <w:lang w:val="zh-CN" w:eastAsia="zh-CN"/>
              </w:rPr>
              <w:t>。</w:t>
            </w:r>
          </w:p>
          <w:p w14:paraId="3BB980C0">
            <w:pPr>
              <w:widowControl/>
              <w:jc w:val="center"/>
              <w:textAlignment w:val="center"/>
              <w:rPr>
                <w:rFonts w:ascii="宋体"/>
                <w:sz w:val="24"/>
                <w:highlight w:val="none"/>
              </w:rPr>
            </w:pPr>
          </w:p>
        </w:tc>
      </w:tr>
      <w:tr w14:paraId="013EA517">
        <w:tblPrEx>
          <w:tblCellMar>
            <w:top w:w="0" w:type="dxa"/>
            <w:left w:w="0" w:type="dxa"/>
            <w:bottom w:w="0" w:type="dxa"/>
            <w:right w:w="0" w:type="dxa"/>
          </w:tblCellMar>
        </w:tblPrEx>
        <w:trPr>
          <w:trHeight w:val="1818" w:hRule="atLeast"/>
          <w:jc w:val="center"/>
        </w:trPr>
        <w:tc>
          <w:tcPr>
            <w:tcW w:w="1149"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EE779B">
            <w:pPr>
              <w:widowControl/>
              <w:jc w:val="center"/>
              <w:textAlignment w:val="center"/>
              <w:rPr>
                <w:rFonts w:ascii="宋体"/>
                <w:sz w:val="24"/>
              </w:rPr>
            </w:pPr>
            <w:r>
              <w:rPr>
                <w:rFonts w:hint="eastAsia" w:ascii="宋体" w:hAnsi="宋体" w:cs="宋体"/>
                <w:sz w:val="24"/>
              </w:rPr>
              <w:t>绩效指标完成情况</w:t>
            </w: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834416">
            <w:pPr>
              <w:widowControl/>
              <w:jc w:val="center"/>
              <w:textAlignment w:val="center"/>
              <w:rPr>
                <w:rFonts w:ascii="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79F1A5">
            <w:pPr>
              <w:widowControl/>
              <w:jc w:val="center"/>
              <w:textAlignment w:val="center"/>
              <w:rPr>
                <w:rFonts w:ascii="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AF9B1A">
            <w:pPr>
              <w:widowControl/>
              <w:jc w:val="center"/>
              <w:textAlignment w:val="center"/>
              <w:rPr>
                <w:rFonts w:ascii="宋体"/>
                <w:sz w:val="24"/>
                <w:highlight w:val="none"/>
              </w:rPr>
            </w:pPr>
            <w:r>
              <w:rPr>
                <w:rFonts w:hint="eastAsia" w:ascii="宋体" w:hAnsi="宋体" w:cs="宋体"/>
                <w:kern w:val="0"/>
                <w:sz w:val="24"/>
                <w:highlight w:val="none"/>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BF67B2">
            <w:pPr>
              <w:widowControl/>
              <w:jc w:val="center"/>
              <w:textAlignment w:val="center"/>
              <w:rPr>
                <w:rFonts w:ascii="宋体"/>
                <w:sz w:val="24"/>
                <w:highlight w:val="none"/>
              </w:rPr>
            </w:pPr>
            <w:r>
              <w:rPr>
                <w:rFonts w:hint="eastAsia" w:ascii="宋体" w:hAnsi="宋体" w:cs="宋体"/>
                <w:kern w:val="0"/>
                <w:sz w:val="24"/>
                <w:highlight w:val="none"/>
              </w:rPr>
              <w:t>预期指标值</w:t>
            </w:r>
            <w:r>
              <w:rPr>
                <w:rFonts w:ascii="宋体" w:hAnsi="宋体" w:cs="宋体"/>
                <w:kern w:val="0"/>
                <w:sz w:val="24"/>
                <w:highlight w:val="none"/>
              </w:rPr>
              <w:t>（</w:t>
            </w:r>
            <w:r>
              <w:rPr>
                <w:rFonts w:hint="eastAsia" w:ascii="宋体" w:hAnsi="宋体" w:cs="宋体"/>
                <w:kern w:val="0"/>
                <w:sz w:val="24"/>
                <w:highlight w:val="none"/>
              </w:rPr>
              <w:t>包含数字及文字描述</w:t>
            </w:r>
            <w:r>
              <w:rPr>
                <w:rFonts w:ascii="宋体" w:hAnsi="宋体" w:cs="宋体"/>
                <w:kern w:val="0"/>
                <w:sz w:val="24"/>
                <w:highlight w:val="none"/>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62E0F3">
            <w:pPr>
              <w:widowControl/>
              <w:jc w:val="center"/>
              <w:textAlignment w:val="center"/>
              <w:rPr>
                <w:rFonts w:ascii="宋体"/>
                <w:sz w:val="24"/>
                <w:highlight w:val="none"/>
              </w:rPr>
            </w:pPr>
            <w:r>
              <w:rPr>
                <w:rFonts w:hint="eastAsia" w:ascii="宋体" w:hAnsi="宋体" w:cs="宋体"/>
                <w:kern w:val="0"/>
                <w:sz w:val="24"/>
                <w:highlight w:val="none"/>
              </w:rPr>
              <w:t>实际完成指标值</w:t>
            </w:r>
            <w:r>
              <w:rPr>
                <w:rFonts w:ascii="宋体" w:hAnsi="宋体" w:cs="宋体"/>
                <w:kern w:val="0"/>
                <w:sz w:val="24"/>
                <w:highlight w:val="none"/>
              </w:rPr>
              <w:t>（</w:t>
            </w:r>
            <w:r>
              <w:rPr>
                <w:rFonts w:hint="eastAsia" w:ascii="宋体" w:hAnsi="宋体" w:cs="宋体"/>
                <w:kern w:val="0"/>
                <w:sz w:val="24"/>
                <w:highlight w:val="none"/>
              </w:rPr>
              <w:t>包含数字及文字描述</w:t>
            </w:r>
            <w:r>
              <w:rPr>
                <w:rFonts w:ascii="宋体" w:hAnsi="宋体" w:cs="宋体"/>
                <w:kern w:val="0"/>
                <w:sz w:val="24"/>
                <w:highlight w:val="none"/>
              </w:rPr>
              <w:t>）</w:t>
            </w:r>
          </w:p>
        </w:tc>
      </w:tr>
      <w:tr w14:paraId="14F38D11">
        <w:tblPrEx>
          <w:tblCellMar>
            <w:top w:w="0" w:type="dxa"/>
            <w:left w:w="0" w:type="dxa"/>
            <w:bottom w:w="0" w:type="dxa"/>
            <w:right w:w="0" w:type="dxa"/>
          </w:tblCellMar>
        </w:tblPrEx>
        <w:trPr>
          <w:trHeight w:val="1390" w:hRule="atLeast"/>
          <w:jc w:val="center"/>
        </w:trPr>
        <w:tc>
          <w:tcPr>
            <w:tcW w:w="1149"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676F0A72">
            <w:pPr>
              <w:widowControl/>
              <w:jc w:val="left"/>
              <w:rPr>
                <w:rFonts w:ascii="宋体"/>
                <w:sz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274CA3">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66B49E">
            <w:pPr>
              <w:widowControl/>
              <w:jc w:val="center"/>
              <w:textAlignment w:val="center"/>
              <w:rPr>
                <w:rFonts w:ascii="宋体"/>
                <w:sz w:val="24"/>
              </w:rPr>
            </w:pPr>
            <w:r>
              <w:rPr>
                <w:rFonts w:hint="eastAsia" w:ascii="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94040C">
            <w:pPr>
              <w:widowControl/>
              <w:jc w:val="center"/>
              <w:textAlignment w:val="center"/>
              <w:rPr>
                <w:rFonts w:ascii="宋体"/>
                <w:sz w:val="24"/>
                <w:highlight w:val="none"/>
              </w:rPr>
            </w:pPr>
            <w:r>
              <w:rPr>
                <w:rFonts w:hint="eastAsia" w:ascii="仿宋_GB2312" w:hAnsi="仿宋_GB2312" w:cs="仿宋_GB2312"/>
                <w:szCs w:val="32"/>
                <w:highlight w:val="none"/>
                <w:lang w:val="zh-CN"/>
              </w:rPr>
              <w:t>购置书画纸张及其他材料；办展览2场；美术写生2次；办沙龙4次；送春联。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791926">
            <w:pPr>
              <w:widowControl/>
              <w:jc w:val="center"/>
              <w:textAlignment w:val="center"/>
              <w:rPr>
                <w:rFonts w:ascii="宋体"/>
                <w:sz w:val="24"/>
                <w:highlight w:val="none"/>
              </w:rPr>
            </w:pPr>
            <w:r>
              <w:rPr>
                <w:rFonts w:hint="eastAsia" w:ascii="宋体"/>
                <w:sz w:val="24"/>
                <w:highlight w:val="none"/>
              </w:rPr>
              <w:t>正常运转</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982277">
            <w:pPr>
              <w:widowControl/>
              <w:jc w:val="center"/>
              <w:textAlignment w:val="center"/>
              <w:rPr>
                <w:rFonts w:ascii="宋体"/>
                <w:sz w:val="24"/>
                <w:highlight w:val="none"/>
              </w:rPr>
            </w:pPr>
            <w:r>
              <w:rPr>
                <w:rFonts w:hint="eastAsia" w:ascii="仿宋_GB2312" w:hAnsi="仿宋_GB2312" w:cs="仿宋_GB2312"/>
                <w:szCs w:val="32"/>
                <w:highlight w:val="none"/>
                <w:lang w:val="zh-CN"/>
              </w:rPr>
              <w:t>购置书画专业书籍</w:t>
            </w:r>
            <w:r>
              <w:rPr>
                <w:rFonts w:hint="eastAsia" w:ascii="仿宋_GB2312" w:hAnsi="仿宋_GB2312" w:cs="仿宋_GB2312"/>
                <w:szCs w:val="32"/>
                <w:highlight w:val="none"/>
                <w:lang w:val="en-US" w:eastAsia="zh-CN"/>
              </w:rPr>
              <w:t>及</w:t>
            </w:r>
            <w:r>
              <w:rPr>
                <w:rFonts w:hint="eastAsia" w:ascii="仿宋_GB2312" w:hAnsi="仿宋_GB2312" w:cs="仿宋_GB2312"/>
                <w:szCs w:val="32"/>
                <w:highlight w:val="none"/>
                <w:lang w:val="zh-CN"/>
              </w:rPr>
              <w:t>书画器材一批，开展写生活动1次，举办美术展览1次</w:t>
            </w:r>
            <w:r>
              <w:rPr>
                <w:rFonts w:hint="eastAsia" w:ascii="仿宋_GB2312" w:hAnsi="仿宋_GB2312" w:cs="仿宋_GB2312"/>
                <w:szCs w:val="32"/>
                <w:highlight w:val="none"/>
                <w:lang w:val="zh-CN" w:eastAsia="zh-CN"/>
              </w:rPr>
              <w:t>。</w:t>
            </w:r>
          </w:p>
        </w:tc>
      </w:tr>
      <w:tr w14:paraId="2AF95258">
        <w:tblPrEx>
          <w:tblCellMar>
            <w:top w:w="0" w:type="dxa"/>
            <w:left w:w="0" w:type="dxa"/>
            <w:bottom w:w="0" w:type="dxa"/>
            <w:right w:w="0" w:type="dxa"/>
          </w:tblCellMar>
        </w:tblPrEx>
        <w:trPr>
          <w:trHeight w:val="1297" w:hRule="atLeast"/>
          <w:jc w:val="center"/>
        </w:trPr>
        <w:tc>
          <w:tcPr>
            <w:tcW w:w="1149"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5D86FA18">
            <w:pPr>
              <w:widowControl/>
              <w:jc w:val="left"/>
              <w:rPr>
                <w:rFonts w:ascii="宋体"/>
                <w:sz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3D0F82">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B20CB4">
            <w:pPr>
              <w:widowControl/>
              <w:jc w:val="center"/>
              <w:textAlignment w:val="center"/>
              <w:rPr>
                <w:rFonts w:ascii="宋体"/>
                <w:sz w:val="24"/>
              </w:rPr>
            </w:pPr>
            <w:r>
              <w:rPr>
                <w:rFonts w:hint="eastAsia" w:ascii="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D9371F">
            <w:pPr>
              <w:widowControl/>
              <w:jc w:val="center"/>
              <w:textAlignment w:val="center"/>
              <w:rPr>
                <w:rFonts w:ascii="宋体"/>
                <w:sz w:val="24"/>
                <w:highlight w:val="none"/>
              </w:rPr>
            </w:pPr>
            <w:r>
              <w:rPr>
                <w:rFonts w:hint="eastAsia" w:ascii="宋体"/>
                <w:sz w:val="24"/>
                <w:highlight w:val="none"/>
              </w:rPr>
              <w:t>购置材料、交流学习、组织活动等5万元。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E1B7F5">
            <w:pPr>
              <w:widowControl/>
              <w:jc w:val="left"/>
              <w:textAlignment w:val="center"/>
              <w:rPr>
                <w:rFonts w:ascii="宋体"/>
                <w:sz w:val="24"/>
                <w:highlight w:val="none"/>
              </w:rPr>
            </w:pPr>
            <w:r>
              <w:rPr>
                <w:rFonts w:hint="eastAsia" w:ascii="宋体"/>
                <w:sz w:val="24"/>
                <w:highlight w:val="none"/>
              </w:rPr>
              <w:t>5万元</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C0E84D">
            <w:pPr>
              <w:widowControl/>
              <w:jc w:val="center"/>
              <w:textAlignment w:val="center"/>
              <w:rPr>
                <w:rFonts w:ascii="宋体"/>
                <w:sz w:val="24"/>
                <w:highlight w:val="none"/>
              </w:rPr>
            </w:pPr>
            <w:r>
              <w:rPr>
                <w:rFonts w:hint="eastAsia" w:ascii="宋体"/>
                <w:sz w:val="24"/>
                <w:highlight w:val="none"/>
              </w:rPr>
              <w:t>购置材料、交流学习、组织活动等5万元。</w:t>
            </w:r>
          </w:p>
        </w:tc>
      </w:tr>
      <w:tr w14:paraId="6D434589">
        <w:tblPrEx>
          <w:tblCellMar>
            <w:top w:w="0" w:type="dxa"/>
            <w:left w:w="0" w:type="dxa"/>
            <w:bottom w:w="0" w:type="dxa"/>
            <w:right w:w="0" w:type="dxa"/>
          </w:tblCellMar>
        </w:tblPrEx>
        <w:trPr>
          <w:trHeight w:val="1042" w:hRule="atLeast"/>
          <w:jc w:val="center"/>
        </w:trPr>
        <w:tc>
          <w:tcPr>
            <w:tcW w:w="1149"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6A83E848">
            <w:pPr>
              <w:widowControl/>
              <w:jc w:val="left"/>
              <w:rPr>
                <w:rFonts w:ascii="宋体"/>
                <w:sz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CF6A14">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0A8AA1">
            <w:pPr>
              <w:widowControl/>
              <w:jc w:val="center"/>
              <w:textAlignment w:val="center"/>
              <w:rPr>
                <w:rFonts w:ascii="宋体"/>
                <w:sz w:val="24"/>
              </w:rPr>
            </w:pPr>
            <w:r>
              <w:rPr>
                <w:rFonts w:hint="eastAsia" w:ascii="宋体"/>
                <w:sz w:val="24"/>
              </w:rPr>
              <w:t>时间指标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84374A">
            <w:pPr>
              <w:widowControl/>
              <w:jc w:val="center"/>
              <w:textAlignment w:val="center"/>
              <w:rPr>
                <w:rFonts w:ascii="宋体"/>
                <w:sz w:val="24"/>
                <w:highlight w:val="none"/>
              </w:rPr>
            </w:pPr>
            <w:r>
              <w:rPr>
                <w:rFonts w:hint="eastAsia" w:ascii="宋体"/>
                <w:sz w:val="24"/>
                <w:highlight w:val="none"/>
              </w:rPr>
              <w:t>20</w:t>
            </w:r>
            <w:r>
              <w:rPr>
                <w:rFonts w:hint="eastAsia" w:ascii="宋体"/>
                <w:sz w:val="24"/>
                <w:highlight w:val="none"/>
                <w:lang w:val="en-US" w:eastAsia="zh-CN"/>
              </w:rPr>
              <w:t>20</w:t>
            </w:r>
            <w:r>
              <w:rPr>
                <w:rFonts w:hint="eastAsia" w:ascii="宋体"/>
                <w:sz w:val="24"/>
                <w:highlight w:val="none"/>
              </w:rPr>
              <w:t>年12月31日前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849275">
            <w:pPr>
              <w:widowControl/>
              <w:jc w:val="center"/>
              <w:textAlignment w:val="center"/>
              <w:rPr>
                <w:rFonts w:ascii="宋体"/>
                <w:sz w:val="24"/>
                <w:highlight w:val="none"/>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CD79D5">
            <w:pPr>
              <w:widowControl/>
              <w:jc w:val="center"/>
              <w:textAlignment w:val="center"/>
              <w:rPr>
                <w:rFonts w:ascii="宋体"/>
                <w:sz w:val="24"/>
                <w:highlight w:val="none"/>
              </w:rPr>
            </w:pPr>
            <w:r>
              <w:rPr>
                <w:rFonts w:hint="eastAsia" w:ascii="宋体"/>
                <w:sz w:val="24"/>
                <w:highlight w:val="none"/>
              </w:rPr>
              <w:t>20</w:t>
            </w:r>
            <w:r>
              <w:rPr>
                <w:rFonts w:hint="eastAsia" w:ascii="宋体"/>
                <w:sz w:val="24"/>
                <w:highlight w:val="none"/>
                <w:lang w:val="en-US" w:eastAsia="zh-CN"/>
              </w:rPr>
              <w:t>20</w:t>
            </w:r>
            <w:r>
              <w:rPr>
                <w:rFonts w:hint="eastAsia" w:ascii="宋体"/>
                <w:sz w:val="24"/>
                <w:highlight w:val="none"/>
              </w:rPr>
              <w:t>年12月31日完成</w:t>
            </w:r>
          </w:p>
        </w:tc>
      </w:tr>
      <w:tr w14:paraId="2BF5B393">
        <w:tblPrEx>
          <w:tblCellMar>
            <w:top w:w="0" w:type="dxa"/>
            <w:left w:w="0" w:type="dxa"/>
            <w:bottom w:w="0" w:type="dxa"/>
            <w:right w:w="0" w:type="dxa"/>
          </w:tblCellMar>
        </w:tblPrEx>
        <w:trPr>
          <w:trHeight w:val="1042" w:hRule="atLeast"/>
          <w:jc w:val="center"/>
        </w:trPr>
        <w:tc>
          <w:tcPr>
            <w:tcW w:w="1149"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1133C761">
            <w:pPr>
              <w:widowControl/>
              <w:jc w:val="left"/>
              <w:rPr>
                <w:rFonts w:ascii="宋体"/>
                <w:sz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14FE65">
            <w:pPr>
              <w:widowControl/>
              <w:jc w:val="center"/>
              <w:textAlignment w:val="center"/>
              <w:rPr>
                <w:rFonts w:ascii="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FB6036">
            <w:pPr>
              <w:widowControl/>
              <w:jc w:val="center"/>
              <w:textAlignment w:val="center"/>
              <w:rPr>
                <w:rFonts w:ascii="宋体"/>
                <w:sz w:val="24"/>
              </w:rPr>
            </w:pPr>
            <w:r>
              <w:rPr>
                <w:rFonts w:hint="eastAsia" w:ascii="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9E008D">
            <w:pPr>
              <w:widowControl/>
              <w:jc w:val="center"/>
              <w:textAlignment w:val="center"/>
              <w:rPr>
                <w:rFonts w:ascii="宋体"/>
                <w:sz w:val="24"/>
                <w:highlight w:val="none"/>
              </w:rPr>
            </w:pPr>
            <w:r>
              <w:rPr>
                <w:rFonts w:hint="eastAsia" w:ascii="宋体"/>
                <w:sz w:val="24"/>
                <w:highlight w:val="none"/>
              </w:rPr>
              <w:t>提高罗江区书画爱好者水平，普及及传承书画艺术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6F1671">
            <w:pPr>
              <w:widowControl/>
              <w:jc w:val="center"/>
              <w:textAlignment w:val="center"/>
              <w:rPr>
                <w:rFonts w:ascii="宋体"/>
                <w:sz w:val="24"/>
                <w:highlight w:val="none"/>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33EBE3">
            <w:pPr>
              <w:widowControl/>
              <w:jc w:val="center"/>
              <w:textAlignment w:val="center"/>
              <w:rPr>
                <w:rFonts w:ascii="宋体"/>
                <w:sz w:val="24"/>
                <w:highlight w:val="none"/>
              </w:rPr>
            </w:pPr>
            <w:r>
              <w:rPr>
                <w:rFonts w:hint="eastAsia" w:ascii="宋体"/>
                <w:sz w:val="24"/>
                <w:highlight w:val="none"/>
              </w:rPr>
              <w:t>提高罗江区书画爱好者水平，普及及传承书画艺术</w:t>
            </w:r>
          </w:p>
        </w:tc>
      </w:tr>
      <w:tr w14:paraId="6F0267F2">
        <w:tblPrEx>
          <w:tblCellMar>
            <w:top w:w="0" w:type="dxa"/>
            <w:left w:w="0" w:type="dxa"/>
            <w:bottom w:w="0" w:type="dxa"/>
            <w:right w:w="0" w:type="dxa"/>
          </w:tblCellMar>
        </w:tblPrEx>
        <w:trPr>
          <w:trHeight w:val="1050" w:hRule="atLeast"/>
          <w:jc w:val="center"/>
        </w:trPr>
        <w:tc>
          <w:tcPr>
            <w:tcW w:w="1149"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42EC2FBF">
            <w:pPr>
              <w:widowControl/>
              <w:jc w:val="left"/>
              <w:rPr>
                <w:rFonts w:ascii="宋体"/>
                <w:sz w:val="24"/>
              </w:rPr>
            </w:pPr>
          </w:p>
        </w:tc>
        <w:tc>
          <w:tcPr>
            <w:tcW w:w="6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4930ED">
            <w:pPr>
              <w:widowControl/>
              <w:jc w:val="center"/>
              <w:textAlignment w:val="center"/>
              <w:rPr>
                <w:rFonts w:ascii="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320EF8">
            <w:pPr>
              <w:widowControl/>
              <w:jc w:val="center"/>
              <w:textAlignment w:val="center"/>
              <w:rPr>
                <w:rFonts w:ascii="宋体"/>
                <w:sz w:val="24"/>
              </w:rPr>
            </w:pPr>
            <w:r>
              <w:rPr>
                <w:rFonts w:hint="eastAsia" w:ascii="宋体" w:hAnsi="宋体" w:cs="宋体"/>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079F72">
            <w:pPr>
              <w:widowControl/>
              <w:jc w:val="center"/>
              <w:textAlignment w:val="center"/>
              <w:rPr>
                <w:rFonts w:ascii="宋体"/>
                <w:sz w:val="24"/>
                <w:highlight w:val="none"/>
              </w:rPr>
            </w:pPr>
            <w:r>
              <w:rPr>
                <w:rFonts w:hint="eastAsia" w:ascii="宋体"/>
                <w:sz w:val="24"/>
                <w:highlight w:val="none"/>
              </w:rPr>
              <w:t>各界相关</w:t>
            </w:r>
            <w:r>
              <w:rPr>
                <w:rFonts w:hint="eastAsia" w:ascii="宋体"/>
                <w:sz w:val="24"/>
                <w:highlight w:val="none"/>
                <w:lang w:eastAsia="zh-CN"/>
              </w:rPr>
              <w:t>人民群众</w:t>
            </w:r>
            <w:r>
              <w:rPr>
                <w:rFonts w:hint="eastAsia" w:ascii="宋体"/>
                <w:sz w:val="24"/>
                <w:highlight w:val="none"/>
              </w:rPr>
              <w:t>都能满意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56336F">
            <w:pPr>
              <w:widowControl/>
              <w:jc w:val="center"/>
              <w:textAlignment w:val="center"/>
              <w:rPr>
                <w:rFonts w:ascii="宋体"/>
                <w:sz w:val="24"/>
                <w:highlight w:val="none"/>
              </w:rPr>
            </w:pPr>
            <w:r>
              <w:rPr>
                <w:rFonts w:hint="eastAsia" w:ascii="宋体"/>
                <w:sz w:val="24"/>
                <w:highlight w:val="none"/>
              </w:rPr>
              <w:t>90%</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D22145">
            <w:pPr>
              <w:widowControl/>
              <w:jc w:val="center"/>
              <w:textAlignment w:val="center"/>
              <w:rPr>
                <w:rFonts w:ascii="宋体"/>
                <w:sz w:val="24"/>
                <w:highlight w:val="none"/>
              </w:rPr>
            </w:pPr>
            <w:r>
              <w:rPr>
                <w:rFonts w:hint="eastAsia" w:ascii="宋体"/>
                <w:sz w:val="24"/>
                <w:highlight w:val="none"/>
              </w:rPr>
              <w:t>各界相关</w:t>
            </w:r>
            <w:r>
              <w:rPr>
                <w:rFonts w:hint="eastAsia" w:ascii="宋体"/>
                <w:sz w:val="24"/>
                <w:highlight w:val="none"/>
                <w:lang w:eastAsia="zh-CN"/>
              </w:rPr>
              <w:t>人民群众</w:t>
            </w:r>
            <w:r>
              <w:rPr>
                <w:rFonts w:hint="eastAsia" w:ascii="宋体"/>
                <w:sz w:val="24"/>
                <w:highlight w:val="none"/>
              </w:rPr>
              <w:t>都能满意≥90%</w:t>
            </w:r>
          </w:p>
        </w:tc>
      </w:tr>
      <w:tr w14:paraId="12F837F0">
        <w:tblPrEx>
          <w:tblCellMar>
            <w:top w:w="0" w:type="dxa"/>
            <w:left w:w="0" w:type="dxa"/>
            <w:bottom w:w="0" w:type="dxa"/>
            <w:right w:w="0" w:type="dxa"/>
          </w:tblCellMar>
        </w:tblPrEx>
        <w:trPr>
          <w:trHeight w:val="438" w:hRule="atLeast"/>
          <w:jc w:val="center"/>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3A5645">
            <w:pPr>
              <w:widowControl/>
              <w:jc w:val="center"/>
              <w:textAlignment w:val="center"/>
              <w:rPr>
                <w:rFonts w:ascii="宋体"/>
                <w:sz w:val="24"/>
              </w:rPr>
            </w:pPr>
            <w:r>
              <w:rPr>
                <w:rFonts w:hint="eastAsia" w:ascii="宋体" w:hAnsi="宋体" w:cs="宋体"/>
                <w:kern w:val="0"/>
                <w:sz w:val="24"/>
              </w:rPr>
              <w:t>项目名称</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D5801F">
            <w:pPr>
              <w:widowControl/>
              <w:jc w:val="center"/>
              <w:textAlignment w:val="center"/>
              <w:rPr>
                <w:rFonts w:ascii="宋体"/>
                <w:sz w:val="24"/>
              </w:rPr>
            </w:pPr>
            <w:r>
              <w:rPr>
                <w:rFonts w:hint="eastAsia" w:ascii="仿宋_GB2312" w:hAnsi="仿宋_GB2312" w:eastAsia="仿宋_GB2312" w:cs="仿宋_GB2312"/>
                <w:sz w:val="32"/>
                <w:szCs w:val="32"/>
              </w:rPr>
              <w:t>文化旅游市场</w:t>
            </w:r>
            <w:r>
              <w:rPr>
                <w:rFonts w:hint="eastAsia" w:ascii="仿宋_GB2312" w:hAnsi="仿宋_GB2312" w:eastAsia="仿宋_GB2312" w:cs="仿宋_GB2312"/>
                <w:sz w:val="32"/>
                <w:szCs w:val="32"/>
                <w:lang w:val="en-US" w:eastAsia="zh-CN"/>
              </w:rPr>
              <w:t>管理工作</w:t>
            </w:r>
            <w:r>
              <w:rPr>
                <w:rFonts w:hint="eastAsia" w:ascii="仿宋_GB2312" w:hAnsi="仿宋_GB2312" w:eastAsia="仿宋_GB2312" w:cs="仿宋_GB2312"/>
                <w:sz w:val="32"/>
                <w:szCs w:val="32"/>
              </w:rPr>
              <w:t>经费</w:t>
            </w:r>
          </w:p>
        </w:tc>
      </w:tr>
      <w:tr w14:paraId="734CF43D">
        <w:tblPrEx>
          <w:tblCellMar>
            <w:top w:w="0" w:type="dxa"/>
            <w:left w:w="0" w:type="dxa"/>
            <w:bottom w:w="0" w:type="dxa"/>
            <w:right w:w="0" w:type="dxa"/>
          </w:tblCellMar>
        </w:tblPrEx>
        <w:trPr>
          <w:trHeight w:val="276" w:hRule="atLeast"/>
          <w:jc w:val="center"/>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4752E8">
            <w:pPr>
              <w:widowControl/>
              <w:jc w:val="center"/>
              <w:textAlignment w:val="center"/>
              <w:rPr>
                <w:rFonts w:ascii="宋体"/>
                <w:sz w:val="24"/>
              </w:rPr>
            </w:pPr>
            <w:r>
              <w:rPr>
                <w:rFonts w:hint="eastAsia" w:ascii="宋体" w:hAnsi="宋体" w:cs="宋体"/>
                <w:kern w:val="0"/>
                <w:sz w:val="24"/>
              </w:rPr>
              <w:t>预算单位</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1D77C3">
            <w:pPr>
              <w:widowControl/>
              <w:jc w:val="center"/>
              <w:textAlignment w:val="center"/>
              <w:rPr>
                <w:rFonts w:ascii="宋体"/>
                <w:sz w:val="24"/>
              </w:rPr>
            </w:pPr>
            <w:r>
              <w:rPr>
                <w:rFonts w:hint="eastAsia" w:ascii="宋体"/>
                <w:sz w:val="24"/>
              </w:rPr>
              <w:t>德阳市罗江区文化体育广播电视和旅游局</w:t>
            </w:r>
          </w:p>
        </w:tc>
      </w:tr>
      <w:tr w14:paraId="78B9B0E4">
        <w:tblPrEx>
          <w:tblCellMar>
            <w:top w:w="0" w:type="dxa"/>
            <w:left w:w="0" w:type="dxa"/>
            <w:bottom w:w="0" w:type="dxa"/>
            <w:right w:w="0" w:type="dxa"/>
          </w:tblCellMar>
        </w:tblPrEx>
        <w:trPr>
          <w:trHeight w:val="276" w:hRule="atLeast"/>
          <w:jc w:val="center"/>
        </w:trPr>
        <w:tc>
          <w:tcPr>
            <w:tcW w:w="866"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CB8969">
            <w:pPr>
              <w:widowControl/>
              <w:jc w:val="center"/>
              <w:textAlignment w:val="center"/>
              <w:rPr>
                <w:rFonts w:ascii="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19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5F06F1">
            <w:pPr>
              <w:widowControl/>
              <w:jc w:val="center"/>
              <w:textAlignment w:val="center"/>
              <w:rPr>
                <w:rFonts w:ascii="宋体"/>
                <w:sz w:val="24"/>
              </w:rPr>
            </w:pPr>
            <w:r>
              <w:rPr>
                <w:rFonts w:hint="eastAsia" w:ascii="宋体" w:hAnsi="宋体" w:cs="宋体"/>
                <w:kern w:val="0"/>
                <w:sz w:val="24"/>
              </w:rPr>
              <w:t>预算数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214072">
            <w:pPr>
              <w:widowControl/>
              <w:jc w:val="center"/>
              <w:textAlignment w:val="center"/>
              <w:rPr>
                <w:rFonts w:hint="eastAsia" w:ascii="宋体" w:eastAsia="宋体"/>
                <w:sz w:val="24"/>
                <w:lang w:eastAsia="zh-CN"/>
              </w:rPr>
            </w:pPr>
            <w:r>
              <w:rPr>
                <w:rFonts w:hint="eastAsia" w:ascii="宋体"/>
                <w:sz w:val="24"/>
                <w:lang w:val="en-US" w:eastAsia="zh-CN"/>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454B09">
            <w:pPr>
              <w:widowControl/>
              <w:jc w:val="center"/>
              <w:textAlignment w:val="center"/>
              <w:rPr>
                <w:rFonts w:ascii="宋体"/>
                <w:sz w:val="24"/>
              </w:rPr>
            </w:pPr>
            <w:r>
              <w:rPr>
                <w:rFonts w:hint="eastAsia" w:ascii="宋体" w:hAnsi="宋体" w:cs="宋体"/>
                <w:kern w:val="0"/>
                <w:sz w:val="24"/>
              </w:rPr>
              <w:t>执行数</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86FCE4">
            <w:pPr>
              <w:widowControl/>
              <w:jc w:val="center"/>
              <w:textAlignment w:val="center"/>
              <w:rPr>
                <w:rFonts w:hint="eastAsia" w:ascii="宋体" w:eastAsia="宋体"/>
                <w:sz w:val="24"/>
                <w:lang w:eastAsia="zh-CN"/>
              </w:rPr>
            </w:pPr>
            <w:r>
              <w:rPr>
                <w:rFonts w:hint="eastAsia" w:ascii="宋体"/>
                <w:sz w:val="24"/>
                <w:lang w:val="en-US" w:eastAsia="zh-CN"/>
              </w:rPr>
              <w:t>5</w:t>
            </w:r>
          </w:p>
        </w:tc>
      </w:tr>
      <w:tr w14:paraId="484E785C">
        <w:tblPrEx>
          <w:tblCellMar>
            <w:top w:w="0" w:type="dxa"/>
            <w:left w:w="0" w:type="dxa"/>
            <w:bottom w:w="0" w:type="dxa"/>
            <w:right w:w="0" w:type="dxa"/>
          </w:tblCellMar>
        </w:tblPrEx>
        <w:trPr>
          <w:trHeight w:val="276" w:hRule="atLeast"/>
          <w:jc w:val="center"/>
        </w:trPr>
        <w:tc>
          <w:tcPr>
            <w:tcW w:w="86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482353F">
            <w:pPr>
              <w:widowControl/>
              <w:jc w:val="left"/>
              <w:rPr>
                <w:rFonts w:ascii="宋体"/>
                <w:sz w:val="24"/>
              </w:rPr>
            </w:pPr>
          </w:p>
        </w:tc>
        <w:tc>
          <w:tcPr>
            <w:tcW w:w="19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E46629">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523142">
            <w:pPr>
              <w:widowControl/>
              <w:jc w:val="center"/>
              <w:textAlignment w:val="center"/>
              <w:rPr>
                <w:rFonts w:hint="eastAsia" w:ascii="宋体" w:eastAsia="宋体"/>
                <w:sz w:val="24"/>
                <w:lang w:eastAsia="zh-CN"/>
              </w:rPr>
            </w:pPr>
            <w:r>
              <w:rPr>
                <w:rFonts w:hint="eastAsia" w:ascii="宋体"/>
                <w:sz w:val="24"/>
                <w:lang w:val="en-US" w:eastAsia="zh-CN"/>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0B27D7">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2E6CCE">
            <w:pPr>
              <w:widowControl/>
              <w:jc w:val="center"/>
              <w:textAlignment w:val="center"/>
              <w:rPr>
                <w:rFonts w:hint="eastAsia" w:ascii="宋体" w:eastAsia="宋体"/>
                <w:sz w:val="24"/>
                <w:lang w:eastAsia="zh-CN"/>
              </w:rPr>
            </w:pPr>
            <w:r>
              <w:rPr>
                <w:rFonts w:hint="eastAsia" w:ascii="宋体"/>
                <w:sz w:val="24"/>
                <w:lang w:val="en-US" w:eastAsia="zh-CN"/>
              </w:rPr>
              <w:t>5</w:t>
            </w:r>
          </w:p>
        </w:tc>
      </w:tr>
      <w:tr w14:paraId="7EE06ECC">
        <w:tblPrEx>
          <w:tblCellMar>
            <w:top w:w="0" w:type="dxa"/>
            <w:left w:w="0" w:type="dxa"/>
            <w:bottom w:w="0" w:type="dxa"/>
            <w:right w:w="0" w:type="dxa"/>
          </w:tblCellMar>
        </w:tblPrEx>
        <w:trPr>
          <w:trHeight w:val="849" w:hRule="atLeast"/>
          <w:jc w:val="center"/>
        </w:trPr>
        <w:tc>
          <w:tcPr>
            <w:tcW w:w="86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E087257">
            <w:pPr>
              <w:widowControl/>
              <w:jc w:val="left"/>
              <w:rPr>
                <w:rFonts w:ascii="宋体"/>
                <w:sz w:val="24"/>
              </w:rPr>
            </w:pPr>
          </w:p>
        </w:tc>
        <w:tc>
          <w:tcPr>
            <w:tcW w:w="19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02BCB8">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1F9CAD">
            <w:pPr>
              <w:widowControl/>
              <w:jc w:val="center"/>
              <w:textAlignment w:val="center"/>
              <w:rPr>
                <w:rFonts w:ascii="宋体"/>
                <w:sz w:val="24"/>
              </w:rPr>
            </w:pPr>
            <w:r>
              <w:rPr>
                <w:rFonts w:asci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B6E94C">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3403ED">
            <w:pPr>
              <w:jc w:val="center"/>
              <w:rPr>
                <w:rFonts w:ascii="宋体"/>
                <w:sz w:val="24"/>
              </w:rPr>
            </w:pPr>
            <w:r>
              <w:rPr>
                <w:rFonts w:hint="eastAsia" w:ascii="宋体"/>
                <w:sz w:val="24"/>
              </w:rPr>
              <w:t>0</w:t>
            </w:r>
          </w:p>
        </w:tc>
      </w:tr>
      <w:tr w14:paraId="697AD467">
        <w:tblPrEx>
          <w:tblCellMar>
            <w:top w:w="0" w:type="dxa"/>
            <w:left w:w="0" w:type="dxa"/>
            <w:bottom w:w="0" w:type="dxa"/>
            <w:right w:w="0" w:type="dxa"/>
          </w:tblCellMar>
        </w:tblPrEx>
        <w:trPr>
          <w:trHeight w:val="276" w:hRule="atLeast"/>
          <w:jc w:val="center"/>
        </w:trPr>
        <w:tc>
          <w:tcPr>
            <w:tcW w:w="866"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7084E5">
            <w:pPr>
              <w:widowControl/>
              <w:jc w:val="center"/>
              <w:textAlignment w:val="center"/>
              <w:rPr>
                <w:rFonts w:ascii="宋体"/>
                <w:sz w:val="24"/>
              </w:rPr>
            </w:pPr>
            <w:r>
              <w:rPr>
                <w:rFonts w:hint="eastAsia" w:ascii="宋体" w:hAnsi="宋体" w:cs="宋体"/>
                <w:kern w:val="0"/>
                <w:sz w:val="24"/>
              </w:rPr>
              <w:t>年度目标完成情况</w:t>
            </w:r>
          </w:p>
        </w:tc>
        <w:tc>
          <w:tcPr>
            <w:tcW w:w="430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EF55F0">
            <w:pPr>
              <w:widowControl/>
              <w:jc w:val="center"/>
              <w:textAlignment w:val="center"/>
              <w:rPr>
                <w:rFonts w:ascii="宋体"/>
                <w:sz w:val="24"/>
              </w:rPr>
            </w:pPr>
            <w:r>
              <w:rPr>
                <w:rFonts w:hint="eastAsia" w:ascii="宋体" w:hAnsi="宋体" w:cs="宋体"/>
                <w:kern w:val="0"/>
                <w:sz w:val="24"/>
              </w:rPr>
              <w:t>预期目标</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A7EDD3">
            <w:pPr>
              <w:widowControl/>
              <w:jc w:val="center"/>
              <w:textAlignment w:val="center"/>
              <w:rPr>
                <w:rFonts w:ascii="宋体"/>
                <w:sz w:val="24"/>
              </w:rPr>
            </w:pPr>
            <w:r>
              <w:rPr>
                <w:rFonts w:hint="eastAsia" w:ascii="宋体" w:hAnsi="宋体" w:cs="宋体"/>
                <w:kern w:val="0"/>
                <w:sz w:val="24"/>
              </w:rPr>
              <w:t>实际完成目标</w:t>
            </w:r>
          </w:p>
        </w:tc>
      </w:tr>
      <w:tr w14:paraId="6107D8D5">
        <w:tblPrEx>
          <w:tblCellMar>
            <w:top w:w="0" w:type="dxa"/>
            <w:left w:w="0" w:type="dxa"/>
            <w:bottom w:w="0" w:type="dxa"/>
            <w:right w:w="0" w:type="dxa"/>
          </w:tblCellMar>
        </w:tblPrEx>
        <w:trPr>
          <w:trHeight w:val="1159" w:hRule="atLeast"/>
          <w:jc w:val="center"/>
        </w:trPr>
        <w:tc>
          <w:tcPr>
            <w:tcW w:w="86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35BD996">
            <w:pPr>
              <w:widowControl/>
              <w:jc w:val="left"/>
              <w:rPr>
                <w:rFonts w:ascii="宋体"/>
                <w:sz w:val="24"/>
              </w:rPr>
            </w:pPr>
          </w:p>
        </w:tc>
        <w:tc>
          <w:tcPr>
            <w:tcW w:w="430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858F0A">
            <w:pPr>
              <w:widowControl/>
              <w:jc w:val="left"/>
              <w:textAlignment w:val="center"/>
              <w:rPr>
                <w:rFonts w:ascii="宋体"/>
                <w:sz w:val="24"/>
              </w:rPr>
            </w:pPr>
            <w:r>
              <w:rPr>
                <w:rFonts w:hint="eastAsia" w:ascii="宋体"/>
                <w:sz w:val="24"/>
              </w:rPr>
              <w:t>查办案件数不低于在编在岗人员数的3倍；每周出动次数不低于2次，每次随机检查数量不低于3家次；每季度参加、开展执法业务培训、以案释法教育不低1次。</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006F76">
            <w:pPr>
              <w:widowControl/>
              <w:jc w:val="left"/>
              <w:textAlignment w:val="center"/>
              <w:rPr>
                <w:rFonts w:ascii="宋体"/>
                <w:sz w:val="24"/>
              </w:rPr>
            </w:pPr>
            <w:r>
              <w:rPr>
                <w:rFonts w:hint="eastAsia" w:ascii="仿宋_GB2312" w:hAnsi="宋体" w:cs="宋体"/>
                <w:kern w:val="0"/>
                <w:szCs w:val="32"/>
              </w:rPr>
              <w:t>出动执法检查人员2500余人次，检查经营单位1200余家次，参与市文旅局、市新闻出版局组织的双随机检查3次，独立组织开展双随机检查2次，承担“扫黄打非”相关执法任务。全年立案查处6家次，办结6家次，其中停业整顿1家次，罚款3家次，不予处罚1家次，撤销立案1家次。责令改正3家次，打掉“黑广播”发射站1个，查获信号发射器1台。组织文化市场经营单位负责人开展集中业务培训2次，参与市级文旅执法部门组织的业务培训4次。</w:t>
            </w:r>
          </w:p>
        </w:tc>
      </w:tr>
      <w:tr w14:paraId="6EC6B727">
        <w:tblPrEx>
          <w:tblCellMar>
            <w:top w:w="0" w:type="dxa"/>
            <w:left w:w="0" w:type="dxa"/>
            <w:bottom w:w="0" w:type="dxa"/>
            <w:right w:w="0" w:type="dxa"/>
          </w:tblCellMar>
        </w:tblPrEx>
        <w:trPr>
          <w:trHeight w:val="1818" w:hRule="atLeast"/>
          <w:jc w:val="center"/>
        </w:trPr>
        <w:tc>
          <w:tcPr>
            <w:tcW w:w="866"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0D6237">
            <w:pPr>
              <w:widowControl/>
              <w:jc w:val="center"/>
              <w:textAlignment w:val="center"/>
              <w:rPr>
                <w:rFonts w:ascii="宋体"/>
                <w:sz w:val="24"/>
              </w:rPr>
            </w:pPr>
            <w:r>
              <w:rPr>
                <w:rFonts w:hint="eastAsia" w:ascii="宋体" w:hAnsi="宋体" w:cs="宋体"/>
                <w:sz w:val="24"/>
              </w:rPr>
              <w:t>绩效指标完成情况</w:t>
            </w:r>
          </w:p>
        </w:tc>
        <w:tc>
          <w:tcPr>
            <w:tcW w:w="8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D3B9C5">
            <w:pPr>
              <w:widowControl/>
              <w:jc w:val="center"/>
              <w:textAlignment w:val="center"/>
              <w:rPr>
                <w:rFonts w:ascii="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5F814B">
            <w:pPr>
              <w:widowControl/>
              <w:jc w:val="center"/>
              <w:textAlignment w:val="center"/>
              <w:rPr>
                <w:rFonts w:ascii="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051D81">
            <w:pPr>
              <w:widowControl/>
              <w:jc w:val="center"/>
              <w:textAlignment w:val="center"/>
              <w:rPr>
                <w:rFonts w:ascii="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125A11">
            <w:pPr>
              <w:widowControl/>
              <w:jc w:val="center"/>
              <w:textAlignment w:val="center"/>
              <w:rPr>
                <w:rFonts w:ascii="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156304">
            <w:pPr>
              <w:widowControl/>
              <w:jc w:val="center"/>
              <w:textAlignment w:val="center"/>
              <w:rPr>
                <w:rFonts w:ascii="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14:paraId="4D5892FE">
        <w:tblPrEx>
          <w:tblCellMar>
            <w:top w:w="0" w:type="dxa"/>
            <w:left w:w="0" w:type="dxa"/>
            <w:bottom w:w="0" w:type="dxa"/>
            <w:right w:w="0" w:type="dxa"/>
          </w:tblCellMar>
        </w:tblPrEx>
        <w:trPr>
          <w:trHeight w:val="1390" w:hRule="atLeast"/>
          <w:jc w:val="center"/>
        </w:trPr>
        <w:tc>
          <w:tcPr>
            <w:tcW w:w="86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9A82B57">
            <w:pPr>
              <w:widowControl/>
              <w:jc w:val="left"/>
              <w:rPr>
                <w:rFonts w:ascii="宋体"/>
                <w:sz w:val="24"/>
              </w:rPr>
            </w:pPr>
          </w:p>
        </w:tc>
        <w:tc>
          <w:tcPr>
            <w:tcW w:w="8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94F41F">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54EE4A">
            <w:pPr>
              <w:widowControl/>
              <w:jc w:val="center"/>
              <w:textAlignment w:val="center"/>
              <w:rPr>
                <w:rFonts w:ascii="宋体"/>
                <w:sz w:val="24"/>
              </w:rPr>
            </w:pPr>
            <w:r>
              <w:rPr>
                <w:rFonts w:hint="eastAsia" w:ascii="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01DE7E">
            <w:pPr>
              <w:widowControl/>
              <w:jc w:val="center"/>
              <w:textAlignment w:val="center"/>
              <w:rPr>
                <w:rFonts w:ascii="宋体"/>
                <w:sz w:val="24"/>
              </w:rPr>
            </w:pPr>
            <w:r>
              <w:rPr>
                <w:rFonts w:hint="eastAsia" w:ascii="宋体"/>
                <w:sz w:val="24"/>
              </w:rPr>
              <w:t>案件查办，执法培训等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83ABDB">
            <w:pPr>
              <w:widowControl/>
              <w:jc w:val="center"/>
              <w:textAlignment w:val="center"/>
              <w:rPr>
                <w:rFonts w:ascii="宋体"/>
                <w:sz w:val="24"/>
              </w:rPr>
            </w:pPr>
            <w:r>
              <w:rPr>
                <w:rFonts w:hint="eastAsia" w:ascii="宋体"/>
                <w:sz w:val="24"/>
              </w:rPr>
              <w:t>案件查办不低于在编在岗执法人员的3倍，执法培训每季度不低于一次，以案释法教育每年不低于2次，集中法制宣传每年不低于2次，出动人次/检查家次不低于600人次/300家次。</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DD3F48">
            <w:pPr>
              <w:widowControl/>
              <w:jc w:val="center"/>
              <w:textAlignment w:val="center"/>
              <w:rPr>
                <w:rFonts w:ascii="宋体"/>
                <w:sz w:val="24"/>
              </w:rPr>
            </w:pPr>
            <w:r>
              <w:rPr>
                <w:rFonts w:hint="eastAsia" w:ascii="宋体"/>
                <w:sz w:val="24"/>
              </w:rPr>
              <w:t>案件查办不低于在编在岗执法人员的3倍，执法培训每季度不低于一次，以案释法教育每年不低于2次，集中法制宣传每年不低于2次，出动人次/检查家次不低于600人次/300家次。。</w:t>
            </w:r>
          </w:p>
        </w:tc>
      </w:tr>
      <w:tr w14:paraId="3FB63284">
        <w:tblPrEx>
          <w:tblCellMar>
            <w:top w:w="0" w:type="dxa"/>
            <w:left w:w="0" w:type="dxa"/>
            <w:bottom w:w="0" w:type="dxa"/>
            <w:right w:w="0" w:type="dxa"/>
          </w:tblCellMar>
        </w:tblPrEx>
        <w:trPr>
          <w:trHeight w:val="1297" w:hRule="atLeast"/>
          <w:jc w:val="center"/>
        </w:trPr>
        <w:tc>
          <w:tcPr>
            <w:tcW w:w="86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0E7AD8F">
            <w:pPr>
              <w:widowControl/>
              <w:jc w:val="left"/>
              <w:rPr>
                <w:rFonts w:ascii="宋体"/>
                <w:sz w:val="24"/>
              </w:rPr>
            </w:pPr>
          </w:p>
        </w:tc>
        <w:tc>
          <w:tcPr>
            <w:tcW w:w="8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626AC9">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4118AF">
            <w:pPr>
              <w:widowControl/>
              <w:jc w:val="center"/>
              <w:textAlignment w:val="center"/>
              <w:rPr>
                <w:rFonts w:ascii="宋体"/>
                <w:sz w:val="24"/>
              </w:rPr>
            </w:pPr>
            <w:r>
              <w:rPr>
                <w:rFonts w:hint="eastAsia" w:ascii="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75EDB6">
            <w:pPr>
              <w:widowControl/>
              <w:jc w:val="center"/>
              <w:textAlignment w:val="center"/>
              <w:rPr>
                <w:rFonts w:ascii="宋体"/>
                <w:sz w:val="24"/>
              </w:rPr>
            </w:pPr>
            <w:r>
              <w:rPr>
                <w:rFonts w:hint="eastAsia" w:ascii="宋体"/>
                <w:sz w:val="24"/>
              </w:rPr>
              <w:t>案件查办、以案释法教育、集中法制宣传、出动人次/检查家次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2C367D">
            <w:pPr>
              <w:widowControl/>
              <w:jc w:val="left"/>
              <w:textAlignment w:val="center"/>
              <w:rPr>
                <w:rFonts w:ascii="宋体"/>
                <w:sz w:val="24"/>
              </w:rPr>
            </w:pPr>
            <w:r>
              <w:rPr>
                <w:rFonts w:hint="eastAsia" w:ascii="宋体"/>
                <w:sz w:val="24"/>
              </w:rPr>
              <w:t>5万元。</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E93DB0">
            <w:pPr>
              <w:widowControl/>
              <w:jc w:val="center"/>
              <w:textAlignment w:val="center"/>
              <w:rPr>
                <w:rFonts w:ascii="宋体"/>
                <w:sz w:val="24"/>
              </w:rPr>
            </w:pPr>
            <w:r>
              <w:rPr>
                <w:rFonts w:hint="eastAsia" w:ascii="宋体"/>
                <w:sz w:val="24"/>
              </w:rPr>
              <w:t>案件查办、以案释法教育、集中法制宣传、出动人次/检查家次等共计</w:t>
            </w:r>
            <w:r>
              <w:rPr>
                <w:rFonts w:hint="eastAsia" w:ascii="宋体"/>
                <w:sz w:val="24"/>
                <w:lang w:val="en-US" w:eastAsia="zh-CN"/>
              </w:rPr>
              <w:t>5</w:t>
            </w:r>
            <w:r>
              <w:rPr>
                <w:rFonts w:hint="eastAsia" w:ascii="宋体"/>
                <w:sz w:val="24"/>
              </w:rPr>
              <w:t>万元。</w:t>
            </w:r>
          </w:p>
        </w:tc>
      </w:tr>
      <w:tr w14:paraId="2CAFE90D">
        <w:tblPrEx>
          <w:tblCellMar>
            <w:top w:w="0" w:type="dxa"/>
            <w:left w:w="0" w:type="dxa"/>
            <w:bottom w:w="0" w:type="dxa"/>
            <w:right w:w="0" w:type="dxa"/>
          </w:tblCellMar>
        </w:tblPrEx>
        <w:trPr>
          <w:trHeight w:val="1042" w:hRule="atLeast"/>
          <w:jc w:val="center"/>
        </w:trPr>
        <w:tc>
          <w:tcPr>
            <w:tcW w:w="86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260F7F4">
            <w:pPr>
              <w:widowControl/>
              <w:jc w:val="left"/>
              <w:rPr>
                <w:rFonts w:ascii="宋体"/>
                <w:sz w:val="24"/>
              </w:rPr>
            </w:pPr>
          </w:p>
        </w:tc>
        <w:tc>
          <w:tcPr>
            <w:tcW w:w="8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0BAE12">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92F9D2">
            <w:pPr>
              <w:widowControl/>
              <w:jc w:val="center"/>
              <w:textAlignment w:val="center"/>
              <w:rPr>
                <w:rFonts w:ascii="宋体"/>
                <w:sz w:val="24"/>
              </w:rPr>
            </w:pPr>
            <w:r>
              <w:rPr>
                <w:rFonts w:hint="eastAsia" w:ascii="宋体"/>
                <w:sz w:val="24"/>
              </w:rPr>
              <w:t>时间指标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C6889B">
            <w:pPr>
              <w:widowControl/>
              <w:jc w:val="center"/>
              <w:textAlignment w:val="center"/>
              <w:rPr>
                <w:rFonts w:ascii="宋体"/>
                <w:sz w:val="24"/>
              </w:rPr>
            </w:pPr>
            <w:r>
              <w:rPr>
                <w:rFonts w:hint="eastAsia" w:ascii="宋体"/>
                <w:sz w:val="24"/>
              </w:rPr>
              <w:t>20</w:t>
            </w:r>
            <w:r>
              <w:rPr>
                <w:rFonts w:hint="eastAsia" w:ascii="宋体"/>
                <w:sz w:val="24"/>
                <w:lang w:val="en-US" w:eastAsia="zh-CN"/>
              </w:rPr>
              <w:t>20</w:t>
            </w:r>
            <w:r>
              <w:rPr>
                <w:rFonts w:hint="eastAsia" w:ascii="宋体"/>
                <w:sz w:val="24"/>
              </w:rPr>
              <w:t>年12月31日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ADBC6C">
            <w:pPr>
              <w:widowControl/>
              <w:jc w:val="center"/>
              <w:textAlignment w:val="center"/>
              <w:rPr>
                <w:rFonts w:ascii="宋体"/>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972809">
            <w:pPr>
              <w:widowControl/>
              <w:jc w:val="center"/>
              <w:textAlignment w:val="center"/>
              <w:rPr>
                <w:rFonts w:ascii="宋体"/>
                <w:sz w:val="24"/>
              </w:rPr>
            </w:pPr>
            <w:r>
              <w:rPr>
                <w:rFonts w:hint="eastAsia" w:ascii="宋体"/>
                <w:sz w:val="24"/>
              </w:rPr>
              <w:t>20</w:t>
            </w:r>
            <w:r>
              <w:rPr>
                <w:rFonts w:hint="eastAsia" w:ascii="宋体"/>
                <w:sz w:val="24"/>
                <w:lang w:val="en-US" w:eastAsia="zh-CN"/>
              </w:rPr>
              <w:t>20</w:t>
            </w:r>
            <w:r>
              <w:rPr>
                <w:rFonts w:hint="eastAsia" w:ascii="宋体"/>
                <w:sz w:val="24"/>
              </w:rPr>
              <w:t>年12月31日</w:t>
            </w:r>
          </w:p>
        </w:tc>
      </w:tr>
      <w:tr w14:paraId="63CC0406">
        <w:tblPrEx>
          <w:tblCellMar>
            <w:top w:w="0" w:type="dxa"/>
            <w:left w:w="0" w:type="dxa"/>
            <w:bottom w:w="0" w:type="dxa"/>
            <w:right w:w="0" w:type="dxa"/>
          </w:tblCellMar>
        </w:tblPrEx>
        <w:trPr>
          <w:trHeight w:val="1042" w:hRule="atLeast"/>
          <w:jc w:val="center"/>
        </w:trPr>
        <w:tc>
          <w:tcPr>
            <w:tcW w:w="86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AF6BBC7">
            <w:pPr>
              <w:widowControl/>
              <w:jc w:val="left"/>
              <w:rPr>
                <w:rFonts w:ascii="宋体"/>
                <w:sz w:val="24"/>
              </w:rPr>
            </w:pPr>
          </w:p>
        </w:tc>
        <w:tc>
          <w:tcPr>
            <w:tcW w:w="8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F2405F">
            <w:pPr>
              <w:widowControl/>
              <w:jc w:val="center"/>
              <w:textAlignment w:val="center"/>
              <w:rPr>
                <w:rFonts w:ascii="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BE8232">
            <w:pPr>
              <w:widowControl/>
              <w:jc w:val="center"/>
              <w:textAlignment w:val="center"/>
              <w:rPr>
                <w:rFonts w:ascii="宋体"/>
                <w:sz w:val="24"/>
              </w:rPr>
            </w:pPr>
            <w:r>
              <w:rPr>
                <w:rFonts w:hint="eastAsia" w:ascii="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7B551E">
            <w:pPr>
              <w:widowControl/>
              <w:jc w:val="center"/>
              <w:textAlignment w:val="center"/>
              <w:rPr>
                <w:rFonts w:ascii="宋体"/>
                <w:sz w:val="24"/>
              </w:rPr>
            </w:pPr>
            <w:r>
              <w:rPr>
                <w:rFonts w:hint="eastAsia" w:ascii="宋体"/>
                <w:sz w:val="24"/>
              </w:rPr>
              <w:t>规范文化和旅游市场秩序，维护意识形态安全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F30526">
            <w:pPr>
              <w:widowControl/>
              <w:jc w:val="center"/>
              <w:textAlignment w:val="center"/>
              <w:rPr>
                <w:rFonts w:ascii="宋体"/>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E242A8">
            <w:pPr>
              <w:widowControl/>
              <w:jc w:val="center"/>
              <w:textAlignment w:val="center"/>
              <w:rPr>
                <w:rFonts w:ascii="宋体"/>
                <w:sz w:val="24"/>
              </w:rPr>
            </w:pPr>
            <w:r>
              <w:rPr>
                <w:rFonts w:hint="eastAsia" w:ascii="宋体"/>
                <w:sz w:val="24"/>
              </w:rPr>
              <w:t>规范文化和旅游市场秩序，维护意识形态安全</w:t>
            </w:r>
          </w:p>
        </w:tc>
      </w:tr>
      <w:tr w14:paraId="20505315">
        <w:tblPrEx>
          <w:tblCellMar>
            <w:top w:w="0" w:type="dxa"/>
            <w:left w:w="0" w:type="dxa"/>
            <w:bottom w:w="0" w:type="dxa"/>
            <w:right w:w="0" w:type="dxa"/>
          </w:tblCellMar>
        </w:tblPrEx>
        <w:trPr>
          <w:trHeight w:val="1050" w:hRule="atLeast"/>
          <w:jc w:val="center"/>
        </w:trPr>
        <w:tc>
          <w:tcPr>
            <w:tcW w:w="866"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D800A48">
            <w:pPr>
              <w:widowControl/>
              <w:jc w:val="left"/>
              <w:rPr>
                <w:rFonts w:ascii="宋体"/>
                <w:sz w:val="24"/>
              </w:rPr>
            </w:pPr>
          </w:p>
        </w:tc>
        <w:tc>
          <w:tcPr>
            <w:tcW w:w="89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98CD89">
            <w:pPr>
              <w:widowControl/>
              <w:jc w:val="center"/>
              <w:textAlignment w:val="center"/>
              <w:rPr>
                <w:rFonts w:ascii="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FD87EF">
            <w:pPr>
              <w:widowControl/>
              <w:jc w:val="center"/>
              <w:textAlignment w:val="center"/>
              <w:rPr>
                <w:rFonts w:ascii="宋体"/>
                <w:sz w:val="24"/>
              </w:rPr>
            </w:pPr>
            <w:r>
              <w:rPr>
                <w:rFonts w:hint="eastAsia" w:ascii="宋体" w:hAnsi="宋体" w:cs="宋体"/>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3D40C9">
            <w:pPr>
              <w:widowControl/>
              <w:jc w:val="center"/>
              <w:textAlignment w:val="center"/>
              <w:rPr>
                <w:rFonts w:ascii="宋体"/>
                <w:sz w:val="24"/>
              </w:rPr>
            </w:pPr>
            <w:r>
              <w:rPr>
                <w:rFonts w:hint="eastAsia" w:ascii="宋体"/>
                <w:sz w:val="24"/>
              </w:rPr>
              <w:t>群众、经营单位业主满意度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4F2485">
            <w:pPr>
              <w:widowControl/>
              <w:jc w:val="center"/>
              <w:textAlignment w:val="center"/>
              <w:rPr>
                <w:rFonts w:ascii="宋体"/>
                <w:sz w:val="24"/>
              </w:rPr>
            </w:pPr>
            <w:r>
              <w:rPr>
                <w:rFonts w:hint="eastAsia" w:ascii="宋体"/>
                <w:sz w:val="24"/>
              </w:rPr>
              <w:t>100%</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96B74E">
            <w:pPr>
              <w:widowControl/>
              <w:jc w:val="center"/>
              <w:textAlignment w:val="center"/>
              <w:rPr>
                <w:rFonts w:ascii="宋体"/>
                <w:sz w:val="24"/>
              </w:rPr>
            </w:pPr>
            <w:r>
              <w:rPr>
                <w:rFonts w:hint="eastAsia" w:ascii="宋体" w:hAnsi="宋体" w:cs="宋体"/>
                <w:kern w:val="0"/>
                <w:sz w:val="24"/>
              </w:rPr>
              <w:t>群众、经营单位业主满意度</w:t>
            </w:r>
            <w:r>
              <w:rPr>
                <w:rFonts w:hint="eastAsia" w:ascii="宋体"/>
                <w:sz w:val="24"/>
              </w:rPr>
              <w:t>≥</w:t>
            </w:r>
            <w:r>
              <w:rPr>
                <w:rFonts w:hint="eastAsia" w:ascii="宋体" w:hAnsi="宋体" w:cs="宋体"/>
                <w:kern w:val="0"/>
                <w:sz w:val="24"/>
              </w:rPr>
              <w:t>80</w:t>
            </w:r>
            <w:r>
              <w:rPr>
                <w:rFonts w:hint="eastAsia" w:ascii="宋体"/>
                <w:sz w:val="24"/>
              </w:rPr>
              <w:t>%</w:t>
            </w:r>
          </w:p>
        </w:tc>
      </w:tr>
    </w:tbl>
    <w:p w14:paraId="0AF1E8E7">
      <w:pPr>
        <w:pStyle w:val="2"/>
        <w:rPr>
          <w:rFonts w:ascii="仿宋_GB2312" w:hAnsi="仿宋_GB2312" w:eastAsia="仿宋_GB2312" w:cs="仿宋_GB2312"/>
          <w:sz w:val="32"/>
          <w:szCs w:val="32"/>
        </w:rPr>
      </w:pPr>
    </w:p>
    <w:tbl>
      <w:tblPr>
        <w:tblStyle w:val="15"/>
        <w:tblpPr w:leftFromText="180" w:rightFromText="180" w:vertAnchor="text" w:horzAnchor="page" w:tblpXSpec="center" w:tblpY="423"/>
        <w:tblOverlap w:val="never"/>
        <w:tblW w:w="10080" w:type="dxa"/>
        <w:jc w:val="center"/>
        <w:tblLayout w:type="fixed"/>
        <w:tblCellMar>
          <w:top w:w="0" w:type="dxa"/>
          <w:left w:w="0" w:type="dxa"/>
          <w:bottom w:w="0" w:type="dxa"/>
          <w:right w:w="0" w:type="dxa"/>
        </w:tblCellMar>
      </w:tblPr>
      <w:tblGrid>
        <w:gridCol w:w="866"/>
        <w:gridCol w:w="891"/>
        <w:gridCol w:w="1025"/>
        <w:gridCol w:w="2392"/>
        <w:gridCol w:w="2394"/>
        <w:gridCol w:w="2512"/>
      </w:tblGrid>
      <w:tr w14:paraId="6422A8D3">
        <w:tblPrEx>
          <w:tblCellMar>
            <w:top w:w="0" w:type="dxa"/>
            <w:left w:w="0" w:type="dxa"/>
            <w:bottom w:w="0" w:type="dxa"/>
            <w:right w:w="0" w:type="dxa"/>
          </w:tblCellMar>
        </w:tblPrEx>
        <w:trPr>
          <w:trHeight w:val="464"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953A35">
            <w:pPr>
              <w:widowControl/>
              <w:jc w:val="center"/>
              <w:textAlignment w:val="center"/>
              <w:rPr>
                <w:rFonts w:ascii="宋体"/>
                <w:sz w:val="24"/>
              </w:rPr>
            </w:pPr>
            <w:r>
              <w:rPr>
                <w:rFonts w:hint="eastAsia" w:ascii="宋体" w:hAnsi="宋体" w:cs="宋体"/>
                <w:kern w:val="0"/>
                <w:sz w:val="24"/>
              </w:rPr>
              <w:t>项目名称</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7C6238">
            <w:pPr>
              <w:widowControl/>
              <w:jc w:val="center"/>
              <w:textAlignment w:val="center"/>
              <w:rPr>
                <w:rFonts w:ascii="宋体"/>
                <w:sz w:val="24"/>
              </w:rPr>
            </w:pPr>
            <w:r>
              <w:rPr>
                <w:rFonts w:hint="eastAsia" w:ascii="仿宋_GB2312" w:hAnsi="仿宋_GB2312" w:eastAsia="仿宋_GB2312" w:cs="仿宋_GB2312"/>
                <w:sz w:val="32"/>
                <w:szCs w:val="32"/>
                <w:lang w:val="en-US" w:eastAsia="zh-CN"/>
              </w:rPr>
              <w:t>群众</w:t>
            </w:r>
            <w:r>
              <w:rPr>
                <w:rFonts w:hint="eastAsia" w:ascii="仿宋_GB2312" w:hAnsi="仿宋_GB2312" w:eastAsia="仿宋_GB2312" w:cs="仿宋_GB2312"/>
                <w:sz w:val="32"/>
                <w:szCs w:val="32"/>
              </w:rPr>
              <w:t>体育活动经费</w:t>
            </w:r>
          </w:p>
        </w:tc>
      </w:tr>
      <w:tr w14:paraId="4D68FE82">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63E941">
            <w:pPr>
              <w:widowControl/>
              <w:jc w:val="center"/>
              <w:textAlignment w:val="center"/>
              <w:rPr>
                <w:rFonts w:ascii="宋体"/>
                <w:sz w:val="24"/>
              </w:rPr>
            </w:pPr>
            <w:r>
              <w:rPr>
                <w:rFonts w:hint="eastAsia" w:ascii="宋体" w:hAnsi="宋体" w:cs="宋体"/>
                <w:kern w:val="0"/>
                <w:sz w:val="24"/>
              </w:rPr>
              <w:t>预算单位</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01AE73">
            <w:pPr>
              <w:widowControl/>
              <w:jc w:val="center"/>
              <w:textAlignment w:val="center"/>
              <w:rPr>
                <w:rFonts w:ascii="宋体"/>
                <w:sz w:val="24"/>
              </w:rPr>
            </w:pPr>
            <w:r>
              <w:rPr>
                <w:rFonts w:hint="eastAsia" w:ascii="宋体"/>
                <w:sz w:val="24"/>
              </w:rPr>
              <w:t>德阳市罗江区文化体育广播电视和旅游局</w:t>
            </w:r>
          </w:p>
        </w:tc>
      </w:tr>
      <w:tr w14:paraId="58939820">
        <w:tblPrEx>
          <w:tblCellMar>
            <w:top w:w="0" w:type="dxa"/>
            <w:left w:w="0" w:type="dxa"/>
            <w:bottom w:w="0" w:type="dxa"/>
            <w:right w:w="0" w:type="dxa"/>
          </w:tblCellMar>
        </w:tblPrEx>
        <w:trPr>
          <w:trHeight w:val="276"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AA84E0">
            <w:pPr>
              <w:widowControl/>
              <w:jc w:val="center"/>
              <w:textAlignment w:val="center"/>
              <w:rPr>
                <w:rFonts w:ascii="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468FD1">
            <w:pPr>
              <w:widowControl/>
              <w:jc w:val="center"/>
              <w:textAlignment w:val="center"/>
              <w:rPr>
                <w:rFonts w:ascii="宋体"/>
                <w:sz w:val="24"/>
              </w:rPr>
            </w:pPr>
            <w:r>
              <w:rPr>
                <w:rFonts w:hint="eastAsia" w:ascii="宋体" w:hAnsi="宋体" w:cs="宋体"/>
                <w:kern w:val="0"/>
                <w:sz w:val="24"/>
              </w:rPr>
              <w:t>预算数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654851">
            <w:pPr>
              <w:widowControl/>
              <w:jc w:val="center"/>
              <w:textAlignment w:val="center"/>
              <w:rPr>
                <w:rFonts w:ascii="宋体"/>
                <w:sz w:val="24"/>
              </w:rPr>
            </w:pPr>
            <w:r>
              <w:rPr>
                <w:rFonts w:hint="eastAsia" w:ascii="宋体"/>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513A8B">
            <w:pPr>
              <w:widowControl/>
              <w:jc w:val="center"/>
              <w:textAlignment w:val="center"/>
              <w:rPr>
                <w:rFonts w:ascii="宋体"/>
                <w:sz w:val="24"/>
              </w:rPr>
            </w:pPr>
            <w:r>
              <w:rPr>
                <w:rFonts w:hint="eastAsia" w:ascii="宋体" w:hAnsi="宋体" w:cs="宋体"/>
                <w:kern w:val="0"/>
                <w:sz w:val="24"/>
              </w:rPr>
              <w:t>执行数</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89FFF4">
            <w:pPr>
              <w:widowControl/>
              <w:jc w:val="center"/>
              <w:textAlignment w:val="center"/>
              <w:rPr>
                <w:rFonts w:ascii="宋体"/>
                <w:sz w:val="24"/>
              </w:rPr>
            </w:pPr>
            <w:r>
              <w:rPr>
                <w:rFonts w:hint="eastAsia" w:ascii="宋体"/>
                <w:sz w:val="24"/>
              </w:rPr>
              <w:t>5</w:t>
            </w:r>
          </w:p>
        </w:tc>
      </w:tr>
      <w:tr w14:paraId="62CBD896">
        <w:tblPrEx>
          <w:tblCellMar>
            <w:top w:w="0" w:type="dxa"/>
            <w:left w:w="0" w:type="dxa"/>
            <w:bottom w:w="0" w:type="dxa"/>
            <w:right w:w="0" w:type="dxa"/>
          </w:tblCellMar>
        </w:tblPrEx>
        <w:trPr>
          <w:trHeight w:val="276"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6ABB322A">
            <w:pPr>
              <w:widowControl/>
              <w:jc w:val="left"/>
              <w:rPr>
                <w:rFonts w:ascii="宋体"/>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67C53E">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F7CE18">
            <w:pPr>
              <w:widowControl/>
              <w:jc w:val="center"/>
              <w:textAlignment w:val="center"/>
              <w:rPr>
                <w:rFonts w:ascii="宋体"/>
                <w:sz w:val="24"/>
              </w:rPr>
            </w:pPr>
            <w:r>
              <w:rPr>
                <w:rFonts w:hint="eastAsia" w:ascii="宋体"/>
                <w:sz w:val="24"/>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7D0103">
            <w:pPr>
              <w:widowControl/>
              <w:jc w:val="center"/>
              <w:textAlignment w:val="center"/>
              <w:rPr>
                <w:rFonts w:ascii="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3EA0BF">
            <w:pPr>
              <w:widowControl/>
              <w:jc w:val="center"/>
              <w:textAlignment w:val="center"/>
              <w:rPr>
                <w:rFonts w:ascii="宋体"/>
                <w:sz w:val="24"/>
              </w:rPr>
            </w:pPr>
            <w:r>
              <w:rPr>
                <w:rFonts w:hint="eastAsia" w:ascii="宋体"/>
                <w:sz w:val="24"/>
              </w:rPr>
              <w:t>5</w:t>
            </w:r>
          </w:p>
        </w:tc>
      </w:tr>
      <w:tr w14:paraId="141C96AD">
        <w:tblPrEx>
          <w:tblCellMar>
            <w:top w:w="0" w:type="dxa"/>
            <w:left w:w="0" w:type="dxa"/>
            <w:bottom w:w="0" w:type="dxa"/>
            <w:right w:w="0" w:type="dxa"/>
          </w:tblCellMar>
        </w:tblPrEx>
        <w:trPr>
          <w:trHeight w:val="849"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48B63BC3">
            <w:pPr>
              <w:widowControl/>
              <w:jc w:val="left"/>
              <w:rPr>
                <w:rFonts w:ascii="宋体"/>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B4951F">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4A0BB3">
            <w:pPr>
              <w:widowControl/>
              <w:jc w:val="center"/>
              <w:textAlignment w:val="center"/>
              <w:rPr>
                <w:rFonts w:ascii="宋体"/>
                <w:sz w:val="24"/>
              </w:rPr>
            </w:pPr>
            <w:r>
              <w:rPr>
                <w:rFonts w:asci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866C73">
            <w:pPr>
              <w:widowControl/>
              <w:jc w:val="center"/>
              <w:textAlignment w:val="center"/>
              <w:rPr>
                <w:rFonts w:ascii="宋体"/>
                <w:sz w:val="24"/>
              </w:rPr>
            </w:pPr>
            <w:r>
              <w:rPr>
                <w:rFonts w:hint="eastAsia" w:ascii="宋体" w:hAnsi="宋体" w:cs="宋体"/>
                <w:kern w:val="0"/>
                <w:sz w:val="24"/>
              </w:rPr>
              <w:t>其它资金</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EC3590">
            <w:pPr>
              <w:jc w:val="center"/>
              <w:rPr>
                <w:rFonts w:ascii="宋体"/>
                <w:sz w:val="24"/>
              </w:rPr>
            </w:pPr>
            <w:r>
              <w:rPr>
                <w:rFonts w:hint="eastAsia" w:ascii="宋体"/>
                <w:sz w:val="24"/>
              </w:rPr>
              <w:t>0</w:t>
            </w:r>
          </w:p>
        </w:tc>
      </w:tr>
      <w:tr w14:paraId="7272C6DB">
        <w:tblPrEx>
          <w:tblCellMar>
            <w:top w:w="0" w:type="dxa"/>
            <w:left w:w="0" w:type="dxa"/>
            <w:bottom w:w="0" w:type="dxa"/>
            <w:right w:w="0" w:type="dxa"/>
          </w:tblCellMar>
        </w:tblPrEx>
        <w:trPr>
          <w:trHeight w:val="276"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428B9D">
            <w:pPr>
              <w:widowControl/>
              <w:jc w:val="center"/>
              <w:textAlignment w:val="center"/>
              <w:rPr>
                <w:rFonts w:ascii="宋体"/>
                <w:sz w:val="24"/>
              </w:rPr>
            </w:pPr>
            <w:r>
              <w:rPr>
                <w:rFonts w:hint="eastAsia" w:ascii="宋体" w:hAnsi="宋体" w:cs="宋体"/>
                <w:kern w:val="0"/>
                <w:sz w:val="24"/>
              </w:rPr>
              <w:t>年度目标完成情况</w:t>
            </w:r>
          </w:p>
        </w:tc>
        <w:tc>
          <w:tcPr>
            <w:tcW w:w="430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3FD118">
            <w:pPr>
              <w:widowControl/>
              <w:jc w:val="center"/>
              <w:textAlignment w:val="center"/>
              <w:rPr>
                <w:rFonts w:ascii="宋体"/>
                <w:sz w:val="24"/>
              </w:rPr>
            </w:pPr>
            <w:r>
              <w:rPr>
                <w:rFonts w:hint="eastAsia" w:ascii="宋体" w:hAnsi="宋体" w:cs="宋体"/>
                <w:kern w:val="0"/>
                <w:sz w:val="24"/>
              </w:rPr>
              <w:t>预期目标</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113D37">
            <w:pPr>
              <w:widowControl/>
              <w:jc w:val="center"/>
              <w:textAlignment w:val="center"/>
              <w:rPr>
                <w:rFonts w:ascii="宋体"/>
                <w:sz w:val="24"/>
              </w:rPr>
            </w:pPr>
            <w:r>
              <w:rPr>
                <w:rFonts w:hint="eastAsia" w:ascii="宋体" w:hAnsi="宋体" w:cs="宋体"/>
                <w:kern w:val="0"/>
                <w:sz w:val="24"/>
              </w:rPr>
              <w:t>实际完成目标</w:t>
            </w:r>
          </w:p>
        </w:tc>
      </w:tr>
      <w:tr w14:paraId="41240DFE">
        <w:tblPrEx>
          <w:tblCellMar>
            <w:top w:w="0" w:type="dxa"/>
            <w:left w:w="0" w:type="dxa"/>
            <w:bottom w:w="0" w:type="dxa"/>
            <w:right w:w="0" w:type="dxa"/>
          </w:tblCellMar>
        </w:tblPrEx>
        <w:trPr>
          <w:trHeight w:val="1159"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65EB1803">
            <w:pPr>
              <w:widowControl/>
              <w:jc w:val="left"/>
              <w:rPr>
                <w:rFonts w:ascii="宋体"/>
                <w:sz w:val="24"/>
              </w:rPr>
            </w:pPr>
          </w:p>
        </w:tc>
        <w:tc>
          <w:tcPr>
            <w:tcW w:w="430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19B21E">
            <w:pPr>
              <w:widowControl/>
              <w:jc w:val="left"/>
              <w:textAlignment w:val="center"/>
              <w:rPr>
                <w:rFonts w:ascii="宋体"/>
                <w:sz w:val="24"/>
              </w:rPr>
            </w:pPr>
            <w:r>
              <w:rPr>
                <w:rFonts w:hint="eastAsia" w:ascii="仿宋_GB2312" w:hAnsi="仿宋_GB2312" w:cs="仿宋_GB2312"/>
                <w:szCs w:val="32"/>
              </w:rPr>
              <w:t>开展社会体育指导员培训2期；举办罗江区职工篮球比赛</w:t>
            </w:r>
            <w:r>
              <w:rPr>
                <w:rFonts w:hint="eastAsia" w:ascii="仿宋_GB2312" w:hAnsi="仿宋_GB2312" w:cs="仿宋_GB2312"/>
                <w:szCs w:val="32"/>
                <w:lang w:val="en-US" w:eastAsia="zh-CN"/>
              </w:rPr>
              <w:t>1</w:t>
            </w:r>
            <w:r>
              <w:rPr>
                <w:rFonts w:hint="eastAsia" w:ascii="仿宋_GB2312" w:hAnsi="仿宋_GB2312" w:cs="仿宋_GB2312"/>
                <w:szCs w:val="32"/>
              </w:rPr>
              <w:t>次；开展全民健身活动2次。</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7507C4">
            <w:pPr>
              <w:widowControl/>
              <w:jc w:val="left"/>
              <w:textAlignment w:val="center"/>
              <w:rPr>
                <w:rFonts w:ascii="宋体"/>
                <w:sz w:val="24"/>
              </w:rPr>
            </w:pPr>
            <w:r>
              <w:rPr>
                <w:rFonts w:hint="eastAsia" w:ascii="仿宋_GB2312" w:hAnsi="仿宋_GB2312" w:cs="仿宋_GB2312"/>
                <w:szCs w:val="32"/>
              </w:rPr>
              <w:t>开展社会体育指导员培训2期；举办罗江区职工篮球比赛</w:t>
            </w:r>
            <w:r>
              <w:rPr>
                <w:rFonts w:hint="eastAsia" w:ascii="仿宋_GB2312" w:hAnsi="仿宋_GB2312" w:cs="仿宋_GB2312"/>
                <w:szCs w:val="32"/>
                <w:lang w:val="en-US" w:eastAsia="zh-CN"/>
              </w:rPr>
              <w:t>1</w:t>
            </w:r>
            <w:r>
              <w:rPr>
                <w:rFonts w:hint="eastAsia" w:ascii="仿宋_GB2312" w:hAnsi="仿宋_GB2312" w:cs="仿宋_GB2312"/>
                <w:szCs w:val="32"/>
              </w:rPr>
              <w:t>次；开展全民健身活动2次。</w:t>
            </w:r>
          </w:p>
        </w:tc>
      </w:tr>
      <w:tr w14:paraId="58F4328C">
        <w:tblPrEx>
          <w:tblCellMar>
            <w:top w:w="0" w:type="dxa"/>
            <w:left w:w="0" w:type="dxa"/>
            <w:bottom w:w="0" w:type="dxa"/>
            <w:right w:w="0" w:type="dxa"/>
          </w:tblCellMar>
        </w:tblPrEx>
        <w:trPr>
          <w:trHeight w:val="1818"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7EB827">
            <w:pPr>
              <w:widowControl/>
              <w:jc w:val="center"/>
              <w:textAlignment w:val="center"/>
              <w:rPr>
                <w:rFonts w:ascii="宋体"/>
                <w:sz w:val="24"/>
              </w:rPr>
            </w:pPr>
            <w:r>
              <w:rPr>
                <w:rFonts w:hint="eastAsia" w:ascii="宋体" w:hAnsi="宋体" w:cs="宋体"/>
                <w:sz w:val="24"/>
              </w:rPr>
              <w:t>绩效指标完成情况</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330226">
            <w:pPr>
              <w:widowControl/>
              <w:jc w:val="center"/>
              <w:textAlignment w:val="center"/>
              <w:rPr>
                <w:rFonts w:ascii="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98E47A">
            <w:pPr>
              <w:widowControl/>
              <w:jc w:val="center"/>
              <w:textAlignment w:val="center"/>
              <w:rPr>
                <w:rFonts w:ascii="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82FCF0">
            <w:pPr>
              <w:widowControl/>
              <w:jc w:val="center"/>
              <w:textAlignment w:val="center"/>
              <w:rPr>
                <w:rFonts w:ascii="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BCBC41">
            <w:pPr>
              <w:widowControl/>
              <w:jc w:val="center"/>
              <w:textAlignment w:val="center"/>
              <w:rPr>
                <w:rFonts w:ascii="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2F3991">
            <w:pPr>
              <w:widowControl/>
              <w:jc w:val="center"/>
              <w:textAlignment w:val="center"/>
              <w:rPr>
                <w:rFonts w:ascii="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14:paraId="54BC74C2">
        <w:tblPrEx>
          <w:tblCellMar>
            <w:top w:w="0" w:type="dxa"/>
            <w:left w:w="0" w:type="dxa"/>
            <w:bottom w:w="0" w:type="dxa"/>
            <w:right w:w="0" w:type="dxa"/>
          </w:tblCellMar>
        </w:tblPrEx>
        <w:trPr>
          <w:trHeight w:val="1390"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623EB3CA">
            <w:pPr>
              <w:widowControl/>
              <w:jc w:val="left"/>
              <w:rPr>
                <w:rFonts w:ascii="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28DFBE">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ECD345">
            <w:pPr>
              <w:widowControl/>
              <w:jc w:val="center"/>
              <w:textAlignment w:val="center"/>
              <w:rPr>
                <w:rFonts w:ascii="宋体"/>
                <w:sz w:val="24"/>
              </w:rPr>
            </w:pPr>
            <w:r>
              <w:rPr>
                <w:rFonts w:hint="eastAsia" w:ascii="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97556E">
            <w:pPr>
              <w:widowControl/>
              <w:jc w:val="center"/>
              <w:textAlignment w:val="center"/>
              <w:rPr>
                <w:rFonts w:ascii="宋体"/>
                <w:sz w:val="24"/>
              </w:rPr>
            </w:pPr>
            <w:r>
              <w:rPr>
                <w:rFonts w:hint="eastAsia" w:ascii="仿宋_GB2312" w:hAnsi="仿宋_GB2312" w:cs="仿宋_GB2312"/>
                <w:szCs w:val="32"/>
              </w:rPr>
              <w:t>开展社会体育指导员培训；举办罗江区职工篮球比赛；开展全民健身活动</w:t>
            </w:r>
            <w:r>
              <w:rPr>
                <w:rFonts w:hint="eastAsia" w:ascii="宋体"/>
                <w:sz w:val="24"/>
              </w:rPr>
              <w:t>。</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7668D2">
            <w:pPr>
              <w:widowControl/>
              <w:jc w:val="center"/>
              <w:textAlignment w:val="center"/>
              <w:rPr>
                <w:rFonts w:ascii="宋体"/>
                <w:sz w:val="24"/>
              </w:rPr>
            </w:pPr>
            <w:r>
              <w:rPr>
                <w:rFonts w:hint="eastAsia" w:ascii="宋体"/>
                <w:sz w:val="24"/>
              </w:rPr>
              <w:t>两期</w:t>
            </w:r>
            <w:r>
              <w:rPr>
                <w:rFonts w:hint="eastAsia" w:ascii="宋体"/>
                <w:sz w:val="24"/>
                <w:lang w:eastAsia="zh-CN"/>
              </w:rPr>
              <w:t>，</w:t>
            </w:r>
            <w:r>
              <w:rPr>
                <w:rFonts w:hint="eastAsia" w:ascii="宋体"/>
                <w:sz w:val="24"/>
                <w:lang w:val="en-US" w:eastAsia="zh-CN"/>
              </w:rPr>
              <w:t>1次</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8BA043">
            <w:pPr>
              <w:widowControl/>
              <w:jc w:val="center"/>
              <w:textAlignment w:val="center"/>
              <w:rPr>
                <w:rFonts w:ascii="宋体"/>
                <w:sz w:val="24"/>
              </w:rPr>
            </w:pPr>
            <w:r>
              <w:rPr>
                <w:rFonts w:hint="eastAsia" w:ascii="仿宋_GB2312" w:hAnsi="仿宋_GB2312" w:cs="仿宋_GB2312"/>
                <w:szCs w:val="32"/>
              </w:rPr>
              <w:t>开展社会体育指导员培训2期；举办罗江区职工篮球比赛</w:t>
            </w:r>
            <w:r>
              <w:rPr>
                <w:rFonts w:hint="eastAsia" w:ascii="仿宋_GB2312" w:hAnsi="仿宋_GB2312" w:cs="仿宋_GB2312"/>
                <w:szCs w:val="32"/>
                <w:lang w:val="en-US" w:eastAsia="zh-CN"/>
              </w:rPr>
              <w:t>1</w:t>
            </w:r>
            <w:r>
              <w:rPr>
                <w:rFonts w:hint="eastAsia" w:ascii="仿宋_GB2312" w:hAnsi="仿宋_GB2312" w:cs="仿宋_GB2312"/>
                <w:szCs w:val="32"/>
              </w:rPr>
              <w:t>次；开展全民健身活动2次。</w:t>
            </w:r>
          </w:p>
        </w:tc>
      </w:tr>
      <w:tr w14:paraId="271D13E9">
        <w:tblPrEx>
          <w:tblCellMar>
            <w:top w:w="0" w:type="dxa"/>
            <w:left w:w="0" w:type="dxa"/>
            <w:bottom w:w="0" w:type="dxa"/>
            <w:right w:w="0" w:type="dxa"/>
          </w:tblCellMar>
        </w:tblPrEx>
        <w:trPr>
          <w:trHeight w:val="1297"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62B35FA6">
            <w:pPr>
              <w:widowControl/>
              <w:jc w:val="left"/>
              <w:rPr>
                <w:rFonts w:ascii="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89BE2D">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6E22CD">
            <w:pPr>
              <w:widowControl/>
              <w:jc w:val="center"/>
              <w:textAlignment w:val="center"/>
              <w:rPr>
                <w:rFonts w:ascii="宋体"/>
                <w:sz w:val="24"/>
              </w:rPr>
            </w:pPr>
            <w:r>
              <w:rPr>
                <w:rFonts w:hint="eastAsia" w:ascii="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326132">
            <w:pPr>
              <w:widowControl/>
              <w:jc w:val="center"/>
              <w:textAlignment w:val="center"/>
              <w:rPr>
                <w:rFonts w:ascii="宋体"/>
                <w:sz w:val="24"/>
              </w:rPr>
            </w:pPr>
            <w:r>
              <w:rPr>
                <w:rFonts w:hint="eastAsia" w:ascii="仿宋_GB2312" w:hAnsi="仿宋_GB2312" w:cs="仿宋_GB2312"/>
                <w:szCs w:val="32"/>
              </w:rPr>
              <w:t>开展社会体育指导员培训2期；举办罗江区职工篮球比赛</w:t>
            </w:r>
            <w:r>
              <w:rPr>
                <w:rFonts w:hint="eastAsia" w:ascii="仿宋_GB2312" w:hAnsi="仿宋_GB2312" w:cs="仿宋_GB2312"/>
                <w:szCs w:val="32"/>
                <w:lang w:val="en-US" w:eastAsia="zh-CN"/>
              </w:rPr>
              <w:t>1</w:t>
            </w:r>
            <w:r>
              <w:rPr>
                <w:rFonts w:hint="eastAsia" w:ascii="仿宋_GB2312" w:hAnsi="仿宋_GB2312" w:cs="仿宋_GB2312"/>
                <w:szCs w:val="32"/>
              </w:rPr>
              <w:t>次；开展全民健身活动2次。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BE8521">
            <w:pPr>
              <w:widowControl/>
              <w:jc w:val="left"/>
              <w:textAlignment w:val="center"/>
              <w:rPr>
                <w:rFonts w:ascii="宋体"/>
                <w:sz w:val="24"/>
              </w:rPr>
            </w:pPr>
            <w:r>
              <w:rPr>
                <w:rFonts w:hint="eastAsia" w:ascii="宋体"/>
                <w:sz w:val="24"/>
              </w:rPr>
              <w:t>5万元</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84F646">
            <w:pPr>
              <w:widowControl/>
              <w:jc w:val="center"/>
              <w:textAlignment w:val="center"/>
              <w:rPr>
                <w:rFonts w:ascii="宋体"/>
                <w:sz w:val="24"/>
              </w:rPr>
            </w:pPr>
            <w:r>
              <w:rPr>
                <w:rFonts w:hint="eastAsia" w:ascii="仿宋_GB2312" w:hAnsi="仿宋_GB2312" w:cs="仿宋_GB2312"/>
                <w:szCs w:val="32"/>
              </w:rPr>
              <w:t>开展社会体育指导员培训2期；举办罗江区职工篮球比赛</w:t>
            </w:r>
            <w:r>
              <w:rPr>
                <w:rFonts w:hint="eastAsia" w:ascii="仿宋_GB2312" w:hAnsi="仿宋_GB2312" w:cs="仿宋_GB2312"/>
                <w:szCs w:val="32"/>
                <w:lang w:val="en-US" w:eastAsia="zh-CN"/>
              </w:rPr>
              <w:t>1</w:t>
            </w:r>
            <w:r>
              <w:rPr>
                <w:rFonts w:hint="eastAsia" w:ascii="仿宋_GB2312" w:hAnsi="仿宋_GB2312" w:cs="仿宋_GB2312"/>
                <w:szCs w:val="32"/>
              </w:rPr>
              <w:t>次；开展全民健身活动2次</w:t>
            </w:r>
            <w:r>
              <w:rPr>
                <w:rFonts w:hint="eastAsia" w:ascii="仿宋_GB2312" w:hAnsi="仿宋_GB2312" w:cs="仿宋_GB2312"/>
                <w:szCs w:val="32"/>
                <w:lang w:eastAsia="zh-CN"/>
              </w:rPr>
              <w:t>，</w:t>
            </w:r>
            <w:r>
              <w:rPr>
                <w:rFonts w:hint="eastAsia" w:ascii="仿宋_GB2312" w:hAnsi="仿宋_GB2312" w:cs="仿宋_GB2312"/>
                <w:szCs w:val="32"/>
                <w:lang w:val="en-US" w:eastAsia="zh-CN"/>
              </w:rPr>
              <w:t>共需5万元。</w:t>
            </w:r>
          </w:p>
        </w:tc>
      </w:tr>
      <w:tr w14:paraId="061BF856">
        <w:tblPrEx>
          <w:tblCellMar>
            <w:top w:w="0" w:type="dxa"/>
            <w:left w:w="0" w:type="dxa"/>
            <w:bottom w:w="0" w:type="dxa"/>
            <w:right w:w="0" w:type="dxa"/>
          </w:tblCellMar>
        </w:tblPrEx>
        <w:trPr>
          <w:trHeight w:val="1042"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3C5EE62E">
            <w:pPr>
              <w:widowControl/>
              <w:jc w:val="left"/>
              <w:rPr>
                <w:rFonts w:ascii="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96353C">
            <w:pPr>
              <w:widowControl/>
              <w:jc w:val="center"/>
              <w:textAlignment w:val="center"/>
              <w:rPr>
                <w:rFonts w:ascii="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7EA768">
            <w:pPr>
              <w:widowControl/>
              <w:jc w:val="center"/>
              <w:textAlignment w:val="center"/>
              <w:rPr>
                <w:rFonts w:ascii="宋体"/>
                <w:sz w:val="24"/>
              </w:rPr>
            </w:pPr>
            <w:r>
              <w:rPr>
                <w:rFonts w:hint="eastAsia" w:ascii="宋体"/>
                <w:sz w:val="24"/>
              </w:rPr>
              <w:t>时间指标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484B1D">
            <w:pPr>
              <w:widowControl/>
              <w:jc w:val="center"/>
              <w:textAlignment w:val="center"/>
              <w:rPr>
                <w:rFonts w:ascii="宋体"/>
                <w:sz w:val="24"/>
              </w:rPr>
            </w:pPr>
            <w:r>
              <w:rPr>
                <w:rFonts w:hint="eastAsia" w:ascii="宋体"/>
                <w:sz w:val="24"/>
              </w:rPr>
              <w:t>20</w:t>
            </w:r>
            <w:r>
              <w:rPr>
                <w:rFonts w:hint="eastAsia" w:ascii="宋体"/>
                <w:sz w:val="24"/>
                <w:lang w:val="en-US" w:eastAsia="zh-CN"/>
              </w:rPr>
              <w:t>20</w:t>
            </w:r>
            <w:r>
              <w:rPr>
                <w:rFonts w:hint="eastAsia" w:ascii="宋体"/>
                <w:sz w:val="24"/>
              </w:rPr>
              <w:t>年12月31日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EAAA71">
            <w:pPr>
              <w:widowControl/>
              <w:jc w:val="center"/>
              <w:textAlignment w:val="center"/>
              <w:rPr>
                <w:rFonts w:ascii="宋体"/>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78131E">
            <w:pPr>
              <w:widowControl/>
              <w:jc w:val="center"/>
              <w:textAlignment w:val="center"/>
              <w:rPr>
                <w:rFonts w:ascii="宋体"/>
                <w:sz w:val="24"/>
              </w:rPr>
            </w:pPr>
            <w:r>
              <w:rPr>
                <w:rFonts w:hint="eastAsia" w:ascii="宋体"/>
                <w:sz w:val="24"/>
              </w:rPr>
              <w:t>20</w:t>
            </w:r>
            <w:r>
              <w:rPr>
                <w:rFonts w:hint="eastAsia" w:ascii="宋体"/>
                <w:sz w:val="24"/>
                <w:lang w:val="en-US" w:eastAsia="zh-CN"/>
              </w:rPr>
              <w:t>20</w:t>
            </w:r>
            <w:r>
              <w:rPr>
                <w:rFonts w:hint="eastAsia" w:ascii="宋体"/>
                <w:sz w:val="24"/>
              </w:rPr>
              <w:t>年12月31日</w:t>
            </w:r>
          </w:p>
        </w:tc>
      </w:tr>
      <w:tr w14:paraId="57C88AEC">
        <w:tblPrEx>
          <w:tblCellMar>
            <w:top w:w="0" w:type="dxa"/>
            <w:left w:w="0" w:type="dxa"/>
            <w:bottom w:w="0" w:type="dxa"/>
            <w:right w:w="0" w:type="dxa"/>
          </w:tblCellMar>
        </w:tblPrEx>
        <w:trPr>
          <w:trHeight w:val="1042"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5FBB46EB">
            <w:pPr>
              <w:widowControl/>
              <w:jc w:val="left"/>
              <w:rPr>
                <w:rFonts w:ascii="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2AD408">
            <w:pPr>
              <w:widowControl/>
              <w:jc w:val="center"/>
              <w:textAlignment w:val="center"/>
              <w:rPr>
                <w:rFonts w:ascii="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C842C3">
            <w:pPr>
              <w:widowControl/>
              <w:jc w:val="center"/>
              <w:textAlignment w:val="center"/>
              <w:rPr>
                <w:rFonts w:ascii="宋体"/>
                <w:sz w:val="24"/>
              </w:rPr>
            </w:pPr>
            <w:r>
              <w:rPr>
                <w:rFonts w:hint="eastAsia" w:ascii="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24AB61">
            <w:pPr>
              <w:widowControl/>
              <w:jc w:val="center"/>
              <w:textAlignment w:val="center"/>
              <w:rPr>
                <w:rFonts w:ascii="宋体"/>
                <w:sz w:val="24"/>
              </w:rPr>
            </w:pPr>
            <w:r>
              <w:rPr>
                <w:rFonts w:hint="eastAsia" w:ascii="宋体"/>
                <w:sz w:val="24"/>
              </w:rPr>
              <w:t>为健身爱好者提供了更多的健身方法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EAEBCA">
            <w:pPr>
              <w:widowControl/>
              <w:jc w:val="center"/>
              <w:textAlignment w:val="center"/>
              <w:rPr>
                <w:rFonts w:ascii="宋体"/>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4EAD82">
            <w:pPr>
              <w:widowControl/>
              <w:jc w:val="center"/>
              <w:textAlignment w:val="center"/>
              <w:rPr>
                <w:rFonts w:ascii="宋体"/>
                <w:sz w:val="24"/>
              </w:rPr>
            </w:pPr>
            <w:r>
              <w:rPr>
                <w:rFonts w:hint="eastAsia" w:ascii="宋体"/>
                <w:sz w:val="24"/>
              </w:rPr>
              <w:t>为健身爱好者提供了更多的健身方法</w:t>
            </w:r>
          </w:p>
        </w:tc>
      </w:tr>
      <w:tr w14:paraId="37444A5B">
        <w:tblPrEx>
          <w:tblCellMar>
            <w:top w:w="0" w:type="dxa"/>
            <w:left w:w="0" w:type="dxa"/>
            <w:bottom w:w="0" w:type="dxa"/>
            <w:right w:w="0" w:type="dxa"/>
          </w:tblCellMar>
        </w:tblPrEx>
        <w:trPr>
          <w:trHeight w:val="1050"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14:paraId="5B951E3D">
            <w:pPr>
              <w:widowControl/>
              <w:jc w:val="left"/>
              <w:rPr>
                <w:rFonts w:ascii="宋体"/>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CBB9CE">
            <w:pPr>
              <w:widowControl/>
              <w:jc w:val="center"/>
              <w:textAlignment w:val="center"/>
              <w:rPr>
                <w:rFonts w:ascii="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3C180A">
            <w:pPr>
              <w:widowControl/>
              <w:jc w:val="center"/>
              <w:textAlignment w:val="center"/>
              <w:rPr>
                <w:rFonts w:ascii="宋体"/>
                <w:sz w:val="24"/>
              </w:rPr>
            </w:pPr>
            <w:r>
              <w:rPr>
                <w:rFonts w:hint="eastAsia" w:ascii="宋体" w:hAnsi="宋体" w:cs="宋体"/>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38383A">
            <w:pPr>
              <w:widowControl/>
              <w:jc w:val="center"/>
              <w:textAlignment w:val="center"/>
              <w:rPr>
                <w:rFonts w:ascii="宋体"/>
                <w:sz w:val="24"/>
              </w:rPr>
            </w:pPr>
            <w:r>
              <w:rPr>
                <w:rFonts w:hint="eastAsia" w:ascii="宋体"/>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64A37F">
            <w:pPr>
              <w:widowControl/>
              <w:jc w:val="center"/>
              <w:textAlignment w:val="center"/>
              <w:rPr>
                <w:rFonts w:ascii="宋体"/>
                <w:sz w:val="24"/>
              </w:rPr>
            </w:pPr>
            <w:r>
              <w:rPr>
                <w:rFonts w:hint="eastAsia" w:ascii="宋体"/>
                <w:sz w:val="24"/>
              </w:rPr>
              <w:t>100%</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63F916">
            <w:pPr>
              <w:widowControl/>
              <w:jc w:val="center"/>
              <w:textAlignment w:val="center"/>
              <w:rPr>
                <w:rFonts w:ascii="宋体"/>
                <w:sz w:val="24"/>
              </w:rPr>
            </w:pPr>
            <w:r>
              <w:rPr>
                <w:rFonts w:hint="eastAsia" w:ascii="宋体" w:hAnsi="宋体" w:cs="宋体"/>
                <w:kern w:val="0"/>
                <w:sz w:val="24"/>
              </w:rPr>
              <w:t>群众满意度</w:t>
            </w:r>
            <w:r>
              <w:rPr>
                <w:rFonts w:hint="eastAsia" w:ascii="宋体"/>
                <w:sz w:val="24"/>
              </w:rPr>
              <w:t>≥9</w:t>
            </w:r>
            <w:r>
              <w:rPr>
                <w:rFonts w:hint="eastAsia" w:ascii="宋体" w:hAnsi="宋体" w:cs="宋体"/>
                <w:kern w:val="0"/>
                <w:sz w:val="24"/>
              </w:rPr>
              <w:t>0</w:t>
            </w:r>
            <w:r>
              <w:rPr>
                <w:rFonts w:hint="eastAsia" w:ascii="宋体"/>
                <w:sz w:val="24"/>
              </w:rPr>
              <w:t>%</w:t>
            </w:r>
          </w:p>
        </w:tc>
      </w:tr>
    </w:tbl>
    <w:p w14:paraId="28658E6D">
      <w:pPr>
        <w:spacing w:line="580" w:lineRule="exact"/>
        <w:rPr>
          <w:rFonts w:ascii="仿宋_GB2312" w:hAnsi="仿宋_GB2312" w:eastAsia="仿宋_GB2312" w:cs="仿宋_GB2312"/>
          <w:sz w:val="32"/>
          <w:szCs w:val="32"/>
        </w:rPr>
      </w:pPr>
    </w:p>
    <w:p w14:paraId="7DDF94C1">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14:paraId="268789D6">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val="en-US" w:eastAsia="zh-CN"/>
        </w:rPr>
        <w:t>德阳市罗江区文化体育广播电视和旅游局</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14:paraId="4D6634A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val="en-US" w:eastAsia="zh-CN"/>
        </w:rPr>
        <w:t>水上项目训练</w:t>
      </w:r>
      <w:r>
        <w:rPr>
          <w:rFonts w:hint="eastAsia" w:ascii="仿宋_GB2312" w:hAnsi="仿宋_GB2312" w:eastAsia="仿宋_GB2312" w:cs="仿宋_GB2312"/>
          <w:sz w:val="32"/>
          <w:szCs w:val="32"/>
        </w:rPr>
        <w:t>经费”项目，“</w:t>
      </w:r>
      <w:r>
        <w:rPr>
          <w:rFonts w:hint="eastAsia" w:ascii="仿宋_GB2312" w:hAnsi="仿宋_GB2312" w:eastAsia="仿宋_GB2312" w:cs="仿宋_GB2312"/>
          <w:sz w:val="32"/>
          <w:szCs w:val="32"/>
          <w:lang w:val="en-US" w:eastAsia="zh-CN"/>
        </w:rPr>
        <w:t>水上项目训练</w:t>
      </w:r>
      <w:r>
        <w:rPr>
          <w:rFonts w:hint="eastAsia" w:ascii="仿宋_GB2312" w:hAnsi="仿宋_GB2312" w:eastAsia="仿宋_GB2312" w:cs="仿宋_GB2312"/>
          <w:sz w:val="32"/>
          <w:szCs w:val="32"/>
        </w:rPr>
        <w:t>经费”项目开展了绩效评价，《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水上项目训练</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年绩效评价报告》见附件。</w:t>
      </w:r>
    </w:p>
    <w:p w14:paraId="16E19B6D">
      <w:pPr>
        <w:pStyle w:val="2"/>
      </w:pPr>
    </w:p>
    <w:p w14:paraId="4E978DB7">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00C9CAD9">
      <w:pPr>
        <w:numPr>
          <w:ilvl w:val="0"/>
          <w:numId w:val="6"/>
        </w:numPr>
        <w:spacing w:line="600" w:lineRule="exact"/>
        <w:ind w:firstLine="660" w:firstLineChars="150"/>
        <w:jc w:val="center"/>
        <w:outlineLvl w:val="0"/>
        <w:rPr>
          <w:rStyle w:val="27"/>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7"/>
          <w:rFonts w:hint="eastAsia" w:ascii="黑体" w:hAnsi="黑体" w:eastAsia="黑体"/>
          <w:b w:val="0"/>
        </w:rPr>
        <w:t>词解释</w:t>
      </w:r>
      <w:bookmarkEnd w:id="55"/>
      <w:bookmarkEnd w:id="56"/>
    </w:p>
    <w:p w14:paraId="60B2129A">
      <w:pPr>
        <w:pStyle w:val="25"/>
        <w:spacing w:line="560" w:lineRule="exact"/>
        <w:ind w:firstLine="643" w:firstLineChars="200"/>
        <w:rPr>
          <w:rFonts w:ascii="仿宋_GB2312" w:eastAsia="仿宋_GB2312"/>
          <w:sz w:val="32"/>
          <w:szCs w:val="32"/>
        </w:rPr>
      </w:pPr>
      <w:r>
        <w:rPr>
          <w:rFonts w:ascii="仿宋_GB2312" w:eastAsia="仿宋_GB2312"/>
          <w:b/>
          <w:bCs/>
          <w:sz w:val="32"/>
          <w:szCs w:val="32"/>
        </w:rPr>
        <w:t>1.</w:t>
      </w:r>
      <w:r>
        <w:rPr>
          <w:rFonts w:hint="eastAsia" w:ascii="仿宋_GB2312" w:eastAsia="仿宋_GB2312"/>
          <w:b/>
          <w:bCs/>
          <w:sz w:val="32"/>
          <w:szCs w:val="32"/>
        </w:rPr>
        <w:t>财政拨款收入：</w:t>
      </w:r>
      <w:r>
        <w:rPr>
          <w:rFonts w:hint="eastAsia" w:ascii="仿宋_GB2312" w:eastAsia="仿宋_GB2312"/>
          <w:sz w:val="32"/>
          <w:szCs w:val="32"/>
        </w:rPr>
        <w:t>指单位从同级财政部门取得的财政预算资金。</w:t>
      </w:r>
    </w:p>
    <w:p w14:paraId="7BDA6284">
      <w:pPr>
        <w:pStyle w:val="25"/>
        <w:spacing w:line="560" w:lineRule="exact"/>
        <w:ind w:firstLine="643" w:firstLineChars="200"/>
        <w:rPr>
          <w:rFonts w:ascii="仿宋_GB2312" w:eastAsia="仿宋_GB2312"/>
          <w:sz w:val="32"/>
          <w:szCs w:val="32"/>
        </w:rPr>
      </w:pPr>
      <w:r>
        <w:rPr>
          <w:rFonts w:hint="eastAsia" w:ascii="仿宋_GB2312" w:eastAsia="仿宋_GB2312"/>
          <w:b/>
          <w:bCs/>
          <w:sz w:val="32"/>
          <w:szCs w:val="32"/>
        </w:rPr>
        <w:t>2</w:t>
      </w:r>
      <w:r>
        <w:rPr>
          <w:rFonts w:ascii="仿宋_GB2312" w:eastAsia="仿宋_GB2312"/>
          <w:b/>
          <w:bCs/>
          <w:sz w:val="32"/>
          <w:szCs w:val="32"/>
        </w:rPr>
        <w:t>.</w:t>
      </w:r>
      <w:r>
        <w:rPr>
          <w:rFonts w:hint="eastAsia" w:ascii="仿宋_GB2312" w:eastAsia="仿宋_GB2312"/>
          <w:b/>
          <w:bCs/>
          <w:sz w:val="32"/>
          <w:szCs w:val="32"/>
        </w:rPr>
        <w:t>其他收入：</w:t>
      </w:r>
      <w:r>
        <w:rPr>
          <w:rFonts w:hint="eastAsia" w:ascii="仿宋_GB2312" w:eastAsia="仿宋_GB2312"/>
          <w:sz w:val="32"/>
          <w:szCs w:val="32"/>
        </w:rPr>
        <w:t>指单位取得的除上述收入以外的各项收入。主要是银行利息收入等。</w:t>
      </w:r>
    </w:p>
    <w:p w14:paraId="11177BF8">
      <w:pPr>
        <w:pStyle w:val="25"/>
        <w:spacing w:line="560" w:lineRule="exact"/>
        <w:ind w:firstLine="643" w:firstLineChars="200"/>
        <w:rPr>
          <w:rFonts w:ascii="仿宋_GB2312" w:eastAsia="仿宋_GB2312"/>
          <w:sz w:val="32"/>
          <w:szCs w:val="32"/>
        </w:rPr>
      </w:pPr>
      <w:r>
        <w:rPr>
          <w:rFonts w:hint="eastAsia" w:ascii="仿宋_GB2312" w:eastAsia="仿宋_GB2312"/>
          <w:b/>
          <w:bCs/>
          <w:sz w:val="32"/>
          <w:szCs w:val="32"/>
        </w:rPr>
        <w:t>3</w:t>
      </w:r>
      <w:r>
        <w:rPr>
          <w:rFonts w:ascii="仿宋_GB2312" w:eastAsia="仿宋_GB2312"/>
          <w:b/>
          <w:bCs/>
          <w:sz w:val="32"/>
          <w:szCs w:val="32"/>
        </w:rPr>
        <w:t>.</w:t>
      </w:r>
      <w:r>
        <w:rPr>
          <w:rFonts w:hint="eastAsia" w:ascii="仿宋_GB2312" w:eastAsia="仿宋_GB2312"/>
          <w:b/>
          <w:bCs/>
          <w:sz w:val="32"/>
          <w:szCs w:val="32"/>
        </w:rPr>
        <w:t>用事业基金弥补收支差额：</w:t>
      </w:r>
      <w:r>
        <w:rPr>
          <w:rFonts w:hint="eastAsia" w:ascii="仿宋_GB2312" w:eastAsia="仿宋_GB2312"/>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14:paraId="4AE39CA4">
      <w:pPr>
        <w:pStyle w:val="25"/>
        <w:spacing w:line="560" w:lineRule="exact"/>
        <w:ind w:firstLine="643" w:firstLineChars="200"/>
        <w:rPr>
          <w:rFonts w:ascii="仿宋_GB2312" w:eastAsia="仿宋_GB2312"/>
          <w:sz w:val="32"/>
          <w:szCs w:val="32"/>
        </w:rPr>
      </w:pPr>
      <w:r>
        <w:rPr>
          <w:rFonts w:hint="eastAsia" w:ascii="仿宋_GB2312" w:eastAsia="仿宋_GB2312"/>
          <w:b/>
          <w:bCs/>
          <w:sz w:val="32"/>
          <w:szCs w:val="32"/>
        </w:rPr>
        <w:t>4</w:t>
      </w:r>
      <w:r>
        <w:rPr>
          <w:rFonts w:ascii="仿宋_GB2312" w:eastAsia="仿宋_GB2312"/>
          <w:b/>
          <w:bCs/>
          <w:sz w:val="32"/>
          <w:szCs w:val="32"/>
        </w:rPr>
        <w:t>.</w:t>
      </w:r>
      <w:r>
        <w:rPr>
          <w:rFonts w:hint="eastAsia" w:ascii="仿宋_GB2312" w:eastAsia="仿宋_GB2312"/>
          <w:b/>
          <w:bCs/>
          <w:sz w:val="32"/>
          <w:szCs w:val="32"/>
        </w:rPr>
        <w:t>年初结转和结余：</w:t>
      </w:r>
      <w:r>
        <w:rPr>
          <w:rFonts w:hint="eastAsia" w:ascii="仿宋_GB2312" w:eastAsia="仿宋_GB2312"/>
          <w:sz w:val="32"/>
          <w:szCs w:val="32"/>
        </w:rPr>
        <w:t>指以前年度尚未完成、结转到本年按有关规定继续使用的资金。</w:t>
      </w:r>
      <w:r>
        <w:rPr>
          <w:rFonts w:ascii="仿宋_GB2312" w:eastAsia="仿宋_GB2312"/>
          <w:sz w:val="32"/>
          <w:szCs w:val="32"/>
        </w:rPr>
        <w:t xml:space="preserve"> </w:t>
      </w:r>
    </w:p>
    <w:p w14:paraId="35439F4D">
      <w:pPr>
        <w:pStyle w:val="25"/>
        <w:spacing w:line="560" w:lineRule="exact"/>
        <w:ind w:firstLine="643" w:firstLineChars="200"/>
        <w:rPr>
          <w:rFonts w:ascii="仿宋_GB2312" w:eastAsia="仿宋_GB2312"/>
          <w:sz w:val="32"/>
          <w:szCs w:val="32"/>
        </w:rPr>
      </w:pPr>
      <w:r>
        <w:rPr>
          <w:rFonts w:hint="eastAsia" w:ascii="仿宋_GB2312" w:eastAsia="仿宋_GB2312"/>
          <w:b/>
          <w:bCs/>
          <w:sz w:val="32"/>
          <w:szCs w:val="32"/>
        </w:rPr>
        <w:t>5</w:t>
      </w:r>
      <w:r>
        <w:rPr>
          <w:rFonts w:ascii="仿宋_GB2312" w:eastAsia="仿宋_GB2312"/>
          <w:b/>
          <w:bCs/>
          <w:sz w:val="32"/>
          <w:szCs w:val="32"/>
        </w:rPr>
        <w:t>.</w:t>
      </w:r>
      <w:r>
        <w:rPr>
          <w:rFonts w:hint="eastAsia" w:ascii="仿宋_GB2312" w:eastAsia="仿宋_GB2312"/>
          <w:b/>
          <w:bCs/>
          <w:sz w:val="32"/>
          <w:szCs w:val="32"/>
        </w:rPr>
        <w:t>结余分配：</w:t>
      </w:r>
      <w:r>
        <w:rPr>
          <w:rFonts w:hint="eastAsia" w:ascii="仿宋_GB2312" w:eastAsia="仿宋_GB2312"/>
          <w:sz w:val="32"/>
          <w:szCs w:val="32"/>
        </w:rPr>
        <w:t>指事业单位按照事业单位会计制度的规定从非财政补助结余中分配的事业基金和职工福利基金等。</w:t>
      </w:r>
    </w:p>
    <w:p w14:paraId="408AA955">
      <w:pPr>
        <w:pStyle w:val="25"/>
        <w:spacing w:line="560" w:lineRule="exact"/>
        <w:ind w:firstLine="643" w:firstLineChars="200"/>
        <w:rPr>
          <w:rFonts w:ascii="仿宋_GB2312" w:eastAsia="仿宋_GB2312"/>
          <w:sz w:val="32"/>
          <w:szCs w:val="32"/>
        </w:rPr>
      </w:pPr>
      <w:r>
        <w:rPr>
          <w:rFonts w:hint="eastAsia" w:ascii="仿宋_GB2312" w:eastAsia="仿宋_GB2312"/>
          <w:b/>
          <w:bCs/>
          <w:sz w:val="32"/>
          <w:szCs w:val="32"/>
        </w:rPr>
        <w:t>6.年末结转和结余：</w:t>
      </w:r>
      <w:r>
        <w:rPr>
          <w:rFonts w:hint="eastAsia" w:ascii="仿宋_GB2312" w:eastAsia="仿宋_GB2312"/>
          <w:sz w:val="32"/>
          <w:szCs w:val="32"/>
        </w:rPr>
        <w:t>指单位按有关规定结转到下年或以后年度继续使用的资金。</w:t>
      </w:r>
    </w:p>
    <w:p w14:paraId="0B4B891A">
      <w:pPr>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7.文化</w:t>
      </w:r>
      <w:r>
        <w:rPr>
          <w:rFonts w:hint="eastAsia" w:ascii="仿宋_GB2312" w:eastAsia="仿宋_GB2312" w:cs="仿宋_GB2312"/>
          <w:b/>
          <w:bCs/>
          <w:sz w:val="32"/>
          <w:szCs w:val="32"/>
          <w:lang w:val="en-US" w:eastAsia="zh-CN"/>
        </w:rPr>
        <w:t>旅游</w:t>
      </w:r>
      <w:r>
        <w:rPr>
          <w:rFonts w:hint="eastAsia" w:ascii="仿宋_GB2312" w:eastAsia="仿宋_GB2312" w:cs="仿宋_GB2312"/>
          <w:b/>
          <w:bCs/>
          <w:sz w:val="32"/>
          <w:szCs w:val="32"/>
        </w:rPr>
        <w:t>体育与传媒支出（类）：</w:t>
      </w:r>
      <w:r>
        <w:rPr>
          <w:rFonts w:hint="eastAsia" w:ascii="仿宋_GB2312" w:eastAsia="仿宋_GB2312" w:cs="仿宋_GB2312"/>
          <w:sz w:val="32"/>
          <w:szCs w:val="32"/>
        </w:rPr>
        <w:t>指政府在文化、旅游、文物、体育、广播影视、新闻出版局等方面的支出。</w:t>
      </w:r>
    </w:p>
    <w:p w14:paraId="148F7EC7">
      <w:pPr>
        <w:ind w:firstLine="643" w:firstLineChars="200"/>
        <w:rPr>
          <w:rFonts w:ascii="仿宋_GB2312" w:eastAsia="仿宋_GB2312" w:cs="仿宋_GB2312"/>
          <w:sz w:val="32"/>
          <w:szCs w:val="32"/>
        </w:rPr>
      </w:pPr>
      <w:r>
        <w:rPr>
          <w:rFonts w:hint="eastAsia" w:ascii="仿宋_GB2312" w:eastAsia="仿宋_GB2312" w:cs="仿宋_GB2312"/>
          <w:b/>
          <w:bCs/>
          <w:sz w:val="32"/>
          <w:szCs w:val="32"/>
        </w:rPr>
        <w:t>8.文化和旅游（款）：</w:t>
      </w:r>
      <w:r>
        <w:rPr>
          <w:rFonts w:hint="eastAsia" w:ascii="仿宋_GB2312" w:eastAsia="仿宋_GB2312" w:cs="仿宋_GB2312"/>
          <w:sz w:val="32"/>
          <w:szCs w:val="32"/>
        </w:rPr>
        <w:t>指政府用于公用文化设施、艺术表演团体、文化艺术活动、对外文化交流及旅游业管理与服务等方面的支出。</w:t>
      </w:r>
    </w:p>
    <w:p w14:paraId="44C7D160">
      <w:pPr>
        <w:ind w:firstLine="640" w:firstLineChars="200"/>
        <w:rPr>
          <w:rFonts w:ascii="仿宋_GB2312" w:eastAsia="仿宋_GB2312" w:cs="仿宋_GB2312"/>
          <w:sz w:val="32"/>
          <w:szCs w:val="32"/>
        </w:rPr>
      </w:pPr>
      <w:r>
        <w:rPr>
          <w:rFonts w:hint="eastAsia" w:ascii="仿宋_GB2312" w:eastAsia="仿宋_GB2312" w:cs="仿宋_GB2312"/>
          <w:sz w:val="32"/>
          <w:szCs w:val="32"/>
        </w:rPr>
        <w:t>行政运行（项）：指行政单位（包括实行公务员管理的事业单位）的基本支出。</w:t>
      </w:r>
    </w:p>
    <w:p w14:paraId="33A481A1">
      <w:pPr>
        <w:ind w:firstLine="640" w:firstLineChars="200"/>
        <w:rPr>
          <w:rFonts w:ascii="仿宋_GB2312" w:eastAsia="仿宋_GB2312" w:cs="仿宋_GB2312"/>
          <w:sz w:val="32"/>
          <w:szCs w:val="32"/>
        </w:rPr>
      </w:pPr>
      <w:r>
        <w:rPr>
          <w:rFonts w:hint="eastAsia" w:ascii="仿宋_GB2312" w:eastAsia="仿宋_GB2312" w:cs="仿宋_GB2312"/>
          <w:sz w:val="32"/>
          <w:szCs w:val="32"/>
        </w:rPr>
        <w:t>一般行政管理事务（项）：指行政单位（包括实行公务员管理的事业单位）未单独设置项级科目的其他项目支出。</w:t>
      </w:r>
    </w:p>
    <w:p w14:paraId="6AAAE57E">
      <w:pPr>
        <w:ind w:firstLine="640" w:firstLineChars="200"/>
        <w:rPr>
          <w:rFonts w:ascii="仿宋_GB2312" w:eastAsia="仿宋_GB2312" w:cs="仿宋_GB2312"/>
          <w:sz w:val="32"/>
          <w:szCs w:val="32"/>
        </w:rPr>
      </w:pPr>
      <w:r>
        <w:rPr>
          <w:rFonts w:hint="eastAsia" w:ascii="仿宋_GB2312" w:eastAsia="仿宋_GB2312" w:cs="仿宋_GB2312"/>
          <w:sz w:val="32"/>
          <w:szCs w:val="32"/>
        </w:rPr>
        <w:t>图书馆（项）：指图书馆的支出。</w:t>
      </w:r>
    </w:p>
    <w:p w14:paraId="12375FFD">
      <w:pPr>
        <w:ind w:firstLine="640" w:firstLineChars="200"/>
        <w:rPr>
          <w:rFonts w:ascii="仿宋_GB2312" w:eastAsia="仿宋_GB2312" w:cs="仿宋_GB2312"/>
          <w:sz w:val="32"/>
          <w:szCs w:val="32"/>
        </w:rPr>
      </w:pPr>
      <w:r>
        <w:rPr>
          <w:rFonts w:hint="eastAsia" w:ascii="仿宋_GB2312" w:eastAsia="仿宋_GB2312" w:cs="仿宋_GB2312"/>
          <w:sz w:val="32"/>
          <w:szCs w:val="32"/>
        </w:rPr>
        <w:t>文化活动（项）：指举办大型文化艺术活动的支出。</w:t>
      </w:r>
    </w:p>
    <w:p w14:paraId="7647AAE2">
      <w:pPr>
        <w:ind w:firstLine="640" w:firstLineChars="200"/>
        <w:rPr>
          <w:rFonts w:ascii="仿宋_GB2312" w:eastAsia="仿宋_GB2312" w:cs="仿宋_GB2312"/>
          <w:sz w:val="32"/>
          <w:szCs w:val="32"/>
        </w:rPr>
      </w:pPr>
      <w:r>
        <w:rPr>
          <w:rFonts w:hint="eastAsia" w:ascii="仿宋_GB2312" w:eastAsia="仿宋_GB2312" w:cs="仿宋_GB2312"/>
          <w:sz w:val="32"/>
          <w:szCs w:val="32"/>
        </w:rPr>
        <w:t>群众文化（项）：指群众文化方面的支出，包括基层文化馆（站）、群众艺术馆支出等。</w:t>
      </w:r>
    </w:p>
    <w:p w14:paraId="4D0E800D">
      <w:pPr>
        <w:ind w:firstLine="640" w:firstLineChars="200"/>
        <w:rPr>
          <w:rFonts w:ascii="仿宋_GB2312" w:eastAsia="仿宋_GB2312" w:cs="仿宋_GB2312"/>
          <w:sz w:val="32"/>
          <w:szCs w:val="32"/>
        </w:rPr>
      </w:pPr>
      <w:r>
        <w:rPr>
          <w:rFonts w:hint="eastAsia" w:ascii="仿宋_GB2312" w:eastAsia="仿宋_GB2312" w:cs="仿宋_GB2312"/>
          <w:sz w:val="32"/>
          <w:szCs w:val="32"/>
        </w:rPr>
        <w:t>文化创作与保护（项）：指鼓励文学、艺术创作和优秀传统文化保护方面的支出。</w:t>
      </w:r>
    </w:p>
    <w:p w14:paraId="3D860C5C">
      <w:pPr>
        <w:ind w:firstLine="640" w:firstLineChars="200"/>
        <w:rPr>
          <w:rFonts w:ascii="仿宋_GB2312" w:eastAsia="仿宋_GB2312" w:cs="仿宋_GB2312"/>
          <w:sz w:val="32"/>
          <w:szCs w:val="32"/>
        </w:rPr>
      </w:pPr>
      <w:r>
        <w:rPr>
          <w:rFonts w:hint="eastAsia" w:ascii="仿宋_GB2312" w:eastAsia="仿宋_GB2312" w:cs="仿宋_GB2312"/>
          <w:sz w:val="32"/>
          <w:szCs w:val="32"/>
        </w:rPr>
        <w:t>文化和旅游市场管理（项）：指用于文化和旅游执法检查等文化旅游市场管理方面的支出。</w:t>
      </w:r>
    </w:p>
    <w:p w14:paraId="667CAA3A">
      <w:pPr>
        <w:ind w:firstLine="640" w:firstLineChars="200"/>
        <w:rPr>
          <w:rFonts w:ascii="仿宋_GB2312" w:eastAsia="仿宋_GB2312" w:cs="仿宋_GB2312"/>
          <w:sz w:val="32"/>
          <w:szCs w:val="32"/>
        </w:rPr>
      </w:pPr>
      <w:r>
        <w:rPr>
          <w:rFonts w:hint="eastAsia" w:ascii="仿宋_GB2312" w:eastAsia="仿宋_GB2312" w:cs="仿宋_GB2312"/>
          <w:sz w:val="32"/>
          <w:szCs w:val="32"/>
        </w:rPr>
        <w:t>其他文化和旅游支出（项）：指除上述项目以外其他用于文化和旅游方面的支出。</w:t>
      </w:r>
    </w:p>
    <w:p w14:paraId="31E70F4D">
      <w:pPr>
        <w:ind w:firstLine="640" w:firstLineChars="200"/>
        <w:rPr>
          <w:rFonts w:ascii="仿宋_GB2312" w:eastAsia="仿宋_GB2312" w:cs="仿宋_GB2312"/>
          <w:sz w:val="32"/>
          <w:szCs w:val="32"/>
        </w:rPr>
      </w:pPr>
      <w:r>
        <w:rPr>
          <w:rFonts w:hint="eastAsia" w:ascii="仿宋_GB2312" w:eastAsia="仿宋_GB2312" w:cs="仿宋_GB2312"/>
          <w:sz w:val="32"/>
          <w:szCs w:val="32"/>
        </w:rPr>
        <w:t>文物（款）：指文物保护和管理等方面的支出。</w:t>
      </w:r>
    </w:p>
    <w:p w14:paraId="74A0B7AE">
      <w:pPr>
        <w:ind w:firstLine="640" w:firstLineChars="200"/>
        <w:rPr>
          <w:rFonts w:ascii="仿宋_GB2312" w:eastAsia="仿宋_GB2312" w:cs="仿宋_GB2312"/>
          <w:sz w:val="32"/>
          <w:szCs w:val="32"/>
        </w:rPr>
      </w:pPr>
      <w:r>
        <w:rPr>
          <w:rFonts w:hint="eastAsia" w:ascii="仿宋_GB2312" w:eastAsia="仿宋_GB2312" w:cs="仿宋_GB2312"/>
          <w:sz w:val="32"/>
          <w:szCs w:val="32"/>
        </w:rPr>
        <w:t>文物保护（项）：指考古发掘及文物保护方面的支出。</w:t>
      </w:r>
    </w:p>
    <w:p w14:paraId="1A74A9BF">
      <w:pPr>
        <w:ind w:firstLine="640" w:firstLineChars="200"/>
        <w:rPr>
          <w:rFonts w:ascii="仿宋_GB2312" w:eastAsia="仿宋_GB2312" w:cs="仿宋_GB2312"/>
          <w:sz w:val="32"/>
          <w:szCs w:val="32"/>
        </w:rPr>
      </w:pPr>
      <w:r>
        <w:rPr>
          <w:rFonts w:hint="eastAsia" w:ascii="仿宋_GB2312" w:eastAsia="仿宋_GB2312" w:cs="仿宋_GB2312"/>
          <w:sz w:val="32"/>
          <w:szCs w:val="32"/>
        </w:rPr>
        <w:t>其他文物支出（项）：反映除上述项目以外其他用于文物方面的支出 。</w:t>
      </w:r>
    </w:p>
    <w:p w14:paraId="52E9E893">
      <w:pPr>
        <w:ind w:firstLine="640" w:firstLineChars="200"/>
        <w:rPr>
          <w:rFonts w:ascii="仿宋_GB2312" w:eastAsia="仿宋_GB2312" w:cs="仿宋_GB2312"/>
          <w:sz w:val="32"/>
          <w:szCs w:val="32"/>
        </w:rPr>
      </w:pPr>
      <w:r>
        <w:rPr>
          <w:rFonts w:hint="eastAsia" w:ascii="仿宋_GB2312" w:eastAsia="仿宋_GB2312" w:cs="仿宋_GB2312"/>
          <w:sz w:val="32"/>
          <w:szCs w:val="32"/>
        </w:rPr>
        <w:t>体育（款）：指体育方面的支出。</w:t>
      </w:r>
    </w:p>
    <w:p w14:paraId="226553DA">
      <w:pPr>
        <w:ind w:firstLine="640" w:firstLineChars="200"/>
        <w:rPr>
          <w:rFonts w:ascii="仿宋_GB2312" w:eastAsia="仿宋_GB2312" w:cs="仿宋_GB2312"/>
          <w:sz w:val="32"/>
          <w:szCs w:val="32"/>
        </w:rPr>
      </w:pPr>
      <w:r>
        <w:rPr>
          <w:rFonts w:hint="eastAsia" w:ascii="仿宋_GB2312" w:eastAsia="仿宋_GB2312" w:cs="仿宋_GB2312"/>
          <w:sz w:val="32"/>
          <w:szCs w:val="32"/>
        </w:rPr>
        <w:t>体育竞赛（项）：综合性运动会及单项体育比赛支出。</w:t>
      </w:r>
    </w:p>
    <w:p w14:paraId="11F673DE">
      <w:pPr>
        <w:ind w:firstLine="640" w:firstLineChars="200"/>
        <w:rPr>
          <w:rFonts w:ascii="仿宋_GB2312" w:eastAsia="仿宋_GB2312" w:cs="仿宋_GB2312"/>
          <w:sz w:val="32"/>
          <w:szCs w:val="32"/>
        </w:rPr>
      </w:pPr>
      <w:r>
        <w:rPr>
          <w:rFonts w:hint="eastAsia" w:ascii="仿宋_GB2312" w:eastAsia="仿宋_GB2312" w:cs="仿宋_GB2312"/>
          <w:sz w:val="32"/>
          <w:szCs w:val="32"/>
        </w:rPr>
        <w:t>其他体育支出（项）：指除综合性运动及单项体育比赛支出、体育运动队训练补助及器材购置等方面、体育场馆建设及维护、业余体校和全民健身等群众体育活动方面、体育交流与合作等方面以外其他用于体育方面的支出。</w:t>
      </w:r>
    </w:p>
    <w:p w14:paraId="75A38826">
      <w:pPr>
        <w:ind w:firstLine="640" w:firstLineChars="200"/>
        <w:rPr>
          <w:rFonts w:ascii="仿宋_GB2312" w:eastAsia="仿宋_GB2312" w:cs="仿宋_GB2312"/>
          <w:sz w:val="32"/>
          <w:szCs w:val="32"/>
        </w:rPr>
      </w:pPr>
      <w:r>
        <w:rPr>
          <w:rFonts w:hint="eastAsia" w:ascii="仿宋_GB2312" w:eastAsia="仿宋_GB2312" w:cs="仿宋_GB2312"/>
          <w:sz w:val="32"/>
          <w:szCs w:val="32"/>
        </w:rPr>
        <w:t>新闻出版电影（款）：指新闻出版、电影等方面的支出。</w:t>
      </w:r>
    </w:p>
    <w:p w14:paraId="6AC17F7F">
      <w:pPr>
        <w:ind w:firstLine="640" w:firstLineChars="200"/>
        <w:rPr>
          <w:rFonts w:ascii="仿宋_GB2312" w:eastAsia="仿宋_GB2312" w:cs="仿宋_GB2312"/>
          <w:sz w:val="32"/>
          <w:szCs w:val="32"/>
        </w:rPr>
      </w:pPr>
      <w:r>
        <w:rPr>
          <w:rFonts w:hint="eastAsia" w:ascii="仿宋_GB2312" w:eastAsia="仿宋_GB2312" w:cs="仿宋_GB2312"/>
          <w:sz w:val="32"/>
          <w:szCs w:val="32"/>
        </w:rPr>
        <w:t>电影（项）：指电影制片、发行、放映等方面的支出。</w:t>
      </w:r>
    </w:p>
    <w:p w14:paraId="3DB57954">
      <w:pPr>
        <w:ind w:firstLine="640" w:firstLineChars="200"/>
        <w:rPr>
          <w:rFonts w:ascii="仿宋_GB2312" w:eastAsia="仿宋_GB2312" w:cs="仿宋_GB2312"/>
          <w:sz w:val="32"/>
          <w:szCs w:val="32"/>
        </w:rPr>
      </w:pPr>
      <w:r>
        <w:rPr>
          <w:rFonts w:hint="eastAsia" w:ascii="仿宋_GB2312" w:eastAsia="仿宋_GB2312" w:cs="仿宋_GB2312"/>
          <w:sz w:val="32"/>
          <w:szCs w:val="32"/>
        </w:rPr>
        <w:t>其他新闻出版电影支出（项）：反映除上述项目以外其他用于新闻出版电影方面的支出。</w:t>
      </w:r>
    </w:p>
    <w:p w14:paraId="7B21BCC5">
      <w:pPr>
        <w:ind w:firstLine="640" w:firstLineChars="200"/>
        <w:rPr>
          <w:rFonts w:ascii="仿宋_GB2312" w:eastAsia="仿宋_GB2312" w:cs="仿宋_GB2312"/>
          <w:sz w:val="32"/>
          <w:szCs w:val="32"/>
        </w:rPr>
      </w:pPr>
      <w:r>
        <w:rPr>
          <w:rFonts w:hint="eastAsia" w:ascii="仿宋_GB2312" w:eastAsia="仿宋_GB2312" w:cs="仿宋_GB2312"/>
          <w:sz w:val="32"/>
          <w:szCs w:val="32"/>
        </w:rPr>
        <w:t>广播电视（款）：反映广播、电视等方面的支出。</w:t>
      </w:r>
    </w:p>
    <w:p w14:paraId="3A7D9CE5">
      <w:pPr>
        <w:ind w:firstLine="640" w:firstLineChars="200"/>
        <w:rPr>
          <w:rFonts w:ascii="仿宋_GB2312" w:eastAsia="仿宋_GB2312" w:cs="仿宋_GB2312"/>
          <w:sz w:val="32"/>
          <w:szCs w:val="32"/>
        </w:rPr>
      </w:pPr>
      <w:r>
        <w:rPr>
          <w:rFonts w:hint="eastAsia" w:ascii="仿宋_GB2312" w:eastAsia="仿宋_GB2312" w:cs="仿宋_GB2312"/>
          <w:sz w:val="32"/>
          <w:szCs w:val="32"/>
        </w:rPr>
        <w:t>广播（项）：反映广播电台、广播发射台、广播转播台及有线广播站的支出。</w:t>
      </w:r>
    </w:p>
    <w:p w14:paraId="30435896">
      <w:pPr>
        <w:ind w:firstLine="640" w:firstLineChars="200"/>
        <w:rPr>
          <w:rFonts w:ascii="仿宋_GB2312" w:eastAsia="仿宋_GB2312" w:cs="仿宋_GB2312"/>
          <w:sz w:val="32"/>
          <w:szCs w:val="32"/>
        </w:rPr>
      </w:pPr>
      <w:r>
        <w:rPr>
          <w:rFonts w:hint="eastAsia" w:ascii="仿宋_GB2312" w:eastAsia="仿宋_GB2312" w:cs="仿宋_GB2312"/>
          <w:sz w:val="32"/>
          <w:szCs w:val="32"/>
        </w:rPr>
        <w:t>电视（项）：反映电视台、电视发射台、电视转播台的支出。</w:t>
      </w:r>
    </w:p>
    <w:p w14:paraId="49BFE14D">
      <w:pPr>
        <w:ind w:firstLine="640" w:firstLineChars="200"/>
        <w:rPr>
          <w:rFonts w:ascii="仿宋_GB2312" w:eastAsia="仿宋_GB2312" w:cs="仿宋_GB2312"/>
          <w:sz w:val="32"/>
          <w:szCs w:val="32"/>
        </w:rPr>
      </w:pPr>
      <w:r>
        <w:rPr>
          <w:rFonts w:hint="eastAsia" w:ascii="仿宋_GB2312" w:eastAsia="仿宋_GB2312" w:cs="仿宋_GB2312"/>
          <w:sz w:val="32"/>
          <w:szCs w:val="32"/>
        </w:rPr>
        <w:t>其他广播电视支出（项）：反映除上述项目以外其他用于广播电视方面的支出。</w:t>
      </w:r>
    </w:p>
    <w:p w14:paraId="26509F4A">
      <w:pPr>
        <w:ind w:firstLine="640" w:firstLineChars="200"/>
        <w:rPr>
          <w:rFonts w:ascii="仿宋_GB2312" w:eastAsia="仿宋_GB2312" w:cs="仿宋_GB2312"/>
          <w:sz w:val="32"/>
          <w:szCs w:val="32"/>
        </w:rPr>
      </w:pPr>
      <w:r>
        <w:rPr>
          <w:rFonts w:hint="eastAsia" w:ascii="仿宋_GB2312" w:eastAsia="仿宋_GB2312" w:cs="仿宋_GB2312"/>
          <w:sz w:val="32"/>
          <w:szCs w:val="32"/>
        </w:rPr>
        <w:t>其他文化</w:t>
      </w:r>
      <w:r>
        <w:rPr>
          <w:rFonts w:hint="eastAsia" w:ascii="仿宋_GB2312" w:eastAsia="仿宋_GB2312" w:cs="仿宋_GB2312"/>
          <w:sz w:val="32"/>
          <w:szCs w:val="32"/>
          <w:lang w:val="en-US" w:eastAsia="zh-CN"/>
        </w:rPr>
        <w:t>旅游</w:t>
      </w:r>
      <w:r>
        <w:rPr>
          <w:rFonts w:hint="eastAsia" w:ascii="仿宋_GB2312" w:eastAsia="仿宋_GB2312" w:cs="仿宋_GB2312"/>
          <w:sz w:val="32"/>
          <w:szCs w:val="32"/>
        </w:rPr>
        <w:t>体育与传媒支出（款）：指除上述项目外其他用于文化体育与传媒方面的支出。</w:t>
      </w:r>
    </w:p>
    <w:p w14:paraId="772DAB8C">
      <w:pPr>
        <w:ind w:firstLine="640" w:firstLineChars="200"/>
        <w:rPr>
          <w:rFonts w:ascii="仿宋_GB2312" w:eastAsia="仿宋_GB2312" w:cs="仿宋_GB2312"/>
          <w:sz w:val="32"/>
          <w:szCs w:val="32"/>
        </w:rPr>
      </w:pPr>
      <w:r>
        <w:rPr>
          <w:rFonts w:hint="eastAsia" w:ascii="仿宋_GB2312" w:eastAsia="仿宋_GB2312" w:cs="仿宋_GB2312"/>
          <w:sz w:val="32"/>
          <w:szCs w:val="32"/>
        </w:rPr>
        <w:t>文化产业发展专项支出（项）：指支持文化产业发展专项支出。</w:t>
      </w:r>
    </w:p>
    <w:p w14:paraId="77DE7EE5">
      <w:pPr>
        <w:ind w:firstLine="640" w:firstLineChars="200"/>
        <w:rPr>
          <w:rFonts w:ascii="仿宋_GB2312" w:eastAsia="仿宋_GB2312" w:cs="仿宋_GB2312"/>
          <w:sz w:val="32"/>
          <w:szCs w:val="32"/>
        </w:rPr>
      </w:pPr>
      <w:r>
        <w:rPr>
          <w:rFonts w:hint="eastAsia" w:ascii="仿宋_GB2312" w:eastAsia="仿宋_GB2312" w:cs="仿宋_GB2312"/>
          <w:sz w:val="32"/>
          <w:szCs w:val="32"/>
        </w:rPr>
        <w:t>其他文化</w:t>
      </w:r>
      <w:r>
        <w:rPr>
          <w:rFonts w:hint="eastAsia" w:ascii="仿宋_GB2312" w:eastAsia="仿宋_GB2312" w:cs="仿宋_GB2312"/>
          <w:sz w:val="32"/>
          <w:szCs w:val="32"/>
          <w:lang w:val="en-US" w:eastAsia="zh-CN"/>
        </w:rPr>
        <w:t>旅游</w:t>
      </w:r>
      <w:r>
        <w:rPr>
          <w:rFonts w:hint="eastAsia" w:ascii="仿宋_GB2312" w:eastAsia="仿宋_GB2312" w:cs="仿宋_GB2312"/>
          <w:sz w:val="32"/>
          <w:szCs w:val="32"/>
        </w:rPr>
        <w:t>体育与传媒支出（项）：指除国家有关政府支持宣传文化单位发展的专项支出及支持文化产业发展专项支出以外的其他文化体育与传媒方面的支出。</w:t>
      </w:r>
    </w:p>
    <w:p w14:paraId="14AFF8F8">
      <w:pPr>
        <w:ind w:firstLine="643" w:firstLineChars="200"/>
        <w:rPr>
          <w:rFonts w:ascii="仿宋_GB2312" w:eastAsia="仿宋_GB2312" w:cs="仿宋_GB2312"/>
          <w:sz w:val="32"/>
          <w:szCs w:val="32"/>
        </w:rPr>
      </w:pPr>
      <w:r>
        <w:rPr>
          <w:rFonts w:hint="eastAsia" w:ascii="仿宋_GB2312" w:eastAsia="仿宋_GB2312" w:cs="仿宋_GB2312"/>
          <w:b/>
          <w:bCs/>
          <w:sz w:val="32"/>
          <w:szCs w:val="32"/>
        </w:rPr>
        <w:t>9.社会保障和就业支出（类）：</w:t>
      </w:r>
      <w:r>
        <w:rPr>
          <w:rFonts w:hint="eastAsia" w:ascii="仿宋_GB2312" w:eastAsia="仿宋_GB2312" w:cs="仿宋_GB2312"/>
          <w:sz w:val="32"/>
          <w:szCs w:val="32"/>
        </w:rPr>
        <w:t>指政府在社会保险与就业方面的支出。</w:t>
      </w:r>
    </w:p>
    <w:p w14:paraId="096CD224">
      <w:pPr>
        <w:ind w:firstLine="640" w:firstLineChars="200"/>
        <w:rPr>
          <w:rFonts w:ascii="仿宋_GB2312" w:eastAsia="仿宋_GB2312" w:cs="仿宋_GB2312"/>
          <w:sz w:val="32"/>
          <w:szCs w:val="32"/>
        </w:rPr>
      </w:pPr>
      <w:r>
        <w:rPr>
          <w:rFonts w:hint="eastAsia" w:ascii="仿宋_GB2312" w:eastAsia="仿宋_GB2312" w:cs="仿宋_GB2312"/>
          <w:sz w:val="32"/>
          <w:szCs w:val="32"/>
        </w:rPr>
        <w:t>行政事业单位离退休（款）：指用于行政事业单位离退休方面的支出。</w:t>
      </w:r>
    </w:p>
    <w:p w14:paraId="2B7B2131">
      <w:pPr>
        <w:ind w:firstLine="640" w:firstLineChars="200"/>
        <w:rPr>
          <w:rFonts w:ascii="仿宋_GB2312" w:eastAsia="仿宋_GB2312" w:cs="仿宋_GB2312"/>
          <w:sz w:val="32"/>
          <w:szCs w:val="32"/>
        </w:rPr>
      </w:pPr>
      <w:r>
        <w:rPr>
          <w:rFonts w:hint="eastAsia" w:ascii="仿宋_GB2312" w:eastAsia="仿宋_GB2312" w:cs="仿宋_GB2312"/>
          <w:sz w:val="32"/>
          <w:szCs w:val="32"/>
        </w:rPr>
        <w:t>机关事业单位基本养老保险缴费支出（项）：指机关事业单位实施养老保险制度由单位缴纳的基本养老保险费支出。</w:t>
      </w:r>
    </w:p>
    <w:p w14:paraId="3C69D220">
      <w:pPr>
        <w:ind w:firstLine="640" w:firstLineChars="200"/>
        <w:rPr>
          <w:rFonts w:ascii="仿宋_GB2312" w:eastAsia="仿宋_GB2312" w:cs="仿宋_GB2312"/>
          <w:sz w:val="32"/>
          <w:szCs w:val="32"/>
        </w:rPr>
      </w:pPr>
      <w:r>
        <w:rPr>
          <w:rFonts w:hint="eastAsia" w:ascii="仿宋_GB2312" w:eastAsia="仿宋_GB2312" w:cs="仿宋_GB2312"/>
          <w:sz w:val="32"/>
          <w:szCs w:val="32"/>
        </w:rPr>
        <w:t>机关事业单位职业年金缴费支出（项）：指机关事业单位实施养老保险制度由单位实际缴纳的职业年金支出。</w:t>
      </w:r>
    </w:p>
    <w:p w14:paraId="63AC045E">
      <w:pPr>
        <w:ind w:firstLine="640" w:firstLineChars="200"/>
        <w:rPr>
          <w:rFonts w:ascii="仿宋_GB2312" w:eastAsia="仿宋_GB2312" w:cs="仿宋_GB2312"/>
          <w:sz w:val="32"/>
          <w:szCs w:val="32"/>
        </w:rPr>
      </w:pPr>
      <w:r>
        <w:rPr>
          <w:rFonts w:hint="eastAsia" w:ascii="仿宋_GB2312" w:eastAsia="仿宋_GB2312" w:cs="仿宋_GB2312"/>
          <w:sz w:val="32"/>
          <w:szCs w:val="32"/>
        </w:rPr>
        <w:t>其他行政事业单位离退休支出（项）：指除上述项目以外其他用于行政事业单位离退休方面的支出。</w:t>
      </w:r>
    </w:p>
    <w:p w14:paraId="69E0F0DC">
      <w:pPr>
        <w:ind w:firstLine="643" w:firstLineChars="200"/>
        <w:rPr>
          <w:rFonts w:ascii="仿宋_GB2312" w:eastAsia="仿宋_GB2312" w:cs="仿宋_GB2312"/>
          <w:sz w:val="32"/>
          <w:szCs w:val="32"/>
        </w:rPr>
      </w:pPr>
      <w:r>
        <w:rPr>
          <w:rFonts w:hint="eastAsia" w:ascii="仿宋_GB2312" w:eastAsia="仿宋_GB2312" w:cs="仿宋_GB2312"/>
          <w:b/>
          <w:bCs/>
          <w:sz w:val="32"/>
          <w:szCs w:val="32"/>
        </w:rPr>
        <w:t>10.卫生健康支出（类）：</w:t>
      </w:r>
      <w:r>
        <w:rPr>
          <w:rFonts w:hint="eastAsia" w:ascii="仿宋_GB2312" w:eastAsia="仿宋_GB2312" w:cs="仿宋_GB2312"/>
          <w:sz w:val="32"/>
          <w:szCs w:val="32"/>
        </w:rPr>
        <w:t>指政府卫生健康方面的支出。</w:t>
      </w:r>
    </w:p>
    <w:p w14:paraId="38C902BA">
      <w:pPr>
        <w:ind w:firstLine="640" w:firstLineChars="200"/>
        <w:rPr>
          <w:rFonts w:ascii="仿宋_GB2312" w:eastAsia="仿宋_GB2312" w:cs="仿宋_GB2312"/>
          <w:sz w:val="32"/>
          <w:szCs w:val="32"/>
        </w:rPr>
      </w:pPr>
      <w:r>
        <w:rPr>
          <w:rFonts w:hint="eastAsia" w:ascii="仿宋_GB2312" w:eastAsia="仿宋_GB2312" w:cs="仿宋_GB2312"/>
          <w:sz w:val="32"/>
          <w:szCs w:val="32"/>
        </w:rPr>
        <w:t>行政事业单位医疗（款）：指行政事业单位医疗方面的支出。</w:t>
      </w:r>
    </w:p>
    <w:p w14:paraId="4AE51F20">
      <w:pPr>
        <w:ind w:firstLine="640" w:firstLineChars="200"/>
        <w:rPr>
          <w:rFonts w:ascii="仿宋_GB2312" w:eastAsia="仿宋_GB2312" w:cs="仿宋_GB2312"/>
          <w:sz w:val="32"/>
          <w:szCs w:val="32"/>
        </w:rPr>
      </w:pPr>
      <w:r>
        <w:rPr>
          <w:rFonts w:hint="eastAsia" w:ascii="仿宋_GB2312" w:eastAsia="仿宋_GB2312" w:cs="仿宋_GB2312"/>
          <w:sz w:val="32"/>
          <w:szCs w:val="32"/>
        </w:rPr>
        <w:t>行政单位医疗（项）：指财政部门集中安排的行政单位基本医疗保险缴费经费，未参加医疗保险的行政单位的公费医疗经费，按国家规定享受离休人员、红军老战士待遇人员的医疗经费。</w:t>
      </w:r>
    </w:p>
    <w:p w14:paraId="60B21397">
      <w:pPr>
        <w:ind w:firstLine="640" w:firstLineChars="200"/>
        <w:rPr>
          <w:rFonts w:ascii="仿宋_GB2312" w:eastAsia="仿宋_GB2312" w:cs="仿宋_GB2312"/>
          <w:sz w:val="32"/>
          <w:szCs w:val="32"/>
        </w:rPr>
      </w:pPr>
      <w:r>
        <w:rPr>
          <w:rFonts w:hint="eastAsia" w:ascii="仿宋_GB2312" w:eastAsia="仿宋_GB2312" w:cs="仿宋_GB2312"/>
          <w:sz w:val="32"/>
          <w:szCs w:val="32"/>
        </w:rPr>
        <w:t>事业单位医疗（项）：指财政部门集中安排的事业单位基本医疗保险缴费经费，未参加医疗保险的事业单位的公费医疗经费，按国家规定享受离休人员待遇的医疗经费。</w:t>
      </w:r>
    </w:p>
    <w:p w14:paraId="0A704BDE">
      <w:pPr>
        <w:ind w:firstLine="640" w:firstLineChars="200"/>
        <w:rPr>
          <w:rFonts w:ascii="仿宋_GB2312" w:eastAsia="仿宋_GB2312" w:cs="仿宋_GB2312"/>
          <w:sz w:val="32"/>
          <w:szCs w:val="32"/>
        </w:rPr>
      </w:pPr>
      <w:r>
        <w:rPr>
          <w:rFonts w:hint="eastAsia" w:ascii="仿宋_GB2312" w:eastAsia="仿宋_GB2312" w:cs="仿宋_GB2312"/>
          <w:sz w:val="32"/>
          <w:szCs w:val="32"/>
        </w:rPr>
        <w:t>其他行政事业单位医疗支出（项）：指上述项目以外的其他用于行政事业单位医疗方面的支出。</w:t>
      </w:r>
    </w:p>
    <w:p w14:paraId="6BF9248D">
      <w:pPr>
        <w:ind w:firstLine="643" w:firstLineChars="200"/>
        <w:rPr>
          <w:rFonts w:ascii="仿宋_GB2312" w:eastAsia="仿宋_GB2312" w:cs="仿宋_GB2312"/>
          <w:sz w:val="32"/>
          <w:szCs w:val="32"/>
        </w:rPr>
      </w:pPr>
      <w:r>
        <w:rPr>
          <w:rFonts w:hint="eastAsia" w:ascii="仿宋_GB2312" w:eastAsia="仿宋_GB2312" w:cs="仿宋_GB2312"/>
          <w:b/>
          <w:bCs/>
          <w:sz w:val="32"/>
          <w:szCs w:val="32"/>
        </w:rPr>
        <w:t>11.城乡社区支出（类）：</w:t>
      </w:r>
      <w:r>
        <w:rPr>
          <w:rFonts w:hint="eastAsia" w:ascii="仿宋_GB2312" w:eastAsia="仿宋_GB2312" w:cs="仿宋_GB2312"/>
          <w:sz w:val="32"/>
          <w:szCs w:val="32"/>
        </w:rPr>
        <w:t>反映政府城乡管理事务支出。</w:t>
      </w:r>
    </w:p>
    <w:p w14:paraId="6D2D649B">
      <w:pPr>
        <w:ind w:firstLine="640"/>
        <w:rPr>
          <w:rFonts w:ascii="仿宋_GB2312" w:eastAsia="仿宋_GB2312" w:cs="仿宋_GB2312"/>
          <w:sz w:val="32"/>
          <w:szCs w:val="32"/>
        </w:rPr>
      </w:pPr>
      <w:r>
        <w:rPr>
          <w:rFonts w:hint="eastAsia" w:ascii="仿宋_GB2312" w:eastAsia="仿宋_GB2312" w:cs="仿宋_GB2312"/>
          <w:sz w:val="32"/>
          <w:szCs w:val="32"/>
        </w:rPr>
        <w:t>国有土地使用权出让收入及对应专项债务收入安排的支出（款）：反映用不含计提和划转部分的国有土地使用权出让收入及对应专项债务收入安排的支出。不包括市县级政府当年按规定用土地出让收入向中央和省级政府缴纳新增建设用地土地有偿使用费支出。</w:t>
      </w:r>
    </w:p>
    <w:p w14:paraId="2493A7AB">
      <w:pPr>
        <w:ind w:firstLine="640"/>
        <w:rPr>
          <w:rFonts w:ascii="仿宋_GB2312" w:eastAsia="仿宋_GB2312" w:cs="仿宋_GB2312"/>
          <w:sz w:val="32"/>
          <w:szCs w:val="32"/>
        </w:rPr>
      </w:pPr>
      <w:r>
        <w:rPr>
          <w:rFonts w:hint="eastAsia" w:ascii="仿宋_GB2312" w:eastAsia="仿宋_GB2312" w:cs="仿宋_GB2312"/>
          <w:sz w:val="32"/>
          <w:szCs w:val="32"/>
        </w:rPr>
        <w:t>征地和拆迁补偿支出（项）：反映新疆生产建设兵团和地方政府在征地和收购土地过程中支付的土地补偿费、安置补助费、地上附着和青苗补偿费、拆迁补偿费支出。</w:t>
      </w:r>
    </w:p>
    <w:p w14:paraId="0EB6D9F4">
      <w:pPr>
        <w:ind w:firstLine="643" w:firstLineChars="200"/>
        <w:rPr>
          <w:rFonts w:ascii="仿宋_GB2312" w:eastAsia="仿宋_GB2312" w:cs="仿宋_GB2312"/>
          <w:sz w:val="32"/>
          <w:szCs w:val="32"/>
        </w:rPr>
      </w:pPr>
      <w:r>
        <w:rPr>
          <w:rFonts w:hint="eastAsia" w:ascii="仿宋_GB2312" w:eastAsia="仿宋_GB2312" w:cs="仿宋_GB2312"/>
          <w:b/>
          <w:bCs/>
          <w:sz w:val="32"/>
          <w:szCs w:val="32"/>
        </w:rPr>
        <w:t>12.住房保障支出（类）：</w:t>
      </w:r>
      <w:r>
        <w:rPr>
          <w:rFonts w:hint="eastAsia" w:ascii="仿宋_GB2312" w:eastAsia="仿宋_GB2312" w:cs="仿宋_GB2312"/>
          <w:sz w:val="32"/>
          <w:szCs w:val="32"/>
        </w:rPr>
        <w:t>指政府用于住房方面的支出。</w:t>
      </w:r>
    </w:p>
    <w:p w14:paraId="5A7F87B8">
      <w:pPr>
        <w:ind w:firstLine="640" w:firstLineChars="200"/>
        <w:rPr>
          <w:rFonts w:ascii="仿宋_GB2312" w:eastAsia="仿宋_GB2312" w:cs="仿宋_GB2312"/>
          <w:sz w:val="32"/>
          <w:szCs w:val="32"/>
        </w:rPr>
      </w:pPr>
      <w:r>
        <w:rPr>
          <w:rFonts w:hint="eastAsia" w:ascii="仿宋_GB2312" w:eastAsia="仿宋_GB2312" w:cs="仿宋_GB2312"/>
          <w:sz w:val="32"/>
          <w:szCs w:val="32"/>
        </w:rPr>
        <w:t>住房改革支出（款）：指行政事业单位用财政拨款资金和其他资金等安排的住房改革支出。</w:t>
      </w:r>
    </w:p>
    <w:p w14:paraId="5CE04189">
      <w:pPr>
        <w:ind w:firstLine="640" w:firstLineChars="200"/>
        <w:rPr>
          <w:rFonts w:ascii="仿宋_GB2312" w:eastAsia="仿宋_GB2312" w:cs="仿宋_GB2312"/>
          <w:sz w:val="32"/>
          <w:szCs w:val="32"/>
        </w:rPr>
      </w:pPr>
      <w:r>
        <w:rPr>
          <w:rFonts w:hint="eastAsia" w:ascii="仿宋_GB2312" w:eastAsia="仿宋_GB2312" w:cs="仿宋_GB2312"/>
          <w:sz w:val="32"/>
          <w:szCs w:val="32"/>
        </w:rPr>
        <w:t>住房公积金（项）：指行政事业单位按人力资源和社会保障部、财政部规定的基本工资和津贴补贴以及规定比例为职工缴纳的住房公积金。</w:t>
      </w:r>
    </w:p>
    <w:p w14:paraId="13EC7656">
      <w:pPr>
        <w:ind w:firstLine="643" w:firstLineChars="200"/>
        <w:rPr>
          <w:rFonts w:ascii="仿宋_GB2312" w:eastAsia="仿宋_GB2312" w:cs="仿宋_GB2312"/>
          <w:sz w:val="32"/>
          <w:szCs w:val="32"/>
        </w:rPr>
      </w:pPr>
      <w:r>
        <w:rPr>
          <w:rFonts w:hint="eastAsia" w:ascii="仿宋_GB2312" w:eastAsia="仿宋_GB2312" w:cs="仿宋_GB2312"/>
          <w:b/>
          <w:bCs/>
          <w:sz w:val="32"/>
          <w:szCs w:val="32"/>
        </w:rPr>
        <w:t>13.其他支出（类）：</w:t>
      </w:r>
      <w:r>
        <w:rPr>
          <w:rFonts w:hint="eastAsia" w:ascii="仿宋_GB2312" w:eastAsia="仿宋_GB2312" w:cs="仿宋_GB2312"/>
          <w:sz w:val="32"/>
          <w:szCs w:val="32"/>
        </w:rPr>
        <w:t>指不能划为科学技术支出、文化体育与传媒支出、社会保障和就业支出、节能环保支出、城乡社区支出、农林水支出、交通运输支出、资源勘探信息等支出、商业服务支出、金融支出的其他政府支出。</w:t>
      </w:r>
    </w:p>
    <w:p w14:paraId="6DB61C25">
      <w:pPr>
        <w:ind w:firstLine="640" w:firstLineChars="200"/>
        <w:rPr>
          <w:rFonts w:ascii="仿宋_GB2312" w:eastAsia="仿宋_GB2312" w:cs="仿宋_GB2312"/>
          <w:sz w:val="32"/>
          <w:szCs w:val="32"/>
        </w:rPr>
      </w:pPr>
      <w:r>
        <w:rPr>
          <w:rFonts w:hint="eastAsia" w:ascii="仿宋_GB2312" w:eastAsia="仿宋_GB2312" w:cs="仿宋_GB2312"/>
          <w:sz w:val="32"/>
          <w:szCs w:val="32"/>
        </w:rPr>
        <w:t>其他政府性基金及对应专项债务收入安排的支出（款）：反映其他政府性基金及对应专项债务收入安排的支出（包括用以前年度欠款收入安排的支出）。</w:t>
      </w:r>
    </w:p>
    <w:p w14:paraId="140C7697">
      <w:pPr>
        <w:ind w:firstLine="640" w:firstLineChars="200"/>
        <w:rPr>
          <w:rFonts w:ascii="仿宋_GB2312" w:eastAsia="仿宋_GB2312" w:cs="仿宋_GB2312"/>
          <w:sz w:val="32"/>
          <w:szCs w:val="32"/>
        </w:rPr>
      </w:pPr>
      <w:r>
        <w:rPr>
          <w:rFonts w:hint="eastAsia" w:ascii="仿宋_GB2312" w:eastAsia="仿宋_GB2312" w:cs="仿宋_GB2312"/>
          <w:sz w:val="32"/>
          <w:szCs w:val="32"/>
        </w:rPr>
        <w:t>其他政府性基金安排的支出（项）：反映其他政府性基金安排的支出（包括用以前年度欠款收入安排的支出）。</w:t>
      </w:r>
    </w:p>
    <w:p w14:paraId="3F62FD4B">
      <w:pPr>
        <w:ind w:firstLine="640" w:firstLineChars="200"/>
        <w:rPr>
          <w:rFonts w:ascii="仿宋_GB2312" w:eastAsia="仿宋_GB2312" w:cs="仿宋_GB2312"/>
          <w:sz w:val="32"/>
          <w:szCs w:val="32"/>
        </w:rPr>
      </w:pPr>
      <w:r>
        <w:rPr>
          <w:rFonts w:hint="eastAsia" w:ascii="仿宋_GB2312" w:eastAsia="仿宋_GB2312" w:cs="仿宋_GB2312"/>
          <w:sz w:val="32"/>
          <w:szCs w:val="32"/>
        </w:rPr>
        <w:t>彩票公益金安排的支出(款）：反映彩票公益金安排的支出。</w:t>
      </w:r>
    </w:p>
    <w:p w14:paraId="4D5E9351">
      <w:pPr>
        <w:ind w:firstLine="640" w:firstLineChars="200"/>
        <w:rPr>
          <w:rFonts w:ascii="仿宋_GB2312" w:eastAsia="仿宋_GB2312" w:cs="仿宋_GB2312"/>
          <w:sz w:val="32"/>
          <w:szCs w:val="32"/>
        </w:rPr>
      </w:pPr>
      <w:r>
        <w:rPr>
          <w:rFonts w:hint="eastAsia" w:ascii="仿宋_GB2312" w:eastAsia="仿宋_GB2312" w:cs="仿宋_GB2312"/>
          <w:sz w:val="32"/>
          <w:szCs w:val="32"/>
        </w:rPr>
        <w:t>用于体育事业的彩票公益金支出（项）：反映用于体育事业的彩票公益金支出。</w:t>
      </w:r>
    </w:p>
    <w:p w14:paraId="239E6D88">
      <w:pPr>
        <w:ind w:firstLine="643" w:firstLineChars="200"/>
        <w:rPr>
          <w:rFonts w:ascii="仿宋_GB2312" w:eastAsia="仿宋_GB2312"/>
          <w:color w:val="000000"/>
          <w:sz w:val="32"/>
          <w:szCs w:val="32"/>
        </w:rPr>
      </w:pPr>
      <w:r>
        <w:rPr>
          <w:rFonts w:hint="eastAsia" w:ascii="仿宋_GB2312" w:eastAsia="仿宋_GB2312"/>
          <w:b/>
          <w:bCs/>
          <w:color w:val="000000"/>
          <w:sz w:val="32"/>
          <w:szCs w:val="32"/>
        </w:rPr>
        <w:t>14.基本支出：</w:t>
      </w:r>
      <w:r>
        <w:rPr>
          <w:rFonts w:hint="eastAsia" w:ascii="仿宋_GB2312" w:eastAsia="仿宋_GB2312"/>
          <w:color w:val="000000"/>
          <w:sz w:val="32"/>
          <w:szCs w:val="32"/>
        </w:rPr>
        <w:t>指为保障机构正常运转、完成日常工作任务而发生的人员支出和公用支出。</w:t>
      </w:r>
    </w:p>
    <w:p w14:paraId="126FDA91">
      <w:pPr>
        <w:ind w:firstLine="643" w:firstLineChars="200"/>
        <w:rPr>
          <w:rFonts w:ascii="仿宋_GB2312" w:eastAsia="仿宋_GB2312"/>
          <w:color w:val="000000"/>
          <w:sz w:val="32"/>
          <w:szCs w:val="32"/>
        </w:rPr>
      </w:pPr>
      <w:r>
        <w:rPr>
          <w:rFonts w:hint="eastAsia" w:ascii="仿宋_GB2312" w:eastAsia="仿宋_GB2312"/>
          <w:b/>
          <w:bCs/>
          <w:color w:val="000000"/>
          <w:sz w:val="32"/>
          <w:szCs w:val="32"/>
        </w:rPr>
        <w:t>15</w:t>
      </w:r>
      <w:r>
        <w:rPr>
          <w:rFonts w:ascii="仿宋_GB2312" w:eastAsia="仿宋_GB2312"/>
          <w:b/>
          <w:bCs/>
          <w:color w:val="000000"/>
          <w:sz w:val="32"/>
          <w:szCs w:val="32"/>
        </w:rPr>
        <w:t>.</w:t>
      </w:r>
      <w:r>
        <w:rPr>
          <w:rFonts w:hint="eastAsia" w:ascii="仿宋_GB2312" w:eastAsia="仿宋_GB2312"/>
          <w:b/>
          <w:bCs/>
          <w:color w:val="000000"/>
          <w:sz w:val="32"/>
          <w:szCs w:val="32"/>
        </w:rPr>
        <w:t>项目支出：</w:t>
      </w:r>
      <w:r>
        <w:rPr>
          <w:rFonts w:hint="eastAsia" w:ascii="仿宋_GB2312" w:eastAsia="仿宋_GB2312"/>
          <w:color w:val="000000"/>
          <w:sz w:val="32"/>
          <w:szCs w:val="32"/>
        </w:rPr>
        <w:t>指在基本支出之外为完成特定行政任务和事业发展目标所发生的支出。</w:t>
      </w:r>
      <w:r>
        <w:rPr>
          <w:rFonts w:ascii="仿宋_GB2312" w:eastAsia="仿宋_GB2312"/>
          <w:color w:val="000000"/>
          <w:sz w:val="32"/>
          <w:szCs w:val="32"/>
        </w:rPr>
        <w:t xml:space="preserve"> </w:t>
      </w:r>
    </w:p>
    <w:p w14:paraId="258525D5">
      <w:pPr>
        <w:ind w:firstLine="643" w:firstLineChars="200"/>
        <w:rPr>
          <w:rFonts w:ascii="仿宋_GB2312" w:eastAsia="仿宋_GB2312"/>
          <w:color w:val="000000"/>
          <w:sz w:val="32"/>
          <w:szCs w:val="32"/>
        </w:rPr>
      </w:pPr>
      <w:r>
        <w:rPr>
          <w:rFonts w:hint="eastAsia" w:ascii="仿宋_GB2312" w:eastAsia="仿宋_GB2312"/>
          <w:b/>
          <w:bCs/>
          <w:color w:val="000000"/>
          <w:sz w:val="32"/>
          <w:szCs w:val="32"/>
        </w:rPr>
        <w:t>16</w:t>
      </w:r>
      <w:r>
        <w:rPr>
          <w:rFonts w:ascii="仿宋_GB2312" w:eastAsia="仿宋_GB2312"/>
          <w:b/>
          <w:bCs/>
          <w:color w:val="000000"/>
          <w:sz w:val="32"/>
          <w:szCs w:val="32"/>
        </w:rPr>
        <w:t>.</w:t>
      </w:r>
      <w:r>
        <w:rPr>
          <w:rFonts w:hint="eastAsia" w:ascii="仿宋_GB2312" w:eastAsia="仿宋_GB2312"/>
          <w:b/>
          <w:bCs/>
          <w:color w:val="000000"/>
          <w:sz w:val="32"/>
          <w:szCs w:val="32"/>
        </w:rPr>
        <w:t>经营支出：</w:t>
      </w:r>
      <w:r>
        <w:rPr>
          <w:rFonts w:hint="eastAsia" w:ascii="仿宋_GB2312" w:eastAsia="仿宋_GB2312"/>
          <w:color w:val="000000"/>
          <w:sz w:val="32"/>
          <w:szCs w:val="32"/>
        </w:rPr>
        <w:t>指事业单位在专业业务活动及其辅助活动之外开展非独立核算经营活动发生的支出。</w:t>
      </w:r>
    </w:p>
    <w:p w14:paraId="290FECE0">
      <w:pPr>
        <w:pStyle w:val="25"/>
        <w:spacing w:line="560" w:lineRule="exact"/>
        <w:ind w:firstLine="643" w:firstLineChars="200"/>
        <w:rPr>
          <w:rFonts w:ascii="仿宋_GB2312" w:eastAsia="仿宋_GB2312"/>
          <w:sz w:val="32"/>
          <w:szCs w:val="32"/>
        </w:rPr>
      </w:pPr>
      <w:r>
        <w:rPr>
          <w:rFonts w:hint="eastAsia" w:ascii="仿宋_GB2312" w:eastAsia="仿宋_GB2312"/>
          <w:b/>
          <w:bCs/>
          <w:sz w:val="32"/>
          <w:szCs w:val="32"/>
        </w:rPr>
        <w:t>17</w:t>
      </w:r>
      <w:r>
        <w:rPr>
          <w:rFonts w:ascii="仿宋_GB2312" w:eastAsia="仿宋_GB2312"/>
          <w:b/>
          <w:bCs/>
          <w:sz w:val="32"/>
          <w:szCs w:val="32"/>
        </w:rPr>
        <w:t>.</w:t>
      </w:r>
      <w:r>
        <w:rPr>
          <w:rFonts w:hint="eastAsia" w:ascii="仿宋_GB2312" w:eastAsia="仿宋_GB2312"/>
          <w:b/>
          <w:bCs/>
          <w:sz w:val="32"/>
          <w:szCs w:val="32"/>
        </w:rPr>
        <w:t>“三公”经费：</w:t>
      </w:r>
      <w:r>
        <w:rPr>
          <w:rFonts w:hint="eastAsia" w:ascii="仿宋_GB2312" w:eastAsia="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FF797F2">
      <w:pPr>
        <w:pStyle w:val="25"/>
        <w:spacing w:line="560" w:lineRule="exact"/>
        <w:ind w:firstLine="643" w:firstLineChars="200"/>
        <w:rPr>
          <w:rFonts w:ascii="仿宋_GB2312" w:eastAsia="仿宋_GB2312"/>
          <w:sz w:val="32"/>
          <w:szCs w:val="32"/>
        </w:rPr>
      </w:pPr>
      <w:r>
        <w:rPr>
          <w:rFonts w:hint="eastAsia" w:ascii="仿宋_GB2312" w:eastAsia="仿宋_GB2312"/>
          <w:b/>
          <w:bCs/>
          <w:sz w:val="32"/>
          <w:szCs w:val="32"/>
        </w:rPr>
        <w:t>18</w:t>
      </w:r>
      <w:r>
        <w:rPr>
          <w:rFonts w:ascii="仿宋_GB2312" w:eastAsia="仿宋_GB2312"/>
          <w:b/>
          <w:bCs/>
          <w:sz w:val="32"/>
          <w:szCs w:val="32"/>
        </w:rPr>
        <w:t>.</w:t>
      </w:r>
      <w:r>
        <w:rPr>
          <w:rFonts w:hint="eastAsia" w:ascii="仿宋_GB2312" w:eastAsia="仿宋_GB2312"/>
          <w:b/>
          <w:bCs/>
          <w:sz w:val="32"/>
          <w:szCs w:val="32"/>
        </w:rPr>
        <w:t>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1338FE3">
      <w:pPr>
        <w:spacing w:line="600" w:lineRule="exact"/>
        <w:jc w:val="left"/>
        <w:rPr>
          <w:rFonts w:ascii="宋体"/>
          <w:b/>
          <w:color w:val="000000"/>
          <w:sz w:val="44"/>
          <w:szCs w:val="44"/>
        </w:rPr>
      </w:pPr>
    </w:p>
    <w:p w14:paraId="162E234A">
      <w:pPr>
        <w:spacing w:line="600" w:lineRule="exact"/>
        <w:jc w:val="center"/>
        <w:outlineLvl w:val="0"/>
        <w:rPr>
          <w:rStyle w:val="27"/>
          <w:rFonts w:hint="eastAsia"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7"/>
          <w:rFonts w:hint="eastAsia" w:ascii="黑体" w:hAnsi="黑体" w:eastAsia="黑体"/>
          <w:b w:val="0"/>
        </w:rPr>
        <w:t>四部分 附件</w:t>
      </w:r>
      <w:bookmarkEnd w:id="58"/>
    </w:p>
    <w:p w14:paraId="26F0C2A3">
      <w:pPr>
        <w:pStyle w:val="2"/>
      </w:pPr>
    </w:p>
    <w:p w14:paraId="6F9B1DEC">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75D1BC38">
      <w:pPr>
        <w:spacing w:line="600" w:lineRule="exact"/>
        <w:jc w:val="center"/>
        <w:rPr>
          <w:rFonts w:hint="eastAsia" w:ascii="方正小标宋简体" w:hAnsi="宋体" w:eastAsia="方正小标宋简体"/>
          <w:sz w:val="44"/>
          <w:szCs w:val="44"/>
          <w:shd w:val="clear" w:color="auto" w:fill="FFFFFF"/>
        </w:rPr>
      </w:pPr>
    </w:p>
    <w:p w14:paraId="0719B6BE">
      <w:pPr>
        <w:spacing w:line="600" w:lineRule="exact"/>
        <w:jc w:val="center"/>
        <w:rPr>
          <w:rFonts w:hint="eastAsia"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德阳市罗江区文化体育广播电视和旅游局</w:t>
      </w:r>
    </w:p>
    <w:p w14:paraId="7AF41F2F">
      <w:pPr>
        <w:spacing w:line="600" w:lineRule="exact"/>
        <w:jc w:val="center"/>
        <w:rPr>
          <w:rFonts w:hint="eastAsia"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2020年整体支出绩效自评报告</w:t>
      </w:r>
    </w:p>
    <w:p w14:paraId="3122649E">
      <w:pPr>
        <w:spacing w:line="520" w:lineRule="exact"/>
        <w:jc w:val="cente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（报告范围包括本部门机关）</w:t>
      </w:r>
    </w:p>
    <w:p w14:paraId="38B6337B">
      <w:pPr>
        <w:adjustRightInd w:val="0"/>
        <w:snapToGrid w:val="0"/>
        <w:spacing w:line="520" w:lineRule="exact"/>
        <w:ind w:firstLine="720"/>
        <w:rPr>
          <w:rFonts w:hint="eastAsia" w:ascii="黑体" w:hAnsi="宋体" w:eastAsia="黑体" w:cs="宋体"/>
          <w:color w:val="000000"/>
          <w:kern w:val="0"/>
          <w:sz w:val="24"/>
          <w:szCs w:val="32"/>
          <w:shd w:val="clear" w:color="auto" w:fill="FFFFFF"/>
        </w:rPr>
      </w:pPr>
    </w:p>
    <w:p w14:paraId="1D1B9B62">
      <w:pPr>
        <w:adjustRightInd w:val="0"/>
        <w:snapToGrid w:val="0"/>
        <w:spacing w:line="520" w:lineRule="exact"/>
        <w:ind w:firstLine="640" w:firstLineChars="200"/>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部门概况</w:t>
      </w:r>
    </w:p>
    <w:p w14:paraId="1CD8D0AD">
      <w:pPr>
        <w:adjustRightInd w:val="0"/>
        <w:snapToGrid w:val="0"/>
        <w:spacing w:line="520" w:lineRule="exact"/>
        <w:ind w:firstLine="640" w:firstLineChars="200"/>
        <w:rPr>
          <w:rFonts w:hint="eastAsia"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（一）机构组成。</w:t>
      </w:r>
    </w:p>
    <w:p w14:paraId="2049FEBE">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德阳市罗江区文化体育广播电视和旅游局包括一级预算单位1个和下属二级预算单位</w:t>
      </w:r>
      <w:r>
        <w:rPr>
          <w:rFonts w:hint="eastAsia" w:ascii="仿宋" w:hAnsi="仿宋" w:eastAsia="仿宋" w:cs="仿宋"/>
          <w:color w:val="000000"/>
          <w:kern w:val="0"/>
          <w:sz w:val="32"/>
          <w:szCs w:val="32"/>
          <w:shd w:val="clear" w:color="auto" w:fill="FFFFFF"/>
          <w:lang w:val="en-US" w:eastAsia="zh-CN"/>
        </w:rPr>
        <w:t>2</w:t>
      </w:r>
      <w:r>
        <w:rPr>
          <w:rFonts w:hint="eastAsia" w:ascii="仿宋" w:hAnsi="仿宋" w:eastAsia="仿宋" w:cs="仿宋"/>
          <w:color w:val="000000"/>
          <w:kern w:val="0"/>
          <w:sz w:val="32"/>
          <w:szCs w:val="32"/>
          <w:shd w:val="clear" w:color="auto" w:fill="FFFFFF"/>
          <w:lang w:val="zh-CN"/>
        </w:rPr>
        <w:t>个，其中参照公务员法管理的事业单位2个（罗江区文化市场综合行政执法大队、罗江区文化体育和旅游产业发展服务中心</w:t>
      </w:r>
      <w:r>
        <w:rPr>
          <w:rFonts w:hint="eastAsia" w:ascii="仿宋" w:hAnsi="仿宋" w:eastAsia="仿宋" w:cs="仿宋"/>
          <w:color w:val="000000"/>
          <w:kern w:val="0"/>
          <w:sz w:val="32"/>
          <w:szCs w:val="32"/>
          <w:shd w:val="clear" w:color="auto" w:fill="FFFFFF"/>
          <w:lang w:val="en-US" w:eastAsia="zh-CN"/>
        </w:rPr>
        <w:t>)</w:t>
      </w:r>
      <w:r>
        <w:rPr>
          <w:rFonts w:hint="eastAsia" w:ascii="仿宋" w:hAnsi="仿宋" w:eastAsia="仿宋" w:cs="仿宋"/>
          <w:color w:val="000000"/>
          <w:kern w:val="0"/>
          <w:sz w:val="32"/>
          <w:szCs w:val="32"/>
          <w:shd w:val="clear" w:color="auto" w:fill="FFFFFF"/>
          <w:lang w:val="zh-CN"/>
        </w:rPr>
        <w:t>。</w:t>
      </w:r>
    </w:p>
    <w:p w14:paraId="22CC6FC0">
      <w:pPr>
        <w:adjustRightInd w:val="0"/>
        <w:snapToGrid w:val="0"/>
        <w:spacing w:line="520" w:lineRule="exact"/>
        <w:ind w:firstLine="640" w:firstLineChars="200"/>
        <w:rPr>
          <w:rFonts w:hint="eastAsia"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（二）机构职能。</w:t>
      </w:r>
    </w:p>
    <w:p w14:paraId="434C7CE4">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围绕区委、区政府重要工作，管理全区重大文化、体育、广播电视和旅游活动；推进公共文化、旅游服务体系建设，实施文化惠民工程；加大对文化、体育、广播电视和旅游市场经营进行监管；管理全区文物保护利用和博物馆工作，协调、指导和监管全区文物安全等。</w:t>
      </w:r>
    </w:p>
    <w:p w14:paraId="452DC24A">
      <w:pPr>
        <w:adjustRightInd w:val="0"/>
        <w:snapToGrid w:val="0"/>
        <w:spacing w:line="520" w:lineRule="exact"/>
        <w:ind w:firstLine="640" w:firstLineChars="200"/>
        <w:rPr>
          <w:rFonts w:hint="eastAsia" w:ascii="方正楷体简体" w:hAnsi="宋体" w:eastAsia="方正楷体简体" w:cs="宋体"/>
          <w:color w:val="000000"/>
          <w:kern w:val="0"/>
          <w:szCs w:val="32"/>
          <w:highlight w:val="none"/>
          <w:shd w:val="clear" w:color="auto" w:fill="FFFFFF"/>
          <w:lang w:val="zh-CN"/>
        </w:rPr>
      </w:pPr>
      <w:r>
        <w:rPr>
          <w:rFonts w:hint="eastAsia" w:ascii="楷体" w:hAnsi="楷体" w:eastAsia="楷体" w:cs="楷体"/>
          <w:color w:val="000000"/>
          <w:kern w:val="0"/>
          <w:sz w:val="32"/>
          <w:szCs w:val="32"/>
          <w:highlight w:val="none"/>
          <w:shd w:val="clear" w:color="auto" w:fill="FFFFFF"/>
          <w:lang w:val="zh-CN"/>
        </w:rPr>
        <w:t>（三）人员概况</w:t>
      </w:r>
    </w:p>
    <w:p w14:paraId="50C79580">
      <w:pPr>
        <w:adjustRightInd w:val="0"/>
        <w:snapToGrid w:val="0"/>
        <w:spacing w:line="520" w:lineRule="exact"/>
        <w:ind w:firstLine="640" w:firstLineChars="200"/>
        <w:rPr>
          <w:rFonts w:hint="eastAsia" w:ascii="仿宋" w:hAnsi="仿宋" w:eastAsia="仿宋" w:cs="仿宋"/>
          <w:color w:val="000000"/>
          <w:kern w:val="0"/>
          <w:sz w:val="32"/>
          <w:szCs w:val="32"/>
          <w:highlight w:val="none"/>
          <w:shd w:val="clear" w:color="auto" w:fill="FFFFFF"/>
          <w:lang w:val="zh-CN"/>
        </w:rPr>
      </w:pPr>
      <w:r>
        <w:rPr>
          <w:rFonts w:hint="eastAsia" w:ascii="仿宋" w:hAnsi="仿宋" w:eastAsia="仿宋" w:cs="仿宋"/>
          <w:color w:val="000000"/>
          <w:kern w:val="0"/>
          <w:sz w:val="32"/>
          <w:szCs w:val="32"/>
          <w:highlight w:val="none"/>
          <w:shd w:val="clear" w:color="auto" w:fill="FFFFFF"/>
          <w:lang w:val="zh-CN"/>
        </w:rPr>
        <w:t>总编制</w:t>
      </w:r>
      <w:r>
        <w:rPr>
          <w:rFonts w:hint="eastAsia" w:ascii="仿宋" w:hAnsi="仿宋" w:eastAsia="仿宋" w:cs="仿宋"/>
          <w:color w:val="000000"/>
          <w:kern w:val="0"/>
          <w:sz w:val="32"/>
          <w:szCs w:val="32"/>
          <w:highlight w:val="none"/>
          <w:shd w:val="clear" w:color="auto" w:fill="FFFFFF"/>
          <w:lang w:val="en-US" w:eastAsia="zh-CN"/>
        </w:rPr>
        <w:t>23</w:t>
      </w:r>
      <w:r>
        <w:rPr>
          <w:rFonts w:hint="eastAsia" w:ascii="仿宋" w:hAnsi="仿宋" w:eastAsia="仿宋" w:cs="仿宋"/>
          <w:color w:val="000000"/>
          <w:kern w:val="0"/>
          <w:sz w:val="32"/>
          <w:szCs w:val="32"/>
          <w:highlight w:val="none"/>
          <w:shd w:val="clear" w:color="auto" w:fill="FFFFFF"/>
          <w:lang w:val="zh-CN"/>
        </w:rPr>
        <w:t>名，其中行政编制7名，事业编制</w:t>
      </w:r>
      <w:r>
        <w:rPr>
          <w:rFonts w:hint="eastAsia" w:ascii="仿宋" w:hAnsi="仿宋" w:eastAsia="仿宋" w:cs="仿宋"/>
          <w:color w:val="000000"/>
          <w:kern w:val="0"/>
          <w:sz w:val="32"/>
          <w:szCs w:val="32"/>
          <w:highlight w:val="none"/>
          <w:shd w:val="clear" w:color="auto" w:fill="FFFFFF"/>
          <w:lang w:val="en-US" w:eastAsia="zh-CN"/>
        </w:rPr>
        <w:t>16</w:t>
      </w:r>
      <w:r>
        <w:rPr>
          <w:rFonts w:hint="eastAsia" w:ascii="仿宋" w:hAnsi="仿宋" w:eastAsia="仿宋" w:cs="仿宋"/>
          <w:color w:val="000000"/>
          <w:kern w:val="0"/>
          <w:sz w:val="32"/>
          <w:szCs w:val="32"/>
          <w:highlight w:val="none"/>
          <w:shd w:val="clear" w:color="auto" w:fill="FFFFFF"/>
          <w:lang w:val="zh-CN"/>
        </w:rPr>
        <w:t>名，工勤编制1名。在职人员总数</w:t>
      </w:r>
      <w:r>
        <w:rPr>
          <w:rFonts w:hint="eastAsia" w:ascii="仿宋" w:hAnsi="仿宋" w:eastAsia="仿宋" w:cs="仿宋"/>
          <w:color w:val="000000"/>
          <w:kern w:val="0"/>
          <w:sz w:val="32"/>
          <w:szCs w:val="32"/>
          <w:highlight w:val="none"/>
          <w:shd w:val="clear" w:color="auto" w:fill="FFFFFF"/>
          <w:lang w:val="en-US" w:eastAsia="zh-CN"/>
        </w:rPr>
        <w:t>15</w:t>
      </w:r>
      <w:r>
        <w:rPr>
          <w:rFonts w:hint="eastAsia" w:ascii="仿宋" w:hAnsi="仿宋" w:eastAsia="仿宋" w:cs="仿宋"/>
          <w:color w:val="000000"/>
          <w:kern w:val="0"/>
          <w:sz w:val="32"/>
          <w:szCs w:val="32"/>
          <w:highlight w:val="none"/>
          <w:shd w:val="clear" w:color="auto" w:fill="FFFFFF"/>
          <w:lang w:val="zh-CN"/>
        </w:rPr>
        <w:t>人，其中：行政人员6人，事业人员</w:t>
      </w:r>
      <w:r>
        <w:rPr>
          <w:rFonts w:hint="eastAsia" w:ascii="仿宋" w:hAnsi="仿宋" w:eastAsia="仿宋" w:cs="仿宋"/>
          <w:color w:val="000000"/>
          <w:kern w:val="0"/>
          <w:sz w:val="32"/>
          <w:szCs w:val="32"/>
          <w:highlight w:val="none"/>
          <w:shd w:val="clear" w:color="auto" w:fill="FFFFFF"/>
          <w:lang w:val="en-US" w:eastAsia="zh-CN"/>
        </w:rPr>
        <w:t>6</w:t>
      </w:r>
      <w:r>
        <w:rPr>
          <w:rFonts w:hint="eastAsia" w:ascii="仿宋" w:hAnsi="仿宋" w:eastAsia="仿宋" w:cs="仿宋"/>
          <w:color w:val="000000"/>
          <w:kern w:val="0"/>
          <w:sz w:val="32"/>
          <w:szCs w:val="32"/>
          <w:highlight w:val="none"/>
          <w:shd w:val="clear" w:color="auto" w:fill="FFFFFF"/>
          <w:lang w:val="zh-CN"/>
        </w:rPr>
        <w:t>人，工勤人员3人；离退休人员</w:t>
      </w:r>
      <w:r>
        <w:rPr>
          <w:rFonts w:hint="eastAsia" w:ascii="仿宋" w:hAnsi="仿宋" w:eastAsia="仿宋" w:cs="仿宋"/>
          <w:color w:val="000000"/>
          <w:kern w:val="0"/>
          <w:sz w:val="32"/>
          <w:szCs w:val="32"/>
          <w:highlight w:val="none"/>
          <w:shd w:val="clear" w:color="auto" w:fill="FFFFFF"/>
          <w:lang w:val="en-US" w:eastAsia="zh-CN"/>
        </w:rPr>
        <w:t>5</w:t>
      </w:r>
      <w:r>
        <w:rPr>
          <w:rFonts w:hint="eastAsia" w:ascii="仿宋" w:hAnsi="仿宋" w:eastAsia="仿宋" w:cs="仿宋"/>
          <w:color w:val="000000"/>
          <w:kern w:val="0"/>
          <w:sz w:val="32"/>
          <w:szCs w:val="32"/>
          <w:highlight w:val="none"/>
          <w:shd w:val="clear" w:color="auto" w:fill="FFFFFF"/>
          <w:lang w:val="zh-CN"/>
        </w:rPr>
        <w:t>人，其中：退休人员</w:t>
      </w:r>
      <w:r>
        <w:rPr>
          <w:rFonts w:hint="eastAsia" w:ascii="仿宋" w:hAnsi="仿宋" w:eastAsia="仿宋" w:cs="仿宋"/>
          <w:color w:val="000000"/>
          <w:kern w:val="0"/>
          <w:sz w:val="32"/>
          <w:szCs w:val="32"/>
          <w:highlight w:val="none"/>
          <w:shd w:val="clear" w:color="auto" w:fill="FFFFFF"/>
          <w:lang w:val="en-US" w:eastAsia="zh-CN"/>
        </w:rPr>
        <w:t>5</w:t>
      </w:r>
      <w:r>
        <w:rPr>
          <w:rFonts w:hint="eastAsia" w:ascii="仿宋" w:hAnsi="仿宋" w:eastAsia="仿宋" w:cs="仿宋"/>
          <w:color w:val="000000"/>
          <w:kern w:val="0"/>
          <w:sz w:val="32"/>
          <w:szCs w:val="32"/>
          <w:highlight w:val="none"/>
          <w:shd w:val="clear" w:color="auto" w:fill="FFFFFF"/>
          <w:lang w:val="zh-CN"/>
        </w:rPr>
        <w:t>人。</w:t>
      </w:r>
    </w:p>
    <w:p w14:paraId="7CADC48E">
      <w:pPr>
        <w:adjustRightInd w:val="0"/>
        <w:snapToGrid w:val="0"/>
        <w:spacing w:line="520" w:lineRule="exact"/>
        <w:ind w:firstLine="640" w:firstLineChars="200"/>
        <w:rPr>
          <w:rFonts w:hint="eastAsia"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14:paraId="5FE3FC78">
      <w:pPr>
        <w:adjustRightInd w:val="0"/>
        <w:snapToGrid w:val="0"/>
        <w:spacing w:line="520" w:lineRule="exact"/>
        <w:ind w:firstLine="640" w:firstLineChars="200"/>
        <w:rPr>
          <w:rFonts w:hint="eastAsia"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（一）部门财政资金收入情况。</w:t>
      </w:r>
    </w:p>
    <w:p w14:paraId="00852742">
      <w:pPr>
        <w:jc w:val="left"/>
        <w:rPr>
          <w:rFonts w:hint="eastAsia"/>
          <w:lang w:val="zh-CN"/>
        </w:rPr>
      </w:pPr>
    </w:p>
    <w:p w14:paraId="08346208">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财政资金基本支出预算收入总额</w:t>
      </w:r>
      <w:r>
        <w:rPr>
          <w:rFonts w:hint="eastAsia" w:ascii="仿宋" w:hAnsi="仿宋" w:eastAsia="仿宋" w:cs="仿宋"/>
          <w:color w:val="000000"/>
          <w:kern w:val="0"/>
          <w:sz w:val="32"/>
          <w:szCs w:val="32"/>
          <w:shd w:val="clear" w:color="auto" w:fill="FFFFFF"/>
          <w:lang w:val="en-US" w:eastAsia="zh-CN"/>
        </w:rPr>
        <w:t>306.47</w:t>
      </w:r>
      <w:r>
        <w:rPr>
          <w:rFonts w:hint="eastAsia" w:ascii="仿宋" w:hAnsi="仿宋" w:eastAsia="仿宋" w:cs="仿宋"/>
          <w:color w:val="000000"/>
          <w:kern w:val="0"/>
          <w:sz w:val="32"/>
          <w:szCs w:val="32"/>
          <w:shd w:val="clear" w:color="auto" w:fill="FFFFFF"/>
          <w:lang w:val="zh-CN"/>
        </w:rPr>
        <w:t>万元，其中工资福利支出</w:t>
      </w:r>
      <w:r>
        <w:rPr>
          <w:rFonts w:hint="eastAsia" w:ascii="仿宋" w:hAnsi="仿宋" w:eastAsia="仿宋" w:cs="仿宋"/>
          <w:color w:val="000000"/>
          <w:kern w:val="0"/>
          <w:sz w:val="32"/>
          <w:szCs w:val="32"/>
          <w:shd w:val="clear" w:color="auto" w:fill="FFFFFF"/>
          <w:lang w:val="en-US" w:eastAsia="zh-CN"/>
        </w:rPr>
        <w:t>240.54</w:t>
      </w:r>
      <w:r>
        <w:rPr>
          <w:rFonts w:hint="eastAsia" w:ascii="仿宋" w:hAnsi="仿宋" w:eastAsia="仿宋" w:cs="仿宋"/>
          <w:color w:val="000000"/>
          <w:kern w:val="0"/>
          <w:sz w:val="32"/>
          <w:szCs w:val="32"/>
          <w:shd w:val="clear" w:color="auto" w:fill="FFFFFF"/>
          <w:lang w:val="zh-CN"/>
        </w:rPr>
        <w:t>万元；商品和服务支出</w:t>
      </w:r>
      <w:r>
        <w:rPr>
          <w:rFonts w:hint="eastAsia" w:ascii="仿宋" w:hAnsi="仿宋" w:eastAsia="仿宋" w:cs="仿宋"/>
          <w:color w:val="000000"/>
          <w:kern w:val="0"/>
          <w:sz w:val="32"/>
          <w:szCs w:val="32"/>
          <w:shd w:val="clear" w:color="auto" w:fill="FFFFFF"/>
          <w:lang w:val="en-US" w:eastAsia="zh-CN"/>
        </w:rPr>
        <w:t>56.24</w:t>
      </w:r>
      <w:r>
        <w:rPr>
          <w:rFonts w:hint="eastAsia" w:ascii="仿宋" w:hAnsi="仿宋" w:eastAsia="仿宋" w:cs="仿宋"/>
          <w:color w:val="000000"/>
          <w:kern w:val="0"/>
          <w:sz w:val="32"/>
          <w:szCs w:val="32"/>
          <w:shd w:val="clear" w:color="auto" w:fill="FFFFFF"/>
          <w:lang w:val="zh-CN"/>
        </w:rPr>
        <w:t>万元；其他对个人和家庭的补助支出</w:t>
      </w:r>
      <w:r>
        <w:rPr>
          <w:rFonts w:hint="eastAsia" w:ascii="仿宋" w:hAnsi="仿宋" w:eastAsia="仿宋" w:cs="仿宋"/>
          <w:color w:val="000000"/>
          <w:kern w:val="0"/>
          <w:sz w:val="32"/>
          <w:szCs w:val="32"/>
          <w:shd w:val="clear" w:color="auto" w:fill="FFFFFF"/>
          <w:lang w:val="en-US" w:eastAsia="zh-CN"/>
        </w:rPr>
        <w:t>9.69</w:t>
      </w:r>
      <w:r>
        <w:rPr>
          <w:rFonts w:hint="eastAsia" w:ascii="仿宋" w:hAnsi="仿宋" w:eastAsia="仿宋" w:cs="仿宋"/>
          <w:color w:val="000000"/>
          <w:kern w:val="0"/>
          <w:sz w:val="32"/>
          <w:szCs w:val="32"/>
          <w:shd w:val="clear" w:color="auto" w:fill="FFFFFF"/>
          <w:lang w:val="zh-CN"/>
        </w:rPr>
        <w:t>万元。</w:t>
      </w:r>
    </w:p>
    <w:p w14:paraId="4D6BBFB3">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项目支出预算收入总额</w:t>
      </w:r>
      <w:r>
        <w:rPr>
          <w:rFonts w:hint="eastAsia" w:ascii="仿宋" w:hAnsi="仿宋" w:eastAsia="仿宋" w:cs="仿宋"/>
          <w:color w:val="000000"/>
          <w:kern w:val="0"/>
          <w:sz w:val="32"/>
          <w:szCs w:val="32"/>
          <w:shd w:val="clear" w:color="auto" w:fill="FFFFFF"/>
          <w:lang w:val="en-US" w:eastAsia="zh-CN"/>
        </w:rPr>
        <w:t>79.85</w:t>
      </w:r>
      <w:r>
        <w:rPr>
          <w:rFonts w:hint="eastAsia" w:ascii="仿宋" w:hAnsi="仿宋" w:eastAsia="仿宋" w:cs="仿宋"/>
          <w:color w:val="000000"/>
          <w:kern w:val="0"/>
          <w:sz w:val="32"/>
          <w:szCs w:val="32"/>
          <w:shd w:val="clear" w:color="auto" w:fill="FFFFFF"/>
          <w:lang w:val="zh-CN"/>
        </w:rPr>
        <w:t>万元：</w:t>
      </w:r>
    </w:p>
    <w:p w14:paraId="4671E270">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1.聘用人员经费11.90万元</w:t>
      </w:r>
    </w:p>
    <w:p w14:paraId="4958B744">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 xml:space="preserve">2.旅游营销运行经费9万元 </w:t>
      </w:r>
    </w:p>
    <w:p w14:paraId="74ED86A5">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3.老体协补助经费5万元</w:t>
      </w:r>
    </w:p>
    <w:p w14:paraId="50814148">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4.书画院补助经费5万元</w:t>
      </w:r>
    </w:p>
    <w:p w14:paraId="51FCB1AF">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5.群众体育经费5万元</w:t>
      </w:r>
    </w:p>
    <w:p w14:paraId="22558ACC">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6．水上项目训练经费4.55万元</w:t>
      </w:r>
    </w:p>
    <w:p w14:paraId="51B37586">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7.文化市场综合执法经费5万元</w:t>
      </w:r>
    </w:p>
    <w:p w14:paraId="76DA689A">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8.“三馆一站”免费开放经费</w:t>
      </w:r>
      <w:r>
        <w:rPr>
          <w:rFonts w:hint="eastAsia" w:ascii="仿宋" w:hAnsi="仿宋" w:eastAsia="仿宋" w:cs="仿宋"/>
          <w:color w:val="000000"/>
          <w:kern w:val="0"/>
          <w:sz w:val="32"/>
          <w:szCs w:val="32"/>
          <w:shd w:val="clear" w:color="auto" w:fill="FFFFFF"/>
          <w:lang w:val="en-US" w:eastAsia="zh-CN"/>
        </w:rPr>
        <w:t>6</w:t>
      </w:r>
      <w:r>
        <w:rPr>
          <w:rFonts w:hint="eastAsia" w:ascii="仿宋" w:hAnsi="仿宋" w:eastAsia="仿宋" w:cs="仿宋"/>
          <w:color w:val="000000"/>
          <w:kern w:val="0"/>
          <w:sz w:val="32"/>
          <w:szCs w:val="32"/>
          <w:shd w:val="clear" w:color="auto" w:fill="FFFFFF"/>
          <w:lang w:val="zh-CN"/>
        </w:rPr>
        <w:t>万元</w:t>
      </w:r>
    </w:p>
    <w:p w14:paraId="4D8E5972">
      <w:pPr>
        <w:adjustRightInd w:val="0"/>
        <w:snapToGrid w:val="0"/>
        <w:spacing w:line="520" w:lineRule="exac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en-US" w:eastAsia="zh-CN"/>
        </w:rPr>
        <w:t xml:space="preserve">    9</w:t>
      </w:r>
      <w:r>
        <w:rPr>
          <w:rFonts w:hint="eastAsia" w:ascii="仿宋" w:hAnsi="仿宋" w:eastAsia="仿宋" w:cs="仿宋"/>
          <w:color w:val="000000"/>
          <w:kern w:val="0"/>
          <w:sz w:val="32"/>
          <w:szCs w:val="32"/>
          <w:shd w:val="clear" w:color="auto" w:fill="FFFFFF"/>
          <w:lang w:val="zh-CN"/>
        </w:rPr>
        <w:t>.“村村响”运行维护经费20.4万元</w:t>
      </w:r>
    </w:p>
    <w:p w14:paraId="280F330B">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w:t>
      </w:r>
      <w:r>
        <w:rPr>
          <w:rFonts w:hint="eastAsia" w:ascii="仿宋" w:hAnsi="仿宋" w:eastAsia="仿宋" w:cs="仿宋"/>
          <w:color w:val="000000"/>
          <w:kern w:val="0"/>
          <w:sz w:val="32"/>
          <w:szCs w:val="32"/>
          <w:shd w:val="clear" w:color="auto" w:fill="FFFFFF"/>
          <w:lang w:val="en-US" w:eastAsia="zh-CN"/>
        </w:rPr>
        <w:t>0</w:t>
      </w:r>
      <w:r>
        <w:rPr>
          <w:rFonts w:hint="eastAsia" w:ascii="仿宋" w:hAnsi="仿宋" w:eastAsia="仿宋" w:cs="仿宋"/>
          <w:color w:val="000000"/>
          <w:kern w:val="0"/>
          <w:sz w:val="32"/>
          <w:szCs w:val="32"/>
          <w:shd w:val="clear" w:color="auto" w:fill="FFFFFF"/>
          <w:lang w:val="zh-CN"/>
        </w:rPr>
        <w:t>.白马关发射台运行维护费2万元</w:t>
      </w:r>
    </w:p>
    <w:p w14:paraId="673593F3">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w:t>
      </w:r>
      <w:r>
        <w:rPr>
          <w:rFonts w:hint="eastAsia" w:ascii="仿宋" w:hAnsi="仿宋" w:eastAsia="仿宋" w:cs="仿宋"/>
          <w:color w:val="000000"/>
          <w:kern w:val="0"/>
          <w:sz w:val="32"/>
          <w:szCs w:val="32"/>
          <w:shd w:val="clear" w:color="auto" w:fill="FFFFFF"/>
          <w:lang w:val="en-US" w:eastAsia="zh-CN"/>
        </w:rPr>
        <w:t>1</w:t>
      </w:r>
      <w:r>
        <w:rPr>
          <w:rFonts w:hint="eastAsia" w:ascii="仿宋" w:hAnsi="仿宋" w:eastAsia="仿宋" w:cs="仿宋"/>
          <w:color w:val="000000"/>
          <w:kern w:val="0"/>
          <w:sz w:val="32"/>
          <w:szCs w:val="32"/>
          <w:shd w:val="clear" w:color="auto" w:fill="FFFFFF"/>
          <w:lang w:val="zh-CN"/>
        </w:rPr>
        <w:t>.庞统祠博物馆补助经费6万元。</w:t>
      </w:r>
    </w:p>
    <w:p w14:paraId="69B249C7">
      <w:pPr>
        <w:adjustRightInd w:val="0"/>
        <w:snapToGrid w:val="0"/>
        <w:spacing w:line="520" w:lineRule="exact"/>
        <w:ind w:firstLine="640" w:firstLineChars="200"/>
        <w:rPr>
          <w:rFonts w:hint="eastAsia" w:ascii="方正楷体简体" w:hAnsi="宋体" w:eastAsia="方正楷体简体" w:cs="宋体"/>
          <w:color w:val="000000"/>
          <w:kern w:val="0"/>
          <w:szCs w:val="32"/>
          <w:shd w:val="clear" w:color="auto" w:fill="FFFFFF"/>
          <w:lang w:val="zh-CN"/>
        </w:rPr>
      </w:pPr>
      <w:r>
        <w:rPr>
          <w:rFonts w:hint="eastAsia" w:ascii="楷体" w:hAnsi="楷体" w:eastAsia="楷体" w:cs="楷体"/>
          <w:color w:val="000000"/>
          <w:kern w:val="0"/>
          <w:sz w:val="32"/>
          <w:szCs w:val="32"/>
          <w:shd w:val="clear" w:color="auto" w:fill="FFFFFF"/>
          <w:lang w:val="zh-CN"/>
        </w:rPr>
        <w:t xml:space="preserve">（二）部门财政资金支出情况。    </w:t>
      </w:r>
      <w:r>
        <w:rPr>
          <w:rFonts w:hint="eastAsia" w:ascii="仿宋_GB2312" w:hAnsi="宋体" w:cs="宋体"/>
          <w:color w:val="000000"/>
          <w:kern w:val="0"/>
          <w:szCs w:val="32"/>
          <w:shd w:val="clear" w:color="auto" w:fill="FFFFFF"/>
          <w:lang w:val="zh-CN"/>
        </w:rPr>
        <w:t xml:space="preserve">                                                                                                                                                                                                                                                                                                                                                                                                                                                                                                                                                                                                                                                                                                                                                                                                                                                                                                                                                                                                                 </w:t>
      </w:r>
    </w:p>
    <w:p w14:paraId="457833BD">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1.截止2020年底财政资金使用情况</w:t>
      </w:r>
    </w:p>
    <w:p w14:paraId="0470D023">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财政资金基本支出预算支出总额</w:t>
      </w:r>
      <w:r>
        <w:rPr>
          <w:rFonts w:hint="eastAsia" w:ascii="仿宋" w:hAnsi="仿宋" w:eastAsia="仿宋" w:cs="仿宋"/>
          <w:color w:val="000000"/>
          <w:kern w:val="0"/>
          <w:sz w:val="32"/>
          <w:szCs w:val="32"/>
          <w:shd w:val="clear" w:color="auto" w:fill="FFFFFF"/>
          <w:lang w:val="en-US" w:eastAsia="zh-CN"/>
        </w:rPr>
        <w:t>306.47</w:t>
      </w:r>
      <w:r>
        <w:rPr>
          <w:rFonts w:hint="eastAsia" w:ascii="仿宋" w:hAnsi="仿宋" w:eastAsia="仿宋" w:cs="仿宋"/>
          <w:color w:val="000000"/>
          <w:kern w:val="0"/>
          <w:sz w:val="32"/>
          <w:szCs w:val="32"/>
          <w:shd w:val="clear" w:color="auto" w:fill="FFFFFF"/>
          <w:lang w:val="zh-CN"/>
        </w:rPr>
        <w:t>万元，其中工资福利支出</w:t>
      </w:r>
      <w:r>
        <w:rPr>
          <w:rFonts w:hint="eastAsia" w:ascii="仿宋" w:hAnsi="仿宋" w:eastAsia="仿宋" w:cs="仿宋"/>
          <w:color w:val="000000"/>
          <w:kern w:val="0"/>
          <w:sz w:val="32"/>
          <w:szCs w:val="32"/>
          <w:shd w:val="clear" w:color="auto" w:fill="FFFFFF"/>
          <w:lang w:val="en-US" w:eastAsia="zh-CN"/>
        </w:rPr>
        <w:t>240.54</w:t>
      </w:r>
      <w:r>
        <w:rPr>
          <w:rFonts w:hint="eastAsia" w:ascii="仿宋" w:hAnsi="仿宋" w:eastAsia="仿宋" w:cs="仿宋"/>
          <w:color w:val="000000"/>
          <w:kern w:val="0"/>
          <w:sz w:val="32"/>
          <w:szCs w:val="32"/>
          <w:shd w:val="clear" w:color="auto" w:fill="FFFFFF"/>
          <w:lang w:val="zh-CN"/>
        </w:rPr>
        <w:t>万元；商品和服务支出</w:t>
      </w:r>
      <w:r>
        <w:rPr>
          <w:rFonts w:hint="eastAsia" w:ascii="仿宋" w:hAnsi="仿宋" w:eastAsia="仿宋" w:cs="仿宋"/>
          <w:color w:val="000000"/>
          <w:kern w:val="0"/>
          <w:sz w:val="32"/>
          <w:szCs w:val="32"/>
          <w:shd w:val="clear" w:color="auto" w:fill="FFFFFF"/>
          <w:lang w:val="en-US" w:eastAsia="zh-CN"/>
        </w:rPr>
        <w:t>56.23</w:t>
      </w:r>
      <w:r>
        <w:rPr>
          <w:rFonts w:hint="eastAsia" w:ascii="仿宋" w:hAnsi="仿宋" w:eastAsia="仿宋" w:cs="仿宋"/>
          <w:color w:val="000000"/>
          <w:kern w:val="0"/>
          <w:sz w:val="32"/>
          <w:szCs w:val="32"/>
          <w:shd w:val="clear" w:color="auto" w:fill="FFFFFF"/>
          <w:lang w:val="zh-CN"/>
        </w:rPr>
        <w:t>万元；其他对个人和家庭的补助支出</w:t>
      </w:r>
      <w:r>
        <w:rPr>
          <w:rFonts w:hint="eastAsia" w:ascii="仿宋" w:hAnsi="仿宋" w:eastAsia="仿宋" w:cs="仿宋"/>
          <w:color w:val="000000"/>
          <w:kern w:val="0"/>
          <w:sz w:val="32"/>
          <w:szCs w:val="32"/>
          <w:shd w:val="clear" w:color="auto" w:fill="FFFFFF"/>
          <w:lang w:val="en-US" w:eastAsia="zh-CN"/>
        </w:rPr>
        <w:t>9.70</w:t>
      </w:r>
      <w:r>
        <w:rPr>
          <w:rFonts w:hint="eastAsia" w:ascii="仿宋" w:hAnsi="仿宋" w:eastAsia="仿宋" w:cs="仿宋"/>
          <w:color w:val="000000"/>
          <w:kern w:val="0"/>
          <w:sz w:val="32"/>
          <w:szCs w:val="32"/>
          <w:shd w:val="clear" w:color="auto" w:fill="FFFFFF"/>
          <w:lang w:val="zh-CN"/>
        </w:rPr>
        <w:t>万元。</w:t>
      </w:r>
    </w:p>
    <w:p w14:paraId="5710A238">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2、财政资金项目支出总额</w:t>
      </w:r>
      <w:r>
        <w:rPr>
          <w:rFonts w:hint="eastAsia" w:ascii="仿宋" w:hAnsi="仿宋" w:eastAsia="仿宋" w:cs="仿宋"/>
          <w:color w:val="000000"/>
          <w:kern w:val="0"/>
          <w:sz w:val="32"/>
          <w:szCs w:val="32"/>
          <w:shd w:val="clear" w:color="auto" w:fill="FFFFFF"/>
          <w:lang w:val="en-US" w:eastAsia="zh-CN"/>
        </w:rPr>
        <w:t>79.85</w:t>
      </w:r>
      <w:r>
        <w:rPr>
          <w:rFonts w:hint="eastAsia" w:ascii="仿宋" w:hAnsi="仿宋" w:eastAsia="仿宋" w:cs="仿宋"/>
          <w:color w:val="000000"/>
          <w:kern w:val="0"/>
          <w:sz w:val="32"/>
          <w:szCs w:val="32"/>
          <w:shd w:val="clear" w:color="auto" w:fill="FFFFFF"/>
          <w:lang w:val="zh-CN"/>
        </w:rPr>
        <w:t>万元,具体情况如下：</w:t>
      </w:r>
    </w:p>
    <w:p w14:paraId="0DCE6A75">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（1）聘用人员经费11.90万元</w:t>
      </w:r>
    </w:p>
    <w:p w14:paraId="3534575E">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 xml:space="preserve">（2）旅游营销运行经费9万元 </w:t>
      </w:r>
    </w:p>
    <w:p w14:paraId="325C163E">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（3）老体协补助经费5万元</w:t>
      </w:r>
    </w:p>
    <w:p w14:paraId="2194B79B">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（4）书画院补助经费5万元</w:t>
      </w:r>
    </w:p>
    <w:p w14:paraId="57D4E9A5">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（5）群众体育经费5万元</w:t>
      </w:r>
    </w:p>
    <w:p w14:paraId="27A1EB1F">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（6）水上项目训练经费4.555万元</w:t>
      </w:r>
    </w:p>
    <w:p w14:paraId="4A3B56CE">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（7）文化市场综合执法经费5万元</w:t>
      </w:r>
    </w:p>
    <w:p w14:paraId="27BED03A">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（8）“三馆一站”免费开放经费</w:t>
      </w:r>
      <w:r>
        <w:rPr>
          <w:rFonts w:hint="eastAsia" w:ascii="仿宋" w:hAnsi="仿宋" w:eastAsia="仿宋" w:cs="仿宋"/>
          <w:color w:val="000000"/>
          <w:kern w:val="0"/>
          <w:sz w:val="32"/>
          <w:szCs w:val="32"/>
          <w:shd w:val="clear" w:color="auto" w:fill="FFFFFF"/>
          <w:lang w:val="en-US" w:eastAsia="zh-CN"/>
        </w:rPr>
        <w:t>6</w:t>
      </w:r>
      <w:r>
        <w:rPr>
          <w:rFonts w:hint="eastAsia" w:ascii="仿宋" w:hAnsi="仿宋" w:eastAsia="仿宋" w:cs="仿宋"/>
          <w:color w:val="000000"/>
          <w:kern w:val="0"/>
          <w:sz w:val="32"/>
          <w:szCs w:val="32"/>
          <w:shd w:val="clear" w:color="auto" w:fill="FFFFFF"/>
          <w:lang w:val="zh-CN"/>
        </w:rPr>
        <w:t>万元</w:t>
      </w:r>
    </w:p>
    <w:p w14:paraId="1EF86D66">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（9）“村村响”运行维护经费20.4万元</w:t>
      </w:r>
    </w:p>
    <w:p w14:paraId="38103D95">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（10）白马关发射台运行维护费2万元</w:t>
      </w:r>
    </w:p>
    <w:p w14:paraId="1E893B62">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（11）庞统祠博物馆补助经费6万元。</w:t>
      </w:r>
    </w:p>
    <w:p w14:paraId="0B879C6A">
      <w:pPr>
        <w:adjustRightInd w:val="0"/>
        <w:snapToGrid w:val="0"/>
        <w:spacing w:line="520" w:lineRule="exact"/>
        <w:ind w:firstLine="640" w:firstLineChars="200"/>
        <w:rPr>
          <w:rFonts w:hint="eastAsia"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（三）其他收入情况</w:t>
      </w:r>
    </w:p>
    <w:p w14:paraId="640C3070">
      <w:pPr>
        <w:adjustRightInd w:val="0"/>
        <w:snapToGrid w:val="0"/>
        <w:spacing w:line="520" w:lineRule="exact"/>
        <w:ind w:firstLine="640" w:firstLineChars="200"/>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无其他收入</w:t>
      </w:r>
    </w:p>
    <w:p w14:paraId="057A93E7">
      <w:pPr>
        <w:adjustRightInd w:val="0"/>
        <w:snapToGrid w:val="0"/>
        <w:spacing w:line="520" w:lineRule="exact"/>
        <w:ind w:firstLine="640" w:firstLineChars="200"/>
        <w:rPr>
          <w:rFonts w:hint="eastAsia"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14:paraId="3F16AC6F">
      <w:pPr>
        <w:adjustRightInd w:val="0"/>
        <w:snapToGrid w:val="0"/>
        <w:spacing w:line="520" w:lineRule="exact"/>
        <w:ind w:firstLine="640" w:firstLineChars="200"/>
        <w:rPr>
          <w:rFonts w:hint="eastAsia"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（一）预算编制情况。</w:t>
      </w:r>
    </w:p>
    <w:p w14:paraId="37C737EB">
      <w:pPr>
        <w:widowControl/>
        <w:adjustRightInd w:val="0"/>
        <w:snapToGrid w:val="0"/>
        <w:spacing w:line="540" w:lineRule="exact"/>
        <w:ind w:firstLine="720"/>
        <w:jc w:val="left"/>
        <w:rPr>
          <w:rFonts w:hint="eastAsia" w:ascii="仿宋_GB2312" w:hAnsi="宋体" w:cs="宋体"/>
          <w:color w:val="000000"/>
          <w:kern w:val="0"/>
          <w:szCs w:val="32"/>
          <w:shd w:val="clear" w:color="auto" w:fill="FFFFFF"/>
          <w:lang w:val="zh-CN"/>
        </w:rPr>
      </w:pPr>
      <w:r>
        <w:rPr>
          <w:rFonts w:hint="eastAsia" w:ascii="仿宋" w:hAnsi="仿宋" w:eastAsia="仿宋" w:cs="仿宋"/>
          <w:color w:val="000000"/>
          <w:kern w:val="0"/>
          <w:sz w:val="32"/>
          <w:szCs w:val="32"/>
          <w:shd w:val="clear" w:color="auto" w:fill="FFFFFF"/>
          <w:lang w:val="zh-CN"/>
        </w:rPr>
        <w:t>我</w:t>
      </w:r>
      <w:r>
        <w:rPr>
          <w:rFonts w:hint="eastAsia" w:ascii="仿宋" w:hAnsi="仿宋" w:eastAsia="仿宋" w:cs="仿宋"/>
          <w:color w:val="000000"/>
          <w:kern w:val="0"/>
          <w:sz w:val="32"/>
          <w:szCs w:val="32"/>
          <w:shd w:val="clear" w:color="auto" w:fill="FFFFFF"/>
          <w:lang w:val="en-US" w:eastAsia="zh-CN"/>
        </w:rPr>
        <w:t>局</w:t>
      </w:r>
      <w:r>
        <w:rPr>
          <w:rFonts w:hint="eastAsia" w:ascii="仿宋" w:hAnsi="仿宋" w:eastAsia="仿宋" w:cs="仿宋"/>
          <w:color w:val="000000"/>
          <w:kern w:val="0"/>
          <w:sz w:val="32"/>
          <w:szCs w:val="32"/>
          <w:shd w:val="clear" w:color="auto" w:fill="FFFFFF"/>
          <w:lang w:val="zh-CN"/>
        </w:rPr>
        <w:t>严格执行新《预算法》和罗江预（</w:t>
      </w:r>
      <w:r>
        <w:rPr>
          <w:rFonts w:hint="eastAsia" w:ascii="仿宋" w:hAnsi="仿宋" w:eastAsia="仿宋" w:cs="仿宋"/>
          <w:color w:val="000000"/>
          <w:kern w:val="0"/>
          <w:sz w:val="32"/>
          <w:szCs w:val="32"/>
          <w:shd w:val="clear" w:color="auto" w:fill="FFFFFF"/>
        </w:rPr>
        <w:t>2020）1号文件，</w:t>
      </w:r>
      <w:r>
        <w:rPr>
          <w:rFonts w:hint="eastAsia" w:ascii="仿宋" w:hAnsi="仿宋" w:eastAsia="仿宋" w:cs="仿宋"/>
          <w:color w:val="000000"/>
          <w:kern w:val="0"/>
          <w:sz w:val="32"/>
          <w:szCs w:val="32"/>
          <w:shd w:val="clear" w:color="auto" w:fill="FFFFFF"/>
          <w:lang w:val="zh-CN"/>
        </w:rPr>
        <w:t>按照区区财政中心“人员经费按标准，公用经费按定额”的预算口径，编制20</w:t>
      </w:r>
      <w:r>
        <w:rPr>
          <w:rFonts w:hint="eastAsia" w:ascii="仿宋" w:hAnsi="仿宋" w:eastAsia="仿宋" w:cs="仿宋"/>
          <w:color w:val="000000"/>
          <w:kern w:val="0"/>
          <w:sz w:val="32"/>
          <w:szCs w:val="32"/>
          <w:shd w:val="clear" w:color="auto" w:fill="FFFFFF"/>
        </w:rPr>
        <w:t>20</w:t>
      </w:r>
      <w:r>
        <w:rPr>
          <w:rFonts w:hint="eastAsia" w:ascii="仿宋" w:hAnsi="仿宋" w:eastAsia="仿宋" w:cs="仿宋"/>
          <w:color w:val="000000"/>
          <w:kern w:val="0"/>
          <w:sz w:val="32"/>
          <w:szCs w:val="32"/>
          <w:shd w:val="clear" w:color="auto" w:fill="FFFFFF"/>
          <w:lang w:val="zh-CN"/>
        </w:rPr>
        <w:t>年本级部门预算</w:t>
      </w:r>
      <w:r>
        <w:rPr>
          <w:rFonts w:hint="eastAsia" w:ascii="仿宋" w:hAnsi="仿宋" w:eastAsia="仿宋" w:cs="仿宋"/>
          <w:color w:val="000000"/>
          <w:kern w:val="0"/>
          <w:sz w:val="32"/>
          <w:szCs w:val="32"/>
          <w:shd w:val="clear" w:color="auto" w:fill="FFFFFF"/>
          <w:lang w:val="en-US" w:eastAsia="zh-CN"/>
        </w:rPr>
        <w:t>386.32</w:t>
      </w:r>
      <w:r>
        <w:rPr>
          <w:rFonts w:hint="eastAsia" w:ascii="仿宋" w:hAnsi="仿宋" w:eastAsia="仿宋" w:cs="仿宋"/>
          <w:color w:val="000000"/>
          <w:kern w:val="0"/>
          <w:sz w:val="32"/>
          <w:szCs w:val="32"/>
          <w:shd w:val="clear" w:color="auto" w:fill="FFFFFF"/>
          <w:lang w:val="zh-CN"/>
        </w:rPr>
        <w:t xml:space="preserve">万元。 </w:t>
      </w:r>
      <w:r>
        <w:rPr>
          <w:rFonts w:hint="eastAsia" w:ascii="仿宋" w:hAnsi="仿宋" w:eastAsia="仿宋" w:cs="仿宋"/>
          <w:sz w:val="32"/>
          <w:szCs w:val="32"/>
        </w:rPr>
        <w:br w:type="textWrapping"/>
      </w:r>
      <w:r>
        <w:rPr>
          <w:rFonts w:hint="eastAsia" w:ascii="宋体" w:hAnsi="宋体" w:eastAsia="宋体" w:cs="宋体"/>
          <w:sz w:val="21"/>
          <w:szCs w:val="21"/>
        </w:rPr>
        <w:t>　　　</w:t>
      </w:r>
      <w:r>
        <w:rPr>
          <w:rFonts w:hint="eastAsia" w:ascii="楷体" w:hAnsi="楷体" w:eastAsia="楷体" w:cs="楷体"/>
          <w:color w:val="000000"/>
          <w:kern w:val="0"/>
          <w:sz w:val="32"/>
          <w:szCs w:val="32"/>
          <w:shd w:val="clear" w:color="auto" w:fill="FFFFFF"/>
          <w:lang w:val="zh-CN"/>
        </w:rPr>
        <w:t xml:space="preserve"> （二）执行管理情况。</w:t>
      </w:r>
    </w:p>
    <w:p w14:paraId="562B1005">
      <w:pPr>
        <w:widowControl/>
        <w:adjustRightInd w:val="0"/>
        <w:snapToGrid w:val="0"/>
        <w:spacing w:line="540"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我单位全面完成了区委、区政府下达的各项目工作标任务，促进了各项社会事业发展，工作成绩显著。取得了具有良好的社会效益和经济效益。</w:t>
      </w:r>
    </w:p>
    <w:p w14:paraId="16FEE21F">
      <w:pPr>
        <w:widowControl/>
        <w:adjustRightInd w:val="0"/>
        <w:snapToGrid w:val="0"/>
        <w:spacing w:line="540" w:lineRule="exact"/>
        <w:ind w:firstLine="720"/>
        <w:jc w:val="left"/>
        <w:rPr>
          <w:rFonts w:hint="eastAsia"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（三）综合管理情况。</w:t>
      </w:r>
    </w:p>
    <w:p w14:paraId="5440B666">
      <w:pPr>
        <w:widowControl/>
        <w:adjustRightInd w:val="0"/>
        <w:snapToGrid w:val="0"/>
        <w:spacing w:line="540"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严格遵守区财政中心经费来源和分配、管理、使用原则。一是规范账户管理。严禁公款私存、私设小金库和账外账，所有资金在财政大平台反映。二是严格遵守支出审批制度。按照“量力而行、量入为出”的原则，合理安排经费。事先编制工作方案，经领导审核后实施。所有票据由经办人、股室负责人签署意见，送财务室对票据的合法性、支出的真实性进行审核，报领导审批。单项支出金额无论大小，均报主要领导审批。三是严格遵守财务内审和监督制度。我局历来高度重视内部财务管理，建立了内部财务管理制度。内部财务管理制度中包含了经费管理、经费审批、借款管理、现金及支票管理和财务管理等方面。根据中央八项规定对“三公”经费、会议费、公务卡强制接算目录制度等进行了完善，单位领导干部加强对财政预算资金的管理，干部、职工都严格遵守财经纪律，严格按照财务管理制度照章办事，没有发生违反财经纪律、违反财务管理制度的情况。</w:t>
      </w:r>
    </w:p>
    <w:p w14:paraId="6CA2A83B">
      <w:pPr>
        <w:widowControl/>
        <w:adjustRightInd w:val="0"/>
        <w:snapToGrid w:val="0"/>
        <w:spacing w:line="540" w:lineRule="exact"/>
        <w:ind w:firstLine="720"/>
        <w:jc w:val="left"/>
        <w:rPr>
          <w:rFonts w:hint="eastAsia" w:ascii="楷体" w:hAnsi="楷体" w:eastAsia="楷体" w:cs="楷体"/>
          <w:sz w:val="32"/>
          <w:szCs w:val="32"/>
          <w:lang w:val="zh-CN"/>
        </w:rPr>
      </w:pPr>
      <w:r>
        <w:rPr>
          <w:rFonts w:hint="eastAsia" w:ascii="楷体" w:hAnsi="楷体" w:eastAsia="楷体" w:cs="楷体"/>
          <w:sz w:val="32"/>
          <w:szCs w:val="32"/>
          <w:lang w:val="zh-CN"/>
        </w:rPr>
        <w:t>（四）整体绩效。</w:t>
      </w:r>
    </w:p>
    <w:p w14:paraId="59150705">
      <w:pPr>
        <w:widowControl/>
        <w:adjustRightInd w:val="0"/>
        <w:snapToGrid w:val="0"/>
        <w:spacing w:line="540"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整个预算资金有效的发挥了资金保障作用，促进了全区</w:t>
      </w:r>
      <w:r>
        <w:rPr>
          <w:rFonts w:hint="eastAsia" w:ascii="仿宋" w:hAnsi="仿宋" w:eastAsia="仿宋" w:cs="仿宋"/>
          <w:color w:val="000000"/>
          <w:kern w:val="0"/>
          <w:sz w:val="32"/>
          <w:szCs w:val="32"/>
          <w:shd w:val="clear" w:color="auto" w:fill="FFFFFF"/>
        </w:rPr>
        <w:t>文化、体育、旅游</w:t>
      </w:r>
      <w:r>
        <w:rPr>
          <w:rFonts w:hint="eastAsia" w:ascii="仿宋" w:hAnsi="仿宋" w:eastAsia="仿宋" w:cs="仿宋"/>
          <w:color w:val="000000"/>
          <w:kern w:val="0"/>
          <w:sz w:val="32"/>
          <w:szCs w:val="32"/>
          <w:shd w:val="clear" w:color="auto" w:fill="FFFFFF"/>
          <w:lang w:val="zh-CN"/>
        </w:rPr>
        <w:t>各项事业的健康发展。</w:t>
      </w:r>
    </w:p>
    <w:p w14:paraId="3152CCC8">
      <w:pPr>
        <w:widowControl/>
        <w:adjustRightInd w:val="0"/>
        <w:snapToGrid w:val="0"/>
        <w:spacing w:line="540" w:lineRule="exact"/>
        <w:ind w:firstLine="720"/>
        <w:jc w:val="left"/>
        <w:rPr>
          <w:rFonts w:hint="eastAsia"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14:paraId="5247E01F">
      <w:pPr>
        <w:widowControl/>
        <w:adjustRightInd w:val="0"/>
        <w:snapToGrid w:val="0"/>
        <w:spacing w:line="540" w:lineRule="exact"/>
        <w:ind w:firstLine="720"/>
        <w:jc w:val="left"/>
        <w:rPr>
          <w:rFonts w:hint="eastAsia"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（一）评价结论。</w:t>
      </w:r>
      <w:bookmarkStart w:id="73" w:name="_GoBack"/>
      <w:bookmarkEnd w:id="73"/>
    </w:p>
    <w:p w14:paraId="6B93FB94">
      <w:pPr>
        <w:widowControl/>
        <w:adjustRightInd w:val="0"/>
        <w:snapToGrid w:val="0"/>
        <w:spacing w:line="540"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rPr>
        <w:t>2020</w:t>
      </w:r>
      <w:r>
        <w:rPr>
          <w:rFonts w:hint="eastAsia" w:ascii="仿宋" w:hAnsi="仿宋" w:eastAsia="仿宋" w:cs="仿宋"/>
          <w:color w:val="000000"/>
          <w:kern w:val="0"/>
          <w:sz w:val="32"/>
          <w:szCs w:val="32"/>
          <w:shd w:val="clear" w:color="auto" w:fill="FFFFFF"/>
          <w:lang w:val="zh-CN"/>
        </w:rPr>
        <w:t xml:space="preserve">年，在区委、区政府的坚强领导，我局文化、体育、旅游各项事业健康发展，扶贫攻坚工作持续推进。圆满完成了省市下达的各项目标任务，为经济社会发展创造良好的社会环境做出了应有的贡献。 </w:t>
      </w:r>
    </w:p>
    <w:p w14:paraId="37B3BCA4">
      <w:pPr>
        <w:widowControl/>
        <w:tabs>
          <w:tab w:val="left" w:pos="1370"/>
        </w:tabs>
        <w:adjustRightInd w:val="0"/>
        <w:snapToGrid w:val="0"/>
        <w:spacing w:line="540" w:lineRule="exact"/>
        <w:jc w:val="left"/>
        <w:rPr>
          <w:rFonts w:hint="eastAsia"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rPr>
        <w:t xml:space="preserve"> </w:t>
      </w:r>
      <w:r>
        <w:rPr>
          <w:rFonts w:hint="eastAsia" w:ascii="楷体" w:hAnsi="楷体" w:eastAsia="楷体" w:cs="楷体"/>
          <w:color w:val="000000"/>
          <w:kern w:val="0"/>
          <w:sz w:val="32"/>
          <w:szCs w:val="32"/>
          <w:shd w:val="clear" w:color="auto" w:fill="FFFFFF"/>
        </w:rPr>
        <w:t xml:space="preserve">   </w:t>
      </w:r>
      <w:r>
        <w:rPr>
          <w:rFonts w:hint="eastAsia" w:ascii="楷体" w:hAnsi="楷体" w:eastAsia="楷体" w:cs="楷体"/>
          <w:color w:val="000000"/>
          <w:kern w:val="0"/>
          <w:sz w:val="32"/>
          <w:szCs w:val="32"/>
          <w:shd w:val="clear" w:color="auto" w:fill="FFFFFF"/>
          <w:lang w:val="zh-CN"/>
        </w:rPr>
        <w:t>（</w:t>
      </w:r>
      <w:r>
        <w:rPr>
          <w:rFonts w:hint="eastAsia" w:ascii="楷体" w:hAnsi="楷体" w:eastAsia="楷体" w:cs="楷体"/>
          <w:color w:val="000000"/>
          <w:kern w:val="0"/>
          <w:sz w:val="32"/>
          <w:szCs w:val="32"/>
          <w:shd w:val="clear" w:color="auto" w:fill="FFFFFF"/>
        </w:rPr>
        <w:t>二）</w:t>
      </w:r>
      <w:r>
        <w:rPr>
          <w:rFonts w:hint="eastAsia" w:ascii="楷体" w:hAnsi="楷体" w:eastAsia="楷体" w:cs="楷体"/>
          <w:color w:val="000000"/>
          <w:kern w:val="0"/>
          <w:sz w:val="32"/>
          <w:szCs w:val="32"/>
          <w:shd w:val="clear" w:color="auto" w:fill="FFFFFF"/>
          <w:lang w:val="zh-CN"/>
        </w:rPr>
        <w:t>改进建议。</w:t>
      </w:r>
    </w:p>
    <w:p w14:paraId="3433612F">
      <w:pPr>
        <w:widowControl/>
        <w:adjustRightInd w:val="0"/>
        <w:snapToGrid w:val="0"/>
        <w:spacing w:line="540" w:lineRule="exact"/>
        <w:ind w:firstLine="720"/>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继续加大对文化、体育、旅游事业的经费投入，特别是在地方财政投入难度较大的前提下，建议中央和省级财政加大投入，重点在人员经费、活动开展等。</w:t>
      </w:r>
    </w:p>
    <w:p w14:paraId="6CF2DCC6">
      <w:pPr>
        <w:spacing w:line="580" w:lineRule="exact"/>
        <w:rPr>
          <w:rFonts w:ascii="仿宋_GB2312" w:hAnsi="仿宋_GB2312" w:eastAsia="仿宋_GB2312" w:cs="仿宋_GB2312"/>
          <w:sz w:val="32"/>
          <w:szCs w:val="32"/>
        </w:rPr>
      </w:pPr>
    </w:p>
    <w:p w14:paraId="4C930112">
      <w:pPr>
        <w:pStyle w:val="2"/>
        <w:rPr>
          <w:rFonts w:ascii="仿宋_GB2312" w:hAnsi="仿宋_GB2312" w:eastAsia="仿宋_GB2312" w:cs="仿宋_GB2312"/>
          <w:sz w:val="32"/>
          <w:szCs w:val="32"/>
        </w:rPr>
      </w:pPr>
    </w:p>
    <w:p w14:paraId="724583BD">
      <w:pPr>
        <w:pStyle w:val="2"/>
        <w:rPr>
          <w:rFonts w:ascii="仿宋_GB2312" w:hAnsi="仿宋_GB2312" w:eastAsia="仿宋_GB2312" w:cs="仿宋_GB2312"/>
          <w:sz w:val="32"/>
          <w:szCs w:val="32"/>
        </w:rPr>
      </w:pPr>
    </w:p>
    <w:p w14:paraId="46E442B6">
      <w:pPr>
        <w:pStyle w:val="2"/>
        <w:ind w:left="0" w:leftChars="0" w:firstLine="0" w:firstLineChars="0"/>
        <w:rPr>
          <w:rFonts w:ascii="仿宋_GB2312" w:hAnsi="仿宋_GB2312" w:eastAsia="仿宋_GB2312" w:cs="仿宋_GB2312"/>
          <w:sz w:val="32"/>
          <w:szCs w:val="32"/>
        </w:rPr>
      </w:pPr>
    </w:p>
    <w:p w14:paraId="7FFA020C">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14:paraId="6D96EAB1">
      <w:pPr>
        <w:spacing w:line="600" w:lineRule="exact"/>
        <w:jc w:val="center"/>
        <w:rPr>
          <w:rFonts w:hint="eastAsia" w:ascii="方正小标宋简体" w:hAnsi="宋体" w:eastAsia="方正小标宋简体"/>
          <w:sz w:val="44"/>
          <w:szCs w:val="44"/>
          <w:shd w:val="clear" w:color="auto" w:fill="FFFFFF"/>
        </w:rPr>
      </w:pPr>
    </w:p>
    <w:p w14:paraId="3BD1EB0F">
      <w:pPr>
        <w:spacing w:line="600" w:lineRule="exact"/>
        <w:jc w:val="center"/>
        <w:rPr>
          <w:rFonts w:hint="eastAsia"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水上项目</w:t>
      </w:r>
      <w:r>
        <w:rPr>
          <w:rFonts w:hint="eastAsia" w:ascii="方正小标宋简体" w:hAnsi="宋体" w:eastAsia="方正小标宋简体"/>
          <w:sz w:val="44"/>
          <w:szCs w:val="44"/>
          <w:shd w:val="clear" w:color="auto" w:fill="FFFFFF"/>
          <w:lang w:val="en-US" w:eastAsia="zh-CN"/>
        </w:rPr>
        <w:t>训练</w:t>
      </w:r>
      <w:r>
        <w:rPr>
          <w:rFonts w:hint="eastAsia" w:ascii="方正小标宋简体" w:hAnsi="宋体" w:eastAsia="方正小标宋简体"/>
          <w:sz w:val="44"/>
          <w:szCs w:val="44"/>
          <w:shd w:val="clear" w:color="auto" w:fill="FFFFFF"/>
        </w:rPr>
        <w:t>经费</w:t>
      </w:r>
      <w:r>
        <w:rPr>
          <w:rFonts w:hint="eastAsia" w:ascii="方正小标宋简体" w:hAnsi="宋体" w:eastAsia="方正小标宋简体"/>
          <w:sz w:val="44"/>
          <w:szCs w:val="44"/>
          <w:shd w:val="clear" w:color="auto" w:fill="FFFFFF"/>
          <w:lang w:val="en-US" w:eastAsia="zh-CN"/>
        </w:rPr>
        <w:t>项目</w:t>
      </w:r>
      <w:r>
        <w:rPr>
          <w:rFonts w:hint="eastAsia" w:ascii="方正小标宋简体" w:hAnsi="宋体" w:eastAsia="方正小标宋简体"/>
          <w:sz w:val="44"/>
          <w:szCs w:val="44"/>
          <w:shd w:val="clear" w:color="auto" w:fill="FFFFFF"/>
        </w:rPr>
        <w:t>支出绩效报告</w:t>
      </w:r>
    </w:p>
    <w:p w14:paraId="3BB891F2">
      <w:pPr>
        <w:pStyle w:val="2"/>
        <w:ind w:left="0" w:leftChars="0" w:firstLine="0" w:firstLineChars="0"/>
        <w:rPr>
          <w:rFonts w:hint="eastAsia" w:ascii="方正小标宋简体" w:hAnsi="宋体" w:eastAsia="方正小标宋简体"/>
          <w:sz w:val="44"/>
          <w:szCs w:val="44"/>
          <w:shd w:val="clear" w:color="auto" w:fill="FFFFFF"/>
        </w:rPr>
      </w:pPr>
    </w:p>
    <w:p w14:paraId="44D3082A">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ascii="黑体" w:hAnsi="宋体" w:eastAsia="黑体"/>
          <w:sz w:val="32"/>
          <w:szCs w:val="32"/>
        </w:rPr>
      </w:pPr>
      <w:r>
        <w:rPr>
          <w:rFonts w:hint="eastAsia" w:ascii="黑体" w:hAnsi="宋体" w:eastAsia="黑体"/>
          <w:sz w:val="32"/>
          <w:szCs w:val="32"/>
        </w:rPr>
        <w:t>一、项目概况</w:t>
      </w:r>
    </w:p>
    <w:p w14:paraId="341957E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 xml:space="preserve">（一）项目基本情况。 </w:t>
      </w:r>
    </w:p>
    <w:p w14:paraId="5D1F9E7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ascii="仿宋" w:hAnsi="仿宋" w:eastAsia="仿宋"/>
          <w:sz w:val="32"/>
          <w:szCs w:val="32"/>
        </w:rPr>
      </w:pPr>
      <w:r>
        <w:rPr>
          <w:rFonts w:hint="eastAsia" w:ascii="仿宋" w:hAnsi="仿宋" w:eastAsia="仿宋"/>
          <w:sz w:val="32"/>
          <w:szCs w:val="32"/>
        </w:rPr>
        <w:t>1、德阳市罗江区水上项目（皮划艇、赛艇）是我区备战四川省第十四届省运会优势项目，现有教练员3人，其中高级教练1人；队员51人，现有8名队员在省队（省水校）训练、3名队员在西安市队训练、1名队员在攀枝花市米易县国家皮划艇训练基地训练。我局属于水上项目承训单位，对运动队日常训练进行安全监管、反兴教育等。队伍现正全力以赴备战2022年四川省第十四届省运会。</w:t>
      </w:r>
    </w:p>
    <w:p w14:paraId="3335DBF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ascii="仿宋" w:hAnsi="仿宋" w:eastAsia="仿宋"/>
          <w:sz w:val="32"/>
          <w:szCs w:val="32"/>
        </w:rPr>
      </w:pPr>
      <w:r>
        <w:rPr>
          <w:rFonts w:hint="eastAsia" w:ascii="仿宋" w:hAnsi="仿宋" w:eastAsia="仿宋"/>
          <w:sz w:val="32"/>
          <w:szCs w:val="32"/>
        </w:rPr>
        <w:t>2、2018年12月德阳市政府与罗江区政府签订了备战四川省第十四届运动会水上项目目标任务。</w:t>
      </w:r>
    </w:p>
    <w:p w14:paraId="2206503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ascii="仿宋" w:hAnsi="仿宋" w:eastAsia="仿宋"/>
          <w:sz w:val="32"/>
          <w:szCs w:val="32"/>
        </w:rPr>
      </w:pPr>
      <w:r>
        <w:rPr>
          <w:rFonts w:hint="eastAsia" w:ascii="仿宋" w:hAnsi="仿宋" w:eastAsia="仿宋"/>
          <w:sz w:val="32"/>
          <w:szCs w:val="32"/>
        </w:rPr>
        <w:t>3、根据德阳市罗江区文化体育广播电视和旅游局与德阳市罗江区七一潺亭中学签订的“关于设立水上运动项目训练基地的合作协议”，按照协议约定，每年需一次性支付该学校后勤管理保障、设备维护等费用11.8万元。</w:t>
      </w:r>
    </w:p>
    <w:p w14:paraId="6B294E8F">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（二）项目绩效目标情况</w:t>
      </w:r>
    </w:p>
    <w:p w14:paraId="720E316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ascii="仿宋" w:hAnsi="仿宋" w:eastAsia="仿宋"/>
          <w:sz w:val="32"/>
          <w:szCs w:val="32"/>
        </w:rPr>
      </w:pPr>
      <w:r>
        <w:rPr>
          <w:rFonts w:hint="eastAsia" w:ascii="仿宋" w:hAnsi="仿宋" w:eastAsia="仿宋"/>
          <w:sz w:val="32"/>
          <w:szCs w:val="32"/>
        </w:rPr>
        <w:t>1、每年7月—8月参加四川省青少年水上项目锦标赛，通过以赛促进，来反映出年度训练效果及需改进的方向。</w:t>
      </w:r>
    </w:p>
    <w:p w14:paraId="531CE83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ascii="仿宋" w:hAnsi="仿宋" w:eastAsia="仿宋"/>
          <w:sz w:val="32"/>
          <w:szCs w:val="32"/>
        </w:rPr>
      </w:pPr>
      <w:r>
        <w:rPr>
          <w:rFonts w:hint="eastAsia" w:ascii="仿宋" w:hAnsi="仿宋" w:eastAsia="仿宋"/>
          <w:sz w:val="32"/>
          <w:szCs w:val="32"/>
        </w:rPr>
        <w:t>2、德阳市罗江区水上项目运动队全年共向省优秀运动队输送优秀运动员8人、西安市运动队3人。2020年四川省水上项目锦标赛，我区水上项目运动队总获得一个第一名、一个第四名、两个第六名、三个第七名的成绩。</w:t>
      </w:r>
    </w:p>
    <w:p w14:paraId="70EC6A4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ascii="仿宋" w:hAnsi="仿宋" w:eastAsia="仿宋"/>
          <w:sz w:val="32"/>
          <w:szCs w:val="32"/>
        </w:rPr>
      </w:pPr>
      <w:r>
        <w:rPr>
          <w:rFonts w:hint="eastAsia" w:ascii="仿宋" w:hAnsi="仿宋" w:eastAsia="仿宋"/>
          <w:sz w:val="32"/>
          <w:szCs w:val="32"/>
        </w:rPr>
        <w:t>3、根据德阳市奥林匹克后备人才学校与德阳市罗江区文化体育广播电视和旅游局签订的“共建共办德阳市高水平运动队合作协议书”相关内容，市体育局每年对我区水上项目运动队进行15项指标进行考核评估。</w:t>
      </w:r>
    </w:p>
    <w:p w14:paraId="3F85C2B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（三）项目自评步骤及方法。</w:t>
      </w:r>
    </w:p>
    <w:p w14:paraId="1D070EDA">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ascii="仿宋" w:hAnsi="仿宋" w:eastAsia="仿宋"/>
          <w:sz w:val="32"/>
          <w:szCs w:val="32"/>
        </w:rPr>
      </w:pPr>
      <w:r>
        <w:rPr>
          <w:rFonts w:hint="eastAsia" w:ascii="仿宋" w:hAnsi="仿宋" w:eastAsia="仿宋"/>
          <w:sz w:val="32"/>
          <w:szCs w:val="32"/>
        </w:rPr>
        <w:t>德阳市罗江区水上项目备战工作每年均会纳入市体育局全年体育工作考核，占全区体育考核总分百分之五十，各项工作落实情况均按体育工作考核表进行加减分。</w:t>
      </w:r>
    </w:p>
    <w:p w14:paraId="00B7362A">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hint="eastAsia" w:ascii="黑体" w:hAnsi="黑体" w:eastAsia="黑体" w:cs="黑体"/>
          <w:b/>
          <w:sz w:val="32"/>
          <w:szCs w:val="32"/>
        </w:rPr>
      </w:pPr>
      <w:r>
        <w:rPr>
          <w:rFonts w:hint="eastAsia" w:ascii="黑体" w:hAnsi="黑体" w:eastAsia="黑体" w:cs="黑体"/>
          <w:b/>
          <w:sz w:val="32"/>
          <w:szCs w:val="32"/>
        </w:rPr>
        <w:t xml:space="preserve">二、项目资金申报及使用情况 </w:t>
      </w:r>
    </w:p>
    <w:p w14:paraId="344C200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hint="eastAsia" w:ascii="楷体" w:hAnsi="楷体" w:eastAsia="楷体" w:cs="楷体"/>
          <w:b/>
          <w:sz w:val="32"/>
          <w:szCs w:val="32"/>
          <w:lang w:val="zh-CN"/>
        </w:rPr>
      </w:pPr>
      <w:r>
        <w:rPr>
          <w:rFonts w:hint="eastAsia" w:ascii="楷体" w:hAnsi="楷体" w:eastAsia="楷体" w:cs="楷体"/>
          <w:b/>
          <w:sz w:val="32"/>
          <w:szCs w:val="32"/>
          <w:lang w:val="zh-CN"/>
        </w:rPr>
        <w:t>（一）项目资金申报及批复情况。</w:t>
      </w:r>
    </w:p>
    <w:p w14:paraId="0A82DAE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按照统一要求，资金由罗江区文化体育广播电视和旅游局上报区政府进行批复，再上报财政部门进行审核。</w:t>
      </w:r>
    </w:p>
    <w:p w14:paraId="393BD0E5">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ascii="仿宋" w:hAnsi="仿宋" w:eastAsia="仿宋"/>
          <w:szCs w:val="32"/>
          <w:lang w:val="zh-CN"/>
        </w:rPr>
      </w:pPr>
      <w:r>
        <w:rPr>
          <w:rFonts w:hint="eastAsia" w:ascii="楷体" w:hAnsi="楷体" w:eastAsia="楷体" w:cs="楷体"/>
          <w:b/>
          <w:sz w:val="32"/>
          <w:szCs w:val="32"/>
          <w:lang w:val="zh-CN"/>
        </w:rPr>
        <w:t>（二）资金计划、到位及使用情况</w:t>
      </w:r>
      <w:r>
        <w:rPr>
          <w:rFonts w:hint="eastAsia" w:ascii="仿宋" w:hAnsi="仿宋" w:eastAsia="仿宋"/>
          <w:szCs w:val="32"/>
          <w:lang w:val="zh-CN"/>
        </w:rPr>
        <w:t>。</w:t>
      </w:r>
    </w:p>
    <w:p w14:paraId="3F0CEAF4">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ascii="仿宋" w:hAnsi="仿宋" w:eastAsia="仿宋"/>
          <w:sz w:val="32"/>
          <w:szCs w:val="32"/>
          <w:lang w:val="zh-CN"/>
        </w:rPr>
      </w:pPr>
      <w:r>
        <w:rPr>
          <w:rFonts w:hint="eastAsia" w:ascii="仿宋" w:hAnsi="仿宋" w:eastAsia="仿宋"/>
          <w:sz w:val="32"/>
          <w:szCs w:val="32"/>
          <w:lang w:val="zh-CN"/>
        </w:rPr>
        <w:t>1.资金计划及到位情况。2020年罗江区文化体育广播电视和旅游局水上项目皮划艇申报4.55万元，实际到位4.55万元，截止2020年底已全部申请，全年的资金到位率100%，水上项目工作才能得以顺利开展。</w:t>
      </w:r>
    </w:p>
    <w:p w14:paraId="44114138">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ascii="仿宋" w:hAnsi="仿宋" w:eastAsia="仿宋"/>
          <w:sz w:val="32"/>
          <w:szCs w:val="32"/>
          <w:lang w:val="zh-CN"/>
        </w:rPr>
      </w:pPr>
      <w:r>
        <w:rPr>
          <w:rFonts w:hint="eastAsia" w:ascii="仿宋" w:hAnsi="仿宋" w:eastAsia="仿宋"/>
          <w:sz w:val="32"/>
          <w:szCs w:val="32"/>
          <w:lang w:val="zh-CN"/>
        </w:rPr>
        <w:t>2.资金使用情况。截止2020年底，水上项目经费总支出4.55万元。主要用于水上项目运动员的管理保障、设备维护、水上码头维护等经费。</w:t>
      </w:r>
    </w:p>
    <w:p w14:paraId="5DFA457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hint="eastAsia" w:ascii="楷体" w:hAnsi="楷体" w:eastAsia="楷体" w:cs="楷体"/>
          <w:b/>
          <w:sz w:val="32"/>
          <w:szCs w:val="32"/>
          <w:lang w:val="zh-CN"/>
        </w:rPr>
      </w:pPr>
      <w:r>
        <w:rPr>
          <w:rFonts w:hint="eastAsia" w:ascii="楷体" w:hAnsi="楷体" w:eastAsia="楷体" w:cs="楷体"/>
          <w:b/>
          <w:sz w:val="32"/>
          <w:szCs w:val="32"/>
          <w:lang w:val="zh-CN"/>
        </w:rPr>
        <w:t>（三）项目财务管理情况。</w:t>
      </w:r>
    </w:p>
    <w:p w14:paraId="08F5EB9D">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ascii="仿宋" w:hAnsi="仿宋" w:eastAsia="仿宋"/>
          <w:sz w:val="32"/>
          <w:szCs w:val="32"/>
          <w:lang w:val="zh-CN"/>
        </w:rPr>
      </w:pPr>
      <w:r>
        <w:rPr>
          <w:rFonts w:hint="eastAsia" w:ascii="仿宋" w:hAnsi="仿宋" w:eastAsia="仿宋"/>
          <w:sz w:val="32"/>
          <w:szCs w:val="32"/>
          <w:lang w:val="zh-CN"/>
        </w:rPr>
        <w:t>项目资金在支付时严格按照账务管理制度执行，区财政监管、审核，专项资金在支付时由项目的具体工作人员、分管领导及主要负责人审核，在具体核算中做到了专账专管，专款专用。</w:t>
      </w:r>
    </w:p>
    <w:p w14:paraId="553E01B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ascii="仿宋" w:hAnsi="仿宋" w:eastAsia="仿宋"/>
          <w:b/>
          <w:sz w:val="32"/>
          <w:szCs w:val="32"/>
        </w:rPr>
      </w:pPr>
      <w:r>
        <w:rPr>
          <w:rFonts w:hint="eastAsia" w:ascii="仿宋" w:hAnsi="仿宋" w:eastAsia="仿宋"/>
          <w:b/>
          <w:sz w:val="32"/>
          <w:szCs w:val="32"/>
        </w:rPr>
        <w:t>三、项目实施及管理情况。</w:t>
      </w:r>
    </w:p>
    <w:p w14:paraId="629773D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ascii="仿宋" w:hAnsi="仿宋" w:eastAsia="仿宋"/>
          <w:sz w:val="32"/>
          <w:szCs w:val="32"/>
          <w:lang w:val="zh-CN"/>
        </w:rPr>
      </w:pPr>
      <w:r>
        <w:rPr>
          <w:rFonts w:hint="eastAsia" w:ascii="仿宋" w:hAnsi="仿宋" w:eastAsia="仿宋" w:cs="仿宋"/>
          <w:sz w:val="32"/>
          <w:szCs w:val="32"/>
        </w:rPr>
        <w:t>德阳市罗江区水上项目运动队日常训练均按全年、月、周计划科学实施，每日按要求对运动队训练情况进行考勤，并按时将考勤表反馈给市奥校；定期对运动队进行安全、反兴工作教育。制定了可操作性安全应急预案，确保全年备战训练工作无安全隐患。</w:t>
      </w:r>
    </w:p>
    <w:p w14:paraId="7A40F74C">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hint="eastAsia" w:ascii="楷体" w:hAnsi="楷体" w:eastAsia="楷体" w:cs="楷体"/>
          <w:b/>
          <w:sz w:val="32"/>
          <w:szCs w:val="32"/>
          <w:lang w:val="zh-CN"/>
        </w:rPr>
      </w:pPr>
      <w:r>
        <w:rPr>
          <w:rFonts w:hint="eastAsia" w:ascii="楷体" w:hAnsi="楷体" w:eastAsia="楷体" w:cs="楷体"/>
          <w:b/>
          <w:sz w:val="32"/>
          <w:szCs w:val="32"/>
        </w:rPr>
        <w:t>四、目标绩效情况</w:t>
      </w:r>
      <w:r>
        <w:rPr>
          <w:rFonts w:hint="eastAsia" w:ascii="楷体" w:hAnsi="楷体" w:eastAsia="楷体" w:cs="楷体"/>
          <w:b/>
          <w:sz w:val="32"/>
          <w:szCs w:val="32"/>
          <w:lang w:val="zh-CN"/>
        </w:rPr>
        <w:tab/>
      </w:r>
    </w:p>
    <w:p w14:paraId="3272F1B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ascii="仿宋" w:hAnsi="仿宋" w:eastAsia="仿宋" w:cs="仿宋"/>
          <w:sz w:val="32"/>
          <w:szCs w:val="32"/>
        </w:rPr>
      </w:pPr>
      <w:r>
        <w:rPr>
          <w:rFonts w:hint="eastAsia" w:ascii="仿宋" w:hAnsi="仿宋" w:eastAsia="仿宋"/>
          <w:sz w:val="32"/>
          <w:szCs w:val="32"/>
          <w:lang w:val="zh-CN"/>
        </w:rPr>
        <w:t>（一）项目完成情况。</w:t>
      </w:r>
      <w:r>
        <w:rPr>
          <w:rFonts w:hint="eastAsia" w:ascii="仿宋" w:hAnsi="仿宋" w:eastAsia="仿宋"/>
          <w:sz w:val="32"/>
          <w:szCs w:val="32"/>
        </w:rPr>
        <w:t>2020年向省优秀运动队输送优秀运动员8人、西安市运动队3人；参加2020年四川省水上项目锦标赛，我区水上项目运动队总获得一个第一名、一个第四名、两个第六名、三个第七名的成绩，同时</w:t>
      </w:r>
      <w:r>
        <w:rPr>
          <w:rFonts w:hint="eastAsia" w:ascii="仿宋" w:hAnsi="仿宋" w:eastAsia="仿宋" w:cs="仿宋"/>
          <w:sz w:val="32"/>
          <w:szCs w:val="32"/>
        </w:rPr>
        <w:t>2名水上运动员正式被省优秀运动队录取。</w:t>
      </w:r>
    </w:p>
    <w:p w14:paraId="2F9FECF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ascii="仿宋" w:hAnsi="仿宋" w:eastAsia="仿宋" w:cs="仿宋"/>
          <w:sz w:val="32"/>
          <w:szCs w:val="32"/>
          <w:lang w:val="zh-CN"/>
        </w:rPr>
      </w:pPr>
      <w:r>
        <w:rPr>
          <w:rFonts w:hint="eastAsia" w:ascii="仿宋" w:hAnsi="仿宋" w:eastAsia="仿宋"/>
          <w:sz w:val="32"/>
          <w:szCs w:val="32"/>
          <w:lang w:val="zh-CN"/>
        </w:rPr>
        <w:t>（二）项目效益情况。水上项目经费的使用有效保证了我区体育事业的发展，</w:t>
      </w:r>
      <w:r>
        <w:rPr>
          <w:rFonts w:hint="eastAsia" w:ascii="仿宋" w:hAnsi="仿宋" w:eastAsia="仿宋" w:cs="仿宋"/>
          <w:sz w:val="32"/>
          <w:szCs w:val="32"/>
          <w:lang w:val="zh-CN"/>
        </w:rPr>
        <w:t>促进全区竞技体育全面发展，挖掘更多高、精、尖体育后备人才，充分发挥了资金的使用效益。</w:t>
      </w:r>
    </w:p>
    <w:p w14:paraId="61919E43">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五、评价结论</w:t>
      </w:r>
    </w:p>
    <w:p w14:paraId="0ED422F6">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项目实施有序，实施过程安全无事故，经费不足，不能满足日常训练工作，后勤保障工作也未及时跟踪到位</w:t>
      </w:r>
      <w:r>
        <w:rPr>
          <w:rFonts w:hint="eastAsia" w:ascii="仿宋" w:hAnsi="仿宋" w:eastAsia="仿宋" w:cs="仿宋"/>
          <w:sz w:val="32"/>
          <w:szCs w:val="32"/>
          <w:lang w:eastAsia="zh-CN"/>
        </w:rPr>
        <w:t>。</w:t>
      </w:r>
    </w:p>
    <w:p w14:paraId="0403AC71">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六、问题及建议</w:t>
      </w:r>
    </w:p>
    <w:p w14:paraId="00E42990">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hint="eastAsia" w:ascii="楷体" w:hAnsi="楷体" w:eastAsia="楷体" w:cs="楷体"/>
          <w:sz w:val="32"/>
          <w:szCs w:val="32"/>
          <w:lang w:val="zh-CN"/>
        </w:rPr>
      </w:pPr>
      <w:r>
        <w:rPr>
          <w:rFonts w:hint="eastAsia" w:ascii="楷体" w:hAnsi="楷体" w:eastAsia="楷体" w:cs="楷体"/>
          <w:sz w:val="32"/>
          <w:szCs w:val="32"/>
          <w:lang w:val="zh-CN"/>
        </w:rPr>
        <w:t>（一）存在的问题。</w:t>
      </w:r>
    </w:p>
    <w:p w14:paraId="7DBB7A6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jc w:val="both"/>
        <w:textAlignment w:val="auto"/>
        <w:outlineLvl w:val="9"/>
        <w:rPr>
          <w:rFonts w:ascii="仿宋" w:hAnsi="仿宋" w:eastAsia="仿宋" w:cs="仿宋"/>
          <w:bCs/>
          <w:sz w:val="32"/>
          <w:szCs w:val="32"/>
          <w:lang w:val="zh-CN"/>
        </w:rPr>
      </w:pPr>
      <w:r>
        <w:rPr>
          <w:rFonts w:hint="eastAsia" w:ascii="仿宋" w:hAnsi="仿宋" w:eastAsia="仿宋" w:cs="仿宋"/>
          <w:bCs/>
          <w:sz w:val="32"/>
          <w:szCs w:val="32"/>
          <w:lang w:val="zh-CN"/>
        </w:rPr>
        <w:t>训练经费不足，不能满足日常训练正常开支；皮划艇分为皮艇和划艇，目前只有一名皮艇教练员。</w:t>
      </w:r>
    </w:p>
    <w:p w14:paraId="759C1191">
      <w:pPr>
        <w:keepNext w:val="0"/>
        <w:keepLines w:val="0"/>
        <w:pageBreakBefore w:val="0"/>
        <w:widowControl w:val="0"/>
        <w:numPr>
          <w:ilvl w:val="0"/>
          <w:numId w:val="7"/>
        </w:numPr>
        <w:kinsoku/>
        <w:wordWrap/>
        <w:overflowPunct/>
        <w:topLinePunct w:val="0"/>
        <w:autoSpaceDE/>
        <w:autoSpaceDN/>
        <w:bidi w:val="0"/>
        <w:adjustRightInd w:val="0"/>
        <w:snapToGrid w:val="0"/>
        <w:spacing w:line="600" w:lineRule="exact"/>
        <w:ind w:right="0" w:rightChars="0" w:firstLine="720"/>
        <w:jc w:val="both"/>
        <w:textAlignment w:val="auto"/>
        <w:outlineLvl w:val="9"/>
        <w:rPr>
          <w:rFonts w:hint="eastAsia" w:ascii="楷体" w:hAnsi="楷体" w:eastAsia="楷体" w:cs="楷体"/>
          <w:sz w:val="32"/>
          <w:szCs w:val="32"/>
          <w:lang w:val="zh-CN"/>
        </w:rPr>
      </w:pPr>
      <w:r>
        <w:rPr>
          <w:rFonts w:hint="eastAsia" w:ascii="楷体" w:hAnsi="楷体" w:eastAsia="楷体" w:cs="楷体"/>
          <w:sz w:val="32"/>
          <w:szCs w:val="32"/>
          <w:lang w:val="zh-CN"/>
        </w:rPr>
        <w:t>改进措施。</w:t>
      </w:r>
    </w:p>
    <w:p w14:paraId="7E8A4BDE">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both"/>
        <w:textAlignment w:val="auto"/>
        <w:outlineLvl w:val="9"/>
        <w:rPr>
          <w:rFonts w:ascii="仿宋" w:hAnsi="仿宋" w:eastAsia="仿宋" w:cs="仿宋"/>
          <w:szCs w:val="32"/>
        </w:rPr>
      </w:pPr>
      <w:r>
        <w:rPr>
          <w:rFonts w:hint="eastAsia" w:ascii="仿宋" w:hAnsi="仿宋" w:eastAsia="仿宋"/>
          <w:szCs w:val="32"/>
        </w:rPr>
        <w:t xml:space="preserve">    </w:t>
      </w:r>
      <w:r>
        <w:rPr>
          <w:rFonts w:hint="eastAsia" w:ascii="仿宋" w:hAnsi="仿宋" w:eastAsia="仿宋" w:cs="仿宋"/>
          <w:sz w:val="32"/>
          <w:szCs w:val="32"/>
        </w:rPr>
        <w:t>加大水上项目备战经费投入，后勤保障工作及时跟上，确保2022年省运会目标任务圆满完成。</w:t>
      </w:r>
    </w:p>
    <w:p w14:paraId="36D745FA">
      <w:pPr>
        <w:keepNext w:val="0"/>
        <w:keepLines w:val="0"/>
        <w:pageBreakBefore w:val="0"/>
        <w:widowControl w:val="0"/>
        <w:numPr>
          <w:ilvl w:val="0"/>
          <w:numId w:val="7"/>
        </w:numPr>
        <w:kinsoku/>
        <w:wordWrap/>
        <w:overflowPunct/>
        <w:topLinePunct w:val="0"/>
        <w:autoSpaceDE/>
        <w:autoSpaceDN/>
        <w:bidi w:val="0"/>
        <w:adjustRightInd w:val="0"/>
        <w:snapToGrid w:val="0"/>
        <w:spacing w:line="600" w:lineRule="exact"/>
        <w:ind w:right="0" w:rightChars="0" w:firstLine="720"/>
        <w:jc w:val="both"/>
        <w:textAlignment w:val="auto"/>
        <w:outlineLvl w:val="9"/>
        <w:rPr>
          <w:rFonts w:hint="eastAsia" w:ascii="楷体" w:hAnsi="楷体" w:eastAsia="楷体" w:cs="楷体"/>
          <w:sz w:val="32"/>
          <w:szCs w:val="32"/>
          <w:lang w:val="zh-CN"/>
        </w:rPr>
      </w:pPr>
      <w:r>
        <w:rPr>
          <w:rFonts w:hint="eastAsia" w:ascii="楷体" w:hAnsi="楷体" w:eastAsia="楷体" w:cs="楷体"/>
          <w:sz w:val="32"/>
          <w:szCs w:val="32"/>
          <w:lang w:val="zh-CN"/>
        </w:rPr>
        <w:t>相关建议。</w:t>
      </w:r>
    </w:p>
    <w:p w14:paraId="582A7565">
      <w:pPr>
        <w:keepNext w:val="0"/>
        <w:keepLines w:val="0"/>
        <w:pageBreakBefore w:val="0"/>
        <w:widowControl w:val="0"/>
        <w:kinsoku/>
        <w:wordWrap/>
        <w:overflowPunct/>
        <w:topLinePunct w:val="0"/>
        <w:autoSpaceDE/>
        <w:autoSpaceDN/>
        <w:bidi w:val="0"/>
        <w:adjustRightInd w:val="0"/>
        <w:snapToGrid w:val="0"/>
        <w:spacing w:line="600" w:lineRule="exact"/>
        <w:ind w:left="720" w:right="0" w:rightChars="0"/>
        <w:jc w:val="both"/>
        <w:textAlignment w:val="auto"/>
        <w:outlineLvl w:val="9"/>
        <w:rPr>
          <w:rFonts w:ascii="仿宋" w:hAnsi="仿宋" w:eastAsia="仿宋" w:cs="仿宋"/>
          <w:sz w:val="32"/>
          <w:szCs w:val="32"/>
        </w:rPr>
      </w:pPr>
      <w:r>
        <w:rPr>
          <w:rFonts w:hint="eastAsia" w:ascii="仿宋" w:hAnsi="仿宋" w:eastAsia="仿宋"/>
          <w:szCs w:val="32"/>
        </w:rPr>
        <w:t xml:space="preserve"> </w:t>
      </w:r>
      <w:r>
        <w:rPr>
          <w:rFonts w:hint="eastAsia" w:ascii="仿宋" w:hAnsi="仿宋" w:eastAsia="仿宋" w:cs="仿宋"/>
          <w:sz w:val="32"/>
          <w:szCs w:val="32"/>
        </w:rPr>
        <w:t>建议将水上项目备战经费纳入财政预算，并足额下拨。</w:t>
      </w:r>
    </w:p>
    <w:p w14:paraId="07899AE8">
      <w:pPr>
        <w:pStyle w:val="2"/>
        <w:keepNext w:val="0"/>
        <w:keepLines w:val="0"/>
        <w:pageBreakBefore w:val="0"/>
        <w:widowControl w:val="0"/>
        <w:kinsoku/>
        <w:wordWrap/>
        <w:overflowPunct/>
        <w:topLinePunct w:val="0"/>
        <w:autoSpaceDE/>
        <w:autoSpaceDN/>
        <w:bidi w:val="0"/>
        <w:spacing w:line="600" w:lineRule="exact"/>
        <w:ind w:left="0" w:leftChars="0" w:right="0" w:rightChars="0" w:firstLine="0" w:firstLineChars="0"/>
        <w:jc w:val="both"/>
        <w:textAlignment w:val="auto"/>
        <w:outlineLvl w:val="9"/>
        <w:rPr>
          <w:rFonts w:ascii="黑体" w:hAnsi="黑体" w:eastAsia="黑体" w:cs="黑体"/>
          <w:color w:val="000000"/>
          <w:kern w:val="0"/>
          <w:szCs w:val="32"/>
          <w:shd w:val="clear" w:color="auto" w:fill="FFFFFF"/>
        </w:rPr>
      </w:pPr>
    </w:p>
    <w:p w14:paraId="1785BCDF">
      <w:pPr>
        <w:pStyle w:val="2"/>
        <w:keepNext w:val="0"/>
        <w:keepLines w:val="0"/>
        <w:pageBreakBefore w:val="0"/>
        <w:widowControl w:val="0"/>
        <w:kinsoku/>
        <w:wordWrap/>
        <w:overflowPunct/>
        <w:topLinePunct w:val="0"/>
        <w:autoSpaceDE/>
        <w:autoSpaceDN/>
        <w:bidi w:val="0"/>
        <w:spacing w:line="600" w:lineRule="exact"/>
        <w:ind w:left="0" w:leftChars="0" w:right="0" w:rightChars="0" w:firstLine="0" w:firstLineChars="0"/>
        <w:jc w:val="both"/>
        <w:textAlignment w:val="auto"/>
        <w:outlineLvl w:val="9"/>
        <w:rPr>
          <w:rFonts w:ascii="黑体" w:hAnsi="黑体" w:eastAsia="黑体" w:cs="黑体"/>
          <w:color w:val="000000"/>
          <w:kern w:val="0"/>
          <w:szCs w:val="32"/>
          <w:shd w:val="clear" w:color="auto" w:fill="FFFFFF"/>
        </w:rPr>
      </w:pPr>
    </w:p>
    <w:p w14:paraId="56FD212F">
      <w:pPr>
        <w:pStyle w:val="2"/>
        <w:keepNext w:val="0"/>
        <w:keepLines w:val="0"/>
        <w:pageBreakBefore w:val="0"/>
        <w:widowControl w:val="0"/>
        <w:kinsoku/>
        <w:wordWrap/>
        <w:overflowPunct/>
        <w:topLinePunct w:val="0"/>
        <w:autoSpaceDE/>
        <w:autoSpaceDN/>
        <w:bidi w:val="0"/>
        <w:spacing w:line="600" w:lineRule="exact"/>
        <w:ind w:left="0" w:leftChars="0" w:right="0" w:rightChars="0" w:firstLine="0" w:firstLineChars="0"/>
        <w:jc w:val="both"/>
        <w:textAlignment w:val="auto"/>
        <w:outlineLvl w:val="9"/>
        <w:rPr>
          <w:rFonts w:ascii="黑体" w:hAnsi="黑体" w:eastAsia="黑体" w:cs="黑体"/>
          <w:color w:val="000000"/>
          <w:kern w:val="0"/>
          <w:szCs w:val="32"/>
          <w:shd w:val="clear" w:color="auto" w:fill="FFFFFF"/>
        </w:rPr>
      </w:pPr>
    </w:p>
    <w:p w14:paraId="1B0551BE">
      <w:pPr>
        <w:pStyle w:val="2"/>
        <w:ind w:left="0" w:leftChars="0" w:firstLine="0" w:firstLineChars="0"/>
        <w:rPr>
          <w:rFonts w:ascii="黑体" w:hAnsi="黑体" w:eastAsia="黑体" w:cs="黑体"/>
          <w:color w:val="000000"/>
          <w:kern w:val="0"/>
          <w:szCs w:val="32"/>
          <w:shd w:val="clear" w:color="auto" w:fill="FFFFFF"/>
        </w:rPr>
      </w:pPr>
    </w:p>
    <w:p w14:paraId="752C9007">
      <w:pPr>
        <w:pStyle w:val="2"/>
        <w:ind w:left="0" w:leftChars="0" w:firstLine="0" w:firstLineChars="0"/>
        <w:rPr>
          <w:rFonts w:ascii="黑体" w:hAnsi="黑体" w:eastAsia="黑体" w:cs="黑体"/>
          <w:color w:val="000000"/>
          <w:kern w:val="0"/>
          <w:szCs w:val="32"/>
          <w:shd w:val="clear" w:color="auto" w:fill="FFFFFF"/>
        </w:rPr>
      </w:pPr>
    </w:p>
    <w:p w14:paraId="59AFEC68">
      <w:pPr>
        <w:pStyle w:val="2"/>
        <w:ind w:left="0" w:leftChars="0" w:firstLine="0" w:firstLineChars="0"/>
        <w:rPr>
          <w:rFonts w:ascii="黑体" w:hAnsi="黑体" w:eastAsia="黑体" w:cs="黑体"/>
          <w:color w:val="000000"/>
          <w:kern w:val="0"/>
          <w:szCs w:val="32"/>
          <w:shd w:val="clear" w:color="auto" w:fill="FFFFFF"/>
        </w:rPr>
      </w:pPr>
    </w:p>
    <w:p w14:paraId="69A188D5">
      <w:pPr>
        <w:pStyle w:val="2"/>
        <w:ind w:left="0" w:leftChars="0" w:firstLine="0" w:firstLineChars="0"/>
        <w:rPr>
          <w:rFonts w:ascii="黑体" w:hAnsi="黑体" w:eastAsia="黑体" w:cs="黑体"/>
          <w:color w:val="000000"/>
          <w:kern w:val="0"/>
          <w:szCs w:val="32"/>
          <w:shd w:val="clear" w:color="auto" w:fill="FFFFFF"/>
        </w:rPr>
      </w:pPr>
    </w:p>
    <w:p w14:paraId="578F3507">
      <w:pPr>
        <w:spacing w:line="580" w:lineRule="exact"/>
        <w:ind w:firstLine="640" w:firstLineChars="200"/>
        <w:rPr>
          <w:rFonts w:ascii="仿宋_GB2312" w:hAnsi="仿宋_GB2312" w:eastAsia="仿宋_GB2312" w:cs="仿宋_GB2312"/>
          <w:sz w:val="32"/>
          <w:szCs w:val="32"/>
        </w:rPr>
      </w:pPr>
    </w:p>
    <w:p w14:paraId="4A740FEC">
      <w:pPr>
        <w:spacing w:line="580" w:lineRule="exact"/>
        <w:ind w:firstLine="640"/>
        <w:rPr>
          <w:rFonts w:ascii="仿宋_GB2312" w:hAnsi="仿宋_GB2312" w:eastAsia="仿宋_GB2312" w:cs="仿宋_GB2312"/>
          <w:sz w:val="32"/>
          <w:szCs w:val="32"/>
        </w:rPr>
      </w:pPr>
    </w:p>
    <w:p w14:paraId="6769E316">
      <w:pPr>
        <w:spacing w:line="580" w:lineRule="exact"/>
        <w:ind w:firstLine="640"/>
        <w:rPr>
          <w:rFonts w:ascii="仿宋_GB2312" w:hAnsi="仿宋_GB2312" w:eastAsia="仿宋_GB2312" w:cs="仿宋_GB2312"/>
          <w:sz w:val="32"/>
          <w:szCs w:val="32"/>
        </w:rPr>
      </w:pPr>
    </w:p>
    <w:p w14:paraId="31F9D3A8">
      <w:pPr>
        <w:widowControl/>
        <w:jc w:val="left"/>
        <w:rPr>
          <w:rStyle w:val="27"/>
          <w:rFonts w:ascii="黑体" w:hAnsi="黑体" w:eastAsia="黑体"/>
          <w:b w:val="0"/>
        </w:rPr>
      </w:pPr>
    </w:p>
    <w:p w14:paraId="57BA2A84">
      <w:pPr>
        <w:widowControl/>
        <w:jc w:val="left"/>
        <w:rPr>
          <w:rStyle w:val="27"/>
          <w:rFonts w:ascii="黑体" w:hAnsi="黑体" w:eastAsia="黑体"/>
          <w:b w:val="0"/>
        </w:rPr>
      </w:pPr>
      <w:r>
        <w:rPr>
          <w:rStyle w:val="27"/>
          <w:rFonts w:ascii="黑体" w:hAnsi="黑体" w:eastAsia="黑体"/>
          <w:b w:val="0"/>
        </w:rPr>
        <w:br w:type="page"/>
      </w:r>
    </w:p>
    <w:p w14:paraId="71AB683B">
      <w:pPr>
        <w:spacing w:line="600" w:lineRule="exact"/>
        <w:jc w:val="center"/>
        <w:outlineLvl w:val="0"/>
        <w:rPr>
          <w:rStyle w:val="27"/>
          <w:rFonts w:ascii="黑体" w:hAnsi="黑体" w:eastAsia="黑体"/>
          <w:b w:val="0"/>
        </w:rPr>
      </w:pPr>
      <w:bookmarkStart w:id="59" w:name="_Toc15396618"/>
      <w:r>
        <w:rPr>
          <w:rFonts w:hint="eastAsia" w:ascii="黑体" w:hAnsi="黑体" w:eastAsia="黑体"/>
          <w:color w:val="000000"/>
          <w:sz w:val="44"/>
          <w:szCs w:val="44"/>
        </w:rPr>
        <w:t>第</w:t>
      </w:r>
      <w:r>
        <w:rPr>
          <w:rStyle w:val="27"/>
          <w:rFonts w:hint="eastAsia" w:ascii="黑体" w:hAnsi="黑体" w:eastAsia="黑体"/>
          <w:b w:val="0"/>
        </w:rPr>
        <w:t>五部分 附表</w:t>
      </w:r>
      <w:bookmarkEnd w:id="57"/>
      <w:bookmarkEnd w:id="59"/>
    </w:p>
    <w:p w14:paraId="194B4205">
      <w:pPr>
        <w:pStyle w:val="5"/>
        <w:rPr>
          <w:rFonts w:ascii="仿宋" w:hAnsi="仿宋" w:eastAsia="仿宋"/>
          <w:color w:val="000000"/>
        </w:rPr>
      </w:pPr>
      <w:bookmarkStart w:id="60"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60"/>
    </w:p>
    <w:p w14:paraId="5FA428DE">
      <w:pPr>
        <w:pStyle w:val="5"/>
        <w:rPr>
          <w:rFonts w:ascii="仿宋" w:hAnsi="仿宋" w:eastAsia="仿宋"/>
          <w:color w:val="000000"/>
        </w:rPr>
      </w:pPr>
      <w:bookmarkStart w:id="61" w:name="_Toc15396620"/>
      <w:r>
        <w:rPr>
          <w:rFonts w:hint="eastAsia" w:ascii="仿宋" w:hAnsi="仿宋" w:eastAsia="仿宋"/>
          <w:b w:val="0"/>
          <w:color w:val="000000"/>
        </w:rPr>
        <w:t>二、收</w:t>
      </w:r>
      <w:r>
        <w:rPr>
          <w:rStyle w:val="28"/>
          <w:rFonts w:hint="eastAsia" w:ascii="仿宋" w:hAnsi="仿宋" w:eastAsia="仿宋"/>
          <w:b w:val="0"/>
          <w:bCs w:val="0"/>
        </w:rPr>
        <w:t>入决算表</w:t>
      </w:r>
      <w:bookmarkEnd w:id="61"/>
    </w:p>
    <w:p w14:paraId="4559E613">
      <w:pPr>
        <w:pStyle w:val="5"/>
        <w:rPr>
          <w:rFonts w:ascii="仿宋" w:hAnsi="仿宋" w:eastAsia="仿宋"/>
          <w:color w:val="000000"/>
        </w:rPr>
      </w:pPr>
      <w:bookmarkStart w:id="62"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62"/>
    </w:p>
    <w:p w14:paraId="01BFE18A">
      <w:pPr>
        <w:pStyle w:val="5"/>
        <w:rPr>
          <w:rFonts w:ascii="仿宋" w:hAnsi="仿宋" w:eastAsia="仿宋"/>
          <w:b w:val="0"/>
          <w:color w:val="000000"/>
        </w:rPr>
      </w:pPr>
      <w:bookmarkStart w:id="63"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63"/>
    </w:p>
    <w:p w14:paraId="2A9F4686">
      <w:pPr>
        <w:pStyle w:val="5"/>
        <w:rPr>
          <w:rStyle w:val="28"/>
          <w:rFonts w:ascii="仿宋" w:hAnsi="仿宋" w:eastAsia="仿宋"/>
          <w:b w:val="0"/>
          <w:bCs w:val="0"/>
        </w:rPr>
      </w:pPr>
      <w:bookmarkStart w:id="64"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64"/>
      <w:bookmarkStart w:id="65" w:name="_Toc15396624"/>
    </w:p>
    <w:p w14:paraId="7BA2C7BC">
      <w:pPr>
        <w:pStyle w:val="5"/>
        <w:rPr>
          <w:rFonts w:ascii="仿宋" w:hAnsi="仿宋" w:eastAsia="仿宋"/>
          <w:color w:val="000000"/>
        </w:rPr>
      </w:pPr>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65"/>
    </w:p>
    <w:p w14:paraId="0EA1B920">
      <w:pPr>
        <w:pStyle w:val="5"/>
        <w:rPr>
          <w:rFonts w:ascii="仿宋" w:hAnsi="仿宋" w:eastAsia="仿宋"/>
          <w:color w:val="000000"/>
        </w:rPr>
      </w:pPr>
      <w:bookmarkStart w:id="66"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66"/>
    </w:p>
    <w:p w14:paraId="3C2314C6">
      <w:pPr>
        <w:pStyle w:val="5"/>
        <w:rPr>
          <w:rFonts w:ascii="仿宋" w:hAnsi="仿宋" w:eastAsia="仿宋"/>
          <w:color w:val="000000"/>
        </w:rPr>
      </w:pPr>
      <w:bookmarkStart w:id="67"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67"/>
    </w:p>
    <w:p w14:paraId="5E0137EC">
      <w:pPr>
        <w:pStyle w:val="5"/>
        <w:rPr>
          <w:rFonts w:ascii="仿宋" w:hAnsi="仿宋" w:eastAsia="仿宋"/>
          <w:color w:val="000000"/>
        </w:rPr>
      </w:pPr>
      <w:bookmarkStart w:id="68"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68"/>
    </w:p>
    <w:p w14:paraId="2C86E954">
      <w:pPr>
        <w:pStyle w:val="5"/>
        <w:rPr>
          <w:rFonts w:ascii="仿宋" w:hAnsi="仿宋" w:eastAsia="仿宋"/>
          <w:color w:val="000000"/>
        </w:rPr>
      </w:pPr>
      <w:bookmarkStart w:id="69"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69"/>
    </w:p>
    <w:p w14:paraId="78BDCA4F">
      <w:pPr>
        <w:pStyle w:val="5"/>
        <w:rPr>
          <w:rFonts w:ascii="仿宋" w:hAnsi="仿宋" w:eastAsia="仿宋"/>
          <w:color w:val="000000"/>
        </w:rPr>
      </w:pPr>
      <w:bookmarkStart w:id="70"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70"/>
    </w:p>
    <w:p w14:paraId="72612E4F">
      <w:pPr>
        <w:pStyle w:val="5"/>
        <w:rPr>
          <w:rStyle w:val="28"/>
          <w:rFonts w:ascii="仿宋" w:hAnsi="仿宋" w:eastAsia="仿宋"/>
          <w:b w:val="0"/>
          <w:bCs w:val="0"/>
        </w:rPr>
      </w:pPr>
      <w:bookmarkStart w:id="71"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71"/>
    </w:p>
    <w:p w14:paraId="098CC982">
      <w:pPr>
        <w:rPr>
          <w:rFonts w:ascii="仿宋" w:hAnsi="仿宋" w:eastAsia="仿宋"/>
          <w:sz w:val="32"/>
          <w:szCs w:val="32"/>
        </w:rPr>
      </w:pPr>
      <w:r>
        <w:rPr>
          <w:rFonts w:hint="eastAsia" w:ascii="仿宋" w:hAnsi="仿宋" w:eastAsia="仿宋"/>
          <w:sz w:val="32"/>
          <w:szCs w:val="32"/>
        </w:rPr>
        <w:t>十三、国有资本经营预算财政拨款收入支出决算表</w:t>
      </w:r>
    </w:p>
    <w:p w14:paraId="77190991">
      <w:pPr>
        <w:pStyle w:val="5"/>
        <w:rPr>
          <w:rFonts w:ascii="仿宋" w:hAnsi="仿宋" w:eastAsia="仿宋"/>
          <w:color w:val="000000" w:themeColor="text1"/>
          <w14:textFill>
            <w14:solidFill>
              <w14:schemeClr w14:val="tx1"/>
            </w14:solidFill>
          </w14:textFill>
        </w:rPr>
      </w:pPr>
      <w:bookmarkStart w:id="72" w:name="_Toc15396631"/>
      <w:r>
        <w:rPr>
          <w:rStyle w:val="28"/>
          <w:rFonts w:hint="eastAsia" w:ascii="仿宋" w:hAnsi="仿宋" w:eastAsia="仿宋"/>
          <w:b w:val="0"/>
          <w:bCs w:val="0"/>
        </w:rPr>
        <w:t>十四、</w:t>
      </w:r>
      <w:r>
        <w:rPr>
          <w:rFonts w:hint="eastAsia" w:ascii="仿宋" w:hAnsi="仿宋" w:eastAsia="仿宋"/>
          <w:b w:val="0"/>
          <w:color w:val="000000"/>
        </w:rPr>
        <w:t>国</w:t>
      </w:r>
      <w:r>
        <w:rPr>
          <w:rStyle w:val="28"/>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方正楷体简体">
    <w:altName w:val="楷体"/>
    <w:panose1 w:val="03000509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58448304">
        <w:pPr>
          <w:pStyle w:val="11"/>
          <w:jc w:val="center"/>
        </w:pPr>
        <w:r>
          <w:fldChar w:fldCharType="begin"/>
        </w:r>
        <w:r>
          <w:instrText xml:space="preserve">PAGE   \* MERGEFORMAT</w:instrText>
        </w:r>
        <w:r>
          <w:fldChar w:fldCharType="separate"/>
        </w:r>
        <w:r>
          <w:rPr>
            <w:lang w:val="zh-CN"/>
          </w:rPr>
          <w:t>11</w:t>
        </w:r>
        <w:r>
          <w:fldChar w:fldCharType="end"/>
        </w:r>
      </w:p>
    </w:sdtContent>
  </w:sdt>
  <w:p w14:paraId="11E4BACF">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D34A4">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E3956B0F"/>
    <w:multiLevelType w:val="singleLevel"/>
    <w:tmpl w:val="E3956B0F"/>
    <w:lvl w:ilvl="0" w:tentative="0">
      <w:start w:val="2"/>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16FC727"/>
    <w:multiLevelType w:val="singleLevel"/>
    <w:tmpl w:val="616FC727"/>
    <w:lvl w:ilvl="0" w:tentative="0">
      <w:start w:val="1"/>
      <w:numFmt w:val="decimal"/>
      <w:suff w:val="nothing"/>
      <w:lvlText w:val="%1."/>
      <w:lvlJc w:val="left"/>
    </w:lvl>
  </w:abstractNum>
  <w:abstractNum w:abstractNumId="4">
    <w:nsid w:val="616FCC1B"/>
    <w:multiLevelType w:val="singleLevel"/>
    <w:tmpl w:val="616FCC1B"/>
    <w:lvl w:ilvl="0" w:tentative="0">
      <w:start w:val="1"/>
      <w:numFmt w:val="decimal"/>
      <w:suff w:val="nothing"/>
      <w:lvlText w:val="%1."/>
      <w:lvlJc w:val="left"/>
    </w:lvl>
  </w:abstractNum>
  <w:abstractNum w:abstractNumId="5">
    <w:nsid w:val="617658B2"/>
    <w:multiLevelType w:val="singleLevel"/>
    <w:tmpl w:val="617658B2"/>
    <w:lvl w:ilvl="0" w:tentative="0">
      <w:start w:val="1"/>
      <w:numFmt w:val="decimal"/>
      <w:suff w:val="nothing"/>
      <w:lvlText w:val="%1."/>
      <w:lvlJc w:val="left"/>
    </w:lvl>
  </w:abstractNum>
  <w:abstractNum w:abstractNumId="6">
    <w:nsid w:val="61765986"/>
    <w:multiLevelType w:val="singleLevel"/>
    <w:tmpl w:val="61765986"/>
    <w:lvl w:ilvl="0" w:tentative="0">
      <w:start w:val="2"/>
      <w:numFmt w:val="decimal"/>
      <w:suff w:val="nothing"/>
      <w:lvlText w:val="（%1）"/>
      <w:lvlJc w:val="left"/>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2A28"/>
    <w:rsid w:val="00094236"/>
    <w:rsid w:val="0009593C"/>
    <w:rsid w:val="00097322"/>
    <w:rsid w:val="000A4C0E"/>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2285"/>
    <w:rsid w:val="00157BAB"/>
    <w:rsid w:val="001654D1"/>
    <w:rsid w:val="00174518"/>
    <w:rsid w:val="00174780"/>
    <w:rsid w:val="0018106D"/>
    <w:rsid w:val="001877A7"/>
    <w:rsid w:val="00191536"/>
    <w:rsid w:val="00196687"/>
    <w:rsid w:val="001A7CB3"/>
    <w:rsid w:val="001C0962"/>
    <w:rsid w:val="001D7531"/>
    <w:rsid w:val="001E737D"/>
    <w:rsid w:val="001F0592"/>
    <w:rsid w:val="001F3487"/>
    <w:rsid w:val="001F7506"/>
    <w:rsid w:val="002006CD"/>
    <w:rsid w:val="00202B36"/>
    <w:rsid w:val="00204B7A"/>
    <w:rsid w:val="00204CDE"/>
    <w:rsid w:val="0021101A"/>
    <w:rsid w:val="002111C8"/>
    <w:rsid w:val="00220536"/>
    <w:rsid w:val="00233342"/>
    <w:rsid w:val="00235629"/>
    <w:rsid w:val="00260C38"/>
    <w:rsid w:val="002616C0"/>
    <w:rsid w:val="00265372"/>
    <w:rsid w:val="002662AA"/>
    <w:rsid w:val="00280496"/>
    <w:rsid w:val="0028255A"/>
    <w:rsid w:val="00294DC9"/>
    <w:rsid w:val="00295495"/>
    <w:rsid w:val="002A31DE"/>
    <w:rsid w:val="002B2613"/>
    <w:rsid w:val="002C1B8E"/>
    <w:rsid w:val="002D19B0"/>
    <w:rsid w:val="002D6D05"/>
    <w:rsid w:val="002F1818"/>
    <w:rsid w:val="002F5004"/>
    <w:rsid w:val="002F567B"/>
    <w:rsid w:val="003070DC"/>
    <w:rsid w:val="003216A9"/>
    <w:rsid w:val="00335A74"/>
    <w:rsid w:val="00357BC5"/>
    <w:rsid w:val="00362778"/>
    <w:rsid w:val="0036561B"/>
    <w:rsid w:val="0036626D"/>
    <w:rsid w:val="0037013F"/>
    <w:rsid w:val="00380C92"/>
    <w:rsid w:val="00387152"/>
    <w:rsid w:val="003A484F"/>
    <w:rsid w:val="003A4883"/>
    <w:rsid w:val="003B0BE0"/>
    <w:rsid w:val="003B0C1B"/>
    <w:rsid w:val="003B688C"/>
    <w:rsid w:val="003C0291"/>
    <w:rsid w:val="003C39AE"/>
    <w:rsid w:val="003C7B60"/>
    <w:rsid w:val="003D0C0F"/>
    <w:rsid w:val="003D1FB2"/>
    <w:rsid w:val="003D66DA"/>
    <w:rsid w:val="003E1310"/>
    <w:rsid w:val="003E6F55"/>
    <w:rsid w:val="003E7F98"/>
    <w:rsid w:val="0040195C"/>
    <w:rsid w:val="00406254"/>
    <w:rsid w:val="00416CD4"/>
    <w:rsid w:val="004223DE"/>
    <w:rsid w:val="00432ECF"/>
    <w:rsid w:val="00434489"/>
    <w:rsid w:val="00437085"/>
    <w:rsid w:val="00443880"/>
    <w:rsid w:val="004464F4"/>
    <w:rsid w:val="004666BE"/>
    <w:rsid w:val="00467EF8"/>
    <w:rsid w:val="00471401"/>
    <w:rsid w:val="00473F31"/>
    <w:rsid w:val="0048263A"/>
    <w:rsid w:val="00487E5D"/>
    <w:rsid w:val="004A00DD"/>
    <w:rsid w:val="004A4922"/>
    <w:rsid w:val="004A711F"/>
    <w:rsid w:val="004B199D"/>
    <w:rsid w:val="004B4690"/>
    <w:rsid w:val="004C0407"/>
    <w:rsid w:val="004E0A2D"/>
    <w:rsid w:val="004E206B"/>
    <w:rsid w:val="004E6DF7"/>
    <w:rsid w:val="004F0FBD"/>
    <w:rsid w:val="004F403E"/>
    <w:rsid w:val="00505A47"/>
    <w:rsid w:val="005121C8"/>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1926"/>
    <w:rsid w:val="00614E44"/>
    <w:rsid w:val="0062270A"/>
    <w:rsid w:val="00622830"/>
    <w:rsid w:val="00623DA0"/>
    <w:rsid w:val="00630AEF"/>
    <w:rsid w:val="006325F8"/>
    <w:rsid w:val="00633463"/>
    <w:rsid w:val="00634C9A"/>
    <w:rsid w:val="006440E4"/>
    <w:rsid w:val="00646970"/>
    <w:rsid w:val="0066343B"/>
    <w:rsid w:val="00664777"/>
    <w:rsid w:val="006713C1"/>
    <w:rsid w:val="006748A4"/>
    <w:rsid w:val="00675CF5"/>
    <w:rsid w:val="00681A31"/>
    <w:rsid w:val="00683E73"/>
    <w:rsid w:val="006A3141"/>
    <w:rsid w:val="006A5E34"/>
    <w:rsid w:val="006B2422"/>
    <w:rsid w:val="006B2B9A"/>
    <w:rsid w:val="006B6180"/>
    <w:rsid w:val="006C1937"/>
    <w:rsid w:val="006D4057"/>
    <w:rsid w:val="006F020C"/>
    <w:rsid w:val="007127B7"/>
    <w:rsid w:val="0071798E"/>
    <w:rsid w:val="00721C3B"/>
    <w:rsid w:val="00727533"/>
    <w:rsid w:val="007416B6"/>
    <w:rsid w:val="007453E5"/>
    <w:rsid w:val="00746EAB"/>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E70B4"/>
    <w:rsid w:val="008F7A3B"/>
    <w:rsid w:val="00900B08"/>
    <w:rsid w:val="00902155"/>
    <w:rsid w:val="00902FA3"/>
    <w:rsid w:val="0091532D"/>
    <w:rsid w:val="00923564"/>
    <w:rsid w:val="0092392E"/>
    <w:rsid w:val="009315F9"/>
    <w:rsid w:val="00933499"/>
    <w:rsid w:val="00935C98"/>
    <w:rsid w:val="00944772"/>
    <w:rsid w:val="00946945"/>
    <w:rsid w:val="00951248"/>
    <w:rsid w:val="0095152F"/>
    <w:rsid w:val="00954C49"/>
    <w:rsid w:val="00955E37"/>
    <w:rsid w:val="009652AE"/>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65C4"/>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3735"/>
    <w:rsid w:val="00A67AB5"/>
    <w:rsid w:val="00A733B2"/>
    <w:rsid w:val="00A741C2"/>
    <w:rsid w:val="00A83300"/>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323C"/>
    <w:rsid w:val="00B14E76"/>
    <w:rsid w:val="00B161B8"/>
    <w:rsid w:val="00B2048C"/>
    <w:rsid w:val="00B310B9"/>
    <w:rsid w:val="00B35F3F"/>
    <w:rsid w:val="00B36CBB"/>
    <w:rsid w:val="00B425E0"/>
    <w:rsid w:val="00B440AA"/>
    <w:rsid w:val="00B44B70"/>
    <w:rsid w:val="00B53C56"/>
    <w:rsid w:val="00B57DAF"/>
    <w:rsid w:val="00B73A36"/>
    <w:rsid w:val="00B77EA6"/>
    <w:rsid w:val="00B81598"/>
    <w:rsid w:val="00B841F1"/>
    <w:rsid w:val="00B90257"/>
    <w:rsid w:val="00B944D6"/>
    <w:rsid w:val="00BB0EBF"/>
    <w:rsid w:val="00BB4DF0"/>
    <w:rsid w:val="00BC289F"/>
    <w:rsid w:val="00BC2D50"/>
    <w:rsid w:val="00BC5361"/>
    <w:rsid w:val="00BC5460"/>
    <w:rsid w:val="00BC6B50"/>
    <w:rsid w:val="00BD0E25"/>
    <w:rsid w:val="00BF5BD6"/>
    <w:rsid w:val="00BF66E5"/>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683"/>
    <w:rsid w:val="00D34E7C"/>
    <w:rsid w:val="00D35489"/>
    <w:rsid w:val="00D36AFE"/>
    <w:rsid w:val="00D51276"/>
    <w:rsid w:val="00D7035F"/>
    <w:rsid w:val="00D8513A"/>
    <w:rsid w:val="00DA634F"/>
    <w:rsid w:val="00DA65AC"/>
    <w:rsid w:val="00DB1913"/>
    <w:rsid w:val="00DC410D"/>
    <w:rsid w:val="00DC5A81"/>
    <w:rsid w:val="00DC68CA"/>
    <w:rsid w:val="00DC7CBA"/>
    <w:rsid w:val="00DD5802"/>
    <w:rsid w:val="00DD73B7"/>
    <w:rsid w:val="00DF28BC"/>
    <w:rsid w:val="00DF34B9"/>
    <w:rsid w:val="00E01053"/>
    <w:rsid w:val="00E07ACF"/>
    <w:rsid w:val="00E331A1"/>
    <w:rsid w:val="00E33202"/>
    <w:rsid w:val="00E336A9"/>
    <w:rsid w:val="00E4063C"/>
    <w:rsid w:val="00E472B1"/>
    <w:rsid w:val="00E50624"/>
    <w:rsid w:val="00E568DF"/>
    <w:rsid w:val="00E64269"/>
    <w:rsid w:val="00E66797"/>
    <w:rsid w:val="00E82267"/>
    <w:rsid w:val="00E853CE"/>
    <w:rsid w:val="00E867B6"/>
    <w:rsid w:val="00E87F08"/>
    <w:rsid w:val="00E96E64"/>
    <w:rsid w:val="00EA010F"/>
    <w:rsid w:val="00EA44BF"/>
    <w:rsid w:val="00ED1B63"/>
    <w:rsid w:val="00ED3C1F"/>
    <w:rsid w:val="00ED4085"/>
    <w:rsid w:val="00ED420E"/>
    <w:rsid w:val="00ED6FBE"/>
    <w:rsid w:val="00EE2F57"/>
    <w:rsid w:val="00EF4795"/>
    <w:rsid w:val="00EF4C34"/>
    <w:rsid w:val="00EF77C6"/>
    <w:rsid w:val="00F05438"/>
    <w:rsid w:val="00F1361C"/>
    <w:rsid w:val="00F156F0"/>
    <w:rsid w:val="00F160C7"/>
    <w:rsid w:val="00F21414"/>
    <w:rsid w:val="00F2408F"/>
    <w:rsid w:val="00F240E9"/>
    <w:rsid w:val="00F36D8F"/>
    <w:rsid w:val="00F417B1"/>
    <w:rsid w:val="00F45853"/>
    <w:rsid w:val="00F602DF"/>
    <w:rsid w:val="00F66EFA"/>
    <w:rsid w:val="00F754A1"/>
    <w:rsid w:val="00F81FD9"/>
    <w:rsid w:val="00F841AA"/>
    <w:rsid w:val="00F84A94"/>
    <w:rsid w:val="00F87E96"/>
    <w:rsid w:val="00F95274"/>
    <w:rsid w:val="00FA23E8"/>
    <w:rsid w:val="00FD1582"/>
    <w:rsid w:val="00FD3CC1"/>
    <w:rsid w:val="00FF1E02"/>
    <w:rsid w:val="00FF30B4"/>
    <w:rsid w:val="039511A7"/>
    <w:rsid w:val="040A1FEE"/>
    <w:rsid w:val="041A40B4"/>
    <w:rsid w:val="05184815"/>
    <w:rsid w:val="075612DC"/>
    <w:rsid w:val="0CA26E26"/>
    <w:rsid w:val="0CB977FE"/>
    <w:rsid w:val="0CF12717"/>
    <w:rsid w:val="0DCD36E2"/>
    <w:rsid w:val="0E006550"/>
    <w:rsid w:val="0EE25CD5"/>
    <w:rsid w:val="0F1D428C"/>
    <w:rsid w:val="0F5C7ABC"/>
    <w:rsid w:val="0F936C8B"/>
    <w:rsid w:val="10C055FF"/>
    <w:rsid w:val="11BF186B"/>
    <w:rsid w:val="131C13D5"/>
    <w:rsid w:val="146A6CEF"/>
    <w:rsid w:val="14DC6708"/>
    <w:rsid w:val="16B760AA"/>
    <w:rsid w:val="16BB723D"/>
    <w:rsid w:val="17476FA3"/>
    <w:rsid w:val="1A301C8A"/>
    <w:rsid w:val="1B8C6C40"/>
    <w:rsid w:val="1D937899"/>
    <w:rsid w:val="217B612F"/>
    <w:rsid w:val="21DA03E9"/>
    <w:rsid w:val="22EA6F71"/>
    <w:rsid w:val="240371BF"/>
    <w:rsid w:val="26B55C26"/>
    <w:rsid w:val="270A2436"/>
    <w:rsid w:val="2991580E"/>
    <w:rsid w:val="29FD04D3"/>
    <w:rsid w:val="2C65070C"/>
    <w:rsid w:val="2E3270A8"/>
    <w:rsid w:val="2F2570F4"/>
    <w:rsid w:val="319F7F4E"/>
    <w:rsid w:val="31C30AE7"/>
    <w:rsid w:val="31F9477A"/>
    <w:rsid w:val="34413E8E"/>
    <w:rsid w:val="34504255"/>
    <w:rsid w:val="34832029"/>
    <w:rsid w:val="38677B35"/>
    <w:rsid w:val="39671D42"/>
    <w:rsid w:val="3A092A09"/>
    <w:rsid w:val="3A800B83"/>
    <w:rsid w:val="3ACA7B44"/>
    <w:rsid w:val="3BC235D4"/>
    <w:rsid w:val="3D5854CB"/>
    <w:rsid w:val="3DE25582"/>
    <w:rsid w:val="3F385CFA"/>
    <w:rsid w:val="3FCD5E84"/>
    <w:rsid w:val="402E2ACB"/>
    <w:rsid w:val="4033061F"/>
    <w:rsid w:val="405E0D83"/>
    <w:rsid w:val="42702C0B"/>
    <w:rsid w:val="432132B9"/>
    <w:rsid w:val="432A0025"/>
    <w:rsid w:val="48945329"/>
    <w:rsid w:val="48DD1C65"/>
    <w:rsid w:val="49CF2BF9"/>
    <w:rsid w:val="4A9E7086"/>
    <w:rsid w:val="4AEA3BB5"/>
    <w:rsid w:val="4B2D0335"/>
    <w:rsid w:val="4C4E41DC"/>
    <w:rsid w:val="4C7A6860"/>
    <w:rsid w:val="4E471E25"/>
    <w:rsid w:val="4E5A6F38"/>
    <w:rsid w:val="4ECE2238"/>
    <w:rsid w:val="4F181556"/>
    <w:rsid w:val="4F3A7792"/>
    <w:rsid w:val="521A5853"/>
    <w:rsid w:val="52FF4968"/>
    <w:rsid w:val="539632C1"/>
    <w:rsid w:val="53CD7C7F"/>
    <w:rsid w:val="55133F59"/>
    <w:rsid w:val="55A27364"/>
    <w:rsid w:val="5971457E"/>
    <w:rsid w:val="597B6E8B"/>
    <w:rsid w:val="5B516EC1"/>
    <w:rsid w:val="5E770CCB"/>
    <w:rsid w:val="5F383A17"/>
    <w:rsid w:val="606B4D1C"/>
    <w:rsid w:val="60E30BFF"/>
    <w:rsid w:val="630E5146"/>
    <w:rsid w:val="64A44688"/>
    <w:rsid w:val="65116DB3"/>
    <w:rsid w:val="65F77FF6"/>
    <w:rsid w:val="68BF21BD"/>
    <w:rsid w:val="68DE6D29"/>
    <w:rsid w:val="6A804FFF"/>
    <w:rsid w:val="6BFB16B6"/>
    <w:rsid w:val="6F501069"/>
    <w:rsid w:val="6FFD48BD"/>
    <w:rsid w:val="705F0869"/>
    <w:rsid w:val="70803736"/>
    <w:rsid w:val="713B3770"/>
    <w:rsid w:val="72734D90"/>
    <w:rsid w:val="73A21876"/>
    <w:rsid w:val="742460B6"/>
    <w:rsid w:val="77A45D07"/>
    <w:rsid w:val="784D7D31"/>
    <w:rsid w:val="79130B59"/>
    <w:rsid w:val="795920D1"/>
    <w:rsid w:val="79660325"/>
    <w:rsid w:val="79A24C96"/>
    <w:rsid w:val="7AE70A6C"/>
    <w:rsid w:val="7B5A214D"/>
    <w:rsid w:val="7B861CB5"/>
    <w:rsid w:val="7BA44E76"/>
    <w:rsid w:val="7D1213D3"/>
    <w:rsid w:val="7ECC436E"/>
    <w:rsid w:val="7EF5552E"/>
    <w:rsid w:val="7F8E0E0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ind w:left="420" w:leftChars="200"/>
    </w:pPr>
  </w:style>
  <w:style w:type="paragraph" w:styleId="7">
    <w:name w:val="Salutation"/>
    <w:basedOn w:val="1"/>
    <w:next w:val="1"/>
    <w:link w:val="33"/>
    <w:qFormat/>
    <w:uiPriority w:val="0"/>
  </w:style>
  <w:style w:type="paragraph" w:styleId="8">
    <w:name w:val="Body Text"/>
    <w:basedOn w:val="1"/>
    <w:link w:val="24"/>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0"/>
    <w:unhideWhenUsed/>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2"/>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1"/>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8"/>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列出段落1"/>
    <w:basedOn w:val="1"/>
    <w:qFormat/>
    <w:uiPriority w:val="34"/>
    <w:pPr>
      <w:ind w:firstLine="420" w:firstLineChars="200"/>
    </w:pPr>
  </w:style>
  <w:style w:type="character" w:customStyle="1" w:styleId="27">
    <w:name w:val="标题 1 Char"/>
    <w:basedOn w:val="16"/>
    <w:link w:val="4"/>
    <w:qFormat/>
    <w:uiPriority w:val="9"/>
    <w:rPr>
      <w:rFonts w:ascii="Times New Roman" w:hAnsi="Times New Roman"/>
      <w:b/>
      <w:bCs/>
      <w:kern w:val="44"/>
      <w:sz w:val="44"/>
      <w:szCs w:val="44"/>
    </w:rPr>
  </w:style>
  <w:style w:type="character" w:customStyle="1" w:styleId="28">
    <w:name w:val="标题 2 Char"/>
    <w:basedOn w:val="16"/>
    <w:link w:val="5"/>
    <w:qFormat/>
    <w:uiPriority w:val="9"/>
    <w:rPr>
      <w:rFonts w:asciiTheme="majorHAnsi" w:hAnsiTheme="majorHAnsi" w:eastAsiaTheme="majorEastAsia" w:cstheme="majorBidi"/>
      <w:b/>
      <w:bCs/>
      <w:kern w:val="2"/>
      <w:sz w:val="32"/>
      <w:szCs w:val="32"/>
    </w:rPr>
  </w:style>
  <w:style w:type="paragraph" w:customStyle="1" w:styleId="2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10"/>
    <w:semiHidden/>
    <w:qFormat/>
    <w:uiPriority w:val="99"/>
    <w:rPr>
      <w:rFonts w:ascii="Times New Roman" w:hAnsi="Times New Roman"/>
      <w:kern w:val="2"/>
      <w:sz w:val="18"/>
      <w:szCs w:val="18"/>
    </w:rPr>
  </w:style>
  <w:style w:type="character" w:customStyle="1" w:styleId="31">
    <w:name w:val="标题 3 Char"/>
    <w:basedOn w:val="16"/>
    <w:link w:val="6"/>
    <w:qFormat/>
    <w:uiPriority w:val="9"/>
    <w:rPr>
      <w:rFonts w:ascii="Times New Roman" w:hAnsi="Times New Roman"/>
      <w:b/>
      <w:bCs/>
      <w:kern w:val="2"/>
      <w:sz w:val="32"/>
      <w:szCs w:val="32"/>
    </w:rPr>
  </w:style>
  <w:style w:type="paragraph" w:customStyle="1" w:styleId="32">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称呼 Char"/>
    <w:basedOn w:val="16"/>
    <w:link w:val="7"/>
    <w:qFormat/>
    <w:uiPriority w:val="0"/>
    <w:rPr>
      <w:rFonts w:ascii="Times New Roman" w:hAnsi="Times New Roman"/>
      <w:kern w:val="2"/>
      <w:sz w:val="21"/>
      <w:szCs w:val="24"/>
    </w:rPr>
  </w:style>
  <w:style w:type="paragraph" w:customStyle="1" w:styleId="34">
    <w:name w:val="四号正文"/>
    <w:basedOn w:val="1"/>
    <w:qFormat/>
    <w:uiPriority w:val="0"/>
    <w:pPr>
      <w:spacing w:line="360" w:lineRule="auto"/>
    </w:pPr>
    <w:rPr>
      <w:rFonts w:ascii="??" w:hAnsi="??" w:eastAsia="宋体" w:cs="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2019年</c:v>
                </c:pt>
                <c:pt idx="1">
                  <c:v>2020年</c:v>
                </c:pt>
              </c:strCache>
            </c:strRef>
          </c:cat>
          <c:val>
            <c:numRef>
              <c:f>Sheet1!$B$2:$B$3</c:f>
              <c:numCache>
                <c:formatCode>General</c:formatCode>
                <c:ptCount val="2"/>
                <c:pt idx="0">
                  <c:v>21130.15</c:v>
                </c:pt>
                <c:pt idx="1">
                  <c:v>1346.09</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2019年</c:v>
                </c:pt>
                <c:pt idx="1">
                  <c:v>2020年</c:v>
                </c:pt>
              </c:strCache>
            </c:strRef>
          </c:cat>
          <c:val>
            <c:numRef>
              <c:f>Sheet1!$C$2:$C$3</c:f>
              <c:numCache>
                <c:formatCode>General</c:formatCode>
                <c:ptCount val="2"/>
                <c:pt idx="0">
                  <c:v>21045.24</c:v>
                </c:pt>
                <c:pt idx="1">
                  <c:v>829.72</c:v>
                </c:pt>
              </c:numCache>
            </c:numRef>
          </c:val>
        </c:ser>
        <c:dLbls>
          <c:showLegendKey val="0"/>
          <c:showVal val="0"/>
          <c:showCatName val="0"/>
          <c:showSerName val="0"/>
          <c:showPercent val="0"/>
          <c:showBubbleSize val="0"/>
        </c:dLbls>
        <c:gapWidth val="150"/>
        <c:axId val="73823744"/>
        <c:axId val="73825280"/>
      </c:barChart>
      <c:catAx>
        <c:axId val="73823744"/>
        <c:scaling>
          <c:orientation val="minMax"/>
        </c:scaling>
        <c:delete val="0"/>
        <c:axPos val="b"/>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73825280"/>
        <c:crosses val="autoZero"/>
        <c:auto val="1"/>
        <c:lblAlgn val="ctr"/>
        <c:lblOffset val="100"/>
        <c:noMultiLvlLbl val="0"/>
      </c:catAx>
      <c:valAx>
        <c:axId val="73825280"/>
        <c:scaling>
          <c:orientation val="minMax"/>
        </c:scaling>
        <c:delete val="0"/>
        <c:axPos val="l"/>
        <c:majorGridlines>
          <c:spPr>
            <a:ln w="9525" cap="flat" cmpd="sng" algn="ctr">
              <a:solidFill>
                <a:schemeClr val="tx1">
                  <a:lumMod val="50000"/>
                  <a:lumOff val="50000"/>
                </a:schemeClr>
              </a:solidFill>
              <a:prstDash val="solid"/>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73823744"/>
        <c:crosses val="autoZero"/>
        <c:crossBetween val="between"/>
      </c:valAx>
      <c:spPr>
        <a:solidFill>
          <a:schemeClr val="bg1"/>
        </a:solid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260376a7-046c-4870-b531-58b3295a96d0}"/>
      </c:ext>
    </c:extLst>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a:effectLst/>
          </c:spPr>
          <c:explosion val="0"/>
          <c:dPt>
            <c:idx val="0"/>
            <c:bubble3D val="0"/>
            <c:spPr>
              <a:solidFill>
                <a:schemeClr val="accent1"/>
              </a:solidFill>
              <a:ln>
                <a:noFill/>
              </a:ln>
              <a:effectLst/>
            </c:spPr>
          </c:dPt>
          <c:dPt>
            <c:idx val="1"/>
            <c:bubble3D val="0"/>
            <c:spPr>
              <a:solidFill>
                <a:schemeClr val="accent2"/>
              </a:solidFill>
              <a:ln>
                <a:noFill/>
              </a:ln>
              <a:effectLst/>
            </c:spPr>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1242.76</c:v>
                </c:pt>
                <c:pt idx="1">
                  <c:v>103.33</c:v>
                </c:pt>
              </c:numCache>
            </c:numRef>
          </c:val>
        </c:ser>
        <c:dLbls>
          <c:showLegendKey val="0"/>
          <c:showVal val="0"/>
          <c:showCatName val="0"/>
          <c:showSerName val="0"/>
          <c:showPercent val="0"/>
          <c:showBubbleSize val="0"/>
          <c:showLeaderLines val="1"/>
        </c:dLbls>
        <c:firstSliceAng val="0"/>
      </c:pieChart>
      <c:spPr>
        <a:solidFill>
          <a:schemeClr val="bg1"/>
        </a:solid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e13cea1-b8f4-4b3c-aa43-2c15dbea6cdc}"/>
      </c:ext>
    </c:extLst>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a:effectLst/>
          </c:spPr>
          <c:explosion val="0"/>
          <c:dPt>
            <c:idx val="0"/>
            <c:bubble3D val="0"/>
            <c:spPr>
              <a:solidFill>
                <a:schemeClr val="accent1"/>
              </a:solidFill>
              <a:ln>
                <a:noFill/>
              </a:ln>
              <a:effectLst/>
            </c:spPr>
          </c:dPt>
          <c:dPt>
            <c:idx val="1"/>
            <c:bubble3D val="0"/>
            <c:spPr>
              <a:solidFill>
                <a:schemeClr val="accent2"/>
              </a:solidFill>
              <a:ln>
                <a:no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306.48</c:v>
                </c:pt>
                <c:pt idx="1">
                  <c:v>523.24</c:v>
                </c:pt>
              </c:numCache>
            </c:numRef>
          </c:val>
        </c:ser>
        <c:dLbls>
          <c:showLegendKey val="0"/>
          <c:showVal val="0"/>
          <c:showCatName val="0"/>
          <c:showSerName val="0"/>
          <c:showPercent val="0"/>
          <c:showBubbleSize val="0"/>
          <c:showLeaderLines val="1"/>
        </c:dLbls>
        <c:firstSliceAng val="0"/>
      </c:pieChart>
      <c:spPr>
        <a:solidFill>
          <a:schemeClr val="bg1"/>
        </a:solid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26264f35-3c36-4699-bbd3-dd7ae7d74ef3}"/>
      </c:ext>
    </c:extLst>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2019年</c:v>
                </c:pt>
                <c:pt idx="1">
                  <c:v>2020年</c:v>
                </c:pt>
              </c:strCache>
            </c:strRef>
          </c:cat>
          <c:val>
            <c:numRef>
              <c:f>Sheet1!$B$2:$B$3</c:f>
              <c:numCache>
                <c:formatCode>General</c:formatCode>
                <c:ptCount val="2"/>
                <c:pt idx="0">
                  <c:v>21130.15</c:v>
                </c:pt>
                <c:pt idx="1">
                  <c:v>1521.06</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2019年</c:v>
                </c:pt>
                <c:pt idx="1">
                  <c:v>2020年</c:v>
                </c:pt>
              </c:strCache>
            </c:strRef>
          </c:cat>
          <c:val>
            <c:numRef>
              <c:f>Sheet1!$C$2:$C$3</c:f>
              <c:numCache>
                <c:formatCode>General</c:formatCode>
                <c:ptCount val="2"/>
                <c:pt idx="0">
                  <c:v>1346.09</c:v>
                </c:pt>
                <c:pt idx="1">
                  <c:v>829.72</c:v>
                </c:pt>
              </c:numCache>
            </c:numRef>
          </c:val>
        </c:ser>
        <c:dLbls>
          <c:showLegendKey val="0"/>
          <c:showVal val="0"/>
          <c:showCatName val="0"/>
          <c:showSerName val="0"/>
          <c:showPercent val="0"/>
          <c:showBubbleSize val="0"/>
        </c:dLbls>
        <c:gapWidth val="150"/>
        <c:axId val="75788288"/>
        <c:axId val="75789824"/>
      </c:barChart>
      <c:catAx>
        <c:axId val="75788288"/>
        <c:scaling>
          <c:orientation val="minMax"/>
        </c:scaling>
        <c:delete val="0"/>
        <c:axPos val="b"/>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75789824"/>
        <c:crosses val="autoZero"/>
        <c:auto val="1"/>
        <c:lblAlgn val="ctr"/>
        <c:lblOffset val="100"/>
        <c:noMultiLvlLbl val="0"/>
      </c:catAx>
      <c:valAx>
        <c:axId val="75789824"/>
        <c:scaling>
          <c:orientation val="minMax"/>
        </c:scaling>
        <c:delete val="0"/>
        <c:axPos val="l"/>
        <c:majorGridlines>
          <c:spPr>
            <a:ln w="9525" cap="flat" cmpd="sng" algn="ctr">
              <a:solidFill>
                <a:schemeClr val="tx1">
                  <a:lumMod val="50000"/>
                  <a:lumOff val="50000"/>
                </a:schemeClr>
              </a:solidFill>
              <a:prstDash val="solid"/>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75788288"/>
        <c:crosses val="autoZero"/>
        <c:crossBetween val="between"/>
      </c:valAx>
      <c:spPr>
        <a:solidFill>
          <a:schemeClr val="bg1"/>
        </a:solid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f557931-600b-4780-b62b-f5b2a1263495}"/>
      </c:ext>
    </c:extLst>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18985275903544"/>
          <c:y val="0.0396872910993364"/>
          <c:w val="0.793984341700877"/>
          <c:h val="0.676616752385721"/>
        </c:manualLayout>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delete val="1"/>
          </c:dLbls>
          <c:cat>
            <c:strRef>
              <c:f>Sheet1!$A$2:$A$3</c:f>
              <c:strCache>
                <c:ptCount val="2"/>
                <c:pt idx="0">
                  <c:v>2019年</c:v>
                </c:pt>
                <c:pt idx="1">
                  <c:v>2020年</c:v>
                </c:pt>
              </c:strCache>
            </c:strRef>
          </c:cat>
          <c:val>
            <c:numRef>
              <c:f>Sheet1!$B$2:$B$3</c:f>
              <c:numCache>
                <c:formatCode>General</c:formatCode>
                <c:ptCount val="2"/>
                <c:pt idx="0">
                  <c:v>845.19</c:v>
                </c:pt>
                <c:pt idx="1">
                  <c:v>709.86</c:v>
                </c:pt>
              </c:numCache>
            </c:numRef>
          </c:val>
        </c:ser>
        <c:ser>
          <c:idx val="1"/>
          <c:order val="1"/>
          <c:tx>
            <c:strRef>
              <c:f>Sheet1!#REF!</c:f>
              <c:strCache>
                <c:ptCount val="1"/>
                <c:pt idx="0">
                  <c:v>#REF!</c:v>
                </c:pt>
              </c:strCache>
            </c:strRef>
          </c:tx>
          <c:spPr>
            <a:solidFill>
              <a:schemeClr val="accent2"/>
            </a:solidFill>
            <a:ln>
              <a:noFill/>
            </a:ln>
            <a:effectLst/>
          </c:spPr>
          <c:invertIfNegative val="0"/>
          <c:dLbls>
            <c:delete val="1"/>
          </c:dLbls>
          <c:cat>
            <c:strRef>
              <c:f>Sheet1!$A$2:$A$3</c:f>
              <c:strCache>
                <c:ptCount val="2"/>
                <c:pt idx="0">
                  <c:v>2019年</c:v>
                </c:pt>
                <c:pt idx="1">
                  <c:v>2020年</c:v>
                </c:pt>
              </c:strCache>
            </c:strRef>
          </c:cat>
          <c:val>
            <c:numRef>
              <c:f>Sheet1!#REF!</c:f>
              <c:numCache>
                <c:formatCode>General</c:formatCode>
                <c:ptCount val="1"/>
                <c:pt idx="0">
                  <c:v>1</c:v>
                </c:pt>
              </c:numCache>
            </c:numRef>
          </c:val>
        </c:ser>
        <c:ser>
          <c:idx val="2"/>
          <c:order val="2"/>
          <c:tx>
            <c:strRef>
              <c:f>Sheet1!#REF!</c:f>
              <c:strCache>
                <c:ptCount val="1"/>
                <c:pt idx="0">
                  <c:v>#REF!</c:v>
                </c:pt>
              </c:strCache>
            </c:strRef>
          </c:tx>
          <c:spPr>
            <a:solidFill>
              <a:schemeClr val="accent3"/>
            </a:solidFill>
            <a:ln>
              <a:noFill/>
            </a:ln>
            <a:effectLst/>
          </c:spPr>
          <c:invertIfNegative val="0"/>
          <c:dLbls>
            <c:delete val="1"/>
          </c:dLbls>
          <c:cat>
            <c:strRef>
              <c:f>Sheet1!$A$2:$A$3</c:f>
              <c:strCache>
                <c:ptCount val="2"/>
                <c:pt idx="0">
                  <c:v>2019年</c:v>
                </c:pt>
                <c:pt idx="1">
                  <c:v>2020年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50"/>
        <c:axId val="243513600"/>
        <c:axId val="249291136"/>
      </c:barChart>
      <c:catAx>
        <c:axId val="243513600"/>
        <c:scaling>
          <c:orientation val="minMax"/>
        </c:scaling>
        <c:delete val="0"/>
        <c:axPos val="b"/>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249291136"/>
        <c:crosses val="autoZero"/>
        <c:auto val="1"/>
        <c:lblAlgn val="ctr"/>
        <c:lblOffset val="100"/>
        <c:noMultiLvlLbl val="0"/>
      </c:catAx>
      <c:valAx>
        <c:axId val="249291136"/>
        <c:scaling>
          <c:orientation val="minMax"/>
        </c:scaling>
        <c:delete val="0"/>
        <c:axPos val="l"/>
        <c:majorGridlines>
          <c:spPr>
            <a:ln w="9525" cap="flat" cmpd="sng" algn="ctr">
              <a:solidFill>
                <a:schemeClr val="tx1">
                  <a:lumMod val="50000"/>
                  <a:lumOff val="50000"/>
                </a:schemeClr>
              </a:solidFill>
              <a:prstDash val="solid"/>
              <a:round/>
            </a:ln>
            <a:effectLst/>
          </c:spPr>
        </c:majorGridlines>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crossAx val="243513600"/>
        <c:crosses val="autoZero"/>
        <c:crossBetween val="between"/>
      </c:valAx>
      <c:spPr>
        <a:solidFill>
          <a:schemeClr val="bg1"/>
        </a:solidFill>
        <a:ln>
          <a:noFill/>
        </a:ln>
        <a:effectLst/>
      </c:spPr>
    </c:plotArea>
    <c:legend>
      <c:legendPos val="r"/>
      <c:layout>
        <c:manualLayout>
          <c:xMode val="edge"/>
          <c:yMode val="edge"/>
          <c:x val="0.182861205381695"/>
          <c:y val="0.834867464623222"/>
          <c:w val="0.435099042106916"/>
          <c:h val="0.0519679410046935"/>
        </c:manualLayout>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9159176e-8e11-41e5-ba81-70c4d6246c0b}"/>
      </c:ext>
    </c:extLst>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31698596730527"/>
          <c:y val="0.0479302832244009"/>
          <c:w val="0.513123359580053"/>
          <c:h val="0.851851851851852"/>
        </c:manualLayout>
      </c:layout>
      <c:pieChart>
        <c:varyColors val="1"/>
        <c:ser>
          <c:idx val="0"/>
          <c:order val="0"/>
          <c:tx>
            <c:strRef>
              <c:f>Sheet1!$B$1</c:f>
              <c:strCache>
                <c:ptCount val="1"/>
                <c:pt idx="0">
                  <c:v>列1</c:v>
                </c:pt>
              </c:strCache>
            </c:strRef>
          </c:tx>
          <c:spPr>
            <a:effectLst/>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Lbls>
            <c:delete val="1"/>
          </c:dLbls>
          <c:cat>
            <c:strRef>
              <c:f>Sheet1!$A$2:$A$6</c:f>
              <c:strCache>
                <c:ptCount val="5"/>
                <c:pt idx="0">
                  <c:v>文化旅游体育与传媒支出</c:v>
                </c:pt>
                <c:pt idx="1">
                  <c:v>社会保障和就业支出</c:v>
                </c:pt>
                <c:pt idx="2">
                  <c:v>卫生健康支出</c:v>
                </c:pt>
                <c:pt idx="3">
                  <c:v>城乡社区支出</c:v>
                </c:pt>
                <c:pt idx="4">
                  <c:v>住房保障支出</c:v>
                </c:pt>
              </c:strCache>
            </c:strRef>
          </c:cat>
          <c:val>
            <c:numRef>
              <c:f>Sheet1!$B$2:$B$6</c:f>
              <c:numCache>
                <c:formatCode>General</c:formatCode>
                <c:ptCount val="5"/>
                <c:pt idx="0">
                  <c:v>604.96</c:v>
                </c:pt>
                <c:pt idx="1">
                  <c:v>35.68</c:v>
                </c:pt>
                <c:pt idx="2">
                  <c:v>7.5</c:v>
                </c:pt>
                <c:pt idx="3">
                  <c:v>41.05</c:v>
                </c:pt>
                <c:pt idx="4">
                  <c:v>20.67</c:v>
                </c:pt>
              </c:numCache>
            </c:numRef>
          </c:val>
        </c:ser>
        <c:dLbls>
          <c:showLegendKey val="0"/>
          <c:showVal val="0"/>
          <c:showCatName val="0"/>
          <c:showSerName val="0"/>
          <c:showPercent val="0"/>
          <c:showBubbleSize val="0"/>
          <c:showLeaderLines val="1"/>
        </c:dLbls>
        <c:firstSliceAng val="0"/>
      </c:pieChart>
      <c:spPr>
        <a:solidFill>
          <a:schemeClr val="bg1"/>
        </a:solid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548cc748-98e5-419b-a273-ff164f49e6cb}"/>
      </c:ext>
    </c:extLst>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a:effectLst/>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 因公出国（境）费</c:v>
                </c:pt>
                <c:pt idx="1">
                  <c:v>公务用车购置及支行维护费</c:v>
                </c:pt>
                <c:pt idx="2">
                  <c:v>公务接待费</c:v>
                </c:pt>
              </c:strCache>
            </c:strRef>
          </c:cat>
          <c:val>
            <c:numRef>
              <c:f>Sheet1!$B$2:$B$4</c:f>
              <c:numCache>
                <c:formatCode>General</c:formatCode>
                <c:ptCount val="3"/>
                <c:pt idx="0">
                  <c:v>0</c:v>
                </c:pt>
                <c:pt idx="1">
                  <c:v>0</c:v>
                </c:pt>
                <c:pt idx="2">
                  <c:v>0.9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7001778142525"/>
          <c:y val="0.886617100371747"/>
        </c:manualLayout>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b2663c5-7b1d-452d-80d4-f7e5fad6ba0d}"/>
      </c:ext>
    </c:extLst>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43</Pages>
  <Words>2589</Words>
  <Characters>2659</Characters>
  <Lines>12</Lines>
  <Paragraphs>22</Paragraphs>
  <TotalTime>0</TotalTime>
  <ScaleCrop>false</ScaleCrop>
  <LinksUpToDate>false</LinksUpToDate>
  <CharactersWithSpaces>2691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阁主</cp:lastModifiedBy>
  <cp:lastPrinted>2020-07-23T02:58:00Z</cp:lastPrinted>
  <dcterms:modified xsi:type="dcterms:W3CDTF">2024-12-13T01:30:10Z</dcterms:modified>
  <dc:title>四川省***</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E4518B6ABB5B4E48B65E6369C0549847_12</vt:lpwstr>
  </property>
</Properties>
</file>